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484F25">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南京市江宁医院冠脉流量仪采购项目</w:t>
      </w:r>
    </w:p>
    <w:p w14:paraId="32110733">
      <w:pPr>
        <w:pStyle w:val="77"/>
        <w:rPr>
          <w:color w:val="auto"/>
          <w:highlight w:val="none"/>
        </w:rPr>
      </w:pPr>
    </w:p>
    <w:p w14:paraId="524DF150">
      <w:pPr>
        <w:spacing w:line="360" w:lineRule="auto"/>
        <w:ind w:firstLine="2168"/>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项目编号：</w:t>
      </w:r>
      <w:r>
        <w:rPr>
          <w:rFonts w:hint="eastAsia" w:ascii="宋体" w:hAnsi="宋体" w:cs="宋体"/>
          <w:b/>
          <w:bCs/>
          <w:color w:val="auto"/>
          <w:sz w:val="32"/>
          <w:szCs w:val="32"/>
          <w:highlight w:val="none"/>
          <w:lang w:val="en-US" w:eastAsia="zh-CN"/>
        </w:rPr>
        <w:tab/>
      </w:r>
      <w:r>
        <w:rPr>
          <w:rFonts w:hint="eastAsia" w:ascii="宋体" w:hAnsi="宋体" w:cs="宋体"/>
          <w:b/>
          <w:bCs/>
          <w:color w:val="auto"/>
          <w:sz w:val="32"/>
          <w:szCs w:val="32"/>
          <w:highlight w:val="none"/>
          <w:lang w:val="en-US" w:eastAsia="zh-CN"/>
        </w:rPr>
        <w:t>JSZC-320115-JSHY-G2025-0463</w:t>
      </w:r>
    </w:p>
    <w:p w14:paraId="132F7656">
      <w:pPr>
        <w:spacing w:line="360" w:lineRule="auto"/>
        <w:ind w:firstLine="2168"/>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代理机构项目编号：</w:t>
      </w:r>
      <w:r>
        <w:rPr>
          <w:rFonts w:hint="eastAsia" w:ascii="宋体" w:hAnsi="宋体" w:cs="宋体"/>
          <w:b/>
          <w:bCs/>
          <w:color w:val="auto"/>
          <w:sz w:val="32"/>
          <w:szCs w:val="32"/>
          <w:highlight w:val="none"/>
          <w:lang w:eastAsia="zh-CN"/>
        </w:rPr>
        <w:t>1009-2541HOLLY16E</w:t>
      </w:r>
    </w:p>
    <w:p w14:paraId="1EDB86C7">
      <w:pPr>
        <w:pStyle w:val="77"/>
        <w:rPr>
          <w:rFonts w:hint="eastAsia" w:ascii="宋体" w:hAnsi="宋体" w:eastAsia="宋体" w:cs="宋体"/>
          <w:color w:val="auto"/>
          <w:highlight w:val="none"/>
        </w:rPr>
      </w:pPr>
    </w:p>
    <w:p w14:paraId="66CE4959">
      <w:pPr>
        <w:pStyle w:val="77"/>
        <w:rPr>
          <w:rFonts w:hint="eastAsia" w:ascii="宋体" w:hAnsi="宋体" w:eastAsia="宋体" w:cs="宋体"/>
          <w:color w:val="auto"/>
          <w:highlight w:val="none"/>
        </w:rPr>
      </w:pPr>
    </w:p>
    <w:p w14:paraId="4D931FCD">
      <w:pPr>
        <w:jc w:val="center"/>
        <w:rPr>
          <w:rFonts w:hint="eastAsia" w:ascii="宋体" w:hAnsi="宋体" w:cs="宋体"/>
          <w:b/>
          <w:color w:val="auto"/>
          <w:sz w:val="18"/>
          <w:szCs w:val="18"/>
          <w:highlight w:val="none"/>
        </w:rPr>
      </w:pPr>
    </w:p>
    <w:p w14:paraId="2037D371">
      <w:pPr>
        <w:jc w:val="center"/>
        <w:rPr>
          <w:rFonts w:hint="eastAsia" w:ascii="宋体" w:hAnsi="宋体" w:cs="宋体"/>
          <w:b/>
          <w:color w:val="auto"/>
          <w:sz w:val="18"/>
          <w:szCs w:val="18"/>
          <w:highlight w:val="none"/>
        </w:rPr>
      </w:pPr>
    </w:p>
    <w:p w14:paraId="18B752F8">
      <w:pPr>
        <w:jc w:val="center"/>
        <w:rPr>
          <w:rFonts w:hint="eastAsia" w:ascii="宋体" w:hAnsi="宋体" w:cs="宋体"/>
          <w:b/>
          <w:color w:val="auto"/>
          <w:sz w:val="18"/>
          <w:szCs w:val="18"/>
          <w:highlight w:val="none"/>
        </w:rPr>
      </w:pPr>
    </w:p>
    <w:p w14:paraId="4BF6C16B">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招  标  文  件</w:t>
      </w:r>
    </w:p>
    <w:p w14:paraId="54671118">
      <w:pPr>
        <w:spacing w:line="500" w:lineRule="exact"/>
        <w:ind w:firstLine="1980"/>
        <w:jc w:val="left"/>
        <w:rPr>
          <w:rFonts w:hint="eastAsia" w:ascii="宋体" w:hAnsi="宋体" w:cs="宋体"/>
          <w:color w:val="auto"/>
          <w:sz w:val="36"/>
          <w:szCs w:val="36"/>
          <w:highlight w:val="none"/>
        </w:rPr>
      </w:pPr>
    </w:p>
    <w:p w14:paraId="11079CCA">
      <w:pPr>
        <w:spacing w:line="500" w:lineRule="exact"/>
        <w:ind w:firstLine="1980"/>
        <w:jc w:val="left"/>
        <w:rPr>
          <w:rFonts w:hint="eastAsia" w:ascii="宋体" w:hAnsi="宋体" w:cs="宋体"/>
          <w:color w:val="auto"/>
          <w:sz w:val="36"/>
          <w:szCs w:val="36"/>
          <w:highlight w:val="none"/>
        </w:rPr>
      </w:pPr>
    </w:p>
    <w:p w14:paraId="6C16A767">
      <w:pPr>
        <w:spacing w:line="500" w:lineRule="exact"/>
        <w:jc w:val="left"/>
        <w:rPr>
          <w:rFonts w:hint="eastAsia" w:ascii="宋体" w:hAnsi="宋体" w:cs="宋体"/>
          <w:color w:val="auto"/>
          <w:sz w:val="36"/>
          <w:szCs w:val="36"/>
          <w:highlight w:val="none"/>
        </w:rPr>
      </w:pPr>
    </w:p>
    <w:p w14:paraId="3C211932">
      <w:pPr>
        <w:rPr>
          <w:rFonts w:hint="eastAsia" w:ascii="宋体" w:hAnsi="宋体" w:cs="宋体"/>
          <w:color w:val="auto"/>
          <w:highlight w:val="none"/>
        </w:rPr>
      </w:pPr>
    </w:p>
    <w:p w14:paraId="5CD079E4">
      <w:pPr>
        <w:rPr>
          <w:rFonts w:hint="eastAsia" w:ascii="宋体" w:hAnsi="宋体" w:cs="宋体"/>
          <w:color w:val="auto"/>
          <w:highlight w:val="none"/>
        </w:rPr>
      </w:pPr>
    </w:p>
    <w:p w14:paraId="44E0FACB">
      <w:pPr>
        <w:rPr>
          <w:rFonts w:hint="eastAsia" w:ascii="宋体" w:hAnsi="宋体" w:cs="宋体"/>
          <w:color w:val="auto"/>
          <w:highlight w:val="none"/>
        </w:rPr>
      </w:pPr>
    </w:p>
    <w:p w14:paraId="060204DB">
      <w:pPr>
        <w:rPr>
          <w:rFonts w:hint="eastAsia" w:ascii="宋体" w:hAnsi="宋体" w:cs="宋体"/>
          <w:color w:val="auto"/>
          <w:highlight w:val="none"/>
        </w:rPr>
      </w:pPr>
    </w:p>
    <w:p w14:paraId="16810780">
      <w:pPr>
        <w:rPr>
          <w:rFonts w:hint="eastAsia" w:ascii="宋体" w:hAnsi="宋体" w:cs="宋体"/>
          <w:color w:val="auto"/>
          <w:highlight w:val="none"/>
        </w:rPr>
      </w:pPr>
    </w:p>
    <w:p w14:paraId="6F0966FB">
      <w:pPr>
        <w:rPr>
          <w:rFonts w:hint="eastAsia" w:ascii="宋体" w:hAnsi="宋体" w:cs="宋体"/>
          <w:color w:val="auto"/>
          <w:highlight w:val="none"/>
        </w:rPr>
      </w:pPr>
    </w:p>
    <w:tbl>
      <w:tblPr>
        <w:tblStyle w:val="33"/>
        <w:tblW w:w="0" w:type="auto"/>
        <w:jc w:val="center"/>
        <w:tblLayout w:type="fixed"/>
        <w:tblCellMar>
          <w:top w:w="0" w:type="dxa"/>
          <w:left w:w="108" w:type="dxa"/>
          <w:bottom w:w="0" w:type="dxa"/>
          <w:right w:w="108" w:type="dxa"/>
        </w:tblCellMar>
      </w:tblPr>
      <w:tblGrid>
        <w:gridCol w:w="2796"/>
        <w:gridCol w:w="5003"/>
      </w:tblGrid>
      <w:tr w14:paraId="60BA5C00">
        <w:tblPrEx>
          <w:tblCellMar>
            <w:top w:w="0" w:type="dxa"/>
            <w:left w:w="108" w:type="dxa"/>
            <w:bottom w:w="0" w:type="dxa"/>
            <w:right w:w="108" w:type="dxa"/>
          </w:tblCellMar>
        </w:tblPrEx>
        <w:trPr>
          <w:trHeight w:val="685" w:hRule="atLeast"/>
          <w:jc w:val="center"/>
        </w:trPr>
        <w:tc>
          <w:tcPr>
            <w:tcW w:w="2796" w:type="dxa"/>
            <w:tcBorders>
              <w:top w:val="nil"/>
              <w:left w:val="nil"/>
              <w:bottom w:val="nil"/>
              <w:right w:val="nil"/>
            </w:tcBorders>
          </w:tcPr>
          <w:p w14:paraId="56C08ED6">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采购人：</w:t>
            </w:r>
          </w:p>
        </w:tc>
        <w:tc>
          <w:tcPr>
            <w:tcW w:w="5003" w:type="dxa"/>
            <w:tcBorders>
              <w:top w:val="nil"/>
              <w:left w:val="nil"/>
              <w:bottom w:val="nil"/>
              <w:right w:val="nil"/>
            </w:tcBorders>
          </w:tcPr>
          <w:p w14:paraId="34349810">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南京市江宁医院</w:t>
            </w:r>
          </w:p>
        </w:tc>
      </w:tr>
      <w:tr w14:paraId="18F16F0B">
        <w:tblPrEx>
          <w:tblCellMar>
            <w:top w:w="0" w:type="dxa"/>
            <w:left w:w="108" w:type="dxa"/>
            <w:bottom w:w="0" w:type="dxa"/>
            <w:right w:w="108" w:type="dxa"/>
          </w:tblCellMar>
        </w:tblPrEx>
        <w:trPr>
          <w:trHeight w:val="573" w:hRule="atLeast"/>
          <w:jc w:val="center"/>
        </w:trPr>
        <w:tc>
          <w:tcPr>
            <w:tcW w:w="2796" w:type="dxa"/>
            <w:tcBorders>
              <w:top w:val="nil"/>
              <w:left w:val="nil"/>
              <w:bottom w:val="nil"/>
              <w:right w:val="nil"/>
            </w:tcBorders>
          </w:tcPr>
          <w:p w14:paraId="6868630F">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采购代理机构：</w:t>
            </w:r>
          </w:p>
        </w:tc>
        <w:tc>
          <w:tcPr>
            <w:tcW w:w="5003" w:type="dxa"/>
            <w:tcBorders>
              <w:top w:val="nil"/>
              <w:left w:val="nil"/>
              <w:bottom w:val="nil"/>
              <w:right w:val="nil"/>
            </w:tcBorders>
          </w:tcPr>
          <w:p w14:paraId="07AD2858">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江苏弘业国际技术工程有限公司</w:t>
            </w:r>
          </w:p>
        </w:tc>
      </w:tr>
      <w:tr w14:paraId="741A6E8F">
        <w:tblPrEx>
          <w:tblCellMar>
            <w:top w:w="0" w:type="dxa"/>
            <w:left w:w="108" w:type="dxa"/>
            <w:bottom w:w="0" w:type="dxa"/>
            <w:right w:w="108" w:type="dxa"/>
          </w:tblCellMar>
        </w:tblPrEx>
        <w:trPr>
          <w:trHeight w:val="573" w:hRule="atLeast"/>
          <w:jc w:val="center"/>
        </w:trPr>
        <w:tc>
          <w:tcPr>
            <w:tcW w:w="2796" w:type="dxa"/>
            <w:tcBorders>
              <w:top w:val="nil"/>
              <w:left w:val="nil"/>
              <w:bottom w:val="nil"/>
              <w:right w:val="nil"/>
            </w:tcBorders>
          </w:tcPr>
          <w:p w14:paraId="013DBFE2">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日  期：</w:t>
            </w:r>
          </w:p>
        </w:tc>
        <w:tc>
          <w:tcPr>
            <w:tcW w:w="5003" w:type="dxa"/>
            <w:tcBorders>
              <w:top w:val="nil"/>
              <w:left w:val="nil"/>
              <w:bottom w:val="nil"/>
              <w:right w:val="nil"/>
            </w:tcBorders>
          </w:tcPr>
          <w:p w14:paraId="38F6EE22">
            <w:pPr>
              <w:rPr>
                <w:rFonts w:hint="eastAsia" w:ascii="宋体" w:hAnsi="宋体" w:cs="宋体"/>
                <w:b/>
                <w:bCs/>
                <w:color w:val="auto"/>
                <w:sz w:val="32"/>
                <w:szCs w:val="32"/>
                <w:highlight w:val="none"/>
              </w:rPr>
            </w:pPr>
            <w:bookmarkStart w:id="0" w:name="EB011e21966a4746ceac4488705cfdd813"/>
            <w:r>
              <w:rPr>
                <w:rFonts w:hint="eastAsia" w:ascii="宋体" w:hAnsi="宋体" w:cs="宋体"/>
                <w:b/>
                <w:bCs/>
                <w:color w:val="auto"/>
                <w:sz w:val="32"/>
                <w:szCs w:val="32"/>
                <w:highlight w:val="none"/>
              </w:rPr>
              <w:t>2025年1</w:t>
            </w:r>
            <w:r>
              <w:rPr>
                <w:rFonts w:hint="eastAsia" w:ascii="宋体" w:hAnsi="宋体" w:cs="宋体"/>
                <w:b/>
                <w:bCs/>
                <w:color w:val="auto"/>
                <w:sz w:val="32"/>
                <w:szCs w:val="32"/>
                <w:highlight w:val="none"/>
                <w:lang w:val="en-US" w:eastAsia="zh-CN"/>
              </w:rPr>
              <w:t>1</w:t>
            </w:r>
            <w:r>
              <w:rPr>
                <w:rFonts w:hint="eastAsia" w:ascii="宋体" w:hAnsi="宋体" w:cs="宋体"/>
                <w:b/>
                <w:bCs/>
                <w:color w:val="auto"/>
                <w:sz w:val="32"/>
                <w:szCs w:val="32"/>
                <w:highlight w:val="none"/>
              </w:rPr>
              <w:t>月</w:t>
            </w:r>
            <w:bookmarkEnd w:id="0"/>
          </w:p>
        </w:tc>
      </w:tr>
    </w:tbl>
    <w:p w14:paraId="351051F2">
      <w:pPr>
        <w:rPr>
          <w:rFonts w:hint="eastAsia" w:ascii="宋体" w:hAnsi="宋体" w:cs="宋体"/>
          <w:color w:val="auto"/>
          <w:highlight w:val="none"/>
        </w:rPr>
      </w:pPr>
    </w:p>
    <w:p w14:paraId="4E247D44">
      <w:pPr>
        <w:rPr>
          <w:rFonts w:hint="eastAsia" w:ascii="宋体" w:hAnsi="宋体" w:cs="宋体"/>
          <w:color w:val="auto"/>
          <w:highlight w:val="none"/>
        </w:rPr>
      </w:pPr>
    </w:p>
    <w:p w14:paraId="68E67710">
      <w:pPr>
        <w:rPr>
          <w:rFonts w:hint="eastAsia" w:ascii="宋体" w:hAnsi="宋体" w:cs="宋体"/>
          <w:color w:val="auto"/>
          <w:highlight w:val="none"/>
        </w:rPr>
      </w:pPr>
    </w:p>
    <w:p w14:paraId="6C728716">
      <w:pPr>
        <w:rPr>
          <w:rFonts w:hint="eastAsia" w:ascii="宋体" w:hAnsi="宋体" w:cs="宋体"/>
          <w:color w:val="auto"/>
          <w:highlight w:val="none"/>
        </w:rPr>
      </w:pPr>
      <w:r>
        <w:rPr>
          <w:rFonts w:hint="eastAsia" w:ascii="宋体" w:hAnsi="宋体" w:cs="宋体"/>
          <w:color w:val="auto"/>
          <w:highlight w:val="none"/>
        </w:rPr>
        <w:br w:type="page" w:clear="all"/>
      </w:r>
    </w:p>
    <w:p w14:paraId="00B554E0">
      <w:pPr>
        <w:pStyle w:val="77"/>
        <w:rPr>
          <w:rFonts w:hint="eastAsia" w:ascii="宋体" w:hAnsi="宋体" w:eastAsia="宋体" w:cs="宋体"/>
          <w:color w:val="auto"/>
          <w:highlight w:val="none"/>
        </w:rPr>
      </w:pPr>
    </w:p>
    <w:p w14:paraId="4785CED8">
      <w:pPr>
        <w:rPr>
          <w:rFonts w:hint="eastAsia" w:ascii="宋体" w:hAnsi="宋体" w:cs="宋体"/>
          <w:color w:val="auto"/>
          <w:highlight w:val="none"/>
        </w:rPr>
      </w:pPr>
    </w:p>
    <w:p w14:paraId="735D1A85">
      <w:pPr>
        <w:pStyle w:val="77"/>
        <w:tabs>
          <w:tab w:val="left" w:pos="6527"/>
        </w:tabs>
        <w:rPr>
          <w:rFonts w:hint="eastAsia" w:ascii="宋体" w:hAnsi="宋体" w:eastAsia="宋体" w:cs="宋体"/>
          <w:color w:val="auto"/>
          <w:highlight w:val="none"/>
        </w:rPr>
      </w:pP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p>
    <w:p w14:paraId="55CF54C1">
      <w:pPr>
        <w:jc w:val="center"/>
        <w:rPr>
          <w:rFonts w:hint="eastAsia" w:ascii="宋体" w:hAnsi="宋体" w:cs="宋体"/>
          <w:color w:val="auto"/>
          <w:sz w:val="44"/>
          <w:szCs w:val="44"/>
          <w:highlight w:val="none"/>
        </w:rPr>
      </w:pPr>
      <w:r>
        <w:rPr>
          <w:rFonts w:hint="eastAsia" w:ascii="宋体" w:hAnsi="宋体" w:cs="宋体"/>
          <w:b/>
          <w:bCs/>
          <w:color w:val="auto"/>
          <w:sz w:val="44"/>
          <w:szCs w:val="44"/>
          <w:highlight w:val="none"/>
        </w:rPr>
        <w:t>目  录</w:t>
      </w:r>
    </w:p>
    <w:p w14:paraId="77B0BD5F">
      <w:pPr>
        <w:pStyle w:val="23"/>
        <w:tabs>
          <w:tab w:val="right" w:leader="dot" w:pos="9740"/>
        </w:tabs>
        <w:rPr>
          <w:color w:val="auto"/>
          <w:sz w:val="24"/>
          <w:szCs w:val="24"/>
          <w:highlight w:val="none"/>
        </w:rPr>
      </w:pPr>
      <w:r>
        <w:rPr>
          <w:rFonts w:hint="eastAsia" w:ascii="宋体" w:hAnsi="宋体" w:cs="宋体"/>
          <w:b/>
          <w:color w:val="auto"/>
          <w:sz w:val="48"/>
          <w:szCs w:val="48"/>
          <w:highlight w:val="none"/>
        </w:rPr>
        <w:fldChar w:fldCharType="begin"/>
      </w:r>
      <w:r>
        <w:rPr>
          <w:rFonts w:hint="eastAsia" w:ascii="宋体" w:hAnsi="宋体" w:cs="宋体"/>
          <w:b/>
          <w:color w:val="auto"/>
          <w:sz w:val="48"/>
          <w:szCs w:val="48"/>
          <w:highlight w:val="none"/>
        </w:rPr>
        <w:instrText xml:space="preserve">TOC \o "1-2" \h \u </w:instrText>
      </w:r>
      <w:r>
        <w:rPr>
          <w:rFonts w:hint="eastAsia" w:ascii="宋体" w:hAnsi="宋体" w:cs="宋体"/>
          <w:b/>
          <w:color w:val="auto"/>
          <w:sz w:val="48"/>
          <w:szCs w:val="48"/>
          <w:highlight w:val="none"/>
        </w:rPr>
        <w:fldChar w:fldCharType="separate"/>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_Toc27317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第一部分  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_Toc27317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hint="eastAsia" w:ascii="宋体" w:hAnsi="宋体" w:cs="宋体"/>
          <w:color w:val="auto"/>
          <w:sz w:val="24"/>
          <w:szCs w:val="24"/>
          <w:highlight w:val="none"/>
        </w:rPr>
        <w:fldChar w:fldCharType="end"/>
      </w:r>
    </w:p>
    <w:p w14:paraId="3F306B12">
      <w:pPr>
        <w:pStyle w:val="23"/>
        <w:tabs>
          <w:tab w:val="right" w:leader="dot" w:pos="9740"/>
        </w:tabs>
        <w:rPr>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_Toc7212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第二部分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_Toc7212 \h </w:instrText>
      </w:r>
      <w:r>
        <w:rPr>
          <w:color w:val="auto"/>
          <w:sz w:val="24"/>
          <w:szCs w:val="24"/>
          <w:highlight w:val="none"/>
        </w:rPr>
        <w:fldChar w:fldCharType="separate"/>
      </w:r>
      <w:r>
        <w:rPr>
          <w:color w:val="auto"/>
          <w:sz w:val="24"/>
          <w:szCs w:val="24"/>
          <w:highlight w:val="none"/>
        </w:rPr>
        <w:t>10</w:t>
      </w:r>
      <w:r>
        <w:rPr>
          <w:color w:val="auto"/>
          <w:sz w:val="24"/>
          <w:szCs w:val="24"/>
          <w:highlight w:val="none"/>
        </w:rPr>
        <w:fldChar w:fldCharType="end"/>
      </w:r>
      <w:r>
        <w:rPr>
          <w:rFonts w:hint="eastAsia" w:ascii="宋体" w:hAnsi="宋体" w:cs="宋体"/>
          <w:color w:val="auto"/>
          <w:sz w:val="24"/>
          <w:szCs w:val="24"/>
          <w:highlight w:val="none"/>
        </w:rPr>
        <w:fldChar w:fldCharType="end"/>
      </w:r>
    </w:p>
    <w:p w14:paraId="08FF981A">
      <w:pPr>
        <w:pStyle w:val="23"/>
        <w:tabs>
          <w:tab w:val="right" w:leader="dot" w:pos="9740"/>
        </w:tabs>
        <w:rPr>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_Toc2112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第三部分  评标方法和标准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_Toc2112 \h </w:instrText>
      </w:r>
      <w:r>
        <w:rPr>
          <w:color w:val="auto"/>
          <w:sz w:val="24"/>
          <w:szCs w:val="24"/>
          <w:highlight w:val="none"/>
        </w:rPr>
        <w:fldChar w:fldCharType="separate"/>
      </w:r>
      <w:r>
        <w:rPr>
          <w:color w:val="auto"/>
          <w:sz w:val="24"/>
          <w:szCs w:val="24"/>
          <w:highlight w:val="none"/>
        </w:rPr>
        <w:t>27</w:t>
      </w:r>
      <w:r>
        <w:rPr>
          <w:color w:val="auto"/>
          <w:sz w:val="24"/>
          <w:szCs w:val="24"/>
          <w:highlight w:val="none"/>
        </w:rPr>
        <w:fldChar w:fldCharType="end"/>
      </w:r>
      <w:r>
        <w:rPr>
          <w:rFonts w:hint="eastAsia" w:ascii="宋体" w:hAnsi="宋体" w:cs="宋体"/>
          <w:color w:val="auto"/>
          <w:sz w:val="24"/>
          <w:szCs w:val="24"/>
          <w:highlight w:val="none"/>
        </w:rPr>
        <w:fldChar w:fldCharType="end"/>
      </w:r>
    </w:p>
    <w:p w14:paraId="44D5F923">
      <w:pPr>
        <w:pStyle w:val="23"/>
        <w:tabs>
          <w:tab w:val="right" w:leader="dot" w:pos="9740"/>
        </w:tabs>
        <w:rPr>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_Toc23169 </w:instrText>
      </w:r>
      <w:r>
        <w:rPr>
          <w:rFonts w:hint="eastAsia" w:ascii="宋体" w:hAnsi="宋体" w:cs="宋体"/>
          <w:color w:val="auto"/>
          <w:sz w:val="24"/>
          <w:szCs w:val="24"/>
          <w:highlight w:val="none"/>
        </w:rPr>
        <w:fldChar w:fldCharType="separate"/>
      </w:r>
      <w:r>
        <w:rPr>
          <w:rFonts w:hint="eastAsia"/>
          <w:bCs w:val="0"/>
          <w:color w:val="auto"/>
          <w:sz w:val="24"/>
          <w:szCs w:val="24"/>
          <w:highlight w:val="none"/>
        </w:rPr>
        <w:t>第四部分 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_Toc23169 \h </w:instrText>
      </w:r>
      <w:r>
        <w:rPr>
          <w:color w:val="auto"/>
          <w:sz w:val="24"/>
          <w:szCs w:val="24"/>
          <w:highlight w:val="none"/>
        </w:rPr>
        <w:fldChar w:fldCharType="separate"/>
      </w:r>
      <w:r>
        <w:rPr>
          <w:color w:val="auto"/>
          <w:sz w:val="24"/>
          <w:szCs w:val="24"/>
          <w:highlight w:val="none"/>
        </w:rPr>
        <w:t>31</w:t>
      </w:r>
      <w:r>
        <w:rPr>
          <w:color w:val="auto"/>
          <w:sz w:val="24"/>
          <w:szCs w:val="24"/>
          <w:highlight w:val="none"/>
        </w:rPr>
        <w:fldChar w:fldCharType="end"/>
      </w:r>
      <w:r>
        <w:rPr>
          <w:rFonts w:hint="eastAsia" w:ascii="宋体" w:hAnsi="宋体" w:cs="宋体"/>
          <w:color w:val="auto"/>
          <w:sz w:val="24"/>
          <w:szCs w:val="24"/>
          <w:highlight w:val="none"/>
        </w:rPr>
        <w:fldChar w:fldCharType="end"/>
      </w:r>
    </w:p>
    <w:p w14:paraId="6D1E43E6">
      <w:pPr>
        <w:pStyle w:val="23"/>
        <w:tabs>
          <w:tab w:val="right" w:leader="dot" w:pos="9740"/>
        </w:tabs>
        <w:rPr>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_Toc25681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第五部分 合同格式及条款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_Toc25681 \h </w:instrText>
      </w:r>
      <w:r>
        <w:rPr>
          <w:color w:val="auto"/>
          <w:sz w:val="24"/>
          <w:szCs w:val="24"/>
          <w:highlight w:val="none"/>
        </w:rPr>
        <w:fldChar w:fldCharType="separate"/>
      </w:r>
      <w:r>
        <w:rPr>
          <w:color w:val="auto"/>
          <w:sz w:val="24"/>
          <w:szCs w:val="24"/>
          <w:highlight w:val="none"/>
        </w:rPr>
        <w:t>33</w:t>
      </w:r>
      <w:r>
        <w:rPr>
          <w:color w:val="auto"/>
          <w:sz w:val="24"/>
          <w:szCs w:val="24"/>
          <w:highlight w:val="none"/>
        </w:rPr>
        <w:fldChar w:fldCharType="end"/>
      </w:r>
      <w:r>
        <w:rPr>
          <w:rFonts w:hint="eastAsia" w:ascii="宋体" w:hAnsi="宋体" w:cs="宋体"/>
          <w:color w:val="auto"/>
          <w:sz w:val="24"/>
          <w:szCs w:val="24"/>
          <w:highlight w:val="none"/>
        </w:rPr>
        <w:fldChar w:fldCharType="end"/>
      </w:r>
    </w:p>
    <w:p w14:paraId="6C3D4612">
      <w:pPr>
        <w:pStyle w:val="23"/>
        <w:tabs>
          <w:tab w:val="right" w:leader="dot" w:pos="9740"/>
        </w:tabs>
        <w:rPr>
          <w:color w:val="auto"/>
          <w:sz w:val="40"/>
          <w:szCs w:val="4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_Toc29724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第六部分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_Toc29724 \h </w:instrText>
      </w:r>
      <w:r>
        <w:rPr>
          <w:color w:val="auto"/>
          <w:sz w:val="24"/>
          <w:szCs w:val="24"/>
          <w:highlight w:val="none"/>
        </w:rPr>
        <w:fldChar w:fldCharType="separate"/>
      </w:r>
      <w:r>
        <w:rPr>
          <w:color w:val="auto"/>
          <w:sz w:val="24"/>
          <w:szCs w:val="24"/>
          <w:highlight w:val="none"/>
        </w:rPr>
        <w:t>43</w:t>
      </w:r>
      <w:r>
        <w:rPr>
          <w:color w:val="auto"/>
          <w:sz w:val="24"/>
          <w:szCs w:val="24"/>
          <w:highlight w:val="none"/>
        </w:rPr>
        <w:fldChar w:fldCharType="end"/>
      </w:r>
      <w:r>
        <w:rPr>
          <w:rFonts w:hint="eastAsia" w:ascii="宋体" w:hAnsi="宋体" w:cs="宋体"/>
          <w:color w:val="auto"/>
          <w:sz w:val="24"/>
          <w:szCs w:val="24"/>
          <w:highlight w:val="none"/>
        </w:rPr>
        <w:fldChar w:fldCharType="end"/>
      </w:r>
    </w:p>
    <w:p w14:paraId="2D4A1BA8">
      <w:pPr>
        <w:keepNext/>
        <w:keepLines/>
        <w:pageBreakBefore/>
        <w:jc w:val="center"/>
        <w:outlineLvl w:val="0"/>
        <w:rPr>
          <w:rFonts w:hint="eastAsia" w:ascii="宋体" w:hAnsi="宋体" w:cs="宋体"/>
          <w:b/>
          <w:color w:val="auto"/>
          <w:sz w:val="32"/>
          <w:highlight w:val="none"/>
        </w:rPr>
      </w:pPr>
      <w:r>
        <w:rPr>
          <w:rFonts w:hint="eastAsia" w:ascii="宋体" w:hAnsi="宋体" w:cs="宋体"/>
          <w:color w:val="auto"/>
          <w:sz w:val="40"/>
          <w:szCs w:val="48"/>
          <w:highlight w:val="none"/>
        </w:rPr>
        <w:fldChar w:fldCharType="end"/>
      </w:r>
      <w:bookmarkStart w:id="2" w:name="_Toc514054470"/>
      <w:bookmarkStart w:id="3" w:name="_Toc27317"/>
      <w:r>
        <w:rPr>
          <w:rFonts w:hint="eastAsia" w:ascii="宋体" w:hAnsi="宋体" w:cs="宋体"/>
          <w:b/>
          <w:color w:val="auto"/>
          <w:sz w:val="44"/>
          <w:szCs w:val="44"/>
          <w:highlight w:val="none"/>
        </w:rPr>
        <w:t>第一部分  招标公告</w:t>
      </w:r>
      <w:bookmarkEnd w:id="2"/>
      <w:bookmarkEnd w:id="3"/>
    </w:p>
    <w:tbl>
      <w:tblPr>
        <w:tblStyle w:val="33"/>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993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tcPr>
          <w:p w14:paraId="0F13D294">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06822361">
            <w:pP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南京市江宁医院冠脉流量仪采购项目</w:t>
            </w:r>
            <w:r>
              <w:rPr>
                <w:rFonts w:hint="eastAsia" w:ascii="宋体" w:hAnsi="宋体" w:cs="宋体"/>
                <w:color w:val="auto"/>
                <w:sz w:val="24"/>
                <w:szCs w:val="24"/>
                <w:highlight w:val="none"/>
              </w:rPr>
              <w:t>的潜在投标人应在</w:t>
            </w:r>
            <w:r>
              <w:rPr>
                <w:rFonts w:hint="eastAsia" w:ascii="宋体" w:hAnsi="宋体" w:cs="宋体"/>
                <w:color w:val="auto"/>
                <w:sz w:val="24"/>
                <w:highlight w:val="none"/>
                <w:u w:val="single"/>
              </w:rPr>
              <w:t>“江苏政府采购网苏采云系统”</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（北京时间）前递交投标文件。</w:t>
            </w:r>
          </w:p>
        </w:tc>
      </w:tr>
    </w:tbl>
    <w:p w14:paraId="4A55D809">
      <w:pPr>
        <w:pStyle w:val="449"/>
        <w:tabs>
          <w:tab w:val="left" w:pos="1134"/>
          <w:tab w:val="left" w:pos="5612"/>
        </w:tabs>
        <w:spacing w:line="312" w:lineRule="auto"/>
        <w:ind w:firstLine="480"/>
        <w:outlineLvl w:val="1"/>
        <w:rPr>
          <w:rFonts w:hint="eastAsia" w:ascii="宋体" w:hAnsi="宋体" w:cs="宋体"/>
          <w:color w:val="auto"/>
          <w:sz w:val="24"/>
          <w:szCs w:val="24"/>
          <w:highlight w:val="none"/>
        </w:rPr>
      </w:pPr>
      <w:bookmarkStart w:id="4" w:name="_Toc2298"/>
      <w:bookmarkStart w:id="5" w:name="_Toc7588"/>
      <w:bookmarkStart w:id="6" w:name="_Toc29050"/>
      <w:r>
        <w:rPr>
          <w:rFonts w:hint="eastAsia" w:ascii="宋体" w:hAnsi="宋体" w:cs="宋体"/>
          <w:b/>
          <w:bCs/>
          <w:color w:val="auto"/>
          <w:sz w:val="24"/>
          <w:szCs w:val="24"/>
          <w:highlight w:val="none"/>
        </w:rPr>
        <w:t>一、项目基本情况</w:t>
      </w:r>
      <w:bookmarkEnd w:id="4"/>
      <w:bookmarkEnd w:id="5"/>
      <w:bookmarkEnd w:id="6"/>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5C87A300">
      <w:pPr>
        <w:pStyle w:val="449"/>
        <w:tabs>
          <w:tab w:val="left" w:pos="1134"/>
        </w:tabs>
        <w:spacing w:line="312" w:lineRule="auto"/>
        <w:ind w:firstLine="96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val="en-US" w:eastAsia="zh-CN"/>
        </w:rPr>
        <w:t>JSZC-320115-JSHY-G2025-0463</w:t>
      </w:r>
    </w:p>
    <w:p w14:paraId="6EC73891">
      <w:pPr>
        <w:pStyle w:val="449"/>
        <w:tabs>
          <w:tab w:val="left" w:pos="1134"/>
        </w:tabs>
        <w:spacing w:line="312" w:lineRule="auto"/>
        <w:ind w:firstLine="96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南京市江宁医院冠脉流量仪采购项目</w:t>
      </w:r>
    </w:p>
    <w:tbl>
      <w:tblPr>
        <w:tblStyle w:val="33"/>
        <w:tblpPr w:leftFromText="180" w:rightFromText="180" w:vertAnchor="text" w:horzAnchor="page" w:tblpX="1703" w:tblpY="76"/>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6"/>
        <w:gridCol w:w="2523"/>
        <w:gridCol w:w="2492"/>
        <w:gridCol w:w="2236"/>
      </w:tblGrid>
      <w:tr w14:paraId="3DD8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1686" w:type="dxa"/>
            <w:noWrap w:val="0"/>
            <w:vAlign w:val="center"/>
          </w:tcPr>
          <w:p w14:paraId="405465D6">
            <w:pPr>
              <w:pStyle w:val="449"/>
              <w:tabs>
                <w:tab w:val="left" w:pos="1276"/>
              </w:tabs>
              <w:spacing w:line="312"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包号</w:t>
            </w:r>
          </w:p>
        </w:tc>
        <w:tc>
          <w:tcPr>
            <w:tcW w:w="2523" w:type="dxa"/>
            <w:noWrap w:val="0"/>
            <w:vAlign w:val="center"/>
          </w:tcPr>
          <w:p w14:paraId="00F4E703">
            <w:pPr>
              <w:pStyle w:val="449"/>
              <w:tabs>
                <w:tab w:val="left" w:pos="1276"/>
              </w:tabs>
              <w:spacing w:line="312"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2492" w:type="dxa"/>
            <w:noWrap w:val="0"/>
            <w:vAlign w:val="center"/>
          </w:tcPr>
          <w:p w14:paraId="05608BE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采购预算</w:t>
            </w:r>
          </w:p>
        </w:tc>
        <w:tc>
          <w:tcPr>
            <w:tcW w:w="2236" w:type="dxa"/>
            <w:noWrap w:val="0"/>
            <w:vAlign w:val="center"/>
          </w:tcPr>
          <w:p w14:paraId="7048AD3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default" w:ascii="Times New Roman" w:hAnsi="Times New Roman" w:cs="Times New Roman"/>
                <w:color w:val="auto"/>
                <w:sz w:val="24"/>
                <w:szCs w:val="24"/>
                <w:highlight w:val="none"/>
                <w:lang w:eastAsia="zh-CN"/>
              </w:rPr>
              <w:t>最高限价</w:t>
            </w:r>
          </w:p>
        </w:tc>
      </w:tr>
      <w:tr w14:paraId="0005D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686" w:type="dxa"/>
            <w:noWrap w:val="0"/>
            <w:vAlign w:val="center"/>
          </w:tcPr>
          <w:p w14:paraId="3DD26DDD">
            <w:pPr>
              <w:pStyle w:val="449"/>
              <w:tabs>
                <w:tab w:val="left" w:pos="1276"/>
              </w:tabs>
              <w:spacing w:line="312"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w:t>
            </w:r>
          </w:p>
        </w:tc>
        <w:tc>
          <w:tcPr>
            <w:tcW w:w="2523" w:type="dxa"/>
            <w:noWrap w:val="0"/>
            <w:vAlign w:val="center"/>
          </w:tcPr>
          <w:p w14:paraId="3F0FCD54">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冠脉流量仪</w:t>
            </w:r>
          </w:p>
        </w:tc>
        <w:tc>
          <w:tcPr>
            <w:tcW w:w="2492" w:type="dxa"/>
            <w:noWrap w:val="0"/>
            <w:vAlign w:val="center"/>
          </w:tcPr>
          <w:p w14:paraId="0A2A8094">
            <w:pPr>
              <w:widowControl/>
              <w:spacing w:line="240" w:lineRule="auto"/>
              <w:jc w:val="center"/>
              <w:rPr>
                <w:rFonts w:hint="eastAsia" w:ascii="宋体" w:hAnsi="宋体" w:eastAsia="宋体" w:cs="宋体"/>
                <w:color w:val="auto"/>
                <w:sz w:val="24"/>
                <w:szCs w:val="24"/>
                <w:highlight w:val="none"/>
              </w:rPr>
            </w:pPr>
            <w:r>
              <w:rPr>
                <w:rFonts w:hint="eastAsia" w:cs="Times New Roman"/>
                <w:color w:val="auto"/>
                <w:sz w:val="24"/>
                <w:szCs w:val="24"/>
                <w:highlight w:val="none"/>
                <w:lang w:val="en-US" w:eastAsia="zh-CN"/>
              </w:rPr>
              <w:t>人民币130</w:t>
            </w:r>
            <w:r>
              <w:rPr>
                <w:rFonts w:hint="default" w:ascii="Times New Roman" w:hAnsi="Times New Roman" w:cs="Times New Roman"/>
                <w:color w:val="auto"/>
                <w:sz w:val="24"/>
                <w:szCs w:val="24"/>
                <w:highlight w:val="none"/>
              </w:rPr>
              <w:t>万元</w:t>
            </w:r>
          </w:p>
        </w:tc>
        <w:tc>
          <w:tcPr>
            <w:tcW w:w="2236" w:type="dxa"/>
            <w:noWrap w:val="0"/>
            <w:vAlign w:val="center"/>
          </w:tcPr>
          <w:p w14:paraId="17E35EBA">
            <w:pPr>
              <w:widowControl/>
              <w:spacing w:line="240" w:lineRule="auto"/>
              <w:jc w:val="center"/>
              <w:rPr>
                <w:rFonts w:hint="eastAsia" w:ascii="宋体" w:hAnsi="宋体" w:eastAsia="宋体" w:cs="宋体"/>
                <w:color w:val="auto"/>
                <w:sz w:val="24"/>
                <w:szCs w:val="24"/>
                <w:highlight w:val="none"/>
                <w:lang w:val="en-US" w:eastAsia="zh-CN"/>
              </w:rPr>
            </w:pPr>
            <w:r>
              <w:rPr>
                <w:rFonts w:hint="eastAsia" w:cs="Times New Roman"/>
                <w:color w:val="auto"/>
                <w:sz w:val="24"/>
                <w:szCs w:val="24"/>
                <w:highlight w:val="none"/>
                <w:lang w:val="en-US" w:eastAsia="zh-CN"/>
              </w:rPr>
              <w:t>人民币130</w:t>
            </w:r>
            <w:r>
              <w:rPr>
                <w:rFonts w:hint="default" w:ascii="Times New Roman" w:hAnsi="Times New Roman" w:cs="Times New Roman"/>
                <w:color w:val="auto"/>
                <w:sz w:val="24"/>
                <w:szCs w:val="24"/>
                <w:highlight w:val="none"/>
              </w:rPr>
              <w:t>万元</w:t>
            </w:r>
          </w:p>
        </w:tc>
      </w:tr>
    </w:tbl>
    <w:p w14:paraId="328ABBBF">
      <w:pPr>
        <w:pStyle w:val="449"/>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r>
        <w:rPr>
          <w:rFonts w:hint="eastAsia"/>
          <w:color w:val="auto"/>
          <w:highlight w:val="none"/>
        </w:rPr>
        <w:t xml:space="preserve"> </w:t>
      </w:r>
      <w:r>
        <w:rPr>
          <w:rFonts w:hint="eastAsia" w:ascii="宋体" w:hAnsi="宋体" w:cs="宋体"/>
          <w:color w:val="auto"/>
          <w:sz w:val="24"/>
          <w:szCs w:val="24"/>
          <w:highlight w:val="none"/>
        </w:rPr>
        <w:t>详见招标文件。</w:t>
      </w:r>
    </w:p>
    <w:p w14:paraId="7E0095A5">
      <w:pPr>
        <w:pStyle w:val="449"/>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合同履行期限：合同签订后</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个月内交货。</w:t>
      </w:r>
    </w:p>
    <w:p w14:paraId="00D93204">
      <w:pPr>
        <w:pStyle w:val="449"/>
        <w:tabs>
          <w:tab w:val="left" w:pos="1134"/>
        </w:tabs>
        <w:spacing w:line="312" w:lineRule="auto"/>
        <w:ind w:firstLine="960"/>
        <w:rPr>
          <w:rFonts w:hint="default" w:ascii="宋体" w:hAnsi="宋体" w:eastAsia="宋体" w:cs="宋体"/>
          <w:color w:val="auto"/>
          <w:sz w:val="24"/>
          <w:szCs w:val="24"/>
          <w:highlight w:val="none"/>
          <w:lang w:val="en-US" w:eastAsia="zh-CN"/>
        </w:rPr>
      </w:pPr>
      <w:bookmarkStart w:id="7" w:name="_Toc3038"/>
      <w:r>
        <w:rPr>
          <w:rFonts w:hint="eastAsia" w:ascii="宋体" w:hAnsi="宋体" w:cs="宋体"/>
          <w:color w:val="auto"/>
          <w:sz w:val="24"/>
          <w:szCs w:val="24"/>
          <w:highlight w:val="none"/>
          <w:lang w:val="en-US" w:eastAsia="zh-CN"/>
        </w:rPr>
        <w:t>本项目是否允许进口：允许</w:t>
      </w:r>
    </w:p>
    <w:p w14:paraId="5F643483">
      <w:pPr>
        <w:pStyle w:val="449"/>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本项目（是/否）接受联合体投标：不接受联合体</w:t>
      </w:r>
    </w:p>
    <w:p w14:paraId="223F7430">
      <w:pPr>
        <w:pStyle w:val="449"/>
        <w:tabs>
          <w:tab w:val="left" w:pos="1134"/>
        </w:tabs>
        <w:spacing w:line="312" w:lineRule="auto"/>
        <w:ind w:left="567" w:firstLine="0"/>
        <w:outlineLvl w:val="1"/>
        <w:rPr>
          <w:rFonts w:hint="eastAsia" w:ascii="宋体" w:hAnsi="宋体" w:cs="宋体"/>
          <w:b/>
          <w:bCs/>
          <w:color w:val="auto"/>
          <w:sz w:val="24"/>
          <w:szCs w:val="24"/>
          <w:highlight w:val="none"/>
        </w:rPr>
      </w:pPr>
      <w:bookmarkStart w:id="8" w:name="_Toc16192"/>
      <w:bookmarkStart w:id="9" w:name="_Toc8033"/>
      <w:r>
        <w:rPr>
          <w:rFonts w:hint="eastAsia" w:ascii="宋体" w:hAnsi="宋体" w:cs="宋体"/>
          <w:b/>
          <w:bCs/>
          <w:color w:val="auto"/>
          <w:sz w:val="24"/>
          <w:szCs w:val="24"/>
          <w:highlight w:val="none"/>
        </w:rPr>
        <w:t>二、申请人的资格要求：</w:t>
      </w:r>
      <w:bookmarkEnd w:id="7"/>
      <w:bookmarkEnd w:id="8"/>
      <w:bookmarkEnd w:id="9"/>
    </w:p>
    <w:p w14:paraId="77590CCE">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2E4D43F5">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（1）具有独立承担民事责任的能力（提供法人或者其他组织的营业执照；供应商为自然人的，提供其身份证）；</w:t>
      </w:r>
    </w:p>
    <w:p w14:paraId="6534D110">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提供2024年度财务报告，至少包含资产负债表、利润表，或投标截止时间前六个月内银行出具的资信证明，或财政部门认可的政府采购专业担保机构出具的投标担保函；成立不满一年无须提供）；</w:t>
      </w:r>
    </w:p>
    <w:p w14:paraId="36454275">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（3）具有履行合同所必需的设备和专业技术能力（供应商根据履行采购项目合同需要，提供履行合同所必需的设备和专业技术能力的声明函或证明材料）；</w:t>
      </w:r>
    </w:p>
    <w:p w14:paraId="1A134EB5">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提供2025年1月至今）中任一月份的依法缴纳税收和社会保险费的相关材料（提供相关主管部门证明或银行代扣证明的复印件，根据国家相关政策免缴或迟缴的需提供相关证明材料）；</w:t>
      </w:r>
    </w:p>
    <w:p w14:paraId="71BF452D">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（5）参加政府采购活动前三年内，在经营活动中没有重大违法记录（提供承诺书）；</w:t>
      </w:r>
    </w:p>
    <w:p w14:paraId="51CDBDDE">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（6）法律、行政法规规定的其他条件：无</w:t>
      </w:r>
    </w:p>
    <w:p w14:paraId="5CF9C47D">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供应商如完全满足以下信用承诺要求可只提供书面承诺书。</w:t>
      </w:r>
    </w:p>
    <w:p w14:paraId="74F3DD41">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在政府采购活动中推行信用承诺制的通知》宁财购通〔2021〕5号规定，在政府采购活动中，供应商只需在资格审查环节提供满足相应条件的书面承诺书，承诺书格式见附件（请严格按照格式正确填写）。（自身符合《中华人民共和国政府采购法》第二十二条规定、按约定提交相关材料的承诺，以及违背承诺自愿承担相关责任的约定）。</w:t>
      </w:r>
    </w:p>
    <w:p w14:paraId="4A7BEB64">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仅提供信用承诺书而未提供“二、申请人的资格要求第1条”中涉及的证明材料的，须在中标后另行提供上述由信用承诺书替代的证明材料（一式三份），材料须加盖公章并按招标文件要求提交采购人或采购代理机构核验。经核验无误后，由采购人或采购代理机构发出中标通知书。</w:t>
      </w:r>
    </w:p>
    <w:p w14:paraId="0F024102">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不适用信用承诺的情形：</w:t>
      </w:r>
    </w:p>
    <w:p w14:paraId="6484AFDC">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（一）供应商被列入严重失信主体名单； </w:t>
      </w:r>
    </w:p>
    <w:p w14:paraId="515B655C">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（二）被相关监管部门作出行政处罚且尚在处罚有效期内； </w:t>
      </w:r>
    </w:p>
    <w:p w14:paraId="3A4C5D7A">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（三）其他法律、行政法规规定的不适用信用承诺的情形。</w:t>
      </w:r>
    </w:p>
    <w:p w14:paraId="1EAAF01B">
      <w:pPr>
        <w:pStyle w:val="7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2.落实政府采购政策满足的资格要求：</w:t>
      </w:r>
    </w:p>
    <w:p w14:paraId="1ECA0D09">
      <w:pPr>
        <w:pStyle w:val="486"/>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862C1D9">
      <w:pPr>
        <w:pStyle w:val="486"/>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0FB388C9">
      <w:pPr>
        <w:pStyle w:val="486"/>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一）拒绝被“信用中国”（www.creditchina.gov.cn）、“中国政府采购网”(www.ccgp.gov.cn）、“信用江苏”（http://credit.jiangsu.gov.cn/）列入失信被执行人、重大税收违法案件当事人、政府采购严重失信行为的供应商参加投标。</w:t>
      </w:r>
    </w:p>
    <w:p w14:paraId="48258A59">
      <w:pPr>
        <w:pStyle w:val="486"/>
        <w:numPr>
          <w:ilvl w:val="0"/>
          <w:numId w:val="5"/>
        </w:numPr>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384B0DE">
      <w:pPr>
        <w:pStyle w:val="486"/>
        <w:numPr>
          <w:ilvl w:val="0"/>
          <w:numId w:val="5"/>
        </w:numPr>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投标产品</w:t>
      </w:r>
      <w:r>
        <w:rPr>
          <w:rFonts w:hint="eastAsia" w:ascii="宋体" w:hAnsi="宋体" w:cs="宋体"/>
          <w:color w:val="auto"/>
          <w:sz w:val="24"/>
          <w:szCs w:val="24"/>
          <w:highlight w:val="none"/>
        </w:rPr>
        <w:t>若为进口设备，供应商须提供代理商/经销商证书（代理授权书复印件，原件备查）或制造商专项授权书（原件）</w:t>
      </w:r>
    </w:p>
    <w:p w14:paraId="2DC8DD0C">
      <w:pPr>
        <w:pStyle w:val="486"/>
        <w:numPr>
          <w:ilvl w:val="0"/>
          <w:numId w:val="5"/>
        </w:numPr>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投标产品按国家规定须医疗器械注册证的，投标人须提供投标产品的《医疗器械注册证》（复印件加盖公章）；</w:t>
      </w:r>
    </w:p>
    <w:p w14:paraId="36EC252F">
      <w:pPr>
        <w:pStyle w:val="486"/>
        <w:numPr>
          <w:ilvl w:val="0"/>
          <w:numId w:val="5"/>
        </w:numPr>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投标人为医疗器械经营企业的，须根据投标产品的类别，提供投标人的《医疗器械经营许可证》或者《二类医疗器械经营备案凭证》（复印件加盖公章）；</w:t>
      </w:r>
    </w:p>
    <w:p w14:paraId="08CA8DDB">
      <w:pPr>
        <w:pStyle w:val="486"/>
        <w:numPr>
          <w:ilvl w:val="0"/>
          <w:numId w:val="5"/>
        </w:numPr>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医疗器械生产企业投标本企业产品的，须提供《医疗器械生产许可证》（复印件加盖公章）；</w:t>
      </w:r>
    </w:p>
    <w:p w14:paraId="769C4C6E">
      <w:pPr>
        <w:pStyle w:val="486"/>
        <w:numPr>
          <w:ilvl w:val="0"/>
          <w:numId w:val="5"/>
        </w:numPr>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响应产品按国家规定须进行3C强制认证的，供应商须提供3C证书（复印件加盖公章）</w:t>
      </w:r>
      <w:r>
        <w:rPr>
          <w:rFonts w:hint="eastAsia" w:ascii="宋体" w:hAnsi="宋体" w:cs="宋体"/>
          <w:color w:val="auto"/>
          <w:sz w:val="24"/>
          <w:szCs w:val="24"/>
          <w:highlight w:val="none"/>
          <w:lang w:eastAsia="zh-CN"/>
        </w:rPr>
        <w:t>。</w:t>
      </w:r>
    </w:p>
    <w:p w14:paraId="63395DEF">
      <w:pPr>
        <w:pStyle w:val="486"/>
        <w:spacing w:line="360" w:lineRule="auto"/>
        <w:ind w:left="709" w:firstLine="0"/>
        <w:outlineLvl w:val="1"/>
        <w:rPr>
          <w:rFonts w:hint="eastAsia" w:ascii="宋体" w:hAnsi="宋体" w:cs="宋体"/>
          <w:b/>
          <w:bCs/>
          <w:color w:val="auto"/>
          <w:sz w:val="24"/>
          <w:szCs w:val="24"/>
          <w:highlight w:val="none"/>
        </w:rPr>
      </w:pPr>
      <w:bookmarkStart w:id="10" w:name="_Toc26697"/>
      <w:bookmarkStart w:id="11" w:name="_Toc1979"/>
      <w:bookmarkStart w:id="12" w:name="_Toc13339"/>
      <w:r>
        <w:rPr>
          <w:rFonts w:hint="eastAsia" w:ascii="宋体" w:hAnsi="宋体" w:cs="宋体"/>
          <w:b/>
          <w:bCs/>
          <w:color w:val="auto"/>
          <w:sz w:val="24"/>
          <w:szCs w:val="24"/>
          <w:highlight w:val="none"/>
        </w:rPr>
        <w:t>三、获取招标文件</w:t>
      </w:r>
      <w:bookmarkEnd w:id="10"/>
      <w:bookmarkEnd w:id="11"/>
      <w:bookmarkEnd w:id="12"/>
    </w:p>
    <w:p w14:paraId="2AD57F5B">
      <w:pPr>
        <w:pStyle w:val="486"/>
        <w:spacing w:line="360" w:lineRule="auto"/>
        <w:ind w:left="84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1、时间：自公告发布之日起5个工作日。</w:t>
      </w:r>
    </w:p>
    <w:p w14:paraId="5B837E41">
      <w:pPr>
        <w:spacing w:line="360" w:lineRule="auto"/>
        <w:ind w:firstLine="1262"/>
        <w:rPr>
          <w:rFonts w:hint="eastAsia" w:ascii="宋体" w:hAnsi="宋体" w:cs="宋体"/>
          <w:color w:val="auto"/>
          <w:sz w:val="24"/>
          <w:highlight w:val="none"/>
        </w:rPr>
      </w:pPr>
      <w:r>
        <w:rPr>
          <w:rFonts w:hint="eastAsia" w:ascii="宋体" w:hAnsi="宋体" w:cs="宋体"/>
          <w:color w:val="auto"/>
          <w:sz w:val="24"/>
          <w:szCs w:val="24"/>
          <w:highlight w:val="none"/>
        </w:rPr>
        <w:t>2、地点：</w:t>
      </w:r>
      <w:r>
        <w:rPr>
          <w:rFonts w:hint="eastAsia" w:ascii="宋体" w:hAnsi="宋体" w:cs="宋体"/>
          <w:color w:val="auto"/>
          <w:sz w:val="24"/>
          <w:highlight w:val="none"/>
        </w:rPr>
        <w:t>“江苏省政府采购网”</w:t>
      </w:r>
    </w:p>
    <w:p w14:paraId="5E8F664B">
      <w:pPr>
        <w:spacing w:line="360" w:lineRule="auto"/>
        <w:ind w:firstLine="1262"/>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3、方式：本项目采用网上注册登记方式免费获取。</w:t>
      </w:r>
    </w:p>
    <w:p w14:paraId="3E542D8D">
      <w:pPr>
        <w:pStyle w:val="449"/>
        <w:tabs>
          <w:tab w:val="left" w:pos="1134"/>
        </w:tabs>
        <w:spacing w:line="360" w:lineRule="auto"/>
        <w:ind w:left="709" w:firstLine="0"/>
        <w:outlineLvl w:val="1"/>
        <w:rPr>
          <w:rFonts w:hint="eastAsia" w:ascii="宋体" w:hAnsi="宋体" w:cs="宋体"/>
          <w:b/>
          <w:bCs/>
          <w:color w:val="auto"/>
          <w:sz w:val="24"/>
          <w:szCs w:val="24"/>
          <w:highlight w:val="none"/>
        </w:rPr>
      </w:pPr>
      <w:bookmarkStart w:id="13" w:name="_Toc28083"/>
      <w:bookmarkStart w:id="14" w:name="_Toc12587"/>
      <w:bookmarkStart w:id="15" w:name="_Toc2291"/>
      <w:r>
        <w:rPr>
          <w:rFonts w:hint="eastAsia" w:ascii="宋体" w:hAnsi="宋体" w:cs="宋体"/>
          <w:b/>
          <w:bCs/>
          <w:color w:val="auto"/>
          <w:sz w:val="24"/>
          <w:szCs w:val="24"/>
          <w:highlight w:val="none"/>
        </w:rPr>
        <w:t>四、提交投标文件截止时间、开标时间和地点</w:t>
      </w:r>
      <w:bookmarkEnd w:id="13"/>
      <w:bookmarkEnd w:id="14"/>
      <w:bookmarkEnd w:id="15"/>
    </w:p>
    <w:p w14:paraId="3E64600D">
      <w:pPr>
        <w:pStyle w:val="449"/>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bCs/>
          <w:color w:val="auto"/>
          <w:sz w:val="24"/>
          <w:szCs w:val="20"/>
          <w:highlight w:val="none"/>
        </w:rPr>
        <w:t>投标文件截止时间及开标时间：</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w:t>
      </w:r>
    </w:p>
    <w:p w14:paraId="2BC5A6CB">
      <w:pPr>
        <w:pStyle w:val="449"/>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highlight w:val="none"/>
        </w:rPr>
        <w:t>“苏采云”政府采购交易系统网上开标大厅。</w:t>
      </w:r>
    </w:p>
    <w:p w14:paraId="589C8BF1">
      <w:pPr>
        <w:pStyle w:val="449"/>
        <w:tabs>
          <w:tab w:val="left" w:pos="1134"/>
        </w:tabs>
        <w:spacing w:line="312" w:lineRule="auto"/>
        <w:ind w:left="708" w:firstLine="0"/>
        <w:outlineLvl w:val="1"/>
        <w:rPr>
          <w:rFonts w:hint="eastAsia" w:ascii="宋体" w:hAnsi="宋体" w:cs="宋体"/>
          <w:b/>
          <w:bCs/>
          <w:color w:val="auto"/>
          <w:sz w:val="24"/>
          <w:szCs w:val="24"/>
          <w:highlight w:val="none"/>
        </w:rPr>
      </w:pPr>
      <w:bookmarkStart w:id="16" w:name="_Toc5544"/>
      <w:bookmarkStart w:id="17" w:name="_Toc8288"/>
      <w:bookmarkStart w:id="18" w:name="_Toc19411"/>
      <w:r>
        <w:rPr>
          <w:rFonts w:hint="eastAsia" w:ascii="宋体" w:hAnsi="宋体" w:cs="宋体"/>
          <w:b/>
          <w:bCs/>
          <w:color w:val="auto"/>
          <w:sz w:val="24"/>
          <w:szCs w:val="24"/>
          <w:highlight w:val="none"/>
        </w:rPr>
        <w:t>五、公告期限</w:t>
      </w:r>
      <w:bookmarkEnd w:id="16"/>
      <w:bookmarkEnd w:id="17"/>
      <w:bookmarkEnd w:id="18"/>
    </w:p>
    <w:p w14:paraId="08B1805C">
      <w:pPr>
        <w:pStyle w:val="449"/>
        <w:tabs>
          <w:tab w:val="left" w:pos="1276"/>
        </w:tabs>
        <w:spacing w:line="312"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1C95FACD">
      <w:pPr>
        <w:pStyle w:val="449"/>
        <w:tabs>
          <w:tab w:val="left" w:pos="1134"/>
        </w:tabs>
        <w:spacing w:line="360" w:lineRule="exact"/>
        <w:ind w:left="709" w:firstLine="0"/>
        <w:outlineLvl w:val="1"/>
        <w:rPr>
          <w:rFonts w:hint="eastAsia" w:ascii="宋体" w:hAnsi="宋体" w:cs="宋体"/>
          <w:b/>
          <w:bCs/>
          <w:color w:val="auto"/>
          <w:sz w:val="24"/>
          <w:szCs w:val="24"/>
          <w:highlight w:val="none"/>
        </w:rPr>
      </w:pPr>
      <w:bookmarkStart w:id="19" w:name="_Toc15265"/>
      <w:bookmarkStart w:id="20" w:name="_Toc12845"/>
      <w:bookmarkStart w:id="21" w:name="_Toc12830"/>
      <w:r>
        <w:rPr>
          <w:rFonts w:hint="eastAsia" w:ascii="宋体" w:hAnsi="宋体" w:cs="宋体"/>
          <w:b/>
          <w:bCs/>
          <w:color w:val="auto"/>
          <w:sz w:val="24"/>
          <w:szCs w:val="24"/>
          <w:highlight w:val="none"/>
        </w:rPr>
        <w:t>六、其他补充事宜</w:t>
      </w:r>
      <w:bookmarkEnd w:id="19"/>
      <w:bookmarkEnd w:id="20"/>
      <w:bookmarkEnd w:id="21"/>
    </w:p>
    <w:p w14:paraId="40C358D9">
      <w:pPr>
        <w:spacing w:line="360" w:lineRule="auto"/>
        <w:ind w:firstLine="964"/>
        <w:rPr>
          <w:rFonts w:hint="eastAsia" w:ascii="宋体" w:hAnsi="宋体" w:cs="宋体"/>
          <w:b/>
          <w:color w:val="auto"/>
          <w:sz w:val="24"/>
          <w:szCs w:val="24"/>
          <w:highlight w:val="none"/>
        </w:rPr>
      </w:pPr>
      <w:bookmarkStart w:id="22" w:name="_Toc10479"/>
      <w:r>
        <w:rPr>
          <w:rFonts w:hint="eastAsia" w:ascii="宋体" w:hAnsi="宋体" w:cs="宋体"/>
          <w:b/>
          <w:color w:val="auto"/>
          <w:sz w:val="24"/>
          <w:szCs w:val="24"/>
          <w:highlight w:val="none"/>
        </w:rPr>
        <w:t>1、潜在供应商访问政府采购管理交易系统（苏采云）的网络地址和方法：</w:t>
      </w:r>
    </w:p>
    <w:p w14:paraId="21345686">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FE8166A">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（2）“CA数字证书”的获取：供应商需办理CA锁，“苏采云”系统目前仅支持“苏采云”系统下的政务CA，省内各地区办理的“苏采云”系统下的政务CA全省通用。</w:t>
      </w:r>
    </w:p>
    <w:p w14:paraId="35B0C224">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（3）“CA数字证书”的办理材料以及供应商操作手册详见：http://jsxcmm.com/help/gys.html。</w:t>
      </w:r>
    </w:p>
    <w:p w14:paraId="5914ACA1">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（4）潜在供应商访问“苏采云”系统的网络地址和方法：“苏采云”系统的网址：http://jszfcg.jsczt.cn/jszc/login。</w:t>
      </w:r>
    </w:p>
    <w:p w14:paraId="092F7642">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（5）采购文件（后缀名为“.kedt”）、供应商操作手册及政府采购客户端工具也可通过“苏采云”系统--已报名项目--报名详情页面内相应链接进行下载。</w:t>
      </w:r>
    </w:p>
    <w:p w14:paraId="7CD86650">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（6）招标代理机构（采购代理机构）将数据电文形式的采购文件加载至“苏采云”系统，供潜在供应商下载或者查阅。    </w:t>
      </w:r>
    </w:p>
    <w:p w14:paraId="14DA0EF0">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（7）苏采云系统使用谷歌浏览器参与不见面开标。</w:t>
      </w:r>
    </w:p>
    <w:p w14:paraId="0C7BDB0B">
      <w:pPr>
        <w:spacing w:line="360" w:lineRule="auto"/>
        <w:ind w:firstLine="420"/>
        <w:rPr>
          <w:rFonts w:hint="eastAsia" w:ascii="宋体" w:hAnsi="宋体" w:cs="宋体"/>
          <w:bCs/>
          <w:color w:val="auto"/>
          <w:sz w:val="24"/>
          <w:szCs w:val="24"/>
          <w:highlight w:val="none"/>
        </w:rPr>
      </w:pPr>
      <w:r>
        <w:rPr>
          <w:rFonts w:hint="eastAsia" w:ascii="宋体" w:hAnsi="宋体" w:cs="宋体"/>
          <w:b/>
          <w:color w:val="auto"/>
          <w:sz w:val="24"/>
          <w:szCs w:val="24"/>
          <w:highlight w:val="none"/>
        </w:rPr>
        <w:t>2.信用承诺</w:t>
      </w:r>
      <w:r>
        <w:rPr>
          <w:rFonts w:hint="eastAsia" w:ascii="宋体" w:hAnsi="宋体" w:cs="宋体"/>
          <w:bCs/>
          <w:color w:val="auto"/>
          <w:sz w:val="24"/>
          <w:szCs w:val="24"/>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\o "https://njgc.jfh.com/）‘南京市政府采购供应商诚信档案’系统链接打开系统页面（http://180.101.238.212:8280/hodeframe2018_cxda/index.action;jsessionid=769BA9C8E1729422E7173B991C8EC1E5）登录（未注册的供应商应先点击‘供应商注册点这里’并按" </w:instrText>
      </w:r>
      <w:r>
        <w:rPr>
          <w:color w:val="auto"/>
          <w:highlight w:val="none"/>
        </w:rPr>
        <w:fldChar w:fldCharType="separate"/>
      </w:r>
      <w:r>
        <w:rPr>
          <w:rFonts w:hint="eastAsia" w:ascii="宋体" w:hAnsi="宋体" w:cs="宋体"/>
          <w:bCs/>
          <w:color w:val="auto"/>
          <w:sz w:val="24"/>
          <w:szCs w:val="24"/>
          <w:highlight w:val="none"/>
        </w:rPr>
        <w:t>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要求完成注册），然后在“信用记录”模块页面点击“信用记录打印”下载本单位《南京市政府采购供应商信用记录表暨信用承诺书》，由法人签字并盖单位公章，装订在投标中。</w:t>
      </w:r>
    </w:p>
    <w:p w14:paraId="068EDDE9">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在政府采购资格审查环节，供应商只需提供书面《南京市政府采购供应商信用记录表暨信用承诺书》，即可替代以下证明材料： </w:t>
      </w:r>
    </w:p>
    <w:p w14:paraId="31E3EDDD">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（1）符合国家相关规定的财务状况报告； </w:t>
      </w:r>
    </w:p>
    <w:p w14:paraId="1029164C">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（2）依法缴纳税收的证明材料； </w:t>
      </w:r>
    </w:p>
    <w:p w14:paraId="13492160">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（3）依法缴纳社会保障资金的证明材料； </w:t>
      </w:r>
    </w:p>
    <w:p w14:paraId="77922974">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（4）具备履行政府采购合同所必需的设备和专业技术能力的证明材料； </w:t>
      </w:r>
    </w:p>
    <w:p w14:paraId="3D4D2F37">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（5）参加政府采购活动前三年内在经营活动中没有重大违法记录的证明材料； </w:t>
      </w:r>
    </w:p>
    <w:p w14:paraId="5519365C">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（6）未被列入失信被执行人、重大税收违法失信主体、政府采购严重违法失信行为记录名单的证明材料。 </w:t>
      </w:r>
    </w:p>
    <w:p w14:paraId="4347380B">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供应商对信用承诺内容的真实性、合法性、有效性负责。如作出虚假信用承诺，视同为“提供虚假材料谋取中标、成交”的违法行为。</w:t>
      </w:r>
    </w:p>
    <w:p w14:paraId="1E3DE8EC">
      <w:pPr>
        <w:spacing w:line="360" w:lineRule="auto"/>
        <w:ind w:firstLine="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3.有关本次采购的事项若存在变动或修改，敬请及时关注“江苏政府采购网”发布的信息。</w:t>
      </w:r>
    </w:p>
    <w:p w14:paraId="481D60ED">
      <w:pPr>
        <w:pStyle w:val="449"/>
        <w:tabs>
          <w:tab w:val="left" w:pos="1134"/>
        </w:tabs>
        <w:spacing w:line="360" w:lineRule="auto"/>
        <w:ind w:left="709" w:firstLine="0"/>
        <w:outlineLvl w:val="1"/>
        <w:rPr>
          <w:rFonts w:hint="eastAsia" w:ascii="宋体" w:hAnsi="宋体" w:cs="宋体"/>
          <w:b/>
          <w:bCs/>
          <w:color w:val="auto"/>
          <w:sz w:val="24"/>
          <w:szCs w:val="24"/>
          <w:highlight w:val="none"/>
        </w:rPr>
      </w:pPr>
      <w:bookmarkStart w:id="23" w:name="_Toc24284"/>
      <w:bookmarkStart w:id="24" w:name="_Toc26301"/>
      <w:r>
        <w:rPr>
          <w:rFonts w:hint="eastAsia" w:ascii="宋体" w:hAnsi="宋体" w:cs="宋体"/>
          <w:b/>
          <w:bCs/>
          <w:color w:val="auto"/>
          <w:sz w:val="24"/>
          <w:szCs w:val="24"/>
          <w:highlight w:val="none"/>
        </w:rPr>
        <w:t>七、对本次招标提出询问，请按以下方式联系。</w:t>
      </w:r>
      <w:bookmarkEnd w:id="22"/>
      <w:bookmarkEnd w:id="23"/>
      <w:bookmarkEnd w:id="24"/>
    </w:p>
    <w:p w14:paraId="6009C544">
      <w:pPr>
        <w:pStyle w:val="266"/>
        <w:spacing w:before="0" w:beforeAutospacing="0" w:after="0" w:afterAutospacing="0" w:line="360" w:lineRule="auto"/>
        <w:ind w:firstLine="720"/>
        <w:outlineLvl w:val="1"/>
        <w:rPr>
          <w:rFonts w:hint="eastAsia" w:hAnsi="宋体" w:cs="宋体"/>
          <w:color w:val="auto"/>
          <w:szCs w:val="24"/>
          <w:highlight w:val="none"/>
        </w:rPr>
      </w:pPr>
      <w:bookmarkStart w:id="25" w:name="_Toc5336"/>
      <w:bookmarkStart w:id="26" w:name="_Toc11624"/>
      <w:bookmarkStart w:id="27" w:name="_Toc25617"/>
      <w:r>
        <w:rPr>
          <w:rFonts w:hint="eastAsia" w:hAnsi="宋体" w:cs="宋体"/>
          <w:color w:val="auto"/>
          <w:szCs w:val="24"/>
          <w:highlight w:val="none"/>
        </w:rPr>
        <w:t>1.采购人信息</w:t>
      </w:r>
      <w:bookmarkEnd w:id="25"/>
    </w:p>
    <w:p w14:paraId="1F27CEDF">
      <w:pPr>
        <w:pStyle w:val="266"/>
        <w:spacing w:before="0" w:beforeAutospacing="0" w:after="0" w:afterAutospacing="0" w:line="360" w:lineRule="auto"/>
        <w:ind w:firstLine="720"/>
        <w:outlineLvl w:val="1"/>
        <w:rPr>
          <w:rFonts w:hint="eastAsia" w:hAnsi="宋体" w:cs="宋体"/>
          <w:color w:val="auto"/>
          <w:szCs w:val="24"/>
          <w:highlight w:val="none"/>
          <w:lang w:eastAsia="zh-CN"/>
        </w:rPr>
      </w:pPr>
      <w:bookmarkStart w:id="28" w:name="_Toc18962"/>
      <w:r>
        <w:rPr>
          <w:rFonts w:hint="eastAsia" w:hAnsi="宋体" w:cs="宋体"/>
          <w:color w:val="auto"/>
          <w:szCs w:val="24"/>
          <w:highlight w:val="none"/>
        </w:rPr>
        <w:t>名称：</w:t>
      </w:r>
      <w:r>
        <w:rPr>
          <w:rFonts w:hint="eastAsia" w:hAnsi="宋体" w:cs="宋体"/>
          <w:color w:val="auto"/>
          <w:szCs w:val="24"/>
          <w:highlight w:val="none"/>
          <w:lang w:eastAsia="zh-CN"/>
        </w:rPr>
        <w:t>南京市江宁医院</w:t>
      </w:r>
      <w:bookmarkEnd w:id="28"/>
    </w:p>
    <w:p w14:paraId="0799B896">
      <w:pPr>
        <w:pStyle w:val="266"/>
        <w:spacing w:before="0" w:beforeAutospacing="0" w:after="0" w:afterAutospacing="0" w:line="360" w:lineRule="auto"/>
        <w:ind w:firstLine="720"/>
        <w:outlineLvl w:val="1"/>
        <w:rPr>
          <w:rFonts w:hint="eastAsia" w:hAnsi="宋体" w:cs="宋体"/>
          <w:color w:val="auto"/>
          <w:szCs w:val="24"/>
          <w:highlight w:val="none"/>
        </w:rPr>
      </w:pPr>
      <w:bookmarkStart w:id="29" w:name="_Toc17137"/>
      <w:r>
        <w:rPr>
          <w:rFonts w:hint="eastAsia" w:hAnsi="宋体" w:cs="宋体"/>
          <w:color w:val="auto"/>
          <w:szCs w:val="24"/>
          <w:highlight w:val="none"/>
        </w:rPr>
        <w:t>地址：南京市江宁区东山街道湖山路169号</w:t>
      </w:r>
      <w:bookmarkEnd w:id="29"/>
    </w:p>
    <w:p w14:paraId="399F0997">
      <w:pPr>
        <w:pStyle w:val="266"/>
        <w:spacing w:before="0" w:beforeAutospacing="0" w:after="0" w:afterAutospacing="0" w:line="360" w:lineRule="auto"/>
        <w:ind w:firstLine="720"/>
        <w:outlineLvl w:val="1"/>
        <w:rPr>
          <w:rFonts w:hint="eastAsia" w:hAnsi="宋体" w:cs="宋体"/>
          <w:color w:val="auto"/>
          <w:szCs w:val="24"/>
          <w:highlight w:val="none"/>
        </w:rPr>
      </w:pPr>
      <w:bookmarkStart w:id="30" w:name="_Toc18720"/>
      <w:r>
        <w:rPr>
          <w:rFonts w:hint="eastAsia" w:hAnsi="宋体" w:cs="宋体"/>
          <w:color w:val="auto"/>
          <w:szCs w:val="24"/>
          <w:highlight w:val="none"/>
        </w:rPr>
        <w:t>联系方式：025-52087336</w:t>
      </w:r>
      <w:bookmarkEnd w:id="30"/>
    </w:p>
    <w:p w14:paraId="27E41F5D">
      <w:pPr>
        <w:pStyle w:val="266"/>
        <w:spacing w:before="0" w:beforeAutospacing="0" w:after="0" w:afterAutospacing="0" w:line="360" w:lineRule="auto"/>
        <w:ind w:firstLine="720"/>
        <w:outlineLvl w:val="1"/>
        <w:rPr>
          <w:rFonts w:hint="eastAsia" w:hAnsi="宋体" w:cs="宋体"/>
          <w:color w:val="auto"/>
          <w:szCs w:val="24"/>
          <w:highlight w:val="none"/>
        </w:rPr>
      </w:pPr>
      <w:bookmarkStart w:id="31" w:name="_Toc29917"/>
      <w:r>
        <w:rPr>
          <w:rFonts w:hint="eastAsia" w:hAnsi="宋体" w:cs="宋体"/>
          <w:color w:val="auto"/>
          <w:szCs w:val="24"/>
          <w:highlight w:val="none"/>
        </w:rPr>
        <w:t>2.采购代理机构信息</w:t>
      </w:r>
      <w:bookmarkEnd w:id="26"/>
      <w:bookmarkEnd w:id="31"/>
    </w:p>
    <w:p w14:paraId="7593EE6D">
      <w:pPr>
        <w:pStyle w:val="266"/>
        <w:spacing w:before="0" w:beforeAutospacing="0" w:after="0" w:afterAutospacing="0" w:line="312" w:lineRule="auto"/>
        <w:ind w:firstLine="720"/>
        <w:outlineLvl w:val="1"/>
        <w:rPr>
          <w:rFonts w:hint="eastAsia" w:hAnsi="宋体" w:cs="宋体"/>
          <w:color w:val="auto"/>
          <w:szCs w:val="24"/>
          <w:highlight w:val="none"/>
        </w:rPr>
      </w:pPr>
      <w:bookmarkStart w:id="32" w:name="_Toc17590"/>
      <w:bookmarkStart w:id="33" w:name="_Toc6514"/>
      <w:r>
        <w:rPr>
          <w:rFonts w:hint="eastAsia" w:hAnsi="宋体" w:cs="宋体"/>
          <w:color w:val="auto"/>
          <w:szCs w:val="24"/>
          <w:highlight w:val="none"/>
        </w:rPr>
        <w:t>名称：江苏弘业国际技术工程有限公司</w:t>
      </w:r>
      <w:bookmarkEnd w:id="32"/>
      <w:bookmarkEnd w:id="33"/>
    </w:p>
    <w:p w14:paraId="472EBBEA">
      <w:pPr>
        <w:pStyle w:val="266"/>
        <w:spacing w:before="0" w:beforeAutospacing="0" w:after="0" w:afterAutospacing="0" w:line="312" w:lineRule="auto"/>
        <w:ind w:firstLine="720"/>
        <w:outlineLvl w:val="1"/>
        <w:rPr>
          <w:rFonts w:hint="eastAsia" w:hAnsi="宋体" w:cs="宋体"/>
          <w:color w:val="auto"/>
          <w:szCs w:val="24"/>
          <w:highlight w:val="none"/>
        </w:rPr>
      </w:pPr>
      <w:bookmarkStart w:id="34" w:name="_Toc8777"/>
      <w:bookmarkStart w:id="35" w:name="_Toc29228"/>
      <w:r>
        <w:rPr>
          <w:rFonts w:hint="eastAsia" w:hAnsi="宋体" w:cs="宋体"/>
          <w:color w:val="auto"/>
          <w:szCs w:val="24"/>
          <w:highlight w:val="none"/>
        </w:rPr>
        <w:t>地址：南京市中华路50号弘业大厦10楼</w:t>
      </w:r>
      <w:bookmarkEnd w:id="34"/>
      <w:bookmarkEnd w:id="35"/>
    </w:p>
    <w:p w14:paraId="66EBE4A2">
      <w:pPr>
        <w:pStyle w:val="266"/>
        <w:spacing w:before="0" w:beforeAutospacing="0" w:after="0" w:afterAutospacing="0" w:line="312" w:lineRule="auto"/>
        <w:ind w:firstLine="720"/>
        <w:outlineLvl w:val="1"/>
        <w:rPr>
          <w:rFonts w:hint="eastAsia" w:hAnsi="宋体" w:cs="宋体"/>
          <w:color w:val="auto"/>
          <w:szCs w:val="24"/>
          <w:highlight w:val="none"/>
        </w:rPr>
      </w:pPr>
      <w:bookmarkStart w:id="36" w:name="_Toc30931"/>
      <w:bookmarkStart w:id="37" w:name="_Toc4151"/>
      <w:r>
        <w:rPr>
          <w:rFonts w:hint="eastAsia" w:hAnsi="宋体" w:cs="宋体"/>
          <w:color w:val="auto"/>
          <w:szCs w:val="24"/>
          <w:highlight w:val="none"/>
        </w:rPr>
        <w:t>联系方式：025-52278370</w:t>
      </w:r>
      <w:bookmarkEnd w:id="36"/>
      <w:bookmarkEnd w:id="37"/>
    </w:p>
    <w:p w14:paraId="02AF18E3">
      <w:pPr>
        <w:pStyle w:val="266"/>
        <w:spacing w:before="0" w:beforeAutospacing="0" w:after="0" w:afterAutospacing="0" w:line="312" w:lineRule="auto"/>
        <w:ind w:firstLine="720"/>
        <w:outlineLvl w:val="1"/>
        <w:rPr>
          <w:rFonts w:hint="eastAsia" w:hAnsi="宋体" w:cs="宋体"/>
          <w:color w:val="auto"/>
          <w:szCs w:val="24"/>
          <w:highlight w:val="none"/>
        </w:rPr>
      </w:pPr>
      <w:bookmarkStart w:id="38" w:name="_Toc23093"/>
      <w:bookmarkStart w:id="39" w:name="_Toc2685"/>
      <w:r>
        <w:rPr>
          <w:rFonts w:hint="eastAsia" w:hAnsi="宋体" w:cs="宋体"/>
          <w:color w:val="auto"/>
          <w:szCs w:val="24"/>
          <w:highlight w:val="none"/>
        </w:rPr>
        <w:t>传  真：025-52278761</w:t>
      </w:r>
      <w:bookmarkEnd w:id="38"/>
      <w:bookmarkEnd w:id="39"/>
    </w:p>
    <w:p w14:paraId="125A5D83">
      <w:pPr>
        <w:pStyle w:val="266"/>
        <w:spacing w:before="0" w:beforeAutospacing="0" w:after="0" w:afterAutospacing="0" w:line="312" w:lineRule="auto"/>
        <w:ind w:firstLine="720"/>
        <w:outlineLvl w:val="1"/>
        <w:rPr>
          <w:rFonts w:hint="eastAsia" w:hAnsi="宋体" w:cs="宋体"/>
          <w:color w:val="auto"/>
          <w:szCs w:val="24"/>
          <w:highlight w:val="none"/>
        </w:rPr>
      </w:pPr>
      <w:bookmarkStart w:id="40" w:name="_Toc7809"/>
      <w:bookmarkStart w:id="41" w:name="_Toc1899"/>
      <w:r>
        <w:rPr>
          <w:rFonts w:hint="eastAsia" w:hAnsi="宋体" w:cs="宋体"/>
          <w:color w:val="auto"/>
          <w:szCs w:val="24"/>
          <w:highlight w:val="none"/>
        </w:rPr>
        <w:t>邮箱：hollyzbzy@artall.com</w:t>
      </w:r>
      <w:bookmarkEnd w:id="40"/>
      <w:bookmarkEnd w:id="41"/>
    </w:p>
    <w:p w14:paraId="2FC2220A">
      <w:pPr>
        <w:pStyle w:val="266"/>
        <w:spacing w:before="0" w:beforeAutospacing="0" w:after="0" w:afterAutospacing="0" w:line="312" w:lineRule="auto"/>
        <w:ind w:firstLine="720"/>
        <w:outlineLvl w:val="1"/>
        <w:rPr>
          <w:rFonts w:hint="eastAsia" w:hAnsi="宋体" w:cs="宋体"/>
          <w:color w:val="auto"/>
          <w:szCs w:val="24"/>
          <w:highlight w:val="none"/>
        </w:rPr>
      </w:pPr>
      <w:bookmarkStart w:id="42" w:name="_Toc21139"/>
      <w:bookmarkStart w:id="43" w:name="_Toc4597"/>
      <w:r>
        <w:rPr>
          <w:rFonts w:hint="eastAsia" w:hAnsi="宋体" w:cs="宋体"/>
          <w:color w:val="auto"/>
          <w:szCs w:val="24"/>
          <w:highlight w:val="none"/>
        </w:rPr>
        <w:t>3.项目联系方式</w:t>
      </w:r>
      <w:bookmarkEnd w:id="42"/>
      <w:bookmarkEnd w:id="43"/>
    </w:p>
    <w:p w14:paraId="45A0B3FF">
      <w:pPr>
        <w:pStyle w:val="266"/>
        <w:spacing w:before="0" w:beforeAutospacing="0" w:after="0" w:afterAutospacing="0" w:line="312" w:lineRule="auto"/>
        <w:ind w:firstLine="720"/>
        <w:outlineLvl w:val="1"/>
        <w:rPr>
          <w:rFonts w:hint="eastAsia" w:hAnsi="宋体" w:cs="宋体"/>
          <w:color w:val="auto"/>
          <w:szCs w:val="24"/>
          <w:highlight w:val="none"/>
        </w:rPr>
      </w:pPr>
      <w:bookmarkStart w:id="44" w:name="_Toc18816"/>
      <w:bookmarkStart w:id="45" w:name="_Toc23478"/>
      <w:r>
        <w:rPr>
          <w:rFonts w:hint="eastAsia" w:hAnsi="宋体" w:cs="宋体"/>
          <w:color w:val="auto"/>
          <w:szCs w:val="24"/>
          <w:highlight w:val="none"/>
        </w:rPr>
        <w:t>项目联系人：徐玥妮</w:t>
      </w:r>
      <w:bookmarkEnd w:id="44"/>
      <w:bookmarkEnd w:id="45"/>
    </w:p>
    <w:p w14:paraId="412619B9">
      <w:pPr>
        <w:pStyle w:val="266"/>
        <w:spacing w:before="0" w:beforeAutospacing="0" w:after="0" w:afterAutospacing="0" w:line="312" w:lineRule="auto"/>
        <w:ind w:firstLine="720"/>
        <w:outlineLvl w:val="1"/>
        <w:rPr>
          <w:rFonts w:hint="eastAsia" w:hAnsi="宋体" w:cs="宋体"/>
          <w:color w:val="auto"/>
          <w:szCs w:val="24"/>
          <w:highlight w:val="none"/>
        </w:rPr>
      </w:pPr>
      <w:bookmarkStart w:id="46" w:name="_Toc13399"/>
      <w:bookmarkStart w:id="47" w:name="_Toc12073"/>
      <w:r>
        <w:rPr>
          <w:rFonts w:hint="eastAsia" w:hAnsi="宋体" w:cs="宋体"/>
          <w:color w:val="auto"/>
          <w:szCs w:val="24"/>
          <w:highlight w:val="none"/>
        </w:rPr>
        <w:t>电话：025-52278370</w:t>
      </w:r>
      <w:bookmarkEnd w:id="27"/>
      <w:bookmarkEnd w:id="46"/>
      <w:bookmarkEnd w:id="47"/>
    </w:p>
    <w:p w14:paraId="6DB5B11C">
      <w:pPr>
        <w:pStyle w:val="77"/>
        <w:rPr>
          <w:rFonts w:hint="eastAsia" w:ascii="宋体" w:hAnsi="宋体" w:eastAsia="宋体" w:cs="宋体"/>
          <w:color w:val="auto"/>
          <w:sz w:val="24"/>
          <w:szCs w:val="24"/>
          <w:highlight w:val="none"/>
        </w:rPr>
      </w:pPr>
    </w:p>
    <w:p w14:paraId="6E587661">
      <w:pPr>
        <w:pStyle w:val="271"/>
        <w:ind w:left="420" w:firstLine="480"/>
        <w:rPr>
          <w:rFonts w:hint="eastAsia" w:ascii="宋体" w:hAnsi="宋体" w:eastAsia="宋体" w:cs="宋体"/>
          <w:color w:val="auto"/>
          <w:highlight w:val="none"/>
        </w:rPr>
      </w:pPr>
    </w:p>
    <w:p w14:paraId="52C26724">
      <w:pPr>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48" w:name="_Toc7212"/>
      <w:r>
        <w:rPr>
          <w:rFonts w:hint="eastAsia" w:ascii="宋体" w:hAnsi="宋体" w:cs="宋体"/>
          <w:b/>
          <w:color w:val="auto"/>
          <w:sz w:val="44"/>
          <w:szCs w:val="44"/>
          <w:highlight w:val="none"/>
        </w:rPr>
        <w:t>第二部分  投标人须知</w:t>
      </w:r>
      <w:bookmarkEnd w:id="48"/>
    </w:p>
    <w:p w14:paraId="06FBAC52">
      <w:pPr>
        <w:pStyle w:val="202"/>
        <w:keepNext w:val="0"/>
        <w:keepLines w:val="0"/>
        <w:spacing w:before="0" w:after="0" w:line="240" w:lineRule="auto"/>
        <w:jc w:val="center"/>
        <w:rPr>
          <w:rFonts w:hint="eastAsia" w:ascii="宋体" w:hAnsi="宋体" w:eastAsia="宋体" w:cs="宋体"/>
          <w:color w:val="auto"/>
          <w:highlight w:val="none"/>
        </w:rPr>
      </w:pPr>
      <w:bookmarkStart w:id="49" w:name="_Toc17705"/>
      <w:bookmarkStart w:id="50" w:name="_Toc514054471"/>
      <w:bookmarkStart w:id="51" w:name="_Toc10216"/>
      <w:bookmarkStart w:id="52" w:name="_Toc17216"/>
      <w:r>
        <w:rPr>
          <w:rFonts w:hint="eastAsia" w:ascii="宋体" w:hAnsi="宋体" w:eastAsia="宋体" w:cs="宋体"/>
          <w:color w:val="auto"/>
          <w:highlight w:val="none"/>
        </w:rPr>
        <w:t>投标人须知前附表</w:t>
      </w:r>
      <w:bookmarkEnd w:id="49"/>
      <w:bookmarkEnd w:id="50"/>
      <w:bookmarkEnd w:id="51"/>
      <w:bookmarkEnd w:id="52"/>
    </w:p>
    <w:tbl>
      <w:tblPr>
        <w:tblStyle w:val="33"/>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2422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00E69E9">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519" w:type="dxa"/>
            <w:vAlign w:val="center"/>
          </w:tcPr>
          <w:p w14:paraId="4401B1E3">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内容</w:t>
            </w:r>
          </w:p>
        </w:tc>
        <w:tc>
          <w:tcPr>
            <w:tcW w:w="6297" w:type="dxa"/>
            <w:vAlign w:val="center"/>
          </w:tcPr>
          <w:p w14:paraId="10122BA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说明及要求</w:t>
            </w:r>
          </w:p>
        </w:tc>
      </w:tr>
      <w:tr w14:paraId="73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CAE5D0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vAlign w:val="center"/>
          </w:tcPr>
          <w:p w14:paraId="2833DD3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97" w:type="dxa"/>
            <w:vAlign w:val="center"/>
          </w:tcPr>
          <w:p w14:paraId="68BB4520">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0AE4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869F49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19" w:type="dxa"/>
            <w:vAlign w:val="center"/>
          </w:tcPr>
          <w:p w14:paraId="63D9C98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97" w:type="dxa"/>
            <w:vAlign w:val="center"/>
          </w:tcPr>
          <w:p w14:paraId="35153D79">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5043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DC6336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19" w:type="dxa"/>
            <w:vAlign w:val="center"/>
          </w:tcPr>
          <w:p w14:paraId="67AE1D5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97" w:type="dxa"/>
            <w:vAlign w:val="center"/>
          </w:tcPr>
          <w:p w14:paraId="1DA7FA8E">
            <w:pPr>
              <w:widowControl/>
              <w:rPr>
                <w:rFonts w:hint="eastAsia" w:ascii="宋体" w:hAnsi="宋体" w:cs="宋体"/>
                <w:color w:val="auto"/>
                <w:sz w:val="24"/>
                <w:szCs w:val="24"/>
                <w:highlight w:val="none"/>
              </w:rPr>
            </w:pPr>
            <w:bookmarkStart w:id="53" w:name="EBd40b5fb42f2944a3b45e579ce3941f02"/>
            <w:r>
              <w:rPr>
                <w:rFonts w:hint="eastAsia" w:ascii="宋体" w:hAnsi="宋体" w:cs="宋体"/>
                <w:color w:val="auto"/>
                <w:sz w:val="24"/>
                <w:szCs w:val="24"/>
                <w:highlight w:val="none"/>
              </w:rPr>
              <w:t>90</w:t>
            </w:r>
            <w:bookmarkEnd w:id="53"/>
            <w:r>
              <w:rPr>
                <w:rFonts w:hint="eastAsia" w:ascii="宋体" w:hAnsi="宋体" w:cs="宋体"/>
                <w:color w:val="auto"/>
                <w:sz w:val="24"/>
                <w:szCs w:val="24"/>
                <w:highlight w:val="none"/>
              </w:rPr>
              <w:t>日（从提交投标文件截止之日起算）</w:t>
            </w:r>
          </w:p>
        </w:tc>
      </w:tr>
      <w:tr w14:paraId="1025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81B229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19" w:type="dxa"/>
            <w:vAlign w:val="center"/>
          </w:tcPr>
          <w:p w14:paraId="240A35A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97" w:type="dxa"/>
            <w:vAlign w:val="center"/>
          </w:tcPr>
          <w:p w14:paraId="36B7F4E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4A3AD0C1">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4D67549A">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210F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A84BB6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19" w:type="dxa"/>
            <w:vAlign w:val="center"/>
          </w:tcPr>
          <w:p w14:paraId="2116E5B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97" w:type="dxa"/>
            <w:vAlign w:val="center"/>
          </w:tcPr>
          <w:p w14:paraId="0677824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领取地址：南京市中华路50号弘业大厦10楼</w:t>
            </w:r>
          </w:p>
          <w:p w14:paraId="31CD039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3BDE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DD65DC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19" w:type="dxa"/>
            <w:vAlign w:val="center"/>
          </w:tcPr>
          <w:p w14:paraId="03D98A8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97" w:type="dxa"/>
            <w:vAlign w:val="center"/>
          </w:tcPr>
          <w:p w14:paraId="4BA3CC4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本项目中标服务费参照发改价格[2011]534号</w:t>
            </w:r>
            <w:r>
              <w:rPr>
                <w:rFonts w:hint="eastAsia" w:ascii="宋体" w:hAnsi="宋体" w:cs="宋体"/>
                <w:color w:val="auto"/>
                <w:sz w:val="24"/>
                <w:highlight w:val="none"/>
              </w:rPr>
              <w:t>文收取</w:t>
            </w:r>
            <w:r>
              <w:rPr>
                <w:rFonts w:hint="eastAsia" w:ascii="宋体" w:hAnsi="宋体" w:cs="宋体"/>
                <w:color w:val="auto"/>
                <w:sz w:val="24"/>
                <w:szCs w:val="24"/>
                <w:highlight w:val="none"/>
              </w:rPr>
              <w:t>，中标人应在领取中标通知书前缴纳。</w:t>
            </w:r>
          </w:p>
          <w:p w14:paraId="65DFE5CD">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账户信息：</w:t>
            </w:r>
          </w:p>
          <w:p w14:paraId="597FE3E7">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户    名：江苏弘业国际技术工程有限公司</w:t>
            </w:r>
          </w:p>
          <w:p w14:paraId="1A570D7B">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p>
          <w:p w14:paraId="18ACE521">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    号：527460884999</w:t>
            </w:r>
          </w:p>
        </w:tc>
      </w:tr>
      <w:tr w14:paraId="2256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6E85E88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519" w:type="dxa"/>
            <w:vAlign w:val="center"/>
          </w:tcPr>
          <w:p w14:paraId="2236365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97" w:type="dxa"/>
            <w:vAlign w:val="center"/>
          </w:tcPr>
          <w:p w14:paraId="14D09E53">
            <w:pPr>
              <w:rPr>
                <w:rFonts w:hint="eastAsia" w:ascii="宋体" w:hAnsi="宋体" w:cs="宋体"/>
                <w:color w:val="auto"/>
                <w:highlight w:val="none"/>
              </w:rPr>
            </w:pPr>
            <w:r>
              <w:rPr>
                <w:rFonts w:hint="eastAsia" w:ascii="宋体" w:hAnsi="宋体" w:cs="宋体"/>
                <w:color w:val="auto"/>
                <w:sz w:val="24"/>
                <w:szCs w:val="24"/>
                <w:highlight w:val="none"/>
              </w:rPr>
              <w:t>本项目不适用。</w:t>
            </w:r>
          </w:p>
        </w:tc>
      </w:tr>
      <w:tr w14:paraId="30C5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6F20FDAE">
            <w:pPr>
              <w:jc w:val="center"/>
              <w:rPr>
                <w:rFonts w:hint="eastAsia" w:ascii="宋体" w:hAnsi="宋体" w:cs="宋体"/>
                <w:color w:val="auto"/>
                <w:sz w:val="24"/>
                <w:szCs w:val="24"/>
                <w:highlight w:val="none"/>
              </w:rPr>
            </w:pPr>
            <w:bookmarkStart w:id="54" w:name="_Toc25522"/>
            <w:bookmarkStart w:id="55" w:name="_Toc514054472"/>
            <w:r>
              <w:rPr>
                <w:rFonts w:hint="eastAsia" w:ascii="宋体" w:hAnsi="宋体" w:cs="宋体"/>
                <w:color w:val="auto"/>
                <w:sz w:val="24"/>
                <w:szCs w:val="24"/>
                <w:highlight w:val="none"/>
              </w:rPr>
              <w:t>8</w:t>
            </w:r>
          </w:p>
        </w:tc>
        <w:tc>
          <w:tcPr>
            <w:tcW w:w="2519" w:type="dxa"/>
            <w:vAlign w:val="center"/>
          </w:tcPr>
          <w:p w14:paraId="5FB0F5B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297" w:type="dxa"/>
            <w:vAlign w:val="center"/>
          </w:tcPr>
          <w:p w14:paraId="22D06BD7">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工业</w:t>
            </w:r>
            <w:r>
              <w:rPr>
                <w:rFonts w:hint="eastAsia" w:ascii="宋体" w:hAnsi="宋体" w:cs="宋体"/>
                <w:color w:val="auto"/>
                <w:sz w:val="24"/>
                <w:szCs w:val="24"/>
                <w:highlight w:val="none"/>
              </w:rPr>
              <w:t>。</w:t>
            </w:r>
          </w:p>
        </w:tc>
      </w:tr>
    </w:tbl>
    <w:p w14:paraId="3437EB68">
      <w:pPr>
        <w:pStyle w:val="606"/>
        <w:outlineLvl w:val="1"/>
        <w:rPr>
          <w:rFonts w:hint="eastAsia" w:ascii="宋体" w:hAnsi="宋体" w:eastAsia="宋体" w:cs="宋体"/>
          <w:color w:val="auto"/>
          <w:highlight w:val="none"/>
        </w:rPr>
      </w:pPr>
      <w:bookmarkStart w:id="56" w:name="_Toc20458"/>
      <w:bookmarkStart w:id="57" w:name="_Toc22298"/>
      <w:r>
        <w:rPr>
          <w:rFonts w:hint="eastAsia" w:ascii="宋体" w:hAnsi="宋体" w:eastAsia="宋体" w:cs="宋体"/>
          <w:color w:val="auto"/>
          <w:highlight w:val="none"/>
        </w:rPr>
        <w:t>一、总 则</w:t>
      </w:r>
      <w:bookmarkEnd w:id="54"/>
      <w:bookmarkEnd w:id="55"/>
      <w:bookmarkEnd w:id="56"/>
      <w:bookmarkEnd w:id="57"/>
    </w:p>
    <w:p w14:paraId="604EC7CD">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4953E734">
      <w:pPr>
        <w:pStyle w:val="231"/>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32D986A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5E0FFA41">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260068E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78C639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67A117B7">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2A17B99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6B37EE8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5BC7C4D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19D6F3F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665A74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37239D7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6、相同品牌产品投标（服务类不适用）</w:t>
      </w:r>
    </w:p>
    <w:p w14:paraId="6C5DEB7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6A2069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787F827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4EBD33C6">
      <w:pPr>
        <w:pStyle w:val="606"/>
        <w:outlineLvl w:val="1"/>
        <w:rPr>
          <w:rFonts w:hint="eastAsia" w:ascii="宋体" w:hAnsi="宋体" w:eastAsia="宋体" w:cs="宋体"/>
          <w:color w:val="auto"/>
          <w:highlight w:val="none"/>
        </w:rPr>
      </w:pPr>
      <w:bookmarkStart w:id="58" w:name="_Toc30610"/>
      <w:bookmarkStart w:id="59" w:name="_Toc21335"/>
      <w:bookmarkStart w:id="60" w:name="_Toc17916"/>
      <w:bookmarkStart w:id="61" w:name="_Toc514054473"/>
      <w:r>
        <w:rPr>
          <w:rFonts w:hint="eastAsia" w:ascii="宋体" w:hAnsi="宋体" w:eastAsia="宋体" w:cs="宋体"/>
          <w:color w:val="auto"/>
          <w:highlight w:val="none"/>
        </w:rPr>
        <w:t>二、招标文件</w:t>
      </w:r>
      <w:bookmarkEnd w:id="58"/>
      <w:bookmarkEnd w:id="59"/>
      <w:bookmarkEnd w:id="60"/>
      <w:bookmarkEnd w:id="61"/>
    </w:p>
    <w:p w14:paraId="4B78084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56E23A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3FFE331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15FB974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6FE7846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1FCEC50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5A684E5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6E933CE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2194FC3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6B9D3CD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0A3338E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6A19DB7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p>
    <w:p w14:paraId="7D063CB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735572A1">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62" w:name="EB453bde7f4ddc418fae2aad9fbcd82554"/>
      <w:r>
        <w:rPr>
          <w:rFonts w:hint="eastAsia" w:ascii="宋体" w:hAnsi="宋体" w:cs="宋体"/>
          <w:color w:val="auto"/>
          <w:sz w:val="20"/>
          <w:highlight w:val="none"/>
        </w:rPr>
        <w:t xml:space="preserve"> </w:t>
      </w:r>
      <w:bookmarkEnd w:id="62"/>
      <w:bookmarkStart w:id="63" w:name="EBec71fc1696a240c4b620fe1e00b2ce58"/>
      <w:r>
        <w:rPr>
          <w:rFonts w:hint="eastAsia" w:ascii="宋体" w:hAnsi="宋体" w:cs="宋体"/>
          <w:color w:val="auto"/>
          <w:sz w:val="20"/>
          <w:highlight w:val="none"/>
        </w:rPr>
        <w:t xml:space="preserve"> </w:t>
      </w:r>
      <w:bookmarkEnd w:id="63"/>
    </w:p>
    <w:p w14:paraId="301B8572">
      <w:pPr>
        <w:pStyle w:val="606"/>
        <w:outlineLvl w:val="1"/>
        <w:rPr>
          <w:rFonts w:hint="eastAsia" w:ascii="宋体" w:hAnsi="宋体" w:eastAsia="宋体" w:cs="宋体"/>
          <w:color w:val="auto"/>
          <w:highlight w:val="none"/>
        </w:rPr>
      </w:pPr>
      <w:bookmarkStart w:id="64" w:name="_Toc20227"/>
      <w:bookmarkStart w:id="65" w:name="_Toc514054474"/>
      <w:bookmarkStart w:id="66" w:name="_Toc26908"/>
      <w:bookmarkStart w:id="67" w:name="_Toc26871"/>
      <w:r>
        <w:rPr>
          <w:rFonts w:hint="eastAsia" w:ascii="宋体" w:hAnsi="宋体" w:eastAsia="宋体" w:cs="宋体"/>
          <w:color w:val="auto"/>
          <w:highlight w:val="none"/>
        </w:rPr>
        <w:t>三、投标文件的编制</w:t>
      </w:r>
      <w:bookmarkEnd w:id="64"/>
      <w:bookmarkEnd w:id="65"/>
      <w:bookmarkEnd w:id="66"/>
      <w:bookmarkEnd w:id="67"/>
    </w:p>
    <w:p w14:paraId="2ADB431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38AA0A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E5CB4C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758F2C9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10ADE2F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11.1资格证明文件；</w:t>
      </w:r>
    </w:p>
    <w:p w14:paraId="79E7DB7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11.1.1具有独立承担民事责任的能力（</w:t>
      </w:r>
      <w:r>
        <w:rPr>
          <w:rFonts w:hint="eastAsia" w:ascii="宋体" w:hAnsi="宋体" w:cs="宋体"/>
          <w:color w:val="auto"/>
          <w:sz w:val="24"/>
          <w:szCs w:val="24"/>
          <w:highlight w:val="none"/>
        </w:rPr>
        <w:t>提供法人或者其他组织的营业执照等证明文件；供应商为自然人的，提供其身份证</w:t>
      </w:r>
      <w:r>
        <w:rPr>
          <w:rFonts w:hint="eastAsia" w:ascii="宋体" w:hAnsi="宋体" w:cs="宋体"/>
          <w:color w:val="auto"/>
          <w:sz w:val="24"/>
          <w:highlight w:val="none"/>
        </w:rPr>
        <w:t>）；</w:t>
      </w:r>
    </w:p>
    <w:p w14:paraId="4EDA581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11.1.2具有良好的商业信誉和健全的财务会计制度（提供2024年度财务报告，至少包含资产负债表、利润表，或投标截止时间前六个月内银行出具的资信证明；成立不满一年的无须提供）；</w:t>
      </w:r>
    </w:p>
    <w:p w14:paraId="2973374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11.1.3具有履行合同所必需的设备和专业技术能力（供应商根据履行采购项目合同需要，提供履行合同所必需的设备和专业技术能力的声明函或证明材料）；</w:t>
      </w:r>
    </w:p>
    <w:p w14:paraId="441BE04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11.1.4有依法缴纳税收和社会保障资金的良好记录（提供2025年1月至今）中任一月份的依法缴纳税收和社会保险费的相关材料（提供相关主管部门证明或银行代扣证明的复印件，根据国家相关政策免缴或迟缴的需提供相关证明材料）；</w:t>
      </w:r>
    </w:p>
    <w:p w14:paraId="7C78D7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11.1.5参加政府采购活动前三年内，在经营活动中没有重大违法记录（提供承诺书）；</w:t>
      </w:r>
    </w:p>
    <w:p w14:paraId="42EDF25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11.1.6法律、行政法规规定的其他条件。</w:t>
      </w:r>
    </w:p>
    <w:p w14:paraId="3D773A8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11.1.7南京市政府采购供应商信用记录表暨信用承诺书</w:t>
      </w:r>
    </w:p>
    <w:p w14:paraId="220DA3C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11.1.8</w:t>
      </w:r>
      <w:r>
        <w:rPr>
          <w:rFonts w:hint="eastAsia" w:ascii="宋体" w:hAnsi="宋体" w:cs="宋体"/>
          <w:color w:val="auto"/>
          <w:highlight w:val="none"/>
        </w:rPr>
        <w:t xml:space="preserve"> </w:t>
      </w:r>
      <w:r>
        <w:rPr>
          <w:rFonts w:hint="eastAsia" w:ascii="宋体" w:hAnsi="宋体" w:cs="宋体"/>
          <w:color w:val="auto"/>
          <w:sz w:val="24"/>
          <w:highlight w:val="none"/>
        </w:rPr>
        <w:t>拒绝被“信用中国”（www.creditchina.gov.cn）、“中国政府采购网”(www.ccgp.gov.cn）列入失信被执行人、重大税收违法案件当事人、政府采购严重失信行为的供应商参加投标。</w:t>
      </w:r>
    </w:p>
    <w:p w14:paraId="0051463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11.1.9法定代表人参与的，应具有法定代表人身份证明、身份证复印件；由授权人参与的，应具有法定代表人授权委托书（原件）、法定代表人和被授权人身份证复印件及近半年内的任一月</w:t>
      </w:r>
      <w:r>
        <w:rPr>
          <w:rFonts w:hint="eastAsia" w:ascii="宋体" w:hAnsi="宋体" w:cs="宋体"/>
          <w:color w:val="auto"/>
          <w:sz w:val="24"/>
          <w:highlight w:val="none"/>
          <w:lang w:val="en-US" w:eastAsia="zh-CN"/>
        </w:rPr>
        <w:t>供应商为其缴纳的</w:t>
      </w:r>
      <w:r>
        <w:rPr>
          <w:rFonts w:hint="eastAsia" w:ascii="宋体" w:hAnsi="宋体" w:cs="宋体"/>
          <w:color w:val="auto"/>
          <w:sz w:val="24"/>
          <w:highlight w:val="none"/>
        </w:rPr>
        <w:t>社保证明。</w:t>
      </w:r>
    </w:p>
    <w:p w14:paraId="4A016981">
      <w:pPr>
        <w:spacing w:line="500" w:lineRule="exact"/>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11.1.10投标产品</w:t>
      </w:r>
      <w:r>
        <w:rPr>
          <w:rFonts w:ascii="宋体" w:hAnsi="宋体" w:eastAsia="宋体" w:cs="宋体"/>
          <w:color w:val="auto"/>
          <w:sz w:val="24"/>
          <w:szCs w:val="24"/>
          <w:highlight w:val="none"/>
        </w:rPr>
        <w:t>若为进口设备，供应商须提供代理商/经销商证书（代理授权书复印件，原件备查）或制造商专项授权书（原件）；</w:t>
      </w:r>
    </w:p>
    <w:p w14:paraId="2845CCB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11.1.11</w:t>
      </w:r>
      <w:r>
        <w:rPr>
          <w:rFonts w:hint="eastAsia" w:ascii="宋体" w:hAnsi="宋体" w:cs="宋体"/>
          <w:color w:val="auto"/>
          <w:sz w:val="24"/>
          <w:highlight w:val="none"/>
        </w:rPr>
        <w:t>投标产品按国家规定须医疗器械注册证的，投标人须提供投标产品的《医疗器械注册证》（复印件加盖公章）；</w:t>
      </w:r>
    </w:p>
    <w:p w14:paraId="57856C3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11.1.12</w:t>
      </w:r>
      <w:r>
        <w:rPr>
          <w:rFonts w:hint="eastAsia" w:ascii="宋体" w:hAnsi="宋体" w:cs="宋体"/>
          <w:color w:val="auto"/>
          <w:sz w:val="24"/>
          <w:highlight w:val="none"/>
        </w:rPr>
        <w:t>投标人为医疗器械经营企业的，须根据投标产品的类别，提供投标人的《医疗器械经营许可证》或者《二类医疗器械经营备案凭证》（复印件加盖公章）；</w:t>
      </w:r>
    </w:p>
    <w:p w14:paraId="5C5073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11.1.13</w:t>
      </w:r>
      <w:r>
        <w:rPr>
          <w:rFonts w:hint="eastAsia" w:ascii="宋体" w:hAnsi="宋体" w:cs="宋体"/>
          <w:color w:val="auto"/>
          <w:sz w:val="24"/>
          <w:highlight w:val="none"/>
        </w:rPr>
        <w:t>医疗器械生产企业投标本企业产品的，须提供《医疗器械生产许可证》（复印件加盖公章）；</w:t>
      </w:r>
    </w:p>
    <w:p w14:paraId="7DA79ED7">
      <w:pPr>
        <w:spacing w:line="500" w:lineRule="exact"/>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11.1.14投标产品按国家规定须进行3C强制认证的，供应商须提供3C证书（复印件加盖公章）；</w:t>
      </w:r>
    </w:p>
    <w:p w14:paraId="713ED062">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11CD2B94">
      <w:pPr>
        <w:spacing w:line="500" w:lineRule="exact"/>
        <w:ind w:firstLine="480"/>
        <w:rPr>
          <w:rFonts w:hint="eastAsia" w:ascii="宋体" w:hAnsi="宋体" w:cs="宋体"/>
          <w:color w:val="auto"/>
          <w:sz w:val="24"/>
          <w:highlight w:val="none"/>
        </w:rPr>
      </w:pPr>
      <w:r>
        <w:rPr>
          <w:rFonts w:hint="eastAsia" w:ascii="宋体" w:hAnsi="宋体" w:cs="宋体"/>
          <w:bCs/>
          <w:color w:val="auto"/>
          <w:sz w:val="24"/>
          <w:szCs w:val="24"/>
          <w:highlight w:val="none"/>
        </w:rPr>
        <w:t>11.3</w:t>
      </w:r>
      <w:r>
        <w:rPr>
          <w:rFonts w:hint="eastAsia" w:ascii="宋体" w:hAnsi="宋体" w:cs="宋体"/>
          <w:color w:val="auto"/>
          <w:sz w:val="24"/>
          <w:highlight w:val="none"/>
        </w:rPr>
        <w:t>报价文件</w:t>
      </w:r>
    </w:p>
    <w:p w14:paraId="070D76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11.3.1开标一览表；</w:t>
      </w:r>
    </w:p>
    <w:p w14:paraId="2A87ED0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11.3.2明细报价表。</w:t>
      </w:r>
    </w:p>
    <w:p w14:paraId="3B9C3D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11.4技术文件</w:t>
      </w:r>
    </w:p>
    <w:p w14:paraId="73FA7273">
      <w:pPr>
        <w:spacing w:line="500" w:lineRule="exact"/>
        <w:ind w:firstLine="480"/>
        <w:rPr>
          <w:rFonts w:hint="eastAsia" w:ascii="宋体" w:hAnsi="宋体" w:cs="宋体"/>
          <w:color w:val="auto"/>
          <w:sz w:val="24"/>
          <w:highlight w:val="none"/>
        </w:rPr>
      </w:pPr>
      <w:bookmarkStart w:id="68" w:name="EB7f6b24a996964930b08d6b290b36e3fd"/>
      <w:r>
        <w:rPr>
          <w:rFonts w:hint="eastAsia" w:ascii="宋体" w:hAnsi="宋体" w:cs="宋体"/>
          <w:color w:val="auto"/>
          <w:sz w:val="24"/>
          <w:highlight w:val="none"/>
        </w:rPr>
        <w:t>11.4.1技术响应偏差表</w:t>
      </w:r>
      <w:bookmarkEnd w:id="68"/>
      <w:r>
        <w:rPr>
          <w:rFonts w:hint="eastAsia" w:ascii="宋体" w:hAnsi="宋体" w:cs="宋体"/>
          <w:color w:val="auto"/>
          <w:sz w:val="24"/>
          <w:highlight w:val="none"/>
        </w:rPr>
        <w:t>。</w:t>
      </w:r>
    </w:p>
    <w:p w14:paraId="6A059558">
      <w:pPr>
        <w:spacing w:line="500" w:lineRule="exact"/>
        <w:ind w:firstLine="480"/>
        <w:rPr>
          <w:rFonts w:hint="eastAsia" w:ascii="宋体" w:hAnsi="宋体" w:cs="宋体"/>
          <w:bCs/>
          <w:color w:val="auto"/>
          <w:sz w:val="24"/>
          <w:szCs w:val="24"/>
          <w:highlight w:val="none"/>
        </w:rPr>
      </w:pPr>
      <w:r>
        <w:rPr>
          <w:rFonts w:hint="eastAsia" w:ascii="宋体" w:hAnsi="宋体" w:cs="宋体"/>
          <w:color w:val="auto"/>
          <w:sz w:val="24"/>
          <w:highlight w:val="none"/>
        </w:rPr>
        <w:t>11.4.2</w:t>
      </w:r>
      <w:r>
        <w:rPr>
          <w:rFonts w:hint="eastAsia" w:ascii="宋体" w:hAnsi="宋体" w:cs="宋体"/>
          <w:bCs/>
          <w:color w:val="auto"/>
          <w:sz w:val="24"/>
          <w:szCs w:val="24"/>
          <w:highlight w:val="none"/>
        </w:rPr>
        <w:t>其他技术文件（根据评分点自行提供）</w:t>
      </w:r>
    </w:p>
    <w:p w14:paraId="733F3CA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11.5商务文件</w:t>
      </w:r>
    </w:p>
    <w:p w14:paraId="5C063A17">
      <w:pPr>
        <w:spacing w:line="500" w:lineRule="exact"/>
        <w:ind w:firstLine="480"/>
        <w:rPr>
          <w:rFonts w:hint="eastAsia" w:ascii="宋体" w:hAnsi="宋体" w:cs="宋体"/>
          <w:color w:val="auto"/>
          <w:sz w:val="24"/>
          <w:highlight w:val="none"/>
        </w:rPr>
      </w:pPr>
      <w:bookmarkStart w:id="69" w:name="EBdc2c24f6358343e896cd43bd6621a619"/>
      <w:r>
        <w:rPr>
          <w:rFonts w:hint="eastAsia" w:ascii="宋体" w:hAnsi="宋体" w:cs="宋体"/>
          <w:color w:val="auto"/>
          <w:sz w:val="24"/>
          <w:highlight w:val="none"/>
        </w:rPr>
        <w:t>11.5.1商务响应偏差表；</w:t>
      </w:r>
    </w:p>
    <w:p w14:paraId="75EF6E6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11.5.2投标人承担类似项目业绩一览表</w:t>
      </w:r>
    </w:p>
    <w:p w14:paraId="7D6A59E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11.5.3其他商务文件</w:t>
      </w:r>
      <w:r>
        <w:rPr>
          <w:rFonts w:hint="eastAsia" w:ascii="宋体" w:hAnsi="宋体" w:cs="宋体"/>
          <w:bCs/>
          <w:color w:val="auto"/>
          <w:sz w:val="24"/>
          <w:szCs w:val="24"/>
          <w:highlight w:val="none"/>
        </w:rPr>
        <w:t>（根据评分点自行提供）</w:t>
      </w:r>
      <w:r>
        <w:rPr>
          <w:rFonts w:hint="eastAsia" w:ascii="宋体" w:hAnsi="宋体" w:cs="宋体"/>
          <w:color w:val="auto"/>
          <w:sz w:val="24"/>
          <w:highlight w:val="none"/>
        </w:rPr>
        <w:t>。</w:t>
      </w:r>
      <w:bookmarkEnd w:id="69"/>
    </w:p>
    <w:p w14:paraId="7407C4A9">
      <w:pPr>
        <w:numPr>
          <w:ilvl w:val="0"/>
          <w:numId w:val="6"/>
        </w:num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69108E3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3B2BBEF3">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13.1本项目不接受备选的投标方案或有选择的报价，只允许有一个报价。投标报价内容包括：</w:t>
      </w:r>
      <w:bookmarkStart w:id="70" w:name="EB54dd097a55df4796bd5f9b6bdf2ddc40"/>
      <w:r>
        <w:rPr>
          <w:rFonts w:hint="eastAsia" w:ascii="宋体" w:hAnsi="宋体" w:cs="宋体"/>
          <w:color w:val="auto"/>
          <w:sz w:val="24"/>
          <w:highlight w:val="none"/>
        </w:rPr>
        <w:t>人工费（工资、社保、公积金、制服、福利费、高温费）、管理服务费、税金以及交付使用过程中涉及到的其他一切费用（加班费在服务过程中根据实际产生的另行结算）。</w:t>
      </w:r>
      <w:bookmarkEnd w:id="70"/>
    </w:p>
    <w:p w14:paraId="18493F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4D0C655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6F97EA4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3203B0C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52A1E6C2">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p>
    <w:p w14:paraId="281E953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15.招标代理服务费</w:t>
      </w:r>
    </w:p>
    <w:p w14:paraId="384F38A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15.1招标代理服务费按发改价格【2011】534号文收取，由中标单位支付给采购代理机构。</w:t>
      </w:r>
    </w:p>
    <w:p w14:paraId="523DE23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2B1C5FF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7A9AC74B">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1" w:name="EB12ed6b870f334fa092f7ed1f9a9dbab8"/>
      <w:r>
        <w:rPr>
          <w:rFonts w:hint="eastAsia" w:ascii="宋体" w:hAnsi="宋体" w:cs="宋体"/>
          <w:color w:val="auto"/>
          <w:sz w:val="20"/>
          <w:highlight w:val="none"/>
        </w:rPr>
        <w:t xml:space="preserve"> </w:t>
      </w:r>
      <w:bookmarkEnd w:id="71"/>
      <w:bookmarkStart w:id="72" w:name="EB5d36e8077cc64e309c0c0f0cd8a6f496"/>
      <w:r>
        <w:rPr>
          <w:rFonts w:hint="eastAsia" w:ascii="宋体" w:hAnsi="宋体" w:cs="宋体"/>
          <w:color w:val="auto"/>
          <w:sz w:val="20"/>
          <w:highlight w:val="none"/>
        </w:rPr>
        <w:t xml:space="preserve"> </w:t>
      </w:r>
      <w:bookmarkEnd w:id="72"/>
    </w:p>
    <w:p w14:paraId="1EDC8168">
      <w:pPr>
        <w:pStyle w:val="606"/>
        <w:outlineLvl w:val="1"/>
        <w:rPr>
          <w:rFonts w:hint="eastAsia" w:ascii="宋体" w:hAnsi="宋体" w:eastAsia="宋体" w:cs="宋体"/>
          <w:color w:val="auto"/>
          <w:highlight w:val="none"/>
        </w:rPr>
      </w:pPr>
      <w:bookmarkStart w:id="73" w:name="_Toc514054475"/>
      <w:bookmarkStart w:id="74" w:name="_Toc26211"/>
      <w:bookmarkStart w:id="75" w:name="_Toc5409"/>
      <w:bookmarkStart w:id="76" w:name="_Toc9292"/>
      <w:r>
        <w:rPr>
          <w:rFonts w:hint="eastAsia" w:ascii="宋体" w:hAnsi="宋体" w:eastAsia="宋体" w:cs="宋体"/>
          <w:color w:val="auto"/>
          <w:highlight w:val="none"/>
        </w:rPr>
        <w:t>四、投标文件的提交</w:t>
      </w:r>
      <w:bookmarkEnd w:id="73"/>
      <w:bookmarkEnd w:id="74"/>
      <w:bookmarkEnd w:id="75"/>
      <w:bookmarkEnd w:id="76"/>
    </w:p>
    <w:p w14:paraId="0C5D41AF">
      <w:pPr>
        <w:spacing w:line="500" w:lineRule="exact"/>
        <w:ind w:firstLine="482"/>
        <w:outlineLvl w:val="2"/>
        <w:rPr>
          <w:rFonts w:hint="eastAsia" w:ascii="宋体" w:hAnsi="宋体" w:cs="宋体"/>
          <w:b/>
          <w:color w:val="auto"/>
          <w:sz w:val="24"/>
          <w:highlight w:val="none"/>
        </w:rPr>
      </w:pPr>
      <w:bookmarkStart w:id="77" w:name="_Toc514054476"/>
      <w:bookmarkStart w:id="78" w:name="_Toc11452"/>
      <w:r>
        <w:rPr>
          <w:rFonts w:hint="eastAsia" w:ascii="宋体" w:hAnsi="宋体" w:cs="宋体"/>
          <w:b/>
          <w:color w:val="auto"/>
          <w:sz w:val="24"/>
          <w:highlight w:val="none"/>
        </w:rPr>
        <w:t>17.1、投标文件的提交</w:t>
      </w:r>
    </w:p>
    <w:p w14:paraId="70AD945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17.1.1 电子投标文件的递交</w:t>
      </w:r>
    </w:p>
    <w:p w14:paraId="4E1FB4A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bookmarkStart w:id="79" w:name="_Toc20823298"/>
      <w:bookmarkEnd w:id="79"/>
      <w:bookmarkStart w:id="80" w:name="_Toc16938542"/>
      <w:bookmarkEnd w:id="80"/>
    </w:p>
    <w:p w14:paraId="3163352E">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17.2、投标截止时间</w:t>
      </w:r>
    </w:p>
    <w:p w14:paraId="45FBE18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17.2.1投标人上传电子投标文件的时间不得迟于招标公告中规定的投标截止时间。</w:t>
      </w:r>
    </w:p>
    <w:p w14:paraId="6B06E9C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投标人应充分考虑到网络环境、网络带宽等风险因素，如因投标人自身原因造成的电子投标文件上传不成功的按照本招标文件第二部分第18.1.2条 规定做无效投标处理。</w:t>
      </w:r>
    </w:p>
    <w:p w14:paraId="03426D6E">
      <w:pP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266CC00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17.3、投标文件被拒绝接收的情形</w:t>
      </w:r>
    </w:p>
    <w:p w14:paraId="351050D9">
      <w:pPr>
        <w:spacing w:line="520" w:lineRule="exact"/>
        <w:ind w:firstLine="480"/>
        <w:rPr>
          <w:rFonts w:hint="eastAsia" w:ascii="宋体" w:hAnsi="宋体" w:cs="宋体"/>
          <w:color w:val="auto"/>
          <w:sz w:val="20"/>
          <w:highlight w:val="none"/>
        </w:rPr>
      </w:pPr>
      <w:r>
        <w:rPr>
          <w:rFonts w:hint="eastAsia" w:ascii="宋体" w:hAnsi="宋体" w:cs="宋体"/>
          <w:color w:val="auto"/>
          <w:sz w:val="24"/>
          <w:highlight w:val="none"/>
        </w:rPr>
        <w:t>17.3.1</w:t>
      </w:r>
      <w:bookmarkStart w:id="81" w:name="EB200c38d7a1c345f29b604b38d510a951"/>
      <w:r>
        <w:rPr>
          <w:rFonts w:hint="eastAsia" w:ascii="宋体" w:hAnsi="宋体" w:cs="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81"/>
    </w:p>
    <w:p w14:paraId="4DFA600F">
      <w:pPr>
        <w:spacing w:line="520" w:lineRule="exact"/>
        <w:ind w:firstLine="480"/>
        <w:outlineLvl w:val="2"/>
        <w:rPr>
          <w:rFonts w:hint="eastAsia" w:ascii="宋体" w:hAnsi="宋体" w:cs="宋体"/>
          <w:b/>
          <w:bCs/>
          <w:color w:val="auto"/>
          <w:sz w:val="24"/>
          <w:highlight w:val="none"/>
        </w:rPr>
      </w:pPr>
      <w:bookmarkStart w:id="82" w:name="_Toc513029228"/>
      <w:bookmarkStart w:id="83" w:name="_Toc16938544"/>
      <w:bookmarkStart w:id="84" w:name="_Toc20823300"/>
      <w:r>
        <w:rPr>
          <w:rFonts w:hint="eastAsia" w:ascii="宋体" w:hAnsi="宋体" w:cs="宋体"/>
          <w:b/>
          <w:bCs/>
          <w:color w:val="auto"/>
          <w:sz w:val="24"/>
          <w:highlight w:val="none"/>
        </w:rPr>
        <w:t>17.4、投标文件的撤回和修改</w:t>
      </w:r>
      <w:bookmarkEnd w:id="82"/>
      <w:bookmarkEnd w:id="83"/>
      <w:bookmarkEnd w:id="84"/>
    </w:p>
    <w:p w14:paraId="1944076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17.4.1投标文件的撤回</w:t>
      </w:r>
    </w:p>
    <w:p w14:paraId="61DBC53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17.4.1.1电子投标文件的撤回</w:t>
      </w:r>
    </w:p>
    <w:p w14:paraId="472AAD6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4B4BD02A">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17.4.1.2投标人撤回电子投标文件，则认为其不再参与本项目投标活动。</w:t>
      </w:r>
    </w:p>
    <w:p w14:paraId="367DC37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 投标文件的修改</w:t>
      </w:r>
    </w:p>
    <w:p w14:paraId="11C138E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17.4.2.1投标人可在投标截止时间前，对其电子投标文件进行修改，具体操作方法见《操作手册》。</w:t>
      </w:r>
    </w:p>
    <w:p w14:paraId="3CB19D8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17.4.2.2在投标截止时间之后，投标人不得对其电子投标文件作任何修改。</w:t>
      </w:r>
    </w:p>
    <w:p w14:paraId="04F47406">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17.4.3在投标截止时间至招标文件中规定的投标有效期满之间的这段时间内，投标人不得撤回其投标。</w:t>
      </w:r>
    </w:p>
    <w:p w14:paraId="3113BDF5">
      <w:pPr>
        <w:pStyle w:val="606"/>
        <w:outlineLvl w:val="1"/>
        <w:rPr>
          <w:rFonts w:hint="eastAsia" w:ascii="宋体" w:hAnsi="宋体" w:eastAsia="宋体" w:cs="宋体"/>
          <w:color w:val="auto"/>
          <w:highlight w:val="none"/>
        </w:rPr>
      </w:pPr>
      <w:bookmarkStart w:id="85" w:name="_Toc27625"/>
      <w:bookmarkStart w:id="86" w:name="_Toc30306"/>
      <w:r>
        <w:rPr>
          <w:rFonts w:hint="eastAsia" w:ascii="宋体" w:hAnsi="宋体" w:eastAsia="宋体" w:cs="宋体"/>
          <w:color w:val="auto"/>
          <w:highlight w:val="none"/>
        </w:rPr>
        <w:t>五、无效标、投标被拒绝、串通投标认定条款</w:t>
      </w:r>
      <w:bookmarkEnd w:id="77"/>
      <w:bookmarkEnd w:id="78"/>
      <w:bookmarkEnd w:id="85"/>
      <w:bookmarkEnd w:id="86"/>
    </w:p>
    <w:p w14:paraId="5D6B272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87" w:name="EB94942e5430df4fb8a077f3cf7667f212"/>
    </w:p>
    <w:p w14:paraId="72CB2557">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18.1.1投标人在苏采云系统规定的时间内未成功解密电子投标文件的。</w:t>
      </w:r>
    </w:p>
    <w:p w14:paraId="766470B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18.1.2投标人未按照招标文件要求上传电子投标文件的。</w:t>
      </w:r>
    </w:p>
    <w:p w14:paraId="06441A5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18.1.3同一投标人提交两个（含两个）以上不同的投标报价的。</w:t>
      </w:r>
    </w:p>
    <w:p w14:paraId="7DB2F53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18.1.4投标人不具备招标文件中规定资格要求的（以文字表明的实质性要求和标注“★”的内容均为实质性要求）。</w:t>
      </w:r>
    </w:p>
    <w:p w14:paraId="5576EE2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18.1.5投标人的报价超过了采购预算或最高限价的。</w:t>
      </w:r>
    </w:p>
    <w:p w14:paraId="4E9AB1EB">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18.1.6未通过符合性审查的。</w:t>
      </w:r>
    </w:p>
    <w:p w14:paraId="1FA87238">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18.1.7不符合招标文件中规定的实质性要求和条件的。</w:t>
      </w:r>
    </w:p>
    <w:p w14:paraId="1C328CC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A4ED41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18.1.9投标文件含有采购人不能接受的附加条件的。</w:t>
      </w:r>
    </w:p>
    <w:p w14:paraId="1D2AE8C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231924F">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2C69D0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18.1.12投标文件未按照招标文件要求加盖公章的。</w:t>
      </w:r>
    </w:p>
    <w:p w14:paraId="688284C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18.1.13投标文件含有采购人不能接受的附加条件的；</w:t>
      </w:r>
    </w:p>
    <w:p w14:paraId="722BEC4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18.1.14投标人有本招标文件规定的恶意串通投标情形的；</w:t>
      </w:r>
    </w:p>
    <w:p w14:paraId="1A15406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18.1.15其它评标委员会认为有必要取消的投标；</w:t>
      </w:r>
    </w:p>
    <w:p w14:paraId="3C54A8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18.1.16其他法律、法规及本招标文件规定的属无效投标的情形。</w:t>
      </w:r>
      <w:bookmarkEnd w:id="87"/>
    </w:p>
    <w:p w14:paraId="16C2C55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491A76A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17468D6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08AC879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5DDB2C8F">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19.4评标委员会认定招标文件存在歧义、重大缺陷导致评审工作无法进行。</w:t>
      </w:r>
    </w:p>
    <w:p w14:paraId="3C494F5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19.5因苏采云系统故障原因造成开标不成功的。</w:t>
      </w:r>
    </w:p>
    <w:p w14:paraId="63751A2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19.6投标截止时间结束后参加投标的供应商不足三家的处理：</w:t>
      </w:r>
    </w:p>
    <w:p w14:paraId="1E789BA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19.7如出现投标截止时间结束后参加投标的供应商或者在评标期间对招标文件做出实质响应的供应商不足三家情况，按政府采购相关规定执行。</w:t>
      </w:r>
    </w:p>
    <w:p w14:paraId="13F79DC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1D6C7B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65C84E9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507C5EC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4E4C192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586D13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6B8B5F8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5CDC61A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0D9A687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77A70E5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5EDE5A1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1333755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3829083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192CBA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63F364F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0B75983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395D8E8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5531F0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77EC793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45F4146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3FC01F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4874B2F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40031EE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52C63879">
      <w:pPr>
        <w:pStyle w:val="606"/>
        <w:outlineLvl w:val="1"/>
        <w:rPr>
          <w:rFonts w:hint="eastAsia" w:ascii="宋体" w:hAnsi="宋体" w:eastAsia="宋体" w:cs="宋体"/>
          <w:color w:val="auto"/>
          <w:highlight w:val="none"/>
        </w:rPr>
      </w:pPr>
      <w:bookmarkStart w:id="88" w:name="_Toc13553"/>
      <w:bookmarkStart w:id="89" w:name="_Toc29013"/>
      <w:bookmarkStart w:id="90" w:name="_Toc514054477"/>
      <w:bookmarkStart w:id="91" w:name="_Toc11517"/>
      <w:r>
        <w:rPr>
          <w:rFonts w:hint="eastAsia" w:ascii="宋体" w:hAnsi="宋体" w:eastAsia="宋体" w:cs="宋体"/>
          <w:color w:val="auto"/>
          <w:highlight w:val="none"/>
        </w:rPr>
        <w:t>六、开标、资格审查、评标程序</w:t>
      </w:r>
      <w:bookmarkEnd w:id="88"/>
      <w:bookmarkEnd w:id="89"/>
      <w:bookmarkEnd w:id="90"/>
      <w:bookmarkEnd w:id="91"/>
    </w:p>
    <w:p w14:paraId="197153A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2BA2CB0B">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23.1采购代理机构将在招标公告中规定的时间和地点组织公开开标。投标人应当按照《操作手册》规定，参加开标活动和在苏采云系统规定的时间内对投标文件进行解密。</w:t>
      </w:r>
    </w:p>
    <w:p w14:paraId="1F54204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23.2开标仪式由采购代理机构组织。苏采云系统将自动对项目进行开标，并宣布各投标人名称和投标价格。</w:t>
      </w:r>
    </w:p>
    <w:p w14:paraId="79669E2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23.3投标人在开标过程中涉及到的投标文件解密、开标结果确认等工作，应按照《操作手册》规定执行。</w:t>
      </w:r>
    </w:p>
    <w:p w14:paraId="70CF1D8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23.4投标人如果对开标过程和开标记录有疑义，应当根据《操作手册》规定提出，如苏采云系统中《开标记录表》宣布后规定时间内未提出的，视同认可开标结果。</w:t>
      </w:r>
    </w:p>
    <w:p w14:paraId="54ABD32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24、资格审查</w:t>
      </w:r>
    </w:p>
    <w:p w14:paraId="5ECF56CD">
      <w:pPr>
        <w:spacing w:line="500" w:lineRule="exact"/>
        <w:ind w:firstLine="480"/>
        <w:rPr>
          <w:rFonts w:hint="eastAsia" w:ascii="宋体" w:hAnsi="宋体" w:cs="宋体"/>
          <w:color w:val="auto"/>
          <w:sz w:val="24"/>
          <w:highlight w:val="none"/>
        </w:rPr>
      </w:pPr>
      <w:bookmarkStart w:id="92"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92"/>
    </w:p>
    <w:p w14:paraId="5341F10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25、评标委员会</w:t>
      </w:r>
    </w:p>
    <w:p w14:paraId="23C9863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052EEDE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26、评标原则</w:t>
      </w:r>
    </w:p>
    <w:p w14:paraId="7469B5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166F344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27、评标过程的保密与公正</w:t>
      </w:r>
    </w:p>
    <w:p w14:paraId="4334C5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27.1凡是与审查、澄清、评价和比较投标的有关资料以及授标建议等，采购人、评委、采购代理机构均不得向投标人或与评标无关的其他人员透露。</w:t>
      </w:r>
    </w:p>
    <w:p w14:paraId="5A7D638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27.2在评标过程中，投标人不得以任何行为影响评标过程，否则其投标文件将被作为无效投标文件。</w:t>
      </w:r>
    </w:p>
    <w:p w14:paraId="1761235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27.3采购代理机构和评标委员会不向未中标的投标人解释未中标原因，也不公布评标过程中的相关细节。</w:t>
      </w:r>
    </w:p>
    <w:p w14:paraId="04968C64">
      <w:pP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27.4采用综合评分法的项目，未中标的投标人可于中标结果公告期限届满之日起通过苏采云系统查看自己的评审得分及排序情况。</w:t>
      </w:r>
    </w:p>
    <w:p w14:paraId="1E94977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45849B5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3"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93"/>
      <w:r>
        <w:rPr>
          <w:rFonts w:hint="eastAsia" w:ascii="宋体" w:hAnsi="宋体" w:cs="宋体"/>
          <w:color w:val="auto"/>
          <w:sz w:val="24"/>
          <w:highlight w:val="none"/>
        </w:rPr>
        <w:t>重大偏离的认定须经评标委员会三分之二以上同意。</w:t>
      </w:r>
    </w:p>
    <w:p w14:paraId="0B47EE9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6197C6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169D917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35E1701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2497277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5D1974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28.2.3接到评委会澄清、说明和补正要求的投标人如未按规定做出澄清、说明和补正，其风险由投标人自行承担。</w:t>
      </w:r>
    </w:p>
    <w:p w14:paraId="64A68970">
      <w:pPr>
        <w:spacing w:line="500" w:lineRule="exact"/>
        <w:ind w:firstLine="600"/>
        <w:rPr>
          <w:rFonts w:hint="eastAsia" w:ascii="宋体" w:hAnsi="宋体" w:cs="宋体"/>
          <w:color w:val="auto"/>
          <w:sz w:val="24"/>
          <w:highlight w:val="none"/>
        </w:rPr>
      </w:pPr>
      <w:r>
        <w:rPr>
          <w:rFonts w:hint="eastAsia" w:ascii="宋体" w:hAnsi="宋体" w:cs="宋体"/>
          <w:color w:val="auto"/>
          <w:sz w:val="24"/>
          <w:highlight w:val="none"/>
        </w:rPr>
        <w:t>28.2.4投标文件报价出现前后不一致的，除招标文件另有规定外，按照下列规定修正：</w:t>
      </w:r>
    </w:p>
    <w:p w14:paraId="63F382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0FDF69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08D6FF9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3B19320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50A12A6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51E3C4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F24BE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4F55D3E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94" w:name="EB66024636071342209da8bda483232040"/>
      <w:r>
        <w:rPr>
          <w:rFonts w:hint="eastAsia" w:ascii="宋体" w:hAnsi="宋体" w:cs="宋体"/>
          <w:color w:val="auto"/>
          <w:sz w:val="24"/>
          <w:highlight w:val="none"/>
        </w:rPr>
        <w:t xml:space="preserve"> </w:t>
      </w:r>
      <w:bookmarkEnd w:id="94"/>
    </w:p>
    <w:p w14:paraId="2AAE09C0">
      <w:pPr>
        <w:numPr>
          <w:ilvl w:val="0"/>
          <w:numId w:val="7"/>
        </w:numPr>
        <w:spacing w:line="500" w:lineRule="exact"/>
        <w:ind w:firstLine="482"/>
        <w:rPr>
          <w:rFonts w:hint="eastAsia" w:ascii="宋体" w:hAnsi="宋体" w:cs="宋体"/>
          <w:b/>
          <w:bCs/>
          <w:color w:val="auto"/>
          <w:sz w:val="24"/>
          <w:highlight w:val="none"/>
        </w:rPr>
      </w:pPr>
      <w:bookmarkStart w:id="95" w:name="EBf6bd108017b14bde8ec3ea4804c87c27"/>
      <w:r>
        <w:rPr>
          <w:rFonts w:hint="eastAsia" w:ascii="宋体" w:hAnsi="宋体" w:cs="宋体"/>
          <w:b/>
          <w:bCs/>
          <w:color w:val="auto"/>
          <w:sz w:val="24"/>
          <w:highlight w:val="none"/>
        </w:rPr>
        <w:t>政府采购政策功能落实</w:t>
      </w:r>
    </w:p>
    <w:p w14:paraId="71B8C843">
      <w:pPr>
        <w:spacing w:line="500" w:lineRule="exact"/>
        <w:ind w:firstLine="480"/>
        <w:rPr>
          <w:rFonts w:hint="eastAsia" w:ascii="宋体" w:hAnsi="宋体" w:cs="宋体"/>
          <w:color w:val="auto"/>
          <w:sz w:val="24"/>
          <w:highlight w:val="none"/>
        </w:rPr>
      </w:pPr>
      <w:bookmarkStart w:id="96" w:name="EBd9bc59d5f2ed4fb8a64ee2e373d8cc72"/>
      <w:r>
        <w:rPr>
          <w:rFonts w:hint="eastAsia" w:ascii="宋体" w:hAnsi="宋体" w:cs="宋体"/>
          <w:color w:val="auto"/>
          <w:sz w:val="24"/>
          <w:highlight w:val="none"/>
        </w:rPr>
        <w:t>29.1 政府采购促进中小企业发展，在政府采购活动中，供应商提供的货物、工程或者服务符合下列情形的，享受中小企业扶持政策：</w:t>
      </w:r>
    </w:p>
    <w:p w14:paraId="58E7B76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4C7427C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1F263DE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1921AD7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3C09AE2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5A6B509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中小企业供应商参加政府采购活动，应当出具《中小企业声明函》（格式见后附件），否则不得享受相关中小企业扶持政策。</w:t>
      </w:r>
    </w:p>
    <w:p w14:paraId="620031D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中小企业，是指在中华人民共和国境内依法设立，依据国务院批准的中小企业划分标准（详见《关于印发中小企业划型标准规定的通知》</w:t>
      </w:r>
    </w:p>
    <w:p w14:paraId="3C859FC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D50AEB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B4AF57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15B7105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2AFA07E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29.5 提供的产品属于信息安全产品的，供应商应当选择经国家认证的信息安全产品投标，并提供由中国网络安全审查技术与认证中心按国家标准认证颁发的有效认证证书复印件。</w:t>
      </w:r>
    </w:p>
    <w:p w14:paraId="550F361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29.6 提供的产品属于政府强制采购节能产品的，供应商应当选择依据国家标准中二级能效（水效）指标认证的节能产品投标，并提供有效的节能产品认证证书复印件。</w:t>
      </w:r>
    </w:p>
    <w:p w14:paraId="439BCBA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29.7提供的产品属于环境标志产品的,供应商应当选择依据相关标准的最新版本认证的环境标志产品投标,并提供有效的环境标志产品认证证书复印件。 </w:t>
      </w:r>
      <w:bookmarkEnd w:id="96"/>
    </w:p>
    <w:p w14:paraId="4AE0ACB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29.8进口产品政策</w:t>
      </w:r>
    </w:p>
    <w:p w14:paraId="284DF924">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（1）除招标公告载明接受进口产品参加外，不允许进口产品参加。进口产品认定依照《财政部关于政府采购进口产品管理有关问题的通知》（财办库〔2008〕248号）的规定。</w:t>
      </w:r>
    </w:p>
    <w:p w14:paraId="525B90B3">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（2）允许进口产品参加的，满足需求的国内产品可以参加。</w:t>
      </w:r>
    </w:p>
    <w:p w14:paraId="1DCB0CD4">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（3）允许进口产品参加的，优先采购向我国企业转让技术、与我国企业签订消化吸收再创新方案的供应商的进口产品。</w:t>
      </w:r>
    </w:p>
    <w:p w14:paraId="11B7E6C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29.9落实政府采购《商品包装政府采购需求标准(试行)》、《快递包装政府采购需求标准（试行）》（财办库〔2020〕123号〕、《绿色数据中心政府采购需求标准（试行）》（财库〔2023]7号）等需求标准。</w:t>
      </w:r>
    </w:p>
    <w:p w14:paraId="571D17E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29.9.1 商品包装环保要求：应当按《关于印发〈商品包装政府采购需求标准（试行）〉、〈快递包装政府采购需求标准（试行）〉的通知》（财办库〔2020〕123号）文件执行。</w:t>
      </w:r>
    </w:p>
    <w:p w14:paraId="122A57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（1）商品包装层数不得超过3层，空隙率不大于40%；</w:t>
      </w:r>
    </w:p>
    <w:p w14:paraId="7D5D438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（2）商品包装尽可能使用单一材质的包装材料，如因功能需求必需使用不同材质，不同材质间应便于分离；</w:t>
      </w:r>
    </w:p>
    <w:p w14:paraId="7DF4C19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（3）商品包装中铅、汞、镉、六价铬的总含量应不大于100mg/kg；</w:t>
      </w:r>
    </w:p>
    <w:p w14:paraId="31B3FAE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（4）商品包装印刷使用的油墨中挥发性有机化合物(VOCs)含量应不大于 5%（以重量计）；</w:t>
      </w:r>
    </w:p>
    <w:p w14:paraId="60AD2E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（5）塑料材质商品包装上呈现的印刷颜色不得超过 6 色；</w:t>
      </w:r>
    </w:p>
    <w:p w14:paraId="6ED198B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（6）纸质商品包装应使用 75%以上的可再生纤维原料生产；</w:t>
      </w:r>
    </w:p>
    <w:p w14:paraId="79DD78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（7）木质商品包装的原料应来源于可持续性森林。</w:t>
      </w:r>
    </w:p>
    <w:p w14:paraId="4061F1D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29.9.2 快递包装环保要求：</w:t>
      </w:r>
    </w:p>
    <w:p w14:paraId="0887DC3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（1）快递包装中重金属（铅、汞、镉、六价铬）总量应不大于 100mg/kg；</w:t>
      </w:r>
    </w:p>
    <w:p w14:paraId="5F18D1C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（2）快递包装印刷使用的油墨中不应添加邻苯二甲酸酯，其挥发性有机化合物(VOCs)含量应不大于5%（以重量计）；</w:t>
      </w:r>
    </w:p>
    <w:p w14:paraId="56355D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（3）快递包装中使用纸基材的包装材料，纸基材中的有机氯的含量应不大于 150 mg/kg；</w:t>
      </w:r>
    </w:p>
    <w:p w14:paraId="584EAC3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5D309C1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（5）快递中使用的塑料包装袋不得使用聚氯乙烯作为原料，且原料应为单一材质制成，生物分解率大于60%；</w:t>
      </w:r>
    </w:p>
    <w:p w14:paraId="2CE19C8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（6）快递中使用的充气类填充物不得使用聚氯乙烯作为 原料，且原料为单一材质制成，生物分解率大于60%；</w:t>
      </w:r>
    </w:p>
    <w:p w14:paraId="663E2C3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（7）快递中使用的集装袋应为单一材质制成，其重复使用次数应不小于 80 次；</w:t>
      </w:r>
    </w:p>
    <w:p w14:paraId="7A33705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（8）快递中应使用幅宽不大于45mm 的生物降解胶带；</w:t>
      </w:r>
    </w:p>
    <w:p w14:paraId="226A313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（9）快递包装中不得使用溶剂型胶粘剂；</w:t>
      </w:r>
    </w:p>
    <w:p w14:paraId="5EEFFDC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（11）快递应使用电子面单；</w:t>
      </w:r>
    </w:p>
    <w:p w14:paraId="37E878F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（12）直接使用商品包装作为快递包装的商品，其商品包装满足《商品包装政府采购需求标准（试行）》即可；</w:t>
      </w:r>
    </w:p>
    <w:p w14:paraId="6C7661B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（13）快递包装产品质量和封装方式应符合相关国家或行业标准技术指标要求。</w:t>
      </w:r>
    </w:p>
    <w:p w14:paraId="14909C1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29.10 绿色低碳管理目标和服务要求：在物业、合同能源管理等服务类采购项目需求中，要强化绿色低碳管理目标和服务要求，促进绿色产品和服务推广应用。</w:t>
      </w:r>
    </w:p>
    <w:p w14:paraId="0AC06E0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29.11低挥发性有机化合物产品：</w:t>
      </w:r>
      <w:r>
        <w:rPr>
          <w:rFonts w:hint="eastAsia" w:ascii="宋体" w:hAnsi="宋体" w:cs="宋体"/>
          <w:color w:val="auto"/>
          <w:sz w:val="24"/>
          <w:highlight w:val="none"/>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予以评审优惠。</w:t>
      </w:r>
      <w:r>
        <w:rPr>
          <w:rFonts w:hint="eastAsia" w:ascii="宋体" w:hAnsi="宋体" w:cs="宋体"/>
          <w:color w:val="auto"/>
          <w:sz w:val="24"/>
          <w:highlight w:val="none"/>
          <w:lang w:val="zh-CN"/>
        </w:rPr>
        <w:t>在通用类货物、家具、印刷、公务车辆维修等采购项目中，供应商</w:t>
      </w:r>
      <w:r>
        <w:rPr>
          <w:rFonts w:hint="eastAsia" w:ascii="宋体" w:hAnsi="宋体" w:cs="宋体"/>
          <w:color w:val="auto"/>
          <w:sz w:val="24"/>
          <w:highlight w:val="none"/>
        </w:rPr>
        <w:t>应</w:t>
      </w:r>
      <w:r>
        <w:rPr>
          <w:rFonts w:hint="eastAsia" w:ascii="宋体" w:hAnsi="宋体" w:cs="宋体"/>
          <w:color w:val="auto"/>
          <w:sz w:val="24"/>
          <w:highlight w:val="none"/>
          <w:lang w:val="zh-CN"/>
        </w:rPr>
        <w:t>优先使用低挥发性原辅材料</w:t>
      </w:r>
      <w:r>
        <w:rPr>
          <w:rFonts w:hint="eastAsia" w:ascii="宋体" w:hAnsi="宋体" w:cs="宋体"/>
          <w:color w:val="auto"/>
          <w:sz w:val="24"/>
          <w:highlight w:val="none"/>
        </w:rPr>
        <w:t>，将使用低</w:t>
      </w:r>
      <w:r>
        <w:rPr>
          <w:rFonts w:hint="eastAsia" w:ascii="宋体" w:hAnsi="宋体" w:cs="宋体"/>
          <w:color w:val="auto"/>
          <w:sz w:val="24"/>
          <w:highlight w:val="none"/>
          <w:lang w:val="zh-CN"/>
        </w:rPr>
        <w:t>VOCs含量的</w:t>
      </w:r>
      <w:r>
        <w:rPr>
          <w:rFonts w:hint="eastAsia" w:ascii="宋体" w:hAnsi="宋体" w:cs="宋体"/>
          <w:color w:val="auto"/>
          <w:sz w:val="24"/>
          <w:highlight w:val="none"/>
        </w:rPr>
        <w:t>涂料、</w:t>
      </w:r>
      <w:r>
        <w:rPr>
          <w:rFonts w:hint="eastAsia" w:ascii="宋体" w:hAnsi="宋体" w:cs="宋体"/>
          <w:color w:val="auto"/>
          <w:sz w:val="24"/>
          <w:highlight w:val="none"/>
          <w:lang w:val="zh-CN"/>
        </w:rPr>
        <w:t>胶黏剂</w:t>
      </w:r>
      <w:r>
        <w:rPr>
          <w:rFonts w:hint="eastAsia" w:ascii="宋体" w:hAnsi="宋体" w:cs="宋体"/>
          <w:color w:val="auto"/>
          <w:sz w:val="24"/>
          <w:highlight w:val="none"/>
        </w:rPr>
        <w:t>等纳入合同条款。</w:t>
      </w:r>
    </w:p>
    <w:p w14:paraId="1349D65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29.12落实政府采购《绿色建筑和绿色建材政府采购需求标准》（财库〔2022〕35号文）和《政府采购支持绿色建材促进建筑品质提升政策项目实施指南》（财办库〔2023〕52号）文件标准。</w:t>
      </w:r>
    </w:p>
    <w:p w14:paraId="12AF97C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29.13脱贫攻坚支持政策根据《关于运用政府采购政策支持脱贫攻坚的通知》（财库〔2019〕27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755D6EA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29.14未按要求提供相关材料的，不享受相关政策。</w:t>
      </w:r>
    </w:p>
    <w:p w14:paraId="1C6BB918">
      <w:pPr>
        <w:pStyle w:val="606"/>
        <w:outlineLvl w:val="1"/>
        <w:rPr>
          <w:rFonts w:hint="eastAsia" w:ascii="宋体" w:hAnsi="宋体" w:eastAsia="宋体" w:cs="宋体"/>
          <w:color w:val="auto"/>
          <w:highlight w:val="none"/>
        </w:rPr>
      </w:pPr>
      <w:bookmarkStart w:id="97" w:name="_Toc23173"/>
      <w:bookmarkStart w:id="98" w:name="_Toc514054478"/>
      <w:bookmarkStart w:id="99" w:name="_Toc9744"/>
      <w:bookmarkStart w:id="100" w:name="_Toc81493168"/>
      <w:bookmarkStart w:id="101" w:name="_Toc5167"/>
      <w:r>
        <w:rPr>
          <w:rFonts w:hint="eastAsia" w:ascii="宋体" w:hAnsi="宋体" w:eastAsia="宋体" w:cs="宋体"/>
          <w:color w:val="auto"/>
          <w:highlight w:val="none"/>
        </w:rPr>
        <w:t>七、中标及合同签订</w:t>
      </w:r>
      <w:bookmarkEnd w:id="97"/>
      <w:bookmarkEnd w:id="98"/>
      <w:bookmarkEnd w:id="99"/>
      <w:bookmarkEnd w:id="100"/>
      <w:bookmarkEnd w:id="101"/>
    </w:p>
    <w:p w14:paraId="6BA883E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3AD8A82E">
      <w:pPr>
        <w:spacing w:line="500" w:lineRule="exact"/>
        <w:ind w:firstLine="480"/>
        <w:rPr>
          <w:rFonts w:hint="eastAsia" w:ascii="宋体" w:hAnsi="宋体" w:cs="宋体"/>
          <w:color w:val="auto"/>
          <w:sz w:val="24"/>
          <w:highlight w:val="none"/>
        </w:rPr>
      </w:pPr>
      <w:bookmarkStart w:id="102"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4B8CB5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2"/>
    </w:p>
    <w:p w14:paraId="605DD89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0B4C03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7E3251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6B66FA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68A20BA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BA4E5D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70127EC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1097C84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29EA459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1B7CCC3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1DB2EDF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14:paraId="7460C97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401EC4A9">
      <w:pPr>
        <w:ind w:firstLine="480"/>
        <w:rPr>
          <w:rFonts w:hint="eastAsia" w:ascii="宋体" w:hAnsi="宋体" w:cs="宋体"/>
          <w:color w:val="auto"/>
          <w:sz w:val="24"/>
          <w:szCs w:val="24"/>
          <w:highlight w:val="none"/>
        </w:rPr>
      </w:pPr>
      <w:bookmarkStart w:id="103" w:name="EB3094b551b51c42ca93e0255d679fb06f"/>
      <w:r>
        <w:rPr>
          <w:rFonts w:hint="eastAsia" w:ascii="宋体" w:hAnsi="宋体" w:cs="宋体"/>
          <w:color w:val="auto"/>
          <w:sz w:val="24"/>
          <w:szCs w:val="24"/>
          <w:highlight w:val="none"/>
        </w:rPr>
        <w:t xml:space="preserve">见前附表。 </w:t>
      </w:r>
      <w:bookmarkEnd w:id="103"/>
      <w:bookmarkStart w:id="104" w:name="EB0d6067c6e00d44b1ad5603550c455e87"/>
      <w:r>
        <w:rPr>
          <w:rFonts w:hint="eastAsia" w:ascii="宋体" w:hAnsi="宋体" w:cs="宋体"/>
          <w:color w:val="auto"/>
          <w:sz w:val="24"/>
          <w:szCs w:val="24"/>
          <w:highlight w:val="none"/>
        </w:rPr>
        <w:t xml:space="preserve"> </w:t>
      </w:r>
      <w:bookmarkEnd w:id="104"/>
    </w:p>
    <w:p w14:paraId="776B51CC">
      <w:pPr>
        <w:pStyle w:val="606"/>
        <w:outlineLvl w:val="1"/>
        <w:rPr>
          <w:rFonts w:hint="eastAsia" w:ascii="宋体" w:hAnsi="宋体" w:eastAsia="宋体" w:cs="宋体"/>
          <w:color w:val="auto"/>
          <w:highlight w:val="none"/>
        </w:rPr>
      </w:pPr>
      <w:bookmarkStart w:id="105" w:name="_Toc81493169"/>
      <w:bookmarkStart w:id="106" w:name="_Toc25599"/>
      <w:bookmarkStart w:id="107" w:name="_Toc31894"/>
      <w:bookmarkStart w:id="108" w:name="_Toc514054479"/>
      <w:bookmarkStart w:id="109" w:name="_Toc14752"/>
      <w:r>
        <w:rPr>
          <w:rFonts w:hint="eastAsia" w:ascii="宋体" w:hAnsi="宋体" w:eastAsia="宋体" w:cs="宋体"/>
          <w:color w:val="auto"/>
          <w:highlight w:val="none"/>
        </w:rPr>
        <w:t>八、验收及付款</w:t>
      </w:r>
      <w:bookmarkEnd w:id="105"/>
      <w:bookmarkEnd w:id="106"/>
      <w:bookmarkEnd w:id="107"/>
      <w:bookmarkEnd w:id="108"/>
      <w:bookmarkEnd w:id="109"/>
    </w:p>
    <w:p w14:paraId="6B2DE71C">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5B07FB81">
      <w:pPr>
        <w:spacing w:line="500" w:lineRule="exact"/>
        <w:ind w:firstLine="480"/>
        <w:rPr>
          <w:rFonts w:hint="eastAsia" w:ascii="宋体" w:hAnsi="宋体" w:cs="宋体"/>
          <w:color w:val="auto"/>
          <w:sz w:val="24"/>
          <w:highlight w:val="none"/>
        </w:rPr>
      </w:pPr>
      <w:bookmarkStart w:id="110" w:name="EBbbb2492ed6b84c9193a6bb6f72a512f3"/>
      <w:r>
        <w:rPr>
          <w:rFonts w:hint="eastAsia" w:ascii="宋体" w:hAnsi="宋体" w:cs="宋体"/>
          <w:color w:val="auto"/>
          <w:sz w:val="24"/>
          <w:highlight w:val="none"/>
        </w:rPr>
        <w:t>35.1由采购人组织验收，中标人配合。</w:t>
      </w:r>
      <w:bookmarkEnd w:id="110"/>
    </w:p>
    <w:p w14:paraId="5C487813">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6333668A">
      <w:pPr>
        <w:spacing w:line="500" w:lineRule="exact"/>
        <w:ind w:firstLine="480"/>
        <w:rPr>
          <w:rFonts w:hint="eastAsia" w:ascii="宋体" w:hAnsi="宋体" w:cs="宋体"/>
          <w:color w:val="auto"/>
          <w:sz w:val="24"/>
          <w:highlight w:val="none"/>
        </w:rPr>
      </w:pPr>
      <w:bookmarkStart w:id="111" w:name="EBf0da31fab3a04ad0893de83144a87b34"/>
      <w:r>
        <w:rPr>
          <w:rFonts w:hint="eastAsia" w:ascii="宋体" w:hAnsi="宋体" w:cs="宋体"/>
          <w:color w:val="auto"/>
          <w:sz w:val="24"/>
          <w:highlight w:val="none"/>
        </w:rPr>
        <w:t>36.1</w:t>
      </w:r>
      <w:bookmarkEnd w:id="111"/>
      <w:r>
        <w:rPr>
          <w:rFonts w:hint="eastAsia" w:ascii="宋体" w:hAnsi="宋体" w:cs="宋体"/>
          <w:color w:val="auto"/>
          <w:sz w:val="24"/>
          <w:highlight w:val="none"/>
        </w:rPr>
        <w:t xml:space="preserve"> 采购人按招标文件要求办理采购款支付手续。</w:t>
      </w:r>
    </w:p>
    <w:p w14:paraId="45F19CB7">
      <w:pPr>
        <w:pStyle w:val="606"/>
        <w:outlineLvl w:val="1"/>
        <w:rPr>
          <w:rFonts w:hint="eastAsia" w:ascii="宋体" w:hAnsi="宋体" w:eastAsia="宋体" w:cs="宋体"/>
          <w:color w:val="auto"/>
          <w:highlight w:val="none"/>
        </w:rPr>
      </w:pPr>
      <w:bookmarkStart w:id="112" w:name="_Toc514054480"/>
      <w:bookmarkStart w:id="113" w:name="_Toc26939"/>
      <w:bookmarkStart w:id="114" w:name="_Toc10945"/>
      <w:bookmarkStart w:id="115" w:name="_Toc31322"/>
      <w:bookmarkStart w:id="116" w:name="_Toc81493170"/>
      <w:r>
        <w:rPr>
          <w:rFonts w:hint="eastAsia" w:ascii="宋体" w:hAnsi="宋体" w:eastAsia="宋体" w:cs="宋体"/>
          <w:color w:val="auto"/>
          <w:highlight w:val="none"/>
        </w:rPr>
        <w:t>九、质疑与投诉</w:t>
      </w:r>
      <w:bookmarkEnd w:id="112"/>
      <w:bookmarkEnd w:id="113"/>
      <w:bookmarkEnd w:id="114"/>
      <w:bookmarkEnd w:id="115"/>
      <w:bookmarkEnd w:id="116"/>
    </w:p>
    <w:p w14:paraId="6115F77D">
      <w:pPr>
        <w:spacing w:line="50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22C45C8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21EE3B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5612A53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24582E1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65ED8B7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650C1CE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1CBDF7D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3ED94A0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30FA738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32E81E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7A39FA1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1D3C44A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2C21D37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28BB5E0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37139A9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061EA7D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6118B4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0BC9AA5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52999B0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69DE702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95"/>
    </w:p>
    <w:p w14:paraId="158182FA">
      <w:pPr>
        <w:pStyle w:val="606"/>
        <w:outlineLvl w:val="1"/>
        <w:rPr>
          <w:rFonts w:hint="eastAsia" w:ascii="宋体" w:hAnsi="宋体" w:eastAsia="宋体" w:cs="宋体"/>
          <w:color w:val="auto"/>
          <w:highlight w:val="none"/>
        </w:rPr>
      </w:pPr>
      <w:bookmarkStart w:id="117" w:name="_Toc16938558"/>
      <w:bookmarkStart w:id="118" w:name="_Toc20823314"/>
      <w:bookmarkStart w:id="119" w:name="_Toc513029242"/>
      <w:bookmarkStart w:id="120" w:name="_Toc120614221"/>
      <w:bookmarkStart w:id="121" w:name="_Toc479757207"/>
      <w:bookmarkStart w:id="122" w:name="_Toc26968"/>
      <w:bookmarkStart w:id="123" w:name="_Toc32340"/>
      <w:r>
        <w:rPr>
          <w:rFonts w:hint="eastAsia" w:ascii="宋体" w:hAnsi="宋体" w:eastAsia="宋体" w:cs="宋体"/>
          <w:color w:val="auto"/>
          <w:highlight w:val="none"/>
        </w:rPr>
        <w:t>十、政府采购履约资金扶持政策</w:t>
      </w:r>
      <w:bookmarkEnd w:id="117"/>
      <w:bookmarkEnd w:id="118"/>
      <w:bookmarkEnd w:id="119"/>
      <w:bookmarkEnd w:id="120"/>
      <w:bookmarkEnd w:id="121"/>
      <w:bookmarkEnd w:id="122"/>
      <w:bookmarkEnd w:id="123"/>
    </w:p>
    <w:p w14:paraId="248A7F7F">
      <w:pPr>
        <w:pStyle w:val="220"/>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7049FA5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 </w:t>
      </w:r>
    </w:p>
    <w:p w14:paraId="61158EDB">
      <w:pPr>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124" w:name="_Toc2112"/>
      <w:r>
        <w:rPr>
          <w:rFonts w:hint="eastAsia" w:ascii="宋体" w:hAnsi="宋体" w:cs="宋体"/>
          <w:b/>
          <w:color w:val="auto"/>
          <w:sz w:val="44"/>
          <w:szCs w:val="44"/>
          <w:highlight w:val="none"/>
        </w:rPr>
        <w:t>第三部分  评标方法和标准</w:t>
      </w:r>
      <w:bookmarkEnd w:id="124"/>
    </w:p>
    <w:p w14:paraId="13164AB1">
      <w:pPr>
        <w:spacing w:before="156" w:after="156"/>
        <w:ind w:firstLine="643"/>
        <w:outlineLvl w:val="1"/>
        <w:rPr>
          <w:rFonts w:hint="eastAsia" w:ascii="宋体" w:hAnsi="宋体" w:cs="宋体"/>
          <w:b/>
          <w:color w:val="auto"/>
          <w:sz w:val="32"/>
          <w:szCs w:val="32"/>
          <w:highlight w:val="none"/>
        </w:rPr>
      </w:pPr>
      <w:bookmarkStart w:id="125" w:name="_Toc12296"/>
      <w:bookmarkStart w:id="126" w:name="_Toc17445"/>
      <w:bookmarkStart w:id="127" w:name="_Toc4647"/>
      <w:bookmarkStart w:id="128" w:name="_Toc24217_WPSOffice_Level2"/>
      <w:r>
        <w:rPr>
          <w:rFonts w:hint="eastAsia" w:ascii="宋体" w:hAnsi="宋体" w:cs="宋体"/>
          <w:b/>
          <w:color w:val="auto"/>
          <w:sz w:val="32"/>
          <w:szCs w:val="32"/>
          <w:highlight w:val="none"/>
        </w:rPr>
        <w:t>一、资格审查</w:t>
      </w:r>
      <w:bookmarkEnd w:id="125"/>
      <w:bookmarkEnd w:id="126"/>
      <w:bookmarkEnd w:id="127"/>
      <w:bookmarkEnd w:id="128"/>
    </w:p>
    <w:p w14:paraId="593C27B0">
      <w:pP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3"/>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335"/>
      </w:tblGrid>
      <w:tr w14:paraId="4F780EB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73CB7E66">
            <w:pPr>
              <w:jc w:val="center"/>
              <w:rPr>
                <w:rFonts w:hint="eastAsia" w:ascii="宋体" w:hAnsi="宋体" w:cs="宋体"/>
                <w:color w:val="auto"/>
                <w:highlight w:val="none"/>
              </w:rPr>
            </w:pPr>
            <w:r>
              <w:rPr>
                <w:rFonts w:hint="eastAsia" w:ascii="宋体" w:hAnsi="宋体" w:cs="宋体"/>
                <w:color w:val="auto"/>
                <w:highlight w:val="none"/>
              </w:rPr>
              <w:t>资格审查因素</w:t>
            </w:r>
          </w:p>
        </w:tc>
        <w:tc>
          <w:tcPr>
            <w:tcW w:w="4335" w:type="dxa"/>
            <w:vAlign w:val="center"/>
          </w:tcPr>
          <w:p w14:paraId="60BD0BBC">
            <w:pPr>
              <w:jc w:val="center"/>
              <w:rPr>
                <w:rFonts w:hint="eastAsia" w:ascii="宋体" w:hAnsi="宋体" w:cs="宋体"/>
                <w:color w:val="auto"/>
                <w:highlight w:val="none"/>
              </w:rPr>
            </w:pPr>
            <w:r>
              <w:rPr>
                <w:rFonts w:hint="eastAsia" w:ascii="宋体" w:hAnsi="宋体" w:cs="宋体"/>
                <w:color w:val="auto"/>
                <w:highlight w:val="none"/>
              </w:rPr>
              <w:t>审查标准</w:t>
            </w:r>
          </w:p>
        </w:tc>
      </w:tr>
      <w:tr w14:paraId="2D89C7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8" w:hRule="atLeast"/>
        </w:trPr>
        <w:tc>
          <w:tcPr>
            <w:tcW w:w="4828" w:type="dxa"/>
            <w:vAlign w:val="center"/>
          </w:tcPr>
          <w:p w14:paraId="4BD9D0D5">
            <w:pPr>
              <w:jc w:val="left"/>
              <w:rPr>
                <w:rFonts w:hint="eastAsia" w:ascii="宋体" w:hAnsi="宋体" w:cs="宋体"/>
                <w:color w:val="auto"/>
                <w:highlight w:val="none"/>
              </w:rPr>
            </w:pPr>
            <w:r>
              <w:rPr>
                <w:rFonts w:hint="eastAsia" w:ascii="宋体" w:hAnsi="宋体" w:cs="宋体"/>
                <w:bCs/>
                <w:color w:val="auto"/>
                <w:highlight w:val="none"/>
              </w:rPr>
              <w:t>具有独立承担民事责任的能力</w:t>
            </w:r>
          </w:p>
        </w:tc>
        <w:tc>
          <w:tcPr>
            <w:tcW w:w="4335" w:type="dxa"/>
            <w:vMerge w:val="restart"/>
            <w:vAlign w:val="center"/>
          </w:tcPr>
          <w:p w14:paraId="7E2D5E5B">
            <w:pPr>
              <w:jc w:val="left"/>
              <w:rPr>
                <w:rFonts w:hint="eastAsia" w:ascii="宋体" w:hAnsi="宋体" w:cs="宋体"/>
                <w:color w:val="auto"/>
                <w:highlight w:val="none"/>
              </w:rPr>
            </w:pPr>
            <w:r>
              <w:rPr>
                <w:rFonts w:hint="eastAsia" w:ascii="宋体" w:hAnsi="宋体" w:cs="宋体"/>
                <w:color w:val="auto"/>
                <w:highlight w:val="none"/>
              </w:rPr>
              <w:t>符合招标文件第11条“投标文件构成”的要求</w:t>
            </w:r>
          </w:p>
        </w:tc>
      </w:tr>
      <w:tr w14:paraId="0C470C7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19AD4482">
            <w:pPr>
              <w:jc w:val="left"/>
              <w:rPr>
                <w:rFonts w:hint="eastAsia" w:ascii="宋体" w:hAnsi="宋体" w:cs="宋体"/>
                <w:color w:val="auto"/>
                <w:highlight w:val="none"/>
              </w:rPr>
            </w:pPr>
            <w:r>
              <w:rPr>
                <w:rFonts w:hint="eastAsia" w:ascii="宋体" w:hAnsi="宋体" w:cs="宋体"/>
                <w:bCs/>
                <w:color w:val="auto"/>
                <w:highlight w:val="none"/>
              </w:rPr>
              <w:t>具有良好的商业信誉和健全的财务会计制度</w:t>
            </w:r>
          </w:p>
        </w:tc>
        <w:tc>
          <w:tcPr>
            <w:tcW w:w="4335" w:type="dxa"/>
            <w:vMerge w:val="continue"/>
            <w:vAlign w:val="center"/>
          </w:tcPr>
          <w:p w14:paraId="2729DE6F">
            <w:pPr>
              <w:jc w:val="left"/>
              <w:rPr>
                <w:rFonts w:hint="eastAsia" w:ascii="宋体" w:hAnsi="宋体" w:cs="宋体"/>
                <w:color w:val="auto"/>
                <w:highlight w:val="none"/>
              </w:rPr>
            </w:pPr>
          </w:p>
        </w:tc>
      </w:tr>
      <w:tr w14:paraId="0A6CDB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1CB4DC70">
            <w:pPr>
              <w:jc w:val="left"/>
              <w:rPr>
                <w:rFonts w:hint="eastAsia" w:ascii="宋体" w:hAnsi="宋体" w:cs="宋体"/>
                <w:color w:val="auto"/>
                <w:highlight w:val="none"/>
              </w:rPr>
            </w:pPr>
            <w:r>
              <w:rPr>
                <w:rFonts w:hint="eastAsia" w:ascii="宋体" w:hAnsi="宋体" w:cs="宋体"/>
                <w:bCs/>
                <w:color w:val="auto"/>
                <w:highlight w:val="none"/>
              </w:rPr>
              <w:t>具有履行合同所必需的设备和专业技术能力</w:t>
            </w:r>
          </w:p>
        </w:tc>
        <w:tc>
          <w:tcPr>
            <w:tcW w:w="4335" w:type="dxa"/>
            <w:vMerge w:val="continue"/>
            <w:vAlign w:val="center"/>
          </w:tcPr>
          <w:p w14:paraId="61796D8E">
            <w:pPr>
              <w:jc w:val="left"/>
              <w:rPr>
                <w:rFonts w:hint="eastAsia" w:ascii="宋体" w:hAnsi="宋体" w:cs="宋体"/>
                <w:color w:val="auto"/>
                <w:highlight w:val="none"/>
              </w:rPr>
            </w:pPr>
          </w:p>
        </w:tc>
      </w:tr>
      <w:tr w14:paraId="74D7D1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0D321FFB">
            <w:pPr>
              <w:jc w:val="left"/>
              <w:rPr>
                <w:rFonts w:hint="eastAsia" w:ascii="宋体" w:hAnsi="宋体" w:cs="宋体"/>
                <w:color w:val="auto"/>
                <w:highlight w:val="none"/>
              </w:rPr>
            </w:pPr>
            <w:r>
              <w:rPr>
                <w:rFonts w:hint="eastAsia" w:ascii="宋体" w:hAnsi="宋体" w:cs="宋体"/>
                <w:bCs/>
                <w:color w:val="auto"/>
                <w:highlight w:val="none"/>
              </w:rPr>
              <w:t>有依法缴纳税收和社会保障资金的良好记录</w:t>
            </w:r>
          </w:p>
        </w:tc>
        <w:tc>
          <w:tcPr>
            <w:tcW w:w="4335" w:type="dxa"/>
            <w:vMerge w:val="continue"/>
            <w:vAlign w:val="center"/>
          </w:tcPr>
          <w:p w14:paraId="5701A305">
            <w:pPr>
              <w:jc w:val="left"/>
              <w:rPr>
                <w:rFonts w:hint="eastAsia" w:ascii="宋体" w:hAnsi="宋体" w:cs="宋体"/>
                <w:color w:val="auto"/>
                <w:highlight w:val="none"/>
              </w:rPr>
            </w:pPr>
          </w:p>
        </w:tc>
      </w:tr>
      <w:tr w14:paraId="3B791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828" w:type="dxa"/>
            <w:vAlign w:val="center"/>
          </w:tcPr>
          <w:p w14:paraId="168F0D27">
            <w:pPr>
              <w:jc w:val="left"/>
              <w:rPr>
                <w:rFonts w:hint="eastAsia" w:ascii="宋体" w:hAnsi="宋体" w:cs="宋体"/>
                <w:color w:val="auto"/>
                <w:highlight w:val="none"/>
              </w:rPr>
            </w:pPr>
            <w:r>
              <w:rPr>
                <w:rFonts w:hint="eastAsia" w:ascii="宋体" w:hAnsi="宋体" w:cs="宋体"/>
                <w:color w:val="auto"/>
                <w:highlight w:val="none"/>
              </w:rPr>
              <w:t>无重大违法行为声明</w:t>
            </w:r>
          </w:p>
        </w:tc>
        <w:tc>
          <w:tcPr>
            <w:tcW w:w="4335" w:type="dxa"/>
            <w:vMerge w:val="continue"/>
            <w:vAlign w:val="center"/>
          </w:tcPr>
          <w:p w14:paraId="08F85F9F">
            <w:pPr>
              <w:jc w:val="left"/>
              <w:rPr>
                <w:rFonts w:hint="eastAsia" w:ascii="宋体" w:hAnsi="宋体" w:cs="宋体"/>
                <w:color w:val="auto"/>
                <w:highlight w:val="none"/>
              </w:rPr>
            </w:pPr>
          </w:p>
        </w:tc>
      </w:tr>
      <w:tr w14:paraId="07F199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28" w:type="dxa"/>
            <w:vAlign w:val="center"/>
          </w:tcPr>
          <w:p w14:paraId="2E902C11">
            <w:pPr>
              <w:jc w:val="left"/>
              <w:rPr>
                <w:rFonts w:hint="eastAsia" w:ascii="宋体" w:hAnsi="宋体" w:cs="宋体"/>
                <w:color w:val="auto"/>
                <w:highlight w:val="none"/>
              </w:rPr>
            </w:pPr>
            <w:r>
              <w:rPr>
                <w:rFonts w:hint="eastAsia" w:ascii="宋体" w:hAnsi="宋体" w:cs="宋体"/>
                <w:color w:val="auto"/>
                <w:highlight w:val="none"/>
              </w:rPr>
              <w:t>法律、行政法规规定的其他条件</w:t>
            </w:r>
          </w:p>
        </w:tc>
        <w:tc>
          <w:tcPr>
            <w:tcW w:w="4335" w:type="dxa"/>
            <w:vMerge w:val="continue"/>
            <w:vAlign w:val="center"/>
          </w:tcPr>
          <w:p w14:paraId="6BF743D1">
            <w:pPr>
              <w:jc w:val="left"/>
              <w:rPr>
                <w:rFonts w:hint="eastAsia" w:ascii="宋体" w:hAnsi="宋体" w:cs="宋体"/>
                <w:color w:val="auto"/>
                <w:highlight w:val="none"/>
              </w:rPr>
            </w:pPr>
          </w:p>
        </w:tc>
      </w:tr>
      <w:tr w14:paraId="6F4E502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828" w:type="dxa"/>
            <w:vAlign w:val="center"/>
          </w:tcPr>
          <w:p w14:paraId="5A90C427">
            <w:pPr>
              <w:jc w:val="left"/>
              <w:rPr>
                <w:rFonts w:hint="eastAsia" w:ascii="宋体" w:hAnsi="宋体" w:cs="宋体"/>
                <w:color w:val="auto"/>
                <w:highlight w:val="none"/>
              </w:rPr>
            </w:pPr>
            <w:r>
              <w:rPr>
                <w:rFonts w:hint="eastAsia" w:ascii="宋体" w:hAnsi="宋体" w:cs="宋体"/>
                <w:color w:val="auto"/>
                <w:highlight w:val="none"/>
              </w:rPr>
              <w:t>信用信息</w:t>
            </w:r>
          </w:p>
        </w:tc>
        <w:tc>
          <w:tcPr>
            <w:tcW w:w="4335" w:type="dxa"/>
            <w:vMerge w:val="continue"/>
            <w:vAlign w:val="center"/>
          </w:tcPr>
          <w:p w14:paraId="7EC1E3D5">
            <w:pPr>
              <w:jc w:val="left"/>
              <w:rPr>
                <w:rFonts w:hint="eastAsia" w:ascii="宋体" w:hAnsi="宋体" w:cs="宋体"/>
                <w:color w:val="auto"/>
                <w:highlight w:val="none"/>
              </w:rPr>
            </w:pPr>
          </w:p>
        </w:tc>
      </w:tr>
      <w:tr w14:paraId="3F7CC86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2A659FB1">
            <w:pPr>
              <w:jc w:val="left"/>
              <w:rPr>
                <w:rFonts w:hint="eastAsia" w:ascii="宋体" w:hAnsi="宋体" w:cs="宋体"/>
                <w:color w:val="auto"/>
                <w:highlight w:val="none"/>
              </w:rPr>
            </w:pPr>
            <w:r>
              <w:rPr>
                <w:rFonts w:hint="eastAsia" w:ascii="宋体" w:hAnsi="宋体" w:cs="宋体"/>
                <w:color w:val="auto"/>
                <w:highlight w:val="none"/>
              </w:rPr>
              <w:t>投标人的关联性要求</w:t>
            </w:r>
          </w:p>
        </w:tc>
        <w:tc>
          <w:tcPr>
            <w:tcW w:w="4335" w:type="dxa"/>
            <w:vAlign w:val="center"/>
          </w:tcPr>
          <w:p w14:paraId="17AC13B5">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37132D1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312082AA">
            <w:pPr>
              <w:jc w:val="left"/>
              <w:rPr>
                <w:rFonts w:hint="eastAsia" w:ascii="宋体" w:hAnsi="宋体" w:cs="宋体"/>
                <w:color w:val="auto"/>
                <w:highlight w:val="none"/>
              </w:rPr>
            </w:pPr>
            <w:r>
              <w:rPr>
                <w:rFonts w:hint="eastAsia" w:ascii="宋体" w:hAnsi="宋体" w:cs="宋体"/>
                <w:color w:val="auto"/>
                <w:highlight w:val="none"/>
              </w:rPr>
              <w:t>符合联合体规定</w:t>
            </w:r>
          </w:p>
        </w:tc>
        <w:tc>
          <w:tcPr>
            <w:tcW w:w="4335" w:type="dxa"/>
            <w:vAlign w:val="center"/>
          </w:tcPr>
          <w:p w14:paraId="47418189">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594A05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75B5169A">
            <w:pPr>
              <w:jc w:val="left"/>
              <w:rPr>
                <w:rFonts w:hint="eastAsia" w:ascii="宋体" w:hAnsi="宋体" w:cs="宋体"/>
                <w:color w:val="auto"/>
                <w:highlight w:val="none"/>
              </w:rPr>
            </w:pPr>
            <w:r>
              <w:rPr>
                <w:rFonts w:hint="eastAsia" w:ascii="宋体" w:hAnsi="宋体" w:cs="宋体"/>
                <w:color w:val="auto"/>
                <w:highlight w:val="none"/>
              </w:rPr>
              <w:t>特定资格要求</w:t>
            </w:r>
          </w:p>
        </w:tc>
        <w:tc>
          <w:tcPr>
            <w:tcW w:w="4335" w:type="dxa"/>
            <w:vAlign w:val="center"/>
          </w:tcPr>
          <w:p w14:paraId="3F3116F2">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bl>
    <w:p w14:paraId="07B93396">
      <w:pPr>
        <w:spacing w:before="156" w:after="156"/>
        <w:ind w:firstLine="643"/>
        <w:outlineLvl w:val="1"/>
        <w:rPr>
          <w:rFonts w:hint="eastAsia" w:ascii="宋体" w:hAnsi="宋体" w:cs="宋体"/>
          <w:b/>
          <w:color w:val="auto"/>
          <w:sz w:val="32"/>
          <w:szCs w:val="32"/>
          <w:highlight w:val="none"/>
        </w:rPr>
      </w:pPr>
      <w:bookmarkStart w:id="129" w:name="_Toc18818"/>
      <w:bookmarkStart w:id="130" w:name="_Toc17529"/>
      <w:r>
        <w:rPr>
          <w:rFonts w:hint="eastAsia" w:ascii="宋体" w:hAnsi="宋体" w:cs="宋体"/>
          <w:b/>
          <w:color w:val="auto"/>
          <w:sz w:val="32"/>
          <w:szCs w:val="32"/>
          <w:highlight w:val="none"/>
        </w:rPr>
        <w:t>二、符合性审查</w:t>
      </w:r>
      <w:bookmarkEnd w:id="129"/>
      <w:bookmarkEnd w:id="130"/>
    </w:p>
    <w:p w14:paraId="66FCBD35">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08F3918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3"/>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140"/>
        <w:gridCol w:w="5032"/>
      </w:tblGrid>
      <w:tr w14:paraId="15905F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03233B92">
            <w:pPr>
              <w:jc w:val="center"/>
              <w:rPr>
                <w:rFonts w:hint="eastAsia" w:ascii="宋体" w:hAnsi="宋体" w:cs="宋体"/>
                <w:color w:val="auto"/>
                <w:highlight w:val="none"/>
              </w:rPr>
            </w:pPr>
            <w:r>
              <w:rPr>
                <w:rFonts w:hint="eastAsia" w:ascii="宋体" w:hAnsi="宋体" w:cs="宋体"/>
                <w:color w:val="auto"/>
                <w:highlight w:val="none"/>
              </w:rPr>
              <w:t>符合性审查因素</w:t>
            </w:r>
          </w:p>
        </w:tc>
        <w:tc>
          <w:tcPr>
            <w:tcW w:w="5032" w:type="dxa"/>
            <w:vAlign w:val="center"/>
          </w:tcPr>
          <w:p w14:paraId="79B0FABF">
            <w:pPr>
              <w:jc w:val="center"/>
              <w:rPr>
                <w:rFonts w:hint="eastAsia" w:ascii="宋体" w:hAnsi="宋体" w:cs="宋体"/>
                <w:color w:val="auto"/>
                <w:highlight w:val="none"/>
              </w:rPr>
            </w:pPr>
            <w:r>
              <w:rPr>
                <w:rFonts w:hint="eastAsia" w:ascii="宋体" w:hAnsi="宋体" w:cs="宋体"/>
                <w:color w:val="auto"/>
                <w:highlight w:val="none"/>
              </w:rPr>
              <w:t>审查标准</w:t>
            </w:r>
          </w:p>
        </w:tc>
      </w:tr>
      <w:tr w14:paraId="7BB0D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140" w:type="dxa"/>
            <w:vAlign w:val="center"/>
          </w:tcPr>
          <w:p w14:paraId="5EB6754F">
            <w:pPr>
              <w:jc w:val="left"/>
              <w:rPr>
                <w:rFonts w:hint="eastAsia" w:ascii="宋体" w:hAnsi="宋体" w:cs="宋体"/>
                <w:color w:val="auto"/>
                <w:highlight w:val="none"/>
              </w:rPr>
            </w:pPr>
            <w:r>
              <w:rPr>
                <w:rFonts w:hint="eastAsia" w:ascii="宋体" w:hAnsi="宋体" w:cs="宋体"/>
                <w:color w:val="auto"/>
                <w:highlight w:val="none"/>
              </w:rPr>
              <w:t>投标函</w:t>
            </w:r>
          </w:p>
        </w:tc>
        <w:tc>
          <w:tcPr>
            <w:tcW w:w="5032" w:type="dxa"/>
            <w:vAlign w:val="center"/>
          </w:tcPr>
          <w:p w14:paraId="18BF3DC1">
            <w:pPr>
              <w:jc w:val="left"/>
              <w:rPr>
                <w:rFonts w:hint="eastAsia" w:ascii="宋体" w:hAnsi="宋体" w:cs="宋体"/>
                <w:color w:val="auto"/>
                <w:highlight w:val="none"/>
              </w:rPr>
            </w:pPr>
            <w:r>
              <w:rPr>
                <w:rFonts w:hint="eastAsia" w:ascii="宋体" w:hAnsi="宋体" w:cs="宋体"/>
                <w:color w:val="auto"/>
                <w:highlight w:val="none"/>
              </w:rPr>
              <w:t>符合招标文件的要求</w:t>
            </w:r>
          </w:p>
        </w:tc>
      </w:tr>
      <w:tr w14:paraId="600367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4A50C067">
            <w:pPr>
              <w:jc w:val="left"/>
              <w:rPr>
                <w:rFonts w:hint="eastAsia" w:ascii="宋体" w:hAnsi="宋体" w:cs="宋体"/>
                <w:color w:val="auto"/>
                <w:highlight w:val="none"/>
              </w:rPr>
            </w:pPr>
            <w:r>
              <w:rPr>
                <w:rFonts w:hint="eastAsia" w:ascii="宋体" w:hAnsi="宋体" w:cs="宋体"/>
                <w:color w:val="auto"/>
                <w:highlight w:val="none"/>
              </w:rPr>
              <w:t>法定代表人身份证明或授权委托书</w:t>
            </w:r>
          </w:p>
        </w:tc>
        <w:tc>
          <w:tcPr>
            <w:tcW w:w="5032" w:type="dxa"/>
            <w:vAlign w:val="center"/>
          </w:tcPr>
          <w:p w14:paraId="16F21459">
            <w:pPr>
              <w:jc w:val="left"/>
              <w:rPr>
                <w:rFonts w:hint="eastAsia" w:ascii="宋体" w:hAnsi="宋体" w:cs="宋体"/>
                <w:color w:val="auto"/>
                <w:highlight w:val="none"/>
              </w:rPr>
            </w:pPr>
            <w:r>
              <w:rPr>
                <w:rFonts w:hint="eastAsia" w:ascii="宋体" w:hAnsi="宋体" w:cs="宋体"/>
                <w:color w:val="auto"/>
                <w:highlight w:val="none"/>
              </w:rPr>
              <w:t>符合招标文件的要求</w:t>
            </w:r>
          </w:p>
        </w:tc>
      </w:tr>
      <w:tr w14:paraId="0BE3EE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7DA6C382">
            <w:pPr>
              <w:jc w:val="left"/>
              <w:rPr>
                <w:rFonts w:hint="eastAsia" w:ascii="宋体" w:hAnsi="宋体" w:cs="宋体"/>
                <w:color w:val="auto"/>
                <w:highlight w:val="none"/>
              </w:rPr>
            </w:pPr>
            <w:r>
              <w:rPr>
                <w:rFonts w:hint="eastAsia" w:ascii="宋体" w:hAnsi="宋体" w:cs="宋体"/>
                <w:color w:val="auto"/>
                <w:highlight w:val="none"/>
              </w:rPr>
              <w:t>签署和盖章符合要求</w:t>
            </w:r>
          </w:p>
        </w:tc>
        <w:tc>
          <w:tcPr>
            <w:tcW w:w="5032" w:type="dxa"/>
            <w:vAlign w:val="center"/>
          </w:tcPr>
          <w:p w14:paraId="01A757E7">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066F82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4235AD43">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p>
        </w:tc>
        <w:tc>
          <w:tcPr>
            <w:tcW w:w="5032" w:type="dxa"/>
            <w:vAlign w:val="center"/>
          </w:tcPr>
          <w:p w14:paraId="2044B20E">
            <w:pPr>
              <w:jc w:val="left"/>
              <w:rPr>
                <w:rFonts w:hint="eastAsia" w:ascii="宋体" w:hAnsi="宋体" w:cs="宋体"/>
                <w:color w:val="auto"/>
                <w:highlight w:val="none"/>
              </w:rPr>
            </w:pPr>
            <w:r>
              <w:rPr>
                <w:rFonts w:hint="eastAsia" w:ascii="宋体" w:hAnsi="宋体" w:cs="宋体"/>
                <w:color w:val="auto"/>
                <w:highlight w:val="none"/>
              </w:rPr>
              <w:t>格式、填写要求符合招标文件规定（报价未超过预算或最高限价）</w:t>
            </w:r>
          </w:p>
        </w:tc>
      </w:tr>
      <w:tr w14:paraId="16A97D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7EF30F29">
            <w:pPr>
              <w:jc w:val="left"/>
              <w:rPr>
                <w:rFonts w:hint="eastAsia" w:ascii="宋体" w:hAnsi="宋体" w:cs="宋体"/>
                <w:color w:val="auto"/>
                <w:highlight w:val="none"/>
              </w:rPr>
            </w:pPr>
            <w:r>
              <w:rPr>
                <w:rFonts w:hint="eastAsia" w:ascii="宋体" w:hAnsi="宋体" w:cs="宋体"/>
                <w:color w:val="auto"/>
                <w:highlight w:val="none"/>
              </w:rPr>
              <w:t>投标文件对招标文件的实质性条款的响应性</w:t>
            </w:r>
          </w:p>
        </w:tc>
        <w:tc>
          <w:tcPr>
            <w:tcW w:w="5032" w:type="dxa"/>
            <w:vAlign w:val="center"/>
          </w:tcPr>
          <w:p w14:paraId="4D998C55">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bl>
    <w:p w14:paraId="7F353C68">
      <w:pPr>
        <w:outlineLvl w:val="1"/>
        <w:rPr>
          <w:rFonts w:hint="eastAsia" w:ascii="宋体" w:hAnsi="宋体" w:cs="宋体"/>
          <w:b/>
          <w:color w:val="auto"/>
          <w:sz w:val="32"/>
          <w:szCs w:val="32"/>
          <w:highlight w:val="none"/>
        </w:rPr>
      </w:pPr>
      <w:r>
        <w:rPr>
          <w:rFonts w:hint="eastAsia" w:ascii="宋体" w:hAnsi="宋体" w:cs="宋体"/>
          <w:color w:val="auto"/>
          <w:sz w:val="20"/>
          <w:highlight w:val="none"/>
        </w:rPr>
        <w:t xml:space="preserve">  </w:t>
      </w:r>
      <w:bookmarkStart w:id="131" w:name="_Toc11959"/>
      <w:r>
        <w:rPr>
          <w:rFonts w:hint="eastAsia" w:ascii="宋体" w:hAnsi="宋体" w:cs="宋体"/>
          <w:color w:val="auto"/>
          <w:sz w:val="20"/>
          <w:highlight w:val="none"/>
        </w:rPr>
        <w:t xml:space="preserve">   </w:t>
      </w:r>
      <w:bookmarkStart w:id="132" w:name="_Toc17823"/>
      <w:bookmarkStart w:id="133" w:name="_Toc3702"/>
      <w:r>
        <w:rPr>
          <w:rFonts w:hint="eastAsia" w:ascii="宋体" w:hAnsi="宋体" w:cs="宋体"/>
          <w:b/>
          <w:color w:val="auto"/>
          <w:sz w:val="32"/>
          <w:szCs w:val="32"/>
          <w:highlight w:val="none"/>
        </w:rPr>
        <w:t>三、评分办法—综合评分法</w:t>
      </w:r>
      <w:bookmarkEnd w:id="131"/>
      <w:bookmarkEnd w:id="132"/>
      <w:bookmarkEnd w:id="133"/>
    </w:p>
    <w:p w14:paraId="385B6009">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p>
    <w:p w14:paraId="248015A8">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60CBA672">
      <w:pPr>
        <w:spacing w:line="360" w:lineRule="auto"/>
        <w:ind w:firstLine="420"/>
        <w:rPr>
          <w:rFonts w:hint="eastAsia" w:ascii="宋体" w:hAnsi="宋体" w:cs="宋体"/>
          <w:color w:val="auto"/>
          <w:sz w:val="20"/>
          <w:highlight w:val="none"/>
        </w:rPr>
      </w:pPr>
      <w:r>
        <w:rPr>
          <w:rFonts w:hint="eastAsia" w:ascii="宋体" w:hAnsi="宋体" w:cs="宋体"/>
          <w:color w:val="auto"/>
          <w:sz w:val="24"/>
          <w:highlight w:val="none"/>
        </w:rPr>
        <w:t>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p>
    <w:p w14:paraId="7FBD4A23">
      <w:pPr>
        <w:pStyle w:val="77"/>
        <w:rPr>
          <w:color w:val="auto"/>
          <w:highlight w:val="none"/>
        </w:rPr>
      </w:pPr>
    </w:p>
    <w:p w14:paraId="1BD2220B">
      <w:pPr>
        <w:widowControl/>
        <w:jc w:val="left"/>
        <w:rPr>
          <w:rFonts w:hint="eastAsia" w:ascii="宋体" w:hAnsi="宋体" w:cs="宋体"/>
          <w:color w:val="auto"/>
          <w:sz w:val="20"/>
          <w:highlight w:val="none"/>
        </w:rPr>
      </w:pPr>
      <w:r>
        <w:rPr>
          <w:rFonts w:hint="eastAsia" w:ascii="宋体" w:hAnsi="宋体" w:cs="宋体"/>
          <w:color w:val="auto"/>
          <w:sz w:val="20"/>
          <w:highlight w:val="none"/>
        </w:rPr>
        <w:br w:type="page"/>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30"/>
      </w:tblGrid>
      <w:tr w14:paraId="38A96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730" w:type="dxa"/>
          </w:tcPr>
          <w:p w14:paraId="7501B9AE">
            <w:pPr>
              <w:adjustRightInd w:val="0"/>
              <w:snapToGrid w:val="0"/>
              <w:spacing w:before="145" w:beforeLines="50" w:line="440" w:lineRule="exact"/>
              <w:rPr>
                <w:rFonts w:ascii="宋体" w:hAnsi="宋体"/>
                <w:bCs/>
                <w:color w:val="auto"/>
                <w:sz w:val="24"/>
                <w:highlight w:val="none"/>
              </w:rPr>
            </w:pPr>
            <w:r>
              <w:rPr>
                <w:rFonts w:hint="eastAsia" w:ascii="宋体" w:hAnsi="宋体"/>
                <w:b/>
                <w:bCs/>
                <w:color w:val="auto"/>
                <w:sz w:val="24"/>
                <w:highlight w:val="none"/>
              </w:rPr>
              <w:t>（一）</w:t>
            </w:r>
            <w:r>
              <w:rPr>
                <w:rFonts w:ascii="宋体" w:hAnsi="宋体"/>
                <w:b/>
                <w:bCs/>
                <w:color w:val="auto"/>
                <w:sz w:val="24"/>
                <w:highlight w:val="none"/>
              </w:rPr>
              <w:t>价格分（3</w:t>
            </w:r>
            <w:r>
              <w:rPr>
                <w:rFonts w:hint="eastAsia" w:ascii="宋体" w:hAnsi="宋体"/>
                <w:b/>
                <w:bCs/>
                <w:color w:val="auto"/>
                <w:sz w:val="24"/>
                <w:highlight w:val="none"/>
              </w:rPr>
              <w:t>0</w:t>
            </w:r>
            <w:r>
              <w:rPr>
                <w:rFonts w:ascii="宋体" w:hAnsi="宋体"/>
                <w:b/>
                <w:bCs/>
                <w:color w:val="auto"/>
                <w:sz w:val="24"/>
                <w:highlight w:val="none"/>
              </w:rPr>
              <w:t>分）</w:t>
            </w:r>
            <w:r>
              <w:rPr>
                <w:rFonts w:hint="eastAsia" w:ascii="宋体" w:hAnsi="宋体"/>
                <w:b/>
                <w:bCs/>
                <w:color w:val="auto"/>
                <w:sz w:val="24"/>
                <w:highlight w:val="none"/>
              </w:rPr>
              <w:t xml:space="preserve"> </w:t>
            </w:r>
          </w:p>
          <w:p w14:paraId="7DB7B2D2">
            <w:pPr>
              <w:adjustRightInd w:val="0"/>
              <w:snapToGrid w:val="0"/>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1.1</w:t>
            </w:r>
            <w:r>
              <w:rPr>
                <w:rFonts w:ascii="宋体" w:hAnsi="宋体"/>
                <w:bCs/>
                <w:color w:val="auto"/>
                <w:sz w:val="24"/>
                <w:highlight w:val="none"/>
              </w:rPr>
              <w:t>价格分采用低价优先法计算，即满足采购文件要求且</w:t>
            </w:r>
            <w:r>
              <w:rPr>
                <w:rFonts w:hint="eastAsia" w:ascii="宋体" w:hAnsi="宋体"/>
                <w:bCs/>
                <w:color w:val="auto"/>
                <w:sz w:val="24"/>
                <w:highlight w:val="none"/>
              </w:rPr>
              <w:t>投标价格</w:t>
            </w:r>
            <w:r>
              <w:rPr>
                <w:rFonts w:ascii="宋体" w:hAnsi="宋体"/>
                <w:bCs/>
                <w:color w:val="auto"/>
                <w:sz w:val="24"/>
                <w:highlight w:val="none"/>
              </w:rPr>
              <w:t>最低的供应商</w:t>
            </w:r>
            <w:r>
              <w:rPr>
                <w:rFonts w:hint="eastAsia" w:ascii="宋体" w:hAnsi="宋体"/>
                <w:bCs/>
                <w:color w:val="auto"/>
                <w:sz w:val="24"/>
                <w:highlight w:val="none"/>
              </w:rPr>
              <w:t>投标</w:t>
            </w:r>
            <w:r>
              <w:rPr>
                <w:rFonts w:ascii="宋体" w:hAnsi="宋体"/>
                <w:bCs/>
                <w:color w:val="auto"/>
                <w:sz w:val="24"/>
                <w:highlight w:val="none"/>
              </w:rPr>
              <w:t>报价为评标基准价，其价格分为满分3</w:t>
            </w:r>
            <w:r>
              <w:rPr>
                <w:rFonts w:hint="eastAsia" w:ascii="宋体" w:hAnsi="宋体"/>
                <w:bCs/>
                <w:color w:val="auto"/>
                <w:sz w:val="24"/>
                <w:highlight w:val="none"/>
              </w:rPr>
              <w:t>0</w:t>
            </w:r>
            <w:r>
              <w:rPr>
                <w:rFonts w:ascii="宋体" w:hAnsi="宋体"/>
                <w:bCs/>
                <w:color w:val="auto"/>
                <w:sz w:val="24"/>
                <w:highlight w:val="none"/>
              </w:rPr>
              <w:t>分，其它投标人的价格分统一按照以下公式计算：投标报价得分=（评标基准价/该投标人的投标报价）×3</w:t>
            </w:r>
            <w:r>
              <w:rPr>
                <w:rFonts w:hint="eastAsia" w:ascii="宋体" w:hAnsi="宋体"/>
                <w:bCs/>
                <w:color w:val="auto"/>
                <w:sz w:val="24"/>
                <w:highlight w:val="none"/>
              </w:rPr>
              <w:t>0</w:t>
            </w:r>
            <w:r>
              <w:rPr>
                <w:rFonts w:ascii="宋体" w:hAnsi="宋体"/>
                <w:bCs/>
                <w:color w:val="auto"/>
                <w:sz w:val="24"/>
                <w:highlight w:val="none"/>
              </w:rPr>
              <w:t>分。分值保留小数点后</w:t>
            </w:r>
            <w:r>
              <w:rPr>
                <w:rFonts w:hint="eastAsia" w:ascii="宋体" w:hAnsi="宋体"/>
                <w:bCs/>
                <w:color w:val="auto"/>
                <w:sz w:val="24"/>
                <w:highlight w:val="none"/>
                <w:lang w:val="en-US" w:eastAsia="zh-CN"/>
              </w:rPr>
              <w:t>2</w:t>
            </w:r>
            <w:r>
              <w:rPr>
                <w:rFonts w:ascii="宋体" w:hAnsi="宋体"/>
                <w:bCs/>
                <w:color w:val="auto"/>
                <w:sz w:val="24"/>
                <w:highlight w:val="none"/>
              </w:rPr>
              <w:t>位。</w:t>
            </w:r>
          </w:p>
          <w:p w14:paraId="46F9B1AB">
            <w:pPr>
              <w:adjustRightInd w:val="0"/>
              <w:snapToGrid w:val="0"/>
              <w:spacing w:before="145" w:beforeLines="50" w:line="44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lang w:val="en-US" w:eastAsia="zh-CN"/>
              </w:rPr>
              <w:t>二</w:t>
            </w: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rPr>
              <w:t>技术</w:t>
            </w:r>
            <w:r>
              <w:rPr>
                <w:rFonts w:hint="eastAsia" w:ascii="宋体" w:hAnsi="宋体" w:eastAsia="宋体" w:cs="Times New Roman"/>
                <w:b/>
                <w:bCs/>
                <w:color w:val="auto"/>
                <w:sz w:val="24"/>
                <w:highlight w:val="none"/>
                <w:lang w:val="en-US" w:eastAsia="zh-CN"/>
              </w:rPr>
              <w:t>规格</w:t>
            </w:r>
            <w:r>
              <w:rPr>
                <w:rFonts w:hint="eastAsia" w:ascii="宋体" w:hAnsi="宋体" w:eastAsia="宋体" w:cs="Times New Roman"/>
                <w:b/>
                <w:bCs/>
                <w:color w:val="auto"/>
                <w:sz w:val="24"/>
                <w:highlight w:val="none"/>
              </w:rPr>
              <w:t>响应情况（</w:t>
            </w:r>
            <w:r>
              <w:rPr>
                <w:rFonts w:hint="eastAsia" w:ascii="宋体" w:hAnsi="宋体" w:cs="Times New Roman"/>
                <w:b/>
                <w:bCs/>
                <w:color w:val="auto"/>
                <w:sz w:val="24"/>
                <w:highlight w:val="none"/>
                <w:lang w:val="en-US" w:eastAsia="zh-CN"/>
              </w:rPr>
              <w:t>29</w:t>
            </w:r>
            <w:r>
              <w:rPr>
                <w:rFonts w:hint="eastAsia" w:ascii="宋体" w:hAnsi="宋体" w:eastAsia="宋体" w:cs="Times New Roman"/>
                <w:b/>
                <w:bCs/>
                <w:color w:val="auto"/>
                <w:sz w:val="24"/>
                <w:highlight w:val="none"/>
              </w:rPr>
              <w:t>分）</w:t>
            </w:r>
          </w:p>
          <w:p w14:paraId="41E98BE4">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2.1</w:t>
            </w:r>
            <w:r>
              <w:rPr>
                <w:rFonts w:hint="eastAsia" w:ascii="宋体" w:hAnsi="宋体" w:eastAsia="宋体" w:cs="Times New Roman"/>
                <w:bCs/>
                <w:color w:val="auto"/>
                <w:sz w:val="24"/>
                <w:highlight w:val="none"/>
                <w:lang w:val="en-US" w:eastAsia="zh-CN"/>
              </w:rPr>
              <w:t>根据投标人提供的技术参数偏离表，并结合所投产品的证明材料，参照招标文件对产品技术参数、性能的要求进行评议。完全满足招标文件技术参数要求的得</w:t>
            </w:r>
            <w:r>
              <w:rPr>
                <w:rFonts w:hint="eastAsia" w:ascii="宋体" w:hAnsi="宋体" w:cs="Times New Roman"/>
                <w:bCs/>
                <w:color w:val="auto"/>
                <w:sz w:val="24"/>
                <w:highlight w:val="none"/>
                <w:lang w:val="en-US" w:eastAsia="zh-CN"/>
              </w:rPr>
              <w:t>29</w:t>
            </w:r>
            <w:r>
              <w:rPr>
                <w:rFonts w:hint="eastAsia" w:ascii="宋体" w:hAnsi="宋体" w:eastAsia="宋体" w:cs="Times New Roman"/>
                <w:bCs/>
                <w:color w:val="auto"/>
                <w:sz w:val="24"/>
                <w:highlight w:val="none"/>
                <w:lang w:val="en-US" w:eastAsia="zh-CN"/>
              </w:rPr>
              <w:t>分。带</w:t>
            </w:r>
            <w:r>
              <w:rPr>
                <w:rFonts w:hint="eastAsia" w:ascii="宋体" w:hAnsi="宋体" w:cs="Times New Roman"/>
                <w:bCs/>
                <w:color w:val="auto"/>
                <w:sz w:val="24"/>
                <w:highlight w:val="none"/>
                <w:lang w:val="en-US" w:eastAsia="zh-CN"/>
              </w:rPr>
              <w:t>△</w:t>
            </w:r>
            <w:r>
              <w:rPr>
                <w:rFonts w:hint="eastAsia" w:ascii="宋体" w:hAnsi="宋体" w:eastAsia="宋体" w:cs="Times New Roman"/>
                <w:bCs/>
                <w:color w:val="auto"/>
                <w:sz w:val="24"/>
                <w:highlight w:val="none"/>
                <w:lang w:val="en-US" w:eastAsia="zh-CN"/>
              </w:rPr>
              <w:t>号的技术指标为重要技术指标，带</w:t>
            </w:r>
            <w:r>
              <w:rPr>
                <w:rFonts w:hint="eastAsia" w:ascii="宋体" w:hAnsi="宋体" w:cs="Times New Roman"/>
                <w:bCs/>
                <w:color w:val="auto"/>
                <w:sz w:val="24"/>
                <w:highlight w:val="none"/>
                <w:lang w:val="en-US" w:eastAsia="zh-CN"/>
              </w:rPr>
              <w:t>△</w:t>
            </w:r>
            <w:r>
              <w:rPr>
                <w:rFonts w:hint="eastAsia" w:ascii="宋体" w:hAnsi="宋体" w:eastAsia="宋体" w:cs="Times New Roman"/>
                <w:bCs/>
                <w:color w:val="auto"/>
                <w:sz w:val="24"/>
                <w:highlight w:val="none"/>
                <w:lang w:val="en-US" w:eastAsia="zh-CN"/>
              </w:rPr>
              <w:t>的参数要求每负偏离一个扣</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w:t>
            </w:r>
            <w:r>
              <w:rPr>
                <w:rFonts w:hint="eastAsia" w:ascii="宋体" w:hAnsi="宋体" w:cs="Times New Roman"/>
                <w:bCs/>
                <w:color w:val="auto"/>
                <w:sz w:val="24"/>
                <w:highlight w:val="none"/>
                <w:lang w:val="en-US" w:eastAsia="zh-CN"/>
              </w:rPr>
              <w:t>一般</w:t>
            </w:r>
            <w:r>
              <w:rPr>
                <w:rFonts w:hint="eastAsia" w:ascii="宋体" w:hAnsi="宋体" w:eastAsia="宋体" w:cs="Times New Roman"/>
                <w:bCs/>
                <w:color w:val="auto"/>
                <w:sz w:val="24"/>
                <w:highlight w:val="none"/>
                <w:lang w:val="en-US" w:eastAsia="zh-CN"/>
              </w:rPr>
              <w:t>参数要求每负偏离一个扣1分（缺项漏项视为负偏离）</w:t>
            </w:r>
            <w:r>
              <w:rPr>
                <w:rFonts w:hint="eastAsia" w:ascii="宋体" w:hAnsi="宋体" w:eastAsia="宋体" w:cs="Times New Roman"/>
                <w:bCs/>
                <w:color w:val="auto"/>
                <w:sz w:val="24"/>
                <w:highlight w:val="none"/>
              </w:rPr>
              <w:t>。</w:t>
            </w:r>
          </w:p>
          <w:p w14:paraId="3DCF3D82">
            <w:pPr>
              <w:adjustRightInd w:val="0"/>
              <w:snapToGrid w:val="0"/>
              <w:spacing w:before="145" w:beforeLines="50" w:line="440" w:lineRule="exact"/>
              <w:ind w:firstLine="482" w:firstLineChars="200"/>
              <w:rPr>
                <w:rFonts w:ascii="宋体" w:hAnsi="宋体"/>
                <w:b/>
                <w:bCs w:val="0"/>
                <w:color w:val="auto"/>
                <w:sz w:val="24"/>
                <w:highlight w:val="none"/>
              </w:rPr>
            </w:pPr>
            <w:r>
              <w:rPr>
                <w:rFonts w:hint="eastAsia" w:ascii="宋体" w:hAnsi="宋体"/>
                <w:b/>
                <w:bCs w:val="0"/>
                <w:color w:val="auto"/>
                <w:sz w:val="24"/>
                <w:highlight w:val="none"/>
              </w:rPr>
              <w:t>（投标人需按照本采购文件第四章的技术要求，在“技术参数响应及偏离表”中如实详细填列所投产品的参数，并按采购文件要求提供相应证明材料并在偏离表中标明所在页码，否则评标委员会有权做负偏离处理）</w:t>
            </w:r>
          </w:p>
          <w:p w14:paraId="4AF9DAD4">
            <w:pPr>
              <w:adjustRightInd w:val="0"/>
              <w:snapToGrid w:val="0"/>
              <w:spacing w:before="145" w:beforeLines="50" w:line="440" w:lineRule="exac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（三）项目服务方案（</w:t>
            </w:r>
            <w:r>
              <w:rPr>
                <w:rFonts w:hint="eastAsia" w:ascii="宋体" w:hAnsi="宋体" w:eastAsia="宋体" w:cs="Times New Roman"/>
                <w:b/>
                <w:bCs/>
                <w:color w:val="auto"/>
                <w:sz w:val="24"/>
                <w:highlight w:val="none"/>
                <w:lang w:val="en-US" w:eastAsia="zh-CN"/>
              </w:rPr>
              <w:t>3</w:t>
            </w:r>
            <w:r>
              <w:rPr>
                <w:rFonts w:hint="eastAsia" w:ascii="宋体" w:hAnsi="宋体" w:cs="Times New Roman"/>
                <w:b/>
                <w:bCs/>
                <w:color w:val="auto"/>
                <w:sz w:val="24"/>
                <w:highlight w:val="none"/>
                <w:lang w:val="en-US" w:eastAsia="zh-CN"/>
              </w:rPr>
              <w:t>3</w:t>
            </w:r>
            <w:r>
              <w:rPr>
                <w:rFonts w:hint="eastAsia" w:ascii="宋体" w:hAnsi="宋体" w:eastAsia="宋体" w:cs="Times New Roman"/>
                <w:b/>
                <w:bCs/>
                <w:color w:val="auto"/>
                <w:sz w:val="24"/>
                <w:highlight w:val="none"/>
                <w:lang w:eastAsia="zh-CN"/>
              </w:rPr>
              <w:t>分）</w:t>
            </w:r>
          </w:p>
          <w:p w14:paraId="6F23A8D6">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w:t>
            </w:r>
            <w:r>
              <w:rPr>
                <w:rFonts w:hint="eastAsia" w:ascii="宋体" w:hAnsi="宋体" w:eastAsia="宋体" w:cs="Times New Roman"/>
                <w:bCs/>
                <w:color w:val="auto"/>
                <w:sz w:val="24"/>
                <w:highlight w:val="none"/>
                <w:lang w:val="en-US" w:eastAsia="zh-CN"/>
              </w:rPr>
              <w:t>1设备到货、安装及调试方案</w:t>
            </w:r>
            <w:r>
              <w:rPr>
                <w:rFonts w:hint="eastAsia" w:ascii="宋体" w:hAnsi="宋体" w:cs="Times New Roman"/>
                <w:bCs/>
                <w:color w:val="auto"/>
                <w:sz w:val="24"/>
                <w:highlight w:val="none"/>
                <w:lang w:val="en-US" w:eastAsia="zh-CN"/>
              </w:rPr>
              <w:t>：</w:t>
            </w:r>
            <w:r>
              <w:rPr>
                <w:rFonts w:hint="eastAsia" w:ascii="宋体" w:hAnsi="宋体" w:eastAsia="宋体" w:cs="Times New Roman"/>
                <w:bCs/>
                <w:color w:val="auto"/>
                <w:sz w:val="24"/>
                <w:highlight w:val="none"/>
              </w:rPr>
              <w:t>根据供应商提供的设备到货安装方案、操作流程、配送方案及追溯措施、安装完成后与</w:t>
            </w:r>
            <w:r>
              <w:rPr>
                <w:rFonts w:hint="eastAsia" w:ascii="宋体" w:hAnsi="宋体" w:cs="Times New Roman"/>
                <w:bCs/>
                <w:color w:val="auto"/>
                <w:sz w:val="24"/>
                <w:highlight w:val="none"/>
                <w:lang w:val="en-US" w:eastAsia="zh-CN"/>
              </w:rPr>
              <w:t>采购</w:t>
            </w:r>
            <w:r>
              <w:rPr>
                <w:rFonts w:hint="eastAsia" w:ascii="宋体" w:hAnsi="宋体" w:eastAsia="宋体" w:cs="Times New Roman"/>
                <w:bCs/>
                <w:color w:val="auto"/>
                <w:sz w:val="24"/>
                <w:highlight w:val="none"/>
              </w:rPr>
              <w:t>人对接保障其运行方案。</w:t>
            </w:r>
          </w:p>
          <w:p w14:paraId="57DD9BEA">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方案非常全面、科学性强、可行性强的得</w:t>
            </w:r>
            <w:r>
              <w:rPr>
                <w:rFonts w:hint="eastAsia" w:ascii="宋体" w:hAnsi="宋体" w:cs="Times New Roman"/>
                <w:bCs/>
                <w:color w:val="auto"/>
                <w:sz w:val="24"/>
                <w:highlight w:val="none"/>
                <w:lang w:val="en-US" w:eastAsia="zh-CN"/>
              </w:rPr>
              <w:t>6</w:t>
            </w:r>
            <w:r>
              <w:rPr>
                <w:rFonts w:hint="eastAsia" w:ascii="宋体" w:hAnsi="宋体" w:eastAsia="宋体" w:cs="Times New Roman"/>
                <w:bCs/>
                <w:color w:val="auto"/>
                <w:sz w:val="24"/>
                <w:highlight w:val="none"/>
              </w:rPr>
              <w:t>分；</w:t>
            </w:r>
          </w:p>
          <w:p w14:paraId="0C1190B7">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方案较为全面、科学性较强、可行性较强的得</w:t>
            </w:r>
            <w:r>
              <w:rPr>
                <w:rFonts w:hint="eastAsia" w:ascii="宋体" w:hAnsi="宋体" w:cs="Times New Roman"/>
                <w:bCs/>
                <w:color w:val="auto"/>
                <w:sz w:val="24"/>
                <w:highlight w:val="none"/>
                <w:lang w:val="en-US" w:eastAsia="zh-CN"/>
              </w:rPr>
              <w:t>4</w:t>
            </w:r>
            <w:r>
              <w:rPr>
                <w:rFonts w:hint="eastAsia" w:ascii="宋体" w:hAnsi="宋体" w:eastAsia="宋体" w:cs="Times New Roman"/>
                <w:bCs/>
                <w:color w:val="auto"/>
                <w:sz w:val="24"/>
                <w:highlight w:val="none"/>
              </w:rPr>
              <w:t xml:space="preserve">分； </w:t>
            </w:r>
          </w:p>
          <w:p w14:paraId="13004151">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方案不够全面、科学性一般、可行性一般的得</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rPr>
              <w:t xml:space="preserve">分； </w:t>
            </w:r>
          </w:p>
          <w:p w14:paraId="28DB8BE3">
            <w:pPr>
              <w:adjustRightInd w:val="0"/>
              <w:snapToGrid w:val="0"/>
              <w:spacing w:line="440" w:lineRule="exact"/>
              <w:ind w:firstLine="480" w:firstLineChars="200"/>
              <w:rPr>
                <w:rFonts w:hint="eastAsia"/>
                <w:color w:val="auto"/>
                <w:highlight w:val="none"/>
              </w:rPr>
            </w:pPr>
            <w:r>
              <w:rPr>
                <w:rFonts w:hint="eastAsia" w:ascii="宋体" w:hAnsi="宋体" w:eastAsia="宋体" w:cs="Times New Roman"/>
                <w:bCs/>
                <w:color w:val="auto"/>
                <w:sz w:val="24"/>
                <w:highlight w:val="none"/>
                <w:lang w:val="en-US" w:eastAsia="zh-CN"/>
              </w:rPr>
              <w:t>其他</w:t>
            </w:r>
            <w:r>
              <w:rPr>
                <w:rFonts w:hint="eastAsia" w:ascii="宋体" w:hAnsi="宋体" w:eastAsia="宋体" w:cs="Times New Roman"/>
                <w:bCs/>
                <w:color w:val="auto"/>
                <w:sz w:val="24"/>
                <w:highlight w:val="none"/>
              </w:rPr>
              <w:t>或未提供的不得分。</w:t>
            </w:r>
          </w:p>
          <w:p w14:paraId="2DE6F86F">
            <w:pPr>
              <w:adjustRightInd w:val="0"/>
              <w:snapToGrid w:val="0"/>
              <w:spacing w:line="440" w:lineRule="exact"/>
              <w:ind w:firstLine="480" w:firstLineChars="20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3.2培训方案：评标委员会对培训方案进行评审，培训计划及方案应包括但不限于：培训内容、培训方法、培训师资等。</w:t>
            </w:r>
          </w:p>
          <w:p w14:paraId="0EFE6927">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方案非常全面、</w:t>
            </w:r>
            <w:r>
              <w:rPr>
                <w:rFonts w:hint="eastAsia" w:ascii="宋体" w:hAnsi="宋体" w:eastAsia="宋体" w:cs="Times New Roman"/>
                <w:bCs/>
                <w:color w:val="auto"/>
                <w:sz w:val="24"/>
                <w:highlight w:val="none"/>
                <w:lang w:val="en-US" w:eastAsia="zh-CN"/>
              </w:rPr>
              <w:t>培训内容非常丰富、培训师资配备非常充足</w:t>
            </w:r>
            <w:r>
              <w:rPr>
                <w:rFonts w:hint="eastAsia" w:ascii="宋体" w:hAnsi="宋体" w:eastAsia="宋体" w:cs="Times New Roman"/>
                <w:bCs/>
                <w:color w:val="auto"/>
                <w:sz w:val="24"/>
                <w:highlight w:val="none"/>
              </w:rPr>
              <w:t>的得</w:t>
            </w:r>
            <w:r>
              <w:rPr>
                <w:rFonts w:hint="eastAsia" w:ascii="宋体" w:hAnsi="宋体" w:cs="Times New Roman"/>
                <w:bCs/>
                <w:color w:val="auto"/>
                <w:sz w:val="24"/>
                <w:highlight w:val="none"/>
                <w:lang w:val="en-US" w:eastAsia="zh-CN"/>
              </w:rPr>
              <w:t>9</w:t>
            </w:r>
            <w:r>
              <w:rPr>
                <w:rFonts w:hint="eastAsia" w:ascii="宋体" w:hAnsi="宋体" w:eastAsia="宋体" w:cs="Times New Roman"/>
                <w:bCs/>
                <w:color w:val="auto"/>
                <w:sz w:val="24"/>
                <w:highlight w:val="none"/>
              </w:rPr>
              <w:t>分；</w:t>
            </w:r>
          </w:p>
          <w:p w14:paraId="27C3E673">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方案较为全面、</w:t>
            </w:r>
            <w:r>
              <w:rPr>
                <w:rFonts w:hint="eastAsia" w:ascii="宋体" w:hAnsi="宋体" w:eastAsia="宋体" w:cs="Times New Roman"/>
                <w:bCs/>
                <w:color w:val="auto"/>
                <w:sz w:val="24"/>
                <w:highlight w:val="none"/>
                <w:lang w:val="en-US" w:eastAsia="zh-CN"/>
              </w:rPr>
              <w:t>培训内容较为丰富、培训师资配备齐全</w:t>
            </w:r>
            <w:r>
              <w:rPr>
                <w:rFonts w:hint="eastAsia" w:ascii="宋体" w:hAnsi="宋体" w:eastAsia="宋体" w:cs="Times New Roman"/>
                <w:bCs/>
                <w:color w:val="auto"/>
                <w:sz w:val="24"/>
                <w:highlight w:val="none"/>
              </w:rPr>
              <w:t>的得</w:t>
            </w:r>
            <w:r>
              <w:rPr>
                <w:rFonts w:hint="eastAsia" w:ascii="宋体" w:hAnsi="宋体" w:cs="Times New Roman"/>
                <w:bCs/>
                <w:color w:val="auto"/>
                <w:sz w:val="24"/>
                <w:highlight w:val="none"/>
                <w:lang w:val="en-US" w:eastAsia="zh-CN"/>
              </w:rPr>
              <w:t>6</w:t>
            </w:r>
            <w:r>
              <w:rPr>
                <w:rFonts w:hint="eastAsia" w:ascii="宋体" w:hAnsi="宋体" w:eastAsia="宋体" w:cs="Times New Roman"/>
                <w:bCs/>
                <w:color w:val="auto"/>
                <w:sz w:val="24"/>
                <w:highlight w:val="none"/>
              </w:rPr>
              <w:t xml:space="preserve">分； </w:t>
            </w:r>
          </w:p>
          <w:p w14:paraId="1C461B32">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w:t>
            </w:r>
            <w:r>
              <w:rPr>
                <w:rFonts w:hint="eastAsia" w:ascii="宋体" w:hAnsi="宋体" w:eastAsia="宋体" w:cs="Times New Roman"/>
                <w:bCs/>
                <w:color w:val="auto"/>
                <w:sz w:val="24"/>
                <w:highlight w:val="none"/>
                <w:lang w:val="en-US" w:eastAsia="zh-CN"/>
              </w:rPr>
              <w:t>简单</w:t>
            </w:r>
            <w:r>
              <w:rPr>
                <w:rFonts w:hint="eastAsia" w:ascii="宋体" w:hAnsi="宋体" w:eastAsia="宋体" w:cs="Times New Roman"/>
                <w:bCs/>
                <w:color w:val="auto"/>
                <w:sz w:val="24"/>
                <w:highlight w:val="none"/>
              </w:rPr>
              <w:t>、</w:t>
            </w:r>
            <w:r>
              <w:rPr>
                <w:rFonts w:hint="eastAsia" w:ascii="宋体" w:hAnsi="宋体" w:eastAsia="宋体" w:cs="Times New Roman"/>
                <w:bCs/>
                <w:color w:val="auto"/>
                <w:sz w:val="24"/>
                <w:highlight w:val="none"/>
                <w:lang w:val="en-US" w:eastAsia="zh-CN"/>
              </w:rPr>
              <w:t>培训内容简单</w:t>
            </w:r>
            <w:r>
              <w:rPr>
                <w:rFonts w:hint="eastAsia" w:ascii="宋体" w:hAnsi="宋体" w:eastAsia="宋体" w:cs="Times New Roman"/>
                <w:bCs/>
                <w:color w:val="auto"/>
                <w:sz w:val="24"/>
                <w:highlight w:val="none"/>
              </w:rPr>
              <w:t>的得</w:t>
            </w:r>
            <w:r>
              <w:rPr>
                <w:rFonts w:hint="eastAsia" w:ascii="宋体" w:hAnsi="宋体" w:cs="Times New Roman"/>
                <w:bCs/>
                <w:color w:val="auto"/>
                <w:sz w:val="24"/>
                <w:highlight w:val="none"/>
                <w:lang w:val="en-US" w:eastAsia="zh-CN"/>
              </w:rPr>
              <w:t>3</w:t>
            </w:r>
            <w:r>
              <w:rPr>
                <w:rFonts w:hint="eastAsia" w:ascii="宋体" w:hAnsi="宋体" w:eastAsia="宋体" w:cs="Times New Roman"/>
                <w:bCs/>
                <w:color w:val="auto"/>
                <w:sz w:val="24"/>
                <w:highlight w:val="none"/>
              </w:rPr>
              <w:t xml:space="preserve">分； </w:t>
            </w:r>
          </w:p>
          <w:p w14:paraId="5647CDD5">
            <w:pPr>
              <w:adjustRightInd w:val="0"/>
              <w:snapToGrid w:val="0"/>
              <w:spacing w:line="440" w:lineRule="exact"/>
              <w:ind w:firstLine="480" w:firstLineChars="200"/>
              <w:rPr>
                <w:rFonts w:hint="default" w:ascii="宋体" w:hAnsi="宋体" w:eastAsia="宋体" w:cs="Times New Roman"/>
                <w:bCs/>
                <w:color w:val="auto"/>
                <w:sz w:val="24"/>
                <w:highlight w:val="none"/>
                <w:lang w:val="en-US"/>
              </w:rPr>
            </w:pPr>
            <w:r>
              <w:rPr>
                <w:rFonts w:hint="eastAsia" w:ascii="宋体" w:hAnsi="宋体" w:eastAsia="宋体" w:cs="Times New Roman"/>
                <w:bCs/>
                <w:color w:val="auto"/>
                <w:sz w:val="24"/>
                <w:highlight w:val="none"/>
                <w:lang w:val="en-US" w:eastAsia="zh-CN"/>
              </w:rPr>
              <w:t>其他</w:t>
            </w:r>
            <w:r>
              <w:rPr>
                <w:rFonts w:hint="eastAsia" w:ascii="宋体" w:hAnsi="宋体" w:eastAsia="宋体" w:cs="Times New Roman"/>
                <w:bCs/>
                <w:color w:val="auto"/>
                <w:sz w:val="24"/>
                <w:highlight w:val="none"/>
              </w:rPr>
              <w:t>或未提供的不得分。</w:t>
            </w:r>
          </w:p>
          <w:p w14:paraId="0403DAD2">
            <w:pPr>
              <w:adjustRightInd w:val="0"/>
              <w:snapToGrid w:val="0"/>
              <w:spacing w:line="440" w:lineRule="exact"/>
              <w:ind w:firstLine="480" w:firstLineChars="200"/>
              <w:rPr>
                <w:rFonts w:hint="eastAsia" w:ascii="宋体" w:hAnsi="宋体" w:cs="Times New Roman"/>
                <w:bCs/>
                <w:color w:val="auto"/>
                <w:sz w:val="24"/>
                <w:highlight w:val="none"/>
                <w:lang w:eastAsia="zh-CN"/>
              </w:rPr>
            </w:pPr>
            <w:r>
              <w:rPr>
                <w:rFonts w:hint="eastAsia" w:ascii="宋体" w:hAnsi="宋体" w:eastAsia="宋体" w:cs="Times New Roman"/>
                <w:bCs/>
                <w:color w:val="auto"/>
                <w:sz w:val="24"/>
                <w:highlight w:val="none"/>
              </w:rPr>
              <w:t>3.</w:t>
            </w:r>
            <w:r>
              <w:rPr>
                <w:rFonts w:hint="eastAsia" w:ascii="宋体" w:hAnsi="宋体" w:eastAsia="宋体" w:cs="Times New Roman"/>
                <w:bCs/>
                <w:color w:val="auto"/>
                <w:sz w:val="24"/>
                <w:highlight w:val="none"/>
                <w:lang w:val="en-US" w:eastAsia="zh-CN"/>
              </w:rPr>
              <w:t>3</w:t>
            </w:r>
            <w:r>
              <w:rPr>
                <w:rFonts w:hint="eastAsia" w:ascii="宋体" w:hAnsi="宋体" w:eastAsia="宋体" w:cs="Times New Roman"/>
                <w:bCs/>
                <w:color w:val="auto"/>
                <w:sz w:val="24"/>
                <w:highlight w:val="none"/>
              </w:rPr>
              <w:t>质量管理与控制方案：根据投标人提供的质量管理与控制方案进行综合评分（包括但不限于入库材料质量检验机制、使用过程中发现的质量问题进行跟踪和处理等）</w:t>
            </w:r>
            <w:r>
              <w:rPr>
                <w:rFonts w:hint="eastAsia" w:ascii="宋体" w:hAnsi="宋体" w:cs="Times New Roman"/>
                <w:bCs/>
                <w:color w:val="auto"/>
                <w:sz w:val="24"/>
                <w:highlight w:val="none"/>
                <w:lang w:eastAsia="zh-CN"/>
              </w:rPr>
              <w:t>。</w:t>
            </w:r>
          </w:p>
          <w:p w14:paraId="51B81C2E">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方案非常全面、科学性强、可行性强的得</w:t>
            </w:r>
            <w:r>
              <w:rPr>
                <w:rFonts w:hint="eastAsia" w:ascii="宋体" w:hAnsi="宋体" w:eastAsia="宋体" w:cs="Times New Roman"/>
                <w:bCs/>
                <w:color w:val="auto"/>
                <w:sz w:val="24"/>
                <w:highlight w:val="none"/>
                <w:lang w:val="en-US" w:eastAsia="zh-CN"/>
              </w:rPr>
              <w:t>9</w:t>
            </w:r>
            <w:r>
              <w:rPr>
                <w:rFonts w:hint="eastAsia" w:ascii="宋体" w:hAnsi="宋体" w:eastAsia="宋体" w:cs="Times New Roman"/>
                <w:bCs/>
                <w:color w:val="auto"/>
                <w:sz w:val="24"/>
                <w:highlight w:val="none"/>
              </w:rPr>
              <w:t>分；</w:t>
            </w:r>
          </w:p>
          <w:p w14:paraId="7F2713CB">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方案较为全面、科学性较强、可行性较强的得</w:t>
            </w:r>
            <w:r>
              <w:rPr>
                <w:rFonts w:hint="eastAsia" w:ascii="宋体" w:hAnsi="宋体" w:eastAsia="宋体" w:cs="Times New Roman"/>
                <w:bCs/>
                <w:color w:val="auto"/>
                <w:sz w:val="24"/>
                <w:highlight w:val="none"/>
                <w:lang w:val="en-US" w:eastAsia="zh-CN"/>
              </w:rPr>
              <w:t>6</w:t>
            </w:r>
            <w:r>
              <w:rPr>
                <w:rFonts w:hint="eastAsia" w:ascii="宋体" w:hAnsi="宋体" w:eastAsia="宋体" w:cs="Times New Roman"/>
                <w:bCs/>
                <w:color w:val="auto"/>
                <w:sz w:val="24"/>
                <w:highlight w:val="none"/>
              </w:rPr>
              <w:t xml:space="preserve">分； </w:t>
            </w:r>
          </w:p>
          <w:p w14:paraId="360F3067">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方案不够全面、科学性一般、可行性一般的得</w:t>
            </w:r>
            <w:r>
              <w:rPr>
                <w:rFonts w:hint="eastAsia" w:ascii="宋体" w:hAnsi="宋体" w:eastAsia="宋体" w:cs="Times New Roman"/>
                <w:bCs/>
                <w:color w:val="auto"/>
                <w:sz w:val="24"/>
                <w:highlight w:val="none"/>
                <w:lang w:val="en-US" w:eastAsia="zh-CN"/>
              </w:rPr>
              <w:t>3</w:t>
            </w:r>
            <w:r>
              <w:rPr>
                <w:rFonts w:hint="eastAsia" w:ascii="宋体" w:hAnsi="宋体" w:eastAsia="宋体" w:cs="Times New Roman"/>
                <w:bCs/>
                <w:color w:val="auto"/>
                <w:sz w:val="24"/>
                <w:highlight w:val="none"/>
              </w:rPr>
              <w:t xml:space="preserve">分； </w:t>
            </w:r>
          </w:p>
          <w:p w14:paraId="1ABBD163">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其他</w:t>
            </w:r>
            <w:r>
              <w:rPr>
                <w:rFonts w:hint="eastAsia" w:ascii="宋体" w:hAnsi="宋体" w:eastAsia="宋体" w:cs="Times New Roman"/>
                <w:bCs/>
                <w:color w:val="auto"/>
                <w:sz w:val="24"/>
                <w:highlight w:val="none"/>
              </w:rPr>
              <w:t>或未提供的不得分。</w:t>
            </w:r>
          </w:p>
          <w:p w14:paraId="5A31907A">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w:t>
            </w:r>
            <w:r>
              <w:rPr>
                <w:rFonts w:hint="eastAsia" w:ascii="宋体" w:hAnsi="宋体" w:cs="Times New Roman"/>
                <w:bCs/>
                <w:color w:val="auto"/>
                <w:sz w:val="24"/>
                <w:highlight w:val="none"/>
                <w:lang w:val="en-US" w:eastAsia="zh-CN"/>
              </w:rPr>
              <w:t>4</w:t>
            </w:r>
            <w:r>
              <w:rPr>
                <w:rFonts w:hint="eastAsia" w:ascii="宋体" w:hAnsi="宋体" w:eastAsia="宋体" w:cs="Times New Roman"/>
                <w:bCs/>
                <w:color w:val="auto"/>
                <w:sz w:val="24"/>
                <w:highlight w:val="none"/>
              </w:rPr>
              <w:t>售后</w:t>
            </w:r>
            <w:r>
              <w:rPr>
                <w:rFonts w:hint="eastAsia" w:ascii="宋体" w:hAnsi="宋体" w:cs="Times New Roman"/>
                <w:bCs/>
                <w:color w:val="auto"/>
                <w:sz w:val="24"/>
                <w:highlight w:val="none"/>
                <w:lang w:val="en-US" w:eastAsia="zh-CN"/>
              </w:rPr>
              <w:t>服务</w:t>
            </w:r>
            <w:r>
              <w:rPr>
                <w:rFonts w:hint="eastAsia" w:ascii="宋体" w:hAnsi="宋体" w:eastAsia="宋体" w:cs="Times New Roman"/>
                <w:bCs/>
                <w:color w:val="auto"/>
                <w:sz w:val="24"/>
                <w:highlight w:val="none"/>
              </w:rPr>
              <w:t>方案：供应商根据项目需求提供售后服务方案，包括但不限于售后服务体系、售后服务机构及人员、售后服务应答及处理时间，质保期内及质保期满后的售后服务情况进行评审。</w:t>
            </w:r>
          </w:p>
          <w:p w14:paraId="3EE6DA9A">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方案合理全面、响应时间迅速、服务人员齐备得</w:t>
            </w:r>
            <w:r>
              <w:rPr>
                <w:rFonts w:hint="eastAsia" w:ascii="宋体" w:hAnsi="宋体" w:cs="Times New Roman"/>
                <w:bCs/>
                <w:color w:val="auto"/>
                <w:sz w:val="24"/>
                <w:highlight w:val="none"/>
                <w:lang w:val="en-US" w:eastAsia="zh-CN"/>
              </w:rPr>
              <w:t>9</w:t>
            </w:r>
            <w:r>
              <w:rPr>
                <w:rFonts w:hint="eastAsia" w:ascii="宋体" w:hAnsi="宋体" w:eastAsia="宋体" w:cs="Times New Roman"/>
                <w:bCs/>
                <w:color w:val="auto"/>
                <w:sz w:val="24"/>
                <w:highlight w:val="none"/>
              </w:rPr>
              <w:t>分；</w:t>
            </w:r>
          </w:p>
          <w:p w14:paraId="016495D3">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方案较合理、响应时间较迅速、服务人员较齐全得</w:t>
            </w:r>
            <w:r>
              <w:rPr>
                <w:rFonts w:hint="eastAsia" w:ascii="宋体" w:hAnsi="宋体" w:cs="Times New Roman"/>
                <w:bCs/>
                <w:color w:val="auto"/>
                <w:sz w:val="24"/>
                <w:highlight w:val="none"/>
                <w:lang w:val="en-US" w:eastAsia="zh-CN"/>
              </w:rPr>
              <w:t>6</w:t>
            </w:r>
            <w:r>
              <w:rPr>
                <w:rFonts w:hint="eastAsia" w:ascii="宋体" w:hAnsi="宋体" w:eastAsia="宋体" w:cs="Times New Roman"/>
                <w:bCs/>
                <w:color w:val="auto"/>
                <w:sz w:val="24"/>
                <w:highlight w:val="none"/>
              </w:rPr>
              <w:t>分；</w:t>
            </w:r>
          </w:p>
          <w:p w14:paraId="21BDD464">
            <w:pPr>
              <w:adjustRightInd w:val="0"/>
              <w:snapToGrid w:val="0"/>
              <w:spacing w:line="440" w:lineRule="exact"/>
              <w:ind w:firstLine="480" w:firstLineChars="200"/>
              <w:rPr>
                <w:rFonts w:hint="eastAsia" w:ascii="宋体" w:hAnsi="宋体" w:cs="Times New Roman"/>
                <w:bCs/>
                <w:color w:val="auto"/>
                <w:sz w:val="24"/>
                <w:highlight w:val="none"/>
                <w:lang w:eastAsia="zh-CN"/>
              </w:rPr>
            </w:pPr>
            <w:r>
              <w:rPr>
                <w:rFonts w:hint="eastAsia" w:ascii="宋体" w:hAnsi="宋体" w:eastAsia="宋体" w:cs="Times New Roman"/>
                <w:bCs/>
                <w:color w:val="auto"/>
                <w:sz w:val="24"/>
                <w:highlight w:val="none"/>
              </w:rPr>
              <w:t>方案简单、响应时间速度一般得</w:t>
            </w:r>
            <w:r>
              <w:rPr>
                <w:rFonts w:hint="eastAsia" w:ascii="宋体" w:hAnsi="宋体" w:cs="Times New Roman"/>
                <w:bCs/>
                <w:color w:val="auto"/>
                <w:sz w:val="24"/>
                <w:highlight w:val="none"/>
                <w:lang w:val="en-US" w:eastAsia="zh-CN"/>
              </w:rPr>
              <w:t>3</w:t>
            </w:r>
            <w:r>
              <w:rPr>
                <w:rFonts w:hint="eastAsia" w:ascii="宋体" w:hAnsi="宋体" w:eastAsia="宋体" w:cs="Times New Roman"/>
                <w:bCs/>
                <w:color w:val="auto"/>
                <w:sz w:val="24"/>
                <w:highlight w:val="none"/>
              </w:rPr>
              <w:t>分</w:t>
            </w:r>
            <w:r>
              <w:rPr>
                <w:rFonts w:hint="eastAsia" w:ascii="宋体" w:hAnsi="宋体" w:cs="Times New Roman"/>
                <w:bCs/>
                <w:color w:val="auto"/>
                <w:sz w:val="24"/>
                <w:highlight w:val="none"/>
                <w:lang w:eastAsia="zh-CN"/>
              </w:rPr>
              <w:t>；</w:t>
            </w:r>
          </w:p>
          <w:p w14:paraId="2624C683">
            <w:pPr>
              <w:adjustRightInd w:val="0"/>
              <w:snapToGrid w:val="0"/>
              <w:spacing w:line="440" w:lineRule="exact"/>
              <w:ind w:firstLine="480" w:firstLineChars="200"/>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其他或未</w:t>
            </w:r>
            <w:r>
              <w:rPr>
                <w:rFonts w:hint="eastAsia" w:ascii="宋体" w:hAnsi="宋体" w:eastAsia="宋体" w:cs="Times New Roman"/>
                <w:bCs/>
                <w:color w:val="auto"/>
                <w:sz w:val="24"/>
                <w:highlight w:val="none"/>
              </w:rPr>
              <w:t>提供</w:t>
            </w:r>
            <w:r>
              <w:rPr>
                <w:rFonts w:hint="eastAsia" w:ascii="宋体" w:hAnsi="宋体" w:cs="Times New Roman"/>
                <w:bCs/>
                <w:color w:val="auto"/>
                <w:sz w:val="24"/>
                <w:highlight w:val="none"/>
                <w:lang w:eastAsia="zh-CN"/>
              </w:rPr>
              <w:t>的</w:t>
            </w:r>
            <w:r>
              <w:rPr>
                <w:rFonts w:hint="eastAsia" w:ascii="宋体" w:hAnsi="宋体" w:eastAsia="宋体" w:cs="Times New Roman"/>
                <w:bCs/>
                <w:color w:val="auto"/>
                <w:sz w:val="24"/>
                <w:highlight w:val="none"/>
              </w:rPr>
              <w:t>不得分。</w:t>
            </w:r>
          </w:p>
          <w:p w14:paraId="49603BE6">
            <w:pPr>
              <w:adjustRightInd w:val="0"/>
              <w:snapToGrid w:val="0"/>
              <w:spacing w:before="145" w:beforeLines="50" w:line="440" w:lineRule="exac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（五）投标人履约能力（</w:t>
            </w:r>
            <w:r>
              <w:rPr>
                <w:rFonts w:hint="eastAsia" w:ascii="宋体" w:hAnsi="宋体" w:cs="Times New Roman"/>
                <w:b/>
                <w:bCs/>
                <w:color w:val="auto"/>
                <w:sz w:val="24"/>
                <w:highlight w:val="none"/>
                <w:lang w:val="en-US" w:eastAsia="zh-CN"/>
              </w:rPr>
              <w:t>8</w:t>
            </w:r>
            <w:r>
              <w:rPr>
                <w:rFonts w:hint="eastAsia" w:ascii="宋体" w:hAnsi="宋体" w:eastAsia="宋体" w:cs="Times New Roman"/>
                <w:b/>
                <w:bCs/>
                <w:color w:val="auto"/>
                <w:sz w:val="24"/>
                <w:highlight w:val="none"/>
                <w:lang w:eastAsia="zh-CN"/>
              </w:rPr>
              <w:t>分）</w:t>
            </w:r>
          </w:p>
          <w:p w14:paraId="3902BA14">
            <w:pPr>
              <w:adjustRightInd w:val="0"/>
              <w:snapToGrid w:val="0"/>
              <w:spacing w:line="440" w:lineRule="exact"/>
              <w:ind w:firstLine="480" w:firstLineChars="200"/>
              <w:rPr>
                <w:rFonts w:hint="eastAsia" w:ascii="宋体" w:hAnsi="宋体" w:cs="宋体"/>
                <w:color w:val="auto"/>
                <w:sz w:val="20"/>
                <w:highlight w:val="none"/>
              </w:rPr>
            </w:pPr>
            <w:r>
              <w:rPr>
                <w:rFonts w:hint="eastAsia" w:ascii="宋体" w:hAnsi="宋体" w:eastAsia="宋体" w:cs="Times New Roman"/>
                <w:bCs/>
                <w:color w:val="auto"/>
                <w:sz w:val="24"/>
                <w:highlight w:val="none"/>
                <w:lang w:val="en-US" w:eastAsia="zh-CN"/>
              </w:rPr>
              <w:t>5.1根据投标人自202</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年1月1日以来的类似项目销售业绩进行评分，每提供1个业绩证明得</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分，最多得</w:t>
            </w:r>
            <w:r>
              <w:rPr>
                <w:rFonts w:hint="eastAsia" w:ascii="宋体" w:hAnsi="宋体" w:cs="Times New Roman"/>
                <w:bCs/>
                <w:color w:val="auto"/>
                <w:sz w:val="24"/>
                <w:highlight w:val="none"/>
                <w:lang w:val="en-US" w:eastAsia="zh-CN"/>
              </w:rPr>
              <w:t>8</w:t>
            </w:r>
            <w:r>
              <w:rPr>
                <w:rFonts w:hint="eastAsia" w:ascii="宋体" w:hAnsi="宋体" w:eastAsia="宋体" w:cs="Times New Roman"/>
                <w:bCs/>
                <w:color w:val="auto"/>
                <w:sz w:val="24"/>
                <w:highlight w:val="none"/>
                <w:lang w:val="en-US" w:eastAsia="zh-CN"/>
              </w:rPr>
              <w:t>分（提供合同、协议等证明材料，提供复印件加盖公章，复印件需清晰可见内容主体</w:t>
            </w:r>
            <w:r>
              <w:rPr>
                <w:rFonts w:hint="eastAsia" w:ascii="宋体" w:hAnsi="宋体" w:cs="Times New Roman"/>
                <w:bCs/>
                <w:color w:val="auto"/>
                <w:sz w:val="24"/>
                <w:highlight w:val="none"/>
                <w:lang w:val="en-US" w:eastAsia="zh-CN"/>
              </w:rPr>
              <w:t>）。</w:t>
            </w:r>
          </w:p>
        </w:tc>
      </w:tr>
    </w:tbl>
    <w:p w14:paraId="55C6C4C2">
      <w:pPr>
        <w:rPr>
          <w:rFonts w:hint="eastAsia" w:ascii="宋体" w:hAnsi="宋体" w:cs="宋体"/>
          <w:color w:val="auto"/>
          <w:sz w:val="20"/>
          <w:highlight w:val="none"/>
        </w:rPr>
      </w:pPr>
    </w:p>
    <w:p w14:paraId="45771B12">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2、详细评审。评标委员会按照招标文件规定的评分标准，对各投标文件进行详细评审打分。评标委员会组长对各评审专家的打分情况进行复核无误后汇总，形成评审报告。</w:t>
      </w:r>
    </w:p>
    <w:p w14:paraId="05565E28">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说明：</w:t>
      </w:r>
    </w:p>
    <w:p w14:paraId="5D66C520">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（2）小微企业的价格扣除</w:t>
      </w:r>
    </w:p>
    <w:p w14:paraId="4AA536FD">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p>
    <w:p w14:paraId="3F3B63FF">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（2.2）价格扣除比例或者价格分加分比例对小型企业和微型企业同等对待，不作区分。</w:t>
      </w:r>
    </w:p>
    <w:p w14:paraId="6478108A">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（3）监狱和戒毒企业的价格扣除</w:t>
      </w:r>
    </w:p>
    <w:p w14:paraId="6D1F7557">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（3.1）本项目对监狱和戒毒企业（简称监狱企业），给予10%的价格扣除，用扣除后的价格参与评审。</w:t>
      </w:r>
    </w:p>
    <w:p w14:paraId="6AE58A6E">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（3.2）监狱企业需提供由省级以上监狱管理局、戒毒管理局（含新疆生产建设兵团）出具的属于监狱企业的证明文件。</w:t>
      </w:r>
    </w:p>
    <w:p w14:paraId="02FC99AC">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（3.3）监狱企业标准请参照《关于政府采购支持监狱企业发展有关问题的通知》（财库[2014]68号）。</w:t>
      </w:r>
    </w:p>
    <w:p w14:paraId="2FA00AC4">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（4）残疾人福利性单位的价格扣除</w:t>
      </w:r>
    </w:p>
    <w:p w14:paraId="29C9CC49">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（4.1）本项目对残疾人福利性单位，给予10%的价格扣除，用扣除后的价格参与评审。</w:t>
      </w:r>
    </w:p>
    <w:p w14:paraId="3DAED726">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（4.2）残疾人福利单位需按照招标文件的要求提供《残疾人福利性单位声明函》。</w:t>
      </w:r>
    </w:p>
    <w:p w14:paraId="7780A358">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（4.3）残疾人福利单位标准请参照《关于促进残疾人就业政府采购政策的通知》（财库〔2017〕141号）。</w:t>
      </w:r>
    </w:p>
    <w:p w14:paraId="1D075F4E">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（5）监狱企业、残疾人福利单位属于小型、微型企业的，不重复享受政策。</w:t>
      </w:r>
    </w:p>
    <w:p w14:paraId="3EE00263">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（6）专门面向中小企业采购的项目，不再执行价格评审优惠的扶持政策。</w:t>
      </w:r>
    </w:p>
    <w:p w14:paraId="32C85BA5">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（7）所有认证、证明和业绩均以复印件加盖公章作为依据（文件中明确要求原件的除外），原件标后备查。</w:t>
      </w:r>
    </w:p>
    <w:p w14:paraId="4B708DF3">
      <w:pPr>
        <w:spacing w:line="360" w:lineRule="auto"/>
        <w:ind w:firstLine="420"/>
        <w:rPr>
          <w:rFonts w:hint="eastAsia" w:ascii="宋体" w:hAnsi="宋体" w:cs="宋体"/>
          <w:color w:val="auto"/>
          <w:sz w:val="28"/>
          <w:szCs w:val="24"/>
          <w:highlight w:val="none"/>
        </w:rPr>
      </w:pPr>
    </w:p>
    <w:p w14:paraId="38028848">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3、评标结果。评标委员会按照本办法规定推荐中标候选人，并形成评标报告。 </w:t>
      </w:r>
    </w:p>
    <w:p w14:paraId="3A39CCE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4</w:t>
      </w:r>
      <w:r>
        <w:rPr>
          <w:rFonts w:ascii="宋体" w:hAnsi="宋体" w:cs="宋体"/>
          <w:color w:val="auto"/>
          <w:sz w:val="24"/>
          <w:szCs w:val="24"/>
          <w:highlight w:val="none"/>
        </w:rPr>
        <w:t>.节能环保产品价格扣除</w:t>
      </w:r>
    </w:p>
    <w:p w14:paraId="567631F9">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（1）对投标产品属于《节能产品政府采购清单》或《环境标志产品政府采购清单》的，在评审时给予5%的价格扣除，用扣除后的价格参与评审。若同一产品同时符合节能和环保要求，不重复扣除。</w:t>
      </w:r>
    </w:p>
    <w:p w14:paraId="0F6813EC">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（2）投标人须提供：</w:t>
      </w:r>
    </w:p>
    <w:p w14:paraId="26D0FEE1">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① 国家认可的节能/环境标志产品认证证书；</w:t>
      </w:r>
    </w:p>
    <w:p w14:paraId="0F989178">
      <w:pPr>
        <w:spacing w:line="360" w:lineRule="auto"/>
        <w:ind w:firstLine="420"/>
        <w:rPr>
          <w:rFonts w:hint="eastAsia" w:ascii="宋体" w:hAnsi="宋体" w:cs="宋体"/>
          <w:color w:val="auto"/>
          <w:sz w:val="24"/>
          <w:szCs w:val="24"/>
          <w:highlight w:val="none"/>
        </w:rPr>
      </w:pPr>
      <w:r>
        <w:rPr>
          <w:rFonts w:ascii="宋体" w:hAnsi="宋体" w:cs="宋体"/>
          <w:color w:val="auto"/>
          <w:sz w:val="24"/>
          <w:szCs w:val="24"/>
          <w:highlight w:val="none"/>
        </w:rPr>
        <w:t>② 产品在最新政府采购清单中的截图或官方查询结果。</w:t>
      </w:r>
    </w:p>
    <w:p w14:paraId="5433064D">
      <w:pPr>
        <w:jc w:val="center"/>
        <w:outlineLvl w:val="0"/>
        <w:rPr>
          <w:rFonts w:hint="eastAsia" w:ascii="宋体" w:hAnsi="宋体" w:cs="宋体"/>
          <w:b w:val="0"/>
          <w:bCs w:val="0"/>
          <w:color w:val="auto"/>
          <w:sz w:val="24"/>
          <w:szCs w:val="24"/>
          <w:highlight w:val="none"/>
        </w:rPr>
      </w:pPr>
      <w:bookmarkStart w:id="134" w:name="EBae7807b0bcbc478ea1f502c8f1955356"/>
      <w:bookmarkEnd w:id="134"/>
      <w:bookmarkStart w:id="135" w:name="_Toc514054481"/>
      <w:r>
        <w:rPr>
          <w:rFonts w:hint="eastAsia" w:ascii="宋体" w:hAnsi="宋体" w:cs="宋体"/>
          <w:b/>
          <w:color w:val="auto"/>
          <w:sz w:val="44"/>
          <w:szCs w:val="44"/>
          <w:highlight w:val="none"/>
        </w:rPr>
        <w:br w:type="page" w:clear="all"/>
      </w:r>
      <w:r>
        <w:rPr>
          <w:rStyle w:val="78"/>
          <w:rFonts w:hint="eastAsia"/>
          <w:b w:val="0"/>
          <w:bCs w:val="0"/>
          <w:color w:val="auto"/>
          <w:highlight w:val="none"/>
        </w:rPr>
        <w:t xml:space="preserve"> </w:t>
      </w:r>
      <w:bookmarkStart w:id="136" w:name="_Toc23169"/>
      <w:r>
        <w:rPr>
          <w:rStyle w:val="78"/>
          <w:rFonts w:hint="eastAsia"/>
          <w:b w:val="0"/>
          <w:bCs w:val="0"/>
          <w:color w:val="auto"/>
          <w:highlight w:val="none"/>
        </w:rPr>
        <w:t>第四部分 采购需求</w:t>
      </w:r>
      <w:bookmarkEnd w:id="135"/>
      <w:bookmarkEnd w:id="136"/>
      <w:bookmarkStart w:id="137" w:name="_Toc514054482"/>
    </w:p>
    <w:p w14:paraId="531DCB66">
      <w:pPr>
        <w:widowControl/>
        <w:numPr>
          <w:ilvl w:val="0"/>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bCs/>
          <w:color w:val="auto"/>
          <w:sz w:val="24"/>
          <w:szCs w:val="24"/>
          <w:highlight w:val="none"/>
        </w:rPr>
      </w:pPr>
      <w:bookmarkStart w:id="138" w:name="_Toc30858"/>
      <w:bookmarkStart w:id="139" w:name="_Toc32119"/>
      <w:bookmarkStart w:id="140" w:name="_Toc311"/>
      <w:r>
        <w:rPr>
          <w:rFonts w:hint="eastAsia" w:asciiTheme="majorEastAsia" w:hAnsiTheme="majorEastAsia" w:eastAsiaTheme="majorEastAsia" w:cstheme="majorEastAsia"/>
          <w:b/>
          <w:bCs/>
          <w:color w:val="auto"/>
          <w:sz w:val="24"/>
          <w:szCs w:val="24"/>
          <w:highlight w:val="none"/>
        </w:rPr>
        <w:t>需求一览表</w:t>
      </w:r>
      <w:bookmarkEnd w:id="138"/>
    </w:p>
    <w:tbl>
      <w:tblPr>
        <w:tblStyle w:val="33"/>
        <w:tblW w:w="7074"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205"/>
        <w:gridCol w:w="1626"/>
        <w:gridCol w:w="1756"/>
        <w:gridCol w:w="2487"/>
      </w:tblGrid>
      <w:tr w14:paraId="599DA92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205" w:type="dxa"/>
            <w:tcBorders>
              <w:top w:val="single" w:color="auto" w:sz="4" w:space="0"/>
              <w:left w:val="single" w:color="auto" w:sz="6" w:space="0"/>
              <w:bottom w:val="single" w:color="auto" w:sz="4" w:space="0"/>
              <w:right w:val="single" w:color="auto" w:sz="4" w:space="0"/>
            </w:tcBorders>
            <w:vAlign w:val="center"/>
          </w:tcPr>
          <w:p w14:paraId="5774C2D6">
            <w:pPr>
              <w:numPr>
                <w:ilvl w:val="0"/>
                <w:numId w:val="0"/>
              </w:numPr>
              <w:jc w:val="center"/>
              <w:rPr>
                <w:rFonts w:hint="eastAsia" w:asciiTheme="minorEastAsia" w:hAnsiTheme="minorEastAsia" w:eastAsiaTheme="minorEastAsia" w:cstheme="minorEastAsia"/>
                <w:b w:val="0"/>
                <w:bCs w:val="0"/>
                <w:color w:val="auto"/>
                <w:kern w:val="2"/>
                <w:sz w:val="24"/>
                <w:szCs w:val="24"/>
                <w:highlight w:val="none"/>
              </w:rPr>
            </w:pPr>
            <w:r>
              <w:rPr>
                <w:rFonts w:hint="eastAsia" w:asciiTheme="minorEastAsia" w:hAnsiTheme="minorEastAsia" w:eastAsiaTheme="minorEastAsia" w:cstheme="minorEastAsia"/>
                <w:b w:val="0"/>
                <w:bCs w:val="0"/>
                <w:color w:val="auto"/>
                <w:kern w:val="2"/>
                <w:sz w:val="24"/>
                <w:szCs w:val="24"/>
                <w:highlight w:val="none"/>
              </w:rPr>
              <w:t>分包</w:t>
            </w:r>
          </w:p>
        </w:tc>
        <w:tc>
          <w:tcPr>
            <w:tcW w:w="1626" w:type="dxa"/>
            <w:tcBorders>
              <w:top w:val="single" w:color="auto" w:sz="4" w:space="0"/>
              <w:left w:val="single" w:color="auto" w:sz="4" w:space="0"/>
              <w:bottom w:val="single" w:color="auto" w:sz="4" w:space="0"/>
              <w:right w:val="single" w:color="auto" w:sz="4" w:space="0"/>
            </w:tcBorders>
            <w:vAlign w:val="center"/>
          </w:tcPr>
          <w:p w14:paraId="35637731">
            <w:pPr>
              <w:numPr>
                <w:ilvl w:val="0"/>
                <w:numId w:val="0"/>
              </w:numPr>
              <w:jc w:val="center"/>
              <w:rPr>
                <w:rFonts w:hint="eastAsia" w:asciiTheme="minorEastAsia" w:hAnsiTheme="minorEastAsia" w:eastAsiaTheme="minorEastAsia" w:cstheme="minorEastAsia"/>
                <w:b w:val="0"/>
                <w:bCs w:val="0"/>
                <w:color w:val="auto"/>
                <w:kern w:val="2"/>
                <w:sz w:val="24"/>
                <w:szCs w:val="24"/>
                <w:highlight w:val="none"/>
              </w:rPr>
            </w:pPr>
            <w:r>
              <w:rPr>
                <w:rFonts w:hint="eastAsia" w:asciiTheme="minorEastAsia" w:hAnsiTheme="minorEastAsia" w:eastAsiaTheme="minorEastAsia" w:cstheme="minorEastAsia"/>
                <w:b w:val="0"/>
                <w:bCs w:val="0"/>
                <w:color w:val="auto"/>
                <w:kern w:val="2"/>
                <w:sz w:val="24"/>
                <w:szCs w:val="24"/>
                <w:highlight w:val="none"/>
              </w:rPr>
              <w:t>货物名称</w:t>
            </w:r>
          </w:p>
        </w:tc>
        <w:tc>
          <w:tcPr>
            <w:tcW w:w="1756" w:type="dxa"/>
            <w:tcBorders>
              <w:top w:val="single" w:color="auto" w:sz="4" w:space="0"/>
              <w:left w:val="single" w:color="auto" w:sz="4" w:space="0"/>
              <w:bottom w:val="single" w:color="auto" w:sz="4" w:space="0"/>
              <w:right w:val="single" w:color="auto" w:sz="4" w:space="0"/>
            </w:tcBorders>
            <w:vAlign w:val="center"/>
          </w:tcPr>
          <w:p w14:paraId="45573F29">
            <w:pPr>
              <w:numPr>
                <w:ilvl w:val="0"/>
                <w:numId w:val="0"/>
              </w:numPr>
              <w:jc w:val="center"/>
              <w:rPr>
                <w:rFonts w:hint="eastAsia" w:asciiTheme="minorEastAsia" w:hAnsiTheme="minorEastAsia" w:eastAsiaTheme="minorEastAsia" w:cstheme="minorEastAsia"/>
                <w:b w:val="0"/>
                <w:bCs w:val="0"/>
                <w:color w:val="auto"/>
                <w:kern w:val="2"/>
                <w:sz w:val="24"/>
                <w:szCs w:val="24"/>
                <w:highlight w:val="none"/>
              </w:rPr>
            </w:pPr>
            <w:r>
              <w:rPr>
                <w:rFonts w:hint="eastAsia" w:asciiTheme="minorEastAsia" w:hAnsiTheme="minorEastAsia" w:eastAsiaTheme="minorEastAsia" w:cstheme="minorEastAsia"/>
                <w:b w:val="0"/>
                <w:bCs w:val="0"/>
                <w:color w:val="auto"/>
                <w:kern w:val="2"/>
                <w:sz w:val="24"/>
                <w:szCs w:val="24"/>
                <w:highlight w:val="none"/>
              </w:rPr>
              <w:t>交货地点</w:t>
            </w:r>
          </w:p>
        </w:tc>
        <w:tc>
          <w:tcPr>
            <w:tcW w:w="2487" w:type="dxa"/>
            <w:tcBorders>
              <w:top w:val="single" w:color="auto" w:sz="4" w:space="0"/>
              <w:left w:val="single" w:color="auto" w:sz="4" w:space="0"/>
              <w:bottom w:val="single" w:color="auto" w:sz="4" w:space="0"/>
              <w:right w:val="single" w:color="auto" w:sz="4" w:space="0"/>
            </w:tcBorders>
            <w:vAlign w:val="center"/>
          </w:tcPr>
          <w:p w14:paraId="0E47329A">
            <w:pPr>
              <w:numPr>
                <w:ilvl w:val="0"/>
                <w:numId w:val="0"/>
              </w:numPr>
              <w:jc w:val="center"/>
              <w:rPr>
                <w:rFonts w:hint="eastAsia" w:asciiTheme="minorEastAsia" w:hAnsiTheme="minorEastAsia" w:eastAsiaTheme="minorEastAsia" w:cstheme="minorEastAsia"/>
                <w:b w:val="0"/>
                <w:bCs w:val="0"/>
                <w:color w:val="auto"/>
                <w:kern w:val="2"/>
                <w:sz w:val="24"/>
                <w:szCs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lang w:val="en-US" w:eastAsia="zh-CN"/>
              </w:rPr>
              <w:t>是否允许进口</w:t>
            </w:r>
          </w:p>
        </w:tc>
      </w:tr>
      <w:tr w14:paraId="1C4D5F9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1205" w:type="dxa"/>
            <w:tcBorders>
              <w:top w:val="single" w:color="auto" w:sz="4" w:space="0"/>
              <w:left w:val="single" w:color="auto" w:sz="6" w:space="0"/>
              <w:bottom w:val="single" w:color="auto" w:sz="4" w:space="0"/>
              <w:right w:val="single" w:color="auto" w:sz="4" w:space="0"/>
            </w:tcBorders>
            <w:vAlign w:val="center"/>
          </w:tcPr>
          <w:p w14:paraId="1F1FD6F6">
            <w:pPr>
              <w:numPr>
                <w:ilvl w:val="0"/>
                <w:numId w:val="0"/>
              </w:numPr>
              <w:jc w:val="center"/>
              <w:rPr>
                <w:rFonts w:hint="eastAsia" w:asciiTheme="minorEastAsia" w:hAnsiTheme="minorEastAsia" w:eastAsiaTheme="minorEastAsia" w:cstheme="minorEastAsia"/>
                <w:b w:val="0"/>
                <w:bCs w:val="0"/>
                <w:color w:val="auto"/>
                <w:kern w:val="2"/>
                <w:sz w:val="24"/>
                <w:szCs w:val="24"/>
                <w:highlight w:val="none"/>
              </w:rPr>
            </w:pPr>
            <w:r>
              <w:rPr>
                <w:rFonts w:hint="eastAsia" w:asciiTheme="minorEastAsia" w:hAnsiTheme="minorEastAsia" w:eastAsiaTheme="minorEastAsia" w:cstheme="minorEastAsia"/>
                <w:b w:val="0"/>
                <w:bCs w:val="0"/>
                <w:color w:val="auto"/>
                <w:kern w:val="2"/>
                <w:sz w:val="24"/>
                <w:szCs w:val="24"/>
                <w:highlight w:val="none"/>
              </w:rPr>
              <w:t>01</w:t>
            </w:r>
          </w:p>
        </w:tc>
        <w:tc>
          <w:tcPr>
            <w:tcW w:w="1626" w:type="dxa"/>
            <w:tcBorders>
              <w:top w:val="single" w:color="auto" w:sz="4" w:space="0"/>
              <w:left w:val="single" w:color="auto" w:sz="4" w:space="0"/>
              <w:bottom w:val="single" w:color="auto" w:sz="4" w:space="0"/>
              <w:right w:val="single" w:color="auto" w:sz="4" w:space="0"/>
            </w:tcBorders>
            <w:vAlign w:val="center"/>
          </w:tcPr>
          <w:p w14:paraId="23866819">
            <w:pPr>
              <w:widowControl/>
              <w:numPr>
                <w:ilvl w:val="0"/>
                <w:numId w:val="0"/>
              </w:numPr>
              <w:spacing w:line="360" w:lineRule="auto"/>
              <w:jc w:val="center"/>
              <w:textAlignment w:val="center"/>
              <w:rPr>
                <w:rFonts w:hint="eastAsia" w:asciiTheme="minorEastAsia" w:hAnsiTheme="minorEastAsia" w:eastAsiaTheme="minorEastAsia" w:cstheme="minorEastAsia"/>
                <w:b w:val="0"/>
                <w:bCs w:val="0"/>
                <w:color w:val="auto"/>
                <w:kern w:val="2"/>
                <w:sz w:val="24"/>
                <w:szCs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lang w:val="en-US" w:eastAsia="zh-CN"/>
              </w:rPr>
              <w:t>冠脉流量仪</w:t>
            </w:r>
          </w:p>
        </w:tc>
        <w:tc>
          <w:tcPr>
            <w:tcW w:w="1756" w:type="dxa"/>
            <w:tcBorders>
              <w:top w:val="single" w:color="auto" w:sz="4" w:space="0"/>
              <w:left w:val="single" w:color="auto" w:sz="4" w:space="0"/>
              <w:bottom w:val="single" w:color="auto" w:sz="4" w:space="0"/>
              <w:right w:val="single" w:color="auto" w:sz="4" w:space="0"/>
            </w:tcBorders>
            <w:vAlign w:val="center"/>
          </w:tcPr>
          <w:p w14:paraId="68E31A4D">
            <w:pPr>
              <w:widowControl/>
              <w:numPr>
                <w:ilvl w:val="0"/>
                <w:numId w:val="0"/>
              </w:numPr>
              <w:spacing w:line="360" w:lineRule="auto"/>
              <w:jc w:val="center"/>
              <w:textAlignment w:val="center"/>
              <w:rPr>
                <w:rFonts w:hint="eastAsia" w:asciiTheme="minorEastAsia" w:hAnsiTheme="minorEastAsia" w:eastAsiaTheme="minorEastAsia" w:cstheme="minorEastAsia"/>
                <w:b w:val="0"/>
                <w:bCs w:val="0"/>
                <w:color w:val="auto"/>
                <w:kern w:val="2"/>
                <w:sz w:val="24"/>
                <w:szCs w:val="24"/>
                <w:highlight w:val="none"/>
              </w:rPr>
            </w:pPr>
            <w:r>
              <w:rPr>
                <w:rFonts w:hint="eastAsia" w:asciiTheme="minorEastAsia" w:hAnsiTheme="minorEastAsia" w:eastAsiaTheme="minorEastAsia" w:cstheme="minorEastAsia"/>
                <w:b w:val="0"/>
                <w:bCs w:val="0"/>
                <w:color w:val="auto"/>
                <w:sz w:val="24"/>
                <w:szCs w:val="24"/>
                <w:highlight w:val="none"/>
              </w:rPr>
              <w:t>院方指定地点</w:t>
            </w:r>
          </w:p>
        </w:tc>
        <w:tc>
          <w:tcPr>
            <w:tcW w:w="2487" w:type="dxa"/>
            <w:tcBorders>
              <w:top w:val="single" w:color="auto" w:sz="4" w:space="0"/>
              <w:left w:val="single" w:color="auto" w:sz="4" w:space="0"/>
              <w:bottom w:val="single" w:color="auto" w:sz="4" w:space="0"/>
              <w:right w:val="single" w:color="auto" w:sz="4" w:space="0"/>
            </w:tcBorders>
            <w:vAlign w:val="center"/>
          </w:tcPr>
          <w:p w14:paraId="13B414A6">
            <w:pPr>
              <w:widowControl/>
              <w:numPr>
                <w:ilvl w:val="0"/>
                <w:numId w:val="0"/>
              </w:numPr>
              <w:spacing w:line="360" w:lineRule="auto"/>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允许</w:t>
            </w:r>
          </w:p>
        </w:tc>
      </w:tr>
    </w:tbl>
    <w:p w14:paraId="41BDB372">
      <w:pPr>
        <w:widowControl/>
        <w:numPr>
          <w:ilvl w:val="0"/>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bCs/>
          <w:color w:val="auto"/>
          <w:sz w:val="24"/>
          <w:szCs w:val="24"/>
          <w:highlight w:val="none"/>
        </w:rPr>
      </w:pPr>
      <w:bookmarkStart w:id="141" w:name="_Toc22373"/>
      <w:r>
        <w:rPr>
          <w:rFonts w:hint="eastAsia" w:asciiTheme="majorEastAsia" w:hAnsiTheme="majorEastAsia" w:eastAsiaTheme="majorEastAsia" w:cstheme="majorEastAsia"/>
          <w:b/>
          <w:bCs/>
          <w:color w:val="auto"/>
          <w:sz w:val="24"/>
          <w:szCs w:val="24"/>
          <w:highlight w:val="none"/>
          <w:lang w:val="en-US" w:eastAsia="zh-CN"/>
        </w:rPr>
        <w:t>△设备用途</w:t>
      </w:r>
      <w:bookmarkEnd w:id="141"/>
      <w:r>
        <w:rPr>
          <w:rFonts w:hint="eastAsia" w:asciiTheme="majorEastAsia" w:hAnsiTheme="majorEastAsia" w:eastAsiaTheme="majorEastAsia" w:cstheme="majorEastAsia"/>
          <w:b/>
          <w:bCs/>
          <w:color w:val="auto"/>
          <w:sz w:val="24"/>
          <w:szCs w:val="24"/>
          <w:highlight w:val="none"/>
        </w:rPr>
        <w:t xml:space="preserve">  </w:t>
      </w:r>
    </w:p>
    <w:p w14:paraId="2631A72B">
      <w:pPr>
        <w:keepNext w:val="0"/>
        <w:keepLines w:val="0"/>
        <w:pageBreakBefore w:val="0"/>
        <w:widowControl/>
        <w:numPr>
          <w:ilvl w:val="0"/>
          <w:numId w:val="0"/>
        </w:numPr>
        <w:tabs>
          <w:tab w:val="left" w:pos="720"/>
        </w:tabs>
        <w:kinsoku/>
        <w:wordWrap/>
        <w:overflowPunct/>
        <w:topLinePunct w:val="0"/>
        <w:autoSpaceDE/>
        <w:autoSpaceDN/>
        <w:bidi w:val="0"/>
        <w:adjustRightInd/>
        <w:snapToGrid/>
        <w:spacing w:line="276" w:lineRule="auto"/>
        <w:ind w:left="403" w:leftChars="0" w:firstLine="420" w:firstLineChars="200"/>
        <w:jc w:val="left"/>
        <w:textAlignment w:val="auto"/>
        <w:outlineLvl w:val="1"/>
        <w:rPr>
          <w:rFonts w:hint="eastAsia" w:asciiTheme="majorEastAsia" w:hAnsiTheme="majorEastAsia" w:eastAsiaTheme="majorEastAsia" w:cstheme="majorEastAsia"/>
          <w:b w:val="0"/>
          <w:bCs w:val="0"/>
          <w:color w:val="auto"/>
          <w:sz w:val="24"/>
          <w:szCs w:val="24"/>
          <w:highlight w:val="none"/>
        </w:rPr>
      </w:pPr>
      <w:bookmarkStart w:id="142" w:name="_Toc4517"/>
      <w:r>
        <w:rPr>
          <w:rFonts w:hint="eastAsia" w:ascii="Times New Roman" w:eastAsia="宋体"/>
          <w:color w:val="auto"/>
          <w:highlight w:val="none"/>
          <w:lang w:val="en-US" w:eastAsia="zh-CN"/>
        </w:rPr>
        <w:t>△</w:t>
      </w:r>
      <w:r>
        <w:rPr>
          <w:rFonts w:hint="eastAsia" w:asciiTheme="majorEastAsia" w:hAnsiTheme="majorEastAsia" w:eastAsiaTheme="majorEastAsia" w:cstheme="majorEastAsia"/>
          <w:b w:val="0"/>
          <w:bCs w:val="0"/>
          <w:color w:val="auto"/>
          <w:sz w:val="24"/>
          <w:szCs w:val="24"/>
          <w:highlight w:val="none"/>
        </w:rPr>
        <w:t>基于超声波时差法测定冠状动脉塔桥术桥血管中的血流量，以评估桥血管吻合的质量，用于术中手术质量控制。具备测量血管内实时血流量，搏动指数，舒张期充盈比率等功能。系统可满足术中测量数据、图谱及患者文件记录存档的要求。</w:t>
      </w:r>
      <w:bookmarkEnd w:id="142"/>
      <w:r>
        <w:rPr>
          <w:rFonts w:hint="eastAsia" w:asciiTheme="majorEastAsia" w:hAnsiTheme="majorEastAsia" w:eastAsiaTheme="majorEastAsia" w:cstheme="majorEastAsia"/>
          <w:b w:val="0"/>
          <w:bCs w:val="0"/>
          <w:color w:val="auto"/>
          <w:sz w:val="24"/>
          <w:szCs w:val="24"/>
          <w:highlight w:val="none"/>
        </w:rPr>
        <w:t xml:space="preserve"> </w:t>
      </w:r>
    </w:p>
    <w:p w14:paraId="17307EE6">
      <w:pPr>
        <w:widowControl/>
        <w:numPr>
          <w:ilvl w:val="0"/>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bCs/>
          <w:color w:val="auto"/>
          <w:sz w:val="24"/>
          <w:szCs w:val="24"/>
          <w:highlight w:val="none"/>
          <w:lang w:val="en-US" w:eastAsia="zh-CN"/>
        </w:rPr>
      </w:pPr>
      <w:bookmarkStart w:id="143" w:name="_Toc6494"/>
      <w:r>
        <w:rPr>
          <w:rFonts w:hint="eastAsia" w:asciiTheme="majorEastAsia" w:hAnsiTheme="majorEastAsia" w:eastAsiaTheme="majorEastAsia" w:cstheme="majorEastAsia"/>
          <w:b/>
          <w:bCs/>
          <w:color w:val="auto"/>
          <w:sz w:val="24"/>
          <w:szCs w:val="24"/>
          <w:highlight w:val="none"/>
          <w:lang w:val="en-US" w:eastAsia="zh-CN"/>
        </w:rPr>
        <w:t>产品配置</w:t>
      </w:r>
      <w:bookmarkEnd w:id="143"/>
    </w:p>
    <w:p w14:paraId="6A2E8179">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44" w:name="_Toc28149"/>
      <w:r>
        <w:rPr>
          <w:rFonts w:hint="eastAsia" w:asciiTheme="majorEastAsia" w:hAnsiTheme="majorEastAsia" w:eastAsiaTheme="majorEastAsia" w:cstheme="majorEastAsia"/>
          <w:b w:val="0"/>
          <w:bCs w:val="0"/>
          <w:color w:val="auto"/>
          <w:sz w:val="24"/>
          <w:szCs w:val="24"/>
          <w:highlight w:val="none"/>
          <w:lang w:val="en-US" w:eastAsia="zh-CN"/>
        </w:rPr>
        <w:t>流量通道≥2个、辅助通道≥1个</w:t>
      </w:r>
      <w:bookmarkEnd w:id="144"/>
    </w:p>
    <w:p w14:paraId="443F8920">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45" w:name="_Toc16218"/>
      <w:r>
        <w:rPr>
          <w:rFonts w:hint="eastAsia" w:asciiTheme="majorEastAsia" w:hAnsiTheme="majorEastAsia" w:eastAsiaTheme="majorEastAsia" w:cstheme="majorEastAsia"/>
          <w:b w:val="0"/>
          <w:bCs w:val="0"/>
          <w:color w:val="auto"/>
          <w:sz w:val="24"/>
          <w:szCs w:val="24"/>
          <w:highlight w:val="none"/>
          <w:lang w:val="en-US" w:eastAsia="zh-CN"/>
        </w:rPr>
        <w:t>触摸式显示器：≥19英寸、1280×1024像素</w:t>
      </w:r>
      <w:bookmarkEnd w:id="145"/>
    </w:p>
    <w:p w14:paraId="1532BD57">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46" w:name="_Toc26203"/>
      <w:r>
        <w:rPr>
          <w:rFonts w:hint="eastAsia" w:asciiTheme="majorEastAsia" w:hAnsiTheme="majorEastAsia" w:eastAsiaTheme="majorEastAsia" w:cstheme="majorEastAsia"/>
          <w:b w:val="0"/>
          <w:bCs w:val="0"/>
          <w:color w:val="auto"/>
          <w:sz w:val="24"/>
          <w:szCs w:val="24"/>
          <w:highlight w:val="none"/>
          <w:lang w:val="en-US" w:eastAsia="zh-CN"/>
        </w:rPr>
        <w:t>彩色打印机输出：USB2.0</w:t>
      </w:r>
      <w:bookmarkEnd w:id="146"/>
    </w:p>
    <w:p w14:paraId="2439CA70">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47" w:name="_Toc17846"/>
      <w:r>
        <w:rPr>
          <w:rFonts w:hint="eastAsia" w:asciiTheme="majorEastAsia" w:hAnsiTheme="majorEastAsia" w:eastAsiaTheme="majorEastAsia" w:cstheme="majorEastAsia"/>
          <w:b w:val="0"/>
          <w:bCs w:val="0"/>
          <w:color w:val="auto"/>
          <w:sz w:val="24"/>
          <w:szCs w:val="24"/>
          <w:highlight w:val="none"/>
          <w:lang w:val="en-US" w:eastAsia="zh-CN"/>
        </w:rPr>
        <w:t>硬盘存储≥500GB</w:t>
      </w:r>
      <w:bookmarkEnd w:id="147"/>
    </w:p>
    <w:p w14:paraId="592C80D9">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48" w:name="_Toc30908"/>
      <w:r>
        <w:rPr>
          <w:rFonts w:hint="eastAsia" w:asciiTheme="majorEastAsia" w:hAnsiTheme="majorEastAsia" w:eastAsiaTheme="majorEastAsia" w:cstheme="majorEastAsia"/>
          <w:b w:val="0"/>
          <w:bCs w:val="0"/>
          <w:color w:val="auto"/>
          <w:sz w:val="24"/>
          <w:szCs w:val="24"/>
          <w:highlight w:val="none"/>
          <w:lang w:val="en-US" w:eastAsia="zh-CN"/>
        </w:rPr>
        <w:t>流量探头≥4个</w:t>
      </w:r>
      <w:bookmarkEnd w:id="148"/>
    </w:p>
    <w:p w14:paraId="731190DE">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49" w:name="_Toc16853"/>
      <w:r>
        <w:rPr>
          <w:rFonts w:hint="eastAsia" w:asciiTheme="majorEastAsia" w:hAnsiTheme="majorEastAsia" w:eastAsiaTheme="majorEastAsia" w:cstheme="majorEastAsia"/>
          <w:b w:val="0"/>
          <w:bCs w:val="0"/>
          <w:color w:val="auto"/>
          <w:sz w:val="24"/>
          <w:szCs w:val="24"/>
          <w:highlight w:val="none"/>
          <w:lang w:val="en-US" w:eastAsia="zh-CN"/>
        </w:rPr>
        <w:t>△流量探头可使用低温等离子、环氧乙烷、高温高压消毒（提供相关证明材料）</w:t>
      </w:r>
      <w:bookmarkEnd w:id="149"/>
    </w:p>
    <w:p w14:paraId="54C97C80">
      <w:pPr>
        <w:widowControl/>
        <w:numPr>
          <w:ilvl w:val="0"/>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bCs/>
          <w:color w:val="auto"/>
          <w:sz w:val="24"/>
          <w:szCs w:val="24"/>
          <w:highlight w:val="none"/>
          <w:lang w:val="en-US" w:eastAsia="zh-CN"/>
        </w:rPr>
      </w:pPr>
      <w:bookmarkStart w:id="150" w:name="_Toc32694"/>
      <w:r>
        <w:rPr>
          <w:rFonts w:hint="eastAsia" w:asciiTheme="majorEastAsia" w:hAnsiTheme="majorEastAsia" w:eastAsiaTheme="majorEastAsia" w:cstheme="majorEastAsia"/>
          <w:b/>
          <w:bCs/>
          <w:color w:val="auto"/>
          <w:sz w:val="24"/>
          <w:szCs w:val="24"/>
          <w:highlight w:val="none"/>
          <w:lang w:val="en-US" w:eastAsia="zh-CN"/>
        </w:rPr>
        <w:t>技术参数</w:t>
      </w:r>
      <w:bookmarkEnd w:id="150"/>
    </w:p>
    <w:p w14:paraId="5C1E36A2">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1" w:name="_Toc31618"/>
      <w:r>
        <w:rPr>
          <w:rFonts w:hint="eastAsia" w:asciiTheme="majorEastAsia" w:hAnsiTheme="majorEastAsia" w:eastAsiaTheme="majorEastAsia" w:cstheme="majorEastAsia"/>
          <w:b w:val="0"/>
          <w:bCs w:val="0"/>
          <w:color w:val="auto"/>
          <w:sz w:val="24"/>
          <w:szCs w:val="24"/>
          <w:highlight w:val="none"/>
          <w:lang w:val="en-US" w:eastAsia="zh-CN"/>
        </w:rPr>
        <w:t>流量通道</w:t>
      </w:r>
      <w:bookmarkEnd w:id="151"/>
    </w:p>
    <w:p w14:paraId="255B3862">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2" w:name="_Toc9477"/>
      <w:r>
        <w:rPr>
          <w:rFonts w:hint="eastAsia" w:asciiTheme="majorEastAsia" w:hAnsiTheme="majorEastAsia" w:eastAsiaTheme="majorEastAsia" w:cstheme="majorEastAsia"/>
          <w:b w:val="0"/>
          <w:bCs w:val="0"/>
          <w:color w:val="auto"/>
          <w:sz w:val="24"/>
          <w:szCs w:val="24"/>
          <w:highlight w:val="none"/>
          <w:lang w:val="en-US" w:eastAsia="zh-CN"/>
        </w:rPr>
        <w:t>频率响应：DC to 100 Hz</w:t>
      </w:r>
      <w:bookmarkEnd w:id="152"/>
    </w:p>
    <w:p w14:paraId="376BD159">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3" w:name="_Toc19496"/>
      <w:r>
        <w:rPr>
          <w:rFonts w:hint="eastAsia" w:asciiTheme="majorEastAsia" w:hAnsiTheme="majorEastAsia" w:eastAsiaTheme="majorEastAsia" w:cstheme="majorEastAsia"/>
          <w:b w:val="0"/>
          <w:bCs w:val="0"/>
          <w:color w:val="auto"/>
          <w:sz w:val="24"/>
          <w:szCs w:val="24"/>
          <w:highlight w:val="none"/>
          <w:lang w:val="en-US" w:eastAsia="zh-CN"/>
        </w:rPr>
        <w:t>滤波器设置：5-100 Hz，不少于6档</w:t>
      </w:r>
      <w:bookmarkEnd w:id="153"/>
    </w:p>
    <w:p w14:paraId="55C0C7A5">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4" w:name="_Toc3512"/>
      <w:r>
        <w:rPr>
          <w:rFonts w:hint="eastAsia" w:asciiTheme="majorEastAsia" w:hAnsiTheme="majorEastAsia" w:eastAsiaTheme="majorEastAsia" w:cstheme="majorEastAsia"/>
          <w:b w:val="0"/>
          <w:bCs w:val="0"/>
          <w:color w:val="auto"/>
          <w:sz w:val="24"/>
          <w:szCs w:val="24"/>
          <w:highlight w:val="none"/>
          <w:lang w:val="en-US" w:eastAsia="zh-CN"/>
        </w:rPr>
        <w:t>探头超声耦合水平（ACI值）：探头水中计算100-110%</w:t>
      </w:r>
      <w:bookmarkEnd w:id="154"/>
    </w:p>
    <w:p w14:paraId="367C3FB7">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5" w:name="_Toc24318"/>
      <w:r>
        <w:rPr>
          <w:rFonts w:hint="eastAsia" w:asciiTheme="majorEastAsia" w:hAnsiTheme="majorEastAsia" w:eastAsiaTheme="majorEastAsia" w:cstheme="majorEastAsia"/>
          <w:b w:val="0"/>
          <w:bCs w:val="0"/>
          <w:color w:val="auto"/>
          <w:sz w:val="24"/>
          <w:szCs w:val="24"/>
          <w:highlight w:val="none"/>
          <w:lang w:val="en-US" w:eastAsia="zh-CN"/>
        </w:rPr>
        <w:t>△计算功能:最大、最小和平均血流量（ml/min），博动指数（PI）、舒张期充盈比率（DF）</w:t>
      </w:r>
      <w:bookmarkEnd w:id="155"/>
    </w:p>
    <w:p w14:paraId="32A5266F">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6" w:name="_Toc21695"/>
      <w:r>
        <w:rPr>
          <w:rFonts w:hint="eastAsia" w:asciiTheme="majorEastAsia" w:hAnsiTheme="majorEastAsia" w:eastAsiaTheme="majorEastAsia" w:cstheme="majorEastAsia"/>
          <w:b w:val="0"/>
          <w:bCs w:val="0"/>
          <w:color w:val="auto"/>
          <w:sz w:val="24"/>
          <w:szCs w:val="24"/>
          <w:highlight w:val="none"/>
          <w:lang w:val="en-US" w:eastAsia="zh-CN"/>
        </w:rPr>
        <w:t>辅助通道</w:t>
      </w:r>
      <w:bookmarkEnd w:id="156"/>
    </w:p>
    <w:p w14:paraId="5E281C5D">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7" w:name="_Toc29808"/>
      <w:r>
        <w:rPr>
          <w:rFonts w:hint="eastAsia" w:asciiTheme="majorEastAsia" w:hAnsiTheme="majorEastAsia" w:eastAsiaTheme="majorEastAsia" w:cstheme="majorEastAsia"/>
          <w:b w:val="0"/>
          <w:bCs w:val="0"/>
          <w:color w:val="auto"/>
          <w:sz w:val="24"/>
          <w:szCs w:val="24"/>
          <w:highlight w:val="none"/>
          <w:lang w:val="en-US" w:eastAsia="zh-CN"/>
        </w:rPr>
        <w:t>用户配置：偏移、基线、增益、滤波</w:t>
      </w:r>
      <w:bookmarkEnd w:id="157"/>
    </w:p>
    <w:p w14:paraId="48F24B69">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8" w:name="_Toc6511"/>
      <w:r>
        <w:rPr>
          <w:rFonts w:hint="eastAsia" w:asciiTheme="majorEastAsia" w:hAnsiTheme="majorEastAsia" w:eastAsiaTheme="majorEastAsia" w:cstheme="majorEastAsia"/>
          <w:b w:val="0"/>
          <w:bCs w:val="0"/>
          <w:color w:val="auto"/>
          <w:sz w:val="24"/>
          <w:szCs w:val="24"/>
          <w:highlight w:val="none"/>
          <w:lang w:val="en-US" w:eastAsia="zh-CN"/>
        </w:rPr>
        <w:t>用户设置、轴：范围、命名</w:t>
      </w:r>
      <w:bookmarkEnd w:id="158"/>
    </w:p>
    <w:p w14:paraId="59D6A440">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59" w:name="_Toc18800"/>
      <w:r>
        <w:rPr>
          <w:rFonts w:hint="eastAsia" w:asciiTheme="majorEastAsia" w:hAnsiTheme="majorEastAsia" w:eastAsiaTheme="majorEastAsia" w:cstheme="majorEastAsia"/>
          <w:b w:val="0"/>
          <w:bCs w:val="0"/>
          <w:color w:val="auto"/>
          <w:sz w:val="24"/>
          <w:szCs w:val="24"/>
          <w:highlight w:val="none"/>
          <w:lang w:val="en-US" w:eastAsia="zh-CN"/>
        </w:rPr>
        <w:t>最大输出水平：10 V峰值到峰值</w:t>
      </w:r>
      <w:bookmarkEnd w:id="159"/>
    </w:p>
    <w:p w14:paraId="391EDE2A">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0" w:name="_Toc6885"/>
      <w:r>
        <w:rPr>
          <w:rFonts w:hint="eastAsia" w:asciiTheme="majorEastAsia" w:hAnsiTheme="majorEastAsia" w:eastAsiaTheme="majorEastAsia" w:cstheme="majorEastAsia"/>
          <w:b w:val="0"/>
          <w:bCs w:val="0"/>
          <w:color w:val="auto"/>
          <w:sz w:val="24"/>
          <w:szCs w:val="24"/>
          <w:highlight w:val="none"/>
          <w:lang w:val="en-US" w:eastAsia="zh-CN"/>
        </w:rPr>
        <w:t>频率响应：DC to 100 Hz</w:t>
      </w:r>
      <w:bookmarkEnd w:id="160"/>
    </w:p>
    <w:p w14:paraId="34AFD228">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1" w:name="_Toc1737"/>
      <w:r>
        <w:rPr>
          <w:rFonts w:hint="eastAsia" w:asciiTheme="majorEastAsia" w:hAnsiTheme="majorEastAsia" w:eastAsiaTheme="majorEastAsia" w:cstheme="majorEastAsia"/>
          <w:b w:val="0"/>
          <w:bCs w:val="0"/>
          <w:color w:val="auto"/>
          <w:sz w:val="24"/>
          <w:szCs w:val="24"/>
          <w:highlight w:val="none"/>
          <w:lang w:val="en-US" w:eastAsia="zh-CN"/>
        </w:rPr>
        <w:t>滤波器设置:5-100 Hz，不少于6档</w:t>
      </w:r>
      <w:bookmarkEnd w:id="161"/>
    </w:p>
    <w:p w14:paraId="6D31D8B5">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2" w:name="_Toc21571"/>
      <w:r>
        <w:rPr>
          <w:rFonts w:hint="eastAsia" w:asciiTheme="majorEastAsia" w:hAnsiTheme="majorEastAsia" w:eastAsiaTheme="majorEastAsia" w:cstheme="majorEastAsia"/>
          <w:b w:val="0"/>
          <w:bCs w:val="0"/>
          <w:color w:val="auto"/>
          <w:sz w:val="24"/>
          <w:szCs w:val="24"/>
          <w:highlight w:val="none"/>
          <w:lang w:val="en-US" w:eastAsia="zh-CN"/>
        </w:rPr>
        <w:t>计算功能：最大、最小、平均值和最大积分</w:t>
      </w:r>
      <w:bookmarkEnd w:id="162"/>
    </w:p>
    <w:p w14:paraId="4419BB2C">
      <w:pPr>
        <w:widowControl/>
        <w:numPr>
          <w:ilvl w:val="1"/>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3" w:name="_Toc25238"/>
      <w:r>
        <w:rPr>
          <w:rFonts w:hint="eastAsia" w:asciiTheme="majorEastAsia" w:hAnsiTheme="majorEastAsia" w:eastAsiaTheme="majorEastAsia" w:cstheme="majorEastAsia"/>
          <w:b w:val="0"/>
          <w:bCs w:val="0"/>
          <w:color w:val="auto"/>
          <w:sz w:val="24"/>
          <w:szCs w:val="24"/>
          <w:highlight w:val="none"/>
          <w:lang w:val="en-US" w:eastAsia="zh-CN"/>
        </w:rPr>
        <w:t>系统功能</w:t>
      </w:r>
      <w:bookmarkEnd w:id="163"/>
    </w:p>
    <w:p w14:paraId="65F1443A">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4" w:name="_Toc5320"/>
      <w:r>
        <w:rPr>
          <w:rFonts w:hint="eastAsia" w:asciiTheme="majorEastAsia" w:hAnsiTheme="majorEastAsia" w:eastAsiaTheme="majorEastAsia" w:cstheme="majorEastAsia"/>
          <w:b w:val="0"/>
          <w:bCs w:val="0"/>
          <w:color w:val="auto"/>
          <w:sz w:val="24"/>
          <w:szCs w:val="24"/>
          <w:highlight w:val="none"/>
          <w:lang w:val="en-US" w:eastAsia="zh-CN"/>
        </w:rPr>
        <w:t>△系统可同步患者心电图，实时彩色化区分流量曲线的心脏舒张期和心脏收缩期部分</w:t>
      </w:r>
      <w:bookmarkEnd w:id="164"/>
    </w:p>
    <w:p w14:paraId="16616AA2">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5" w:name="_Toc25185"/>
      <w:r>
        <w:rPr>
          <w:rFonts w:hint="eastAsia" w:asciiTheme="majorEastAsia" w:hAnsiTheme="majorEastAsia" w:eastAsiaTheme="majorEastAsia" w:cstheme="majorEastAsia"/>
          <w:b w:val="0"/>
          <w:bCs w:val="0"/>
          <w:color w:val="auto"/>
          <w:sz w:val="24"/>
          <w:szCs w:val="24"/>
          <w:highlight w:val="none"/>
          <w:lang w:val="en-US" w:eastAsia="zh-CN"/>
        </w:rPr>
        <w:t>△系统可数字化显示超声波流量探头与血管的接触程度，并以颜色编码警报系统监测超声耦合品质</w:t>
      </w:r>
      <w:bookmarkEnd w:id="165"/>
    </w:p>
    <w:p w14:paraId="2F9AC4D0">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6" w:name="_Toc6651"/>
      <w:r>
        <w:rPr>
          <w:rFonts w:hint="eastAsia" w:asciiTheme="majorEastAsia" w:hAnsiTheme="majorEastAsia" w:eastAsiaTheme="majorEastAsia" w:cstheme="majorEastAsia"/>
          <w:b w:val="0"/>
          <w:bCs w:val="0"/>
          <w:color w:val="auto"/>
          <w:sz w:val="24"/>
          <w:szCs w:val="24"/>
          <w:highlight w:val="none"/>
          <w:lang w:val="en-US" w:eastAsia="zh-CN"/>
        </w:rPr>
        <w:t>系统可同时显示实时的血管内血流、患者心电图的信息</w:t>
      </w:r>
      <w:bookmarkEnd w:id="166"/>
    </w:p>
    <w:p w14:paraId="2929745B">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7" w:name="_Toc27439"/>
      <w:r>
        <w:rPr>
          <w:rFonts w:hint="eastAsia" w:asciiTheme="majorEastAsia" w:hAnsiTheme="majorEastAsia" w:eastAsiaTheme="majorEastAsia" w:cstheme="majorEastAsia"/>
          <w:b w:val="0"/>
          <w:bCs w:val="0"/>
          <w:color w:val="auto"/>
          <w:sz w:val="24"/>
          <w:szCs w:val="24"/>
          <w:highlight w:val="none"/>
          <w:lang w:val="en-US" w:eastAsia="zh-CN"/>
        </w:rPr>
        <w:t>系统可同时检测两条血管内的血流量并求差值，求和值</w:t>
      </w:r>
      <w:bookmarkEnd w:id="167"/>
    </w:p>
    <w:p w14:paraId="0FB08FAB">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8" w:name="_Toc17403"/>
      <w:r>
        <w:rPr>
          <w:rFonts w:hint="eastAsia" w:asciiTheme="majorEastAsia" w:hAnsiTheme="majorEastAsia" w:eastAsiaTheme="majorEastAsia" w:cstheme="majorEastAsia"/>
          <w:b w:val="0"/>
          <w:bCs w:val="0"/>
          <w:color w:val="auto"/>
          <w:sz w:val="24"/>
          <w:szCs w:val="24"/>
          <w:highlight w:val="none"/>
          <w:lang w:val="en-US" w:eastAsia="zh-CN"/>
        </w:rPr>
        <w:t>△系统可同时检测血管内的血流量和压力，并计算阻抗</w:t>
      </w:r>
      <w:bookmarkEnd w:id="168"/>
    </w:p>
    <w:p w14:paraId="5E2DDC54">
      <w:pPr>
        <w:widowControl/>
        <w:numPr>
          <w:ilvl w:val="2"/>
          <w:numId w:val="8"/>
        </w:numPr>
        <w:tabs>
          <w:tab w:val="left" w:pos="720"/>
        </w:tabs>
        <w:spacing w:line="276" w:lineRule="auto"/>
        <w:ind w:left="0" w:leftChars="0" w:firstLine="402" w:firstLineChars="0"/>
        <w:jc w:val="left"/>
        <w:outlineLvl w:val="1"/>
        <w:rPr>
          <w:rFonts w:hint="eastAsia" w:asciiTheme="majorEastAsia" w:hAnsiTheme="majorEastAsia" w:eastAsiaTheme="majorEastAsia" w:cstheme="majorEastAsia"/>
          <w:b w:val="0"/>
          <w:bCs w:val="0"/>
          <w:color w:val="auto"/>
          <w:sz w:val="24"/>
          <w:szCs w:val="24"/>
          <w:highlight w:val="none"/>
          <w:lang w:val="en-US" w:eastAsia="zh-CN"/>
        </w:rPr>
      </w:pPr>
      <w:bookmarkStart w:id="169" w:name="_Toc30476"/>
      <w:r>
        <w:rPr>
          <w:rFonts w:hint="eastAsia" w:asciiTheme="majorEastAsia" w:hAnsiTheme="majorEastAsia" w:eastAsiaTheme="majorEastAsia" w:cstheme="majorEastAsia"/>
          <w:b w:val="0"/>
          <w:bCs w:val="0"/>
          <w:color w:val="auto"/>
          <w:sz w:val="24"/>
          <w:szCs w:val="24"/>
          <w:highlight w:val="none"/>
          <w:lang w:val="en-US" w:eastAsia="zh-CN"/>
        </w:rPr>
        <w:t>系统可计算血管内血流的快速变换</w:t>
      </w:r>
      <w:bookmarkEnd w:id="169"/>
    </w:p>
    <w:p w14:paraId="7CFBC1A4">
      <w:pPr>
        <w:widowControl/>
        <w:numPr>
          <w:ilvl w:val="0"/>
          <w:numId w:val="8"/>
        </w:numPr>
        <w:tabs>
          <w:tab w:val="left" w:pos="720"/>
        </w:tabs>
        <w:spacing w:line="276" w:lineRule="auto"/>
        <w:ind w:left="0" w:leftChars="0" w:firstLine="400" w:firstLineChars="0"/>
        <w:jc w:val="left"/>
        <w:outlineLvl w:val="1"/>
        <w:rPr>
          <w:rFonts w:hint="eastAsia" w:asciiTheme="majorEastAsia" w:hAnsiTheme="majorEastAsia" w:eastAsiaTheme="majorEastAsia" w:cstheme="majorEastAsia"/>
          <w:b/>
          <w:bCs/>
          <w:color w:val="auto"/>
          <w:sz w:val="24"/>
          <w:szCs w:val="24"/>
          <w:highlight w:val="none"/>
        </w:rPr>
      </w:pPr>
      <w:bookmarkStart w:id="170" w:name="_Toc32105"/>
      <w:r>
        <w:rPr>
          <w:rFonts w:hint="eastAsia" w:asciiTheme="majorEastAsia" w:hAnsiTheme="majorEastAsia" w:eastAsiaTheme="majorEastAsia" w:cstheme="majorEastAsia"/>
          <w:b/>
          <w:bCs/>
          <w:color w:val="auto"/>
          <w:sz w:val="24"/>
          <w:szCs w:val="24"/>
          <w:highlight w:val="none"/>
        </w:rPr>
        <w:t>商务要求</w:t>
      </w:r>
      <w:bookmarkEnd w:id="170"/>
    </w:p>
    <w:p w14:paraId="2B2DC041">
      <w:pPr>
        <w:widowControl/>
        <w:numPr>
          <w:ilvl w:val="1"/>
          <w:numId w:val="8"/>
        </w:numPr>
        <w:tabs>
          <w:tab w:val="left" w:pos="720"/>
        </w:tabs>
        <w:spacing w:line="276" w:lineRule="auto"/>
        <w:ind w:left="0" w:leftChars="0" w:firstLine="400" w:firstLineChars="0"/>
        <w:jc w:val="left"/>
        <w:outlineLvl w:val="1"/>
        <w:rPr>
          <w:rFonts w:hint="eastAsia" w:asciiTheme="minorEastAsia" w:hAnsiTheme="minorEastAsia" w:eastAsiaTheme="minorEastAsia" w:cstheme="minorEastAsia"/>
          <w:b w:val="0"/>
          <w:bCs w:val="0"/>
          <w:color w:val="auto"/>
          <w:sz w:val="24"/>
          <w:szCs w:val="24"/>
          <w:highlight w:val="none"/>
        </w:rPr>
      </w:pPr>
      <w:bookmarkStart w:id="171" w:name="_Toc17362"/>
      <w:r>
        <w:rPr>
          <w:rFonts w:hint="eastAsia" w:asciiTheme="minorEastAsia" w:hAnsiTheme="minorEastAsia" w:eastAsiaTheme="minorEastAsia" w:cstheme="minorEastAsia"/>
          <w:b w:val="0"/>
          <w:bCs w:val="0"/>
          <w:color w:val="auto"/>
          <w:sz w:val="24"/>
          <w:szCs w:val="24"/>
          <w:highlight w:val="none"/>
        </w:rPr>
        <w:t>投标人应对所提供的货物提供≥</w:t>
      </w:r>
      <w:r>
        <w:rPr>
          <w:rFonts w:hint="eastAsia" w:asciiTheme="minorEastAsia" w:hAnsiTheme="minorEastAsia" w:eastAsiaTheme="minorEastAsia" w:cstheme="minorEastAsia"/>
          <w:b w:val="0"/>
          <w:bCs w:val="0"/>
          <w:color w:val="auto"/>
          <w:sz w:val="24"/>
          <w:szCs w:val="24"/>
          <w:highlight w:val="none"/>
          <w:lang w:eastAsia="zh-CN"/>
        </w:rPr>
        <w:t>五</w:t>
      </w:r>
      <w:r>
        <w:rPr>
          <w:rFonts w:hint="eastAsia" w:asciiTheme="minorEastAsia" w:hAnsiTheme="minorEastAsia" w:eastAsiaTheme="minorEastAsia" w:cstheme="minorEastAsia"/>
          <w:b w:val="0"/>
          <w:bCs w:val="0"/>
          <w:color w:val="auto"/>
          <w:sz w:val="24"/>
          <w:szCs w:val="24"/>
          <w:highlight w:val="none"/>
        </w:rPr>
        <w:t>年整机质保服务</w:t>
      </w:r>
      <w:r>
        <w:rPr>
          <w:rFonts w:hint="eastAsia" w:asciiTheme="minorEastAsia" w:hAnsiTheme="minorEastAsia" w:eastAsiaTheme="minorEastAsia" w:cstheme="minorEastAsia"/>
          <w:b w:val="0"/>
          <w:bCs w:val="0"/>
          <w:color w:val="auto"/>
          <w:sz w:val="24"/>
          <w:szCs w:val="24"/>
          <w:highlight w:val="none"/>
          <w:lang w:eastAsia="zh-CN"/>
        </w:rPr>
        <w:t>（探头除外）</w:t>
      </w:r>
      <w:r>
        <w:rPr>
          <w:rFonts w:hint="eastAsia" w:asciiTheme="minorEastAsia" w:hAnsiTheme="minorEastAsia" w:eastAsiaTheme="minorEastAsia" w:cstheme="minorEastAsia"/>
          <w:b w:val="0"/>
          <w:bCs w:val="0"/>
          <w:color w:val="auto"/>
          <w:sz w:val="24"/>
          <w:szCs w:val="24"/>
          <w:highlight w:val="none"/>
        </w:rPr>
        <w:t>，质保期内软件免费更新。</w:t>
      </w:r>
      <w:bookmarkEnd w:id="171"/>
      <w:r>
        <w:rPr>
          <w:rFonts w:hint="eastAsia" w:asciiTheme="minorEastAsia" w:hAnsiTheme="minorEastAsia" w:eastAsiaTheme="minorEastAsia" w:cstheme="minorEastAsia"/>
          <w:b w:val="0"/>
          <w:bCs w:val="0"/>
          <w:color w:val="auto"/>
          <w:sz w:val="24"/>
          <w:szCs w:val="24"/>
          <w:highlight w:val="none"/>
          <w:lang w:val="en-US" w:eastAsia="zh-CN"/>
        </w:rPr>
        <w:t>若投标产品为进口产品，则</w:t>
      </w:r>
      <w:r>
        <w:rPr>
          <w:rFonts w:hint="eastAsia" w:asciiTheme="minorEastAsia" w:hAnsiTheme="minorEastAsia" w:eastAsiaTheme="minorEastAsia" w:cstheme="minorEastAsia"/>
          <w:b w:val="0"/>
          <w:bCs w:val="0"/>
          <w:color w:val="auto"/>
          <w:sz w:val="24"/>
          <w:szCs w:val="24"/>
          <w:highlight w:val="none"/>
        </w:rPr>
        <w:t>投标人应对所提供的货物提供≥</w:t>
      </w:r>
      <w:r>
        <w:rPr>
          <w:rFonts w:hint="eastAsia" w:asciiTheme="minorEastAsia" w:hAnsiTheme="minorEastAsia" w:eastAsiaTheme="minorEastAsia" w:cstheme="minorEastAsia"/>
          <w:b w:val="0"/>
          <w:bCs w:val="0"/>
          <w:color w:val="auto"/>
          <w:sz w:val="24"/>
          <w:szCs w:val="24"/>
          <w:highlight w:val="none"/>
          <w:lang w:eastAsia="zh-CN"/>
        </w:rPr>
        <w:t>五</w:t>
      </w:r>
      <w:r>
        <w:rPr>
          <w:rFonts w:hint="eastAsia" w:asciiTheme="minorEastAsia" w:hAnsiTheme="minorEastAsia" w:eastAsiaTheme="minorEastAsia" w:cstheme="minorEastAsia"/>
          <w:b w:val="0"/>
          <w:bCs w:val="0"/>
          <w:color w:val="auto"/>
          <w:sz w:val="24"/>
          <w:szCs w:val="24"/>
          <w:highlight w:val="none"/>
        </w:rPr>
        <w:t>年</w:t>
      </w:r>
      <w:r>
        <w:rPr>
          <w:rFonts w:hint="eastAsia" w:asciiTheme="minorEastAsia" w:hAnsiTheme="minorEastAsia" w:eastAsiaTheme="minorEastAsia" w:cstheme="minorEastAsia"/>
          <w:b w:val="0"/>
          <w:bCs w:val="0"/>
          <w:color w:val="auto"/>
          <w:sz w:val="24"/>
          <w:szCs w:val="24"/>
          <w:highlight w:val="none"/>
          <w:lang w:val="en-US" w:eastAsia="zh-CN"/>
        </w:rPr>
        <w:t>原厂</w:t>
      </w:r>
      <w:r>
        <w:rPr>
          <w:rFonts w:hint="eastAsia" w:asciiTheme="minorEastAsia" w:hAnsiTheme="minorEastAsia" w:eastAsiaTheme="minorEastAsia" w:cstheme="minorEastAsia"/>
          <w:b w:val="0"/>
          <w:bCs w:val="0"/>
          <w:color w:val="auto"/>
          <w:sz w:val="24"/>
          <w:szCs w:val="24"/>
          <w:highlight w:val="none"/>
        </w:rPr>
        <w:t>整机质保服务</w:t>
      </w:r>
      <w:r>
        <w:rPr>
          <w:rFonts w:hint="eastAsia" w:asciiTheme="minorEastAsia" w:hAnsiTheme="minorEastAsia" w:eastAsiaTheme="minorEastAsia" w:cstheme="minorEastAsia"/>
          <w:b w:val="0"/>
          <w:bCs w:val="0"/>
          <w:color w:val="auto"/>
          <w:sz w:val="24"/>
          <w:szCs w:val="24"/>
          <w:highlight w:val="none"/>
          <w:lang w:eastAsia="zh-CN"/>
        </w:rPr>
        <w:t>（探头除外）</w:t>
      </w:r>
      <w:r>
        <w:rPr>
          <w:rFonts w:hint="eastAsia" w:asciiTheme="minorEastAsia" w:hAnsiTheme="minorEastAsia" w:eastAsiaTheme="minorEastAsia" w:cstheme="minorEastAsia"/>
          <w:b w:val="0"/>
          <w:bCs w:val="0"/>
          <w:color w:val="auto"/>
          <w:sz w:val="24"/>
          <w:szCs w:val="24"/>
          <w:highlight w:val="none"/>
        </w:rPr>
        <w:t>，质保期内软件免费更新</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针对上面内容提供证明材料</w:t>
      </w:r>
      <w:r>
        <w:rPr>
          <w:rFonts w:hint="eastAsia" w:asciiTheme="minorEastAsia" w:hAnsiTheme="minorEastAsia" w:eastAsiaTheme="minorEastAsia" w:cstheme="minorEastAsia"/>
          <w:b w:val="0"/>
          <w:bCs w:val="0"/>
          <w:color w:val="auto"/>
          <w:sz w:val="24"/>
          <w:szCs w:val="24"/>
          <w:highlight w:val="none"/>
          <w:lang w:eastAsia="zh-CN"/>
        </w:rPr>
        <w:t>）</w:t>
      </w:r>
    </w:p>
    <w:p w14:paraId="79CF78B0">
      <w:pPr>
        <w:widowControl/>
        <w:numPr>
          <w:ilvl w:val="1"/>
          <w:numId w:val="8"/>
        </w:numPr>
        <w:tabs>
          <w:tab w:val="left" w:pos="720"/>
        </w:tabs>
        <w:spacing w:line="276" w:lineRule="auto"/>
        <w:ind w:left="0" w:leftChars="0" w:firstLine="400" w:firstLineChars="0"/>
        <w:jc w:val="left"/>
        <w:outlineLvl w:val="1"/>
        <w:rPr>
          <w:rFonts w:hint="eastAsia" w:asciiTheme="minorEastAsia" w:hAnsiTheme="minorEastAsia" w:eastAsiaTheme="minorEastAsia" w:cstheme="minorEastAsia"/>
          <w:b w:val="0"/>
          <w:bCs w:val="0"/>
          <w:color w:val="auto"/>
          <w:sz w:val="24"/>
          <w:szCs w:val="24"/>
          <w:highlight w:val="none"/>
          <w:lang w:val="en-US" w:eastAsia="zh-CN"/>
        </w:rPr>
      </w:pPr>
      <w:bookmarkStart w:id="172" w:name="_Toc31626"/>
      <w:r>
        <w:rPr>
          <w:rFonts w:hint="eastAsia" w:asciiTheme="minorEastAsia" w:hAnsiTheme="minorEastAsia" w:eastAsiaTheme="minorEastAsia" w:cstheme="minorEastAsia"/>
          <w:b w:val="0"/>
          <w:bCs w:val="0"/>
          <w:color w:val="auto"/>
          <w:sz w:val="24"/>
          <w:szCs w:val="24"/>
          <w:highlight w:val="none"/>
          <w:lang w:val="en-US" w:eastAsia="zh-CN"/>
        </w:rPr>
        <w:t>服务响应时间：2小时之内进行故障响应，24小时之内到达现场，48小时无法解决故障问题的需提供备用机；</w:t>
      </w:r>
      <w:bookmarkEnd w:id="172"/>
    </w:p>
    <w:p w14:paraId="7CD9BDDE">
      <w:pPr>
        <w:widowControl/>
        <w:numPr>
          <w:ilvl w:val="1"/>
          <w:numId w:val="8"/>
        </w:numPr>
        <w:tabs>
          <w:tab w:val="left" w:pos="720"/>
        </w:tabs>
        <w:spacing w:line="276" w:lineRule="auto"/>
        <w:ind w:left="0" w:leftChars="0" w:firstLine="400" w:firstLineChars="0"/>
        <w:jc w:val="left"/>
        <w:outlineLvl w:val="1"/>
        <w:rPr>
          <w:rFonts w:hint="eastAsia" w:asciiTheme="minorEastAsia" w:hAnsiTheme="minorEastAsia" w:eastAsiaTheme="minorEastAsia" w:cstheme="minorEastAsia"/>
          <w:b w:val="0"/>
          <w:bCs w:val="0"/>
          <w:color w:val="auto"/>
          <w:sz w:val="24"/>
          <w:szCs w:val="24"/>
          <w:highlight w:val="none"/>
          <w:lang w:val="en-US" w:eastAsia="zh-CN"/>
        </w:rPr>
      </w:pPr>
      <w:bookmarkStart w:id="173" w:name="_Toc11578"/>
      <w:r>
        <w:rPr>
          <w:rFonts w:hint="eastAsia" w:asciiTheme="minorEastAsia" w:hAnsiTheme="minorEastAsia" w:eastAsiaTheme="minorEastAsia" w:cstheme="minorEastAsia"/>
          <w:b w:val="0"/>
          <w:bCs w:val="0"/>
          <w:color w:val="auto"/>
          <w:sz w:val="24"/>
          <w:szCs w:val="24"/>
          <w:highlight w:val="none"/>
        </w:rPr>
        <w:t>开机率&gt;95%，仪器故障要求2小时到现场，</w:t>
      </w:r>
      <w:r>
        <w:rPr>
          <w:rFonts w:hint="eastAsia" w:asciiTheme="minorEastAsia" w:hAnsiTheme="minorEastAsia" w:eastAsiaTheme="minorEastAsia" w:cstheme="minorEastAsia"/>
          <w:b w:val="0"/>
          <w:bCs w:val="0"/>
          <w:color w:val="auto"/>
          <w:sz w:val="24"/>
          <w:szCs w:val="24"/>
          <w:highlight w:val="none"/>
          <w:lang w:val="en-US" w:eastAsia="zh-CN"/>
        </w:rPr>
        <w:t>一般故障</w:t>
      </w:r>
      <w:r>
        <w:rPr>
          <w:rFonts w:hint="eastAsia" w:asciiTheme="minorEastAsia" w:hAnsiTheme="minorEastAsia" w:eastAsiaTheme="minorEastAsia" w:cstheme="minorEastAsia"/>
          <w:b w:val="0"/>
          <w:bCs w:val="0"/>
          <w:color w:val="auto"/>
          <w:sz w:val="24"/>
          <w:szCs w:val="24"/>
          <w:highlight w:val="none"/>
        </w:rPr>
        <w:t>24 小时形成解决方案。</w:t>
      </w:r>
      <w:r>
        <w:rPr>
          <w:rFonts w:hint="eastAsia" w:asciiTheme="minorEastAsia" w:hAnsiTheme="minorEastAsia" w:eastAsiaTheme="minorEastAsia" w:cstheme="minorEastAsia"/>
          <w:b w:val="0"/>
          <w:bCs w:val="0"/>
          <w:color w:val="auto"/>
          <w:sz w:val="24"/>
          <w:szCs w:val="24"/>
          <w:highlight w:val="none"/>
          <w:lang w:val="en-US" w:eastAsia="zh-CN"/>
        </w:rPr>
        <w:t>重大故障在5个工作日内解决问题，确保设备的正常运行。供应商需保证设备备件的充足供应，对于常用备件，需在接到需求后48小时内送达医院。</w:t>
      </w:r>
      <w:r>
        <w:rPr>
          <w:rFonts w:hint="eastAsia" w:asciiTheme="minorEastAsia" w:hAnsiTheme="minorEastAsia" w:eastAsiaTheme="minorEastAsia" w:cstheme="minorEastAsia"/>
          <w:b w:val="0"/>
          <w:bCs w:val="0"/>
          <w:color w:val="auto"/>
          <w:sz w:val="24"/>
          <w:szCs w:val="24"/>
          <w:highlight w:val="none"/>
        </w:rPr>
        <w:t>针对上面内容提供证明材料。</w:t>
      </w:r>
      <w:bookmarkEnd w:id="173"/>
    </w:p>
    <w:p w14:paraId="5CC11C91">
      <w:pPr>
        <w:widowControl/>
        <w:numPr>
          <w:ilvl w:val="1"/>
          <w:numId w:val="8"/>
        </w:numPr>
        <w:tabs>
          <w:tab w:val="left" w:pos="720"/>
        </w:tabs>
        <w:spacing w:line="276" w:lineRule="auto"/>
        <w:ind w:left="0" w:leftChars="0" w:firstLine="400" w:firstLineChars="0"/>
        <w:jc w:val="left"/>
        <w:outlineLvl w:val="1"/>
        <w:rPr>
          <w:rFonts w:hint="eastAsia" w:asciiTheme="minorEastAsia" w:hAnsiTheme="minorEastAsia" w:eastAsiaTheme="minorEastAsia" w:cstheme="minorEastAsia"/>
          <w:b w:val="0"/>
          <w:bCs w:val="0"/>
          <w:color w:val="auto"/>
          <w:sz w:val="24"/>
          <w:szCs w:val="24"/>
          <w:highlight w:val="none"/>
        </w:rPr>
      </w:pPr>
      <w:bookmarkStart w:id="174" w:name="_Toc24722"/>
      <w:r>
        <w:rPr>
          <w:rFonts w:hint="eastAsia" w:asciiTheme="minorEastAsia" w:hAnsiTheme="minorEastAsia" w:eastAsiaTheme="minorEastAsia" w:cstheme="minorEastAsia"/>
          <w:b w:val="0"/>
          <w:bCs w:val="0"/>
          <w:color w:val="auto"/>
          <w:sz w:val="24"/>
          <w:szCs w:val="24"/>
          <w:highlight w:val="none"/>
        </w:rPr>
        <w:t>配备受过专业培训的售后服务人员。</w:t>
      </w:r>
      <w:bookmarkEnd w:id="174"/>
    </w:p>
    <w:p w14:paraId="439F7D3D">
      <w:pPr>
        <w:widowControl/>
        <w:numPr>
          <w:ilvl w:val="0"/>
          <w:numId w:val="8"/>
        </w:numPr>
        <w:tabs>
          <w:tab w:val="left" w:pos="720"/>
        </w:tabs>
        <w:spacing w:line="276" w:lineRule="auto"/>
        <w:ind w:left="0" w:leftChars="0" w:firstLine="400" w:firstLineChars="0"/>
        <w:jc w:val="left"/>
        <w:outlineLvl w:val="1"/>
        <w:rPr>
          <w:rFonts w:hint="eastAsia"/>
          <w:b/>
          <w:bCs/>
          <w:color w:val="auto"/>
          <w:highlight w:val="none"/>
          <w:lang w:val="en-US" w:eastAsia="zh-CN"/>
        </w:rPr>
      </w:pPr>
      <w:bookmarkStart w:id="175" w:name="_Toc13442"/>
      <w:r>
        <w:rPr>
          <w:rFonts w:hint="eastAsia" w:asciiTheme="majorEastAsia" w:hAnsiTheme="majorEastAsia" w:eastAsiaTheme="majorEastAsia" w:cstheme="majorEastAsia"/>
          <w:b/>
          <w:bCs/>
          <w:color w:val="auto"/>
          <w:sz w:val="24"/>
          <w:szCs w:val="24"/>
          <w:highlight w:val="none"/>
          <w:lang w:val="en-US" w:eastAsia="zh-CN"/>
        </w:rPr>
        <w:t>其他要求</w:t>
      </w:r>
      <w:bookmarkEnd w:id="175"/>
    </w:p>
    <w:p w14:paraId="5E3B1803">
      <w:pPr>
        <w:widowControl/>
        <w:numPr>
          <w:ilvl w:val="1"/>
          <w:numId w:val="8"/>
        </w:numPr>
        <w:tabs>
          <w:tab w:val="left" w:pos="720"/>
        </w:tabs>
        <w:spacing w:line="276" w:lineRule="auto"/>
        <w:ind w:left="0" w:leftChars="0" w:firstLine="400" w:firstLineChars="0"/>
        <w:jc w:val="left"/>
        <w:outlineLvl w:val="1"/>
        <w:rPr>
          <w:rFonts w:hint="default" w:asciiTheme="minorEastAsia" w:hAnsiTheme="minorEastAsia" w:eastAsiaTheme="minorEastAsia" w:cstheme="minorEastAsia"/>
          <w:b w:val="0"/>
          <w:bCs w:val="0"/>
          <w:color w:val="auto"/>
          <w:sz w:val="24"/>
          <w:szCs w:val="24"/>
          <w:highlight w:val="none"/>
          <w:lang w:val="en-US" w:eastAsia="zh-CN"/>
        </w:rPr>
      </w:pPr>
      <w:bookmarkStart w:id="176" w:name="_Toc22843"/>
      <w:r>
        <w:rPr>
          <w:rFonts w:hint="eastAsia" w:asciiTheme="minorEastAsia" w:hAnsiTheme="minorEastAsia" w:eastAsiaTheme="minorEastAsia" w:cstheme="minorEastAsia"/>
          <w:b w:val="0"/>
          <w:bCs w:val="0"/>
          <w:color w:val="auto"/>
          <w:sz w:val="24"/>
          <w:szCs w:val="24"/>
          <w:highlight w:val="none"/>
          <w:lang w:val="en-US" w:eastAsia="zh-CN"/>
        </w:rPr>
        <w:t>投标人须提供相关技术服务方案。</w:t>
      </w:r>
      <w:bookmarkEnd w:id="176"/>
    </w:p>
    <w:p w14:paraId="7D29DA6B">
      <w:pPr>
        <w:widowControl/>
        <w:numPr>
          <w:ilvl w:val="2"/>
          <w:numId w:val="8"/>
        </w:numPr>
        <w:tabs>
          <w:tab w:val="left" w:pos="720"/>
        </w:tabs>
        <w:spacing w:line="276" w:lineRule="auto"/>
        <w:ind w:left="0" w:leftChars="0" w:firstLine="402" w:firstLineChars="0"/>
        <w:jc w:val="left"/>
        <w:outlineLvl w:val="1"/>
        <w:rPr>
          <w:rFonts w:hint="default" w:asciiTheme="minorEastAsia" w:hAnsiTheme="minorEastAsia" w:eastAsiaTheme="minorEastAsia" w:cstheme="minorEastAsia"/>
          <w:b w:val="0"/>
          <w:bCs w:val="0"/>
          <w:color w:val="auto"/>
          <w:sz w:val="24"/>
          <w:szCs w:val="24"/>
          <w:highlight w:val="none"/>
          <w:lang w:val="en-US" w:eastAsia="zh-CN"/>
        </w:rPr>
      </w:pPr>
      <w:bookmarkStart w:id="177" w:name="_Toc2599"/>
      <w:r>
        <w:rPr>
          <w:rFonts w:hint="eastAsia" w:asciiTheme="minorEastAsia" w:hAnsiTheme="minorEastAsia" w:eastAsiaTheme="minorEastAsia" w:cstheme="minorEastAsia"/>
          <w:b w:val="0"/>
          <w:bCs w:val="0"/>
          <w:color w:val="auto"/>
          <w:sz w:val="24"/>
          <w:szCs w:val="24"/>
          <w:highlight w:val="none"/>
          <w:lang w:val="en-US" w:eastAsia="zh-CN"/>
        </w:rPr>
        <w:t>设备到货、安装及调试方案：设备到货安装方案、操作流程、配送方案及追溯措施、安装完成后与采购人对接保障其运行方案。</w:t>
      </w:r>
      <w:bookmarkEnd w:id="177"/>
    </w:p>
    <w:p w14:paraId="65BF924E">
      <w:pPr>
        <w:widowControl/>
        <w:numPr>
          <w:ilvl w:val="2"/>
          <w:numId w:val="8"/>
        </w:numPr>
        <w:tabs>
          <w:tab w:val="left" w:pos="720"/>
        </w:tabs>
        <w:spacing w:line="276" w:lineRule="auto"/>
        <w:ind w:left="0" w:leftChars="0" w:firstLine="402" w:firstLineChars="0"/>
        <w:jc w:val="left"/>
        <w:outlineLvl w:val="1"/>
        <w:rPr>
          <w:rFonts w:hint="eastAsia" w:asciiTheme="minorEastAsia" w:hAnsiTheme="minorEastAsia" w:eastAsiaTheme="minorEastAsia" w:cstheme="minorEastAsia"/>
          <w:b w:val="0"/>
          <w:bCs w:val="0"/>
          <w:color w:val="auto"/>
          <w:sz w:val="24"/>
          <w:szCs w:val="24"/>
          <w:highlight w:val="none"/>
          <w:lang w:val="en-US" w:eastAsia="zh-CN"/>
        </w:rPr>
      </w:pPr>
      <w:bookmarkStart w:id="178" w:name="_Toc22543"/>
      <w:r>
        <w:rPr>
          <w:rFonts w:hint="eastAsia" w:asciiTheme="minorEastAsia" w:hAnsiTheme="minorEastAsia" w:eastAsiaTheme="minorEastAsia" w:cstheme="minorEastAsia"/>
          <w:b w:val="0"/>
          <w:bCs w:val="0"/>
          <w:color w:val="auto"/>
          <w:sz w:val="24"/>
          <w:szCs w:val="24"/>
          <w:highlight w:val="none"/>
          <w:lang w:val="en-US" w:eastAsia="zh-CN"/>
        </w:rPr>
        <w:t>培训方案：培训计划及方案应包括但不限于：培训内容、培训方法、培训师资等。</w:t>
      </w:r>
      <w:bookmarkEnd w:id="178"/>
    </w:p>
    <w:p w14:paraId="11AAAA17">
      <w:pPr>
        <w:widowControl/>
        <w:numPr>
          <w:ilvl w:val="2"/>
          <w:numId w:val="8"/>
        </w:numPr>
        <w:tabs>
          <w:tab w:val="left" w:pos="720"/>
        </w:tabs>
        <w:spacing w:line="276" w:lineRule="auto"/>
        <w:ind w:left="0" w:leftChars="0" w:firstLine="402" w:firstLineChars="0"/>
        <w:jc w:val="left"/>
        <w:outlineLvl w:val="1"/>
        <w:rPr>
          <w:rFonts w:hint="eastAsia" w:asciiTheme="minorEastAsia" w:hAnsiTheme="minorEastAsia" w:eastAsiaTheme="minorEastAsia" w:cstheme="minorEastAsia"/>
          <w:b w:val="0"/>
          <w:bCs w:val="0"/>
          <w:color w:val="auto"/>
          <w:sz w:val="24"/>
          <w:szCs w:val="24"/>
          <w:highlight w:val="none"/>
          <w:lang w:val="en-US" w:eastAsia="zh-CN"/>
        </w:rPr>
      </w:pPr>
      <w:bookmarkStart w:id="179" w:name="_Toc21122"/>
      <w:r>
        <w:rPr>
          <w:rFonts w:hint="eastAsia" w:asciiTheme="minorEastAsia" w:hAnsiTheme="minorEastAsia" w:eastAsiaTheme="minorEastAsia" w:cstheme="minorEastAsia"/>
          <w:b w:val="0"/>
          <w:bCs w:val="0"/>
          <w:color w:val="auto"/>
          <w:sz w:val="24"/>
          <w:szCs w:val="24"/>
          <w:highlight w:val="none"/>
          <w:lang w:val="en-US" w:eastAsia="zh-CN"/>
        </w:rPr>
        <w:t>质量管理与控制方案：供应商根据项目需求提供质量管理与控制方案，包括但不限于入库材料质量检验机制、使用过程中发现的质量问题进行跟踪和处理等。</w:t>
      </w:r>
      <w:bookmarkEnd w:id="179"/>
    </w:p>
    <w:p w14:paraId="51BFAEBF">
      <w:pPr>
        <w:widowControl/>
        <w:numPr>
          <w:ilvl w:val="2"/>
          <w:numId w:val="8"/>
        </w:numPr>
        <w:tabs>
          <w:tab w:val="left" w:pos="720"/>
        </w:tabs>
        <w:spacing w:line="276" w:lineRule="auto"/>
        <w:ind w:left="0" w:leftChars="0" w:firstLine="402" w:firstLineChars="0"/>
        <w:jc w:val="left"/>
        <w:outlineLvl w:val="1"/>
        <w:rPr>
          <w:rFonts w:hint="eastAsia" w:asciiTheme="minorEastAsia" w:hAnsiTheme="minorEastAsia" w:eastAsiaTheme="minorEastAsia" w:cstheme="minorEastAsia"/>
          <w:b w:val="0"/>
          <w:bCs w:val="0"/>
          <w:color w:val="auto"/>
          <w:sz w:val="24"/>
          <w:szCs w:val="24"/>
          <w:highlight w:val="none"/>
        </w:rPr>
      </w:pPr>
      <w:bookmarkStart w:id="180" w:name="_Toc25619"/>
      <w:r>
        <w:rPr>
          <w:rFonts w:hint="eastAsia" w:asciiTheme="minorEastAsia" w:hAnsiTheme="minorEastAsia" w:eastAsiaTheme="minorEastAsia" w:cstheme="minorEastAsia"/>
          <w:b w:val="0"/>
          <w:bCs w:val="0"/>
          <w:color w:val="auto"/>
          <w:sz w:val="24"/>
          <w:szCs w:val="24"/>
          <w:highlight w:val="none"/>
          <w:lang w:val="en-US" w:eastAsia="zh-CN"/>
        </w:rPr>
        <w:t>售后服务方案：供应商根据项目需求提供售后服务方案，包括但不限于售后服务体系、售后服务机构及人员、售后服务应答及处理时间，质保期内及质保期满后的售后服务情况。</w:t>
      </w:r>
      <w:bookmarkEnd w:id="180"/>
    </w:p>
    <w:p w14:paraId="274BE276">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0BADA8D5">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32B7A6DE">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25407238">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7878A23A">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19B4F16D">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4B506D55">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4793C430">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0E67F0EA">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5877EA8F">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11062759">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224052D5">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3C6B2CA6">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0C8869E0">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6539697B">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366728A0">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2CDE2808">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565B2516">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p w14:paraId="302700F3">
      <w:pPr>
        <w:widowControl/>
        <w:numPr>
          <w:ilvl w:val="0"/>
          <w:numId w:val="0"/>
        </w:numPr>
        <w:tabs>
          <w:tab w:val="left" w:pos="720"/>
        </w:tabs>
        <w:spacing w:line="276" w:lineRule="auto"/>
        <w:ind w:left="400" w:leftChars="0"/>
        <w:jc w:val="left"/>
        <w:outlineLvl w:val="1"/>
        <w:rPr>
          <w:rFonts w:hint="eastAsia" w:ascii="宋体" w:hAnsi="宋体"/>
          <w:b/>
          <w:color w:val="auto"/>
          <w:kern w:val="2"/>
          <w:sz w:val="24"/>
          <w:szCs w:val="24"/>
          <w:highlight w:val="none"/>
          <w14:ligatures w14:val="standardContextual"/>
        </w:rPr>
      </w:pPr>
    </w:p>
    <w:bookmarkEnd w:id="139"/>
    <w:bookmarkEnd w:id="140"/>
    <w:p w14:paraId="64A6C9F5">
      <w:pPr>
        <w:numPr>
          <w:ilvl w:val="0"/>
          <w:numId w:val="9"/>
        </w:numPr>
        <w:spacing w:line="360" w:lineRule="auto"/>
        <w:ind w:firstLine="883"/>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 </w:t>
      </w:r>
      <w:bookmarkStart w:id="181" w:name="_Toc25681"/>
      <w:r>
        <w:rPr>
          <w:rFonts w:hint="eastAsia" w:ascii="宋体" w:hAnsi="宋体" w:cs="宋体"/>
          <w:b/>
          <w:color w:val="auto"/>
          <w:sz w:val="44"/>
          <w:szCs w:val="44"/>
          <w:highlight w:val="none"/>
        </w:rPr>
        <w:t>合同格式及条款</w:t>
      </w:r>
      <w:bookmarkEnd w:id="137"/>
      <w:bookmarkEnd w:id="181"/>
    </w:p>
    <w:p w14:paraId="4D814A0C">
      <w:pPr>
        <w:rPr>
          <w:rFonts w:hint="eastAsia"/>
          <w:color w:val="auto"/>
          <w:highlight w:val="none"/>
        </w:rPr>
      </w:pPr>
      <w:bookmarkStart w:id="182" w:name="EB92fb24a891e34ea29920d90c75406592"/>
    </w:p>
    <w:bookmarkEnd w:id="182"/>
    <w:p w14:paraId="485ADD15">
      <w:pPr>
        <w:pStyle w:val="295"/>
        <w:spacing w:line="420" w:lineRule="exact"/>
        <w:jc w:val="center"/>
        <w:outlineLvl w:val="1"/>
        <w:rPr>
          <w:color w:val="auto"/>
          <w:highlight w:val="none"/>
        </w:rPr>
      </w:pPr>
      <w:bookmarkStart w:id="183" w:name="_Toc9956_WPSOffice_Level2"/>
      <w:bookmarkStart w:id="184" w:name="_Toc8249"/>
      <w:bookmarkStart w:id="185" w:name="_Toc23987"/>
      <w:bookmarkStart w:id="186" w:name="_Toc1883"/>
      <w:r>
        <w:rPr>
          <w:rFonts w:hint="eastAsia" w:ascii="黑体" w:eastAsia="黑体"/>
          <w:b/>
          <w:color w:val="auto"/>
          <w:sz w:val="44"/>
          <w:highlight w:val="none"/>
        </w:rPr>
        <w:t>合同通用条款</w:t>
      </w:r>
      <w:bookmarkEnd w:id="183"/>
      <w:bookmarkEnd w:id="184"/>
      <w:bookmarkEnd w:id="185"/>
      <w:bookmarkEnd w:id="186"/>
    </w:p>
    <w:p w14:paraId="3CE2C589">
      <w:pPr>
        <w:pStyle w:val="295"/>
        <w:spacing w:line="360" w:lineRule="auto"/>
        <w:ind w:left="-1" w:leftChars="-135" w:hanging="282" w:hangingChars="117"/>
        <w:rPr>
          <w:rFonts w:hint="eastAsia" w:ascii="宋体" w:hAnsi="宋体" w:cs="宋体"/>
          <w:color w:val="auto"/>
          <w:sz w:val="24"/>
          <w:highlight w:val="none"/>
        </w:rPr>
      </w:pPr>
      <w:r>
        <w:rPr>
          <w:rFonts w:hint="eastAsia" w:ascii="宋体"/>
          <w:b/>
          <w:bCs/>
          <w:color w:val="auto"/>
          <w:sz w:val="24"/>
          <w:highlight w:val="none"/>
        </w:rPr>
        <w:t>1.</w:t>
      </w:r>
      <w:r>
        <w:rPr>
          <w:rFonts w:hint="eastAsia" w:ascii="宋体"/>
          <w:b/>
          <w:color w:val="auto"/>
          <w:sz w:val="24"/>
          <w:highlight w:val="none"/>
        </w:rPr>
        <w:t xml:space="preserve"> </w:t>
      </w:r>
      <w:r>
        <w:rPr>
          <w:rFonts w:hint="eastAsia" w:ascii="宋体" w:hAnsi="宋体" w:cs="宋体"/>
          <w:b/>
          <w:color w:val="auto"/>
          <w:sz w:val="24"/>
          <w:highlight w:val="none"/>
        </w:rPr>
        <w:t>定义</w:t>
      </w:r>
      <w:r>
        <w:rPr>
          <w:rFonts w:hint="eastAsia" w:ascii="宋体" w:hAnsi="宋体" w:cs="宋体"/>
          <w:color w:val="auto"/>
          <w:sz w:val="24"/>
          <w:highlight w:val="none"/>
        </w:rPr>
        <w:t>：除本合同上下文中另有规定外，下列各词语定义如下：</w:t>
      </w:r>
    </w:p>
    <w:p w14:paraId="51F19256">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1.1</w:t>
      </w:r>
      <w:r>
        <w:rPr>
          <w:rFonts w:ascii="宋体" w:hAnsi="宋体" w:cs="宋体"/>
          <w:color w:val="auto"/>
          <w:sz w:val="24"/>
          <w:highlight w:val="none"/>
        </w:rPr>
        <w:t xml:space="preserve">  </w:t>
      </w:r>
      <w:r>
        <w:rPr>
          <w:rFonts w:hint="eastAsia" w:ascii="宋体" w:hAnsi="宋体" w:cs="宋体"/>
          <w:b/>
          <w:color w:val="auto"/>
          <w:sz w:val="24"/>
          <w:highlight w:val="none"/>
        </w:rPr>
        <w:t>“买方”</w:t>
      </w:r>
      <w:r>
        <w:rPr>
          <w:rFonts w:hint="eastAsia" w:ascii="宋体" w:hAnsi="宋体" w:cs="宋体"/>
          <w:color w:val="auto"/>
          <w:sz w:val="24"/>
          <w:highlight w:val="none"/>
        </w:rPr>
        <w:t>是指在</w:t>
      </w:r>
      <w:r>
        <w:rPr>
          <w:rFonts w:hint="eastAsia" w:ascii="宋体" w:hAnsi="宋体" w:cs="宋体"/>
          <w:b/>
          <w:bCs/>
          <w:color w:val="auto"/>
          <w:sz w:val="24"/>
          <w:highlight w:val="none"/>
        </w:rPr>
        <w:t>“合同专用条款”</w:t>
      </w:r>
      <w:r>
        <w:rPr>
          <w:rFonts w:hint="eastAsia" w:ascii="宋体" w:hAnsi="宋体" w:cs="宋体"/>
          <w:color w:val="auto"/>
          <w:sz w:val="24"/>
          <w:highlight w:val="none"/>
        </w:rPr>
        <w:t>中指明的买方。</w:t>
      </w:r>
      <w:r>
        <w:rPr>
          <w:rFonts w:hint="eastAsia" w:ascii="宋体" w:hAnsi="宋体" w:cs="宋体"/>
          <w:b/>
          <w:bCs/>
          <w:color w:val="auto"/>
          <w:sz w:val="24"/>
          <w:highlight w:val="none"/>
        </w:rPr>
        <w:t xml:space="preserve"> </w:t>
      </w:r>
    </w:p>
    <w:p w14:paraId="5954D73D">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bCs/>
          <w:color w:val="auto"/>
          <w:sz w:val="24"/>
          <w:highlight w:val="none"/>
        </w:rPr>
        <w:t>1.2</w:t>
      </w:r>
      <w:r>
        <w:rPr>
          <w:rFonts w:ascii="宋体" w:hAnsi="宋体" w:cs="宋体"/>
          <w:bCs/>
          <w:color w:val="auto"/>
          <w:sz w:val="24"/>
          <w:highlight w:val="none"/>
        </w:rPr>
        <w:t xml:space="preserve">  </w:t>
      </w:r>
      <w:r>
        <w:rPr>
          <w:rFonts w:hint="eastAsia" w:ascii="宋体" w:hAnsi="宋体" w:cs="宋体"/>
          <w:b/>
          <w:color w:val="auto"/>
          <w:sz w:val="24"/>
          <w:highlight w:val="none"/>
        </w:rPr>
        <w:t>“卖方”</w:t>
      </w:r>
      <w:r>
        <w:rPr>
          <w:rFonts w:hint="eastAsia" w:ascii="宋体" w:hAnsi="宋体" w:cs="宋体"/>
          <w:color w:val="auto"/>
          <w:sz w:val="24"/>
          <w:highlight w:val="none"/>
        </w:rPr>
        <w:t>是指投标文件为买方接受且在</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中被指明的卖方。 </w:t>
      </w:r>
    </w:p>
    <w:p w14:paraId="4F4A9897">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1.3</w:t>
      </w:r>
      <w:r>
        <w:rPr>
          <w:rFonts w:ascii="宋体" w:hAnsi="宋体" w:cs="宋体"/>
          <w:color w:val="auto"/>
          <w:sz w:val="24"/>
          <w:highlight w:val="none"/>
        </w:rPr>
        <w:t xml:space="preserve"> </w:t>
      </w:r>
      <w:r>
        <w:rPr>
          <w:rFonts w:hint="eastAsia" w:ascii="宋体" w:hAnsi="宋体" w:cs="宋体"/>
          <w:b/>
          <w:color w:val="auto"/>
          <w:sz w:val="24"/>
          <w:highlight w:val="none"/>
        </w:rPr>
        <w:t>“检验当局”</w:t>
      </w:r>
      <w:r>
        <w:rPr>
          <w:rFonts w:hint="eastAsia" w:ascii="宋体" w:hAnsi="宋体" w:cs="宋体"/>
          <w:color w:val="auto"/>
          <w:sz w:val="24"/>
          <w:highlight w:val="none"/>
        </w:rPr>
        <w:t>是指位于工作现场或其附近的中国国家质量技术监督局的地方分支机构，或</w:t>
      </w:r>
      <w:r>
        <w:rPr>
          <w:rFonts w:hint="eastAsia" w:ascii="宋体" w:hAnsi="宋体" w:cs="宋体"/>
          <w:b/>
          <w:bCs/>
          <w:color w:val="auto"/>
          <w:sz w:val="24"/>
          <w:highlight w:val="none"/>
        </w:rPr>
        <w:t>“合同专用条款”</w:t>
      </w:r>
      <w:r>
        <w:rPr>
          <w:rFonts w:hint="eastAsia" w:ascii="宋体" w:hAnsi="宋体" w:cs="宋体"/>
          <w:color w:val="auto"/>
          <w:sz w:val="24"/>
          <w:highlight w:val="none"/>
        </w:rPr>
        <w:t>规定情况下确定的检验方。</w:t>
      </w:r>
    </w:p>
    <w:p w14:paraId="3747B6EB">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1.4</w:t>
      </w:r>
      <w:r>
        <w:rPr>
          <w:rFonts w:ascii="宋体" w:hAnsi="宋体" w:cs="宋体"/>
          <w:color w:val="auto"/>
          <w:sz w:val="24"/>
          <w:highlight w:val="none"/>
        </w:rPr>
        <w:t xml:space="preserve">  </w:t>
      </w:r>
      <w:r>
        <w:rPr>
          <w:rFonts w:hint="eastAsia" w:ascii="宋体" w:hAnsi="宋体" w:cs="宋体"/>
          <w:b/>
          <w:color w:val="auto"/>
          <w:sz w:val="24"/>
          <w:highlight w:val="none"/>
        </w:rPr>
        <w:t>“工作现场”</w:t>
      </w:r>
      <w:r>
        <w:rPr>
          <w:rFonts w:hint="eastAsia" w:ascii="宋体" w:hAnsi="宋体" w:cs="宋体"/>
          <w:color w:val="auto"/>
          <w:sz w:val="24"/>
          <w:highlight w:val="none"/>
        </w:rPr>
        <w:t>是指</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规定的合同货物座落的地方。 </w:t>
      </w:r>
    </w:p>
    <w:p w14:paraId="566C6FF5">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1.5</w:t>
      </w:r>
      <w:r>
        <w:rPr>
          <w:rFonts w:ascii="宋体" w:hAnsi="宋体" w:cs="宋体"/>
          <w:color w:val="auto"/>
          <w:sz w:val="24"/>
          <w:highlight w:val="none"/>
        </w:rPr>
        <w:t xml:space="preserve">  </w:t>
      </w:r>
      <w:r>
        <w:rPr>
          <w:rFonts w:hint="eastAsia" w:ascii="宋体" w:hAnsi="宋体" w:cs="宋体"/>
          <w:b/>
          <w:color w:val="auto"/>
          <w:sz w:val="24"/>
          <w:highlight w:val="none"/>
        </w:rPr>
        <w:t>“合同货物”</w:t>
      </w:r>
      <w:r>
        <w:rPr>
          <w:rFonts w:hint="eastAsia" w:ascii="宋体" w:hAnsi="宋体" w:cs="宋体"/>
          <w:color w:val="auto"/>
          <w:sz w:val="24"/>
          <w:highlight w:val="none"/>
        </w:rPr>
        <w:t xml:space="preserve">是指卖方提供的设备、材料、备件或其中任何一部分，详见合同附件1。 </w:t>
      </w:r>
    </w:p>
    <w:p w14:paraId="3D3A5A2F">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1.6  </w:t>
      </w:r>
      <w:r>
        <w:rPr>
          <w:rFonts w:hint="eastAsia" w:ascii="宋体" w:hAnsi="宋体" w:cs="宋体"/>
          <w:b/>
          <w:color w:val="auto"/>
          <w:sz w:val="24"/>
          <w:highlight w:val="none"/>
        </w:rPr>
        <w:t>“技术资料”</w:t>
      </w:r>
      <w:r>
        <w:rPr>
          <w:rFonts w:hint="eastAsia" w:ascii="宋体" w:hAnsi="宋体" w:cs="宋体"/>
          <w:color w:val="auto"/>
          <w:sz w:val="24"/>
          <w:highlight w:val="none"/>
        </w:rPr>
        <w:t xml:space="preserve">是指与合同货物的检验、安装、试运行、性能考核、操作以及维修有关的技术指标、规格、图纸和文件。 </w:t>
      </w:r>
    </w:p>
    <w:p w14:paraId="008FDE27">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1.7 </w:t>
      </w:r>
      <w:r>
        <w:rPr>
          <w:rFonts w:ascii="宋体" w:hAnsi="宋体" w:cs="宋体"/>
          <w:color w:val="auto"/>
          <w:sz w:val="24"/>
          <w:highlight w:val="none"/>
        </w:rPr>
        <w:t xml:space="preserve"> </w:t>
      </w:r>
      <w:r>
        <w:rPr>
          <w:rFonts w:hint="eastAsia" w:ascii="宋体" w:hAnsi="宋体" w:cs="宋体"/>
          <w:b/>
          <w:color w:val="auto"/>
          <w:sz w:val="24"/>
          <w:highlight w:val="none"/>
        </w:rPr>
        <w:t>“技术服务”</w:t>
      </w:r>
      <w:r>
        <w:rPr>
          <w:rFonts w:hint="eastAsia" w:ascii="宋体" w:hAnsi="宋体" w:cs="宋体"/>
          <w:color w:val="auto"/>
          <w:sz w:val="24"/>
          <w:highlight w:val="none"/>
        </w:rPr>
        <w:t xml:space="preserve">是指在合同货物的安装、试运行、性能考核、操作、维修以及其他工作等方面卖方给予买方的技术指导、协助以及监督等。 </w:t>
      </w:r>
    </w:p>
    <w:p w14:paraId="01D980E5">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bCs/>
          <w:color w:val="auto"/>
          <w:sz w:val="24"/>
          <w:highlight w:val="none"/>
        </w:rPr>
        <w:t>1.8</w:t>
      </w:r>
      <w:r>
        <w:rPr>
          <w:rFonts w:hint="eastAsia" w:ascii="宋体" w:hAnsi="宋体" w:cs="宋体"/>
          <w:b/>
          <w:color w:val="auto"/>
          <w:sz w:val="24"/>
          <w:highlight w:val="none"/>
        </w:rPr>
        <w:t xml:space="preserve"> </w:t>
      </w:r>
      <w:r>
        <w:rPr>
          <w:rFonts w:ascii="宋体" w:hAnsi="宋体" w:cs="宋体"/>
          <w:b/>
          <w:color w:val="auto"/>
          <w:sz w:val="24"/>
          <w:highlight w:val="none"/>
        </w:rPr>
        <w:t xml:space="preserve"> </w:t>
      </w:r>
      <w:r>
        <w:rPr>
          <w:rFonts w:hint="eastAsia" w:ascii="宋体" w:hAnsi="宋体" w:cs="宋体"/>
          <w:b/>
          <w:color w:val="auto"/>
          <w:sz w:val="24"/>
          <w:highlight w:val="none"/>
        </w:rPr>
        <w:t>“技术培训”</w:t>
      </w:r>
      <w:r>
        <w:rPr>
          <w:rFonts w:hint="eastAsia" w:ascii="宋体" w:hAnsi="宋体" w:cs="宋体"/>
          <w:color w:val="auto"/>
          <w:sz w:val="24"/>
          <w:highlight w:val="none"/>
        </w:rPr>
        <w:t xml:space="preserve">是指在合同货物的安装、试运行、性能考核、操作、维修以及其他工作等方面卖方给予买方的培训。 </w:t>
      </w:r>
    </w:p>
    <w:p w14:paraId="5F77331B">
      <w:pPr>
        <w:pStyle w:val="295"/>
        <w:spacing w:line="360" w:lineRule="auto"/>
        <w:ind w:left="960" w:hanging="960" w:hangingChars="400"/>
        <w:jc w:val="left"/>
        <w:rPr>
          <w:rFonts w:hint="eastAsia" w:ascii="宋体" w:hAnsi="宋体" w:cs="宋体"/>
          <w:color w:val="auto"/>
          <w:sz w:val="24"/>
          <w:highlight w:val="none"/>
        </w:rPr>
      </w:pPr>
      <w:r>
        <w:rPr>
          <w:rFonts w:hint="eastAsia" w:ascii="宋体" w:hAnsi="宋体" w:cs="宋体"/>
          <w:color w:val="auto"/>
          <w:sz w:val="24"/>
          <w:highlight w:val="none"/>
        </w:rPr>
        <w:t xml:space="preserve">1.9  </w:t>
      </w:r>
      <w:r>
        <w:rPr>
          <w:rFonts w:hint="eastAsia" w:ascii="宋体" w:hAnsi="宋体" w:cs="宋体"/>
          <w:b/>
          <w:color w:val="auto"/>
          <w:sz w:val="24"/>
          <w:highlight w:val="none"/>
        </w:rPr>
        <w:t>“安装”</w:t>
      </w:r>
      <w:r>
        <w:rPr>
          <w:rFonts w:hint="eastAsia" w:ascii="宋体" w:hAnsi="宋体" w:cs="宋体"/>
          <w:color w:val="auto"/>
          <w:sz w:val="24"/>
          <w:highlight w:val="none"/>
        </w:rPr>
        <w:t xml:space="preserve">是指有关货物、备件和材料的安装工作，包括按照设计图将零部件放置在适当的位置并连接起来。 </w:t>
      </w:r>
    </w:p>
    <w:p w14:paraId="433D3FC9">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1.10  </w:t>
      </w:r>
      <w:r>
        <w:rPr>
          <w:rFonts w:hint="eastAsia" w:ascii="宋体" w:hAnsi="宋体" w:cs="宋体"/>
          <w:b/>
          <w:color w:val="auto"/>
          <w:sz w:val="24"/>
          <w:highlight w:val="none"/>
        </w:rPr>
        <w:t>“试运行”</w:t>
      </w:r>
      <w:r>
        <w:rPr>
          <w:rFonts w:hint="eastAsia" w:ascii="宋体" w:hAnsi="宋体" w:cs="宋体"/>
          <w:color w:val="auto"/>
          <w:sz w:val="24"/>
          <w:highlight w:val="none"/>
        </w:rPr>
        <w:t xml:space="preserve">是指为验明合同货物的机械性能，在安装完毕后对单台货物和一系列货物分别进行的测试。 </w:t>
      </w:r>
    </w:p>
    <w:p w14:paraId="3FA5C1DF">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1.11  </w:t>
      </w:r>
      <w:r>
        <w:rPr>
          <w:rFonts w:hint="eastAsia" w:ascii="宋体" w:hAnsi="宋体" w:cs="宋体"/>
          <w:b/>
          <w:color w:val="auto"/>
          <w:sz w:val="24"/>
          <w:highlight w:val="none"/>
        </w:rPr>
        <w:t>“性能考核”</w:t>
      </w:r>
      <w:r>
        <w:rPr>
          <w:rFonts w:hint="eastAsia" w:ascii="宋体" w:hAnsi="宋体" w:cs="宋体"/>
          <w:color w:val="auto"/>
          <w:sz w:val="24"/>
          <w:highlight w:val="none"/>
        </w:rPr>
        <w:t xml:space="preserve">是指根据合同附件3的规定进行的，用以确定合同货物是否达到合同附件2所规定的技术性能和保证指标的考核。 </w:t>
      </w:r>
    </w:p>
    <w:p w14:paraId="36492028">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1.12 </w:t>
      </w:r>
      <w:r>
        <w:rPr>
          <w:rFonts w:ascii="宋体" w:hAnsi="宋体" w:cs="宋体"/>
          <w:color w:val="auto"/>
          <w:sz w:val="24"/>
          <w:highlight w:val="none"/>
        </w:rPr>
        <w:t xml:space="preserve"> </w:t>
      </w:r>
      <w:r>
        <w:rPr>
          <w:rFonts w:hint="eastAsia" w:ascii="宋体" w:hAnsi="宋体" w:cs="宋体"/>
          <w:b/>
          <w:color w:val="auto"/>
          <w:sz w:val="24"/>
          <w:highlight w:val="none"/>
        </w:rPr>
        <w:t>“验收”</w:t>
      </w:r>
      <w:r>
        <w:rPr>
          <w:rFonts w:hint="eastAsia" w:ascii="宋体" w:hAnsi="宋体" w:cs="宋体"/>
          <w:color w:val="auto"/>
          <w:sz w:val="24"/>
          <w:highlight w:val="none"/>
        </w:rPr>
        <w:t xml:space="preserve">是指合同货物在性能考核中达到合同附件2规定的技术性能和保证指标之后，买方对合同货物的接受。 </w:t>
      </w:r>
    </w:p>
    <w:p w14:paraId="2251D2F7">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1.13  </w:t>
      </w:r>
      <w:r>
        <w:rPr>
          <w:rFonts w:hint="eastAsia" w:ascii="宋体" w:hAnsi="宋体" w:cs="宋体"/>
          <w:b/>
          <w:color w:val="auto"/>
          <w:sz w:val="24"/>
          <w:highlight w:val="none"/>
        </w:rPr>
        <w:t>“保证期”</w:t>
      </w:r>
      <w:r>
        <w:rPr>
          <w:rFonts w:hint="eastAsia" w:ascii="宋体" w:hAnsi="宋体" w:cs="宋体"/>
          <w:color w:val="auto"/>
          <w:sz w:val="24"/>
          <w:highlight w:val="none"/>
        </w:rPr>
        <w:t xml:space="preserve">是指自验收之日起一定期间内，卖方保证合同货物的适当和稳定运行，并负责消除合同货物存在的任何缺陷。详见合同附件2。 </w:t>
      </w:r>
    </w:p>
    <w:p w14:paraId="2BB2F881">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1.14   </w:t>
      </w:r>
      <w:r>
        <w:rPr>
          <w:rFonts w:hint="eastAsia" w:ascii="宋体" w:hAnsi="宋体" w:cs="宋体"/>
          <w:b/>
          <w:color w:val="auto"/>
          <w:sz w:val="24"/>
          <w:highlight w:val="none"/>
        </w:rPr>
        <w:t>“合同货币”</w:t>
      </w:r>
      <w:r>
        <w:rPr>
          <w:rFonts w:hint="eastAsia" w:ascii="宋体" w:hAnsi="宋体" w:cs="宋体"/>
          <w:color w:val="auto"/>
          <w:sz w:val="24"/>
          <w:highlight w:val="none"/>
        </w:rPr>
        <w:t>是指</w:t>
      </w:r>
      <w:r>
        <w:rPr>
          <w:rFonts w:hint="eastAsia" w:ascii="宋体" w:hAnsi="宋体" w:cs="宋体"/>
          <w:b/>
          <w:bCs/>
          <w:color w:val="auto"/>
          <w:sz w:val="24"/>
          <w:highlight w:val="none"/>
        </w:rPr>
        <w:t>“合同专用条款”</w:t>
      </w:r>
      <w:r>
        <w:rPr>
          <w:rFonts w:hint="eastAsia" w:ascii="宋体" w:hAnsi="宋体" w:cs="宋体"/>
          <w:color w:val="auto"/>
          <w:sz w:val="24"/>
          <w:highlight w:val="none"/>
        </w:rPr>
        <w:t>规定的本合同项下的支付中所使用的货币。</w:t>
      </w:r>
    </w:p>
    <w:p w14:paraId="05D758EA">
      <w:pPr>
        <w:pStyle w:val="295"/>
        <w:tabs>
          <w:tab w:val="left" w:pos="-210"/>
        </w:tabs>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szCs w:val="22"/>
          <w:highlight w:val="none"/>
        </w:rPr>
        <w:t xml:space="preserve">1.15  </w:t>
      </w:r>
      <w:r>
        <w:rPr>
          <w:rFonts w:hint="eastAsia" w:ascii="宋体" w:hAnsi="宋体" w:cs="宋体"/>
          <w:b/>
          <w:bCs/>
          <w:color w:val="auto"/>
          <w:sz w:val="24"/>
          <w:szCs w:val="22"/>
          <w:highlight w:val="none"/>
        </w:rPr>
        <w:t>“合同价</w:t>
      </w:r>
      <w:r>
        <w:rPr>
          <w:rFonts w:hint="eastAsia" w:ascii="宋体" w:hAnsi="宋体" w:cs="宋体"/>
          <w:b/>
          <w:bCs/>
          <w:color w:val="auto"/>
          <w:sz w:val="24"/>
          <w:highlight w:val="none"/>
        </w:rPr>
        <w:t>格”</w:t>
      </w:r>
      <w:r>
        <w:rPr>
          <w:rFonts w:hint="eastAsia" w:ascii="宋体" w:hAnsi="宋体" w:cs="宋体"/>
          <w:color w:val="auto"/>
          <w:sz w:val="24"/>
          <w:highlight w:val="none"/>
        </w:rPr>
        <w:t>是指在卖方完全和适当地履行其合同义务后，买方根据合同规定应支付给卖方的价款。</w:t>
      </w:r>
    </w:p>
    <w:p w14:paraId="5C9171AE">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1.16   </w:t>
      </w:r>
      <w:r>
        <w:rPr>
          <w:rFonts w:hint="eastAsia" w:ascii="宋体" w:hAnsi="宋体" w:cs="宋体"/>
          <w:b/>
          <w:color w:val="auto"/>
          <w:sz w:val="24"/>
          <w:highlight w:val="none"/>
        </w:rPr>
        <w:t>“合同生效日”</w:t>
      </w:r>
      <w:r>
        <w:rPr>
          <w:rFonts w:hint="eastAsia" w:ascii="宋体" w:hAnsi="宋体" w:cs="宋体"/>
          <w:color w:val="auto"/>
          <w:sz w:val="24"/>
          <w:highlight w:val="none"/>
        </w:rPr>
        <w:t>是指在</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规定的所有条件得到履行时的日期。 </w:t>
      </w:r>
      <w:r>
        <w:rPr>
          <w:rFonts w:hint="eastAsia" w:ascii="宋体" w:hAnsi="宋体" w:cs="宋体"/>
          <w:b/>
          <w:color w:val="auto"/>
          <w:sz w:val="24"/>
          <w:highlight w:val="none"/>
        </w:rPr>
        <w:t xml:space="preserve">     </w:t>
      </w:r>
    </w:p>
    <w:p w14:paraId="1C7F1EA8">
      <w:pPr>
        <w:pStyle w:val="295"/>
        <w:spacing w:line="400" w:lineRule="exact"/>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1.17   </w:t>
      </w:r>
      <w:r>
        <w:rPr>
          <w:rFonts w:hint="eastAsia" w:ascii="宋体" w:hAnsi="宋体" w:cs="宋体"/>
          <w:b/>
          <w:color w:val="auto"/>
          <w:sz w:val="24"/>
          <w:highlight w:val="none"/>
        </w:rPr>
        <w:t>“日”</w:t>
      </w:r>
      <w:r>
        <w:rPr>
          <w:rFonts w:hint="eastAsia" w:ascii="宋体" w:hAnsi="宋体" w:cs="宋体"/>
          <w:color w:val="auto"/>
          <w:sz w:val="24"/>
          <w:highlight w:val="none"/>
        </w:rPr>
        <w:t xml:space="preserve">是指日历日数。 </w:t>
      </w:r>
    </w:p>
    <w:p w14:paraId="48601F6D">
      <w:pPr>
        <w:pStyle w:val="295"/>
        <w:spacing w:line="360" w:lineRule="auto"/>
        <w:ind w:left="960" w:hanging="960" w:hangingChars="400"/>
        <w:jc w:val="left"/>
        <w:rPr>
          <w:rFonts w:hint="eastAsia" w:ascii="宋体" w:hAnsi="宋体" w:cs="宋体"/>
          <w:color w:val="auto"/>
          <w:sz w:val="24"/>
          <w:highlight w:val="none"/>
        </w:rPr>
      </w:pPr>
      <w:r>
        <w:rPr>
          <w:rFonts w:hint="eastAsia" w:ascii="宋体" w:hAnsi="宋体" w:cs="宋体"/>
          <w:color w:val="auto"/>
          <w:sz w:val="24"/>
          <w:highlight w:val="none"/>
        </w:rPr>
        <w:t xml:space="preserve">1.18   </w:t>
      </w:r>
      <w:r>
        <w:rPr>
          <w:rFonts w:hint="eastAsia" w:ascii="宋体" w:hAnsi="宋体" w:cs="宋体"/>
          <w:b/>
          <w:color w:val="auto"/>
          <w:sz w:val="24"/>
          <w:highlight w:val="none"/>
        </w:rPr>
        <w:t>“月”</w:t>
      </w:r>
      <w:r>
        <w:rPr>
          <w:rFonts w:hint="eastAsia" w:ascii="宋体" w:hAnsi="宋体" w:cs="宋体"/>
          <w:color w:val="auto"/>
          <w:sz w:val="24"/>
          <w:highlight w:val="none"/>
        </w:rPr>
        <w:t xml:space="preserve">是指日历月数。 </w:t>
      </w:r>
    </w:p>
    <w:p w14:paraId="08A59F20">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1.19　 </w:t>
      </w:r>
      <w:r>
        <w:rPr>
          <w:rFonts w:hint="eastAsia" w:ascii="宋体" w:hAnsi="宋体" w:cs="宋体"/>
          <w:b/>
          <w:bCs/>
          <w:color w:val="auto"/>
          <w:sz w:val="24"/>
          <w:highlight w:val="none"/>
        </w:rPr>
        <w:t>“知识产权”</w:t>
      </w:r>
      <w:r>
        <w:rPr>
          <w:rFonts w:hint="eastAsia" w:ascii="宋体" w:hAnsi="宋体" w:cs="宋体"/>
          <w:color w:val="auto"/>
          <w:sz w:val="24"/>
          <w:highlight w:val="none"/>
        </w:rPr>
        <w:t>是指专利权、商标权、著作权等无形财产专有权的统称。</w:t>
      </w:r>
    </w:p>
    <w:p w14:paraId="69B88F4C">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2.</w:t>
      </w:r>
      <w:r>
        <w:rPr>
          <w:rFonts w:hint="eastAsia" w:ascii="宋体"/>
          <w:b/>
          <w:bCs/>
          <w:color w:val="auto"/>
          <w:sz w:val="24"/>
          <w:highlight w:val="none"/>
        </w:rPr>
        <w:tab/>
      </w:r>
      <w:r>
        <w:rPr>
          <w:rFonts w:hint="eastAsia" w:ascii="宋体"/>
          <w:b/>
          <w:bCs/>
          <w:color w:val="auto"/>
          <w:sz w:val="24"/>
          <w:highlight w:val="none"/>
        </w:rPr>
        <w:tab/>
      </w:r>
      <w:r>
        <w:rPr>
          <w:rFonts w:hint="eastAsia" w:ascii="宋体"/>
          <w:b/>
          <w:bCs/>
          <w:color w:val="auto"/>
          <w:sz w:val="24"/>
          <w:highlight w:val="none"/>
        </w:rPr>
        <w:t>合同范围</w:t>
      </w:r>
    </w:p>
    <w:p w14:paraId="2A0B1A4A">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2.1</w:t>
      </w:r>
      <w:r>
        <w:rPr>
          <w:rFonts w:hint="eastAsia" w:ascii="宋体" w:hAnsi="宋体" w:cs="宋体"/>
          <w:color w:val="auto"/>
          <w:sz w:val="24"/>
          <w:highlight w:val="none"/>
        </w:rPr>
        <w:tab/>
      </w:r>
      <w:r>
        <w:rPr>
          <w:rFonts w:hint="eastAsia" w:ascii="宋体" w:hAnsi="宋体" w:cs="宋体"/>
          <w:color w:val="auto"/>
          <w:sz w:val="24"/>
          <w:highlight w:val="none"/>
        </w:rPr>
        <w:t>买方同意从卖方购买、卖方同意向买方出售和提供</w:t>
      </w:r>
      <w:r>
        <w:rPr>
          <w:rFonts w:hint="eastAsia" w:ascii="宋体" w:hAnsi="宋体" w:cs="宋体"/>
          <w:b/>
          <w:bCs/>
          <w:color w:val="auto"/>
          <w:sz w:val="24"/>
          <w:highlight w:val="none"/>
        </w:rPr>
        <w:t>“合同专用条款”</w:t>
      </w:r>
      <w:r>
        <w:rPr>
          <w:rFonts w:hint="eastAsia" w:ascii="宋体" w:hAnsi="宋体" w:cs="宋体"/>
          <w:color w:val="auto"/>
          <w:sz w:val="24"/>
          <w:highlight w:val="none"/>
        </w:rPr>
        <w:t>中规定的“合同货物”以及相关技术服务、技术培训和技术资料。</w:t>
      </w:r>
    </w:p>
    <w:p w14:paraId="3751C600">
      <w:pPr>
        <w:pStyle w:val="295"/>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2.2</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合同货物的原产地国家和制造商规定见</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中。 </w:t>
      </w:r>
    </w:p>
    <w:p w14:paraId="0F9E20EE">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3.价格</w:t>
      </w:r>
    </w:p>
    <w:p w14:paraId="5EAB8AA1">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3.1</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本合同总价为</w:t>
      </w:r>
      <w:r>
        <w:rPr>
          <w:rFonts w:hint="eastAsia" w:ascii="宋体" w:hAnsi="宋体" w:cs="宋体"/>
          <w:b/>
          <w:bCs/>
          <w:color w:val="auto"/>
          <w:sz w:val="24"/>
          <w:highlight w:val="none"/>
        </w:rPr>
        <w:t>“合同专用条款”</w:t>
      </w:r>
      <w:r>
        <w:rPr>
          <w:rFonts w:hint="eastAsia" w:ascii="宋体" w:hAnsi="宋体" w:cs="宋体"/>
          <w:color w:val="auto"/>
          <w:sz w:val="24"/>
          <w:highlight w:val="none"/>
        </w:rPr>
        <w:t>标明的金额。合同总价是固定价格。</w:t>
      </w:r>
    </w:p>
    <w:p w14:paraId="0C987262">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3.2</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合同货物的分项价格表详见合同附件1。 </w:t>
      </w:r>
    </w:p>
    <w:p w14:paraId="6380FF6E">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4.</w:t>
      </w:r>
      <w:r>
        <w:rPr>
          <w:rFonts w:hint="eastAsia" w:ascii="宋体"/>
          <w:b/>
          <w:bCs/>
          <w:color w:val="auto"/>
          <w:sz w:val="24"/>
          <w:highlight w:val="none"/>
        </w:rPr>
        <w:tab/>
      </w:r>
      <w:r>
        <w:rPr>
          <w:rFonts w:hint="eastAsia" w:ascii="宋体"/>
          <w:b/>
          <w:bCs/>
          <w:color w:val="auto"/>
          <w:sz w:val="24"/>
          <w:highlight w:val="none"/>
        </w:rPr>
        <w:tab/>
      </w:r>
      <w:r>
        <w:rPr>
          <w:rFonts w:hint="eastAsia" w:ascii="宋体"/>
          <w:b/>
          <w:bCs/>
          <w:color w:val="auto"/>
          <w:sz w:val="24"/>
          <w:highlight w:val="none"/>
        </w:rPr>
        <w:t>支付</w:t>
      </w:r>
    </w:p>
    <w:p w14:paraId="6158E84E">
      <w:pPr>
        <w:pStyle w:val="295"/>
        <w:spacing w:line="360" w:lineRule="auto"/>
        <w:rPr>
          <w:rFonts w:hint="eastAsia" w:ascii="宋体" w:hAnsi="宋体" w:cs="宋体"/>
          <w:b/>
          <w:color w:val="auto"/>
          <w:sz w:val="24"/>
          <w:highlight w:val="none"/>
        </w:rPr>
      </w:pPr>
      <w:r>
        <w:rPr>
          <w:rFonts w:hint="eastAsia" w:ascii="宋体" w:hAnsi="宋体" w:cs="宋体"/>
          <w:color w:val="auto"/>
          <w:sz w:val="24"/>
          <w:highlight w:val="none"/>
        </w:rPr>
        <w:t>4.1</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买方应根据</w:t>
      </w:r>
      <w:r>
        <w:rPr>
          <w:rFonts w:hint="eastAsia" w:ascii="宋体" w:hAnsi="宋体" w:cs="宋体"/>
          <w:b/>
          <w:bCs/>
          <w:color w:val="auto"/>
          <w:sz w:val="24"/>
          <w:highlight w:val="none"/>
        </w:rPr>
        <w:t>“合同专用条款”</w:t>
      </w:r>
      <w:r>
        <w:rPr>
          <w:rFonts w:hint="eastAsia" w:ascii="宋体" w:hAnsi="宋体" w:cs="宋体"/>
          <w:color w:val="auto"/>
          <w:sz w:val="24"/>
          <w:highlight w:val="none"/>
        </w:rPr>
        <w:t>规定的支付方式进行支付。</w:t>
      </w:r>
    </w:p>
    <w:p w14:paraId="01A3730B">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5.履约保证金　</w:t>
      </w:r>
    </w:p>
    <w:p w14:paraId="479E139E">
      <w:pPr>
        <w:pStyle w:val="295"/>
        <w:spacing w:line="360" w:lineRule="auto"/>
        <w:ind w:left="960" w:hanging="960" w:hangingChars="400"/>
        <w:rPr>
          <w:rFonts w:hint="eastAsia" w:ascii="宋体" w:hAnsi="宋体" w:cs="宋体"/>
          <w:bCs/>
          <w:color w:val="auto"/>
          <w:sz w:val="24"/>
          <w:highlight w:val="none"/>
        </w:rPr>
      </w:pPr>
      <w:r>
        <w:rPr>
          <w:rFonts w:hint="eastAsia" w:ascii="宋体" w:hAnsi="宋体" w:cs="宋体"/>
          <w:bCs/>
          <w:color w:val="auto"/>
          <w:sz w:val="24"/>
          <w:highlight w:val="none"/>
        </w:rPr>
        <w:t>5.1   卖方应在收到中标通知书后30日内，向买方提交“合同专用条款”中所规定金额的履约保证金。</w:t>
      </w:r>
    </w:p>
    <w:p w14:paraId="19769AC6">
      <w:pPr>
        <w:pStyle w:val="295"/>
        <w:spacing w:line="360" w:lineRule="auto"/>
        <w:ind w:left="960" w:hanging="960" w:hangingChars="400"/>
        <w:rPr>
          <w:rFonts w:hint="eastAsia" w:ascii="宋体" w:hAnsi="宋体" w:cs="宋体"/>
          <w:bCs/>
          <w:color w:val="auto"/>
          <w:sz w:val="24"/>
          <w:highlight w:val="none"/>
        </w:rPr>
      </w:pPr>
      <w:r>
        <w:rPr>
          <w:rFonts w:hint="eastAsia" w:ascii="宋体" w:hAnsi="宋体" w:cs="宋体"/>
          <w:bCs/>
          <w:color w:val="auto"/>
          <w:sz w:val="24"/>
          <w:highlight w:val="none"/>
        </w:rPr>
        <w:t>5.2   如果卖方在合同有效期内未能履行本合同项下卖方的义务，买方有权从履约保证金中追索。</w:t>
      </w:r>
    </w:p>
    <w:p w14:paraId="0C5B3CD8">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5.3   履约保证金应采用本合同货币，或“合同专用条款”中所规定的买方可</w:t>
      </w:r>
    </w:p>
    <w:p w14:paraId="3C741DB6">
      <w:pPr>
        <w:pStyle w:val="295"/>
        <w:spacing w:line="360" w:lineRule="auto"/>
        <w:ind w:left="958" w:leftChars="456"/>
        <w:rPr>
          <w:rFonts w:hint="eastAsia" w:ascii="宋体" w:hAnsi="宋体" w:cs="宋体"/>
          <w:color w:val="auto"/>
          <w:sz w:val="24"/>
          <w:highlight w:val="none"/>
        </w:rPr>
      </w:pPr>
      <w:r>
        <w:rPr>
          <w:rFonts w:hint="eastAsia" w:ascii="宋体" w:hAnsi="宋体" w:cs="宋体"/>
          <w:color w:val="auto"/>
          <w:sz w:val="24"/>
          <w:highlight w:val="none"/>
        </w:rPr>
        <w:t xml:space="preserve">以接受的一种可自由兑换的货币并根据“合同专用条款”的规定采用下述方式之一提交： </w:t>
      </w:r>
    </w:p>
    <w:p w14:paraId="0EF02DF1">
      <w:pPr>
        <w:pStyle w:val="295"/>
        <w:spacing w:line="360" w:lineRule="auto"/>
        <w:ind w:left="958" w:leftChars="342" w:hanging="240" w:hangingChars="100"/>
        <w:rPr>
          <w:rFonts w:hint="eastAsia" w:ascii="宋体" w:hAnsi="宋体" w:cs="宋体"/>
          <w:color w:val="auto"/>
          <w:sz w:val="24"/>
          <w:highlight w:val="none"/>
        </w:rPr>
      </w:pPr>
      <w:r>
        <w:rPr>
          <w:rFonts w:hint="eastAsia" w:ascii="宋体" w:hAnsi="宋体" w:cs="宋体"/>
          <w:color w:val="auto"/>
          <w:sz w:val="24"/>
          <w:highlight w:val="none"/>
        </w:rPr>
        <w:t>银行保函：由买方可接受的的银行。其格式采用招标文件中提供的  格式或买方可接受的其他格式；或</w:t>
      </w:r>
    </w:p>
    <w:p w14:paraId="4DC2E7C5">
      <w:pPr>
        <w:pStyle w:val="295"/>
        <w:spacing w:line="360" w:lineRule="auto"/>
        <w:ind w:left="958" w:leftChars="342" w:hanging="240" w:hangingChars="100"/>
        <w:rPr>
          <w:rFonts w:hint="eastAsia" w:ascii="宋体" w:hAnsi="宋体" w:cs="宋体"/>
          <w:color w:val="auto"/>
          <w:sz w:val="24"/>
          <w:highlight w:val="none"/>
        </w:rPr>
      </w:pPr>
      <w:r>
        <w:rPr>
          <w:rFonts w:hint="eastAsia" w:ascii="宋体" w:hAnsi="宋体" w:cs="宋体"/>
          <w:color w:val="auto"/>
          <w:sz w:val="24"/>
          <w:highlight w:val="none"/>
        </w:rPr>
        <w:t xml:space="preserve">B. 银行本票、银行汇票或现金。 </w:t>
      </w:r>
    </w:p>
    <w:p w14:paraId="71FA68D6">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5.4   本合同第11.5条规定的保证期期满证书签署日期起60日后，履约保函</w:t>
      </w:r>
    </w:p>
    <w:p w14:paraId="646C1C18">
      <w:pPr>
        <w:pStyle w:val="295"/>
        <w:spacing w:line="360" w:lineRule="auto"/>
        <w:ind w:left="958" w:leftChars="342" w:hanging="240" w:hangingChars="100"/>
        <w:rPr>
          <w:rFonts w:hint="eastAsia" w:ascii="宋体" w:hAnsi="宋体" w:cs="宋体"/>
          <w:color w:val="auto"/>
          <w:sz w:val="24"/>
          <w:highlight w:val="none"/>
        </w:rPr>
      </w:pPr>
      <w:r>
        <w:rPr>
          <w:rFonts w:hint="eastAsia" w:ascii="宋体" w:hAnsi="宋体" w:cs="宋体"/>
          <w:color w:val="auto"/>
          <w:sz w:val="24"/>
          <w:highlight w:val="none"/>
        </w:rPr>
        <w:t xml:space="preserve">失效，其他形式的履约保证金买方将退还卖方。 </w:t>
      </w:r>
    </w:p>
    <w:p w14:paraId="0D869F7A">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6.交货和保险</w:t>
      </w:r>
    </w:p>
    <w:p w14:paraId="1C078A10">
      <w:pPr>
        <w:pStyle w:val="295"/>
        <w:spacing w:line="360" w:lineRule="auto"/>
        <w:rPr>
          <w:rFonts w:hint="eastAsia" w:ascii="宋体" w:hAnsi="宋体" w:cs="宋体"/>
          <w:b/>
          <w:color w:val="auto"/>
          <w:sz w:val="24"/>
          <w:highlight w:val="none"/>
        </w:rPr>
      </w:pPr>
      <w:r>
        <w:rPr>
          <w:rFonts w:hint="eastAsia" w:ascii="宋体" w:hAnsi="宋体" w:cs="宋体"/>
          <w:color w:val="auto"/>
          <w:sz w:val="24"/>
          <w:highlight w:val="none"/>
        </w:rPr>
        <w:t>6.1</w:t>
      </w:r>
      <w:r>
        <w:rPr>
          <w:rFonts w:hint="eastAsia" w:ascii="宋体" w:hAnsi="宋体" w:cs="宋体"/>
          <w:b/>
          <w:color w:val="auto"/>
          <w:sz w:val="24"/>
          <w:highlight w:val="none"/>
        </w:rPr>
        <w:tab/>
      </w:r>
      <w:r>
        <w:rPr>
          <w:rFonts w:hint="eastAsia" w:ascii="宋体" w:hAnsi="宋体" w:cs="宋体"/>
          <w:b/>
          <w:color w:val="auto"/>
          <w:sz w:val="24"/>
          <w:highlight w:val="none"/>
        </w:rPr>
        <w:tab/>
      </w:r>
      <w:r>
        <w:rPr>
          <w:rFonts w:hint="eastAsia" w:ascii="宋体" w:hAnsi="宋体" w:cs="宋体"/>
          <w:color w:val="auto"/>
          <w:sz w:val="24"/>
          <w:highlight w:val="none"/>
        </w:rPr>
        <w:t>合同货物大约净重、总毛量、总体积规定见</w:t>
      </w:r>
      <w:r>
        <w:rPr>
          <w:rFonts w:hint="eastAsia" w:ascii="宋体" w:hAnsi="宋体" w:cs="宋体"/>
          <w:b/>
          <w:bCs/>
          <w:color w:val="auto"/>
          <w:sz w:val="24"/>
          <w:highlight w:val="none"/>
        </w:rPr>
        <w:t>“合同专用条款”</w:t>
      </w:r>
      <w:r>
        <w:rPr>
          <w:rFonts w:hint="eastAsia" w:ascii="宋体" w:hAnsi="宋体" w:cs="宋体"/>
          <w:color w:val="auto"/>
          <w:sz w:val="24"/>
          <w:highlight w:val="none"/>
        </w:rPr>
        <w:t>。</w:t>
      </w:r>
    </w:p>
    <w:p w14:paraId="29C189C1">
      <w:pPr>
        <w:pStyle w:val="295"/>
        <w:spacing w:line="360" w:lineRule="auto"/>
        <w:ind w:left="850" w:hanging="846"/>
        <w:rPr>
          <w:rFonts w:hint="eastAsia" w:ascii="宋体" w:hAnsi="宋体" w:cs="宋体"/>
          <w:color w:val="auto"/>
          <w:sz w:val="24"/>
          <w:highlight w:val="none"/>
        </w:rPr>
      </w:pPr>
      <w:r>
        <w:rPr>
          <w:rFonts w:hint="eastAsia" w:ascii="宋体" w:hAnsi="宋体" w:cs="宋体"/>
          <w:color w:val="auto"/>
          <w:sz w:val="24"/>
          <w:highlight w:val="none"/>
        </w:rPr>
        <w:t>6.2</w:t>
      </w:r>
      <w:r>
        <w:rPr>
          <w:rFonts w:hint="eastAsia" w:ascii="宋体" w:hAnsi="宋体" w:cs="宋体"/>
          <w:color w:val="auto"/>
          <w:sz w:val="24"/>
          <w:highlight w:val="none"/>
        </w:rPr>
        <w:tab/>
      </w:r>
      <w:r>
        <w:rPr>
          <w:rFonts w:hint="eastAsia" w:ascii="宋体" w:hAnsi="宋体" w:cs="宋体"/>
          <w:color w:val="auto"/>
          <w:sz w:val="24"/>
          <w:highlight w:val="none"/>
        </w:rPr>
        <w:t>卖方应按照</w:t>
      </w:r>
      <w:r>
        <w:rPr>
          <w:rFonts w:hint="eastAsia" w:ascii="宋体" w:hAnsi="宋体" w:cs="宋体"/>
          <w:b/>
          <w:bCs/>
          <w:color w:val="auto"/>
          <w:sz w:val="24"/>
          <w:highlight w:val="none"/>
        </w:rPr>
        <w:t>“合同专用条款”</w:t>
      </w:r>
      <w:r>
        <w:rPr>
          <w:rFonts w:hint="eastAsia" w:ascii="宋体" w:hAnsi="宋体" w:cs="宋体"/>
          <w:color w:val="auto"/>
          <w:sz w:val="24"/>
          <w:highlight w:val="none"/>
        </w:rPr>
        <w:t>规定的交货期限、批次和交货条件交付合</w:t>
      </w:r>
    </w:p>
    <w:p w14:paraId="667D4824">
      <w:pPr>
        <w:pStyle w:val="295"/>
        <w:spacing w:line="360" w:lineRule="auto"/>
        <w:ind w:left="945" w:hanging="105"/>
        <w:rPr>
          <w:rFonts w:hint="eastAsia" w:ascii="宋体" w:hAnsi="宋体" w:cs="宋体"/>
          <w:color w:val="auto"/>
          <w:sz w:val="24"/>
          <w:highlight w:val="none"/>
        </w:rPr>
      </w:pPr>
      <w:r>
        <w:rPr>
          <w:rFonts w:hint="eastAsia" w:ascii="宋体" w:hAnsi="宋体" w:cs="宋体"/>
          <w:color w:val="auto"/>
          <w:sz w:val="24"/>
          <w:highlight w:val="none"/>
        </w:rPr>
        <w:t>同货物。实际交货日期的规定见</w:t>
      </w:r>
      <w:r>
        <w:rPr>
          <w:rFonts w:hint="eastAsia" w:ascii="宋体" w:hAnsi="宋体" w:cs="宋体"/>
          <w:b/>
          <w:bCs/>
          <w:color w:val="auto"/>
          <w:sz w:val="24"/>
          <w:highlight w:val="none"/>
        </w:rPr>
        <w:t>“合同专用条款”</w:t>
      </w:r>
      <w:r>
        <w:rPr>
          <w:rFonts w:hint="eastAsia" w:ascii="宋体" w:hAnsi="宋体" w:cs="宋体"/>
          <w:color w:val="auto"/>
          <w:sz w:val="24"/>
          <w:highlight w:val="none"/>
        </w:rPr>
        <w:t>。</w:t>
      </w:r>
    </w:p>
    <w:p w14:paraId="1DD0E9A8">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6.3</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装运地点规定见</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 </w:t>
      </w:r>
    </w:p>
    <w:p w14:paraId="1B020F9A">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6.4</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卸货地点规定见</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 </w:t>
      </w:r>
    </w:p>
    <w:p w14:paraId="3A42C7A4">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6.5</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在</w:t>
      </w:r>
      <w:r>
        <w:rPr>
          <w:rFonts w:hint="eastAsia" w:ascii="宋体" w:hAnsi="宋体" w:cs="宋体"/>
          <w:b/>
          <w:bCs/>
          <w:color w:val="auto"/>
          <w:sz w:val="24"/>
          <w:highlight w:val="none"/>
        </w:rPr>
        <w:t>“合同专用条款”</w:t>
      </w:r>
      <w:r>
        <w:rPr>
          <w:rFonts w:hint="eastAsia" w:ascii="宋体" w:hAnsi="宋体" w:cs="宋体"/>
          <w:color w:val="auto"/>
          <w:sz w:val="24"/>
          <w:highlight w:val="none"/>
        </w:rPr>
        <w:t>规定的期限内，卖方应将合同号、货物的名称、装</w:t>
      </w:r>
    </w:p>
    <w:p w14:paraId="592D1DCF">
      <w:pPr>
        <w:pStyle w:val="295"/>
        <w:spacing w:line="360" w:lineRule="auto"/>
        <w:ind w:left="840"/>
        <w:rPr>
          <w:rFonts w:hint="eastAsia" w:ascii="宋体" w:hAnsi="宋体" w:cs="宋体"/>
          <w:color w:val="auto"/>
          <w:sz w:val="24"/>
          <w:highlight w:val="none"/>
        </w:rPr>
      </w:pPr>
      <w:r>
        <w:rPr>
          <w:rFonts w:hint="eastAsia" w:ascii="宋体" w:hAnsi="宋体" w:cs="宋体"/>
          <w:color w:val="auto"/>
          <w:sz w:val="24"/>
          <w:highlight w:val="none"/>
        </w:rPr>
        <w:t xml:space="preserve">运数量、金额、包装件数、总毛重、总体积（立方米）、以及货物准备发运和预计到达卸货地点的时间以传真方式通知买方。如果有易燃货物和危险货物，亦应注明有关细节。 </w:t>
      </w:r>
    </w:p>
    <w:p w14:paraId="63FD3541">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6.6</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卖方应按</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中的有关规定装运并交付合同货物。 </w:t>
      </w:r>
    </w:p>
    <w:p w14:paraId="1486725F">
      <w:pPr>
        <w:pStyle w:val="295"/>
        <w:spacing w:line="360" w:lineRule="auto"/>
        <w:ind w:right="-122" w:rightChars="-58"/>
        <w:jc w:val="left"/>
        <w:rPr>
          <w:rFonts w:hint="eastAsia" w:ascii="宋体" w:hAnsi="宋体" w:cs="宋体"/>
          <w:color w:val="auto"/>
          <w:sz w:val="24"/>
          <w:highlight w:val="none"/>
        </w:rPr>
      </w:pPr>
      <w:r>
        <w:rPr>
          <w:rFonts w:hint="eastAsia" w:ascii="宋体" w:hAnsi="宋体" w:cs="宋体"/>
          <w:color w:val="auto"/>
          <w:sz w:val="24"/>
          <w:highlight w:val="none"/>
        </w:rPr>
        <w:t xml:space="preserve">6.7  </w:t>
      </w:r>
      <w:r>
        <w:rPr>
          <w:rFonts w:hint="eastAsia" w:ascii="宋体" w:hAnsi="宋体" w:cs="宋体"/>
          <w:color w:val="auto"/>
          <w:sz w:val="24"/>
          <w:highlight w:val="none"/>
        </w:rPr>
        <w:tab/>
      </w:r>
      <w:r>
        <w:rPr>
          <w:rFonts w:hint="eastAsia" w:ascii="宋体" w:hAnsi="宋体" w:cs="宋体"/>
          <w:color w:val="auto"/>
          <w:sz w:val="24"/>
          <w:highlight w:val="none"/>
        </w:rPr>
        <w:t>卖方应向一流的保险公司投保金额为装运的合同货物的发票价值110 ％</w:t>
      </w:r>
    </w:p>
    <w:p w14:paraId="4D68BC21">
      <w:pPr>
        <w:pStyle w:val="295"/>
        <w:spacing w:line="360" w:lineRule="auto"/>
        <w:ind w:left="840"/>
        <w:jc w:val="left"/>
        <w:rPr>
          <w:rFonts w:hint="eastAsia" w:ascii="宋体" w:hAnsi="宋体" w:cs="宋体"/>
          <w:color w:val="auto"/>
          <w:sz w:val="24"/>
          <w:highlight w:val="none"/>
        </w:rPr>
      </w:pPr>
      <w:r>
        <w:rPr>
          <w:rFonts w:hint="eastAsia" w:ascii="宋体" w:hAnsi="宋体" w:cs="宋体"/>
          <w:color w:val="auto"/>
          <w:sz w:val="24"/>
          <w:highlight w:val="none"/>
        </w:rPr>
        <w:t xml:space="preserve">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p>
    <w:p w14:paraId="49C62BBD">
      <w:pPr>
        <w:pStyle w:val="295"/>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6.8</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如果卖方未能按照合同规定的交货期间交货，卖方应按</w:t>
      </w:r>
      <w:r>
        <w:rPr>
          <w:rFonts w:hint="eastAsia" w:ascii="宋体" w:hAnsi="宋体" w:cs="宋体"/>
          <w:b/>
          <w:bCs/>
          <w:color w:val="auto"/>
          <w:sz w:val="24"/>
          <w:highlight w:val="none"/>
        </w:rPr>
        <w:t>“合同专用条款”</w:t>
      </w:r>
    </w:p>
    <w:p w14:paraId="5045B785">
      <w:pPr>
        <w:pStyle w:val="294"/>
        <w:spacing w:line="360" w:lineRule="auto"/>
        <w:ind w:left="840" w:leftChars="400" w:firstLine="0"/>
        <w:rPr>
          <w:rFonts w:hint="eastAsia" w:cs="宋体"/>
          <w:color w:val="auto"/>
          <w:sz w:val="24"/>
          <w:highlight w:val="none"/>
        </w:rPr>
      </w:pPr>
      <w:r>
        <w:rPr>
          <w:rFonts w:hint="eastAsia" w:cs="宋体"/>
          <w:color w:val="auto"/>
          <w:sz w:val="24"/>
          <w:highlight w:val="none"/>
        </w:rPr>
        <w:t>的规定支付迟交违约金或提供其他救济。迟交违约金的支付不能免除卖方继续交付相关合同货物的义务。</w:t>
      </w:r>
    </w:p>
    <w:p w14:paraId="6B036026">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7. 包装与标记</w:t>
      </w:r>
      <w:r>
        <w:rPr>
          <w:rFonts w:hint="eastAsia" w:ascii="宋体"/>
          <w:b/>
          <w:bCs/>
          <w:color w:val="auto"/>
          <w:sz w:val="24"/>
          <w:highlight w:val="none"/>
        </w:rPr>
        <w:tab/>
      </w:r>
    </w:p>
    <w:p w14:paraId="575DC8DC">
      <w:pPr>
        <w:pStyle w:val="295"/>
        <w:spacing w:line="360" w:lineRule="auto"/>
        <w:ind w:left="960" w:hanging="960" w:hangingChars="400"/>
        <w:rPr>
          <w:rFonts w:hint="eastAsia" w:ascii="宋体" w:hAnsi="宋体" w:cs="宋体"/>
          <w:b/>
          <w:color w:val="auto"/>
          <w:sz w:val="24"/>
          <w:highlight w:val="none"/>
        </w:rPr>
      </w:pPr>
      <w:r>
        <w:rPr>
          <w:rFonts w:hint="eastAsia" w:ascii="宋体" w:hAnsi="宋体" w:cs="宋体"/>
          <w:color w:val="auto"/>
          <w:sz w:val="24"/>
          <w:highlight w:val="none"/>
        </w:rPr>
        <w:t>7.1    除非合同中另有规定，合同货物应由卖方用新的坚固的木箱进行包装</w:t>
      </w:r>
      <w:r>
        <w:rPr>
          <w:rFonts w:hint="eastAsia" w:ascii="宋体" w:hAnsi="宋体" w:cs="宋体"/>
          <w:b/>
          <w:color w:val="auto"/>
          <w:sz w:val="24"/>
          <w:highlight w:val="none"/>
        </w:rPr>
        <w:tab/>
      </w:r>
    </w:p>
    <w:p w14:paraId="6451E166">
      <w:pPr>
        <w:pStyle w:val="295"/>
        <w:spacing w:line="360" w:lineRule="auto"/>
        <w:ind w:left="958" w:leftChars="456"/>
        <w:rPr>
          <w:rFonts w:hint="eastAsia" w:ascii="宋体" w:hAnsi="宋体" w:cs="宋体"/>
          <w:color w:val="auto"/>
          <w:sz w:val="24"/>
          <w:highlight w:val="none"/>
        </w:rPr>
      </w:pPr>
      <w:r>
        <w:rPr>
          <w:rFonts w:hint="eastAsia" w:ascii="宋体" w:hAnsi="宋体" w:cs="宋体"/>
          <w:color w:val="auto"/>
          <w:sz w:val="24"/>
          <w:highlight w:val="none"/>
        </w:rPr>
        <w:t>并采取</w:t>
      </w:r>
      <w:r>
        <w:rPr>
          <w:rFonts w:hint="eastAsia" w:ascii="宋体" w:hAnsi="宋体" w:cs="宋体"/>
          <w:b/>
          <w:color w:val="auto"/>
          <w:sz w:val="24"/>
          <w:highlight w:val="none"/>
        </w:rPr>
        <w:tab/>
      </w:r>
      <w:r>
        <w:rPr>
          <w:rFonts w:hint="eastAsia" w:ascii="宋体" w:hAnsi="宋体" w:cs="宋体"/>
          <w:color w:val="auto"/>
          <w:sz w:val="24"/>
          <w:highlight w:val="none"/>
        </w:rPr>
        <w:t xml:space="preserve">防潮、防雨、防锈、防腐蚀、防震动及防止其它损坏的必要保护措施， </w:t>
      </w:r>
    </w:p>
    <w:p w14:paraId="3FEE0FAB">
      <w:pPr>
        <w:pStyle w:val="295"/>
        <w:spacing w:line="360" w:lineRule="auto"/>
        <w:ind w:left="958" w:leftChars="456"/>
        <w:rPr>
          <w:rFonts w:hint="eastAsia" w:ascii="宋体" w:hAnsi="宋体" w:cs="宋体"/>
          <w:color w:val="auto"/>
          <w:sz w:val="24"/>
          <w:highlight w:val="none"/>
        </w:rPr>
      </w:pPr>
      <w:r>
        <w:rPr>
          <w:rFonts w:hint="eastAsia" w:ascii="宋体" w:hAnsi="宋体" w:cs="宋体"/>
          <w:color w:val="auto"/>
          <w:sz w:val="24"/>
          <w:highlight w:val="none"/>
        </w:rPr>
        <w:t>从而保证合同货物能够经受多次搬运、装卸及远洋和内陆的长途运输。</w:t>
      </w:r>
    </w:p>
    <w:p w14:paraId="4FEF5354">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 xml:space="preserve">7.2   卖方应在每个包装箱的邻接四个侧面标明“合同专用条款”规定的内容。 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p>
    <w:p w14:paraId="4294C5C5">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7.3</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在合同货物的每件包装中都应附有下列单据： </w:t>
      </w:r>
    </w:p>
    <w:p w14:paraId="3D49254B">
      <w:pPr>
        <w:pStyle w:val="295"/>
        <w:spacing w:line="360" w:lineRule="auto"/>
        <w:ind w:left="840" w:firstLine="105"/>
        <w:rPr>
          <w:rFonts w:hint="eastAsia" w:ascii="宋体" w:hAnsi="宋体" w:cs="宋体"/>
          <w:color w:val="auto"/>
          <w:sz w:val="24"/>
          <w:highlight w:val="none"/>
        </w:rPr>
      </w:pPr>
      <w:r>
        <w:rPr>
          <w:rFonts w:hint="eastAsia" w:ascii="宋体" w:hAnsi="宋体" w:cs="宋体"/>
          <w:color w:val="auto"/>
          <w:sz w:val="24"/>
          <w:highlight w:val="none"/>
        </w:rPr>
        <w:t xml:space="preserve">A. 装箱明细单副本一式两份； </w:t>
      </w:r>
    </w:p>
    <w:p w14:paraId="0DB1BBBB">
      <w:pPr>
        <w:pStyle w:val="295"/>
        <w:spacing w:line="360" w:lineRule="auto"/>
        <w:ind w:left="840" w:firstLine="105"/>
        <w:rPr>
          <w:rFonts w:hint="eastAsia" w:ascii="宋体" w:hAnsi="宋体" w:cs="宋体"/>
          <w:color w:val="auto"/>
          <w:sz w:val="24"/>
          <w:highlight w:val="none"/>
        </w:rPr>
      </w:pPr>
      <w:r>
        <w:rPr>
          <w:rFonts w:hint="eastAsia" w:ascii="宋体" w:hAnsi="宋体" w:cs="宋体"/>
          <w:color w:val="auto"/>
          <w:sz w:val="24"/>
          <w:highlight w:val="none"/>
        </w:rPr>
        <w:t xml:space="preserve">B. 质量合格证副本一式两份； </w:t>
      </w:r>
    </w:p>
    <w:p w14:paraId="52EA899A">
      <w:pPr>
        <w:pStyle w:val="295"/>
        <w:spacing w:line="360" w:lineRule="auto"/>
        <w:ind w:left="840" w:firstLine="105"/>
        <w:rPr>
          <w:rFonts w:hint="eastAsia" w:ascii="宋体" w:hAnsi="宋体" w:cs="宋体"/>
          <w:color w:val="auto"/>
          <w:sz w:val="24"/>
          <w:highlight w:val="none"/>
        </w:rPr>
      </w:pPr>
      <w:r>
        <w:rPr>
          <w:rFonts w:hint="eastAsia" w:ascii="宋体" w:hAnsi="宋体" w:cs="宋体"/>
          <w:color w:val="auto"/>
          <w:sz w:val="24"/>
          <w:highlight w:val="none"/>
        </w:rPr>
        <w:t xml:space="preserve">C. 相关合同货物的技术资料一份； </w:t>
      </w:r>
    </w:p>
    <w:p w14:paraId="5A0B9566">
      <w:pPr>
        <w:pStyle w:val="295"/>
        <w:spacing w:line="360" w:lineRule="auto"/>
        <w:ind w:left="840" w:firstLine="105"/>
        <w:rPr>
          <w:rFonts w:hint="eastAsia" w:ascii="宋体" w:hAnsi="宋体" w:cs="宋体"/>
          <w:color w:val="auto"/>
          <w:sz w:val="24"/>
          <w:highlight w:val="none"/>
        </w:rPr>
      </w:pPr>
      <w:r>
        <w:rPr>
          <w:rFonts w:hint="eastAsia" w:ascii="宋体" w:hAnsi="宋体" w:cs="宋体"/>
          <w:color w:val="auto"/>
          <w:sz w:val="24"/>
          <w:highlight w:val="none"/>
        </w:rPr>
        <w:t>D. 需要组装的部件及机器的系统装配图一式两份。</w:t>
      </w:r>
    </w:p>
    <w:p w14:paraId="2ADC063B">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7.4</w:t>
      </w:r>
      <w:r>
        <w:rPr>
          <w:rFonts w:hint="eastAsia" w:ascii="宋体" w:hAnsi="宋体" w:cs="宋体"/>
          <w:color w:val="auto"/>
          <w:sz w:val="24"/>
          <w:highlight w:val="none"/>
        </w:rPr>
        <w:tab/>
      </w:r>
      <w:r>
        <w:rPr>
          <w:rFonts w:hint="eastAsia" w:ascii="宋体" w:hAnsi="宋体" w:cs="宋体"/>
          <w:color w:val="auto"/>
          <w:sz w:val="24"/>
          <w:highlight w:val="none"/>
        </w:rPr>
        <w:t xml:space="preserve">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p>
    <w:p w14:paraId="5A1DEB12">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7.5</w:t>
      </w:r>
      <w:r>
        <w:rPr>
          <w:rFonts w:hint="eastAsia" w:ascii="宋体" w:hAnsi="宋体" w:cs="宋体"/>
          <w:color w:val="auto"/>
          <w:sz w:val="24"/>
          <w:highlight w:val="none"/>
        </w:rPr>
        <w:tab/>
      </w:r>
      <w:r>
        <w:rPr>
          <w:rFonts w:hint="eastAsia" w:ascii="宋体" w:hAnsi="宋体" w:cs="宋体"/>
          <w:color w:val="auto"/>
          <w:sz w:val="24"/>
          <w:highlight w:val="none"/>
        </w:rPr>
        <w:t xml:space="preserve">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p>
    <w:p w14:paraId="3C3ED075">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8.技术资料</w:t>
      </w:r>
    </w:p>
    <w:p w14:paraId="524D5768">
      <w:pPr>
        <w:pStyle w:val="295"/>
        <w:spacing w:line="360" w:lineRule="auto"/>
        <w:jc w:val="left"/>
        <w:rPr>
          <w:rFonts w:hint="eastAsia" w:ascii="宋体" w:hAnsi="宋体" w:cs="宋体"/>
          <w:color w:val="auto"/>
          <w:spacing w:val="-10"/>
          <w:sz w:val="24"/>
          <w:highlight w:val="none"/>
        </w:rPr>
      </w:pPr>
      <w:r>
        <w:rPr>
          <w:rFonts w:hint="eastAsia" w:ascii="宋体" w:hAnsi="宋体" w:cs="宋体"/>
          <w:color w:val="auto"/>
          <w:sz w:val="24"/>
          <w:highlight w:val="none"/>
        </w:rPr>
        <w:t>8.1</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pacing w:val="-10"/>
          <w:sz w:val="24"/>
          <w:highlight w:val="none"/>
        </w:rPr>
        <w:t>卖方应按照</w:t>
      </w:r>
      <w:r>
        <w:rPr>
          <w:rFonts w:hint="eastAsia" w:ascii="宋体" w:hAnsi="宋体" w:cs="宋体"/>
          <w:b/>
          <w:bCs/>
          <w:color w:val="auto"/>
          <w:sz w:val="24"/>
          <w:highlight w:val="none"/>
        </w:rPr>
        <w:t>“合同专用条款”</w:t>
      </w:r>
      <w:r>
        <w:rPr>
          <w:rFonts w:hint="eastAsia" w:ascii="宋体" w:hAnsi="宋体" w:cs="宋体"/>
          <w:color w:val="auto"/>
          <w:spacing w:val="-10"/>
          <w:sz w:val="24"/>
          <w:highlight w:val="none"/>
        </w:rPr>
        <w:t>规定的期限和方式交付技术资料。</w:t>
      </w:r>
    </w:p>
    <w:p w14:paraId="78815CFD">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9.检验</w:t>
      </w:r>
    </w:p>
    <w:p w14:paraId="3565A0E7">
      <w:pPr>
        <w:pStyle w:val="295"/>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9.1</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卖方或制造商应按照</w:t>
      </w:r>
      <w:r>
        <w:rPr>
          <w:rFonts w:hint="eastAsia" w:ascii="宋体" w:hAnsi="宋体" w:cs="宋体"/>
          <w:b/>
          <w:bCs/>
          <w:color w:val="auto"/>
          <w:sz w:val="24"/>
          <w:highlight w:val="none"/>
        </w:rPr>
        <w:t>“合同专用条款”</w:t>
      </w:r>
      <w:r>
        <w:rPr>
          <w:rFonts w:hint="eastAsia" w:ascii="宋体" w:hAnsi="宋体" w:cs="宋体"/>
          <w:color w:val="auto"/>
          <w:sz w:val="24"/>
          <w:highlight w:val="none"/>
        </w:rPr>
        <w:t>的规定对合同货物进行出厂检验。</w:t>
      </w:r>
    </w:p>
    <w:p w14:paraId="43E520C7">
      <w:pPr>
        <w:pStyle w:val="295"/>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9.2</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在</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规定的期限内，买方应申请检验当局就合同货物的   </w:t>
      </w:r>
    </w:p>
    <w:p w14:paraId="10CC5377">
      <w:pPr>
        <w:pStyle w:val="295"/>
        <w:spacing w:line="360" w:lineRule="auto"/>
        <w:ind w:left="958" w:leftChars="456"/>
        <w:jc w:val="left"/>
        <w:rPr>
          <w:rFonts w:hint="eastAsia" w:ascii="宋体" w:hAnsi="宋体" w:cs="宋体"/>
          <w:color w:val="auto"/>
          <w:sz w:val="24"/>
          <w:highlight w:val="none"/>
        </w:rPr>
      </w:pPr>
      <w:r>
        <w:rPr>
          <w:rFonts w:hint="eastAsia" w:ascii="宋体" w:hAnsi="宋体" w:cs="宋体"/>
          <w:color w:val="auto"/>
          <w:sz w:val="24"/>
          <w:highlight w:val="none"/>
        </w:rPr>
        <w:t xml:space="preserve">外观、规格和数量／重量进行检验。如果在开箱检验中发现交付的合同货物有短少、缺陷、损坏或其它与合同规定不符合的情形，检验当局出具的商检证书应作为买方向卖方提出索赔的有效证据。 </w:t>
      </w:r>
    </w:p>
    <w:p w14:paraId="4FC51977">
      <w:pPr>
        <w:pStyle w:val="295"/>
        <w:spacing w:line="360" w:lineRule="auto"/>
        <w:ind w:left="943" w:hanging="943" w:hangingChars="393"/>
        <w:rPr>
          <w:rFonts w:hint="eastAsia" w:ascii="宋体" w:hAnsi="宋体" w:cs="宋体"/>
          <w:color w:val="auto"/>
          <w:sz w:val="24"/>
          <w:highlight w:val="none"/>
        </w:rPr>
      </w:pPr>
      <w:r>
        <w:rPr>
          <w:rFonts w:hint="eastAsia" w:ascii="宋体" w:hAnsi="宋体" w:cs="宋体"/>
          <w:color w:val="auto"/>
          <w:sz w:val="24"/>
          <w:highlight w:val="none"/>
        </w:rPr>
        <w:t xml:space="preserve">9.3 </w:t>
      </w:r>
      <w:r>
        <w:rPr>
          <w:rFonts w:hint="eastAsia" w:ascii="宋体" w:hAnsi="宋体" w:cs="宋体"/>
          <w:color w:val="auto"/>
          <w:sz w:val="24"/>
          <w:highlight w:val="none"/>
        </w:rPr>
        <w:tab/>
      </w:r>
      <w:r>
        <w:rPr>
          <w:rFonts w:hint="eastAsia" w:ascii="宋体" w:hAnsi="宋体" w:cs="宋体"/>
          <w:color w:val="auto"/>
          <w:sz w:val="24"/>
          <w:highlight w:val="none"/>
        </w:rPr>
        <w:t xml:space="preserve">如果在保证期满前发现合同货物存在缺陷，不论该缺陷是由于归咎于卖方的何种原因，包括但不限于隐蔽性缺陷或使用不适当的原材料引起的，买方均有权提请检验当局进行检验并有权凭商检证书向卖方提出索赔。 </w:t>
      </w:r>
    </w:p>
    <w:p w14:paraId="40B33709">
      <w:pPr>
        <w:pStyle w:val="295"/>
        <w:spacing w:line="360" w:lineRule="auto"/>
        <w:ind w:left="943" w:hanging="943" w:hangingChars="393"/>
        <w:jc w:val="left"/>
        <w:rPr>
          <w:rFonts w:hint="eastAsia" w:ascii="宋体" w:hAnsi="宋体" w:cs="宋体"/>
          <w:color w:val="auto"/>
          <w:sz w:val="24"/>
          <w:highlight w:val="none"/>
        </w:rPr>
      </w:pPr>
      <w:r>
        <w:rPr>
          <w:rFonts w:hint="eastAsia" w:ascii="宋体" w:hAnsi="宋体" w:cs="宋体"/>
          <w:color w:val="auto"/>
          <w:sz w:val="24"/>
          <w:highlight w:val="none"/>
        </w:rPr>
        <w:t xml:space="preserve">9.4 </w:t>
      </w:r>
      <w:r>
        <w:rPr>
          <w:rFonts w:hint="eastAsia" w:ascii="宋体" w:hAnsi="宋体" w:cs="宋体"/>
          <w:color w:val="auto"/>
          <w:sz w:val="24"/>
          <w:highlight w:val="none"/>
        </w:rPr>
        <w:tab/>
      </w:r>
      <w:r>
        <w:rPr>
          <w:rFonts w:hint="eastAsia" w:ascii="宋体" w:hAnsi="宋体" w:cs="宋体"/>
          <w:color w:val="auto"/>
          <w:sz w:val="24"/>
          <w:highlight w:val="none"/>
        </w:rPr>
        <w:t xml:space="preserve">如果技术资料中规定的检验标准和规格不完全，检验当局有权自行决定按照买方国家的现行标准和／或检验当局认为合适的其它标准进行检验。 </w:t>
      </w:r>
    </w:p>
    <w:p w14:paraId="29C148F9">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10.技术服务和考核验收</w:t>
      </w:r>
    </w:p>
    <w:p w14:paraId="4A6B58F1">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10.1</w:t>
      </w:r>
      <w:r>
        <w:rPr>
          <w:rFonts w:hint="eastAsia" w:ascii="宋体" w:hAnsi="宋体" w:cs="宋体"/>
          <w:color w:val="auto"/>
          <w:sz w:val="24"/>
          <w:highlight w:val="none"/>
        </w:rPr>
        <w:tab/>
      </w:r>
      <w:r>
        <w:rPr>
          <w:rFonts w:hint="eastAsia" w:ascii="宋体" w:hAnsi="宋体" w:cs="宋体"/>
          <w:color w:val="auto"/>
          <w:sz w:val="24"/>
          <w:highlight w:val="none"/>
        </w:rPr>
        <w:t>合同货物的安装、试运行、性能考核应按照</w:t>
      </w:r>
      <w:r>
        <w:rPr>
          <w:rFonts w:hint="eastAsia" w:ascii="宋体" w:hAnsi="宋体" w:cs="宋体"/>
          <w:b/>
          <w:bCs/>
          <w:color w:val="auto"/>
          <w:sz w:val="24"/>
          <w:highlight w:val="none"/>
        </w:rPr>
        <w:t>“合同专用条款”</w:t>
      </w:r>
      <w:r>
        <w:rPr>
          <w:rFonts w:hint="eastAsia" w:ascii="宋体" w:hAnsi="宋体" w:cs="宋体"/>
          <w:color w:val="auto"/>
          <w:sz w:val="24"/>
          <w:highlight w:val="none"/>
        </w:rPr>
        <w:t>的规定进行。</w:t>
      </w:r>
    </w:p>
    <w:p w14:paraId="71E312AA">
      <w:pPr>
        <w:pStyle w:val="295"/>
        <w:spacing w:line="360" w:lineRule="auto"/>
        <w:ind w:left="943" w:hanging="943" w:hangingChars="393"/>
        <w:rPr>
          <w:rFonts w:hint="eastAsia" w:ascii="宋体" w:hAnsi="宋体" w:cs="宋体"/>
          <w:color w:val="auto"/>
          <w:sz w:val="24"/>
          <w:highlight w:val="none"/>
        </w:rPr>
      </w:pPr>
      <w:r>
        <w:rPr>
          <w:rFonts w:hint="eastAsia" w:ascii="宋体" w:hAnsi="宋体" w:cs="宋体"/>
          <w:color w:val="auto"/>
          <w:sz w:val="24"/>
          <w:highlight w:val="none"/>
        </w:rPr>
        <w:t>10.2</w:t>
      </w:r>
      <w:r>
        <w:rPr>
          <w:rFonts w:hint="eastAsia" w:ascii="宋体" w:hAnsi="宋体" w:cs="宋体"/>
          <w:color w:val="auto"/>
          <w:sz w:val="24"/>
          <w:highlight w:val="none"/>
        </w:rPr>
        <w:tab/>
      </w:r>
      <w:r>
        <w:rPr>
          <w:rFonts w:hint="eastAsia" w:ascii="宋体" w:hAnsi="宋体" w:cs="宋体"/>
          <w:color w:val="auto"/>
          <w:sz w:val="24"/>
          <w:highlight w:val="none"/>
        </w:rPr>
        <w:t xml:space="preserve">在安装工作按照技术资料的规定完成后，合同双方应在安装结束后5日内签署安装证书。该证书的签署日期应视为安装工作完成日。 </w:t>
      </w:r>
    </w:p>
    <w:p w14:paraId="117280D5">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10.3</w:t>
      </w:r>
      <w:r>
        <w:rPr>
          <w:rFonts w:hint="eastAsia" w:ascii="宋体" w:hAnsi="宋体" w:cs="宋体"/>
          <w:color w:val="auto"/>
          <w:sz w:val="24"/>
          <w:highlight w:val="none"/>
        </w:rPr>
        <w:tab/>
      </w:r>
      <w:r>
        <w:rPr>
          <w:rFonts w:hint="eastAsia" w:ascii="宋体" w:hAnsi="宋体" w:cs="宋体"/>
          <w:color w:val="auto"/>
          <w:sz w:val="24"/>
          <w:highlight w:val="none"/>
        </w:rPr>
        <w:t>合同双方应按照</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的规定对合同货物进行性能考核。 </w:t>
      </w:r>
    </w:p>
    <w:p w14:paraId="52AD6FAF">
      <w:pPr>
        <w:pStyle w:val="295"/>
        <w:spacing w:line="360" w:lineRule="auto"/>
        <w:ind w:left="960" w:hanging="960" w:hangingChars="400"/>
        <w:rPr>
          <w:rFonts w:hint="eastAsia" w:ascii="宋体" w:hAnsi="宋体" w:cs="宋体"/>
          <w:color w:val="auto"/>
          <w:sz w:val="24"/>
          <w:highlight w:val="none"/>
        </w:rPr>
      </w:pPr>
      <w:r>
        <w:rPr>
          <w:rFonts w:hint="eastAsia" w:ascii="宋体" w:hAnsi="宋体" w:cs="宋体"/>
          <w:color w:val="auto"/>
          <w:sz w:val="24"/>
          <w:highlight w:val="none"/>
        </w:rPr>
        <w:t>10.4</w:t>
      </w:r>
      <w:r>
        <w:rPr>
          <w:rFonts w:hint="eastAsia" w:ascii="宋体" w:hAnsi="宋体" w:cs="宋体"/>
          <w:color w:val="auto"/>
          <w:sz w:val="24"/>
          <w:highlight w:val="none"/>
        </w:rPr>
        <w:tab/>
      </w:r>
      <w:r>
        <w:rPr>
          <w:rFonts w:hint="eastAsia" w:ascii="宋体" w:hAnsi="宋体" w:cs="宋体"/>
          <w:color w:val="auto"/>
          <w:sz w:val="24"/>
          <w:highlight w:val="none"/>
        </w:rPr>
        <w:t xml:space="preserve">如果合同附件2所规定的所有保证指标在性能考核中都已经达到，双方授权代表应在性能考核后5日内签署合同货物的验收证书一式四份，双方各持两份。 </w:t>
      </w:r>
    </w:p>
    <w:p w14:paraId="79A412AB">
      <w:pPr>
        <w:pStyle w:val="295"/>
        <w:numPr>
          <w:ilvl w:val="1"/>
          <w:numId w:val="10"/>
        </w:numPr>
        <w:tabs>
          <w:tab w:val="left" w:pos="-1155"/>
          <w:tab w:val="clear" w:pos="480"/>
        </w:tabs>
        <w:spacing w:line="360" w:lineRule="auto"/>
        <w:ind w:left="840" w:hanging="840"/>
        <w:rPr>
          <w:rFonts w:hint="eastAsia"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如果在本合同第10.3条规定允许的最后一次性能考核中仍有任何指标未达到合同附件2规定的要求，买方有权根据本合同第12条的规定向卖方提出索赔。 </w:t>
      </w:r>
    </w:p>
    <w:p w14:paraId="2C47BDE8">
      <w:pPr>
        <w:pStyle w:val="295"/>
        <w:numPr>
          <w:ilvl w:val="1"/>
          <w:numId w:val="10"/>
        </w:numPr>
        <w:spacing w:line="360" w:lineRule="auto"/>
        <w:ind w:left="840" w:hanging="840"/>
        <w:jc w:val="lef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如果安装和/或试运行和/或性能考核因卖方原因发生迟延和/或在其它情况</w:t>
      </w:r>
    </w:p>
    <w:p w14:paraId="37010D6B">
      <w:pPr>
        <w:pStyle w:val="295"/>
        <w:spacing w:line="360" w:lineRule="auto"/>
        <w:ind w:firstLine="840" w:firstLineChars="350"/>
        <w:jc w:val="left"/>
        <w:rPr>
          <w:rFonts w:hint="eastAsia" w:ascii="宋体" w:hAnsi="宋体" w:cs="宋体"/>
          <w:color w:val="auto"/>
          <w:sz w:val="24"/>
          <w:highlight w:val="none"/>
        </w:rPr>
      </w:pPr>
      <w:r>
        <w:rPr>
          <w:rFonts w:hint="eastAsia" w:ascii="宋体" w:hAnsi="宋体" w:cs="宋体"/>
          <w:color w:val="auto"/>
          <w:sz w:val="24"/>
          <w:highlight w:val="none"/>
        </w:rPr>
        <w:t>下发生额外费用，双方应根据</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的规定进行处理。 </w:t>
      </w:r>
    </w:p>
    <w:p w14:paraId="363663A8">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11.保证</w:t>
      </w:r>
    </w:p>
    <w:p w14:paraId="0D11DC8A">
      <w:pPr>
        <w:pStyle w:val="295"/>
        <w:tabs>
          <w:tab w:val="left" w:pos="1050"/>
          <w:tab w:val="left" w:pos="2415"/>
          <w:tab w:val="left" w:pos="3150"/>
        </w:tabs>
        <w:spacing w:line="360" w:lineRule="auto"/>
        <w:ind w:left="1154" w:hanging="1154" w:hangingChars="481"/>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rPr>
        <w:tab/>
      </w:r>
      <w:r>
        <w:rPr>
          <w:rFonts w:hint="eastAsia" w:ascii="宋体" w:hAnsi="宋体" w:cs="宋体"/>
          <w:color w:val="auto"/>
          <w:sz w:val="24"/>
          <w:highlight w:val="none"/>
        </w:rPr>
        <w:t xml:space="preserve"> 卖方保证合同货物是全新的、技术先进的、质量优越的、没有设计上</w:t>
      </w:r>
      <w:r>
        <w:rPr>
          <w:rFonts w:hint="eastAsia" w:ascii="宋体" w:hAnsi="宋体" w:cs="宋体"/>
          <w:b/>
          <w:color w:val="auto"/>
          <w:sz w:val="24"/>
          <w:highlight w:val="none"/>
        </w:rPr>
        <w:tab/>
      </w:r>
      <w:r>
        <w:rPr>
          <w:rFonts w:hint="eastAsia" w:ascii="宋体" w:hAnsi="宋体" w:cs="宋体"/>
          <w:color w:val="auto"/>
          <w:sz w:val="24"/>
          <w:highlight w:val="none"/>
        </w:rPr>
        <w:t xml:space="preserve">和材料及工艺上的缺陷、符合合同附件2的规定并且适合于合同规定的用途和目的。 </w:t>
      </w:r>
    </w:p>
    <w:p w14:paraId="6E22C9F3">
      <w:pPr>
        <w:pStyle w:val="295"/>
        <w:spacing w:line="360" w:lineRule="auto"/>
        <w:ind w:left="1200" w:hanging="1200" w:hangingChars="500"/>
        <w:jc w:val="left"/>
        <w:rPr>
          <w:rFonts w:hint="eastAsia" w:ascii="宋体" w:hAnsi="宋体" w:cs="宋体"/>
          <w:color w:val="auto"/>
          <w:sz w:val="24"/>
          <w:highlight w:val="none"/>
        </w:rPr>
      </w:pPr>
      <w:r>
        <w:rPr>
          <w:rFonts w:hint="eastAsia" w:ascii="宋体" w:hAnsi="宋体" w:cs="宋体"/>
          <w:color w:val="auto"/>
          <w:sz w:val="24"/>
          <w:highlight w:val="none"/>
        </w:rPr>
        <w:t>11.2</w:t>
      </w:r>
      <w:r>
        <w:rPr>
          <w:rFonts w:hint="eastAsia" w:ascii="宋体" w:hAnsi="宋体" w:cs="宋体"/>
          <w:color w:val="auto"/>
          <w:sz w:val="24"/>
          <w:highlight w:val="none"/>
        </w:rPr>
        <w:tab/>
      </w:r>
      <w:r>
        <w:rPr>
          <w:rFonts w:hint="eastAsia" w:ascii="宋体" w:hAnsi="宋体" w:cs="宋体"/>
          <w:color w:val="auto"/>
          <w:sz w:val="24"/>
          <w:highlight w:val="none"/>
        </w:rPr>
        <w:t xml:space="preserve">卖方保证所交付的技术资料应是完整的、清楚的和正确的，并且能够满足合同货物安装、试运行、性能考核、操作和维修的要求。 </w:t>
      </w:r>
    </w:p>
    <w:p w14:paraId="40B1FEE1">
      <w:pPr>
        <w:pStyle w:val="295"/>
        <w:spacing w:line="360" w:lineRule="auto"/>
        <w:ind w:left="1200" w:hanging="1200" w:hangingChars="500"/>
        <w:rPr>
          <w:rFonts w:hint="eastAsia" w:ascii="宋体" w:hAnsi="宋体" w:cs="宋体"/>
          <w:color w:val="auto"/>
          <w:sz w:val="24"/>
          <w:highlight w:val="none"/>
        </w:rPr>
      </w:pPr>
      <w:r>
        <w:rPr>
          <w:rFonts w:hint="eastAsia" w:ascii="宋体" w:hAnsi="宋体" w:cs="宋体"/>
          <w:color w:val="auto"/>
          <w:sz w:val="24"/>
          <w:highlight w:val="none"/>
        </w:rPr>
        <w:t>11.3</w:t>
      </w:r>
      <w:r>
        <w:rPr>
          <w:rFonts w:hint="eastAsia" w:ascii="宋体" w:hAnsi="宋体" w:cs="宋体"/>
          <w:color w:val="auto"/>
          <w:sz w:val="24"/>
          <w:highlight w:val="none"/>
        </w:rPr>
        <w:tab/>
      </w:r>
      <w:r>
        <w:rPr>
          <w:rFonts w:hint="eastAsia" w:ascii="宋体" w:hAnsi="宋体" w:cs="宋体"/>
          <w:color w:val="auto"/>
          <w:sz w:val="24"/>
          <w:highlight w:val="none"/>
        </w:rPr>
        <w:t xml:space="preserve">卖方保证及时派遣合格的技术人员提供合同货物运行必需的专业的、正确的和高效的技术服务和技术培训。 </w:t>
      </w:r>
    </w:p>
    <w:p w14:paraId="3D4F290A">
      <w:pPr>
        <w:pStyle w:val="295"/>
        <w:spacing w:line="360" w:lineRule="auto"/>
        <w:ind w:left="1200" w:hanging="1200" w:hangingChars="500"/>
        <w:rPr>
          <w:rFonts w:hint="eastAsia" w:ascii="宋体" w:hAnsi="宋体" w:cs="宋体"/>
          <w:color w:val="auto"/>
          <w:sz w:val="24"/>
          <w:highlight w:val="none"/>
        </w:rPr>
      </w:pPr>
      <w:r>
        <w:rPr>
          <w:rFonts w:hint="eastAsia" w:ascii="宋体" w:hAnsi="宋体" w:cs="宋体"/>
          <w:color w:val="auto"/>
          <w:sz w:val="24"/>
          <w:highlight w:val="none"/>
        </w:rPr>
        <w:t>11.4</w:t>
      </w:r>
      <w:r>
        <w:rPr>
          <w:rFonts w:hint="eastAsia" w:ascii="宋体" w:hAnsi="宋体" w:cs="宋体"/>
          <w:color w:val="auto"/>
          <w:sz w:val="24"/>
          <w:highlight w:val="none"/>
        </w:rPr>
        <w:tab/>
      </w:r>
      <w:r>
        <w:rPr>
          <w:rFonts w:hint="eastAsia" w:ascii="宋体" w:hAnsi="宋体" w:cs="宋体"/>
          <w:color w:val="auto"/>
          <w:sz w:val="24"/>
          <w:highlight w:val="none"/>
        </w:rPr>
        <w:t xml:space="preserve">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p>
    <w:p w14:paraId="42DD8254">
      <w:pPr>
        <w:pStyle w:val="295"/>
        <w:spacing w:line="360" w:lineRule="auto"/>
        <w:ind w:left="1200" w:hanging="1200" w:hangingChars="500"/>
        <w:jc w:val="left"/>
        <w:rPr>
          <w:rFonts w:hint="eastAsia" w:ascii="宋体" w:hAnsi="宋体" w:cs="宋体"/>
          <w:color w:val="auto"/>
          <w:sz w:val="24"/>
          <w:highlight w:val="none"/>
        </w:rPr>
      </w:pPr>
      <w:r>
        <w:rPr>
          <w:rFonts w:hint="eastAsia" w:ascii="宋体" w:hAnsi="宋体" w:cs="宋体"/>
          <w:color w:val="auto"/>
          <w:sz w:val="24"/>
          <w:highlight w:val="none"/>
        </w:rPr>
        <w:t>11.5</w:t>
      </w:r>
      <w:r>
        <w:rPr>
          <w:rFonts w:hint="eastAsia" w:ascii="宋体" w:hAnsi="宋体" w:cs="宋体"/>
          <w:color w:val="auto"/>
          <w:sz w:val="24"/>
          <w:highlight w:val="none"/>
        </w:rPr>
        <w:tab/>
      </w:r>
      <w:r>
        <w:rPr>
          <w:rFonts w:hint="eastAsia" w:ascii="宋体" w:hAnsi="宋体" w:cs="宋体"/>
          <w:color w:val="auto"/>
          <w:sz w:val="24"/>
          <w:highlight w:val="none"/>
        </w:rPr>
        <w:t>合同货物保证期的期限和内容为</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规定的期限和内容。保证期满后，买方应出具合同货物的保证期期满证书正副本各一份。 </w:t>
      </w:r>
    </w:p>
    <w:p w14:paraId="4D1E4790">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12.索赔</w:t>
      </w:r>
    </w:p>
    <w:p w14:paraId="6B6CA223">
      <w:pPr>
        <w:pStyle w:val="295"/>
        <w:spacing w:line="360" w:lineRule="auto"/>
        <w:ind w:left="1200" w:hanging="1200" w:hangingChars="500"/>
        <w:rPr>
          <w:rFonts w:hint="eastAsia" w:ascii="宋体" w:hAnsi="宋体" w:cs="宋体"/>
          <w:color w:val="auto"/>
          <w:sz w:val="24"/>
          <w:highlight w:val="none"/>
        </w:rPr>
      </w:pPr>
      <w:r>
        <w:rPr>
          <w:rFonts w:hint="eastAsia" w:ascii="宋体" w:hAnsi="宋体" w:cs="宋体"/>
          <w:color w:val="auto"/>
          <w:sz w:val="24"/>
          <w:highlight w:val="none"/>
        </w:rPr>
        <w:t>12.1</w:t>
      </w:r>
      <w:r>
        <w:rPr>
          <w:rFonts w:hint="eastAsia" w:ascii="宋体" w:hAnsi="宋体" w:cs="宋体"/>
          <w:color w:val="auto"/>
          <w:sz w:val="24"/>
          <w:highlight w:val="none"/>
        </w:rPr>
        <w:tab/>
      </w:r>
      <w:r>
        <w:rPr>
          <w:rFonts w:hint="eastAsia" w:ascii="宋体" w:hAnsi="宋体" w:cs="宋体"/>
          <w:color w:val="auto"/>
          <w:sz w:val="24"/>
          <w:highlight w:val="none"/>
        </w:rPr>
        <w:t>如果合同货物在检验、安装、试运行、性能考核和保证期内，卖方未能履行其在本合同项下承担的义务，买方有权向卖方提出索赔并寻求</w:t>
      </w:r>
      <w:r>
        <w:rPr>
          <w:rFonts w:hint="eastAsia" w:ascii="宋体" w:hAnsi="宋体" w:cs="宋体"/>
          <w:b/>
          <w:bCs/>
          <w:color w:val="auto"/>
          <w:sz w:val="24"/>
          <w:highlight w:val="none"/>
        </w:rPr>
        <w:t>“合同专用条款”</w:t>
      </w:r>
      <w:r>
        <w:rPr>
          <w:rFonts w:hint="eastAsia" w:ascii="宋体" w:hAnsi="宋体" w:cs="宋体"/>
          <w:color w:val="auto"/>
          <w:sz w:val="24"/>
          <w:highlight w:val="none"/>
        </w:rPr>
        <w:t>中规定的救济方式，救济方式包括：</w:t>
      </w:r>
    </w:p>
    <w:p w14:paraId="62ADF390">
      <w:pPr>
        <w:pStyle w:val="295"/>
        <w:numPr>
          <w:ilvl w:val="0"/>
          <w:numId w:val="0"/>
        </w:numPr>
        <w:tabs>
          <w:tab w:val="left" w:pos="945"/>
        </w:tabs>
        <w:spacing w:line="360" w:lineRule="auto"/>
        <w:ind w:left="1134" w:leftChars="0"/>
        <w:rPr>
          <w:rFonts w:hint="eastAsia" w:ascii="宋体" w:hAnsi="宋体" w:cs="宋体"/>
          <w:color w:val="auto"/>
          <w:sz w:val="24"/>
          <w:highlight w:val="none"/>
        </w:rPr>
      </w:pPr>
      <w:r>
        <w:rPr>
          <w:rFonts w:hint="eastAsia" w:ascii="宋体" w:hAnsi="宋体" w:cs="宋体"/>
          <w:color w:val="auto"/>
          <w:sz w:val="24"/>
          <w:highlight w:val="none"/>
          <w:lang w:val="en-US" w:eastAsia="zh-CN"/>
        </w:rPr>
        <w:t>A.</w:t>
      </w:r>
      <w:r>
        <w:rPr>
          <w:rFonts w:hint="eastAsia" w:ascii="宋体" w:hAnsi="宋体" w:cs="宋体"/>
          <w:color w:val="auto"/>
          <w:sz w:val="24"/>
          <w:highlight w:val="none"/>
        </w:rPr>
        <w:t xml:space="preserve">由卖方自负费用修理有缺陷的合同货物或消除合同货物的缺陷或不符合合同之处。如果卖方不能派遣人员到工作现场，买方有权自行消除缺陷或不符合合同之处，由此产生的一切费用均由卖方承担。 </w:t>
      </w:r>
    </w:p>
    <w:p w14:paraId="4B04324C">
      <w:pPr>
        <w:pStyle w:val="295"/>
        <w:numPr>
          <w:ilvl w:val="0"/>
          <w:numId w:val="0"/>
        </w:numPr>
        <w:tabs>
          <w:tab w:val="left" w:pos="945"/>
        </w:tabs>
        <w:spacing w:line="360" w:lineRule="auto"/>
        <w:ind w:left="1134" w:leftChars="0"/>
        <w:rPr>
          <w:rFonts w:hint="eastAsia" w:ascii="宋体" w:hAnsi="宋体" w:cs="宋体"/>
          <w:color w:val="auto"/>
          <w:sz w:val="24"/>
          <w:highlight w:val="none"/>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rPr>
        <w:t xml:space="preserve">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p>
    <w:p w14:paraId="686161A2">
      <w:pPr>
        <w:pStyle w:val="295"/>
        <w:numPr>
          <w:ilvl w:val="0"/>
          <w:numId w:val="0"/>
        </w:numPr>
        <w:tabs>
          <w:tab w:val="left" w:pos="945"/>
        </w:tabs>
        <w:spacing w:line="360" w:lineRule="auto"/>
        <w:ind w:left="1134" w:leftChars="0"/>
        <w:rPr>
          <w:rFonts w:hint="eastAsia" w:ascii="宋体" w:hAnsi="宋体" w:cs="宋体"/>
          <w:color w:val="auto"/>
          <w:sz w:val="24"/>
          <w:highlight w:val="none"/>
        </w:rPr>
      </w:pPr>
      <w:r>
        <w:rPr>
          <w:rFonts w:hint="eastAsia" w:ascii="宋体" w:hAnsi="宋体" w:cs="宋体"/>
          <w:color w:val="auto"/>
          <w:sz w:val="24"/>
          <w:highlight w:val="none"/>
          <w:lang w:val="en-US" w:eastAsia="zh-CN"/>
        </w:rPr>
        <w:t>C.</w:t>
      </w:r>
      <w:r>
        <w:rPr>
          <w:rFonts w:hint="eastAsia" w:ascii="宋体" w:hAnsi="宋体" w:cs="宋体"/>
          <w:color w:val="auto"/>
          <w:sz w:val="24"/>
          <w:highlight w:val="none"/>
        </w:rPr>
        <w:t xml:space="preserve">按质量低劣的程度、买方受损害的程度及损失的数额对合同货物进行降价。 </w:t>
      </w:r>
    </w:p>
    <w:p w14:paraId="3B826066">
      <w:pPr>
        <w:pStyle w:val="295"/>
        <w:numPr>
          <w:ilvl w:val="0"/>
          <w:numId w:val="0"/>
        </w:numPr>
        <w:tabs>
          <w:tab w:val="left" w:pos="945"/>
        </w:tabs>
        <w:spacing w:line="360" w:lineRule="auto"/>
        <w:ind w:left="1134" w:leftChars="0"/>
        <w:rPr>
          <w:rFonts w:hint="eastAsia" w:ascii="宋体" w:hAnsi="宋体" w:cs="宋体"/>
          <w:color w:val="auto"/>
          <w:sz w:val="24"/>
          <w:highlight w:val="none"/>
        </w:rPr>
      </w:pPr>
      <w:r>
        <w:rPr>
          <w:rFonts w:hint="eastAsia" w:ascii="宋体" w:hAnsi="宋体" w:cs="宋体"/>
          <w:color w:val="auto"/>
          <w:sz w:val="24"/>
          <w:highlight w:val="none"/>
          <w:lang w:val="en-US" w:eastAsia="zh-CN"/>
        </w:rPr>
        <w:t>D.</w:t>
      </w:r>
      <w:r>
        <w:rPr>
          <w:rFonts w:hint="eastAsia" w:ascii="宋体" w:hAnsi="宋体" w:cs="宋体"/>
          <w:color w:val="auto"/>
          <w:sz w:val="24"/>
          <w:highlight w:val="none"/>
        </w:rPr>
        <w:t xml:space="preserve">拒收货物,并由卖方退还买方合同价款和承担相关的损失和费用包括利息、银行费用、运费、保费、检验费、仓储费、装卸费以及全部保管和维护被拒收货物必需的其它费用。 </w:t>
      </w:r>
    </w:p>
    <w:p w14:paraId="337513D8">
      <w:pPr>
        <w:pStyle w:val="295"/>
        <w:tabs>
          <w:tab w:val="left" w:pos="945"/>
        </w:tabs>
        <w:spacing w:line="360" w:lineRule="auto"/>
        <w:ind w:firstLine="1200" w:firstLineChars="500"/>
        <w:rPr>
          <w:rFonts w:hint="eastAsia" w:ascii="宋体" w:hAnsi="宋体" w:cs="宋体"/>
          <w:color w:val="auto"/>
          <w:sz w:val="24"/>
          <w:highlight w:val="none"/>
        </w:rPr>
      </w:pPr>
      <w:r>
        <w:rPr>
          <w:rFonts w:hint="eastAsia" w:ascii="宋体" w:hAnsi="宋体" w:cs="宋体"/>
          <w:color w:val="auto"/>
          <w:sz w:val="24"/>
          <w:highlight w:val="none"/>
        </w:rPr>
        <w:t xml:space="preserve">E. 赔偿由卖方违约引起的其他损失。 </w:t>
      </w:r>
    </w:p>
    <w:p w14:paraId="5677E2F4">
      <w:pPr>
        <w:pStyle w:val="295"/>
        <w:spacing w:line="360" w:lineRule="auto"/>
        <w:ind w:left="1154" w:hanging="1154" w:hangingChars="481"/>
        <w:rPr>
          <w:rFonts w:hint="eastAsia" w:ascii="宋体" w:hAnsi="宋体" w:cs="宋体"/>
          <w:color w:val="auto"/>
          <w:sz w:val="24"/>
          <w:highlight w:val="none"/>
        </w:rPr>
      </w:pPr>
      <w:r>
        <w:rPr>
          <w:rFonts w:hint="eastAsia" w:ascii="宋体" w:hAnsi="宋体" w:cs="宋体"/>
          <w:color w:val="auto"/>
          <w:sz w:val="24"/>
          <w:highlight w:val="none"/>
        </w:rPr>
        <w:t>12.2</w:t>
      </w:r>
      <w:r>
        <w:rPr>
          <w:rFonts w:hint="eastAsia" w:ascii="宋体" w:hAnsi="宋体" w:cs="宋体"/>
          <w:color w:val="auto"/>
          <w:sz w:val="24"/>
          <w:highlight w:val="none"/>
        </w:rPr>
        <w:tab/>
      </w:r>
      <w:r>
        <w:rPr>
          <w:rFonts w:hint="eastAsia" w:ascii="宋体" w:hAnsi="宋体" w:cs="宋体"/>
          <w:color w:val="auto"/>
          <w:sz w:val="24"/>
          <w:highlight w:val="none"/>
        </w:rPr>
        <w:t xml:space="preserve"> 如果索赔通知是在保证期满后30日内提出的，便应被认为是有效的。 </w:t>
      </w:r>
    </w:p>
    <w:p w14:paraId="64D6A107">
      <w:pPr>
        <w:pStyle w:val="295"/>
        <w:spacing w:line="360" w:lineRule="auto"/>
        <w:ind w:left="1260" w:hanging="1260" w:hangingChars="525"/>
        <w:jc w:val="left"/>
        <w:rPr>
          <w:rFonts w:hint="eastAsia" w:ascii="宋体" w:hAnsi="宋体" w:cs="宋体"/>
          <w:color w:val="auto"/>
          <w:spacing w:val="-5"/>
          <w:sz w:val="24"/>
          <w:highlight w:val="none"/>
        </w:rPr>
      </w:pPr>
      <w:r>
        <w:rPr>
          <w:rFonts w:hint="eastAsia" w:ascii="宋体" w:hAnsi="宋体" w:cs="宋体"/>
          <w:color w:val="auto"/>
          <w:sz w:val="24"/>
          <w:highlight w:val="none"/>
        </w:rPr>
        <w:t>12.3</w:t>
      </w:r>
      <w:r>
        <w:rPr>
          <w:rFonts w:hint="eastAsia" w:ascii="宋体" w:hAnsi="宋体" w:cs="宋体"/>
          <w:color w:val="auto"/>
          <w:sz w:val="24"/>
          <w:highlight w:val="none"/>
        </w:rPr>
        <w:tab/>
      </w:r>
      <w:r>
        <w:rPr>
          <w:rFonts w:hint="eastAsia" w:ascii="宋体" w:hAnsi="宋体" w:cs="宋体"/>
          <w:color w:val="auto"/>
          <w:spacing w:val="-5"/>
          <w:sz w:val="24"/>
          <w:highlight w:val="none"/>
        </w:rPr>
        <w:t>如果卖方在收到买方索赔要求后</w:t>
      </w:r>
      <w:r>
        <w:rPr>
          <w:rFonts w:hint="eastAsia" w:ascii="宋体" w:hAnsi="宋体" w:cs="宋体"/>
          <w:b/>
          <w:bCs/>
          <w:color w:val="auto"/>
          <w:sz w:val="24"/>
          <w:highlight w:val="none"/>
        </w:rPr>
        <w:t>“合同专用条款”</w:t>
      </w:r>
      <w:r>
        <w:rPr>
          <w:rFonts w:hint="eastAsia" w:ascii="宋体" w:hAnsi="宋体" w:cs="宋体"/>
          <w:color w:val="auto"/>
          <w:spacing w:val="-5"/>
          <w:sz w:val="24"/>
          <w:highlight w:val="none"/>
        </w:rPr>
        <w:t>规定的期限内未能作出回复，该索赔要求将被视为已被卖方接受。如卖方未能在买方发出索赔通知后</w:t>
      </w:r>
      <w:r>
        <w:rPr>
          <w:rFonts w:hint="eastAsia" w:ascii="宋体" w:hAnsi="宋体" w:cs="宋体"/>
          <w:b/>
          <w:bCs/>
          <w:color w:val="auto"/>
          <w:sz w:val="24"/>
          <w:highlight w:val="none"/>
        </w:rPr>
        <w:t>“合同专用条款”</w:t>
      </w:r>
      <w:r>
        <w:rPr>
          <w:rFonts w:hint="eastAsia" w:ascii="宋体" w:hAnsi="宋体" w:cs="宋体"/>
          <w:color w:val="auto"/>
          <w:spacing w:val="-5"/>
          <w:sz w:val="24"/>
          <w:highlight w:val="none"/>
        </w:rPr>
        <w:t>规定的期限内或买方同意的延长期限内，按照买方同意的上述规定的任何一种方法解决索赔事宜，买方有权从议付货款或从卖方开具的履约保证金中扣回索赔金额。</w:t>
      </w:r>
    </w:p>
    <w:p w14:paraId="234694FA">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13.不可抗力</w:t>
      </w:r>
    </w:p>
    <w:p w14:paraId="6A414F23">
      <w:pPr>
        <w:pStyle w:val="295"/>
        <w:spacing w:line="360" w:lineRule="auto"/>
        <w:ind w:left="1260" w:hanging="1260" w:hangingChars="525"/>
        <w:rPr>
          <w:rFonts w:hint="eastAsia" w:ascii="宋体" w:hAnsi="宋体" w:cs="宋体"/>
          <w:color w:val="auto"/>
          <w:sz w:val="24"/>
          <w:highlight w:val="none"/>
        </w:rPr>
      </w:pPr>
      <w:r>
        <w:rPr>
          <w:rFonts w:hint="eastAsia" w:ascii="宋体" w:hAnsi="宋体" w:cs="宋体"/>
          <w:color w:val="auto"/>
          <w:sz w:val="24"/>
          <w:highlight w:val="none"/>
        </w:rPr>
        <w:t>13.1</w:t>
      </w:r>
      <w:r>
        <w:rPr>
          <w:rFonts w:hint="eastAsia" w:ascii="宋体" w:hAnsi="宋体" w:cs="宋体"/>
          <w:color w:val="auto"/>
          <w:sz w:val="24"/>
          <w:highlight w:val="none"/>
        </w:rPr>
        <w:tab/>
      </w:r>
      <w:r>
        <w:rPr>
          <w:rFonts w:hint="eastAsia" w:ascii="宋体" w:hAnsi="宋体" w:cs="宋体"/>
          <w:color w:val="auto"/>
          <w:sz w:val="24"/>
          <w:highlight w:val="none"/>
        </w:rPr>
        <w:t xml:space="preserve">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p>
    <w:p w14:paraId="2E086279">
      <w:pPr>
        <w:pStyle w:val="295"/>
        <w:spacing w:line="360" w:lineRule="auto"/>
        <w:ind w:left="1260" w:hanging="1260" w:hangingChars="525"/>
        <w:rPr>
          <w:rFonts w:hint="eastAsia" w:ascii="宋体" w:hAnsi="宋体" w:cs="宋体"/>
          <w:color w:val="auto"/>
          <w:sz w:val="24"/>
          <w:highlight w:val="none"/>
        </w:rPr>
      </w:pPr>
      <w:r>
        <w:rPr>
          <w:rFonts w:hint="eastAsia" w:ascii="宋体" w:hAnsi="宋体" w:cs="宋体"/>
          <w:color w:val="auto"/>
          <w:sz w:val="24"/>
          <w:highlight w:val="none"/>
        </w:rPr>
        <w:t>13.2</w:t>
      </w:r>
      <w:r>
        <w:rPr>
          <w:rFonts w:hint="eastAsia" w:ascii="宋体" w:hAnsi="宋体" w:cs="宋体"/>
          <w:color w:val="auto"/>
          <w:sz w:val="24"/>
          <w:highlight w:val="none"/>
        </w:rPr>
        <w:tab/>
      </w:r>
      <w:r>
        <w:rPr>
          <w:rFonts w:hint="eastAsia" w:ascii="宋体" w:hAnsi="宋体" w:cs="宋体"/>
          <w:color w:val="auto"/>
          <w:sz w:val="24"/>
          <w:highlight w:val="none"/>
        </w:rPr>
        <w:t xml:space="preserve">受不可抗力事件影响的合同一方对于不可抗力事件导致的任何合同义务的迟延履行或不能履行不承担责任。但该方应尽快以传真的方式将不可抗力事件结束或消除的情况通知另一方。 </w:t>
      </w:r>
    </w:p>
    <w:p w14:paraId="75654EFA">
      <w:pPr>
        <w:pStyle w:val="295"/>
        <w:spacing w:line="360" w:lineRule="auto"/>
        <w:ind w:left="1260" w:hanging="1260" w:hangingChars="525"/>
        <w:jc w:val="left"/>
        <w:rPr>
          <w:rFonts w:hint="eastAsia" w:ascii="宋体" w:hAnsi="宋体" w:cs="宋体"/>
          <w:b/>
          <w:color w:val="auto"/>
          <w:sz w:val="24"/>
          <w:highlight w:val="none"/>
        </w:rPr>
      </w:pPr>
      <w:r>
        <w:rPr>
          <w:rFonts w:hint="eastAsia" w:ascii="宋体" w:hAnsi="宋体" w:cs="宋体"/>
          <w:color w:val="auto"/>
          <w:sz w:val="24"/>
          <w:highlight w:val="none"/>
        </w:rPr>
        <w:t>13.3</w:t>
      </w:r>
      <w:r>
        <w:rPr>
          <w:rFonts w:hint="eastAsia" w:ascii="宋体" w:hAnsi="宋体" w:cs="宋体"/>
          <w:color w:val="auto"/>
          <w:sz w:val="24"/>
          <w:highlight w:val="none"/>
        </w:rPr>
        <w:tab/>
      </w:r>
      <w:r>
        <w:rPr>
          <w:rFonts w:hint="eastAsia" w:ascii="宋体" w:hAnsi="宋体" w:cs="宋体"/>
          <w:color w:val="auto"/>
          <w:sz w:val="24"/>
          <w:highlight w:val="none"/>
        </w:rPr>
        <w:t>合同双方应在不可抗力事件结束或其影响消除后立即继续履行其合同义务，合同期限也应相应延长。如果不可抗力事件的影响持续超过</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规定的期限，合同任何一方均有权以书面通知终止合同。 </w:t>
      </w:r>
    </w:p>
    <w:p w14:paraId="43505FBC">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14.合同的终止</w:t>
      </w:r>
    </w:p>
    <w:p w14:paraId="0C1B6E62">
      <w:pPr>
        <w:pStyle w:val="295"/>
        <w:spacing w:line="360" w:lineRule="auto"/>
        <w:ind w:left="1260" w:hanging="1260" w:hangingChars="525"/>
        <w:rPr>
          <w:rFonts w:hint="eastAsia" w:ascii="宋体" w:hAnsi="宋体" w:cs="宋体"/>
          <w:color w:val="auto"/>
          <w:sz w:val="24"/>
          <w:highlight w:val="none"/>
        </w:rPr>
      </w:pPr>
      <w:r>
        <w:rPr>
          <w:rFonts w:hint="eastAsia" w:ascii="宋体" w:hAnsi="宋体" w:cs="宋体"/>
          <w:color w:val="auto"/>
          <w:sz w:val="24"/>
          <w:highlight w:val="none"/>
        </w:rPr>
        <w:t>14.1</w:t>
      </w:r>
      <w:r>
        <w:rPr>
          <w:rFonts w:hint="eastAsia" w:ascii="宋体" w:hAnsi="宋体" w:cs="宋体"/>
          <w:color w:val="auto"/>
          <w:sz w:val="24"/>
          <w:highlight w:val="none"/>
        </w:rPr>
        <w:tab/>
      </w:r>
      <w:r>
        <w:rPr>
          <w:rFonts w:hint="eastAsia" w:ascii="宋体" w:hAnsi="宋体" w:cs="宋体"/>
          <w:color w:val="auto"/>
          <w:sz w:val="24"/>
          <w:highlight w:val="none"/>
        </w:rPr>
        <w:t>如果卖方有下述违约行为或</w:t>
      </w:r>
      <w:r>
        <w:rPr>
          <w:rFonts w:hint="eastAsia" w:ascii="宋体" w:hAnsi="宋体" w:cs="宋体"/>
          <w:b/>
          <w:bCs/>
          <w:color w:val="auto"/>
          <w:sz w:val="24"/>
          <w:highlight w:val="none"/>
        </w:rPr>
        <w:t>“合同专用条款”</w:t>
      </w:r>
      <w:r>
        <w:rPr>
          <w:rFonts w:hint="eastAsia" w:ascii="宋体" w:hAnsi="宋体" w:cs="宋体"/>
          <w:color w:val="auto"/>
          <w:sz w:val="24"/>
          <w:highlight w:val="none"/>
        </w:rPr>
        <w:t>中规定的其他违约行为，在不妨碍买方采取其它救济手段的情况下，买方可以向卖方发出书面违约通知，全部或部分地终止合同。</w:t>
      </w:r>
    </w:p>
    <w:p w14:paraId="50B142D6">
      <w:pPr>
        <w:pStyle w:val="295"/>
        <w:spacing w:line="360" w:lineRule="auto"/>
        <w:ind w:left="1260"/>
        <w:rPr>
          <w:rFonts w:hint="eastAsia" w:ascii="宋体" w:hAnsi="宋体" w:cs="宋体"/>
          <w:color w:val="auto"/>
          <w:sz w:val="24"/>
          <w:highlight w:val="none"/>
        </w:rPr>
      </w:pPr>
      <w:r>
        <w:rPr>
          <w:rFonts w:hint="eastAsia" w:ascii="宋体" w:hAnsi="宋体" w:cs="宋体"/>
          <w:color w:val="auto"/>
          <w:sz w:val="24"/>
          <w:highlight w:val="none"/>
        </w:rPr>
        <w:t>A.卖方在合同规定的交货期后未能按</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中规定的最终期限交付合同货物和/或技术资料；或者 </w:t>
      </w:r>
    </w:p>
    <w:p w14:paraId="4771B740">
      <w:pPr>
        <w:pStyle w:val="295"/>
        <w:spacing w:line="360" w:lineRule="auto"/>
        <w:ind w:left="1260"/>
        <w:rPr>
          <w:rFonts w:hint="eastAsia" w:ascii="宋体" w:hAnsi="宋体" w:cs="宋体"/>
          <w:color w:val="auto"/>
          <w:sz w:val="24"/>
          <w:highlight w:val="none"/>
        </w:rPr>
      </w:pPr>
      <w:r>
        <w:rPr>
          <w:rFonts w:hint="eastAsia" w:ascii="宋体" w:hAnsi="宋体" w:cs="宋体"/>
          <w:color w:val="auto"/>
          <w:sz w:val="24"/>
          <w:highlight w:val="none"/>
        </w:rPr>
        <w:t xml:space="preserve">B.卖方未能使合同货物达到合同附件2规定的技术性能和保证指标；或者 </w:t>
      </w:r>
    </w:p>
    <w:p w14:paraId="53DCCC6C">
      <w:pPr>
        <w:pStyle w:val="295"/>
        <w:spacing w:line="360" w:lineRule="auto"/>
        <w:ind w:left="1260"/>
        <w:rPr>
          <w:rFonts w:hint="eastAsia" w:ascii="宋体" w:hAnsi="宋体" w:cs="宋体"/>
          <w:color w:val="auto"/>
          <w:sz w:val="24"/>
          <w:highlight w:val="none"/>
        </w:rPr>
      </w:pPr>
      <w:r>
        <w:rPr>
          <w:rFonts w:hint="eastAsia" w:ascii="宋体" w:hAnsi="宋体" w:cs="宋体"/>
          <w:color w:val="auto"/>
          <w:sz w:val="24"/>
          <w:highlight w:val="none"/>
        </w:rPr>
        <w:t>C.卖方未能履行合同项下任何其它义务(细微义务除外)，并且在收到买方违约通知后未能按</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中规定的期限对其违约行为作出补救。 </w:t>
      </w:r>
    </w:p>
    <w:p w14:paraId="7D7BA3AF">
      <w:pPr>
        <w:pStyle w:val="295"/>
        <w:spacing w:line="360" w:lineRule="auto"/>
        <w:ind w:left="1260" w:hanging="1260" w:hangingChars="525"/>
        <w:rPr>
          <w:rFonts w:hint="eastAsia" w:ascii="宋体" w:hAnsi="宋体" w:cs="宋体"/>
          <w:color w:val="auto"/>
          <w:sz w:val="24"/>
          <w:highlight w:val="none"/>
        </w:rPr>
      </w:pPr>
      <w:r>
        <w:rPr>
          <w:rFonts w:hint="eastAsia" w:ascii="宋体" w:hAnsi="宋体" w:cs="宋体"/>
          <w:color w:val="auto"/>
          <w:sz w:val="24"/>
          <w:highlight w:val="none"/>
        </w:rPr>
        <w:t>14.2</w:t>
      </w:r>
      <w:r>
        <w:rPr>
          <w:rFonts w:hint="eastAsia" w:ascii="宋体" w:hAnsi="宋体" w:cs="宋体"/>
          <w:color w:val="auto"/>
          <w:sz w:val="24"/>
          <w:highlight w:val="none"/>
        </w:rPr>
        <w:tab/>
      </w:r>
      <w:r>
        <w:rPr>
          <w:rFonts w:hint="eastAsia" w:ascii="宋体" w:hAnsi="宋体" w:cs="宋体"/>
          <w:color w:val="auto"/>
          <w:sz w:val="24"/>
          <w:highlight w:val="none"/>
        </w:rPr>
        <w:t xml:space="preserve">如果一方破产或发生资不抵债的情况,合同另一方有权在任何时候发出书面通知终止合同。此种情况下合同的终止不妨碍或影响行使任何可能的其它救济手段。 </w:t>
      </w:r>
    </w:p>
    <w:p w14:paraId="428169E3">
      <w:pPr>
        <w:pStyle w:val="295"/>
        <w:spacing w:line="360" w:lineRule="auto"/>
        <w:ind w:left="1260" w:hanging="1260" w:hangingChars="525"/>
        <w:rPr>
          <w:rFonts w:hint="eastAsia" w:ascii="宋体" w:hAnsi="宋体" w:cs="宋体"/>
          <w:color w:val="auto"/>
          <w:sz w:val="24"/>
          <w:highlight w:val="none"/>
        </w:rPr>
      </w:pPr>
      <w:r>
        <w:rPr>
          <w:rFonts w:hint="eastAsia" w:ascii="宋体" w:hAnsi="宋体" w:cs="宋体"/>
          <w:color w:val="auto"/>
          <w:sz w:val="24"/>
          <w:highlight w:val="none"/>
        </w:rPr>
        <w:t xml:space="preserve">14.3      如果买方认定卖方在竞标或执行合同中有腐败或欺诈行为,买方有权在任何时候发出书面通知终止合同。 </w:t>
      </w:r>
    </w:p>
    <w:p w14:paraId="45E472DB">
      <w:pPr>
        <w:pStyle w:val="295"/>
        <w:tabs>
          <w:tab w:val="left" w:pos="840"/>
        </w:tabs>
        <w:spacing w:line="360" w:lineRule="auto"/>
        <w:ind w:left="1260"/>
        <w:rPr>
          <w:rFonts w:hint="eastAsia" w:ascii="宋体" w:hAnsi="宋体" w:cs="宋体"/>
          <w:color w:val="auto"/>
          <w:sz w:val="24"/>
          <w:highlight w:val="none"/>
        </w:rPr>
      </w:pPr>
      <w:r>
        <w:rPr>
          <w:rFonts w:hint="eastAsia" w:ascii="宋体" w:hAnsi="宋体" w:cs="宋体"/>
          <w:color w:val="auto"/>
          <w:sz w:val="24"/>
          <w:highlight w:val="none"/>
        </w:rPr>
        <w:t>A.“腐败行为”系指在招标、采购和合同执行等过程中，为谋求利益、影响相关人员而提供、给予、接受或索取任何有价物的行为。</w:t>
      </w:r>
    </w:p>
    <w:p w14:paraId="1D640199">
      <w:pPr>
        <w:pStyle w:val="295"/>
        <w:tabs>
          <w:tab w:val="left" w:pos="840"/>
        </w:tabs>
        <w:spacing w:line="360" w:lineRule="auto"/>
        <w:ind w:left="1260"/>
        <w:rPr>
          <w:rFonts w:hint="eastAsia"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p>
    <w:p w14:paraId="1ED35623">
      <w:pPr>
        <w:pStyle w:val="295"/>
        <w:spacing w:line="360" w:lineRule="auto"/>
        <w:ind w:left="1154" w:hanging="1154" w:hangingChars="481"/>
        <w:jc w:val="left"/>
        <w:rPr>
          <w:rFonts w:hint="eastAsia" w:ascii="宋体" w:hAnsi="宋体" w:cs="宋体"/>
          <w:color w:val="auto"/>
          <w:sz w:val="24"/>
          <w:highlight w:val="none"/>
        </w:rPr>
      </w:pPr>
      <w:r>
        <w:rPr>
          <w:rFonts w:hint="eastAsia" w:ascii="宋体" w:hAnsi="宋体" w:cs="宋体"/>
          <w:color w:val="auto"/>
          <w:sz w:val="24"/>
          <w:highlight w:val="none"/>
        </w:rPr>
        <w:t>14.4      在买方全部或部分终止合同的情况下，卖方应按</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的规定对买方给予补偿。 </w:t>
      </w:r>
    </w:p>
    <w:p w14:paraId="48809B68">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15.争议的解决</w:t>
      </w:r>
    </w:p>
    <w:p w14:paraId="1B0BA24F">
      <w:pPr>
        <w:pStyle w:val="295"/>
        <w:spacing w:line="360" w:lineRule="auto"/>
        <w:ind w:left="1154" w:hanging="1154" w:hangingChars="481"/>
        <w:jc w:val="left"/>
        <w:rPr>
          <w:rFonts w:hint="eastAsia" w:ascii="宋体" w:hAnsi="宋体" w:cs="宋体"/>
          <w:color w:val="auto"/>
          <w:sz w:val="24"/>
          <w:highlight w:val="none"/>
        </w:rPr>
      </w:pPr>
      <w:r>
        <w:rPr>
          <w:rFonts w:hint="eastAsia" w:ascii="宋体" w:hAnsi="宋体" w:cs="宋体"/>
          <w:color w:val="auto"/>
          <w:sz w:val="24"/>
          <w:highlight w:val="none"/>
        </w:rPr>
        <w:t>15.1</w:t>
      </w:r>
      <w:r>
        <w:rPr>
          <w:rFonts w:hint="eastAsia" w:ascii="宋体" w:hAnsi="宋体" w:cs="宋体"/>
          <w:color w:val="auto"/>
          <w:sz w:val="24"/>
          <w:highlight w:val="none"/>
        </w:rPr>
        <w:tab/>
      </w:r>
      <w:r>
        <w:rPr>
          <w:rFonts w:hint="eastAsia" w:ascii="宋体" w:hAnsi="宋体" w:cs="宋体"/>
          <w:color w:val="auto"/>
          <w:sz w:val="24"/>
          <w:highlight w:val="none"/>
        </w:rPr>
        <w:t>因执行本合同所发生的或者与本合同有关的一切争议将由合同双方通过友好协商解决。如果不能协商一致，合同任何一方有权按</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的规定将争议提交仲裁机构或提交法院判决。      </w:t>
      </w:r>
    </w:p>
    <w:p w14:paraId="5458278E">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16.适用法律</w:t>
      </w:r>
    </w:p>
    <w:p w14:paraId="4A1D656E">
      <w:pPr>
        <w:pStyle w:val="295"/>
        <w:spacing w:line="360" w:lineRule="auto"/>
        <w:ind w:left="1200" w:hanging="1200" w:hangingChars="500"/>
        <w:jc w:val="left"/>
        <w:rPr>
          <w:rFonts w:ascii="宋体" w:hAnsi="宋体" w:cs="宋体"/>
          <w:color w:val="auto"/>
          <w:sz w:val="24"/>
          <w:highlight w:val="none"/>
        </w:rPr>
      </w:pPr>
      <w:r>
        <w:rPr>
          <w:rFonts w:hint="eastAsia" w:ascii="宋体" w:hAnsi="宋体" w:cs="宋体"/>
          <w:color w:val="auto"/>
          <w:sz w:val="24"/>
          <w:highlight w:val="none"/>
        </w:rPr>
        <w:t>16.1     本合同的执行和争议的解决应适用中华人民共和国的法律并按中华人民共和国的法律进行解释。</w:t>
      </w:r>
    </w:p>
    <w:p w14:paraId="2CA5CEB2">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17.合同生效及其他</w:t>
      </w:r>
    </w:p>
    <w:p w14:paraId="0F0DD14C">
      <w:pPr>
        <w:pStyle w:val="295"/>
        <w:spacing w:line="360" w:lineRule="auto"/>
        <w:rPr>
          <w:rFonts w:hint="eastAsia" w:ascii="宋体" w:hAnsi="宋体" w:cs="宋体"/>
          <w:color w:val="auto"/>
          <w:sz w:val="24"/>
          <w:highlight w:val="none"/>
        </w:rPr>
      </w:pPr>
      <w:r>
        <w:rPr>
          <w:rFonts w:hint="eastAsia" w:ascii="宋体" w:hAnsi="宋体" w:cs="宋体"/>
          <w:color w:val="auto"/>
          <w:sz w:val="24"/>
          <w:highlight w:val="none"/>
        </w:rPr>
        <w:t>17.1</w:t>
      </w:r>
      <w:r>
        <w:rPr>
          <w:rFonts w:hint="eastAsia" w:ascii="宋体" w:hAnsi="宋体" w:cs="宋体"/>
          <w:color w:val="auto"/>
          <w:sz w:val="24"/>
          <w:highlight w:val="none"/>
        </w:rPr>
        <w:tab/>
      </w:r>
      <w:r>
        <w:rPr>
          <w:rFonts w:hint="eastAsia" w:ascii="宋体" w:hAnsi="宋体" w:cs="宋体"/>
          <w:color w:val="auto"/>
          <w:sz w:val="24"/>
          <w:highlight w:val="none"/>
        </w:rPr>
        <w:t xml:space="preserve"> 本合同在</w:t>
      </w:r>
      <w:r>
        <w:rPr>
          <w:rFonts w:hint="eastAsia" w:ascii="宋体" w:hAnsi="宋体" w:cs="宋体"/>
          <w:b/>
          <w:bCs/>
          <w:color w:val="auto"/>
          <w:sz w:val="24"/>
          <w:highlight w:val="none"/>
        </w:rPr>
        <w:t>“合同专用条款”</w:t>
      </w:r>
      <w:r>
        <w:rPr>
          <w:rFonts w:hint="eastAsia" w:ascii="宋体" w:hAnsi="宋体" w:cs="宋体"/>
          <w:color w:val="auto"/>
          <w:sz w:val="24"/>
          <w:highlight w:val="none"/>
        </w:rPr>
        <w:t>规定的条件全部满足后生效。</w:t>
      </w:r>
    </w:p>
    <w:p w14:paraId="10552FE0">
      <w:pPr>
        <w:pStyle w:val="295"/>
        <w:spacing w:line="360" w:lineRule="auto"/>
        <w:ind w:left="1200" w:hanging="1200" w:hangingChars="500"/>
        <w:rPr>
          <w:rFonts w:hint="eastAsia" w:ascii="宋体" w:hAnsi="宋体" w:cs="宋体"/>
          <w:color w:val="auto"/>
          <w:sz w:val="24"/>
          <w:highlight w:val="none"/>
        </w:rPr>
      </w:pPr>
      <w:r>
        <w:rPr>
          <w:rFonts w:hint="eastAsia" w:ascii="宋体" w:hAnsi="宋体" w:cs="宋体"/>
          <w:color w:val="auto"/>
          <w:sz w:val="24"/>
          <w:highlight w:val="none"/>
        </w:rPr>
        <w:t>17.2    合同项下全部权利义务履行完毕后，本合同自动失效。合同有效期最长不超过</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规定的年限。合同到期后，合同项下任何尚未了结的债权和债务不受合同到期的影响。债务人仍应向债权人履行其义务。 </w:t>
      </w:r>
    </w:p>
    <w:p w14:paraId="3AE61BB2">
      <w:pPr>
        <w:pStyle w:val="295"/>
        <w:spacing w:line="360" w:lineRule="auto"/>
        <w:ind w:left="46" w:leftChars="22"/>
        <w:rPr>
          <w:rFonts w:hint="eastAsia" w:ascii="宋体" w:hAnsi="宋体" w:cs="宋体"/>
          <w:color w:val="auto"/>
          <w:sz w:val="24"/>
          <w:highlight w:val="none"/>
        </w:rPr>
      </w:pPr>
      <w:r>
        <w:rPr>
          <w:rFonts w:hint="eastAsia" w:ascii="宋体" w:hAnsi="宋体" w:cs="宋体"/>
          <w:color w:val="auto"/>
          <w:sz w:val="24"/>
          <w:highlight w:val="none"/>
        </w:rPr>
        <w:t xml:space="preserve">17.3    双方应各自承担中国税务机构向其征收的与执行本合同有关的税费。 </w:t>
      </w:r>
    </w:p>
    <w:p w14:paraId="320C3977">
      <w:pPr>
        <w:pStyle w:val="295"/>
        <w:spacing w:line="360" w:lineRule="auto"/>
        <w:ind w:left="1152" w:hanging="1152" w:hangingChars="480"/>
        <w:rPr>
          <w:rFonts w:hint="eastAsia" w:ascii="宋体" w:hAnsi="宋体" w:cs="宋体"/>
          <w:color w:val="auto"/>
          <w:sz w:val="24"/>
          <w:highlight w:val="none"/>
        </w:rPr>
      </w:pPr>
      <w:r>
        <w:rPr>
          <w:rFonts w:hint="eastAsia" w:ascii="宋体" w:hAnsi="宋体" w:cs="宋体"/>
          <w:color w:val="auto"/>
          <w:sz w:val="24"/>
          <w:highlight w:val="none"/>
        </w:rPr>
        <w:t>17.4     合同双方除非</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另有规定，所有合同文件及相关的修订和合同双方之间的书面联络，应使用中文书就并按中文解释。 </w:t>
      </w:r>
    </w:p>
    <w:p w14:paraId="7A120B75">
      <w:pPr>
        <w:pStyle w:val="295"/>
        <w:spacing w:line="360" w:lineRule="auto"/>
        <w:ind w:left="1152" w:hanging="1152" w:hangingChars="480"/>
        <w:rPr>
          <w:rFonts w:hint="eastAsia" w:ascii="宋体" w:hAnsi="宋体" w:cs="宋体"/>
          <w:color w:val="auto"/>
          <w:sz w:val="24"/>
          <w:highlight w:val="none"/>
        </w:rPr>
      </w:pPr>
      <w:r>
        <w:rPr>
          <w:rFonts w:hint="eastAsia" w:ascii="宋体" w:hAnsi="宋体" w:cs="宋体"/>
          <w:color w:val="auto"/>
          <w:sz w:val="24"/>
          <w:highlight w:val="none"/>
        </w:rPr>
        <w:t xml:space="preserve">17.5     对本合同条款的任何补充、增添或修改应以书面方式进行并由双方授权代表签字。 </w:t>
      </w:r>
    </w:p>
    <w:p w14:paraId="05F78F0A">
      <w:pPr>
        <w:pStyle w:val="295"/>
        <w:spacing w:line="360" w:lineRule="auto"/>
        <w:ind w:left="1152" w:hanging="1152" w:hangingChars="480"/>
        <w:rPr>
          <w:rFonts w:hint="eastAsia" w:ascii="宋体" w:hAnsi="宋体" w:cs="宋体"/>
          <w:color w:val="auto"/>
          <w:sz w:val="24"/>
          <w:highlight w:val="none"/>
        </w:rPr>
      </w:pPr>
      <w:r>
        <w:rPr>
          <w:rFonts w:hint="eastAsia" w:ascii="宋体" w:hAnsi="宋体" w:cs="宋体"/>
          <w:color w:val="auto"/>
          <w:sz w:val="24"/>
          <w:highlight w:val="none"/>
        </w:rPr>
        <w:t>17.6</w:t>
      </w:r>
      <w:r>
        <w:rPr>
          <w:rFonts w:hint="eastAsia" w:ascii="宋体" w:hAnsi="宋体" w:cs="宋体"/>
          <w:color w:val="auto"/>
          <w:sz w:val="24"/>
          <w:highlight w:val="none"/>
        </w:rPr>
        <w:tab/>
      </w:r>
      <w:r>
        <w:rPr>
          <w:rFonts w:hint="eastAsia" w:ascii="宋体" w:hAnsi="宋体" w:cs="宋体"/>
          <w:color w:val="auto"/>
          <w:sz w:val="24"/>
          <w:highlight w:val="none"/>
        </w:rPr>
        <w:t xml:space="preserve">没有另一方的事先同意，合同任何一方不得将合同项下的任何权利和义务转让给第三方。 </w:t>
      </w:r>
    </w:p>
    <w:p w14:paraId="3C71FB6C">
      <w:pPr>
        <w:pStyle w:val="295"/>
        <w:spacing w:line="360" w:lineRule="auto"/>
        <w:ind w:left="1154" w:hanging="1154" w:hangingChars="481"/>
        <w:rPr>
          <w:rFonts w:hint="eastAsia" w:ascii="宋体" w:hAnsi="宋体" w:cs="宋体"/>
          <w:color w:val="auto"/>
          <w:sz w:val="24"/>
          <w:highlight w:val="none"/>
        </w:rPr>
      </w:pPr>
      <w:r>
        <w:rPr>
          <w:rFonts w:hint="eastAsia" w:ascii="宋体" w:hAnsi="宋体" w:cs="宋体"/>
          <w:color w:val="auto"/>
          <w:sz w:val="24"/>
          <w:highlight w:val="none"/>
        </w:rPr>
        <w:t>17.7 　　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p>
    <w:p w14:paraId="196684E1">
      <w:pPr>
        <w:pStyle w:val="295"/>
        <w:spacing w:line="360" w:lineRule="auto"/>
        <w:ind w:left="1153" w:leftChars="50" w:hanging="1048" w:hangingChars="437"/>
        <w:jc w:val="left"/>
        <w:rPr>
          <w:rFonts w:hint="eastAsia" w:ascii="宋体" w:hAnsi="宋体" w:cs="宋体"/>
          <w:color w:val="auto"/>
          <w:sz w:val="24"/>
          <w:highlight w:val="none"/>
        </w:rPr>
      </w:pPr>
      <w:r>
        <w:rPr>
          <w:rFonts w:hint="eastAsia" w:ascii="宋体" w:hAnsi="宋体" w:cs="宋体"/>
          <w:color w:val="auto"/>
          <w:sz w:val="24"/>
          <w:highlight w:val="none"/>
        </w:rPr>
        <w:t>17.8     除非上下文另有要求，本文件中的单数含意包括复数，复数也包括单数。</w:t>
      </w:r>
    </w:p>
    <w:p w14:paraId="3081D3DC">
      <w:pPr>
        <w:pStyle w:val="295"/>
        <w:spacing w:line="360" w:lineRule="auto"/>
        <w:ind w:left="1154" w:hanging="1154" w:hangingChars="481"/>
        <w:jc w:val="left"/>
        <w:rPr>
          <w:rFonts w:hint="eastAsia" w:ascii="宋体" w:hAnsi="宋体" w:cs="宋体"/>
          <w:color w:val="auto"/>
          <w:sz w:val="24"/>
          <w:highlight w:val="none"/>
        </w:rPr>
      </w:pPr>
      <w:r>
        <w:rPr>
          <w:rFonts w:hint="eastAsia" w:ascii="宋体" w:hAnsi="宋体" w:cs="宋体"/>
          <w:color w:val="auto"/>
          <w:sz w:val="24"/>
          <w:highlight w:val="none"/>
        </w:rPr>
        <w:t>17.9</w:t>
      </w:r>
      <w:r>
        <w:rPr>
          <w:rFonts w:hint="eastAsia" w:ascii="宋体" w:hAnsi="宋体" w:cs="宋体"/>
          <w:color w:val="auto"/>
          <w:sz w:val="24"/>
          <w:highlight w:val="none"/>
        </w:rPr>
        <w:tab/>
      </w:r>
      <w:r>
        <w:rPr>
          <w:rFonts w:hint="eastAsia" w:ascii="宋体" w:hAnsi="宋体" w:cs="宋体"/>
          <w:color w:val="auto"/>
          <w:sz w:val="24"/>
          <w:highlight w:val="none"/>
        </w:rPr>
        <w:t>合同条款中的标题和边注仅供参考使用，不应视为合同的一部分，也不影响本文的解释。</w:t>
      </w:r>
    </w:p>
    <w:p w14:paraId="658EE3B8">
      <w:pPr>
        <w:pStyle w:val="295"/>
        <w:spacing w:line="360" w:lineRule="auto"/>
        <w:ind w:left="1198" w:leftChars="-1" w:hanging="1200" w:hangingChars="500"/>
        <w:rPr>
          <w:rFonts w:hint="eastAsia" w:ascii="宋体" w:hAnsi="宋体" w:cs="宋体"/>
          <w:color w:val="auto"/>
          <w:sz w:val="24"/>
          <w:highlight w:val="none"/>
        </w:rPr>
      </w:pPr>
      <w:r>
        <w:rPr>
          <w:rFonts w:hint="eastAsia" w:ascii="宋体" w:hAnsi="宋体" w:cs="宋体"/>
          <w:color w:val="auto"/>
          <w:sz w:val="24"/>
          <w:highlight w:val="none"/>
        </w:rPr>
        <w:t>17.10</w:t>
      </w:r>
      <w:r>
        <w:rPr>
          <w:rFonts w:hint="eastAsia" w:ascii="宋体" w:hAnsi="宋体" w:cs="宋体"/>
          <w:color w:val="auto"/>
          <w:sz w:val="24"/>
          <w:highlight w:val="none"/>
        </w:rPr>
        <w:tab/>
      </w:r>
      <w:r>
        <w:rPr>
          <w:rFonts w:hint="eastAsia" w:ascii="宋体" w:hAnsi="宋体" w:cs="宋体"/>
          <w:color w:val="auto"/>
          <w:sz w:val="24"/>
          <w:highlight w:val="none"/>
        </w:rPr>
        <w:t xml:space="preserve">合同构成买方和卖方之间就合同主要内容方面的完整协议，并且取代合同签订前所有关于这方面的通讯、协商、协议(不论是书面的，还是口头的)。 </w:t>
      </w:r>
    </w:p>
    <w:p w14:paraId="0566057A">
      <w:pPr>
        <w:pStyle w:val="295"/>
        <w:spacing w:line="360" w:lineRule="auto"/>
        <w:ind w:left="1260" w:hanging="1260" w:hangingChars="525"/>
        <w:jc w:val="left"/>
        <w:rPr>
          <w:rFonts w:hint="eastAsia" w:ascii="宋体" w:hAnsi="宋体" w:cs="宋体"/>
          <w:color w:val="auto"/>
          <w:sz w:val="24"/>
          <w:highlight w:val="none"/>
        </w:rPr>
      </w:pPr>
      <w:r>
        <w:rPr>
          <w:rFonts w:hint="eastAsia" w:ascii="宋体" w:hAnsi="宋体" w:cs="宋体"/>
          <w:color w:val="auto"/>
          <w:sz w:val="24"/>
          <w:highlight w:val="none"/>
        </w:rPr>
        <w:t>17.11     合同双方之间的一切联络往来应以书面形式按</w:t>
      </w:r>
      <w:r>
        <w:rPr>
          <w:rFonts w:hint="eastAsia" w:ascii="宋体" w:hAnsi="宋体" w:cs="宋体"/>
          <w:b/>
          <w:bCs/>
          <w:color w:val="auto"/>
          <w:sz w:val="24"/>
          <w:highlight w:val="none"/>
        </w:rPr>
        <w:t>“合同专用条款”</w:t>
      </w:r>
      <w:r>
        <w:rPr>
          <w:rFonts w:hint="eastAsia" w:ascii="宋体" w:hAnsi="宋体" w:cs="宋体"/>
          <w:color w:val="auto"/>
          <w:sz w:val="24"/>
          <w:highlight w:val="none"/>
        </w:rPr>
        <w:t xml:space="preserve">中规定的地址发往合同另一方。有关重要事项的传真应及时用挂号信或快件确认。 </w:t>
      </w:r>
    </w:p>
    <w:p w14:paraId="51A35A6E">
      <w:pPr>
        <w:pStyle w:val="295"/>
        <w:spacing w:line="360" w:lineRule="auto"/>
        <w:ind w:left="-1" w:leftChars="-135" w:hanging="282" w:hangingChars="117"/>
        <w:rPr>
          <w:rFonts w:hint="eastAsia" w:ascii="宋体"/>
          <w:b/>
          <w:bCs/>
          <w:color w:val="auto"/>
          <w:sz w:val="24"/>
          <w:highlight w:val="none"/>
        </w:rPr>
      </w:pPr>
      <w:r>
        <w:rPr>
          <w:rFonts w:hint="eastAsia" w:ascii="宋体"/>
          <w:b/>
          <w:bCs/>
          <w:color w:val="auto"/>
          <w:sz w:val="24"/>
          <w:highlight w:val="none"/>
        </w:rPr>
        <w:t>18.合同附件</w:t>
      </w:r>
    </w:p>
    <w:p w14:paraId="23FEAB77">
      <w:pPr>
        <w:pStyle w:val="295"/>
        <w:spacing w:line="360" w:lineRule="auto"/>
        <w:ind w:firstLine="1200" w:firstLineChars="500"/>
        <w:rPr>
          <w:rFonts w:hint="eastAsia" w:ascii="宋体" w:hAnsi="宋体" w:cs="宋体"/>
          <w:color w:val="auto"/>
          <w:sz w:val="24"/>
          <w:highlight w:val="none"/>
        </w:rPr>
      </w:pPr>
      <w:bookmarkStart w:id="187" w:name="_Toc24879"/>
      <w:bookmarkStart w:id="188" w:name="_Toc11970_WPSOffice_Level2"/>
      <w:r>
        <w:rPr>
          <w:rFonts w:hint="eastAsia" w:ascii="宋体" w:hAnsi="宋体" w:cs="宋体"/>
          <w:color w:val="auto"/>
          <w:sz w:val="24"/>
          <w:highlight w:val="none"/>
        </w:rPr>
        <w:t>附件1</w:t>
      </w:r>
      <w:r>
        <w:rPr>
          <w:rFonts w:hint="eastAsia" w:ascii="宋体" w:hAnsi="宋体" w:cs="宋体"/>
          <w:color w:val="auto"/>
          <w:sz w:val="24"/>
          <w:highlight w:val="none"/>
        </w:rPr>
        <w:tab/>
      </w:r>
      <w:r>
        <w:rPr>
          <w:rFonts w:hint="eastAsia" w:ascii="宋体" w:hAnsi="宋体" w:cs="宋体"/>
          <w:color w:val="auto"/>
          <w:sz w:val="24"/>
          <w:highlight w:val="none"/>
        </w:rPr>
        <w:t>供货范围和分项价格清单（略）</w:t>
      </w:r>
      <w:bookmarkEnd w:id="187"/>
      <w:bookmarkEnd w:id="188"/>
      <w:r>
        <w:rPr>
          <w:rFonts w:hint="eastAsia" w:ascii="宋体" w:hAnsi="宋体" w:cs="宋体"/>
          <w:color w:val="auto"/>
          <w:sz w:val="24"/>
          <w:highlight w:val="none"/>
        </w:rPr>
        <w:t xml:space="preserve"> </w:t>
      </w:r>
    </w:p>
    <w:p w14:paraId="6E776378">
      <w:pPr>
        <w:pStyle w:val="295"/>
        <w:spacing w:line="360" w:lineRule="auto"/>
        <w:ind w:firstLine="1200" w:firstLineChars="500"/>
        <w:rPr>
          <w:rFonts w:hint="eastAsia" w:ascii="宋体" w:hAnsi="宋体" w:cs="宋体"/>
          <w:color w:val="auto"/>
          <w:sz w:val="24"/>
          <w:highlight w:val="none"/>
        </w:rPr>
      </w:pPr>
      <w:bookmarkStart w:id="189" w:name="_Toc10250"/>
      <w:bookmarkStart w:id="190" w:name="_Toc23941_WPSOffice_Level2"/>
      <w:r>
        <w:rPr>
          <w:rFonts w:hint="eastAsia" w:ascii="宋体" w:hAnsi="宋体" w:cs="宋体"/>
          <w:color w:val="auto"/>
          <w:sz w:val="24"/>
          <w:highlight w:val="none"/>
        </w:rPr>
        <w:t xml:space="preserve">附件2 </w:t>
      </w:r>
      <w:r>
        <w:rPr>
          <w:rFonts w:hint="eastAsia" w:ascii="宋体" w:hAnsi="宋体" w:cs="宋体"/>
          <w:color w:val="auto"/>
          <w:sz w:val="24"/>
          <w:highlight w:val="none"/>
        </w:rPr>
        <w:tab/>
      </w:r>
      <w:r>
        <w:rPr>
          <w:rFonts w:hint="eastAsia" w:ascii="宋体" w:hAnsi="宋体" w:cs="宋体"/>
          <w:color w:val="auto"/>
          <w:sz w:val="24"/>
          <w:highlight w:val="none"/>
        </w:rPr>
        <w:t>技术规格、性能、保证指标和保证（略）</w:t>
      </w:r>
      <w:bookmarkEnd w:id="189"/>
      <w:bookmarkEnd w:id="190"/>
      <w:r>
        <w:rPr>
          <w:rFonts w:hint="eastAsia" w:ascii="宋体" w:hAnsi="宋体" w:cs="宋体"/>
          <w:color w:val="auto"/>
          <w:sz w:val="24"/>
          <w:highlight w:val="none"/>
        </w:rPr>
        <w:t xml:space="preserve"> </w:t>
      </w:r>
    </w:p>
    <w:p w14:paraId="36131984">
      <w:pPr>
        <w:pStyle w:val="295"/>
        <w:spacing w:line="360" w:lineRule="auto"/>
        <w:ind w:firstLine="1200" w:firstLineChars="500"/>
        <w:rPr>
          <w:rFonts w:hint="eastAsia" w:ascii="宋体" w:hAnsi="宋体" w:cs="宋体"/>
          <w:color w:val="auto"/>
          <w:sz w:val="24"/>
          <w:highlight w:val="none"/>
        </w:rPr>
      </w:pPr>
      <w:bookmarkStart w:id="191" w:name="_Toc21527_WPSOffice_Level2"/>
      <w:bookmarkStart w:id="192" w:name="_Toc22516"/>
      <w:r>
        <w:rPr>
          <w:rFonts w:hint="eastAsia" w:ascii="宋体" w:hAnsi="宋体" w:cs="宋体"/>
          <w:color w:val="auto"/>
          <w:sz w:val="24"/>
          <w:highlight w:val="none"/>
        </w:rPr>
        <w:t xml:space="preserve">附件3 </w:t>
      </w:r>
      <w:r>
        <w:rPr>
          <w:rFonts w:hint="eastAsia" w:ascii="宋体" w:hAnsi="宋体" w:cs="宋体"/>
          <w:color w:val="auto"/>
          <w:sz w:val="24"/>
          <w:highlight w:val="none"/>
        </w:rPr>
        <w:tab/>
      </w:r>
      <w:r>
        <w:rPr>
          <w:rFonts w:hint="eastAsia" w:ascii="宋体" w:hAnsi="宋体" w:cs="宋体"/>
          <w:color w:val="auto"/>
          <w:sz w:val="24"/>
          <w:highlight w:val="none"/>
        </w:rPr>
        <w:t>技术服务、技术培训和验收考核（略）</w:t>
      </w:r>
      <w:bookmarkEnd w:id="191"/>
      <w:bookmarkEnd w:id="192"/>
      <w:r>
        <w:rPr>
          <w:rFonts w:hint="eastAsia" w:ascii="宋体" w:hAnsi="宋体" w:cs="宋体"/>
          <w:color w:val="auto"/>
          <w:sz w:val="24"/>
          <w:highlight w:val="none"/>
        </w:rPr>
        <w:t xml:space="preserve"> </w:t>
      </w:r>
    </w:p>
    <w:p w14:paraId="17594A5B">
      <w:pPr>
        <w:pStyle w:val="295"/>
        <w:spacing w:line="360" w:lineRule="auto"/>
        <w:ind w:firstLine="1200" w:firstLineChars="500"/>
        <w:rPr>
          <w:rFonts w:hint="eastAsia" w:ascii="宋体" w:hAnsi="宋体" w:cs="宋体"/>
          <w:color w:val="auto"/>
          <w:sz w:val="24"/>
          <w:highlight w:val="none"/>
        </w:rPr>
      </w:pPr>
      <w:bookmarkStart w:id="193" w:name="_Toc9730_WPSOffice_Level2"/>
      <w:bookmarkStart w:id="194" w:name="_Toc5559"/>
      <w:r>
        <w:rPr>
          <w:rFonts w:hint="eastAsia" w:ascii="宋体" w:hAnsi="宋体" w:cs="宋体"/>
          <w:color w:val="auto"/>
          <w:sz w:val="24"/>
          <w:highlight w:val="none"/>
        </w:rPr>
        <w:t xml:space="preserve">附件4 </w:t>
      </w:r>
      <w:r>
        <w:rPr>
          <w:rFonts w:hint="eastAsia" w:ascii="宋体" w:hAnsi="宋体" w:cs="宋体"/>
          <w:color w:val="auto"/>
          <w:sz w:val="24"/>
          <w:highlight w:val="none"/>
        </w:rPr>
        <w:tab/>
      </w:r>
      <w:r>
        <w:rPr>
          <w:rFonts w:hint="eastAsia" w:ascii="宋体" w:hAnsi="宋体" w:cs="宋体"/>
          <w:color w:val="auto"/>
          <w:sz w:val="24"/>
          <w:highlight w:val="none"/>
        </w:rPr>
        <w:t>预付款银行保函格式</w:t>
      </w:r>
      <w:bookmarkEnd w:id="193"/>
      <w:r>
        <w:rPr>
          <w:rFonts w:hint="eastAsia" w:ascii="宋体" w:hAnsi="宋体" w:cs="宋体"/>
          <w:color w:val="auto"/>
          <w:sz w:val="24"/>
          <w:highlight w:val="none"/>
        </w:rPr>
        <w:t xml:space="preserve"> （略）</w:t>
      </w:r>
      <w:bookmarkEnd w:id="194"/>
    </w:p>
    <w:p w14:paraId="117D45A4">
      <w:pPr>
        <w:pStyle w:val="295"/>
        <w:spacing w:line="360" w:lineRule="auto"/>
        <w:ind w:firstLine="1200" w:firstLineChars="500"/>
        <w:rPr>
          <w:rFonts w:hint="eastAsia" w:ascii="宋体" w:hAnsi="宋体" w:cs="宋体"/>
          <w:color w:val="auto"/>
          <w:sz w:val="24"/>
          <w:highlight w:val="none"/>
        </w:rPr>
      </w:pPr>
    </w:p>
    <w:p w14:paraId="2430F3ED">
      <w:pPr>
        <w:pStyle w:val="295"/>
        <w:spacing w:line="360" w:lineRule="auto"/>
        <w:ind w:firstLine="1200" w:firstLineChars="500"/>
        <w:rPr>
          <w:rFonts w:hint="eastAsia" w:ascii="宋体" w:hAnsi="宋体" w:cs="宋体"/>
          <w:color w:val="auto"/>
          <w:sz w:val="24"/>
          <w:highlight w:val="none"/>
        </w:rPr>
      </w:pPr>
    </w:p>
    <w:p w14:paraId="67885CAF">
      <w:pPr>
        <w:pStyle w:val="295"/>
        <w:spacing w:line="360" w:lineRule="auto"/>
        <w:ind w:firstLine="1200" w:firstLineChars="500"/>
        <w:rPr>
          <w:rFonts w:hint="eastAsia" w:ascii="宋体" w:hAnsi="宋体" w:cs="宋体"/>
          <w:color w:val="auto"/>
          <w:sz w:val="24"/>
          <w:highlight w:val="none"/>
        </w:rPr>
      </w:pPr>
    </w:p>
    <w:p w14:paraId="77865188">
      <w:pPr>
        <w:pStyle w:val="295"/>
        <w:spacing w:line="360" w:lineRule="auto"/>
        <w:ind w:firstLine="1200" w:firstLineChars="500"/>
        <w:rPr>
          <w:rFonts w:hint="eastAsia" w:ascii="宋体" w:hAnsi="宋体" w:cs="宋体"/>
          <w:color w:val="auto"/>
          <w:sz w:val="24"/>
          <w:highlight w:val="none"/>
        </w:rPr>
      </w:pPr>
    </w:p>
    <w:p w14:paraId="0EE37CF4">
      <w:pPr>
        <w:pStyle w:val="295"/>
        <w:spacing w:line="360" w:lineRule="auto"/>
        <w:ind w:firstLine="1200" w:firstLineChars="500"/>
        <w:rPr>
          <w:rFonts w:hint="eastAsia" w:ascii="宋体" w:hAnsi="宋体" w:cs="宋体"/>
          <w:color w:val="auto"/>
          <w:sz w:val="24"/>
          <w:highlight w:val="none"/>
        </w:rPr>
      </w:pPr>
    </w:p>
    <w:p w14:paraId="0EEA4190">
      <w:pPr>
        <w:pStyle w:val="295"/>
        <w:spacing w:line="360" w:lineRule="auto"/>
        <w:ind w:firstLine="1200" w:firstLineChars="500"/>
        <w:rPr>
          <w:rFonts w:hint="eastAsia" w:ascii="宋体" w:hAnsi="宋体" w:cs="宋体"/>
          <w:color w:val="auto"/>
          <w:sz w:val="24"/>
          <w:highlight w:val="none"/>
        </w:rPr>
      </w:pPr>
    </w:p>
    <w:p w14:paraId="6B677DBD">
      <w:pPr>
        <w:pStyle w:val="295"/>
        <w:spacing w:line="360" w:lineRule="auto"/>
        <w:ind w:firstLine="1200" w:firstLineChars="500"/>
        <w:rPr>
          <w:rFonts w:hint="eastAsia" w:ascii="宋体" w:hAnsi="宋体" w:cs="宋体"/>
          <w:color w:val="auto"/>
          <w:sz w:val="24"/>
          <w:highlight w:val="none"/>
        </w:rPr>
      </w:pPr>
    </w:p>
    <w:p w14:paraId="1150E553">
      <w:pPr>
        <w:pStyle w:val="295"/>
        <w:spacing w:line="360" w:lineRule="auto"/>
        <w:ind w:firstLine="1200" w:firstLineChars="500"/>
        <w:rPr>
          <w:rFonts w:hint="eastAsia" w:ascii="宋体" w:hAnsi="宋体" w:cs="宋体"/>
          <w:color w:val="auto"/>
          <w:sz w:val="24"/>
          <w:highlight w:val="none"/>
        </w:rPr>
      </w:pPr>
    </w:p>
    <w:p w14:paraId="67F90C36">
      <w:pPr>
        <w:pStyle w:val="295"/>
        <w:spacing w:line="360" w:lineRule="auto"/>
        <w:ind w:firstLine="1200" w:firstLineChars="500"/>
        <w:rPr>
          <w:rFonts w:hint="eastAsia" w:ascii="宋体" w:hAnsi="宋体" w:cs="宋体"/>
          <w:color w:val="auto"/>
          <w:sz w:val="24"/>
          <w:highlight w:val="none"/>
        </w:rPr>
      </w:pPr>
    </w:p>
    <w:p w14:paraId="15BBA176">
      <w:pPr>
        <w:pStyle w:val="295"/>
        <w:spacing w:line="360" w:lineRule="auto"/>
        <w:ind w:firstLine="1200" w:firstLineChars="500"/>
        <w:rPr>
          <w:rFonts w:hint="eastAsia" w:ascii="宋体" w:hAnsi="宋体" w:cs="宋体"/>
          <w:color w:val="auto"/>
          <w:sz w:val="24"/>
          <w:highlight w:val="none"/>
        </w:rPr>
      </w:pPr>
    </w:p>
    <w:p w14:paraId="4A56212D">
      <w:pPr>
        <w:pStyle w:val="295"/>
        <w:spacing w:line="360" w:lineRule="auto"/>
        <w:ind w:firstLine="1200" w:firstLineChars="500"/>
        <w:rPr>
          <w:rFonts w:hint="eastAsia" w:ascii="宋体" w:hAnsi="宋体" w:cs="宋体"/>
          <w:color w:val="auto"/>
          <w:sz w:val="24"/>
          <w:highlight w:val="none"/>
        </w:rPr>
      </w:pPr>
    </w:p>
    <w:p w14:paraId="0564C1A2">
      <w:pPr>
        <w:pStyle w:val="295"/>
        <w:spacing w:line="360" w:lineRule="auto"/>
        <w:ind w:firstLine="1200" w:firstLineChars="500"/>
        <w:rPr>
          <w:rFonts w:hint="eastAsia" w:ascii="宋体" w:hAnsi="宋体" w:cs="宋体"/>
          <w:color w:val="auto"/>
          <w:sz w:val="24"/>
          <w:highlight w:val="none"/>
        </w:rPr>
      </w:pPr>
    </w:p>
    <w:p w14:paraId="5ECFE297">
      <w:pPr>
        <w:pStyle w:val="295"/>
        <w:spacing w:line="360" w:lineRule="auto"/>
        <w:ind w:firstLine="1200" w:firstLineChars="500"/>
        <w:rPr>
          <w:rFonts w:hint="eastAsia" w:ascii="宋体" w:hAnsi="宋体" w:cs="宋体"/>
          <w:color w:val="auto"/>
          <w:sz w:val="24"/>
          <w:highlight w:val="none"/>
        </w:rPr>
      </w:pPr>
    </w:p>
    <w:p w14:paraId="0C6C06A3">
      <w:pPr>
        <w:pStyle w:val="295"/>
        <w:spacing w:line="360" w:lineRule="auto"/>
        <w:ind w:firstLine="1200" w:firstLineChars="500"/>
        <w:rPr>
          <w:rFonts w:hint="eastAsia" w:ascii="宋体" w:hAnsi="宋体" w:cs="宋体"/>
          <w:color w:val="auto"/>
          <w:sz w:val="24"/>
          <w:highlight w:val="none"/>
        </w:rPr>
      </w:pPr>
    </w:p>
    <w:p w14:paraId="690F4E4E">
      <w:pPr>
        <w:pStyle w:val="295"/>
        <w:spacing w:line="360" w:lineRule="auto"/>
        <w:ind w:firstLine="1200" w:firstLineChars="500"/>
        <w:rPr>
          <w:rFonts w:hint="eastAsia" w:ascii="宋体" w:hAnsi="宋体" w:cs="宋体"/>
          <w:color w:val="auto"/>
          <w:sz w:val="24"/>
          <w:highlight w:val="none"/>
        </w:rPr>
      </w:pPr>
    </w:p>
    <w:p w14:paraId="63797031">
      <w:pPr>
        <w:pStyle w:val="295"/>
        <w:spacing w:line="360" w:lineRule="auto"/>
        <w:ind w:firstLine="1200" w:firstLineChars="500"/>
        <w:rPr>
          <w:rFonts w:hint="eastAsia" w:ascii="宋体" w:hAnsi="宋体" w:cs="宋体"/>
          <w:color w:val="auto"/>
          <w:sz w:val="24"/>
          <w:highlight w:val="none"/>
        </w:rPr>
      </w:pPr>
    </w:p>
    <w:p w14:paraId="28C8C1EB">
      <w:pPr>
        <w:pStyle w:val="295"/>
        <w:spacing w:line="360" w:lineRule="auto"/>
        <w:ind w:firstLine="1200" w:firstLineChars="500"/>
        <w:rPr>
          <w:rFonts w:hint="eastAsia" w:ascii="宋体" w:hAnsi="宋体" w:cs="宋体"/>
          <w:color w:val="auto"/>
          <w:sz w:val="24"/>
          <w:highlight w:val="none"/>
        </w:rPr>
      </w:pPr>
    </w:p>
    <w:p w14:paraId="532D8431">
      <w:pPr>
        <w:pStyle w:val="295"/>
        <w:spacing w:line="360" w:lineRule="auto"/>
        <w:ind w:firstLine="1200" w:firstLineChars="500"/>
        <w:rPr>
          <w:rFonts w:hint="eastAsia" w:ascii="宋体" w:hAnsi="宋体" w:cs="宋体"/>
          <w:color w:val="auto"/>
          <w:sz w:val="24"/>
          <w:highlight w:val="none"/>
        </w:rPr>
      </w:pPr>
    </w:p>
    <w:p w14:paraId="04FED21F">
      <w:pPr>
        <w:pStyle w:val="295"/>
        <w:spacing w:line="360" w:lineRule="auto"/>
        <w:ind w:firstLine="1200" w:firstLineChars="500"/>
        <w:rPr>
          <w:rFonts w:hint="eastAsia" w:ascii="宋体" w:hAnsi="宋体" w:cs="宋体"/>
          <w:color w:val="auto"/>
          <w:sz w:val="24"/>
          <w:highlight w:val="none"/>
        </w:rPr>
      </w:pPr>
    </w:p>
    <w:p w14:paraId="034E1BE4">
      <w:pPr>
        <w:pStyle w:val="295"/>
        <w:spacing w:line="360" w:lineRule="auto"/>
        <w:ind w:firstLine="1200" w:firstLineChars="500"/>
        <w:rPr>
          <w:rFonts w:hint="eastAsia" w:ascii="宋体" w:hAnsi="宋体" w:cs="宋体"/>
          <w:color w:val="auto"/>
          <w:sz w:val="24"/>
          <w:highlight w:val="none"/>
        </w:rPr>
      </w:pPr>
    </w:p>
    <w:p w14:paraId="0D5184D9">
      <w:pPr>
        <w:pStyle w:val="295"/>
        <w:spacing w:line="360" w:lineRule="auto"/>
        <w:ind w:firstLine="1200" w:firstLineChars="500"/>
        <w:rPr>
          <w:rFonts w:hint="eastAsia" w:ascii="宋体" w:hAnsi="宋体" w:cs="宋体"/>
          <w:color w:val="auto"/>
          <w:sz w:val="24"/>
          <w:highlight w:val="none"/>
        </w:rPr>
      </w:pPr>
    </w:p>
    <w:p w14:paraId="10578FA3">
      <w:pPr>
        <w:pStyle w:val="295"/>
        <w:jc w:val="center"/>
        <w:outlineLvl w:val="1"/>
        <w:rPr>
          <w:rFonts w:ascii="黑体" w:eastAsia="黑体"/>
          <w:b/>
          <w:color w:val="auto"/>
          <w:sz w:val="32"/>
          <w:highlight w:val="none"/>
        </w:rPr>
      </w:pPr>
      <w:bookmarkStart w:id="195" w:name="_Toc5797"/>
      <w:bookmarkStart w:id="196" w:name="_Toc30826"/>
      <w:bookmarkStart w:id="197" w:name="_Toc8985"/>
      <w:bookmarkStart w:id="198" w:name="_Toc5321_WPSOffice_Level2"/>
      <w:r>
        <w:rPr>
          <w:rFonts w:hint="eastAsia" w:ascii="黑体" w:eastAsia="黑体"/>
          <w:b/>
          <w:color w:val="auto"/>
          <w:sz w:val="32"/>
          <w:highlight w:val="none"/>
        </w:rPr>
        <w:t>合同专用条款</w:t>
      </w:r>
      <w:bookmarkEnd w:id="195"/>
      <w:bookmarkEnd w:id="196"/>
      <w:bookmarkEnd w:id="197"/>
      <w:bookmarkEnd w:id="198"/>
    </w:p>
    <w:p w14:paraId="4671477C">
      <w:pPr>
        <w:pStyle w:val="294"/>
        <w:spacing w:line="240" w:lineRule="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下述关于要采购的货物的具体资料是对招标文件第五部分合同通用条款的主要内容的具体补充和修改，如果与招标文件第五部分合同通用条款有矛盾的话，应以本资料表为准。</w:t>
      </w:r>
    </w:p>
    <w:tbl>
      <w:tblPr>
        <w:tblStyle w:val="33"/>
        <w:tblW w:w="0" w:type="auto"/>
        <w:tblInd w:w="34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1114"/>
        <w:gridCol w:w="8400"/>
      </w:tblGrid>
      <w:tr w14:paraId="2CFBAC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9" w:hRule="atLeast"/>
        </w:trPr>
        <w:tc>
          <w:tcPr>
            <w:tcW w:w="1114" w:type="dxa"/>
            <w:tcBorders>
              <w:top w:val="single" w:color="auto" w:sz="12" w:space="0"/>
            </w:tcBorders>
            <w:shd w:val="clear" w:color="auto" w:fill="FFFFFF"/>
            <w:noWrap w:val="0"/>
            <w:vAlign w:val="center"/>
          </w:tcPr>
          <w:p w14:paraId="64B65AC7">
            <w:pPr>
              <w:jc w:val="center"/>
              <w:rPr>
                <w:rFonts w:ascii="宋体" w:hAnsi="Calibri"/>
                <w:color w:val="auto"/>
                <w:sz w:val="24"/>
                <w:highlight w:val="none"/>
              </w:rPr>
            </w:pPr>
            <w:r>
              <w:rPr>
                <w:rFonts w:hint="eastAsia" w:ascii="宋体" w:hAnsi="Calibri"/>
                <w:color w:val="auto"/>
                <w:sz w:val="24"/>
                <w:highlight w:val="none"/>
              </w:rPr>
              <w:t>条款号</w:t>
            </w:r>
          </w:p>
        </w:tc>
        <w:tc>
          <w:tcPr>
            <w:tcW w:w="8400" w:type="dxa"/>
            <w:tcBorders>
              <w:top w:val="single" w:color="auto" w:sz="12" w:space="0"/>
            </w:tcBorders>
            <w:shd w:val="clear" w:color="auto" w:fill="FFFFFF"/>
            <w:noWrap w:val="0"/>
            <w:vAlign w:val="center"/>
          </w:tcPr>
          <w:p w14:paraId="3AC9911B">
            <w:pPr>
              <w:jc w:val="center"/>
              <w:rPr>
                <w:rFonts w:ascii="宋体" w:hAnsi="Calibri"/>
                <w:color w:val="auto"/>
                <w:sz w:val="24"/>
                <w:highlight w:val="none"/>
              </w:rPr>
            </w:pPr>
            <w:r>
              <w:rPr>
                <w:rFonts w:hint="eastAsia" w:ascii="宋体" w:hAnsi="Calibri"/>
                <w:color w:val="auto"/>
                <w:sz w:val="24"/>
                <w:highlight w:val="none"/>
              </w:rPr>
              <w:t>内                     容</w:t>
            </w:r>
          </w:p>
        </w:tc>
      </w:tr>
      <w:tr w14:paraId="3469AC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7" w:hRule="atLeast"/>
        </w:trPr>
        <w:tc>
          <w:tcPr>
            <w:tcW w:w="1114" w:type="dxa"/>
            <w:shd w:val="clear" w:color="auto" w:fill="FFFFFF"/>
            <w:noWrap w:val="0"/>
            <w:vAlign w:val="center"/>
          </w:tcPr>
          <w:p w14:paraId="1BE61F7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8400" w:type="dxa"/>
            <w:shd w:val="clear" w:color="auto" w:fill="FFFFFF"/>
            <w:noWrap w:val="0"/>
            <w:vAlign w:val="center"/>
          </w:tcPr>
          <w:p w14:paraId="382F538F">
            <w:pPr>
              <w:rPr>
                <w:rFonts w:hint="eastAsia" w:ascii="宋体" w:hAnsi="Calibri" w:eastAsia="宋体"/>
                <w:color w:val="auto"/>
                <w:sz w:val="24"/>
                <w:highlight w:val="none"/>
                <w:lang w:eastAsia="zh-CN"/>
              </w:rPr>
            </w:pPr>
            <w:r>
              <w:rPr>
                <w:rFonts w:hint="eastAsia" w:ascii="宋体" w:hAnsi="Calibri"/>
                <w:color w:val="auto"/>
                <w:sz w:val="24"/>
                <w:highlight w:val="none"/>
              </w:rPr>
              <w:t>买方：</w:t>
            </w:r>
            <w:r>
              <w:rPr>
                <w:rFonts w:hint="eastAsia" w:ascii="宋体" w:hAnsi="宋体" w:eastAsia="宋体" w:cs="宋体"/>
                <w:color w:val="auto"/>
                <w:sz w:val="24"/>
                <w:szCs w:val="24"/>
                <w:highlight w:val="none"/>
                <w:lang w:eastAsia="zh-CN"/>
              </w:rPr>
              <w:t>南京市江宁医院</w:t>
            </w:r>
          </w:p>
        </w:tc>
      </w:tr>
      <w:tr w14:paraId="0EBC6C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2" w:hRule="exact"/>
        </w:trPr>
        <w:tc>
          <w:tcPr>
            <w:tcW w:w="1114" w:type="dxa"/>
            <w:tcBorders>
              <w:bottom w:val="single" w:color="auto" w:sz="4" w:space="0"/>
            </w:tcBorders>
            <w:shd w:val="clear" w:color="auto" w:fill="FFFFFF"/>
            <w:noWrap w:val="0"/>
            <w:vAlign w:val="center"/>
          </w:tcPr>
          <w:p w14:paraId="5A6E362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8400" w:type="dxa"/>
            <w:tcBorders>
              <w:bottom w:val="single" w:color="auto" w:sz="4" w:space="0"/>
            </w:tcBorders>
            <w:shd w:val="clear" w:color="auto" w:fill="FFFFFF"/>
            <w:noWrap w:val="0"/>
            <w:vAlign w:val="center"/>
          </w:tcPr>
          <w:p w14:paraId="71E50005">
            <w:pPr>
              <w:rPr>
                <w:rFonts w:ascii="宋体" w:hAnsi="Calibri"/>
                <w:color w:val="auto"/>
                <w:sz w:val="24"/>
                <w:highlight w:val="none"/>
              </w:rPr>
            </w:pPr>
            <w:r>
              <w:rPr>
                <w:rFonts w:hint="eastAsia" w:ascii="宋体" w:hAnsi="Calibri"/>
                <w:color w:val="auto"/>
                <w:sz w:val="24"/>
                <w:highlight w:val="none"/>
              </w:rPr>
              <w:t>卖方：待定。</w:t>
            </w:r>
          </w:p>
        </w:tc>
      </w:tr>
      <w:tr w14:paraId="4A7F3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1114" w:type="dxa"/>
            <w:tcBorders>
              <w:top w:val="single" w:color="auto" w:sz="4" w:space="0"/>
              <w:bottom w:val="single" w:color="auto" w:sz="4" w:space="0"/>
            </w:tcBorders>
            <w:shd w:val="clear" w:color="auto" w:fill="FFFFFF"/>
            <w:noWrap w:val="0"/>
            <w:vAlign w:val="center"/>
          </w:tcPr>
          <w:p w14:paraId="4BE7257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8400" w:type="dxa"/>
            <w:tcBorders>
              <w:top w:val="single" w:color="auto" w:sz="4" w:space="0"/>
              <w:bottom w:val="single" w:color="auto" w:sz="4" w:space="0"/>
            </w:tcBorders>
            <w:shd w:val="clear" w:color="auto" w:fill="FFFFFF"/>
            <w:noWrap w:val="0"/>
            <w:vAlign w:val="center"/>
          </w:tcPr>
          <w:p w14:paraId="36EC21C4">
            <w:pPr>
              <w:rPr>
                <w:rFonts w:ascii="宋体" w:hAnsi="Calibri"/>
                <w:color w:val="auto"/>
                <w:sz w:val="24"/>
                <w:highlight w:val="none"/>
              </w:rPr>
            </w:pPr>
            <w:r>
              <w:rPr>
                <w:rFonts w:hint="eastAsia" w:ascii="宋体" w:hAnsi="Calibri"/>
                <w:color w:val="auto"/>
                <w:sz w:val="24"/>
                <w:highlight w:val="none"/>
              </w:rPr>
              <w:t>工作现场：</w:t>
            </w:r>
            <w:r>
              <w:rPr>
                <w:rFonts w:hint="eastAsia" w:ascii="宋体" w:hAnsi="宋体" w:eastAsia="宋体" w:cs="宋体"/>
                <w:color w:val="auto"/>
                <w:sz w:val="24"/>
                <w:szCs w:val="24"/>
                <w:highlight w:val="none"/>
                <w:lang w:eastAsia="zh-CN"/>
              </w:rPr>
              <w:t>南京市江宁医院</w:t>
            </w:r>
            <w:r>
              <w:rPr>
                <w:rFonts w:hint="eastAsia" w:ascii="Calibri" w:hAnsi="Calibri"/>
                <w:color w:val="auto"/>
                <w:sz w:val="24"/>
                <w:highlight w:val="none"/>
              </w:rPr>
              <w:t>指定地点</w:t>
            </w:r>
          </w:p>
        </w:tc>
      </w:tr>
      <w:tr w14:paraId="293F6C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309" w:hRule="atLeast"/>
        </w:trPr>
        <w:tc>
          <w:tcPr>
            <w:tcW w:w="1114" w:type="dxa"/>
            <w:tcBorders>
              <w:top w:val="single" w:color="auto" w:sz="4" w:space="0"/>
              <w:bottom w:val="single" w:color="auto" w:sz="4" w:space="0"/>
            </w:tcBorders>
            <w:shd w:val="clear" w:color="auto" w:fill="FFFFFF"/>
            <w:noWrap w:val="0"/>
            <w:vAlign w:val="center"/>
          </w:tcPr>
          <w:p w14:paraId="55E1CA5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1.14</w:t>
            </w:r>
          </w:p>
        </w:tc>
        <w:tc>
          <w:tcPr>
            <w:tcW w:w="8400" w:type="dxa"/>
            <w:tcBorders>
              <w:top w:val="single" w:color="auto" w:sz="4" w:space="0"/>
              <w:bottom w:val="single" w:color="auto" w:sz="4" w:space="0"/>
            </w:tcBorders>
            <w:shd w:val="clear" w:color="auto" w:fill="FFFFFF"/>
            <w:noWrap w:val="0"/>
            <w:vAlign w:val="center"/>
          </w:tcPr>
          <w:p w14:paraId="43BEA6FE">
            <w:pPr>
              <w:rPr>
                <w:rFonts w:ascii="宋体" w:hAnsi="Calibri"/>
                <w:color w:val="auto"/>
                <w:sz w:val="24"/>
                <w:highlight w:val="none"/>
              </w:rPr>
            </w:pPr>
            <w:r>
              <w:rPr>
                <w:rFonts w:hint="eastAsia" w:ascii="宋体" w:hAnsi="Calibri"/>
                <w:color w:val="auto"/>
                <w:sz w:val="24"/>
                <w:highlight w:val="none"/>
              </w:rPr>
              <w:t>合同货币：</w:t>
            </w:r>
            <w:r>
              <w:rPr>
                <w:rFonts w:hint="eastAsia" w:ascii="宋体" w:hAnsi="宋体"/>
                <w:color w:val="auto"/>
                <w:sz w:val="24"/>
                <w:highlight w:val="none"/>
              </w:rPr>
              <w:t>人民币</w:t>
            </w:r>
          </w:p>
        </w:tc>
      </w:tr>
      <w:tr w14:paraId="11B8A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758" w:hRule="atLeast"/>
        </w:trPr>
        <w:tc>
          <w:tcPr>
            <w:tcW w:w="1114" w:type="dxa"/>
            <w:tcBorders>
              <w:top w:val="single" w:color="auto" w:sz="4" w:space="0"/>
            </w:tcBorders>
            <w:shd w:val="clear" w:color="auto" w:fill="FFFFFF"/>
            <w:noWrap w:val="0"/>
            <w:vAlign w:val="center"/>
          </w:tcPr>
          <w:p w14:paraId="2AFAB38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2.2</w:t>
            </w:r>
          </w:p>
        </w:tc>
        <w:tc>
          <w:tcPr>
            <w:tcW w:w="8400" w:type="dxa"/>
            <w:tcBorders>
              <w:top w:val="single" w:color="auto" w:sz="4" w:space="0"/>
            </w:tcBorders>
            <w:shd w:val="clear" w:color="auto" w:fill="FFFFFF"/>
            <w:noWrap w:val="0"/>
            <w:vAlign w:val="center"/>
          </w:tcPr>
          <w:p w14:paraId="0238A795">
            <w:pPr>
              <w:rPr>
                <w:rFonts w:ascii="宋体" w:hAnsi="Calibri"/>
                <w:color w:val="auto"/>
                <w:sz w:val="24"/>
                <w:highlight w:val="none"/>
              </w:rPr>
            </w:pPr>
            <w:r>
              <w:rPr>
                <w:rFonts w:hint="eastAsia" w:ascii="宋体" w:hAnsi="Calibri"/>
                <w:color w:val="auto"/>
                <w:sz w:val="24"/>
                <w:highlight w:val="none"/>
              </w:rPr>
              <w:t>合同货物的原产地：待定</w:t>
            </w:r>
          </w:p>
          <w:p w14:paraId="5AEB86F4">
            <w:pPr>
              <w:rPr>
                <w:rFonts w:ascii="宋体" w:hAnsi="Calibri"/>
                <w:color w:val="auto"/>
                <w:sz w:val="24"/>
                <w:highlight w:val="none"/>
              </w:rPr>
            </w:pPr>
            <w:r>
              <w:rPr>
                <w:rFonts w:hint="eastAsia" w:ascii="宋体" w:hAnsi="Calibri"/>
                <w:color w:val="auto"/>
                <w:sz w:val="24"/>
                <w:highlight w:val="none"/>
              </w:rPr>
              <w:t>合同货物的制造商：待定</w:t>
            </w:r>
          </w:p>
        </w:tc>
      </w:tr>
      <w:tr w14:paraId="1EE04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395" w:hRule="atLeast"/>
        </w:trPr>
        <w:tc>
          <w:tcPr>
            <w:tcW w:w="1114" w:type="dxa"/>
            <w:tcBorders>
              <w:top w:val="single" w:color="auto" w:sz="4" w:space="0"/>
            </w:tcBorders>
            <w:shd w:val="clear" w:color="auto" w:fill="FFFFFF"/>
            <w:noWrap w:val="0"/>
            <w:vAlign w:val="center"/>
          </w:tcPr>
          <w:p w14:paraId="6DCB31F0">
            <w:pPr>
              <w:jc w:val="center"/>
              <w:rPr>
                <w:rFonts w:hint="eastAsia" w:ascii="宋体" w:hAnsi="宋体" w:eastAsia="宋体" w:cs="宋体"/>
                <w:color w:val="auto"/>
                <w:sz w:val="24"/>
                <w:highlight w:val="none"/>
              </w:rPr>
            </w:pPr>
            <w:r>
              <w:rPr>
                <w:rFonts w:hint="eastAsia" w:ascii="宋体" w:hAnsi="宋体" w:cs="宋体"/>
                <w:color w:val="auto"/>
                <w:sz w:val="24"/>
                <w:highlight w:val="none"/>
              </w:rPr>
              <w:t>★</w:t>
            </w:r>
            <w:r>
              <w:rPr>
                <w:rFonts w:hint="eastAsia" w:ascii="宋体" w:hAnsi="宋体" w:eastAsia="宋体" w:cs="宋体"/>
                <w:color w:val="auto"/>
                <w:sz w:val="24"/>
                <w:highlight w:val="none"/>
              </w:rPr>
              <w:t>4.1</w:t>
            </w:r>
          </w:p>
        </w:tc>
        <w:tc>
          <w:tcPr>
            <w:tcW w:w="8400" w:type="dxa"/>
            <w:tcBorders>
              <w:top w:val="single" w:color="auto" w:sz="4" w:space="0"/>
            </w:tcBorders>
            <w:shd w:val="clear" w:color="auto" w:fill="FFFFFF"/>
            <w:noWrap w:val="0"/>
            <w:vAlign w:val="center"/>
          </w:tcPr>
          <w:p w14:paraId="20DC8689">
            <w:pPr>
              <w:rPr>
                <w:rFonts w:hint="eastAsia" w:ascii="宋体" w:hAnsi="Calibri"/>
                <w:color w:val="auto"/>
                <w:sz w:val="24"/>
                <w:highlight w:val="none"/>
              </w:rPr>
            </w:pPr>
            <w:r>
              <w:rPr>
                <w:rFonts w:hint="eastAsia" w:ascii="宋体" w:hAnsi="Calibri"/>
                <w:color w:val="auto"/>
                <w:sz w:val="24"/>
                <w:highlight w:val="none"/>
              </w:rPr>
              <w:t>付款方式：</w:t>
            </w:r>
          </w:p>
          <w:p w14:paraId="1F273CE3">
            <w:pPr>
              <w:rPr>
                <w:rFonts w:hint="eastAsia" w:ascii="宋体" w:hAnsi="Calibri"/>
                <w:color w:val="auto"/>
                <w:sz w:val="24"/>
                <w:highlight w:val="none"/>
              </w:rPr>
            </w:pPr>
            <w:r>
              <w:rPr>
                <w:rFonts w:hint="eastAsia" w:ascii="宋体" w:hAnsi="Calibri" w:eastAsia="Times New Roman" w:cs="Times New Roman"/>
                <w:color w:val="auto"/>
                <w:sz w:val="24"/>
                <w:highlight w:val="none"/>
              </w:rPr>
              <w:t>设备交付并安装调试完毕，验收合格后支付合同总价的90%，设备运行一年后，无质量问题及重大缺陷支付合同总价的10%</w:t>
            </w:r>
            <w:r>
              <w:rPr>
                <w:rFonts w:hint="eastAsia" w:ascii="宋体" w:hAnsi="Calibri" w:eastAsia="宋体" w:cs="Times New Roman"/>
                <w:color w:val="auto"/>
                <w:sz w:val="24"/>
                <w:highlight w:val="none"/>
                <w:lang w:eastAsia="zh-CN"/>
              </w:rPr>
              <w:t>。</w:t>
            </w:r>
          </w:p>
        </w:tc>
      </w:tr>
      <w:tr w14:paraId="7DE48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50" w:hRule="atLeast"/>
        </w:trPr>
        <w:tc>
          <w:tcPr>
            <w:tcW w:w="1114" w:type="dxa"/>
            <w:shd w:val="clear" w:color="auto" w:fill="FFFFFF"/>
            <w:noWrap w:val="0"/>
            <w:vAlign w:val="center"/>
          </w:tcPr>
          <w:p w14:paraId="27E61EA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6.1</w:t>
            </w:r>
          </w:p>
        </w:tc>
        <w:tc>
          <w:tcPr>
            <w:tcW w:w="8400" w:type="dxa"/>
            <w:shd w:val="clear" w:color="auto" w:fill="FFFFFF"/>
            <w:noWrap w:val="0"/>
            <w:vAlign w:val="center"/>
          </w:tcPr>
          <w:p w14:paraId="04DBF6F1">
            <w:pPr>
              <w:rPr>
                <w:rFonts w:ascii="宋体" w:hAnsi="Calibri"/>
                <w:color w:val="auto"/>
                <w:sz w:val="24"/>
                <w:highlight w:val="none"/>
              </w:rPr>
            </w:pPr>
            <w:r>
              <w:rPr>
                <w:rFonts w:hint="eastAsia" w:ascii="宋体" w:hAnsi="Calibri"/>
                <w:color w:val="auto"/>
                <w:sz w:val="24"/>
                <w:highlight w:val="none"/>
              </w:rPr>
              <w:t>卖方需提供货物大约净重、总毛量、总体积等技术资料</w:t>
            </w:r>
          </w:p>
        </w:tc>
      </w:tr>
      <w:tr w14:paraId="2DD74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rPr>
        <w:tc>
          <w:tcPr>
            <w:tcW w:w="1114" w:type="dxa"/>
            <w:shd w:val="clear" w:color="auto" w:fill="FFFFFF"/>
            <w:noWrap w:val="0"/>
            <w:vAlign w:val="center"/>
          </w:tcPr>
          <w:p w14:paraId="24D129F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6.2</w:t>
            </w:r>
          </w:p>
        </w:tc>
        <w:tc>
          <w:tcPr>
            <w:tcW w:w="8400" w:type="dxa"/>
            <w:shd w:val="clear" w:color="auto" w:fill="FFFFFF"/>
            <w:noWrap w:val="0"/>
            <w:vAlign w:val="center"/>
          </w:tcPr>
          <w:p w14:paraId="0B89C356">
            <w:pPr>
              <w:rPr>
                <w:rFonts w:ascii="宋体" w:hAnsi="Calibri"/>
                <w:color w:val="auto"/>
                <w:sz w:val="24"/>
                <w:highlight w:val="none"/>
              </w:rPr>
            </w:pPr>
            <w:r>
              <w:rPr>
                <w:rFonts w:hint="eastAsia" w:ascii="宋体" w:hAnsi="Calibri"/>
                <w:color w:val="auto"/>
                <w:sz w:val="24"/>
                <w:highlight w:val="none"/>
              </w:rPr>
              <w:t>交货条件及时限：详见货物需求一览表</w:t>
            </w:r>
          </w:p>
          <w:p w14:paraId="463FAC86">
            <w:pPr>
              <w:rPr>
                <w:rFonts w:ascii="宋体" w:hAnsi="Calibri"/>
                <w:color w:val="auto"/>
                <w:sz w:val="24"/>
                <w:highlight w:val="none"/>
              </w:rPr>
            </w:pPr>
            <w:r>
              <w:rPr>
                <w:rFonts w:hint="eastAsia" w:ascii="宋体" w:hAnsi="Calibri"/>
                <w:color w:val="auto"/>
                <w:sz w:val="24"/>
                <w:highlight w:val="none"/>
              </w:rPr>
              <w:t>投标人应在“投标报价汇总表”中详细说明“</w:t>
            </w:r>
            <w:r>
              <w:rPr>
                <w:rFonts w:hint="eastAsia" w:ascii="宋体" w:hAnsi="宋体"/>
                <w:color w:val="auto"/>
                <w:sz w:val="24"/>
                <w:highlight w:val="none"/>
              </w:rPr>
              <w:t>合同签订后货到项目现场的天数（日历日）”，及“接到买方送货通知后所需完成送货的天数（日历日）”。</w:t>
            </w:r>
          </w:p>
        </w:tc>
      </w:tr>
      <w:tr w14:paraId="00528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114" w:type="dxa"/>
            <w:shd w:val="clear" w:color="auto" w:fill="FFFFFF"/>
            <w:noWrap w:val="0"/>
            <w:vAlign w:val="center"/>
          </w:tcPr>
          <w:p w14:paraId="7136BA5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6.3</w:t>
            </w:r>
          </w:p>
        </w:tc>
        <w:tc>
          <w:tcPr>
            <w:tcW w:w="8400" w:type="dxa"/>
            <w:shd w:val="clear" w:color="auto" w:fill="FFFFFF"/>
            <w:noWrap w:val="0"/>
            <w:vAlign w:val="center"/>
          </w:tcPr>
          <w:p w14:paraId="05A684F8">
            <w:pPr>
              <w:rPr>
                <w:rFonts w:ascii="宋体" w:hAnsi="Calibri"/>
                <w:color w:val="auto"/>
                <w:sz w:val="24"/>
                <w:highlight w:val="none"/>
              </w:rPr>
            </w:pPr>
            <w:r>
              <w:rPr>
                <w:rFonts w:hint="eastAsia" w:ascii="宋体" w:hAnsi="Calibri"/>
                <w:color w:val="auto"/>
                <w:sz w:val="24"/>
                <w:highlight w:val="none"/>
              </w:rPr>
              <w:t>装运地点：待定</w:t>
            </w:r>
          </w:p>
        </w:tc>
      </w:tr>
      <w:tr w14:paraId="78616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39" w:hRule="atLeast"/>
        </w:trPr>
        <w:tc>
          <w:tcPr>
            <w:tcW w:w="1114" w:type="dxa"/>
            <w:shd w:val="clear" w:color="auto" w:fill="FFFFFF"/>
            <w:noWrap w:val="0"/>
            <w:vAlign w:val="center"/>
          </w:tcPr>
          <w:p w14:paraId="1B5811E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6.4</w:t>
            </w:r>
          </w:p>
        </w:tc>
        <w:tc>
          <w:tcPr>
            <w:tcW w:w="8400" w:type="dxa"/>
            <w:shd w:val="clear" w:color="auto" w:fill="FFFFFF"/>
            <w:noWrap w:val="0"/>
            <w:vAlign w:val="center"/>
          </w:tcPr>
          <w:p w14:paraId="39B9EBB9">
            <w:pPr>
              <w:rPr>
                <w:rFonts w:ascii="宋体" w:hAnsi="Calibri"/>
                <w:color w:val="auto"/>
                <w:sz w:val="24"/>
                <w:highlight w:val="none"/>
              </w:rPr>
            </w:pPr>
            <w:r>
              <w:rPr>
                <w:rFonts w:hint="eastAsia" w:ascii="宋体" w:hAnsi="Calibri"/>
                <w:color w:val="auto"/>
                <w:sz w:val="24"/>
                <w:highlight w:val="none"/>
              </w:rPr>
              <w:t>卸货地点：医院现场</w:t>
            </w:r>
          </w:p>
        </w:tc>
      </w:tr>
      <w:tr w14:paraId="02357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114" w:type="dxa"/>
            <w:shd w:val="clear" w:color="auto" w:fill="FFFFFF"/>
            <w:noWrap w:val="0"/>
            <w:vAlign w:val="center"/>
          </w:tcPr>
          <w:p w14:paraId="2DC3E0B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6.5</w:t>
            </w:r>
          </w:p>
        </w:tc>
        <w:tc>
          <w:tcPr>
            <w:tcW w:w="8400" w:type="dxa"/>
            <w:shd w:val="clear" w:color="auto" w:fill="FFFFFF"/>
            <w:noWrap w:val="0"/>
            <w:vAlign w:val="center"/>
          </w:tcPr>
          <w:p w14:paraId="07D6A3AD">
            <w:pPr>
              <w:rPr>
                <w:rFonts w:ascii="宋体" w:hAnsi="Calibri"/>
                <w:color w:val="auto"/>
                <w:sz w:val="24"/>
                <w:highlight w:val="none"/>
              </w:rPr>
            </w:pPr>
            <w:r>
              <w:rPr>
                <w:rFonts w:hint="eastAsia" w:ascii="宋体" w:hAnsi="Calibri"/>
                <w:color w:val="auto"/>
                <w:sz w:val="24"/>
                <w:highlight w:val="none"/>
              </w:rPr>
              <w:t>发运前7天。</w:t>
            </w:r>
          </w:p>
        </w:tc>
      </w:tr>
      <w:tr w14:paraId="570300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114" w:type="dxa"/>
            <w:shd w:val="clear" w:color="auto" w:fill="FFFFFF"/>
            <w:noWrap w:val="0"/>
            <w:vAlign w:val="center"/>
          </w:tcPr>
          <w:p w14:paraId="4869946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6.6</w:t>
            </w:r>
          </w:p>
        </w:tc>
        <w:tc>
          <w:tcPr>
            <w:tcW w:w="8400" w:type="dxa"/>
            <w:shd w:val="clear" w:color="auto" w:fill="FFFFFF"/>
            <w:noWrap w:val="0"/>
            <w:vAlign w:val="center"/>
          </w:tcPr>
          <w:p w14:paraId="0B335C03">
            <w:pPr>
              <w:rPr>
                <w:rFonts w:ascii="宋体" w:hAnsi="Calibri"/>
                <w:color w:val="auto"/>
                <w:sz w:val="24"/>
                <w:highlight w:val="none"/>
              </w:rPr>
            </w:pPr>
            <w:r>
              <w:rPr>
                <w:rFonts w:hint="eastAsia" w:ascii="宋体" w:hAnsi="宋体"/>
                <w:color w:val="auto"/>
                <w:sz w:val="24"/>
                <w:highlight w:val="none"/>
              </w:rPr>
              <w:t>卖方每逾期一周交货，按设备总价的5‰收取滞纳金；</w:t>
            </w:r>
            <w:r>
              <w:rPr>
                <w:rFonts w:hint="eastAsia" w:ascii="宋体" w:hAnsi="Calibri"/>
                <w:color w:val="auto"/>
                <w:sz w:val="24"/>
                <w:highlight w:val="none"/>
              </w:rPr>
              <w:t>如逾期时间超过6周</w:t>
            </w:r>
            <w:r>
              <w:rPr>
                <w:rFonts w:hint="eastAsia" w:ascii="Calibri" w:hAnsi="Calibri"/>
                <w:color w:val="auto"/>
                <w:sz w:val="24"/>
                <w:highlight w:val="none"/>
              </w:rPr>
              <w:t>仍未能交付全部或部分设备，</w:t>
            </w:r>
            <w:r>
              <w:rPr>
                <w:rFonts w:hint="eastAsia" w:ascii="宋体" w:hAnsi="Calibri"/>
                <w:color w:val="auto"/>
                <w:sz w:val="24"/>
                <w:highlight w:val="none"/>
              </w:rPr>
              <w:t>在不妨碍买方其他救济手段的情况下，</w:t>
            </w:r>
            <w:r>
              <w:rPr>
                <w:rFonts w:hint="eastAsia" w:ascii="Calibri" w:hAnsi="Calibri"/>
                <w:color w:val="auto"/>
                <w:sz w:val="24"/>
                <w:highlight w:val="none"/>
              </w:rPr>
              <w:t>买方可以向卖方发出书面违约通知从而全部或部分地终止合同，并向卖方索赔。</w:t>
            </w:r>
          </w:p>
        </w:tc>
      </w:tr>
      <w:tr w14:paraId="33DFD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114" w:type="dxa"/>
            <w:tcBorders>
              <w:bottom w:val="single" w:color="auto" w:sz="6" w:space="0"/>
            </w:tcBorders>
            <w:shd w:val="clear" w:color="auto" w:fill="FFFFFF"/>
            <w:noWrap w:val="0"/>
            <w:vAlign w:val="center"/>
          </w:tcPr>
          <w:p w14:paraId="06153F6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8.1</w:t>
            </w:r>
          </w:p>
        </w:tc>
        <w:tc>
          <w:tcPr>
            <w:tcW w:w="8400" w:type="dxa"/>
            <w:shd w:val="clear" w:color="auto" w:fill="FFFFFF"/>
            <w:noWrap w:val="0"/>
            <w:vAlign w:val="center"/>
          </w:tcPr>
          <w:p w14:paraId="02620032">
            <w:pPr>
              <w:ind w:left="360" w:hanging="360" w:hangingChars="150"/>
              <w:rPr>
                <w:rFonts w:ascii="宋体" w:hAnsi="Calibri"/>
                <w:bCs/>
                <w:color w:val="auto"/>
                <w:sz w:val="24"/>
                <w:highlight w:val="none"/>
              </w:rPr>
            </w:pPr>
            <w:r>
              <w:rPr>
                <w:rFonts w:hint="eastAsia" w:ascii="宋体" w:hAnsi="Calibri"/>
                <w:bCs/>
                <w:color w:val="auto"/>
                <w:sz w:val="24"/>
                <w:highlight w:val="none"/>
              </w:rPr>
              <w:t>买方提供产品合格证书及说明书。</w:t>
            </w:r>
          </w:p>
        </w:tc>
      </w:tr>
      <w:tr w14:paraId="12105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39" w:hRule="atLeast"/>
        </w:trPr>
        <w:tc>
          <w:tcPr>
            <w:tcW w:w="1114" w:type="dxa"/>
            <w:tcBorders>
              <w:bottom w:val="single" w:color="auto" w:sz="6" w:space="0"/>
            </w:tcBorders>
            <w:shd w:val="clear" w:color="auto" w:fill="FFFFFF"/>
            <w:noWrap w:val="0"/>
            <w:vAlign w:val="center"/>
          </w:tcPr>
          <w:p w14:paraId="5C62CF2A">
            <w:pPr>
              <w:jc w:val="center"/>
              <w:rPr>
                <w:rFonts w:hint="eastAsia" w:ascii="宋体" w:hAnsi="宋体" w:eastAsia="宋体" w:cs="宋体"/>
                <w:color w:val="auto"/>
                <w:sz w:val="24"/>
                <w:highlight w:val="none"/>
              </w:rPr>
            </w:pPr>
            <w:r>
              <w:rPr>
                <w:rFonts w:hint="eastAsia" w:ascii="宋体" w:hAnsi="宋体" w:cs="宋体"/>
                <w:color w:val="auto"/>
                <w:sz w:val="24"/>
                <w:highlight w:val="none"/>
              </w:rPr>
              <w:t>★</w:t>
            </w:r>
            <w:r>
              <w:rPr>
                <w:rFonts w:hint="eastAsia" w:ascii="宋体" w:hAnsi="宋体" w:eastAsia="宋体" w:cs="宋体"/>
                <w:color w:val="auto"/>
                <w:sz w:val="24"/>
                <w:highlight w:val="none"/>
              </w:rPr>
              <w:t>11.5</w:t>
            </w:r>
          </w:p>
        </w:tc>
        <w:tc>
          <w:tcPr>
            <w:tcW w:w="8400" w:type="dxa"/>
            <w:shd w:val="clear" w:color="auto" w:fill="FFFFFF"/>
            <w:noWrap w:val="0"/>
            <w:vAlign w:val="center"/>
          </w:tcPr>
          <w:p w14:paraId="58DF9120">
            <w:pPr>
              <w:pStyle w:val="295"/>
              <w:rPr>
                <w:rFonts w:hint="eastAsia" w:ascii="Calibri" w:hAnsi="Calibri"/>
                <w:color w:val="auto"/>
                <w:sz w:val="24"/>
                <w:szCs w:val="22"/>
                <w:highlight w:val="none"/>
              </w:rPr>
            </w:pPr>
            <w:r>
              <w:rPr>
                <w:rFonts w:hint="eastAsia" w:ascii="Calibri" w:hAnsi="Calibri"/>
                <w:color w:val="auto"/>
                <w:sz w:val="24"/>
                <w:szCs w:val="22"/>
                <w:highlight w:val="none"/>
              </w:rPr>
              <w:t>质量保证期：</w:t>
            </w:r>
          </w:p>
          <w:p w14:paraId="7D5F74E7">
            <w:pPr>
              <w:widowControl/>
              <w:numPr>
                <w:ilvl w:val="1"/>
                <w:numId w:val="8"/>
              </w:numPr>
              <w:tabs>
                <w:tab w:val="left" w:pos="720"/>
              </w:tabs>
              <w:spacing w:line="276" w:lineRule="auto"/>
              <w:ind w:left="0" w:leftChars="0" w:firstLine="400" w:firstLineChars="0"/>
              <w:jc w:val="left"/>
              <w:outlineLvl w:val="1"/>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投标人应对所提供的货物提供≥</w:t>
            </w:r>
            <w:r>
              <w:rPr>
                <w:rFonts w:hint="default" w:ascii="Times New Roman" w:hAnsi="Times New Roman" w:eastAsia="宋体" w:cs="Times New Roman"/>
                <w:bCs/>
                <w:color w:val="auto"/>
                <w:sz w:val="24"/>
                <w:szCs w:val="24"/>
                <w:highlight w:val="none"/>
                <w:lang w:val="en-US" w:eastAsia="zh-CN"/>
              </w:rPr>
              <w:t>5</w:t>
            </w:r>
            <w:r>
              <w:rPr>
                <w:rFonts w:hint="default" w:ascii="Times New Roman" w:hAnsi="Times New Roman" w:eastAsia="宋体" w:cs="Times New Roman"/>
                <w:bCs/>
                <w:color w:val="auto"/>
                <w:sz w:val="24"/>
                <w:szCs w:val="24"/>
                <w:highlight w:val="none"/>
              </w:rPr>
              <w:t>年整机质保服务</w:t>
            </w:r>
            <w:r>
              <w:rPr>
                <w:rFonts w:hint="default" w:ascii="Times New Roman" w:hAnsi="Times New Roman" w:eastAsia="宋体" w:cs="Times New Roman"/>
                <w:bCs/>
                <w:color w:val="auto"/>
                <w:sz w:val="24"/>
                <w:szCs w:val="24"/>
                <w:highlight w:val="none"/>
                <w:lang w:eastAsia="zh-CN"/>
              </w:rPr>
              <w:t>（人为原因除外）</w:t>
            </w:r>
            <w:r>
              <w:rPr>
                <w:rFonts w:hint="default" w:ascii="Times New Roman" w:hAnsi="Times New Roman" w:eastAsia="宋体" w:cs="Times New Roman"/>
                <w:bCs/>
                <w:color w:val="auto"/>
                <w:sz w:val="24"/>
                <w:szCs w:val="24"/>
                <w:highlight w:val="none"/>
              </w:rPr>
              <w:t>，质保期内软件免费更新。</w:t>
            </w:r>
            <w:r>
              <w:rPr>
                <w:rFonts w:hint="eastAsia" w:asciiTheme="minorEastAsia" w:hAnsiTheme="minorEastAsia" w:eastAsiaTheme="minorEastAsia" w:cstheme="minorEastAsia"/>
                <w:b w:val="0"/>
                <w:bCs w:val="0"/>
                <w:color w:val="auto"/>
                <w:sz w:val="24"/>
                <w:szCs w:val="24"/>
                <w:highlight w:val="none"/>
                <w:lang w:val="en-US" w:eastAsia="zh-CN"/>
              </w:rPr>
              <w:t>若投标产品为进口产品，则</w:t>
            </w:r>
            <w:r>
              <w:rPr>
                <w:rFonts w:hint="eastAsia" w:asciiTheme="minorEastAsia" w:hAnsiTheme="minorEastAsia" w:eastAsiaTheme="minorEastAsia" w:cstheme="minorEastAsia"/>
                <w:b w:val="0"/>
                <w:bCs w:val="0"/>
                <w:color w:val="auto"/>
                <w:sz w:val="24"/>
                <w:szCs w:val="24"/>
                <w:highlight w:val="none"/>
              </w:rPr>
              <w:t>投标人应对所提供的货物提供≥</w:t>
            </w:r>
            <w:r>
              <w:rPr>
                <w:rFonts w:hint="eastAsia" w:asciiTheme="minorEastAsia" w:hAnsiTheme="minorEastAsia" w:eastAsiaTheme="minorEastAsia" w:cstheme="minorEastAsia"/>
                <w:b w:val="0"/>
                <w:bCs w:val="0"/>
                <w:color w:val="auto"/>
                <w:sz w:val="24"/>
                <w:szCs w:val="24"/>
                <w:highlight w:val="none"/>
                <w:lang w:eastAsia="zh-CN"/>
              </w:rPr>
              <w:t>五</w:t>
            </w:r>
            <w:r>
              <w:rPr>
                <w:rFonts w:hint="eastAsia" w:asciiTheme="minorEastAsia" w:hAnsiTheme="minorEastAsia" w:eastAsiaTheme="minorEastAsia" w:cstheme="minorEastAsia"/>
                <w:b w:val="0"/>
                <w:bCs w:val="0"/>
                <w:color w:val="auto"/>
                <w:sz w:val="24"/>
                <w:szCs w:val="24"/>
                <w:highlight w:val="none"/>
              </w:rPr>
              <w:t>年</w:t>
            </w:r>
            <w:r>
              <w:rPr>
                <w:rFonts w:hint="eastAsia" w:asciiTheme="minorEastAsia" w:hAnsiTheme="minorEastAsia" w:eastAsiaTheme="minorEastAsia" w:cstheme="minorEastAsia"/>
                <w:b w:val="0"/>
                <w:bCs w:val="0"/>
                <w:color w:val="auto"/>
                <w:sz w:val="24"/>
                <w:szCs w:val="24"/>
                <w:highlight w:val="none"/>
                <w:lang w:val="en-US" w:eastAsia="zh-CN"/>
              </w:rPr>
              <w:t>原厂</w:t>
            </w:r>
            <w:r>
              <w:rPr>
                <w:rFonts w:hint="eastAsia" w:asciiTheme="minorEastAsia" w:hAnsiTheme="minorEastAsia" w:eastAsiaTheme="minorEastAsia" w:cstheme="minorEastAsia"/>
                <w:b w:val="0"/>
                <w:bCs w:val="0"/>
                <w:color w:val="auto"/>
                <w:sz w:val="24"/>
                <w:szCs w:val="24"/>
                <w:highlight w:val="none"/>
              </w:rPr>
              <w:t>整机质保服务</w:t>
            </w:r>
            <w:r>
              <w:rPr>
                <w:rFonts w:hint="eastAsia" w:asciiTheme="minorEastAsia" w:hAnsiTheme="minorEastAsia" w:eastAsiaTheme="minorEastAsia" w:cstheme="minorEastAsia"/>
                <w:b w:val="0"/>
                <w:bCs w:val="0"/>
                <w:color w:val="auto"/>
                <w:sz w:val="24"/>
                <w:szCs w:val="24"/>
                <w:highlight w:val="none"/>
                <w:lang w:eastAsia="zh-CN"/>
              </w:rPr>
              <w:t>（探头除外）</w:t>
            </w:r>
            <w:r>
              <w:rPr>
                <w:rFonts w:hint="eastAsia" w:asciiTheme="minorEastAsia" w:hAnsiTheme="minorEastAsia" w:eastAsiaTheme="minorEastAsia" w:cstheme="minorEastAsia"/>
                <w:b w:val="0"/>
                <w:bCs w:val="0"/>
                <w:color w:val="auto"/>
                <w:sz w:val="24"/>
                <w:szCs w:val="24"/>
                <w:highlight w:val="none"/>
              </w:rPr>
              <w:t>，质保期内软件免费更新</w:t>
            </w:r>
            <w:r>
              <w:rPr>
                <w:rFonts w:hint="eastAsia" w:asciiTheme="minorEastAsia" w:hAnsiTheme="minorEastAsia" w:eastAsiaTheme="minorEastAsia" w:cstheme="minorEastAsia"/>
                <w:b w:val="0"/>
                <w:bCs w:val="0"/>
                <w:color w:val="auto"/>
                <w:sz w:val="24"/>
                <w:szCs w:val="24"/>
                <w:highlight w:val="none"/>
                <w:lang w:eastAsia="zh-CN"/>
              </w:rPr>
              <w:t>。</w:t>
            </w:r>
          </w:p>
          <w:p w14:paraId="2CEE0434">
            <w:pPr>
              <w:pStyle w:val="295"/>
              <w:numPr>
                <w:ilvl w:val="0"/>
                <w:numId w:val="11"/>
              </w:numPr>
              <w:ind w:left="425" w:leftChars="0" w:hanging="425" w:firstLineChars="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服务响应时间：2小时之内进行故障响应，24小时之内到达现场，48小时无法解决故障问题的需提供备用机；</w:t>
            </w:r>
          </w:p>
          <w:p w14:paraId="576114D0">
            <w:pPr>
              <w:pStyle w:val="295"/>
              <w:numPr>
                <w:ilvl w:val="0"/>
                <w:numId w:val="11"/>
              </w:numPr>
              <w:ind w:left="425" w:leftChars="0" w:hanging="425" w:firstLineChars="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开机率&gt;95%，仪器故障要求2小时到现场，一般故障24小时形成解决方案。重大故障在</w:t>
            </w:r>
            <w:r>
              <w:rPr>
                <w:rFonts w:hint="eastAsia" w:ascii="Times New Roman" w:hAnsi="Times New Roman" w:eastAsia="宋体" w:cs="Times New Roman"/>
                <w:bCs/>
                <w:color w:val="auto"/>
                <w:sz w:val="24"/>
                <w:szCs w:val="24"/>
                <w:highlight w:val="none"/>
                <w:lang w:val="en-US" w:eastAsia="zh-CN"/>
              </w:rPr>
              <w:t>5</w:t>
            </w:r>
            <w:r>
              <w:rPr>
                <w:rFonts w:hint="default" w:ascii="Times New Roman" w:hAnsi="Times New Roman" w:eastAsia="宋体" w:cs="Times New Roman"/>
                <w:bCs/>
                <w:color w:val="auto"/>
                <w:sz w:val="24"/>
                <w:szCs w:val="24"/>
                <w:highlight w:val="none"/>
                <w:lang w:val="en-US" w:eastAsia="zh-CN"/>
              </w:rPr>
              <w:t>个工作日内解决问题，确保设备的正常运行。供应商需保证设备备件的充足供应，对于常用备件，需在接到需求后</w:t>
            </w:r>
            <w:r>
              <w:rPr>
                <w:rFonts w:hint="eastAsia" w:ascii="Times New Roman" w:hAnsi="Times New Roman" w:eastAsia="宋体" w:cs="Times New Roman"/>
                <w:bCs/>
                <w:color w:val="auto"/>
                <w:sz w:val="24"/>
                <w:szCs w:val="24"/>
                <w:highlight w:val="none"/>
                <w:lang w:val="en-US" w:eastAsia="zh-CN"/>
              </w:rPr>
              <w:t>48</w:t>
            </w:r>
            <w:r>
              <w:rPr>
                <w:rFonts w:hint="default" w:ascii="Times New Roman" w:hAnsi="Times New Roman" w:eastAsia="宋体" w:cs="Times New Roman"/>
                <w:bCs/>
                <w:color w:val="auto"/>
                <w:sz w:val="24"/>
                <w:szCs w:val="24"/>
                <w:highlight w:val="none"/>
                <w:lang w:val="en-US" w:eastAsia="zh-CN"/>
              </w:rPr>
              <w:t>小时内送达医院。针对上面内容提供证明材料。</w:t>
            </w:r>
          </w:p>
        </w:tc>
      </w:tr>
      <w:tr w14:paraId="3A6BDC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114" w:type="dxa"/>
            <w:shd w:val="clear" w:color="auto" w:fill="FFFFFF"/>
            <w:noWrap w:val="0"/>
            <w:vAlign w:val="center"/>
          </w:tcPr>
          <w:p w14:paraId="7C4F504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12.1</w:t>
            </w:r>
          </w:p>
        </w:tc>
        <w:tc>
          <w:tcPr>
            <w:tcW w:w="8400" w:type="dxa"/>
            <w:shd w:val="clear" w:color="auto" w:fill="FFFFFF"/>
            <w:noWrap w:val="0"/>
            <w:vAlign w:val="center"/>
          </w:tcPr>
          <w:p w14:paraId="2AB6C2D9">
            <w:pPr>
              <w:rPr>
                <w:rFonts w:ascii="宋体" w:hAnsi="Calibri"/>
                <w:color w:val="auto"/>
                <w:sz w:val="24"/>
                <w:highlight w:val="none"/>
              </w:rPr>
            </w:pPr>
            <w:r>
              <w:rPr>
                <w:rFonts w:hint="eastAsia" w:ascii="宋体" w:hAnsi="Calibri"/>
                <w:color w:val="auto"/>
                <w:sz w:val="24"/>
                <w:highlight w:val="none"/>
              </w:rPr>
              <w:t>根据卖方违约的程度，买方有权采取A、B、C、D、E五种救济方式中的任何一种或几种。</w:t>
            </w:r>
          </w:p>
        </w:tc>
      </w:tr>
      <w:tr w14:paraId="06942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114" w:type="dxa"/>
            <w:shd w:val="clear" w:color="auto" w:fill="FFFFFF"/>
            <w:noWrap w:val="0"/>
            <w:vAlign w:val="center"/>
          </w:tcPr>
          <w:p w14:paraId="6789716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12.3</w:t>
            </w:r>
          </w:p>
        </w:tc>
        <w:tc>
          <w:tcPr>
            <w:tcW w:w="8400" w:type="dxa"/>
            <w:shd w:val="clear" w:color="auto" w:fill="FFFFFF"/>
            <w:noWrap w:val="0"/>
            <w:vAlign w:val="center"/>
          </w:tcPr>
          <w:p w14:paraId="3E8E8F5B">
            <w:pPr>
              <w:rPr>
                <w:rFonts w:ascii="宋体" w:hAnsi="Calibri"/>
                <w:color w:val="auto"/>
                <w:sz w:val="24"/>
                <w:highlight w:val="none"/>
              </w:rPr>
            </w:pPr>
            <w:r>
              <w:rPr>
                <w:rFonts w:hint="eastAsia" w:ascii="宋体" w:hAnsi="Calibri"/>
                <w:color w:val="auto"/>
                <w:sz w:val="24"/>
                <w:highlight w:val="none"/>
              </w:rPr>
              <w:t>A.卖方收到买方索赔要求后14天内给予回复。</w:t>
            </w:r>
          </w:p>
        </w:tc>
      </w:tr>
      <w:tr w14:paraId="73C164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114" w:type="dxa"/>
            <w:shd w:val="clear" w:color="auto" w:fill="FFFFFF"/>
            <w:noWrap w:val="0"/>
            <w:vAlign w:val="center"/>
          </w:tcPr>
          <w:p w14:paraId="455F62D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14.1</w:t>
            </w:r>
          </w:p>
        </w:tc>
        <w:tc>
          <w:tcPr>
            <w:tcW w:w="8400" w:type="dxa"/>
            <w:shd w:val="clear" w:color="auto" w:fill="FFFFFF"/>
            <w:noWrap w:val="0"/>
            <w:vAlign w:val="center"/>
          </w:tcPr>
          <w:p w14:paraId="7EC1B054">
            <w:pPr>
              <w:rPr>
                <w:rFonts w:ascii="宋体" w:hAnsi="Calibri"/>
                <w:color w:val="auto"/>
                <w:sz w:val="24"/>
                <w:highlight w:val="none"/>
              </w:rPr>
            </w:pPr>
            <w:r>
              <w:rPr>
                <w:rFonts w:hint="eastAsia" w:ascii="宋体" w:hAnsi="Calibri"/>
                <w:color w:val="auto"/>
                <w:sz w:val="24"/>
                <w:highlight w:val="none"/>
              </w:rPr>
              <w:t>C.卖方未能履行合同项下任何其它义务</w:t>
            </w:r>
            <w:r>
              <w:rPr>
                <w:rFonts w:ascii="Arial" w:hAnsi="Arial"/>
                <w:color w:val="auto"/>
                <w:sz w:val="24"/>
                <w:highlight w:val="none"/>
              </w:rPr>
              <w:t>(</w:t>
            </w:r>
            <w:r>
              <w:rPr>
                <w:rFonts w:hint="eastAsia" w:ascii="宋体" w:hAnsi="Calibri"/>
                <w:color w:val="auto"/>
                <w:sz w:val="24"/>
                <w:highlight w:val="none"/>
              </w:rPr>
              <w:t>细微义务除外</w:t>
            </w:r>
            <w:r>
              <w:rPr>
                <w:rFonts w:ascii="Arial" w:hAnsi="Arial"/>
                <w:color w:val="auto"/>
                <w:sz w:val="24"/>
                <w:highlight w:val="none"/>
              </w:rPr>
              <w:t>)</w:t>
            </w:r>
            <w:r>
              <w:rPr>
                <w:rFonts w:hint="eastAsia" w:ascii="宋体" w:hAnsi="Calibri"/>
                <w:color w:val="auto"/>
                <w:sz w:val="24"/>
                <w:highlight w:val="none"/>
              </w:rPr>
              <w:t>，并且在收到买方违约通知后14天内仍未对其违约行为作出补救。</w:t>
            </w:r>
          </w:p>
        </w:tc>
      </w:tr>
      <w:tr w14:paraId="15A99F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0" w:hRule="atLeast"/>
        </w:trPr>
        <w:tc>
          <w:tcPr>
            <w:tcW w:w="1114" w:type="dxa"/>
            <w:shd w:val="clear" w:color="auto" w:fill="FFFFFF"/>
            <w:noWrap w:val="0"/>
            <w:vAlign w:val="center"/>
          </w:tcPr>
          <w:p w14:paraId="37963AE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增加14.1D</w:t>
            </w:r>
          </w:p>
        </w:tc>
        <w:tc>
          <w:tcPr>
            <w:tcW w:w="8400" w:type="dxa"/>
            <w:shd w:val="clear" w:color="auto" w:fill="FFFFFF"/>
            <w:noWrap w:val="0"/>
            <w:vAlign w:val="center"/>
          </w:tcPr>
          <w:p w14:paraId="29F9584E">
            <w:pPr>
              <w:rPr>
                <w:rFonts w:ascii="宋体" w:hAnsi="Calibri"/>
                <w:color w:val="auto"/>
                <w:sz w:val="24"/>
                <w:highlight w:val="none"/>
              </w:rPr>
            </w:pPr>
            <w:r>
              <w:rPr>
                <w:rFonts w:hint="eastAsia" w:ascii="宋体" w:hAnsi="Calibri"/>
                <w:color w:val="auto"/>
                <w:sz w:val="24"/>
                <w:highlight w:val="none"/>
              </w:rPr>
              <w:t>D.未得到买方许可，擅自将本合同货物或服务分包给其他单位。</w:t>
            </w:r>
          </w:p>
        </w:tc>
      </w:tr>
      <w:tr w14:paraId="4C6BAE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114" w:type="dxa"/>
            <w:shd w:val="clear" w:color="auto" w:fill="FFFFFF"/>
            <w:noWrap w:val="0"/>
            <w:vAlign w:val="center"/>
          </w:tcPr>
          <w:p w14:paraId="3B694ED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14.4</w:t>
            </w:r>
          </w:p>
        </w:tc>
        <w:tc>
          <w:tcPr>
            <w:tcW w:w="8400" w:type="dxa"/>
            <w:shd w:val="clear" w:color="auto" w:fill="FFFFFF"/>
            <w:noWrap w:val="0"/>
            <w:vAlign w:val="center"/>
          </w:tcPr>
          <w:p w14:paraId="0BA68547">
            <w:pPr>
              <w:rPr>
                <w:rFonts w:ascii="宋体" w:hAnsi="Calibri"/>
                <w:color w:val="auto"/>
                <w:sz w:val="24"/>
                <w:highlight w:val="none"/>
              </w:rPr>
            </w:pPr>
            <w:r>
              <w:rPr>
                <w:rFonts w:hint="eastAsia" w:ascii="宋体" w:hAnsi="Calibri"/>
                <w:color w:val="auto"/>
                <w:sz w:val="24"/>
                <w:highlight w:val="none"/>
              </w:rPr>
              <w:t>E.卖方应双倍返还买方已支付的货款（包括定金）。</w:t>
            </w:r>
          </w:p>
        </w:tc>
      </w:tr>
      <w:tr w14:paraId="15E51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114" w:type="dxa"/>
            <w:shd w:val="clear" w:color="auto" w:fill="FFFFFF"/>
            <w:noWrap w:val="0"/>
            <w:vAlign w:val="center"/>
          </w:tcPr>
          <w:p w14:paraId="3DC109F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15.1</w:t>
            </w:r>
          </w:p>
        </w:tc>
        <w:tc>
          <w:tcPr>
            <w:tcW w:w="8400" w:type="dxa"/>
            <w:shd w:val="clear" w:color="auto" w:fill="FFFFFF"/>
            <w:noWrap w:val="0"/>
            <w:vAlign w:val="center"/>
          </w:tcPr>
          <w:p w14:paraId="24D8B786">
            <w:pPr>
              <w:rPr>
                <w:rFonts w:ascii="宋体" w:hAnsi="Calibri"/>
                <w:color w:val="auto"/>
                <w:sz w:val="24"/>
                <w:highlight w:val="none"/>
              </w:rPr>
            </w:pPr>
            <w:r>
              <w:rPr>
                <w:rFonts w:hint="eastAsia" w:ascii="宋体" w:hAnsi="Calibri"/>
                <w:color w:val="auto"/>
                <w:sz w:val="24"/>
                <w:highlight w:val="none"/>
              </w:rPr>
              <w:t>因执行本合同所发生的或者与本合同有关的一切争议将由合同双方通过友好协商解决。如果不能协商一致，合同任何一方有权将争议提交买方所在地仲裁机构或</w:t>
            </w:r>
            <w:r>
              <w:rPr>
                <w:rFonts w:hint="eastAsia" w:ascii="Calibri" w:hAnsi="Calibri"/>
                <w:color w:val="auto"/>
                <w:sz w:val="24"/>
                <w:highlight w:val="none"/>
              </w:rPr>
              <w:t>提交</w:t>
            </w:r>
            <w:r>
              <w:rPr>
                <w:rFonts w:hint="eastAsia" w:ascii="宋体" w:hAnsi="Calibri"/>
                <w:color w:val="auto"/>
                <w:sz w:val="24"/>
                <w:highlight w:val="none"/>
              </w:rPr>
              <w:t>买方所在地</w:t>
            </w:r>
            <w:r>
              <w:rPr>
                <w:rFonts w:hint="eastAsia" w:ascii="Calibri" w:hAnsi="Calibri"/>
                <w:color w:val="auto"/>
                <w:sz w:val="24"/>
                <w:highlight w:val="none"/>
              </w:rPr>
              <w:t>法院判决。</w:t>
            </w:r>
          </w:p>
        </w:tc>
      </w:tr>
    </w:tbl>
    <w:p w14:paraId="561F42DE">
      <w:pPr>
        <w:spacing w:line="360" w:lineRule="auto"/>
        <w:rPr>
          <w:rFonts w:hint="eastAsia" w:ascii="仿宋" w:hAnsi="仿宋" w:eastAsia="仿宋"/>
          <w:color w:val="auto"/>
          <w:kern w:val="2"/>
          <w:sz w:val="24"/>
          <w:szCs w:val="24"/>
          <w:highlight w:val="none"/>
          <w14:ligatures w14:val="standardContextual"/>
        </w:rPr>
      </w:pPr>
    </w:p>
    <w:p w14:paraId="12E6926B">
      <w:pPr>
        <w:keepNext/>
        <w:keepLines/>
        <w:pageBreakBefore/>
        <w:jc w:val="center"/>
        <w:outlineLvl w:val="0"/>
        <w:rPr>
          <w:rFonts w:hint="eastAsia" w:ascii="宋体" w:hAnsi="宋体" w:cs="宋体"/>
          <w:b/>
          <w:color w:val="auto"/>
          <w:sz w:val="44"/>
          <w:szCs w:val="44"/>
          <w:highlight w:val="none"/>
        </w:rPr>
      </w:pPr>
      <w:bookmarkStart w:id="199" w:name="_Toc514054483"/>
      <w:bookmarkStart w:id="200" w:name="_Toc29724"/>
      <w:r>
        <w:rPr>
          <w:rFonts w:hint="eastAsia" w:ascii="宋体" w:hAnsi="宋体" w:cs="宋体"/>
          <w:b/>
          <w:color w:val="auto"/>
          <w:sz w:val="44"/>
          <w:szCs w:val="44"/>
          <w:highlight w:val="none"/>
        </w:rPr>
        <w:t>第六部分  投标文件格式</w:t>
      </w:r>
      <w:bookmarkEnd w:id="199"/>
      <w:bookmarkEnd w:id="200"/>
    </w:p>
    <w:p w14:paraId="328BC7EC">
      <w:pPr>
        <w:rPr>
          <w:rFonts w:hint="eastAsia" w:ascii="宋体" w:hAnsi="宋体" w:cs="宋体"/>
          <w:color w:val="auto"/>
          <w:highlight w:val="none"/>
        </w:rPr>
      </w:pPr>
    </w:p>
    <w:p w14:paraId="3781734A">
      <w:pPr>
        <w:widowControl/>
        <w:spacing w:line="360" w:lineRule="auto"/>
        <w:jc w:val="left"/>
        <w:rPr>
          <w:rFonts w:hint="eastAsia" w:ascii="仿宋" w:hAnsi="仿宋" w:eastAsia="仿宋" w:cs="宋体"/>
          <w:b/>
          <w:bCs/>
          <w:color w:val="auto"/>
          <w:sz w:val="24"/>
          <w:szCs w:val="28"/>
          <w:highlight w:val="none"/>
        </w:rPr>
      </w:pPr>
      <w:bookmarkStart w:id="201" w:name="_Toc21788"/>
      <w:bookmarkStart w:id="202" w:name="_Toc514054484"/>
      <w:bookmarkStart w:id="203" w:name="_Toc16009"/>
      <w:bookmarkStart w:id="204" w:name="_Toc26779"/>
      <w:r>
        <w:rPr>
          <w:rFonts w:hint="eastAsia" w:ascii="仿宋" w:hAnsi="仿宋" w:eastAsia="仿宋" w:cs="宋体"/>
          <w:b/>
          <w:bCs/>
          <w:color w:val="auto"/>
          <w:sz w:val="24"/>
          <w:szCs w:val="28"/>
          <w:highlight w:val="none"/>
        </w:rPr>
        <w:t>投标文件格式使用注意事项：</w:t>
      </w:r>
    </w:p>
    <w:p w14:paraId="7C30AD74">
      <w:pPr>
        <w:widowControl/>
        <w:numPr>
          <w:ilvl w:val="0"/>
          <w:numId w:val="12"/>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投标文件编制时应使用的模板已在本部分列明，招标文件要求提供但未提供模板的，格式自拟。</w:t>
      </w:r>
    </w:p>
    <w:p w14:paraId="727B3798">
      <w:pPr>
        <w:widowControl/>
        <w:numPr>
          <w:ilvl w:val="0"/>
          <w:numId w:val="12"/>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模板没有先后顺序，在使用模板时模板名称对应苏采云系统目录名称。</w:t>
      </w:r>
    </w:p>
    <w:p w14:paraId="7C10B72E">
      <w:pPr>
        <w:widowControl/>
        <w:numPr>
          <w:ilvl w:val="0"/>
          <w:numId w:val="12"/>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招标文件中提供的投标文件格式与苏采云系统内不一致的，以苏采云系统的格式为准。</w:t>
      </w:r>
    </w:p>
    <w:p w14:paraId="28504E62">
      <w:pPr>
        <w:widowControl/>
        <w:spacing w:line="360" w:lineRule="auto"/>
        <w:jc w:val="left"/>
        <w:rPr>
          <w:rFonts w:hint="eastAsia" w:ascii="仿宋" w:hAnsi="仿宋" w:eastAsia="仿宋" w:cs="宋体"/>
          <w:color w:val="auto"/>
          <w:sz w:val="24"/>
          <w:szCs w:val="28"/>
          <w:highlight w:val="none"/>
        </w:rPr>
      </w:pPr>
    </w:p>
    <w:p w14:paraId="2BDBC405">
      <w:pPr>
        <w:widowControl/>
        <w:spacing w:line="360" w:lineRule="auto"/>
        <w:jc w:val="left"/>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r>
    </w:p>
    <w:p w14:paraId="28FBB30F">
      <w:pPr>
        <w:widowControl/>
        <w:jc w:val="left"/>
        <w:rPr>
          <w:rFonts w:hint="eastAsia" w:ascii="宋体" w:hAnsi="宋体" w:cs="宋体"/>
          <w:b/>
          <w:color w:val="auto"/>
          <w:sz w:val="32"/>
          <w:szCs w:val="24"/>
          <w:highlight w:val="none"/>
        </w:rPr>
      </w:pPr>
    </w:p>
    <w:p w14:paraId="5B11059D">
      <w:pPr>
        <w:pStyle w:val="497"/>
        <w:ind w:firstLine="321"/>
        <w:jc w:val="center"/>
        <w:outlineLvl w:val="1"/>
        <w:rPr>
          <w:rFonts w:hint="eastAsia" w:ascii="宋体" w:hAnsi="宋体" w:eastAsia="宋体" w:cs="宋体"/>
          <w:color w:val="auto"/>
          <w:highlight w:val="none"/>
        </w:rPr>
      </w:pPr>
      <w:bookmarkStart w:id="205" w:name="_Toc15407"/>
      <w:r>
        <w:rPr>
          <w:rFonts w:hint="eastAsia" w:ascii="宋体" w:hAnsi="宋体" w:eastAsia="宋体" w:cs="宋体"/>
          <w:color w:val="auto"/>
          <w:highlight w:val="none"/>
        </w:rPr>
        <w:t>封面</w:t>
      </w:r>
      <w:bookmarkEnd w:id="201"/>
      <w:bookmarkEnd w:id="202"/>
      <w:bookmarkEnd w:id="203"/>
      <w:bookmarkEnd w:id="204"/>
      <w:bookmarkEnd w:id="205"/>
    </w:p>
    <w:p w14:paraId="37113698">
      <w:pPr>
        <w:pStyle w:val="362"/>
        <w:jc w:val="left"/>
        <w:rPr>
          <w:rFonts w:hint="eastAsia" w:ascii="宋体" w:hAnsi="宋体" w:cs="宋体"/>
          <w:color w:val="auto"/>
          <w:sz w:val="32"/>
          <w:szCs w:val="32"/>
          <w:highlight w:val="none"/>
        </w:rPr>
      </w:pPr>
    </w:p>
    <w:p w14:paraId="2A6847E7">
      <w:pPr>
        <w:pStyle w:val="362"/>
        <w:jc w:val="left"/>
        <w:rPr>
          <w:rFonts w:hint="eastAsia" w:ascii="宋体" w:hAnsi="宋体" w:cs="宋体"/>
          <w:color w:val="auto"/>
          <w:sz w:val="32"/>
          <w:szCs w:val="32"/>
          <w:highlight w:val="none"/>
        </w:rPr>
      </w:pPr>
    </w:p>
    <w:p w14:paraId="7D9B24DB">
      <w:pPr>
        <w:pStyle w:val="362"/>
        <w:jc w:val="left"/>
        <w:rPr>
          <w:rFonts w:hint="eastAsia" w:ascii="宋体" w:hAnsi="宋体" w:cs="宋体"/>
          <w:color w:val="auto"/>
          <w:sz w:val="32"/>
          <w:szCs w:val="32"/>
          <w:highlight w:val="none"/>
        </w:rPr>
      </w:pPr>
    </w:p>
    <w:p w14:paraId="43E1F1C0">
      <w:pPr>
        <w:pStyle w:val="362"/>
        <w:jc w:val="center"/>
        <w:rPr>
          <w:rFonts w:hint="eastAsia" w:ascii="宋体" w:hAnsi="宋体" w:cs="宋体"/>
          <w:color w:val="auto"/>
          <w:sz w:val="52"/>
          <w:szCs w:val="52"/>
          <w:highlight w:val="none"/>
        </w:rPr>
      </w:pPr>
    </w:p>
    <w:p w14:paraId="4E0426E5">
      <w:pPr>
        <w:pStyle w:val="362"/>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投 标 文 件</w:t>
      </w:r>
    </w:p>
    <w:p w14:paraId="1054F85C">
      <w:pPr>
        <w:pStyle w:val="362"/>
        <w:jc w:val="left"/>
        <w:rPr>
          <w:rFonts w:hint="eastAsia" w:ascii="宋体" w:hAnsi="宋体" w:cs="宋体"/>
          <w:color w:val="auto"/>
          <w:sz w:val="28"/>
          <w:szCs w:val="28"/>
          <w:highlight w:val="none"/>
        </w:rPr>
      </w:pPr>
    </w:p>
    <w:p w14:paraId="26C89ABE">
      <w:pPr>
        <w:pStyle w:val="362"/>
        <w:jc w:val="left"/>
        <w:rPr>
          <w:rFonts w:hint="eastAsia" w:ascii="宋体" w:hAnsi="宋体" w:cs="宋体"/>
          <w:color w:val="auto"/>
          <w:sz w:val="28"/>
          <w:szCs w:val="28"/>
          <w:highlight w:val="none"/>
        </w:rPr>
      </w:pPr>
    </w:p>
    <w:p w14:paraId="78E54323">
      <w:pPr>
        <w:pStyle w:val="362"/>
        <w:jc w:val="left"/>
        <w:rPr>
          <w:rFonts w:hint="eastAsia" w:ascii="宋体" w:hAnsi="宋体" w:cs="宋体"/>
          <w:color w:val="auto"/>
          <w:sz w:val="28"/>
          <w:szCs w:val="28"/>
          <w:highlight w:val="none"/>
        </w:rPr>
      </w:pPr>
    </w:p>
    <w:p w14:paraId="0E4D86EF">
      <w:pPr>
        <w:pStyle w:val="362"/>
        <w:jc w:val="left"/>
        <w:rPr>
          <w:rFonts w:hint="eastAsia" w:ascii="宋体" w:hAnsi="宋体" w:cs="宋体"/>
          <w:color w:val="auto"/>
          <w:sz w:val="28"/>
          <w:szCs w:val="28"/>
          <w:highlight w:val="none"/>
        </w:rPr>
      </w:pPr>
    </w:p>
    <w:p w14:paraId="4F3E43FC">
      <w:pPr>
        <w:pStyle w:val="362"/>
        <w:jc w:val="left"/>
        <w:rPr>
          <w:rFonts w:hint="eastAsia" w:ascii="宋体" w:hAnsi="宋体" w:cs="宋体"/>
          <w:color w:val="auto"/>
          <w:sz w:val="28"/>
          <w:szCs w:val="28"/>
          <w:highlight w:val="none"/>
        </w:rPr>
      </w:pPr>
    </w:p>
    <w:p w14:paraId="22C2E720">
      <w:pPr>
        <w:pStyle w:val="266"/>
        <w:ind w:firstLine="723"/>
        <w:jc w:val="both"/>
        <w:rPr>
          <w:rFonts w:hint="eastAsia" w:hAnsi="宋体" w:cs="宋体"/>
          <w:color w:val="auto"/>
          <w:highlight w:val="none"/>
        </w:rPr>
      </w:pPr>
      <w:r>
        <w:rPr>
          <w:rFonts w:hint="eastAsia" w:hAnsi="宋体" w:cs="宋体"/>
          <w:b/>
          <w:color w:val="auto"/>
          <w:sz w:val="36"/>
          <w:szCs w:val="36"/>
          <w:highlight w:val="none"/>
        </w:rPr>
        <w:t>项目 名 称：</w:t>
      </w:r>
      <w:r>
        <w:rPr>
          <w:rFonts w:hint="eastAsia" w:hAnsi="宋体" w:cs="宋体"/>
          <w:b/>
          <w:color w:val="auto"/>
          <w:sz w:val="36"/>
          <w:szCs w:val="36"/>
          <w:highlight w:val="none"/>
          <w:u w:val="single"/>
        </w:rPr>
        <w:t xml:space="preserve">               </w:t>
      </w:r>
    </w:p>
    <w:p w14:paraId="2A298287">
      <w:pPr>
        <w:pStyle w:val="266"/>
        <w:ind w:firstLine="723"/>
        <w:jc w:val="both"/>
        <w:rPr>
          <w:rFonts w:hint="eastAsia" w:hAnsi="宋体" w:cs="宋体"/>
          <w:color w:val="auto"/>
          <w:highlight w:val="none"/>
        </w:rPr>
      </w:pPr>
      <w:r>
        <w:rPr>
          <w:rFonts w:hint="eastAsia" w:hAnsi="宋体" w:cs="宋体"/>
          <w:b/>
          <w:color w:val="auto"/>
          <w:sz w:val="36"/>
          <w:szCs w:val="36"/>
          <w:highlight w:val="none"/>
        </w:rPr>
        <w:t>项目 编 号：</w:t>
      </w:r>
      <w:r>
        <w:rPr>
          <w:rFonts w:hint="eastAsia" w:hAnsi="宋体" w:cs="宋体"/>
          <w:b/>
          <w:color w:val="auto"/>
          <w:sz w:val="36"/>
          <w:szCs w:val="36"/>
          <w:highlight w:val="none"/>
          <w:u w:val="single"/>
        </w:rPr>
        <w:t xml:space="preserve">               </w:t>
      </w:r>
    </w:p>
    <w:p w14:paraId="15814EF6">
      <w:pPr>
        <w:pStyle w:val="266"/>
        <w:ind w:firstLine="723"/>
        <w:jc w:val="both"/>
        <w:rPr>
          <w:rFonts w:hint="eastAsia" w:hAnsi="宋体" w:cs="宋体"/>
          <w:color w:val="auto"/>
          <w:highlight w:val="none"/>
        </w:rPr>
      </w:pPr>
      <w:r>
        <w:rPr>
          <w:rFonts w:hint="eastAsia" w:hAnsi="宋体" w:cs="宋体"/>
          <w:b/>
          <w:color w:val="auto"/>
          <w:sz w:val="36"/>
          <w:szCs w:val="36"/>
          <w:highlight w:val="none"/>
        </w:rPr>
        <w:t>投标人名称 ：</w:t>
      </w:r>
      <w:r>
        <w:rPr>
          <w:rFonts w:hint="eastAsia" w:hAnsi="宋体" w:cs="宋体"/>
          <w:b/>
          <w:color w:val="auto"/>
          <w:sz w:val="36"/>
          <w:szCs w:val="36"/>
          <w:highlight w:val="none"/>
          <w:u w:val="single"/>
        </w:rPr>
        <w:t xml:space="preserve">（加盖CA电子公章）        </w:t>
      </w:r>
    </w:p>
    <w:p w14:paraId="1CBEE5A6">
      <w:pPr>
        <w:pStyle w:val="266"/>
        <w:ind w:firstLine="723"/>
        <w:jc w:val="both"/>
        <w:rPr>
          <w:rFonts w:hint="eastAsia" w:hAnsi="宋体" w:cs="宋体"/>
          <w:color w:val="auto"/>
          <w:highlight w:val="none"/>
        </w:rPr>
      </w:pPr>
      <w:r>
        <w:rPr>
          <w:rFonts w:hint="eastAsia" w:hAnsi="宋体" w:cs="宋体"/>
          <w:b/>
          <w:color w:val="auto"/>
          <w:sz w:val="36"/>
          <w:szCs w:val="36"/>
          <w:highlight w:val="none"/>
        </w:rPr>
        <w:t>日   期 ：</w:t>
      </w:r>
      <w:r>
        <w:rPr>
          <w:rFonts w:hint="eastAsia" w:hAnsi="宋体" w:cs="宋体"/>
          <w:b/>
          <w:color w:val="auto"/>
          <w:sz w:val="36"/>
          <w:szCs w:val="36"/>
          <w:highlight w:val="none"/>
          <w:u w:val="single"/>
        </w:rPr>
        <w:t>                     </w:t>
      </w:r>
    </w:p>
    <w:p w14:paraId="627CC035">
      <w:pPr>
        <w:pStyle w:val="266"/>
        <w:spacing w:line="0" w:lineRule="atLeast"/>
        <w:rPr>
          <w:rFonts w:hint="eastAsia" w:hAnsi="宋体" w:cs="宋体"/>
          <w:color w:val="auto"/>
          <w:highlight w:val="none"/>
        </w:rPr>
      </w:pPr>
      <w:r>
        <w:rPr>
          <w:rFonts w:hint="eastAsia" w:hAnsi="宋体" w:cs="宋体"/>
          <w:color w:val="auto"/>
          <w:highlight w:val="none"/>
        </w:rPr>
        <w:t> </w:t>
      </w:r>
    </w:p>
    <w:p w14:paraId="66E6A637">
      <w:pPr>
        <w:pStyle w:val="266"/>
        <w:spacing w:line="0" w:lineRule="atLeast"/>
        <w:jc w:val="both"/>
        <w:rPr>
          <w:rFonts w:hint="eastAsia" w:hAnsi="宋体" w:cs="宋体"/>
          <w:color w:val="auto"/>
          <w:highlight w:val="none"/>
        </w:rPr>
      </w:pPr>
      <w:r>
        <w:rPr>
          <w:rFonts w:hint="eastAsia" w:hAnsi="宋体" w:cs="宋体"/>
          <w:color w:val="auto"/>
          <w:highlight w:val="none"/>
        </w:rPr>
        <w:t> </w:t>
      </w:r>
    </w:p>
    <w:p w14:paraId="39837A93">
      <w:pPr>
        <w:rPr>
          <w:rFonts w:hint="eastAsia" w:ascii="宋体" w:hAnsi="宋体" w:cs="宋体"/>
          <w:color w:val="auto"/>
          <w:highlight w:val="none"/>
        </w:rPr>
      </w:pPr>
    </w:p>
    <w:p w14:paraId="04023724">
      <w:pPr>
        <w:rPr>
          <w:color w:val="auto"/>
          <w:highlight w:val="none"/>
        </w:rPr>
      </w:pPr>
      <w:r>
        <w:rPr>
          <w:rFonts w:hint="eastAsia" w:ascii="宋体" w:hAnsi="宋体" w:cs="宋体"/>
          <w:color w:val="auto"/>
          <w:highlight w:val="none"/>
        </w:rPr>
        <w:br w:type="page" w:clear="all"/>
      </w:r>
      <w:bookmarkStart w:id="206" w:name="_Toc21292"/>
      <w:bookmarkStart w:id="207" w:name="_Toc28278"/>
      <w:bookmarkStart w:id="208" w:name="_Toc164203464"/>
      <w:bookmarkStart w:id="209" w:name="_Toc11040"/>
      <w:bookmarkStart w:id="210" w:name="_Toc29318"/>
    </w:p>
    <w:p w14:paraId="640A1C78">
      <w:pPr>
        <w:pStyle w:val="485"/>
        <w:outlineLvl w:val="1"/>
        <w:rPr>
          <w:rFonts w:hint="eastAsia"/>
          <w:color w:val="auto"/>
          <w:highlight w:val="none"/>
        </w:rPr>
      </w:pPr>
      <w:bookmarkStart w:id="211" w:name="_Toc5742"/>
      <w:r>
        <w:rPr>
          <w:color w:val="auto"/>
          <w:highlight w:val="none"/>
        </w:rPr>
        <w:t>一、投标人基本情况</w:t>
      </w:r>
      <w:bookmarkEnd w:id="206"/>
      <w:bookmarkEnd w:id="207"/>
      <w:bookmarkEnd w:id="208"/>
      <w:bookmarkEnd w:id="209"/>
      <w:bookmarkEnd w:id="210"/>
      <w:bookmarkEnd w:id="211"/>
    </w:p>
    <w:p w14:paraId="72F310DD">
      <w:pPr>
        <w:jc w:val="center"/>
        <w:rPr>
          <w:color w:val="auto"/>
          <w:sz w:val="44"/>
          <w:szCs w:val="44"/>
          <w:highlight w:val="none"/>
        </w:rPr>
      </w:pPr>
      <w:r>
        <w:rPr>
          <w:rFonts w:hint="eastAsia"/>
          <w:color w:val="auto"/>
          <w:sz w:val="44"/>
          <w:szCs w:val="44"/>
          <w:highlight w:val="none"/>
        </w:rPr>
        <w:t>投标人基本情况表</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7F0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1DAF65A">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投标人名称</w:t>
            </w:r>
          </w:p>
        </w:tc>
        <w:tc>
          <w:tcPr>
            <w:tcW w:w="6998" w:type="dxa"/>
            <w:gridSpan w:val="3"/>
            <w:vAlign w:val="center"/>
          </w:tcPr>
          <w:p w14:paraId="7829D580">
            <w:pPr>
              <w:pStyle w:val="434"/>
              <w:spacing w:line="600" w:lineRule="exact"/>
              <w:jc w:val="center"/>
              <w:rPr>
                <w:rFonts w:ascii="仿宋_GB2312" w:eastAsia="仿宋_GB2312"/>
                <w:color w:val="auto"/>
                <w:sz w:val="24"/>
                <w:szCs w:val="24"/>
                <w:highlight w:val="none"/>
              </w:rPr>
            </w:pPr>
          </w:p>
        </w:tc>
      </w:tr>
      <w:tr w14:paraId="1FBF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11C5147">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法定代表人</w:t>
            </w:r>
          </w:p>
        </w:tc>
        <w:tc>
          <w:tcPr>
            <w:tcW w:w="3118" w:type="dxa"/>
            <w:vAlign w:val="center"/>
          </w:tcPr>
          <w:p w14:paraId="1666ED55">
            <w:pPr>
              <w:pStyle w:val="434"/>
              <w:spacing w:line="600" w:lineRule="exact"/>
              <w:jc w:val="center"/>
              <w:rPr>
                <w:rFonts w:ascii="仿宋_GB2312" w:eastAsia="仿宋_GB2312"/>
                <w:color w:val="auto"/>
                <w:sz w:val="24"/>
                <w:szCs w:val="24"/>
                <w:highlight w:val="none"/>
              </w:rPr>
            </w:pPr>
          </w:p>
        </w:tc>
        <w:tc>
          <w:tcPr>
            <w:tcW w:w="1276" w:type="dxa"/>
            <w:vAlign w:val="center"/>
          </w:tcPr>
          <w:p w14:paraId="05AB95DF">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注册地区</w:t>
            </w:r>
          </w:p>
        </w:tc>
        <w:tc>
          <w:tcPr>
            <w:tcW w:w="2604" w:type="dxa"/>
            <w:vAlign w:val="center"/>
          </w:tcPr>
          <w:p w14:paraId="22A14423">
            <w:pPr>
              <w:pStyle w:val="434"/>
              <w:spacing w:line="600" w:lineRule="exact"/>
              <w:jc w:val="center"/>
              <w:rPr>
                <w:rFonts w:ascii="仿宋_GB2312" w:eastAsia="仿宋_GB2312"/>
                <w:color w:val="auto"/>
                <w:sz w:val="24"/>
                <w:szCs w:val="24"/>
                <w:highlight w:val="none"/>
              </w:rPr>
            </w:pPr>
          </w:p>
        </w:tc>
      </w:tr>
      <w:tr w14:paraId="782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69F543E">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地址</w:t>
            </w:r>
          </w:p>
        </w:tc>
        <w:tc>
          <w:tcPr>
            <w:tcW w:w="3118" w:type="dxa"/>
            <w:vAlign w:val="center"/>
          </w:tcPr>
          <w:p w14:paraId="796F8D9C">
            <w:pPr>
              <w:pStyle w:val="434"/>
              <w:spacing w:line="600" w:lineRule="exact"/>
              <w:jc w:val="center"/>
              <w:rPr>
                <w:rFonts w:ascii="仿宋_GB2312" w:eastAsia="仿宋_GB2312"/>
                <w:color w:val="auto"/>
                <w:sz w:val="24"/>
                <w:szCs w:val="24"/>
                <w:highlight w:val="none"/>
              </w:rPr>
            </w:pPr>
          </w:p>
        </w:tc>
        <w:tc>
          <w:tcPr>
            <w:tcW w:w="1276" w:type="dxa"/>
            <w:vAlign w:val="center"/>
          </w:tcPr>
          <w:p w14:paraId="479897A0">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邮政编码</w:t>
            </w:r>
          </w:p>
        </w:tc>
        <w:tc>
          <w:tcPr>
            <w:tcW w:w="2604" w:type="dxa"/>
            <w:vAlign w:val="center"/>
          </w:tcPr>
          <w:p w14:paraId="43FDBC00">
            <w:pPr>
              <w:pStyle w:val="434"/>
              <w:spacing w:line="600" w:lineRule="exact"/>
              <w:jc w:val="center"/>
              <w:rPr>
                <w:rFonts w:ascii="仿宋_GB2312" w:eastAsia="仿宋_GB2312"/>
                <w:color w:val="auto"/>
                <w:sz w:val="24"/>
                <w:szCs w:val="24"/>
                <w:highlight w:val="none"/>
              </w:rPr>
            </w:pPr>
          </w:p>
        </w:tc>
      </w:tr>
      <w:tr w14:paraId="537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35440C8">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成立时间</w:t>
            </w:r>
          </w:p>
        </w:tc>
        <w:tc>
          <w:tcPr>
            <w:tcW w:w="3118" w:type="dxa"/>
            <w:vAlign w:val="center"/>
          </w:tcPr>
          <w:p w14:paraId="624621C7">
            <w:pPr>
              <w:pStyle w:val="434"/>
              <w:spacing w:line="600" w:lineRule="exact"/>
              <w:jc w:val="center"/>
              <w:rPr>
                <w:rFonts w:ascii="仿宋_GB2312" w:eastAsia="仿宋_GB2312"/>
                <w:color w:val="auto"/>
                <w:sz w:val="24"/>
                <w:szCs w:val="24"/>
                <w:highlight w:val="none"/>
              </w:rPr>
            </w:pPr>
          </w:p>
        </w:tc>
        <w:tc>
          <w:tcPr>
            <w:tcW w:w="1276" w:type="dxa"/>
            <w:vAlign w:val="center"/>
          </w:tcPr>
          <w:p w14:paraId="378AC96D">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单位性质</w:t>
            </w:r>
          </w:p>
        </w:tc>
        <w:tc>
          <w:tcPr>
            <w:tcW w:w="2604" w:type="dxa"/>
            <w:vAlign w:val="center"/>
          </w:tcPr>
          <w:p w14:paraId="625E3748">
            <w:pPr>
              <w:pStyle w:val="434"/>
              <w:spacing w:line="600" w:lineRule="exact"/>
              <w:jc w:val="center"/>
              <w:rPr>
                <w:rFonts w:ascii="仿宋_GB2312" w:eastAsia="仿宋_GB2312"/>
                <w:color w:val="auto"/>
                <w:sz w:val="24"/>
                <w:szCs w:val="24"/>
                <w:highlight w:val="none"/>
              </w:rPr>
            </w:pPr>
          </w:p>
        </w:tc>
      </w:tr>
      <w:tr w14:paraId="14E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C8620A8">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注册号或社会信用代码</w:t>
            </w:r>
          </w:p>
        </w:tc>
        <w:tc>
          <w:tcPr>
            <w:tcW w:w="3118" w:type="dxa"/>
            <w:vAlign w:val="center"/>
          </w:tcPr>
          <w:p w14:paraId="509FA97E">
            <w:pPr>
              <w:pStyle w:val="434"/>
              <w:spacing w:line="600" w:lineRule="exact"/>
              <w:jc w:val="center"/>
              <w:rPr>
                <w:rFonts w:ascii="仿宋_GB2312" w:eastAsia="仿宋_GB2312"/>
                <w:color w:val="auto"/>
                <w:sz w:val="24"/>
                <w:szCs w:val="24"/>
                <w:highlight w:val="none"/>
              </w:rPr>
            </w:pPr>
          </w:p>
        </w:tc>
        <w:tc>
          <w:tcPr>
            <w:tcW w:w="1276" w:type="dxa"/>
            <w:vAlign w:val="center"/>
          </w:tcPr>
          <w:p w14:paraId="18362629">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注册资本（万元）</w:t>
            </w:r>
          </w:p>
        </w:tc>
        <w:tc>
          <w:tcPr>
            <w:tcW w:w="2604" w:type="dxa"/>
            <w:vAlign w:val="center"/>
          </w:tcPr>
          <w:p w14:paraId="7062AF22">
            <w:pPr>
              <w:pStyle w:val="434"/>
              <w:spacing w:line="600" w:lineRule="exact"/>
              <w:jc w:val="center"/>
              <w:rPr>
                <w:rFonts w:ascii="仿宋_GB2312" w:eastAsia="仿宋_GB2312"/>
                <w:color w:val="auto"/>
                <w:sz w:val="24"/>
                <w:szCs w:val="24"/>
                <w:highlight w:val="none"/>
              </w:rPr>
            </w:pPr>
          </w:p>
        </w:tc>
      </w:tr>
      <w:tr w14:paraId="371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A2CB5BF">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开户银行</w:t>
            </w:r>
          </w:p>
        </w:tc>
        <w:tc>
          <w:tcPr>
            <w:tcW w:w="3118" w:type="dxa"/>
            <w:vAlign w:val="center"/>
          </w:tcPr>
          <w:p w14:paraId="30453B0D">
            <w:pPr>
              <w:pStyle w:val="434"/>
              <w:spacing w:line="600" w:lineRule="exact"/>
              <w:jc w:val="center"/>
              <w:rPr>
                <w:rFonts w:ascii="仿宋_GB2312" w:eastAsia="仿宋_GB2312"/>
                <w:color w:val="auto"/>
                <w:sz w:val="24"/>
                <w:szCs w:val="24"/>
                <w:highlight w:val="none"/>
              </w:rPr>
            </w:pPr>
          </w:p>
        </w:tc>
        <w:tc>
          <w:tcPr>
            <w:tcW w:w="1276" w:type="dxa"/>
            <w:vAlign w:val="center"/>
          </w:tcPr>
          <w:p w14:paraId="6AF73351">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账号</w:t>
            </w:r>
          </w:p>
        </w:tc>
        <w:tc>
          <w:tcPr>
            <w:tcW w:w="2604" w:type="dxa"/>
            <w:vAlign w:val="center"/>
          </w:tcPr>
          <w:p w14:paraId="2878A336">
            <w:pPr>
              <w:pStyle w:val="434"/>
              <w:spacing w:line="600" w:lineRule="exact"/>
              <w:jc w:val="center"/>
              <w:rPr>
                <w:rFonts w:ascii="仿宋_GB2312" w:eastAsia="仿宋_GB2312"/>
                <w:color w:val="auto"/>
                <w:sz w:val="24"/>
                <w:szCs w:val="24"/>
                <w:highlight w:val="none"/>
              </w:rPr>
            </w:pPr>
          </w:p>
        </w:tc>
      </w:tr>
      <w:tr w14:paraId="049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06F6F1D">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联系人</w:t>
            </w:r>
          </w:p>
        </w:tc>
        <w:tc>
          <w:tcPr>
            <w:tcW w:w="3118" w:type="dxa"/>
            <w:vAlign w:val="center"/>
          </w:tcPr>
          <w:p w14:paraId="4E0654AC">
            <w:pPr>
              <w:pStyle w:val="434"/>
              <w:spacing w:line="600" w:lineRule="exact"/>
              <w:jc w:val="center"/>
              <w:rPr>
                <w:rFonts w:ascii="仿宋_GB2312" w:eastAsia="仿宋_GB2312"/>
                <w:color w:val="auto"/>
                <w:sz w:val="24"/>
                <w:szCs w:val="24"/>
                <w:highlight w:val="none"/>
              </w:rPr>
            </w:pPr>
          </w:p>
        </w:tc>
        <w:tc>
          <w:tcPr>
            <w:tcW w:w="1276" w:type="dxa"/>
            <w:vAlign w:val="center"/>
          </w:tcPr>
          <w:p w14:paraId="63EB199C">
            <w:pPr>
              <w:pStyle w:val="434"/>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联系电话</w:t>
            </w:r>
          </w:p>
        </w:tc>
        <w:tc>
          <w:tcPr>
            <w:tcW w:w="2604" w:type="dxa"/>
            <w:vAlign w:val="center"/>
          </w:tcPr>
          <w:p w14:paraId="4D4253C8">
            <w:pPr>
              <w:pStyle w:val="434"/>
              <w:spacing w:line="600" w:lineRule="exact"/>
              <w:jc w:val="center"/>
              <w:rPr>
                <w:rFonts w:ascii="仿宋_GB2312" w:eastAsia="仿宋_GB2312"/>
                <w:color w:val="auto"/>
                <w:sz w:val="24"/>
                <w:szCs w:val="24"/>
                <w:highlight w:val="none"/>
              </w:rPr>
            </w:pPr>
          </w:p>
        </w:tc>
      </w:tr>
      <w:tr w14:paraId="5524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6303457F">
            <w:pPr>
              <w:pStyle w:val="434"/>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经营范围</w:t>
            </w:r>
          </w:p>
        </w:tc>
        <w:tc>
          <w:tcPr>
            <w:tcW w:w="6998" w:type="dxa"/>
            <w:gridSpan w:val="3"/>
          </w:tcPr>
          <w:p w14:paraId="0F8DFCB8">
            <w:pPr>
              <w:pStyle w:val="434"/>
              <w:spacing w:line="560" w:lineRule="exact"/>
              <w:ind w:firstLine="1433"/>
              <w:rPr>
                <w:rFonts w:ascii="仿宋_GB2312" w:eastAsia="仿宋_GB2312"/>
                <w:color w:val="auto"/>
                <w:sz w:val="24"/>
                <w:szCs w:val="24"/>
                <w:highlight w:val="none"/>
              </w:rPr>
            </w:pPr>
          </w:p>
        </w:tc>
      </w:tr>
      <w:tr w14:paraId="19E7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02F2AAF4">
            <w:pPr>
              <w:pStyle w:val="434"/>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备注</w:t>
            </w:r>
          </w:p>
        </w:tc>
        <w:tc>
          <w:tcPr>
            <w:tcW w:w="6998" w:type="dxa"/>
            <w:gridSpan w:val="3"/>
            <w:vAlign w:val="center"/>
          </w:tcPr>
          <w:p w14:paraId="329504D8">
            <w:pPr>
              <w:pStyle w:val="434"/>
              <w:spacing w:line="500" w:lineRule="exact"/>
              <w:jc w:val="center"/>
              <w:rPr>
                <w:rFonts w:ascii="仿宋_GB2312" w:eastAsia="仿宋_GB2312"/>
                <w:color w:val="auto"/>
                <w:sz w:val="24"/>
                <w:szCs w:val="24"/>
                <w:highlight w:val="none"/>
              </w:rPr>
            </w:pPr>
          </w:p>
        </w:tc>
      </w:tr>
    </w:tbl>
    <w:p w14:paraId="660F8F4A">
      <w:pPr>
        <w:pStyle w:val="434"/>
        <w:spacing w:line="560" w:lineRule="exact"/>
        <w:jc w:val="center"/>
        <w:rPr>
          <w:rFonts w:ascii="方正大标宋简体" w:eastAsia="方正大标宋简体"/>
          <w:bCs/>
          <w:color w:val="auto"/>
          <w:sz w:val="32"/>
          <w:szCs w:val="32"/>
          <w:highlight w:val="none"/>
        </w:rPr>
      </w:pPr>
    </w:p>
    <w:p w14:paraId="7DF8EF08">
      <w:pPr>
        <w:pStyle w:val="473"/>
        <w:outlineLvl w:val="1"/>
        <w:rPr>
          <w:rFonts w:hint="eastAsia"/>
          <w:color w:val="auto"/>
          <w:highlight w:val="none"/>
        </w:rPr>
      </w:pPr>
      <w:r>
        <w:rPr>
          <w:color w:val="auto"/>
          <w:highlight w:val="none"/>
        </w:rPr>
        <w:br w:type="page" w:clear="all"/>
      </w:r>
      <w:bookmarkStart w:id="212" w:name="_Toc164203465"/>
      <w:bookmarkStart w:id="213" w:name="_Toc15353"/>
      <w:bookmarkStart w:id="214" w:name="_Toc13486"/>
      <w:bookmarkStart w:id="215" w:name="_Toc1147"/>
      <w:bookmarkStart w:id="216" w:name="_Toc24265"/>
      <w:bookmarkStart w:id="217" w:name="_Toc30008"/>
      <w:r>
        <w:rPr>
          <w:color w:val="auto"/>
          <w:highlight w:val="none"/>
        </w:rPr>
        <w:t>二、投标人资质</w:t>
      </w:r>
      <w:r>
        <w:rPr>
          <w:rFonts w:hint="eastAsia"/>
          <w:color w:val="auto"/>
          <w:highlight w:val="none"/>
        </w:rPr>
        <w:t>（按资格要求提供）</w:t>
      </w:r>
      <w:bookmarkEnd w:id="212"/>
      <w:bookmarkEnd w:id="213"/>
      <w:bookmarkEnd w:id="214"/>
      <w:bookmarkEnd w:id="215"/>
      <w:bookmarkEnd w:id="216"/>
      <w:bookmarkEnd w:id="217"/>
    </w:p>
    <w:p w14:paraId="51F70E5A">
      <w:pPr>
        <w:pStyle w:val="539"/>
        <w:rPr>
          <w:rFonts w:hint="eastAsia"/>
          <w:color w:val="auto"/>
          <w:highlight w:val="none"/>
        </w:rPr>
      </w:pPr>
      <w:r>
        <w:rPr>
          <w:rFonts w:hint="eastAsia"/>
          <w:color w:val="auto"/>
          <w:highlight w:val="none"/>
        </w:rPr>
        <w:t xml:space="preserve">    </w:t>
      </w:r>
    </w:p>
    <w:p w14:paraId="0DEE63B2">
      <w:pPr>
        <w:pStyle w:val="539"/>
        <w:rPr>
          <w:rFonts w:hint="eastAsia"/>
          <w:color w:val="auto"/>
          <w:highlight w:val="none"/>
        </w:rPr>
      </w:pPr>
    </w:p>
    <w:p w14:paraId="0D7364B5">
      <w:pPr>
        <w:pStyle w:val="539"/>
        <w:rPr>
          <w:rFonts w:hint="eastAsia"/>
          <w:color w:val="auto"/>
          <w:highlight w:val="none"/>
        </w:rPr>
      </w:pPr>
    </w:p>
    <w:p w14:paraId="1EEB1A58">
      <w:pPr>
        <w:pStyle w:val="539"/>
        <w:rPr>
          <w:rFonts w:hint="eastAsia"/>
          <w:color w:val="auto"/>
          <w:highlight w:val="none"/>
        </w:rPr>
      </w:pPr>
    </w:p>
    <w:p w14:paraId="3C5E6A5A">
      <w:pPr>
        <w:pStyle w:val="539"/>
        <w:rPr>
          <w:rFonts w:hint="eastAsia"/>
          <w:color w:val="auto"/>
          <w:highlight w:val="none"/>
        </w:rPr>
      </w:pPr>
    </w:p>
    <w:p w14:paraId="0D22C402">
      <w:pPr>
        <w:pStyle w:val="539"/>
        <w:rPr>
          <w:rFonts w:hint="eastAsia"/>
          <w:color w:val="auto"/>
          <w:highlight w:val="none"/>
        </w:rPr>
      </w:pPr>
    </w:p>
    <w:p w14:paraId="09C634E1">
      <w:pPr>
        <w:pStyle w:val="539"/>
        <w:rPr>
          <w:rFonts w:hint="eastAsia"/>
          <w:color w:val="auto"/>
          <w:highlight w:val="none"/>
        </w:rPr>
      </w:pPr>
    </w:p>
    <w:p w14:paraId="13E75F67">
      <w:pPr>
        <w:pStyle w:val="539"/>
        <w:rPr>
          <w:rFonts w:hint="eastAsia"/>
          <w:color w:val="auto"/>
          <w:highlight w:val="none"/>
        </w:rPr>
      </w:pPr>
    </w:p>
    <w:p w14:paraId="2E43A6B8">
      <w:pPr>
        <w:pStyle w:val="539"/>
        <w:rPr>
          <w:rFonts w:hint="eastAsia"/>
          <w:color w:val="auto"/>
          <w:highlight w:val="none"/>
        </w:rPr>
      </w:pPr>
    </w:p>
    <w:p w14:paraId="745FB270">
      <w:pPr>
        <w:pStyle w:val="539"/>
        <w:rPr>
          <w:rFonts w:hint="eastAsia"/>
          <w:color w:val="auto"/>
          <w:highlight w:val="none"/>
        </w:rPr>
      </w:pPr>
    </w:p>
    <w:p w14:paraId="164D6B7A">
      <w:pPr>
        <w:pStyle w:val="539"/>
        <w:rPr>
          <w:rFonts w:hint="eastAsia"/>
          <w:color w:val="auto"/>
          <w:highlight w:val="none"/>
        </w:rPr>
      </w:pPr>
    </w:p>
    <w:p w14:paraId="3320D34E">
      <w:pPr>
        <w:pStyle w:val="539"/>
        <w:rPr>
          <w:rFonts w:hint="eastAsia"/>
          <w:color w:val="auto"/>
          <w:highlight w:val="none"/>
        </w:rPr>
      </w:pPr>
    </w:p>
    <w:p w14:paraId="0D5722B8">
      <w:pPr>
        <w:pStyle w:val="539"/>
        <w:rPr>
          <w:rFonts w:hint="eastAsia"/>
          <w:color w:val="auto"/>
          <w:highlight w:val="none"/>
        </w:rPr>
      </w:pPr>
    </w:p>
    <w:p w14:paraId="62DB95FA">
      <w:pPr>
        <w:rPr>
          <w:color w:val="auto"/>
          <w:highlight w:val="none"/>
        </w:rPr>
      </w:pPr>
      <w:r>
        <w:rPr>
          <w:rFonts w:hint="eastAsia"/>
          <w:color w:val="auto"/>
          <w:highlight w:val="none"/>
        </w:rPr>
        <w:br w:type="page" w:clear="all"/>
      </w:r>
    </w:p>
    <w:p w14:paraId="1D158D4F">
      <w:pPr>
        <w:pStyle w:val="539"/>
        <w:outlineLvl w:val="1"/>
        <w:rPr>
          <w:rFonts w:hint="eastAsia"/>
          <w:color w:val="auto"/>
          <w:highlight w:val="none"/>
        </w:rPr>
      </w:pPr>
      <w:bookmarkStart w:id="218" w:name="_Toc18935"/>
      <w:bookmarkStart w:id="219" w:name="_Toc15822"/>
      <w:bookmarkStart w:id="220" w:name="_Toc164203466"/>
      <w:bookmarkStart w:id="221" w:name="_Toc18278"/>
      <w:bookmarkStart w:id="222" w:name="_Toc4877"/>
      <w:r>
        <w:rPr>
          <w:color w:val="auto"/>
          <w:highlight w:val="none"/>
        </w:rPr>
        <w:t>三、投标人</w:t>
      </w:r>
      <w:bookmarkEnd w:id="218"/>
      <w:r>
        <w:rPr>
          <w:rFonts w:hint="eastAsia" w:ascii="宋体" w:hAnsi="宋体" w:cs="Arial"/>
          <w:bCs/>
          <w:color w:val="auto"/>
          <w:highlight w:val="none"/>
        </w:rPr>
        <w:t>具有良好的商业信誉和健全的财务会计制度</w:t>
      </w:r>
      <w:bookmarkEnd w:id="219"/>
      <w:bookmarkEnd w:id="220"/>
      <w:bookmarkEnd w:id="221"/>
      <w:bookmarkEnd w:id="222"/>
    </w:p>
    <w:p w14:paraId="5EDAE258">
      <w:pPr>
        <w:pStyle w:val="596"/>
        <w:rPr>
          <w:color w:val="auto"/>
          <w:highlight w:val="none"/>
        </w:rPr>
      </w:pPr>
      <w:r>
        <w:rPr>
          <w:rFonts w:hint="eastAsia" w:ascii="宋体"/>
          <w:bCs/>
          <w:color w:val="auto"/>
          <w:szCs w:val="32"/>
          <w:highlight w:val="none"/>
        </w:rPr>
        <w:t>提供符合招标文件要求的资料</w:t>
      </w:r>
    </w:p>
    <w:p w14:paraId="0E2A3139">
      <w:pPr>
        <w:pStyle w:val="633"/>
        <w:outlineLvl w:val="1"/>
        <w:rPr>
          <w:rFonts w:hint="eastAsia"/>
          <w:color w:val="auto"/>
          <w:highlight w:val="none"/>
        </w:rPr>
      </w:pPr>
      <w:r>
        <w:rPr>
          <w:color w:val="auto"/>
          <w:highlight w:val="none"/>
        </w:rPr>
        <w:br w:type="page" w:clear="all"/>
      </w:r>
      <w:bookmarkStart w:id="223" w:name="_Toc29626"/>
      <w:bookmarkStart w:id="224" w:name="_Toc11562_WPSOffice_Level2"/>
      <w:bookmarkStart w:id="225" w:name="_Toc514054489"/>
      <w:bookmarkStart w:id="226" w:name="_Toc164203467"/>
      <w:bookmarkStart w:id="227" w:name="_Toc1350"/>
      <w:bookmarkStart w:id="228" w:name="_Toc26507"/>
      <w:bookmarkStart w:id="229" w:name="_Toc3360"/>
      <w:r>
        <w:rPr>
          <w:color w:val="auto"/>
          <w:highlight w:val="none"/>
        </w:rPr>
        <w:t>四、</w:t>
      </w:r>
      <w:bookmarkEnd w:id="223"/>
      <w:bookmarkEnd w:id="224"/>
      <w:bookmarkEnd w:id="225"/>
      <w:r>
        <w:rPr>
          <w:rFonts w:hint="eastAsia" w:ascii="宋体" w:hAnsi="宋体" w:cs="Arial"/>
          <w:bCs/>
          <w:color w:val="auto"/>
          <w:highlight w:val="none"/>
        </w:rPr>
        <w:t>具有履行合同所必需的设备和专业技术能力</w:t>
      </w:r>
      <w:bookmarkEnd w:id="226"/>
      <w:bookmarkEnd w:id="227"/>
      <w:bookmarkEnd w:id="228"/>
      <w:bookmarkEnd w:id="229"/>
    </w:p>
    <w:p w14:paraId="03AF16BA">
      <w:pPr>
        <w:pStyle w:val="370"/>
        <w:spacing w:line="600" w:lineRule="exact"/>
        <w:jc w:val="center"/>
        <w:rPr>
          <w:rFonts w:hint="eastAsia" w:ascii="宋体" w:hAnsi="宋体"/>
          <w:b/>
          <w:color w:val="auto"/>
          <w:sz w:val="32"/>
          <w:szCs w:val="24"/>
          <w:highlight w:val="none"/>
        </w:rPr>
      </w:pPr>
    </w:p>
    <w:p w14:paraId="6F0787D4">
      <w:pPr>
        <w:pStyle w:val="370"/>
        <w:spacing w:line="600" w:lineRule="exact"/>
        <w:jc w:val="center"/>
        <w:rPr>
          <w:rFonts w:hint="eastAsia" w:ascii="宋体" w:hAnsi="宋体"/>
          <w:b/>
          <w:color w:val="auto"/>
          <w:sz w:val="32"/>
          <w:szCs w:val="24"/>
          <w:highlight w:val="none"/>
        </w:rPr>
      </w:pPr>
      <w:r>
        <w:rPr>
          <w:rFonts w:hint="eastAsia" w:ascii="宋体" w:hAnsi="宋体"/>
          <w:b/>
          <w:color w:val="auto"/>
          <w:sz w:val="32"/>
          <w:szCs w:val="24"/>
          <w:highlight w:val="none"/>
        </w:rPr>
        <w:t>具备履行合同所必需的设备和专业技术能力的声明</w:t>
      </w:r>
    </w:p>
    <w:p w14:paraId="0EF2BAF1">
      <w:pPr>
        <w:pStyle w:val="370"/>
        <w:spacing w:line="600" w:lineRule="exact"/>
        <w:rPr>
          <w:rFonts w:ascii="仿宋_GB2312" w:eastAsia="仿宋_GB2312"/>
          <w:color w:val="auto"/>
          <w:sz w:val="24"/>
          <w:highlight w:val="none"/>
          <w:u w:val="single"/>
        </w:rPr>
      </w:pPr>
    </w:p>
    <w:p w14:paraId="10FA6AD2">
      <w:pPr>
        <w:pStyle w:val="370"/>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（采购单位）</w:t>
      </w:r>
      <w:r>
        <w:rPr>
          <w:rFonts w:hint="eastAsia" w:ascii="仿宋_GB2312" w:eastAsia="仿宋_GB2312"/>
          <w:color w:val="auto"/>
          <w:sz w:val="24"/>
          <w:highlight w:val="none"/>
        </w:rPr>
        <w:t>：</w:t>
      </w:r>
    </w:p>
    <w:p w14:paraId="71E0C7C3">
      <w:pPr>
        <w:pStyle w:val="37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合同的设备和专业技术能力。</w:t>
      </w:r>
    </w:p>
    <w:p w14:paraId="575C7CFF">
      <w:pPr>
        <w:pStyle w:val="370"/>
        <w:spacing w:line="600" w:lineRule="exact"/>
        <w:ind w:firstLine="480"/>
        <w:rPr>
          <w:rFonts w:ascii="仿宋_GB2312" w:eastAsia="仿宋_GB2312"/>
          <w:color w:val="auto"/>
          <w:sz w:val="24"/>
          <w:highlight w:val="none"/>
        </w:rPr>
      </w:pPr>
      <w:r>
        <w:rPr>
          <w:rFonts w:hint="eastAsia" w:ascii="仿宋_GB2312" w:eastAsia="仿宋_GB2312"/>
          <w:color w:val="auto"/>
          <w:sz w:val="24"/>
          <w:highlight w:val="none"/>
        </w:rPr>
        <w:t>特此声明。</w:t>
      </w:r>
    </w:p>
    <w:p w14:paraId="123437E7">
      <w:pPr>
        <w:pStyle w:val="370"/>
        <w:spacing w:line="600" w:lineRule="exact"/>
        <w:ind w:firstLine="480"/>
        <w:rPr>
          <w:rFonts w:ascii="仿宋_GB2312" w:eastAsia="仿宋_GB2312"/>
          <w:color w:val="auto"/>
          <w:sz w:val="24"/>
          <w:highlight w:val="none"/>
        </w:rPr>
      </w:pPr>
    </w:p>
    <w:p w14:paraId="785156A8">
      <w:pPr>
        <w:pStyle w:val="370"/>
        <w:spacing w:line="600" w:lineRule="exact"/>
        <w:jc w:val="center"/>
        <w:rPr>
          <w:rFonts w:ascii="宋体"/>
          <w:b/>
          <w:bCs/>
          <w:color w:val="auto"/>
          <w:sz w:val="32"/>
          <w:szCs w:val="32"/>
          <w:highlight w:val="none"/>
        </w:rPr>
      </w:pPr>
    </w:p>
    <w:p w14:paraId="63765EA5">
      <w:pPr>
        <w:pStyle w:val="363"/>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F19C445">
      <w:pPr>
        <w:pStyle w:val="363"/>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2A8B6D39">
      <w:pPr>
        <w:pStyle w:val="566"/>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41E9FB99">
      <w:pPr>
        <w:pStyle w:val="378"/>
        <w:spacing w:after="100" w:afterAutospacing="1"/>
        <w:rPr>
          <w:rFonts w:ascii="宋体" w:hAnsi="宋体" w:cs="Arial"/>
          <w:bCs/>
          <w:color w:val="auto"/>
          <w:highlight w:val="none"/>
        </w:rPr>
      </w:pPr>
      <w:r>
        <w:rPr>
          <w:color w:val="auto"/>
          <w:highlight w:val="none"/>
        </w:rPr>
        <w:br w:type="page" w:clear="all"/>
      </w:r>
      <w:bookmarkStart w:id="230" w:name="_Toc13419"/>
      <w:bookmarkStart w:id="231" w:name="_Toc514054490"/>
      <w:bookmarkStart w:id="232" w:name="_Toc467_WPSOffice_Level2"/>
      <w:bookmarkStart w:id="233" w:name="_Toc19673"/>
      <w:bookmarkStart w:id="234" w:name="_Toc514054491"/>
      <w:bookmarkStart w:id="235" w:name="_Toc10808"/>
      <w:bookmarkStart w:id="236" w:name="_Toc5571_WPSOffice_Level2"/>
      <w:r>
        <w:rPr>
          <w:rFonts w:hint="eastAsia" w:ascii="宋体" w:hAnsi="宋体" w:eastAsia="黑体" w:cs="Arial"/>
          <w:b/>
          <w:bCs/>
          <w:color w:val="auto"/>
          <w:sz w:val="32"/>
          <w:highlight w:val="none"/>
        </w:rPr>
        <w:t>五、</w:t>
      </w:r>
      <w:bookmarkEnd w:id="230"/>
      <w:bookmarkEnd w:id="231"/>
      <w:bookmarkEnd w:id="232"/>
      <w:r>
        <w:rPr>
          <w:rFonts w:hint="eastAsia" w:ascii="宋体" w:hAnsi="宋体" w:eastAsia="黑体" w:cs="Arial"/>
          <w:b/>
          <w:bCs/>
          <w:color w:val="auto"/>
          <w:sz w:val="32"/>
          <w:highlight w:val="none"/>
        </w:rPr>
        <w:t>有依法缴纳税收和社会保障资金的良好记录</w:t>
      </w:r>
    </w:p>
    <w:p w14:paraId="4865F8E5">
      <w:pPr>
        <w:pStyle w:val="596"/>
        <w:rPr>
          <w:color w:val="auto"/>
          <w:highlight w:val="none"/>
        </w:rPr>
      </w:pPr>
      <w:r>
        <w:rPr>
          <w:rFonts w:hint="eastAsia" w:ascii="宋体"/>
          <w:bCs/>
          <w:color w:val="auto"/>
          <w:szCs w:val="32"/>
          <w:highlight w:val="none"/>
        </w:rPr>
        <w:t>提供符合招标文件要求的资料</w:t>
      </w:r>
    </w:p>
    <w:p w14:paraId="0B0A3AA4">
      <w:pPr>
        <w:rPr>
          <w:rFonts w:hint="eastAsia" w:ascii="黑体" w:hAnsi="黑体" w:eastAsia="黑体"/>
          <w:color w:val="auto"/>
          <w:sz w:val="32"/>
          <w:highlight w:val="none"/>
        </w:rPr>
      </w:pPr>
      <w:r>
        <w:rPr>
          <w:color w:val="auto"/>
          <w:highlight w:val="none"/>
        </w:rPr>
        <w:br w:type="page" w:clear="all"/>
      </w:r>
    </w:p>
    <w:p w14:paraId="22786A11">
      <w:pPr>
        <w:pStyle w:val="397"/>
        <w:outlineLvl w:val="1"/>
        <w:rPr>
          <w:rFonts w:hint="eastAsia"/>
          <w:color w:val="auto"/>
          <w:highlight w:val="none"/>
        </w:rPr>
      </w:pPr>
      <w:bookmarkStart w:id="237" w:name="_Toc164203468"/>
      <w:bookmarkStart w:id="238" w:name="_Toc12145"/>
      <w:bookmarkStart w:id="239" w:name="_Toc25541"/>
      <w:bookmarkStart w:id="240" w:name="_Toc16607"/>
      <w:r>
        <w:rPr>
          <w:color w:val="auto"/>
          <w:highlight w:val="none"/>
        </w:rPr>
        <w:t>六、无重大违法行为声明</w:t>
      </w:r>
      <w:bookmarkEnd w:id="233"/>
      <w:bookmarkEnd w:id="234"/>
      <w:bookmarkEnd w:id="235"/>
      <w:bookmarkEnd w:id="236"/>
      <w:bookmarkEnd w:id="237"/>
      <w:bookmarkEnd w:id="238"/>
      <w:bookmarkEnd w:id="239"/>
      <w:bookmarkEnd w:id="240"/>
    </w:p>
    <w:p w14:paraId="0089C268">
      <w:pPr>
        <w:pStyle w:val="594"/>
        <w:tabs>
          <w:tab w:val="left" w:pos="1498"/>
        </w:tabs>
        <w:spacing w:line="580" w:lineRule="exact"/>
        <w:jc w:val="center"/>
        <w:rPr>
          <w:b/>
          <w:color w:val="auto"/>
          <w:sz w:val="32"/>
          <w:szCs w:val="32"/>
          <w:highlight w:val="none"/>
        </w:rPr>
      </w:pPr>
      <w:bookmarkStart w:id="241" w:name="_Toc7575_WPSOffice_Level2"/>
      <w:r>
        <w:rPr>
          <w:rFonts w:hint="eastAsia"/>
          <w:b/>
          <w:color w:val="auto"/>
          <w:sz w:val="32"/>
          <w:szCs w:val="32"/>
          <w:highlight w:val="none"/>
        </w:rPr>
        <w:t>无重大违法行为声明</w:t>
      </w:r>
      <w:bookmarkEnd w:id="241"/>
    </w:p>
    <w:p w14:paraId="3FF3B40C">
      <w:pPr>
        <w:pStyle w:val="594"/>
        <w:tabs>
          <w:tab w:val="left" w:pos="1498"/>
        </w:tabs>
        <w:spacing w:line="580" w:lineRule="exact"/>
        <w:rPr>
          <w:rFonts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名称）</w:t>
      </w:r>
      <w:r>
        <w:rPr>
          <w:rFonts w:hint="eastAsia"/>
          <w:color w:val="auto"/>
          <w:sz w:val="24"/>
          <w:highlight w:val="none"/>
          <w:u w:val="single"/>
        </w:rPr>
        <w:t xml:space="preserve">    </w:t>
      </w:r>
      <w:r>
        <w:rPr>
          <w:rFonts w:hint="eastAsia" w:ascii="仿宋_GB2312" w:eastAsia="仿宋_GB2312"/>
          <w:color w:val="auto"/>
          <w:sz w:val="24"/>
          <w:highlight w:val="none"/>
        </w:rPr>
        <w:t>：</w:t>
      </w:r>
    </w:p>
    <w:p w14:paraId="034F06E8">
      <w:pPr>
        <w:pStyle w:val="594"/>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项目的投标活动前3年内，</w:t>
      </w:r>
      <w:r>
        <w:rPr>
          <w:rFonts w:ascii="仿宋_GB2312" w:eastAsia="仿宋_GB2312"/>
          <w:color w:val="auto"/>
          <w:sz w:val="24"/>
          <w:highlight w:val="none"/>
        </w:rPr>
        <w:t>在经营活动中没有重大违法记录</w:t>
      </w:r>
      <w:r>
        <w:rPr>
          <w:rFonts w:hint="eastAsia" w:ascii="仿宋_GB2312" w:eastAsia="仿宋_GB2312"/>
          <w:color w:val="auto"/>
          <w:sz w:val="24"/>
          <w:highlight w:val="none"/>
        </w:rPr>
        <w:t>。</w:t>
      </w:r>
    </w:p>
    <w:p w14:paraId="09C8A95B">
      <w:pPr>
        <w:pStyle w:val="594"/>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特此声明。</w:t>
      </w:r>
    </w:p>
    <w:p w14:paraId="7215CEF1">
      <w:pPr>
        <w:pStyle w:val="594"/>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p>
    <w:p w14:paraId="49B0DDF0">
      <w:pPr>
        <w:pStyle w:val="594"/>
        <w:spacing w:line="600" w:lineRule="exact"/>
        <w:ind w:firstLine="600"/>
        <w:rPr>
          <w:rFonts w:ascii="仿宋_GB2312" w:eastAsia="仿宋_GB2312"/>
          <w:color w:val="auto"/>
          <w:sz w:val="24"/>
          <w:highlight w:val="none"/>
        </w:rPr>
      </w:pPr>
    </w:p>
    <w:p w14:paraId="213F2E8F">
      <w:pPr>
        <w:pStyle w:val="594"/>
        <w:spacing w:line="600" w:lineRule="exact"/>
        <w:ind w:firstLine="600"/>
        <w:rPr>
          <w:rFonts w:ascii="仿宋_GB2312" w:eastAsia="仿宋_GB2312"/>
          <w:color w:val="auto"/>
          <w:sz w:val="24"/>
          <w:highlight w:val="none"/>
        </w:rPr>
      </w:pPr>
    </w:p>
    <w:p w14:paraId="0FE9ECC8">
      <w:pPr>
        <w:pStyle w:val="363"/>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1C2D7D6A">
      <w:pPr>
        <w:pStyle w:val="363"/>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18310D4C">
      <w:pPr>
        <w:pStyle w:val="546"/>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2CD7E285">
      <w:pPr>
        <w:pStyle w:val="352"/>
        <w:outlineLvl w:val="1"/>
        <w:rPr>
          <w:rFonts w:hint="eastAsia" w:cs="黑体"/>
          <w:color w:val="auto"/>
          <w:spacing w:val="-1"/>
          <w:sz w:val="36"/>
          <w:szCs w:val="36"/>
          <w:highlight w:val="none"/>
        </w:rPr>
      </w:pPr>
      <w:r>
        <w:rPr>
          <w:color w:val="auto"/>
          <w:highlight w:val="none"/>
        </w:rPr>
        <w:br w:type="page" w:clear="all"/>
      </w:r>
      <w:bookmarkStart w:id="242" w:name="_Toc514054487"/>
      <w:bookmarkStart w:id="243" w:name="_Toc30260_WPSOffice_Level2"/>
      <w:bookmarkStart w:id="244" w:name="_Toc20784"/>
      <w:bookmarkStart w:id="245" w:name="_Toc30396"/>
      <w:r>
        <w:rPr>
          <w:rFonts w:hint="eastAsia"/>
          <w:color w:val="auto"/>
          <w:highlight w:val="none"/>
        </w:rPr>
        <w:t>七、</w:t>
      </w:r>
      <w:bookmarkEnd w:id="242"/>
      <w:bookmarkEnd w:id="243"/>
      <w:r>
        <w:rPr>
          <w:rFonts w:hint="eastAsia"/>
          <w:color w:val="auto"/>
          <w:highlight w:val="none"/>
        </w:rPr>
        <w:t>南京市政府采购供应商信用记录表暨信用承诺书</w:t>
      </w:r>
      <w:bookmarkEnd w:id="244"/>
    </w:p>
    <w:p w14:paraId="7119CDD9">
      <w:pPr>
        <w:pStyle w:val="473"/>
        <w:rPr>
          <w:rFonts w:hint="eastAsia" w:cs="黑体"/>
          <w:color w:val="auto"/>
          <w:spacing w:val="-1"/>
          <w:sz w:val="36"/>
          <w:szCs w:val="36"/>
          <w:highlight w:val="none"/>
        </w:rPr>
      </w:pPr>
    </w:p>
    <w:p w14:paraId="05FAED41">
      <w:pPr>
        <w:rPr>
          <w:color w:val="auto"/>
          <w:highlight w:val="none"/>
        </w:rPr>
      </w:pPr>
      <w:r>
        <w:rPr>
          <w:rFonts w:cs="宋体"/>
          <w:color w:val="auto"/>
          <w:highlight w:val="none"/>
        </w:rPr>
        <w:t>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w:t>
      </w:r>
      <w:r>
        <w:rPr>
          <w:rFonts w:hint="eastAsia" w:cs="宋体"/>
          <w:color w:val="auto"/>
          <w:highlight w:val="none"/>
        </w:rPr>
        <w:t>投标文件</w:t>
      </w:r>
      <w:r>
        <w:rPr>
          <w:rFonts w:cs="宋体"/>
          <w:color w:val="auto"/>
          <w:highlight w:val="none"/>
        </w:rPr>
        <w:t>中。</w:t>
      </w:r>
    </w:p>
    <w:p w14:paraId="066C8DFD">
      <w:pPr>
        <w:pStyle w:val="14"/>
        <w:rPr>
          <w:rFonts w:eastAsia="宋体"/>
          <w:color w:val="auto"/>
          <w:highlight w:val="none"/>
        </w:rPr>
      </w:pPr>
    </w:p>
    <w:p w14:paraId="0D8FDF4E">
      <w:pPr>
        <w:pStyle w:val="14"/>
        <w:rPr>
          <w:rFonts w:eastAsia="宋体"/>
          <w:color w:val="auto"/>
          <w:highlight w:val="none"/>
        </w:rPr>
      </w:pPr>
      <w:r>
        <w:rPr>
          <w:rFonts w:hint="eastAsia" w:eastAsia="宋体"/>
          <w:color w:val="auto"/>
          <w:highlight w:val="none"/>
        </w:rPr>
        <w:t>注：</w:t>
      </w:r>
      <w:bookmarkStart w:id="246" w:name="_Toc26015"/>
    </w:p>
    <w:p w14:paraId="6376763F">
      <w:pPr>
        <w:pStyle w:val="473"/>
        <w:numPr>
          <w:ilvl w:val="0"/>
          <w:numId w:val="13"/>
        </w:numPr>
        <w:rPr>
          <w:rFonts w:hint="eastAsia" w:ascii="Times New Roman" w:hAnsi="宋体" w:eastAsia="宋体"/>
          <w:bCs/>
          <w:color w:val="auto"/>
          <w:sz w:val="24"/>
          <w:highlight w:val="none"/>
        </w:rPr>
      </w:pPr>
      <w:r>
        <w:rPr>
          <w:rFonts w:ascii="Times New Roman" w:hAnsi="宋体" w:eastAsia="宋体"/>
          <w:bCs/>
          <w:color w:val="auto"/>
          <w:sz w:val="24"/>
          <w:highlight w:val="none"/>
        </w:rPr>
        <w:t>自身符合《政府采购法》第二十二条规定、按</w:t>
      </w:r>
      <w:r>
        <w:rPr>
          <w:rFonts w:hint="eastAsia" w:ascii="Times New Roman" w:hAnsi="宋体" w:eastAsia="宋体"/>
          <w:bCs/>
          <w:color w:val="auto"/>
          <w:sz w:val="24"/>
          <w:highlight w:val="none"/>
        </w:rPr>
        <w:t>约定提交相关材料的承诺，以及违背承诺自愿承担相关责任的约定。</w:t>
      </w:r>
    </w:p>
    <w:p w14:paraId="52A33098">
      <w:pPr>
        <w:pStyle w:val="473"/>
        <w:rPr>
          <w:rFonts w:hint="eastAsia" w:ascii="Times New Roman" w:hAnsi="宋体" w:eastAsia="宋体"/>
          <w:bCs/>
          <w:color w:val="auto"/>
          <w:sz w:val="24"/>
          <w:highlight w:val="none"/>
        </w:rPr>
      </w:pPr>
    </w:p>
    <w:p w14:paraId="598C0BA9">
      <w:pPr>
        <w:pStyle w:val="473"/>
        <w:numPr>
          <w:ilvl w:val="0"/>
          <w:numId w:val="14"/>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不适用信用承诺的情形</w:t>
      </w:r>
      <w:bookmarkEnd w:id="246"/>
    </w:p>
    <w:p w14:paraId="6CA8476E">
      <w:pPr>
        <w:rPr>
          <w:color w:val="auto"/>
          <w:highlight w:val="none"/>
        </w:rPr>
      </w:pPr>
      <w:r>
        <w:rPr>
          <w:rFonts w:hint="eastAsia"/>
          <w:color w:val="auto"/>
          <w:highlight w:val="none"/>
        </w:rPr>
        <w:t xml:space="preserve">（一）供应商被列入严重失信主体名单； </w:t>
      </w:r>
    </w:p>
    <w:p w14:paraId="0EC93C87">
      <w:pPr>
        <w:rPr>
          <w:color w:val="auto"/>
          <w:highlight w:val="none"/>
        </w:rPr>
      </w:pPr>
      <w:r>
        <w:rPr>
          <w:rFonts w:hint="eastAsia"/>
          <w:color w:val="auto"/>
          <w:highlight w:val="none"/>
        </w:rPr>
        <w:t xml:space="preserve">（二）被相关监管部门作出行政处罚且尚在处罚有效期内； </w:t>
      </w:r>
    </w:p>
    <w:p w14:paraId="5923BA5E">
      <w:pPr>
        <w:pStyle w:val="14"/>
        <w:rPr>
          <w:rFonts w:eastAsia="宋体"/>
          <w:color w:val="auto"/>
          <w:highlight w:val="none"/>
        </w:rPr>
      </w:pPr>
      <w:r>
        <w:rPr>
          <w:rFonts w:hint="eastAsia" w:eastAsia="宋体"/>
          <w:color w:val="auto"/>
          <w:highlight w:val="none"/>
        </w:rPr>
        <w:t>（三）其他法律、行政法规规定的不适用信用承诺的情形。</w:t>
      </w:r>
    </w:p>
    <w:p w14:paraId="4AB1923F">
      <w:pPr>
        <w:pStyle w:val="14"/>
        <w:rPr>
          <w:rFonts w:eastAsia="宋体"/>
          <w:color w:val="auto"/>
          <w:highlight w:val="none"/>
        </w:rPr>
      </w:pPr>
    </w:p>
    <w:p w14:paraId="19445C85">
      <w:pPr>
        <w:pStyle w:val="473"/>
        <w:numPr>
          <w:ilvl w:val="0"/>
          <w:numId w:val="14"/>
        </w:numPr>
        <w:rPr>
          <w:rFonts w:hint="eastAsia" w:ascii="Times New Roman" w:hAnsi="宋体" w:eastAsia="宋体"/>
          <w:bCs/>
          <w:color w:val="auto"/>
          <w:sz w:val="24"/>
          <w:highlight w:val="none"/>
        </w:rPr>
      </w:pPr>
      <w:bookmarkStart w:id="247" w:name="_Toc24679"/>
      <w:r>
        <w:rPr>
          <w:rFonts w:hint="eastAsia" w:ascii="Times New Roman" w:hAnsi="宋体" w:eastAsia="宋体"/>
          <w:bCs/>
          <w:color w:val="auto"/>
          <w:sz w:val="24"/>
          <w:highlight w:val="none"/>
        </w:rPr>
        <w:t>违反信用承诺的法律责任</w:t>
      </w:r>
      <w:bookmarkEnd w:id="247"/>
      <w:r>
        <w:rPr>
          <w:rFonts w:hint="eastAsia" w:ascii="Times New Roman" w:hAnsi="宋体" w:eastAsia="宋体"/>
          <w:bCs/>
          <w:color w:val="auto"/>
          <w:sz w:val="24"/>
          <w:highlight w:val="none"/>
        </w:rPr>
        <w:t xml:space="preserve"> </w:t>
      </w:r>
    </w:p>
    <w:p w14:paraId="6E9E27CA">
      <w:pPr>
        <w:rPr>
          <w:color w:val="auto"/>
          <w:highlight w:val="none"/>
        </w:rPr>
      </w:pPr>
      <w:r>
        <w:rPr>
          <w:rFonts w:hint="eastAsia"/>
          <w:color w:val="auto"/>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4469698B">
      <w:pPr>
        <w:pStyle w:val="14"/>
        <w:rPr>
          <w:rFonts w:eastAsia="宋体"/>
          <w:color w:val="auto"/>
          <w:highlight w:val="none"/>
        </w:rPr>
      </w:pPr>
    </w:p>
    <w:p w14:paraId="1B02C866">
      <w:pPr>
        <w:pStyle w:val="473"/>
        <w:numPr>
          <w:ilvl w:val="0"/>
          <w:numId w:val="14"/>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不适用信用承诺的供应商仍须按招标文件要求提供资格审查要求的证明材料。</w:t>
      </w:r>
    </w:p>
    <w:p w14:paraId="54CEAECB">
      <w:pPr>
        <w:pStyle w:val="539"/>
        <w:rPr>
          <w:rFonts w:hint="eastAsia"/>
          <w:color w:val="auto"/>
          <w:highlight w:val="none"/>
        </w:rPr>
      </w:pPr>
    </w:p>
    <w:p w14:paraId="1814955D">
      <w:pPr>
        <w:rPr>
          <w:rFonts w:hint="eastAsia" w:ascii="黑体" w:hAnsi="黑体" w:eastAsia="黑体"/>
          <w:color w:val="auto"/>
          <w:sz w:val="32"/>
          <w:highlight w:val="none"/>
        </w:rPr>
      </w:pPr>
      <w:bookmarkStart w:id="248" w:name="_Toc19202"/>
      <w:r>
        <w:rPr>
          <w:color w:val="auto"/>
          <w:highlight w:val="none"/>
        </w:rPr>
        <w:br w:type="page" w:clear="all"/>
      </w:r>
    </w:p>
    <w:p w14:paraId="68B2CEAC">
      <w:pPr>
        <w:pStyle w:val="352"/>
        <w:outlineLvl w:val="1"/>
        <w:rPr>
          <w:rFonts w:hint="eastAsia"/>
          <w:color w:val="auto"/>
          <w:highlight w:val="none"/>
        </w:rPr>
      </w:pPr>
      <w:bookmarkStart w:id="249" w:name="_Toc26700"/>
      <w:bookmarkStart w:id="250" w:name="_Toc164203469"/>
      <w:bookmarkStart w:id="251" w:name="_Toc28775"/>
      <w:bookmarkStart w:id="252" w:name="_Toc20806"/>
      <w:r>
        <w:rPr>
          <w:rFonts w:hint="eastAsia"/>
          <w:color w:val="auto"/>
          <w:highlight w:val="none"/>
        </w:rPr>
        <w:t>八</w:t>
      </w:r>
      <w:r>
        <w:rPr>
          <w:color w:val="auto"/>
          <w:highlight w:val="none"/>
        </w:rPr>
        <w:t>、投标函</w:t>
      </w:r>
      <w:bookmarkEnd w:id="245"/>
      <w:bookmarkEnd w:id="248"/>
      <w:bookmarkEnd w:id="249"/>
      <w:bookmarkEnd w:id="250"/>
      <w:bookmarkEnd w:id="251"/>
      <w:bookmarkEnd w:id="252"/>
    </w:p>
    <w:p w14:paraId="2EAF9E09">
      <w:pPr>
        <w:pStyle w:val="432"/>
        <w:tabs>
          <w:tab w:val="left" w:pos="1498"/>
        </w:tabs>
        <w:spacing w:line="580" w:lineRule="exact"/>
        <w:rPr>
          <w:rFonts w:ascii="仿宋_GB2312" w:eastAsia="仿宋_GB2312"/>
          <w:color w:val="auto"/>
          <w:sz w:val="24"/>
          <w:szCs w:val="22"/>
          <w:highlight w:val="none"/>
        </w:rPr>
      </w:pPr>
      <w:bookmarkStart w:id="253" w:name="_Toc22395"/>
      <w:bookmarkStart w:id="254" w:name="_Toc19604"/>
      <w:r>
        <w:rPr>
          <w:rFonts w:hint="eastAsia"/>
          <w:color w:val="auto"/>
          <w:sz w:val="24"/>
          <w:highlight w:val="none"/>
          <w:u w:val="single"/>
        </w:rPr>
        <w:t xml:space="preserve">                      </w:t>
      </w:r>
      <w:r>
        <w:rPr>
          <w:rFonts w:hint="eastAsia" w:ascii="仿宋_GB2312" w:eastAsia="仿宋_GB2312"/>
          <w:color w:val="auto"/>
          <w:sz w:val="24"/>
          <w:highlight w:val="none"/>
        </w:rPr>
        <w:t>：</w:t>
      </w:r>
    </w:p>
    <w:p w14:paraId="224E9B49">
      <w:pPr>
        <w:pStyle w:val="432"/>
        <w:tabs>
          <w:tab w:val="left" w:pos="1498"/>
        </w:tabs>
        <w:spacing w:line="360" w:lineRule="exact"/>
        <w:ind w:firstLine="480"/>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，包号为：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的招标活动并投标，为此，我方郑重声明以下诸点，并负法律责任。</w:t>
      </w:r>
    </w:p>
    <w:p w14:paraId="3CA7F518">
      <w:pPr>
        <w:pStyle w:val="432"/>
        <w:numPr>
          <w:ilvl w:val="0"/>
          <w:numId w:val="15"/>
        </w:numP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经研究招标文件的全部内容后，我方愿按招标文件的规定要求提供所有货物和服务；</w:t>
      </w:r>
    </w:p>
    <w:p w14:paraId="12726EB1">
      <w:pPr>
        <w:pStyle w:val="432"/>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二、</w:t>
      </w:r>
      <w:r>
        <w:rPr>
          <w:rFonts w:hint="eastAsia" w:ascii="仿宋_GB2312" w:eastAsia="仿宋_GB2312"/>
          <w:b/>
          <w:bCs/>
          <w:color w:val="auto"/>
          <w:sz w:val="24"/>
          <w:highlight w:val="none"/>
        </w:rPr>
        <w:t xml:space="preserve">我方没有为本采购项目提供整体设计、规范编制，以及项目管理、监理、检测等服务。 </w:t>
      </w:r>
    </w:p>
    <w:p w14:paraId="4B0D2F07">
      <w:pPr>
        <w:pStyle w:val="432"/>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p>
    <w:p w14:paraId="53D1F842">
      <w:pPr>
        <w:pStyle w:val="432"/>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p>
    <w:p w14:paraId="392DD837">
      <w:pPr>
        <w:pStyle w:val="432"/>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五、我们理解，最低报价不是中标的唯一条件，你们有选择中标人的权利；</w:t>
      </w:r>
    </w:p>
    <w:p w14:paraId="2ECC8076">
      <w:pPr>
        <w:pStyle w:val="432"/>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668F778">
      <w:pPr>
        <w:pStyle w:val="432"/>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七、一旦我方中标，我方将根据招标文件的规定，严格按照《中华人民共和国民法典》履行自己的责任和义务，并保证于我方承诺的期限内完成项目规定的所有内容。</w:t>
      </w:r>
    </w:p>
    <w:p w14:paraId="33EAB72C">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八、我方同意遵守贵方有关招标投标的各项规定；</w:t>
      </w:r>
    </w:p>
    <w:p w14:paraId="4E81E122">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九、我方响应招标文件规定的投标有效期。</w:t>
      </w:r>
    </w:p>
    <w:p w14:paraId="67A6C07F">
      <w:pPr>
        <w:pStyle w:val="464"/>
        <w:tabs>
          <w:tab w:val="left" w:pos="1498"/>
        </w:tabs>
        <w:spacing w:line="360" w:lineRule="exact"/>
        <w:ind w:firstLine="482"/>
        <w:rPr>
          <w:rFonts w:ascii="仿宋_GB2312" w:eastAsia="仿宋_GB2312"/>
          <w:b/>
          <w:bCs/>
          <w:color w:val="auto"/>
          <w:sz w:val="24"/>
          <w:highlight w:val="none"/>
        </w:rPr>
      </w:pPr>
      <w:r>
        <w:rPr>
          <w:rFonts w:hint="eastAsia" w:ascii="仿宋_GB2312" w:eastAsia="仿宋_GB2312"/>
          <w:b/>
          <w:bCs/>
          <w:color w:val="auto"/>
          <w:sz w:val="24"/>
          <w:highlight w:val="none"/>
        </w:rPr>
        <w:t>十、我司承诺若获得中标资格，我司保证在领取中标通知书前按照招标文件约定的标准，向采购代理机构一次性缴纳中标服务费。</w:t>
      </w:r>
    </w:p>
    <w:p w14:paraId="0333BE9A">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323D416">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p>
    <w:p w14:paraId="408C4E66">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联系人：</w:t>
      </w:r>
      <w:r>
        <w:rPr>
          <w:rFonts w:hint="eastAsia" w:ascii="仿宋_GB2312" w:eastAsia="仿宋_GB2312"/>
          <w:color w:val="auto"/>
          <w:sz w:val="24"/>
          <w:highlight w:val="none"/>
          <w:u w:val="single"/>
        </w:rPr>
        <w:t xml:space="preserve">               </w:t>
      </w:r>
    </w:p>
    <w:p w14:paraId="61A879F1">
      <w:pPr>
        <w:pStyle w:val="464"/>
        <w:tabs>
          <w:tab w:val="left" w:pos="1498"/>
        </w:tabs>
        <w:spacing w:line="360" w:lineRule="exact"/>
        <w:ind w:firstLine="480"/>
        <w:rPr>
          <w:rFonts w:ascii="仿宋_GB2312" w:eastAsia="仿宋_GB2312"/>
          <w:color w:val="auto"/>
          <w:sz w:val="24"/>
          <w:highlight w:val="none"/>
          <w:u w:val="single"/>
        </w:rPr>
      </w:pPr>
      <w:r>
        <w:rPr>
          <w:rFonts w:hint="eastAsia" w:ascii="仿宋_GB2312" w:eastAsia="仿宋_GB2312"/>
          <w:color w:val="auto"/>
          <w:sz w:val="24"/>
          <w:highlight w:val="none"/>
        </w:rPr>
        <w:t>地址：</w:t>
      </w:r>
      <w:r>
        <w:rPr>
          <w:rFonts w:hint="eastAsia" w:ascii="仿宋_GB2312" w:eastAsia="仿宋_GB2312"/>
          <w:color w:val="auto"/>
          <w:sz w:val="24"/>
          <w:highlight w:val="none"/>
          <w:u w:val="single"/>
        </w:rPr>
        <w:t xml:space="preserve">                 </w:t>
      </w:r>
    </w:p>
    <w:p w14:paraId="175AF90E">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18115426">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p>
    <w:p w14:paraId="6BD5E2E9">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6EEBD3">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4559B5C6">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 </w:t>
      </w:r>
    </w:p>
    <w:p w14:paraId="1D9F48A5">
      <w:pPr>
        <w:pStyle w:val="46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日 期： 年 月 日</w:t>
      </w:r>
    </w:p>
    <w:p w14:paraId="02B2A202">
      <w:pPr>
        <w:pStyle w:val="352"/>
        <w:outlineLvl w:val="1"/>
        <w:rPr>
          <w:rFonts w:hint="eastAsia"/>
          <w:color w:val="auto"/>
          <w:highlight w:val="none"/>
        </w:rPr>
      </w:pPr>
      <w:r>
        <w:rPr>
          <w:rFonts w:hint="eastAsia" w:ascii="仿宋_GB2312" w:hAnsi="Times New Roman" w:eastAsia="仿宋_GB2312"/>
          <w:color w:val="auto"/>
          <w:sz w:val="24"/>
          <w:highlight w:val="none"/>
        </w:rPr>
        <w:br w:type="page" w:clear="all"/>
      </w:r>
      <w:bookmarkStart w:id="255" w:name="_Toc14010"/>
      <w:bookmarkStart w:id="256" w:name="_Toc10914"/>
      <w:bookmarkStart w:id="257" w:name="_Toc164203470"/>
      <w:bookmarkStart w:id="258" w:name="_Toc12153"/>
      <w:r>
        <w:rPr>
          <w:rFonts w:hint="eastAsia"/>
          <w:color w:val="auto"/>
          <w:highlight w:val="none"/>
        </w:rPr>
        <w:t>九、法定代表人身份证明或授权委托书</w:t>
      </w:r>
      <w:bookmarkEnd w:id="253"/>
      <w:bookmarkEnd w:id="254"/>
      <w:bookmarkEnd w:id="255"/>
      <w:bookmarkEnd w:id="256"/>
      <w:bookmarkEnd w:id="257"/>
      <w:bookmarkEnd w:id="258"/>
    </w:p>
    <w:p w14:paraId="19FDE5D2">
      <w:pPr>
        <w:pStyle w:val="595"/>
        <w:spacing w:line="560" w:lineRule="exact"/>
        <w:jc w:val="center"/>
        <w:rPr>
          <w:rFonts w:ascii="宋体"/>
          <w:b/>
          <w:bCs/>
          <w:color w:val="auto"/>
          <w:sz w:val="32"/>
          <w:szCs w:val="32"/>
          <w:highlight w:val="none"/>
        </w:rPr>
      </w:pPr>
      <w:r>
        <w:rPr>
          <w:rFonts w:ascii="宋体"/>
          <w:b/>
          <w:bCs/>
          <w:color w:val="auto"/>
          <w:sz w:val="32"/>
          <w:szCs w:val="32"/>
          <w:highlight w:val="none"/>
        </w:rPr>
        <w:t>法定代表人身份证明</w:t>
      </w:r>
    </w:p>
    <w:p w14:paraId="3C665A85">
      <w:pPr>
        <w:pStyle w:val="498"/>
        <w:spacing w:line="480" w:lineRule="exact"/>
        <w:rPr>
          <w:rFonts w:eastAsia="仿宋_GB2312"/>
          <w:color w:val="auto"/>
          <w:sz w:val="24"/>
          <w:highlight w:val="none"/>
        </w:rPr>
      </w:pPr>
    </w:p>
    <w:p w14:paraId="3DAB77C2">
      <w:pPr>
        <w:pStyle w:val="498"/>
        <w:spacing w:line="480" w:lineRule="exact"/>
        <w:rPr>
          <w:rFonts w:eastAsia="仿宋_GB2312"/>
          <w:color w:val="auto"/>
          <w:sz w:val="24"/>
          <w:highlight w:val="none"/>
        </w:rPr>
      </w:pPr>
      <w:r>
        <w:rPr>
          <w:rFonts w:hint="eastAsia" w:eastAsia="仿宋_GB2312"/>
          <w:color w:val="auto"/>
          <w:sz w:val="24"/>
          <w:highlight w:val="none"/>
        </w:rPr>
        <w:t>供应商</w:t>
      </w:r>
      <w:r>
        <w:rPr>
          <w:rFonts w:eastAsia="仿宋_GB2312"/>
          <w:color w:val="auto"/>
          <w:sz w:val="24"/>
          <w:highlight w:val="none"/>
        </w:rPr>
        <w:t>名称：</w:t>
      </w:r>
      <w:r>
        <w:rPr>
          <w:rFonts w:eastAsia="仿宋_GB2312"/>
          <w:color w:val="auto"/>
          <w:sz w:val="24"/>
          <w:highlight w:val="none"/>
          <w:u w:val="single"/>
        </w:rPr>
        <w:t xml:space="preserve">                            </w:t>
      </w:r>
      <w:r>
        <w:rPr>
          <w:rFonts w:eastAsia="仿宋_GB2312"/>
          <w:color w:val="auto"/>
          <w:sz w:val="24"/>
          <w:highlight w:val="none"/>
        </w:rPr>
        <w:t xml:space="preserve"> </w:t>
      </w:r>
    </w:p>
    <w:p w14:paraId="761E2657">
      <w:pPr>
        <w:pStyle w:val="498"/>
        <w:spacing w:line="480" w:lineRule="exact"/>
        <w:rPr>
          <w:rFonts w:eastAsia="仿宋_GB2312"/>
          <w:color w:val="auto"/>
          <w:sz w:val="24"/>
          <w:highlight w:val="none"/>
        </w:rPr>
      </w:pPr>
      <w:r>
        <w:rPr>
          <w:rFonts w:eastAsia="仿宋_GB2312"/>
          <w:color w:val="auto"/>
          <w:sz w:val="24"/>
          <w:highlight w:val="none"/>
        </w:rPr>
        <w:t>单位性质：</w:t>
      </w:r>
      <w:r>
        <w:rPr>
          <w:rFonts w:eastAsia="仿宋_GB2312"/>
          <w:color w:val="auto"/>
          <w:sz w:val="24"/>
          <w:highlight w:val="none"/>
          <w:u w:val="single"/>
        </w:rPr>
        <w:t xml:space="preserve">                               </w:t>
      </w:r>
      <w:r>
        <w:rPr>
          <w:rFonts w:eastAsia="仿宋_GB2312"/>
          <w:color w:val="auto"/>
          <w:sz w:val="24"/>
          <w:highlight w:val="none"/>
        </w:rPr>
        <w:t xml:space="preserve"> </w:t>
      </w:r>
    </w:p>
    <w:p w14:paraId="7DB1C1C7">
      <w:pPr>
        <w:pStyle w:val="498"/>
        <w:spacing w:line="480" w:lineRule="exact"/>
        <w:rPr>
          <w:rFonts w:eastAsia="仿宋_GB2312"/>
          <w:color w:val="auto"/>
          <w:sz w:val="24"/>
          <w:highlight w:val="none"/>
        </w:rPr>
      </w:pPr>
      <w:r>
        <w:rPr>
          <w:rFonts w:eastAsia="仿宋_GB2312"/>
          <w:color w:val="auto"/>
          <w:sz w:val="24"/>
          <w:highlight w:val="none"/>
        </w:rPr>
        <w:t>地址：</w:t>
      </w:r>
      <w:r>
        <w:rPr>
          <w:rFonts w:eastAsia="仿宋_GB2312"/>
          <w:color w:val="auto"/>
          <w:sz w:val="24"/>
          <w:highlight w:val="none"/>
          <w:u w:val="single"/>
        </w:rPr>
        <w:t xml:space="preserve">                                   </w:t>
      </w:r>
    </w:p>
    <w:p w14:paraId="2763D7F8">
      <w:pPr>
        <w:pStyle w:val="498"/>
        <w:spacing w:line="480" w:lineRule="exact"/>
        <w:rPr>
          <w:rFonts w:eastAsia="仿宋_GB2312"/>
          <w:color w:val="auto"/>
          <w:sz w:val="24"/>
          <w:highlight w:val="none"/>
        </w:rPr>
      </w:pPr>
      <w:r>
        <w:rPr>
          <w:rFonts w:eastAsia="仿宋_GB2312"/>
          <w:color w:val="auto"/>
          <w:sz w:val="24"/>
          <w:highlight w:val="none"/>
        </w:rPr>
        <w:t>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p>
    <w:p w14:paraId="3C61157E">
      <w:pPr>
        <w:pStyle w:val="498"/>
        <w:spacing w:line="480" w:lineRule="exact"/>
        <w:rPr>
          <w:rFonts w:eastAsia="仿宋_GB2312"/>
          <w:color w:val="auto"/>
          <w:sz w:val="24"/>
          <w:highlight w:val="none"/>
        </w:rPr>
      </w:pPr>
      <w:r>
        <w:rPr>
          <w:rFonts w:eastAsia="仿宋_GB2312"/>
          <w:color w:val="auto"/>
          <w:sz w:val="24"/>
          <w:highlight w:val="none"/>
        </w:rPr>
        <w:t>经营期限：</w:t>
      </w:r>
      <w:r>
        <w:rPr>
          <w:rFonts w:eastAsia="仿宋_GB2312"/>
          <w:color w:val="auto"/>
          <w:sz w:val="24"/>
          <w:highlight w:val="none"/>
          <w:u w:val="single"/>
        </w:rPr>
        <w:t xml:space="preserve">                               </w:t>
      </w:r>
    </w:p>
    <w:p w14:paraId="738258CA">
      <w:pPr>
        <w:pStyle w:val="498"/>
        <w:spacing w:line="480" w:lineRule="exact"/>
        <w:rPr>
          <w:rFonts w:eastAsia="仿宋_GB2312"/>
          <w:color w:val="auto"/>
          <w:sz w:val="24"/>
          <w:highlight w:val="none"/>
        </w:rPr>
      </w:pPr>
      <w:r>
        <w:rPr>
          <w:rFonts w:eastAsia="仿宋_GB2312"/>
          <w:color w:val="auto"/>
          <w:sz w:val="24"/>
          <w:highlight w:val="none"/>
        </w:rPr>
        <w:t>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职务：</w:t>
      </w:r>
      <w:r>
        <w:rPr>
          <w:rFonts w:eastAsia="仿宋_GB2312"/>
          <w:color w:val="auto"/>
          <w:sz w:val="24"/>
          <w:highlight w:val="none"/>
          <w:u w:val="single"/>
        </w:rPr>
        <w:t xml:space="preserve">        </w:t>
      </w:r>
      <w:r>
        <w:rPr>
          <w:rFonts w:eastAsia="仿宋_GB2312"/>
          <w:color w:val="auto"/>
          <w:sz w:val="24"/>
          <w:highlight w:val="none"/>
        </w:rPr>
        <w:t>系</w:t>
      </w:r>
    </w:p>
    <w:p w14:paraId="6A952B4D">
      <w:pPr>
        <w:pStyle w:val="498"/>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p>
    <w:p w14:paraId="77AB14CB">
      <w:pPr>
        <w:pStyle w:val="498"/>
        <w:spacing w:line="480" w:lineRule="exact"/>
        <w:ind w:firstLine="480"/>
        <w:rPr>
          <w:rFonts w:eastAsia="仿宋_GB2312"/>
          <w:color w:val="auto"/>
          <w:sz w:val="24"/>
          <w:highlight w:val="none"/>
        </w:rPr>
      </w:pPr>
      <w:r>
        <w:rPr>
          <w:rFonts w:eastAsia="仿宋_GB2312"/>
          <w:color w:val="auto"/>
          <w:sz w:val="24"/>
          <w:highlight w:val="none"/>
        </w:rPr>
        <w:t>特此证明。</w:t>
      </w:r>
    </w:p>
    <w:p w14:paraId="79499831">
      <w:pPr>
        <w:pStyle w:val="626"/>
        <w:spacing w:line="600" w:lineRule="exact"/>
        <w:rPr>
          <w:rFonts w:eastAsia="仿宋_GB2312"/>
          <w:color w:val="auto"/>
          <w:sz w:val="24"/>
          <w:highlight w:val="none"/>
        </w:rPr>
      </w:pPr>
      <w:r>
        <w:rPr>
          <w:rFonts w:hint="eastAsia" w:ascii="仿宋_GB2312" w:eastAsia="仿宋_GB2312"/>
          <w:b/>
          <w:color w:val="auto"/>
          <w:sz w:val="24"/>
          <w:highlight w:val="none"/>
        </w:rPr>
        <w:t>（法定代表人出席开标会议的提供，未出席的可不提供。附法定代表人身份证、扫描件。）</w:t>
      </w:r>
      <w:r>
        <w:rPr>
          <w:rFonts w:eastAsia="仿宋_GB2312"/>
          <w:color w:val="auto"/>
          <w:sz w:val="24"/>
          <w:highlight w:val="none"/>
        </w:rPr>
        <w:t xml:space="preserve">               </w:t>
      </w:r>
    </w:p>
    <w:p w14:paraId="17609819">
      <w:pPr>
        <w:pStyle w:val="498"/>
        <w:spacing w:line="480" w:lineRule="exact"/>
        <w:jc w:val="right"/>
        <w:rPr>
          <w:rFonts w:eastAsia="仿宋_GB2312"/>
          <w:color w:val="auto"/>
          <w:sz w:val="24"/>
          <w:highlight w:val="none"/>
        </w:rPr>
      </w:pPr>
    </w:p>
    <w:p w14:paraId="6FB7BA24">
      <w:pPr>
        <w:pStyle w:val="498"/>
        <w:spacing w:line="480" w:lineRule="exact"/>
        <w:jc w:val="right"/>
        <w:rPr>
          <w:rFonts w:eastAsia="仿宋_GB2312"/>
          <w:color w:val="auto"/>
          <w:sz w:val="24"/>
          <w:highlight w:val="none"/>
        </w:rPr>
      </w:pPr>
    </w:p>
    <w:p w14:paraId="766CE6B8">
      <w:pPr>
        <w:pStyle w:val="626"/>
        <w:spacing w:line="700" w:lineRule="exact"/>
        <w:ind w:firstLine="445"/>
        <w:jc w:val="right"/>
        <w:rPr>
          <w:rFonts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（盖章）</w:t>
      </w:r>
    </w:p>
    <w:p w14:paraId="4ADC138F">
      <w:pPr>
        <w:pStyle w:val="595"/>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14:paraId="77E73262">
      <w:pPr>
        <w:pStyle w:val="517"/>
        <w:spacing w:line="700" w:lineRule="exact"/>
        <w:ind w:firstLine="989"/>
        <w:jc w:val="righ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7B84C6D8">
      <w:pPr>
        <w:pStyle w:val="595"/>
        <w:spacing w:line="560" w:lineRule="exact"/>
        <w:jc w:val="center"/>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法定代表人授权委托书</w:t>
      </w:r>
    </w:p>
    <w:p w14:paraId="2FCD4661">
      <w:pPr>
        <w:pStyle w:val="595"/>
        <w:spacing w:line="600" w:lineRule="exact"/>
        <w:rPr>
          <w:rFonts w:ascii="方正大标宋简体" w:eastAsia="方正大标宋简体"/>
          <w:color w:val="auto"/>
          <w:sz w:val="32"/>
          <w:highlight w:val="none"/>
        </w:rPr>
      </w:pPr>
    </w:p>
    <w:p w14:paraId="7111BF18">
      <w:pPr>
        <w:pStyle w:val="498"/>
        <w:rPr>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（采购人名称）</w:t>
      </w:r>
      <w:r>
        <w:rPr>
          <w:rFonts w:hint="eastAsia" w:ascii="仿宋_GB2312" w:eastAsia="仿宋_GB2312"/>
          <w:color w:val="auto"/>
          <w:sz w:val="24"/>
          <w:highlight w:val="none"/>
        </w:rPr>
        <w:t>：</w:t>
      </w:r>
    </w:p>
    <w:p w14:paraId="50DCDCFA">
      <w:pPr>
        <w:pStyle w:val="595"/>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公开招标活动的一切事宜。</w:t>
      </w:r>
    </w:p>
    <w:p w14:paraId="441633F8">
      <w:pPr>
        <w:pStyle w:val="595"/>
        <w:spacing w:line="600" w:lineRule="exact"/>
        <w:ind w:firstLine="630"/>
        <w:rPr>
          <w:rFonts w:ascii="仿宋_GB2312" w:eastAsia="仿宋_GB2312"/>
          <w:color w:val="auto"/>
          <w:sz w:val="24"/>
          <w:highlight w:val="none"/>
        </w:rPr>
      </w:pPr>
      <w:r>
        <w:rPr>
          <w:rFonts w:hint="eastAsia" w:ascii="仿宋_GB2312" w:eastAsia="仿宋_GB2312"/>
          <w:color w:val="auto"/>
          <w:sz w:val="24"/>
          <w:highlight w:val="none"/>
        </w:rPr>
        <w:t>特此授权</w:t>
      </w:r>
    </w:p>
    <w:p w14:paraId="22D48012">
      <w:pPr>
        <w:pStyle w:val="490"/>
        <w:spacing w:line="600" w:lineRule="exact"/>
        <w:ind w:firstLine="630"/>
        <w:rPr>
          <w:rFonts w:ascii="仿宋_GB2312"/>
          <w:bCs/>
          <w:color w:val="auto"/>
          <w:sz w:val="24"/>
          <w:highlight w:val="none"/>
        </w:rPr>
      </w:pPr>
      <w:r>
        <w:rPr>
          <w:rFonts w:hint="eastAsia" w:ascii="仿宋_GB2312" w:eastAsia="仿宋_GB2312"/>
          <w:b/>
          <w:color w:val="auto"/>
          <w:sz w:val="24"/>
          <w:highlight w:val="none"/>
        </w:rPr>
        <w:t>（授权委托人出席开标会议的提供。附法定代表人、授权委托人身份证扫描件</w:t>
      </w:r>
      <w:r>
        <w:rPr>
          <w:rFonts w:hint="eastAsia" w:ascii="仿宋_GB2312" w:eastAsia="仿宋_GB2312"/>
          <w:bCs/>
          <w:color w:val="auto"/>
          <w:sz w:val="24"/>
          <w:highlight w:val="none"/>
        </w:rPr>
        <w:t>。</w:t>
      </w:r>
      <w:r>
        <w:rPr>
          <w:rFonts w:hint="eastAsia" w:ascii="仿宋_GB2312" w:eastAsia="仿宋_GB2312"/>
          <w:b/>
          <w:color w:val="auto"/>
          <w:sz w:val="24"/>
          <w:highlight w:val="none"/>
        </w:rPr>
        <w:t>授权代表近半年内的任一月</w:t>
      </w:r>
      <w:r>
        <w:rPr>
          <w:rFonts w:hint="eastAsia" w:ascii="仿宋_GB2312" w:eastAsia="仿宋_GB2312"/>
          <w:b/>
          <w:color w:val="auto"/>
          <w:sz w:val="24"/>
          <w:highlight w:val="none"/>
          <w:lang w:val="en-US" w:eastAsia="zh-CN"/>
        </w:rPr>
        <w:t>供应商为其缴纳的</w:t>
      </w:r>
      <w:r>
        <w:rPr>
          <w:rFonts w:hint="eastAsia" w:ascii="仿宋_GB2312" w:eastAsia="仿宋_GB2312"/>
          <w:b/>
          <w:color w:val="auto"/>
          <w:sz w:val="24"/>
          <w:highlight w:val="none"/>
        </w:rPr>
        <w:t>社保证明。</w:t>
      </w:r>
      <w:r>
        <w:rPr>
          <w:rFonts w:hint="eastAsia" w:ascii="宋体" w:hAnsi="宋体" w:cs="宋体"/>
          <w:bCs/>
          <w:color w:val="auto"/>
          <w:highlight w:val="none"/>
        </w:rPr>
        <w:t>）</w:t>
      </w:r>
    </w:p>
    <w:p w14:paraId="4D41F73F">
      <w:pPr>
        <w:pStyle w:val="490"/>
        <w:spacing w:line="600" w:lineRule="exact"/>
        <w:ind w:firstLine="630"/>
        <w:rPr>
          <w:rFonts w:ascii="仿宋_GB2312" w:eastAsia="仿宋_GB2312"/>
          <w:b/>
          <w:color w:val="auto"/>
          <w:sz w:val="24"/>
          <w:highlight w:val="none"/>
        </w:rPr>
      </w:pPr>
    </w:p>
    <w:p w14:paraId="76B71B61">
      <w:pPr>
        <w:pStyle w:val="595"/>
        <w:spacing w:line="700" w:lineRule="exact"/>
        <w:ind w:firstLine="629"/>
        <w:jc w:val="right"/>
        <w:rPr>
          <w:rFonts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（盖章）</w:t>
      </w:r>
    </w:p>
    <w:p w14:paraId="69A23CDD">
      <w:pPr>
        <w:pStyle w:val="595"/>
        <w:spacing w:line="700" w:lineRule="exact"/>
        <w:ind w:firstLine="629"/>
        <w:jc w:val="right"/>
        <w:rPr>
          <w:rFonts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14:paraId="1005E865">
      <w:pPr>
        <w:pStyle w:val="595"/>
        <w:spacing w:line="700" w:lineRule="exact"/>
        <w:ind w:firstLine="629"/>
        <w:jc w:val="right"/>
        <w:rPr>
          <w:rFonts w:ascii="仿宋_GB2312" w:eastAsia="仿宋_GB2312"/>
          <w:color w:val="auto"/>
          <w:sz w:val="24"/>
          <w:highlight w:val="none"/>
        </w:rPr>
      </w:pPr>
      <w:r>
        <w:rPr>
          <w:rFonts w:hint="eastAsia" w:ascii="仿宋_GB2312" w:eastAsia="仿宋_GB2312"/>
          <w:color w:val="auto"/>
          <w:sz w:val="24"/>
          <w:highlight w:val="none"/>
        </w:rPr>
        <w:t>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14:paraId="4DB112B4">
      <w:pPr>
        <w:pStyle w:val="536"/>
        <w:ind w:firstLine="720"/>
        <w:jc w:val="right"/>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1D275D15">
      <w:pPr>
        <w:pStyle w:val="503"/>
        <w:jc w:val="both"/>
        <w:outlineLvl w:val="1"/>
        <w:rPr>
          <w:rFonts w:hint="eastAsia"/>
          <w:color w:val="auto"/>
          <w:highlight w:val="none"/>
        </w:rPr>
      </w:pPr>
      <w:r>
        <w:rPr>
          <w:color w:val="auto"/>
          <w:highlight w:val="none"/>
        </w:rPr>
        <w:br w:type="page" w:clear="all"/>
      </w:r>
      <w:bookmarkStart w:id="259" w:name="_Toc12853"/>
      <w:bookmarkStart w:id="260" w:name="_Toc164203471"/>
      <w:bookmarkStart w:id="261" w:name="_Toc18616"/>
      <w:bookmarkStart w:id="262" w:name="_Toc5779"/>
      <w:bookmarkStart w:id="263" w:name="_Toc24999"/>
      <w:bookmarkStart w:id="264" w:name="_Toc6146"/>
      <w:r>
        <w:rPr>
          <w:rFonts w:hint="eastAsia"/>
          <w:color w:val="auto"/>
          <w:highlight w:val="none"/>
        </w:rPr>
        <w:t>十</w:t>
      </w:r>
      <w:r>
        <w:rPr>
          <w:color w:val="auto"/>
          <w:highlight w:val="none"/>
        </w:rPr>
        <w:t>、开标一览表</w:t>
      </w:r>
      <w:bookmarkEnd w:id="259"/>
      <w:bookmarkEnd w:id="260"/>
      <w:bookmarkEnd w:id="261"/>
      <w:bookmarkEnd w:id="262"/>
      <w:bookmarkEnd w:id="263"/>
      <w:bookmarkEnd w:id="264"/>
    </w:p>
    <w:p w14:paraId="0A2AB25E">
      <w:pPr>
        <w:pStyle w:val="359"/>
        <w:spacing w:line="360" w:lineRule="auto"/>
        <w:rPr>
          <w:rFonts w:ascii="仿宋_GB2312" w:eastAsia="仿宋_GB2312"/>
          <w:color w:val="auto"/>
          <w:szCs w:val="20"/>
          <w:highlight w:val="none"/>
        </w:rPr>
      </w:pPr>
      <w:bookmarkStart w:id="311" w:name="_GoBack"/>
      <w:r>
        <w:rPr>
          <w:rFonts w:hint="eastAsia" w:ascii="仿宋_GB2312" w:eastAsia="仿宋_GB2312"/>
          <w:color w:val="auto"/>
          <w:szCs w:val="20"/>
          <w:highlight w:val="none"/>
        </w:rPr>
        <w:t>项目编号</w:t>
      </w:r>
      <w:bookmarkEnd w:id="311"/>
      <w:r>
        <w:rPr>
          <w:rFonts w:hint="eastAsia" w:ascii="仿宋_GB2312" w:eastAsia="仿宋_GB2312"/>
          <w:color w:val="auto"/>
          <w:szCs w:val="20"/>
          <w:highlight w:val="none"/>
        </w:rPr>
        <w:t>：</w:t>
      </w:r>
    </w:p>
    <w:p w14:paraId="23097B6B">
      <w:pPr>
        <w:pStyle w:val="359"/>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tbl>
      <w:tblPr>
        <w:tblStyle w:val="33"/>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66"/>
              <w:jc w:val="both"/>
              <w:rPr>
                <w:rFonts w:hint="default" w:eastAsia="宋体"/>
                <w:color w:val="auto"/>
                <w:highlight w:val="none"/>
                <w:lang w:val="en-US" w:eastAsia="zh-CN"/>
              </w:rPr>
            </w:pPr>
            <w:r>
              <w:rPr>
                <w:rFonts w:hint="eastAsia"/>
                <w:color w:val="auto"/>
                <w:highlight w:val="none"/>
              </w:rPr>
              <w:t>投标报价</w:t>
            </w:r>
            <w:r>
              <w:rPr>
                <w:rFonts w:hint="eastAsia"/>
                <w:color w:val="auto"/>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66"/>
              <w:spacing w:line="0" w:lineRule="atLeast"/>
              <w:jc w:val="both"/>
              <w:rPr>
                <w:color w:val="auto"/>
                <w:highlight w:val="none"/>
              </w:rPr>
            </w:pPr>
            <w:r>
              <w:rPr>
                <w:rFonts w:hint="eastAsia"/>
                <w:color w:val="auto"/>
                <w:highlight w:val="none"/>
              </w:rPr>
              <w:t>小写：                 （人民币：元）</w:t>
            </w:r>
          </w:p>
        </w:tc>
      </w:tr>
    </w:tbl>
    <w:p w14:paraId="5E50AE66">
      <w:pPr>
        <w:pStyle w:val="359"/>
        <w:spacing w:line="360" w:lineRule="auto"/>
        <w:rPr>
          <w:color w:val="auto"/>
          <w:highlight w:val="none"/>
        </w:rPr>
      </w:pPr>
    </w:p>
    <w:p w14:paraId="583F6315">
      <w:pPr>
        <w:pStyle w:val="359"/>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12C90947">
      <w:pPr>
        <w:pStyle w:val="363"/>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575AACE">
      <w:pPr>
        <w:pStyle w:val="363"/>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4E267BA6">
      <w:pPr>
        <w:rPr>
          <w:color w:val="auto"/>
          <w:highlight w:val="none"/>
        </w:rPr>
      </w:pPr>
      <w:r>
        <w:rPr>
          <w:rFonts w:hint="eastAsia"/>
          <w:color w:val="auto"/>
          <w:highlight w:val="none"/>
        </w:rPr>
        <w:t>说明：“投标货物或服务是否全部由小微型企业或监狱企业或残疾人福利性单位制造的货物或服务”栏内填写“是”或“否”。如填写“是”，投标人应按招标文件要求提供《中小企业声明函》、《残疾人福利性单位声明函》、《属于监狱企业的证明文件》。如未按要求提供、填写，或相关内容表述不清前后矛盾的，不享受价格扣除。</w:t>
      </w:r>
    </w:p>
    <w:p w14:paraId="35626ED7">
      <w:pPr>
        <w:widowControl/>
        <w:jc w:val="left"/>
        <w:rPr>
          <w:rFonts w:hint="eastAsia" w:ascii="黑体" w:hAnsi="黑体" w:eastAsia="黑体"/>
          <w:b/>
          <w:color w:val="auto"/>
          <w:sz w:val="32"/>
          <w:szCs w:val="24"/>
          <w:highlight w:val="none"/>
        </w:rPr>
      </w:pPr>
      <w:bookmarkStart w:id="265" w:name="_Toc164203472"/>
      <w:bookmarkStart w:id="266" w:name="_Toc8851"/>
      <w:bookmarkStart w:id="267" w:name="_Toc4471"/>
      <w:bookmarkStart w:id="268" w:name="_Toc31564"/>
      <w:bookmarkStart w:id="269" w:name="_Toc24436"/>
      <w:r>
        <w:rPr>
          <w:rFonts w:hint="eastAsia"/>
          <w:color w:val="auto"/>
          <w:highlight w:val="none"/>
        </w:rPr>
        <w:br w:type="page" w:clear="all"/>
      </w:r>
    </w:p>
    <w:p w14:paraId="1C42F849">
      <w:pPr>
        <w:pStyle w:val="524"/>
        <w:outlineLvl w:val="1"/>
        <w:rPr>
          <w:rFonts w:hint="eastAsia"/>
          <w:color w:val="auto"/>
          <w:highlight w:val="none"/>
        </w:rPr>
      </w:pPr>
      <w:bookmarkStart w:id="270" w:name="_Toc7189"/>
      <w:r>
        <w:rPr>
          <w:color w:val="auto"/>
          <w:highlight w:val="none"/>
        </w:rPr>
        <w:t>十</w:t>
      </w:r>
      <w:r>
        <w:rPr>
          <w:rFonts w:hint="eastAsia"/>
          <w:color w:val="auto"/>
          <w:highlight w:val="none"/>
        </w:rPr>
        <w:t>一</w:t>
      </w:r>
      <w:r>
        <w:rPr>
          <w:color w:val="auto"/>
          <w:highlight w:val="none"/>
        </w:rPr>
        <w:t>、明细报价表</w:t>
      </w:r>
      <w:bookmarkEnd w:id="265"/>
      <w:bookmarkEnd w:id="266"/>
      <w:bookmarkEnd w:id="267"/>
      <w:bookmarkEnd w:id="268"/>
      <w:bookmarkEnd w:id="269"/>
      <w:bookmarkEnd w:id="270"/>
    </w:p>
    <w:tbl>
      <w:tblPr>
        <w:tblStyle w:val="33"/>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2200"/>
        <w:gridCol w:w="1103"/>
        <w:gridCol w:w="1949"/>
        <w:gridCol w:w="2023"/>
      </w:tblGrid>
      <w:tr w14:paraId="60D5B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vAlign w:val="center"/>
          </w:tcPr>
          <w:p w14:paraId="503BDB9D">
            <w:pPr>
              <w:pStyle w:val="36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793" w:type="dxa"/>
            <w:vAlign w:val="center"/>
          </w:tcPr>
          <w:p w14:paraId="236500BC">
            <w:pPr>
              <w:pStyle w:val="36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货物名称</w:t>
            </w:r>
          </w:p>
        </w:tc>
        <w:tc>
          <w:tcPr>
            <w:tcW w:w="2200" w:type="dxa"/>
            <w:vAlign w:val="center"/>
          </w:tcPr>
          <w:p w14:paraId="74D9F8F2">
            <w:pPr>
              <w:pStyle w:val="36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品牌.型号.产地</w:t>
            </w:r>
          </w:p>
        </w:tc>
        <w:tc>
          <w:tcPr>
            <w:tcW w:w="1103" w:type="dxa"/>
            <w:vAlign w:val="center"/>
          </w:tcPr>
          <w:p w14:paraId="69305525">
            <w:pPr>
              <w:pStyle w:val="36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单价</w:t>
            </w:r>
          </w:p>
          <w:p w14:paraId="7E3F68BE">
            <w:pPr>
              <w:pStyle w:val="36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1949" w:type="dxa"/>
            <w:vAlign w:val="center"/>
          </w:tcPr>
          <w:p w14:paraId="61A24E56">
            <w:pPr>
              <w:pStyle w:val="36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数量</w:t>
            </w:r>
          </w:p>
        </w:tc>
        <w:tc>
          <w:tcPr>
            <w:tcW w:w="2023" w:type="dxa"/>
            <w:vAlign w:val="center"/>
          </w:tcPr>
          <w:p w14:paraId="19D37900">
            <w:pPr>
              <w:pStyle w:val="36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23740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7" w:hRule="atLeast"/>
          <w:jc w:val="center"/>
        </w:trPr>
        <w:tc>
          <w:tcPr>
            <w:tcW w:w="656" w:type="dxa"/>
          </w:tcPr>
          <w:p w14:paraId="03113AF1">
            <w:pPr>
              <w:pStyle w:val="369"/>
              <w:widowControl/>
              <w:spacing w:line="560" w:lineRule="exact"/>
              <w:rPr>
                <w:rFonts w:ascii="仿宋_GB2312" w:eastAsia="仿宋_GB2312"/>
                <w:color w:val="auto"/>
                <w:sz w:val="28"/>
                <w:szCs w:val="28"/>
                <w:highlight w:val="none"/>
              </w:rPr>
            </w:pPr>
          </w:p>
        </w:tc>
        <w:tc>
          <w:tcPr>
            <w:tcW w:w="1793" w:type="dxa"/>
          </w:tcPr>
          <w:p w14:paraId="470ED1A5">
            <w:pPr>
              <w:pStyle w:val="369"/>
              <w:widowControl/>
              <w:spacing w:line="560" w:lineRule="exact"/>
              <w:jc w:val="center"/>
              <w:rPr>
                <w:rFonts w:ascii="仿宋_GB2312" w:eastAsia="仿宋_GB2312"/>
                <w:color w:val="auto"/>
                <w:sz w:val="24"/>
                <w:highlight w:val="none"/>
              </w:rPr>
            </w:pPr>
          </w:p>
        </w:tc>
        <w:tc>
          <w:tcPr>
            <w:tcW w:w="2200" w:type="dxa"/>
          </w:tcPr>
          <w:p w14:paraId="1E8D7339">
            <w:pPr>
              <w:pStyle w:val="369"/>
              <w:widowControl/>
              <w:spacing w:line="560" w:lineRule="exact"/>
              <w:jc w:val="center"/>
              <w:rPr>
                <w:rFonts w:ascii="仿宋_GB2312" w:eastAsia="仿宋_GB2312"/>
                <w:color w:val="auto"/>
                <w:sz w:val="24"/>
                <w:highlight w:val="none"/>
              </w:rPr>
            </w:pPr>
          </w:p>
        </w:tc>
        <w:tc>
          <w:tcPr>
            <w:tcW w:w="1103" w:type="dxa"/>
            <w:vAlign w:val="center"/>
          </w:tcPr>
          <w:p w14:paraId="338A18BD">
            <w:pPr>
              <w:pStyle w:val="369"/>
              <w:spacing w:line="560" w:lineRule="exact"/>
              <w:jc w:val="center"/>
              <w:rPr>
                <w:rFonts w:ascii="仿宋_GB2312" w:eastAsia="仿宋_GB2312"/>
                <w:color w:val="auto"/>
                <w:sz w:val="24"/>
                <w:highlight w:val="none"/>
              </w:rPr>
            </w:pPr>
          </w:p>
        </w:tc>
        <w:tc>
          <w:tcPr>
            <w:tcW w:w="1949" w:type="dxa"/>
          </w:tcPr>
          <w:p w14:paraId="53E3EBFE">
            <w:pPr>
              <w:pStyle w:val="369"/>
              <w:widowControl/>
              <w:spacing w:line="560" w:lineRule="exact"/>
              <w:jc w:val="center"/>
              <w:rPr>
                <w:rFonts w:ascii="仿宋_GB2312" w:eastAsia="仿宋_GB2312"/>
                <w:color w:val="auto"/>
                <w:sz w:val="24"/>
                <w:highlight w:val="none"/>
              </w:rPr>
            </w:pPr>
          </w:p>
        </w:tc>
        <w:tc>
          <w:tcPr>
            <w:tcW w:w="2023" w:type="dxa"/>
            <w:vAlign w:val="center"/>
          </w:tcPr>
          <w:p w14:paraId="0276D272">
            <w:pPr>
              <w:pStyle w:val="369"/>
              <w:spacing w:line="560" w:lineRule="exact"/>
              <w:jc w:val="center"/>
              <w:rPr>
                <w:rFonts w:ascii="仿宋_GB2312" w:eastAsia="仿宋_GB2312"/>
                <w:color w:val="auto"/>
                <w:sz w:val="24"/>
                <w:highlight w:val="none"/>
              </w:rPr>
            </w:pPr>
          </w:p>
        </w:tc>
      </w:tr>
      <w:tr w14:paraId="0C87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35257C1A">
            <w:pPr>
              <w:pStyle w:val="369"/>
              <w:widowControl/>
              <w:spacing w:line="560" w:lineRule="exact"/>
              <w:rPr>
                <w:rFonts w:ascii="仿宋_GB2312" w:eastAsia="仿宋_GB2312"/>
                <w:color w:val="auto"/>
                <w:sz w:val="28"/>
                <w:szCs w:val="28"/>
                <w:highlight w:val="none"/>
              </w:rPr>
            </w:pPr>
          </w:p>
        </w:tc>
        <w:tc>
          <w:tcPr>
            <w:tcW w:w="1793" w:type="dxa"/>
          </w:tcPr>
          <w:p w14:paraId="7A16B926">
            <w:pPr>
              <w:pStyle w:val="369"/>
              <w:widowControl/>
              <w:spacing w:line="560" w:lineRule="exact"/>
              <w:jc w:val="center"/>
              <w:rPr>
                <w:rFonts w:ascii="仿宋_GB2312" w:eastAsia="仿宋_GB2312"/>
                <w:color w:val="auto"/>
                <w:sz w:val="24"/>
                <w:highlight w:val="none"/>
              </w:rPr>
            </w:pPr>
          </w:p>
        </w:tc>
        <w:tc>
          <w:tcPr>
            <w:tcW w:w="2200" w:type="dxa"/>
          </w:tcPr>
          <w:p w14:paraId="54C9E07D">
            <w:pPr>
              <w:pStyle w:val="369"/>
              <w:widowControl/>
              <w:spacing w:line="560" w:lineRule="exact"/>
              <w:jc w:val="center"/>
              <w:rPr>
                <w:rFonts w:ascii="仿宋_GB2312" w:eastAsia="仿宋_GB2312"/>
                <w:color w:val="auto"/>
                <w:sz w:val="24"/>
                <w:highlight w:val="none"/>
              </w:rPr>
            </w:pPr>
          </w:p>
        </w:tc>
        <w:tc>
          <w:tcPr>
            <w:tcW w:w="1103" w:type="dxa"/>
            <w:vAlign w:val="center"/>
          </w:tcPr>
          <w:p w14:paraId="5FB5F4A6">
            <w:pPr>
              <w:pStyle w:val="369"/>
              <w:spacing w:line="560" w:lineRule="exact"/>
              <w:jc w:val="center"/>
              <w:rPr>
                <w:rFonts w:ascii="仿宋_GB2312" w:eastAsia="仿宋_GB2312"/>
                <w:color w:val="auto"/>
                <w:sz w:val="24"/>
                <w:highlight w:val="none"/>
              </w:rPr>
            </w:pPr>
          </w:p>
        </w:tc>
        <w:tc>
          <w:tcPr>
            <w:tcW w:w="1949" w:type="dxa"/>
          </w:tcPr>
          <w:p w14:paraId="62776AF4">
            <w:pPr>
              <w:pStyle w:val="369"/>
              <w:widowControl/>
              <w:spacing w:line="560" w:lineRule="exact"/>
              <w:jc w:val="center"/>
              <w:rPr>
                <w:rFonts w:ascii="仿宋_GB2312" w:eastAsia="仿宋_GB2312"/>
                <w:color w:val="auto"/>
                <w:sz w:val="24"/>
                <w:highlight w:val="none"/>
              </w:rPr>
            </w:pPr>
          </w:p>
        </w:tc>
        <w:tc>
          <w:tcPr>
            <w:tcW w:w="2023" w:type="dxa"/>
            <w:vAlign w:val="center"/>
          </w:tcPr>
          <w:p w14:paraId="65B2843A">
            <w:pPr>
              <w:pStyle w:val="369"/>
              <w:spacing w:line="560" w:lineRule="exact"/>
              <w:jc w:val="center"/>
              <w:rPr>
                <w:rFonts w:ascii="仿宋_GB2312" w:eastAsia="仿宋_GB2312"/>
                <w:color w:val="auto"/>
                <w:sz w:val="24"/>
                <w:highlight w:val="none"/>
              </w:rPr>
            </w:pPr>
          </w:p>
        </w:tc>
      </w:tr>
      <w:tr w14:paraId="5C8FE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4738EA01">
            <w:pPr>
              <w:pStyle w:val="369"/>
              <w:widowControl/>
              <w:spacing w:line="560" w:lineRule="exact"/>
              <w:rPr>
                <w:rFonts w:ascii="仿宋_GB2312" w:eastAsia="仿宋_GB2312"/>
                <w:color w:val="auto"/>
                <w:sz w:val="28"/>
                <w:szCs w:val="28"/>
                <w:highlight w:val="none"/>
              </w:rPr>
            </w:pPr>
          </w:p>
        </w:tc>
        <w:tc>
          <w:tcPr>
            <w:tcW w:w="1793" w:type="dxa"/>
          </w:tcPr>
          <w:p w14:paraId="6D75FA42">
            <w:pPr>
              <w:pStyle w:val="369"/>
              <w:widowControl/>
              <w:spacing w:line="560" w:lineRule="exact"/>
              <w:jc w:val="center"/>
              <w:rPr>
                <w:rFonts w:ascii="仿宋_GB2312" w:eastAsia="仿宋_GB2312"/>
                <w:color w:val="auto"/>
                <w:sz w:val="24"/>
                <w:highlight w:val="none"/>
              </w:rPr>
            </w:pPr>
          </w:p>
        </w:tc>
        <w:tc>
          <w:tcPr>
            <w:tcW w:w="2200" w:type="dxa"/>
          </w:tcPr>
          <w:p w14:paraId="620EA445">
            <w:pPr>
              <w:pStyle w:val="369"/>
              <w:widowControl/>
              <w:spacing w:line="560" w:lineRule="exact"/>
              <w:jc w:val="center"/>
              <w:rPr>
                <w:rFonts w:ascii="仿宋_GB2312" w:eastAsia="仿宋_GB2312"/>
                <w:color w:val="auto"/>
                <w:sz w:val="24"/>
                <w:highlight w:val="none"/>
              </w:rPr>
            </w:pPr>
          </w:p>
        </w:tc>
        <w:tc>
          <w:tcPr>
            <w:tcW w:w="1103" w:type="dxa"/>
            <w:vAlign w:val="center"/>
          </w:tcPr>
          <w:p w14:paraId="66C0D34A">
            <w:pPr>
              <w:pStyle w:val="369"/>
              <w:spacing w:line="560" w:lineRule="exact"/>
              <w:jc w:val="center"/>
              <w:rPr>
                <w:rFonts w:ascii="仿宋_GB2312" w:eastAsia="仿宋_GB2312"/>
                <w:color w:val="auto"/>
                <w:sz w:val="24"/>
                <w:highlight w:val="none"/>
              </w:rPr>
            </w:pPr>
          </w:p>
        </w:tc>
        <w:tc>
          <w:tcPr>
            <w:tcW w:w="1949" w:type="dxa"/>
          </w:tcPr>
          <w:p w14:paraId="0E76B120">
            <w:pPr>
              <w:pStyle w:val="369"/>
              <w:widowControl/>
              <w:spacing w:line="560" w:lineRule="exact"/>
              <w:jc w:val="center"/>
              <w:rPr>
                <w:rFonts w:ascii="仿宋_GB2312" w:eastAsia="仿宋_GB2312"/>
                <w:color w:val="auto"/>
                <w:sz w:val="24"/>
                <w:highlight w:val="none"/>
              </w:rPr>
            </w:pPr>
          </w:p>
        </w:tc>
        <w:tc>
          <w:tcPr>
            <w:tcW w:w="2023" w:type="dxa"/>
            <w:vAlign w:val="center"/>
          </w:tcPr>
          <w:p w14:paraId="163A7B11">
            <w:pPr>
              <w:pStyle w:val="369"/>
              <w:spacing w:line="560" w:lineRule="exact"/>
              <w:jc w:val="center"/>
              <w:rPr>
                <w:rFonts w:ascii="仿宋_GB2312" w:eastAsia="仿宋_GB2312"/>
                <w:color w:val="auto"/>
                <w:sz w:val="24"/>
                <w:highlight w:val="none"/>
              </w:rPr>
            </w:pPr>
          </w:p>
        </w:tc>
      </w:tr>
      <w:tr w14:paraId="28723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18CECDD3">
            <w:pPr>
              <w:pStyle w:val="369"/>
              <w:widowControl/>
              <w:spacing w:line="560" w:lineRule="exact"/>
              <w:rPr>
                <w:rFonts w:ascii="仿宋_GB2312" w:eastAsia="仿宋_GB2312"/>
                <w:color w:val="auto"/>
                <w:sz w:val="28"/>
                <w:szCs w:val="28"/>
                <w:highlight w:val="none"/>
              </w:rPr>
            </w:pPr>
          </w:p>
        </w:tc>
        <w:tc>
          <w:tcPr>
            <w:tcW w:w="1793" w:type="dxa"/>
          </w:tcPr>
          <w:p w14:paraId="50BAE08F">
            <w:pPr>
              <w:pStyle w:val="369"/>
              <w:widowControl/>
              <w:spacing w:line="560" w:lineRule="exact"/>
              <w:jc w:val="center"/>
              <w:rPr>
                <w:rFonts w:ascii="仿宋_GB2312" w:eastAsia="仿宋_GB2312"/>
                <w:color w:val="auto"/>
                <w:sz w:val="24"/>
                <w:highlight w:val="none"/>
              </w:rPr>
            </w:pPr>
          </w:p>
        </w:tc>
        <w:tc>
          <w:tcPr>
            <w:tcW w:w="2200" w:type="dxa"/>
          </w:tcPr>
          <w:p w14:paraId="2C459DAD">
            <w:pPr>
              <w:pStyle w:val="369"/>
              <w:widowControl/>
              <w:spacing w:line="560" w:lineRule="exact"/>
              <w:jc w:val="center"/>
              <w:rPr>
                <w:rFonts w:ascii="仿宋_GB2312" w:eastAsia="仿宋_GB2312"/>
                <w:color w:val="auto"/>
                <w:sz w:val="24"/>
                <w:highlight w:val="none"/>
              </w:rPr>
            </w:pPr>
          </w:p>
        </w:tc>
        <w:tc>
          <w:tcPr>
            <w:tcW w:w="1103" w:type="dxa"/>
            <w:vAlign w:val="center"/>
          </w:tcPr>
          <w:p w14:paraId="05BEB384">
            <w:pPr>
              <w:pStyle w:val="369"/>
              <w:spacing w:line="560" w:lineRule="exact"/>
              <w:jc w:val="center"/>
              <w:rPr>
                <w:rFonts w:ascii="仿宋_GB2312" w:eastAsia="仿宋_GB2312"/>
                <w:color w:val="auto"/>
                <w:sz w:val="24"/>
                <w:highlight w:val="none"/>
              </w:rPr>
            </w:pPr>
          </w:p>
        </w:tc>
        <w:tc>
          <w:tcPr>
            <w:tcW w:w="1949" w:type="dxa"/>
          </w:tcPr>
          <w:p w14:paraId="7FF9953B">
            <w:pPr>
              <w:pStyle w:val="369"/>
              <w:widowControl/>
              <w:spacing w:line="560" w:lineRule="exact"/>
              <w:jc w:val="center"/>
              <w:rPr>
                <w:rFonts w:ascii="仿宋_GB2312" w:eastAsia="仿宋_GB2312"/>
                <w:color w:val="auto"/>
                <w:sz w:val="24"/>
                <w:highlight w:val="none"/>
              </w:rPr>
            </w:pPr>
          </w:p>
        </w:tc>
        <w:tc>
          <w:tcPr>
            <w:tcW w:w="2023" w:type="dxa"/>
            <w:vAlign w:val="center"/>
          </w:tcPr>
          <w:p w14:paraId="1B22FDE0">
            <w:pPr>
              <w:pStyle w:val="369"/>
              <w:spacing w:line="560" w:lineRule="exact"/>
              <w:jc w:val="center"/>
              <w:rPr>
                <w:rFonts w:ascii="仿宋_GB2312" w:eastAsia="仿宋_GB2312"/>
                <w:color w:val="auto"/>
                <w:sz w:val="24"/>
                <w:highlight w:val="none"/>
              </w:rPr>
            </w:pPr>
          </w:p>
        </w:tc>
      </w:tr>
      <w:tr w14:paraId="20ACF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tcPr>
          <w:p w14:paraId="413BA003">
            <w:pPr>
              <w:pStyle w:val="369"/>
              <w:widowControl/>
              <w:spacing w:line="560" w:lineRule="exact"/>
              <w:rPr>
                <w:rFonts w:ascii="仿宋_GB2312" w:eastAsia="仿宋_GB2312"/>
                <w:color w:val="auto"/>
                <w:sz w:val="28"/>
                <w:szCs w:val="28"/>
                <w:highlight w:val="none"/>
              </w:rPr>
            </w:pPr>
          </w:p>
        </w:tc>
        <w:tc>
          <w:tcPr>
            <w:tcW w:w="1793" w:type="dxa"/>
          </w:tcPr>
          <w:p w14:paraId="27766690">
            <w:pPr>
              <w:pStyle w:val="369"/>
              <w:widowControl/>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安装调试费</w:t>
            </w:r>
          </w:p>
        </w:tc>
        <w:tc>
          <w:tcPr>
            <w:tcW w:w="2200" w:type="dxa"/>
          </w:tcPr>
          <w:p w14:paraId="04496321">
            <w:pPr>
              <w:pStyle w:val="369"/>
              <w:widowControl/>
              <w:spacing w:line="560" w:lineRule="exact"/>
              <w:jc w:val="center"/>
              <w:rPr>
                <w:rFonts w:ascii="仿宋_GB2312" w:eastAsia="仿宋_GB2312"/>
                <w:color w:val="auto"/>
                <w:sz w:val="24"/>
                <w:highlight w:val="none"/>
              </w:rPr>
            </w:pPr>
          </w:p>
        </w:tc>
        <w:tc>
          <w:tcPr>
            <w:tcW w:w="1103" w:type="dxa"/>
            <w:vAlign w:val="center"/>
          </w:tcPr>
          <w:p w14:paraId="0E6CA10A">
            <w:pPr>
              <w:pStyle w:val="369"/>
              <w:spacing w:line="560" w:lineRule="exact"/>
              <w:jc w:val="center"/>
              <w:rPr>
                <w:rFonts w:ascii="仿宋_GB2312" w:eastAsia="仿宋_GB2312"/>
                <w:color w:val="auto"/>
                <w:sz w:val="24"/>
                <w:highlight w:val="none"/>
              </w:rPr>
            </w:pPr>
          </w:p>
        </w:tc>
        <w:tc>
          <w:tcPr>
            <w:tcW w:w="1949" w:type="dxa"/>
          </w:tcPr>
          <w:p w14:paraId="786AAB03">
            <w:pPr>
              <w:pStyle w:val="369"/>
              <w:widowControl/>
              <w:spacing w:line="560" w:lineRule="exact"/>
              <w:jc w:val="center"/>
              <w:rPr>
                <w:rFonts w:ascii="仿宋_GB2312" w:eastAsia="仿宋_GB2312"/>
                <w:color w:val="auto"/>
                <w:sz w:val="24"/>
                <w:highlight w:val="none"/>
              </w:rPr>
            </w:pPr>
          </w:p>
        </w:tc>
        <w:tc>
          <w:tcPr>
            <w:tcW w:w="2023" w:type="dxa"/>
            <w:vAlign w:val="center"/>
          </w:tcPr>
          <w:p w14:paraId="4BCD5E71">
            <w:pPr>
              <w:pStyle w:val="369"/>
              <w:spacing w:line="560" w:lineRule="exact"/>
              <w:jc w:val="center"/>
              <w:rPr>
                <w:rFonts w:ascii="仿宋_GB2312" w:eastAsia="仿宋_GB2312"/>
                <w:color w:val="auto"/>
                <w:sz w:val="24"/>
                <w:highlight w:val="none"/>
              </w:rPr>
            </w:pPr>
          </w:p>
        </w:tc>
      </w:tr>
      <w:tr w14:paraId="5F4B9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279CF840">
            <w:pPr>
              <w:pStyle w:val="369"/>
              <w:spacing w:line="560" w:lineRule="exact"/>
              <w:jc w:val="center"/>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w:t>
            </w:r>
          </w:p>
        </w:tc>
        <w:tc>
          <w:tcPr>
            <w:tcW w:w="1793" w:type="dxa"/>
            <w:vAlign w:val="center"/>
          </w:tcPr>
          <w:p w14:paraId="4BEC69B2">
            <w:pPr>
              <w:pStyle w:val="369"/>
              <w:spacing w:line="560" w:lineRule="exact"/>
              <w:jc w:val="center"/>
              <w:rPr>
                <w:rFonts w:ascii="仿宋_GB2312" w:eastAsia="仿宋_GB2312"/>
                <w:iCs/>
                <w:color w:val="auto"/>
                <w:sz w:val="24"/>
                <w:highlight w:val="none"/>
              </w:rPr>
            </w:pPr>
            <w:r>
              <w:rPr>
                <w:rFonts w:hint="eastAsia" w:ascii="仿宋_GB2312" w:eastAsia="仿宋_GB2312"/>
                <w:iCs/>
                <w:color w:val="auto"/>
                <w:sz w:val="24"/>
                <w:highlight w:val="none"/>
              </w:rPr>
              <w:t>税金</w:t>
            </w:r>
          </w:p>
        </w:tc>
        <w:tc>
          <w:tcPr>
            <w:tcW w:w="2200" w:type="dxa"/>
            <w:vAlign w:val="center"/>
          </w:tcPr>
          <w:p w14:paraId="479F9F37">
            <w:pPr>
              <w:pStyle w:val="369"/>
              <w:spacing w:line="560" w:lineRule="exact"/>
              <w:jc w:val="center"/>
              <w:rPr>
                <w:rFonts w:ascii="仿宋_GB2312" w:eastAsia="仿宋_GB2312"/>
                <w:i/>
                <w:iCs/>
                <w:color w:val="auto"/>
                <w:sz w:val="24"/>
                <w:highlight w:val="none"/>
              </w:rPr>
            </w:pPr>
          </w:p>
        </w:tc>
        <w:tc>
          <w:tcPr>
            <w:tcW w:w="1103" w:type="dxa"/>
            <w:vAlign w:val="center"/>
          </w:tcPr>
          <w:p w14:paraId="51ABDABE">
            <w:pPr>
              <w:pStyle w:val="369"/>
              <w:spacing w:line="560" w:lineRule="exact"/>
              <w:jc w:val="center"/>
              <w:rPr>
                <w:rFonts w:ascii="仿宋_GB2312" w:eastAsia="仿宋_GB2312"/>
                <w:color w:val="auto"/>
                <w:sz w:val="24"/>
                <w:highlight w:val="none"/>
              </w:rPr>
            </w:pPr>
          </w:p>
        </w:tc>
        <w:tc>
          <w:tcPr>
            <w:tcW w:w="1949" w:type="dxa"/>
            <w:vAlign w:val="center"/>
          </w:tcPr>
          <w:p w14:paraId="48F39C17">
            <w:pPr>
              <w:pStyle w:val="369"/>
              <w:spacing w:line="560" w:lineRule="exact"/>
              <w:jc w:val="center"/>
              <w:rPr>
                <w:rFonts w:ascii="仿宋_GB2312" w:eastAsia="仿宋_GB2312"/>
                <w:color w:val="auto"/>
                <w:sz w:val="24"/>
                <w:highlight w:val="none"/>
              </w:rPr>
            </w:pPr>
          </w:p>
        </w:tc>
        <w:tc>
          <w:tcPr>
            <w:tcW w:w="2023" w:type="dxa"/>
            <w:vAlign w:val="center"/>
          </w:tcPr>
          <w:p w14:paraId="6146417F">
            <w:pPr>
              <w:pStyle w:val="369"/>
              <w:spacing w:line="560" w:lineRule="exact"/>
              <w:jc w:val="center"/>
              <w:rPr>
                <w:rFonts w:ascii="仿宋_GB2312" w:eastAsia="仿宋_GB2312"/>
                <w:color w:val="auto"/>
                <w:sz w:val="24"/>
                <w:highlight w:val="none"/>
              </w:rPr>
            </w:pPr>
          </w:p>
        </w:tc>
      </w:tr>
      <w:tr w14:paraId="3B9F1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727D7E82">
            <w:pPr>
              <w:pStyle w:val="369"/>
              <w:spacing w:line="560" w:lineRule="exact"/>
              <w:jc w:val="center"/>
              <w:rPr>
                <w:rFonts w:ascii="仿宋_GB2312" w:eastAsia="仿宋_GB2312"/>
                <w:i/>
                <w:iCs/>
                <w:color w:val="auto"/>
                <w:sz w:val="28"/>
                <w:szCs w:val="28"/>
                <w:highlight w:val="none"/>
              </w:rPr>
            </w:pPr>
          </w:p>
        </w:tc>
        <w:tc>
          <w:tcPr>
            <w:tcW w:w="3993" w:type="dxa"/>
            <w:gridSpan w:val="2"/>
            <w:vAlign w:val="center"/>
          </w:tcPr>
          <w:p w14:paraId="536B4699">
            <w:pPr>
              <w:pStyle w:val="369"/>
              <w:spacing w:line="560" w:lineRule="exact"/>
              <w:jc w:val="center"/>
              <w:rPr>
                <w:rFonts w:ascii="仿宋_GB2312" w:eastAsia="仿宋_GB2312"/>
                <w:color w:val="auto"/>
                <w:sz w:val="24"/>
                <w:highlight w:val="none"/>
              </w:rPr>
            </w:pPr>
            <w:r>
              <w:rPr>
                <w:rFonts w:hint="eastAsia" w:ascii="仿宋_GB2312" w:eastAsia="仿宋_GB2312"/>
                <w:iCs/>
                <w:color w:val="auto"/>
                <w:sz w:val="24"/>
                <w:highlight w:val="none"/>
              </w:rPr>
              <w:t>合计</w:t>
            </w:r>
          </w:p>
        </w:tc>
        <w:tc>
          <w:tcPr>
            <w:tcW w:w="5075" w:type="dxa"/>
            <w:gridSpan w:val="3"/>
            <w:vAlign w:val="center"/>
          </w:tcPr>
          <w:p w14:paraId="5434BA1F">
            <w:pPr>
              <w:pStyle w:val="369"/>
              <w:spacing w:line="560" w:lineRule="exact"/>
              <w:jc w:val="center"/>
              <w:rPr>
                <w:rFonts w:ascii="仿宋_GB2312" w:eastAsia="仿宋_GB2312"/>
                <w:color w:val="auto"/>
                <w:sz w:val="24"/>
                <w:highlight w:val="none"/>
              </w:rPr>
            </w:pPr>
          </w:p>
        </w:tc>
      </w:tr>
      <w:tr w14:paraId="22CEB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2449" w:type="dxa"/>
            <w:gridSpan w:val="2"/>
            <w:vAlign w:val="center"/>
          </w:tcPr>
          <w:p w14:paraId="605207F6">
            <w:pPr>
              <w:pStyle w:val="369"/>
              <w:spacing w:line="560" w:lineRule="exact"/>
              <w:jc w:val="center"/>
              <w:rPr>
                <w:rFonts w:ascii="仿宋_GB2312" w:eastAsia="仿宋_GB2312"/>
                <w:b/>
                <w:bCs/>
                <w:color w:val="auto"/>
                <w:sz w:val="28"/>
                <w:szCs w:val="28"/>
                <w:highlight w:val="none"/>
              </w:rPr>
            </w:pPr>
            <w:r>
              <w:rPr>
                <w:rFonts w:hint="eastAsia" w:ascii="仿宋_GB2312" w:eastAsia="仿宋_GB2312"/>
                <w:b/>
                <w:bCs/>
                <w:color w:val="auto"/>
                <w:sz w:val="28"/>
                <w:szCs w:val="28"/>
                <w:highlight w:val="none"/>
              </w:rPr>
              <w:t>投标</w:t>
            </w:r>
          </w:p>
          <w:p w14:paraId="46085863">
            <w:pPr>
              <w:pStyle w:val="369"/>
              <w:spacing w:line="560" w:lineRule="exact"/>
              <w:jc w:val="center"/>
              <w:rPr>
                <w:rFonts w:ascii="仿宋_GB2312" w:eastAsia="仿宋_GB2312"/>
                <w:b/>
                <w:bCs/>
                <w:color w:val="auto"/>
                <w:sz w:val="24"/>
                <w:highlight w:val="none"/>
              </w:rPr>
            </w:pPr>
            <w:r>
              <w:rPr>
                <w:rFonts w:hint="eastAsia" w:ascii="仿宋_GB2312" w:eastAsia="仿宋_GB2312"/>
                <w:b/>
                <w:bCs/>
                <w:color w:val="auto"/>
                <w:sz w:val="28"/>
                <w:szCs w:val="28"/>
                <w:highlight w:val="none"/>
                <w:lang w:val="en-US" w:eastAsia="zh-CN"/>
              </w:rPr>
              <w:t>综合单价</w:t>
            </w:r>
            <w:r>
              <w:rPr>
                <w:rFonts w:hint="eastAsia" w:ascii="仿宋_GB2312" w:eastAsia="仿宋_GB2312"/>
                <w:b/>
                <w:bCs/>
                <w:color w:val="auto"/>
                <w:sz w:val="28"/>
                <w:szCs w:val="28"/>
                <w:highlight w:val="none"/>
              </w:rPr>
              <w:t>总计</w:t>
            </w:r>
          </w:p>
        </w:tc>
        <w:tc>
          <w:tcPr>
            <w:tcW w:w="7275" w:type="dxa"/>
            <w:gridSpan w:val="4"/>
            <w:vAlign w:val="center"/>
          </w:tcPr>
          <w:p w14:paraId="493396A5">
            <w:pPr>
              <w:pStyle w:val="369"/>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w:t>
            </w:r>
            <w:r>
              <w:rPr>
                <w:rFonts w:hint="eastAsia" w:ascii="仿宋_GB2312" w:eastAsia="仿宋_GB2312"/>
                <w:b/>
                <w:bCs/>
                <w:color w:val="auto"/>
                <w:sz w:val="24"/>
                <w:highlight w:val="none"/>
                <w:u w:val="single"/>
              </w:rPr>
              <w:t xml:space="preserve">                          </w:t>
            </w:r>
          </w:p>
          <w:p w14:paraId="5B27191F">
            <w:pPr>
              <w:pStyle w:val="369"/>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人民币（大写）：</w:t>
            </w:r>
          </w:p>
          <w:p w14:paraId="05FBAAA8">
            <w:pPr>
              <w:pStyle w:val="369"/>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分</w:t>
            </w:r>
          </w:p>
        </w:tc>
      </w:tr>
    </w:tbl>
    <w:p w14:paraId="6EE38860">
      <w:pPr>
        <w:pStyle w:val="363"/>
        <w:ind w:firstLine="629"/>
        <w:rPr>
          <w:rFonts w:ascii="仿宋_GB2312" w:eastAsia="仿宋_GB2312"/>
          <w:color w:val="auto"/>
          <w:sz w:val="24"/>
          <w:highlight w:val="none"/>
        </w:rPr>
      </w:pPr>
    </w:p>
    <w:p w14:paraId="29F3BD24">
      <w:pPr>
        <w:pStyle w:val="363"/>
        <w:ind w:firstLine="629"/>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单位名称：（盖章）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p>
    <w:p w14:paraId="06ABE812">
      <w:pPr>
        <w:pStyle w:val="363"/>
        <w:ind w:firstLine="629"/>
        <w:rPr>
          <w:rFonts w:ascii="仿宋_GB2312" w:eastAsia="仿宋_GB2312"/>
          <w:color w:val="auto"/>
          <w:sz w:val="28"/>
          <w:szCs w:val="21"/>
          <w:highlight w:val="none"/>
        </w:rPr>
      </w:pPr>
      <w:r>
        <w:rPr>
          <w:rFonts w:hint="eastAsia" w:ascii="仿宋_GB2312" w:eastAsia="仿宋_GB2312"/>
          <w:color w:val="auto"/>
          <w:sz w:val="28"/>
          <w:szCs w:val="21"/>
          <w:highlight w:val="none"/>
        </w:rPr>
        <w:t>法定代表人（或授权代表）：（签字或盖章）</w:t>
      </w:r>
      <w:r>
        <w:rPr>
          <w:rFonts w:hint="eastAsia" w:ascii="仿宋_GB2312" w:eastAsia="仿宋_GB2312"/>
          <w:color w:val="auto"/>
          <w:sz w:val="28"/>
          <w:szCs w:val="21"/>
          <w:highlight w:val="none"/>
          <w:u w:val="single"/>
        </w:rPr>
        <w:t xml:space="preserve">              </w:t>
      </w:r>
    </w:p>
    <w:p w14:paraId="0BF2B3CA">
      <w:pPr>
        <w:rPr>
          <w:color w:val="auto"/>
          <w:highlight w:val="none"/>
        </w:rPr>
      </w:pPr>
      <w:r>
        <w:rPr>
          <w:color w:val="auto"/>
          <w:sz w:val="22"/>
          <w:szCs w:val="24"/>
          <w:highlight w:val="none"/>
        </w:rPr>
        <w:br w:type="page" w:clear="all"/>
      </w:r>
      <w:bookmarkStart w:id="271" w:name="_Toc10632"/>
      <w:bookmarkStart w:id="272" w:name="_Toc27976"/>
    </w:p>
    <w:p w14:paraId="78E7F72A">
      <w:pPr>
        <w:pStyle w:val="524"/>
        <w:outlineLvl w:val="1"/>
        <w:rPr>
          <w:rFonts w:hint="eastAsia"/>
          <w:color w:val="auto"/>
          <w:highlight w:val="none"/>
        </w:rPr>
      </w:pPr>
      <w:bookmarkStart w:id="273" w:name="_Toc18680"/>
      <w:bookmarkStart w:id="274" w:name="_Toc164203481"/>
      <w:bookmarkStart w:id="275" w:name="_Toc22253"/>
      <w:bookmarkStart w:id="276" w:name="_Toc26570"/>
      <w:r>
        <w:rPr>
          <w:color w:val="auto"/>
          <w:highlight w:val="none"/>
        </w:rPr>
        <w:t>十</w:t>
      </w:r>
      <w:r>
        <w:rPr>
          <w:rFonts w:hint="eastAsia"/>
          <w:color w:val="auto"/>
          <w:highlight w:val="none"/>
        </w:rPr>
        <w:t>二</w:t>
      </w:r>
      <w:r>
        <w:rPr>
          <w:color w:val="auto"/>
          <w:highlight w:val="none"/>
        </w:rPr>
        <w:t>、中小企业声明函</w:t>
      </w:r>
      <w:bookmarkEnd w:id="271"/>
      <w:bookmarkEnd w:id="272"/>
      <w:bookmarkEnd w:id="273"/>
      <w:bookmarkEnd w:id="274"/>
      <w:bookmarkEnd w:id="275"/>
      <w:bookmarkEnd w:id="276"/>
    </w:p>
    <w:p w14:paraId="7601FB98">
      <w:pPr>
        <w:pStyle w:val="561"/>
        <w:spacing w:line="600" w:lineRule="exact"/>
        <w:jc w:val="center"/>
        <w:rPr>
          <w:rFonts w:hint="eastAsia" w:ascii="宋体" w:hAnsi="宋体" w:cs="宋体"/>
          <w:b/>
          <w:bCs/>
          <w:color w:val="auto"/>
          <w:sz w:val="32"/>
          <w:szCs w:val="32"/>
          <w:highlight w:val="none"/>
        </w:rPr>
      </w:pPr>
      <w:bookmarkStart w:id="277" w:name="_Toc6995_WPSOffice_Level2"/>
      <w:bookmarkStart w:id="278" w:name="_Toc16234"/>
      <w:bookmarkStart w:id="279" w:name="_Toc12023"/>
      <w:r>
        <w:rPr>
          <w:rFonts w:hint="eastAsia" w:ascii="宋体" w:hAnsi="宋体" w:cs="宋体"/>
          <w:b/>
          <w:bCs/>
          <w:color w:val="auto"/>
          <w:sz w:val="32"/>
          <w:szCs w:val="32"/>
          <w:highlight w:val="none"/>
        </w:rPr>
        <w:t>中小企业声明函</w:t>
      </w:r>
      <w:bookmarkEnd w:id="277"/>
      <w:r>
        <w:rPr>
          <w:rFonts w:hint="eastAsia" w:ascii="宋体" w:hAnsi="宋体" w:cs="宋体"/>
          <w:b/>
          <w:bCs/>
          <w:color w:val="auto"/>
          <w:sz w:val="32"/>
          <w:szCs w:val="32"/>
          <w:highlight w:val="none"/>
        </w:rPr>
        <w:t>（货物）</w:t>
      </w:r>
    </w:p>
    <w:p w14:paraId="451DE171">
      <w:pPr>
        <w:pStyle w:val="14"/>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 （含联合体中的中小企业、签订分包意向协议的中小企业） 的具体情况如下：</w:t>
      </w:r>
    </w:p>
    <w:p w14:paraId="265E8332">
      <w:pPr>
        <w:pStyle w:val="14"/>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DBD229">
      <w:pPr>
        <w:pStyle w:val="14"/>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 企业、□微型企业）</w:t>
      </w:r>
      <w:r>
        <w:rPr>
          <w:rFonts w:hint="eastAsia" w:ascii="宋体" w:hAnsi="宋体" w:eastAsia="宋体" w:cs="宋体"/>
          <w:color w:val="auto"/>
          <w:sz w:val="24"/>
          <w:szCs w:val="24"/>
          <w:highlight w:val="none"/>
        </w:rPr>
        <w:t>；</w:t>
      </w:r>
    </w:p>
    <w:p w14:paraId="161A1CD4">
      <w:pPr>
        <w:pStyle w:val="14"/>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2D0B1C2">
      <w:pPr>
        <w:pStyle w:val="14"/>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B40108F">
      <w:pPr>
        <w:pStyle w:val="14"/>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3C7F075">
      <w:pPr>
        <w:pStyle w:val="14"/>
        <w:tabs>
          <w:tab w:val="left" w:pos="7098"/>
        </w:tabs>
        <w:spacing w:line="360" w:lineRule="auto"/>
        <w:ind w:firstLine="6000" w:firstLineChars="2500"/>
        <w:rPr>
          <w:rFonts w:hint="eastAsia" w:ascii="宋体" w:hAnsi="宋体" w:eastAsia="宋体" w:cs="宋体"/>
          <w:color w:val="auto"/>
          <w:sz w:val="24"/>
          <w:szCs w:val="24"/>
          <w:highlight w:val="none"/>
        </w:rPr>
      </w:pPr>
    </w:p>
    <w:p w14:paraId="28606CF5">
      <w:pPr>
        <w:pStyle w:val="14"/>
        <w:tabs>
          <w:tab w:val="left" w:pos="7098"/>
        </w:tabs>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投标人或制造商名称（盖章）：</w:t>
      </w:r>
    </w:p>
    <w:p w14:paraId="1640AC2D">
      <w:pPr>
        <w:pStyle w:val="14"/>
        <w:tabs>
          <w:tab w:val="left" w:pos="7098"/>
        </w:tabs>
        <w:spacing w:line="360" w:lineRule="auto"/>
        <w:ind w:firstLine="6000" w:firstLineChars="2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A1A0487">
      <w:pPr>
        <w:pStyle w:val="14"/>
        <w:tabs>
          <w:tab w:val="left" w:pos="7098"/>
        </w:tabs>
        <w:spacing w:line="360" w:lineRule="auto"/>
        <w:ind w:firstLine="480" w:firstLineChars="200"/>
        <w:rPr>
          <w:rFonts w:hint="eastAsia" w:ascii="宋体" w:hAnsi="宋体" w:eastAsia="宋体" w:cs="宋体"/>
          <w:color w:val="auto"/>
          <w:sz w:val="24"/>
          <w:szCs w:val="24"/>
          <w:highlight w:val="none"/>
        </w:rPr>
      </w:pPr>
    </w:p>
    <w:p w14:paraId="632C8223">
      <w:pPr>
        <w:pStyle w:val="14"/>
        <w:tabs>
          <w:tab w:val="left" w:pos="7098"/>
        </w:tabs>
        <w:spacing w:line="360" w:lineRule="auto"/>
        <w:ind w:firstLine="480" w:firstLineChars="200"/>
        <w:rPr>
          <w:rFonts w:hint="eastAsia" w:ascii="宋体" w:hAnsi="宋体" w:eastAsia="宋体" w:cs="宋体"/>
          <w:color w:val="auto"/>
          <w:sz w:val="24"/>
          <w:szCs w:val="24"/>
          <w:highlight w:val="none"/>
        </w:rPr>
      </w:pPr>
    </w:p>
    <w:p w14:paraId="3D89636A">
      <w:pPr>
        <w:pStyle w:val="14"/>
        <w:tabs>
          <w:tab w:val="left" w:pos="7098"/>
        </w:tabs>
        <w:spacing w:line="360" w:lineRule="auto"/>
        <w:ind w:firstLine="480" w:firstLineChars="200"/>
        <w:rPr>
          <w:rFonts w:hint="eastAsia" w:ascii="宋体" w:hAnsi="宋体" w:eastAsia="宋体" w:cs="宋体"/>
          <w:color w:val="auto"/>
          <w:sz w:val="24"/>
          <w:szCs w:val="24"/>
          <w:highlight w:val="none"/>
        </w:rPr>
      </w:pPr>
    </w:p>
    <w:p w14:paraId="5AB7A628">
      <w:pPr>
        <w:autoSpaceDE w:val="0"/>
        <w:autoSpaceDN w:val="0"/>
        <w:adjustRightInd w:val="0"/>
        <w:snapToGrid w:val="0"/>
        <w:spacing w:line="360" w:lineRule="auto"/>
        <w:ind w:firstLine="420" w:firstLineChars="200"/>
        <w:contextualSpacing/>
        <w:rPr>
          <w:rFonts w:hint="eastAsia" w:hAnsi="宋体" w:cs="宋体"/>
          <w:color w:val="auto"/>
          <w:highlight w:val="none"/>
        </w:rPr>
      </w:pPr>
      <w:r>
        <w:rPr>
          <w:rFonts w:hint="eastAsia" w:hAnsi="宋体" w:cs="宋体"/>
          <w:color w:val="auto"/>
          <w:highlight w:val="none"/>
        </w:rPr>
        <w:t>注：从业人员、营业收入、资产总额填报上一年度数据，无上一年度数据的新成立企业可不填报。</w:t>
      </w:r>
    </w:p>
    <w:p w14:paraId="526E45C4">
      <w:pPr>
        <w:pStyle w:val="14"/>
        <w:tabs>
          <w:tab w:val="left" w:pos="7098"/>
        </w:tabs>
        <w:spacing w:line="360" w:lineRule="auto"/>
        <w:ind w:firstLine="480" w:firstLineChars="200"/>
        <w:rPr>
          <w:rFonts w:hint="eastAsia" w:ascii="宋体" w:hAnsi="宋体" w:eastAsia="宋体" w:cs="宋体"/>
          <w:color w:val="auto"/>
          <w:sz w:val="24"/>
          <w:szCs w:val="24"/>
          <w:highlight w:val="none"/>
        </w:rPr>
      </w:pPr>
    </w:p>
    <w:p w14:paraId="6B7745FE">
      <w:pPr>
        <w:ind w:firstLine="4620"/>
        <w:jc w:val="left"/>
        <w:rPr>
          <w:rFonts w:cs="宋体"/>
          <w:color w:val="auto"/>
          <w:highlight w:val="none"/>
        </w:rPr>
      </w:pPr>
    </w:p>
    <w:p w14:paraId="59C520A6">
      <w:pPr>
        <w:pStyle w:val="202"/>
        <w:widowControl/>
        <w:spacing w:before="300" w:after="300" w:line="360" w:lineRule="auto"/>
        <w:jc w:val="center"/>
        <w:rPr>
          <w:rFonts w:hint="eastAsia" w:ascii="宋体" w:hAnsi="宋体" w:cs="宋体"/>
          <w:color w:val="auto"/>
          <w:sz w:val="21"/>
          <w:szCs w:val="21"/>
          <w:highlight w:val="none"/>
        </w:rPr>
      </w:pPr>
      <w:bookmarkStart w:id="280" w:name="_Toc109304977"/>
      <w:bookmarkStart w:id="281" w:name="_Toc32196"/>
      <w:r>
        <w:rPr>
          <w:rFonts w:hint="eastAsia" w:ascii="宋体" w:hAnsi="宋体" w:cs="宋体"/>
          <w:color w:val="auto"/>
          <w:sz w:val="21"/>
          <w:szCs w:val="21"/>
          <w:highlight w:val="none"/>
        </w:rPr>
        <w:t>中小微企业划型标准</w:t>
      </w:r>
      <w:bookmarkEnd w:id="280"/>
      <w:r>
        <w:rPr>
          <w:rFonts w:hint="eastAsia" w:ascii="宋体" w:hAnsi="宋体" w:cs="宋体"/>
          <w:color w:val="auto"/>
          <w:sz w:val="21"/>
          <w:szCs w:val="21"/>
          <w:highlight w:val="none"/>
        </w:rPr>
        <w:t> </w:t>
      </w:r>
      <w:bookmarkEnd w:id="281"/>
    </w:p>
    <w:p w14:paraId="7A827869">
      <w:pPr>
        <w:pStyle w:val="266"/>
        <w:spacing w:before="300" w:after="452" w:line="360" w:lineRule="auto"/>
        <w:ind w:firstLine="420"/>
        <w:rPr>
          <w:rFonts w:hint="eastAsia" w:hAnsi="宋体" w:cs="宋体"/>
          <w:color w:val="auto"/>
          <w:sz w:val="21"/>
          <w:szCs w:val="21"/>
          <w:highlight w:val="none"/>
        </w:rPr>
      </w:pPr>
      <w:r>
        <w:rPr>
          <w:rStyle w:val="274"/>
          <w:rFonts w:hint="eastAsia" w:hAnsi="宋体" w:cs="宋体"/>
          <w:color w:val="auto"/>
          <w:sz w:val="21"/>
          <w:szCs w:val="21"/>
          <w:highlight w:val="none"/>
        </w:rPr>
        <w:t>中小微企业划型标准如下：</w:t>
      </w:r>
    </w:p>
    <w:tbl>
      <w:tblPr>
        <w:tblStyle w:val="3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610"/>
        <w:gridCol w:w="1941"/>
        <w:gridCol w:w="559"/>
        <w:gridCol w:w="2332"/>
        <w:gridCol w:w="1908"/>
        <w:gridCol w:w="1671"/>
      </w:tblGrid>
      <w:tr w14:paraId="2C1D3F8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tcMar>
              <w:top w:w="0" w:type="dxa"/>
              <w:left w:w="105" w:type="dxa"/>
              <w:bottom w:w="0" w:type="dxa"/>
              <w:right w:w="105" w:type="dxa"/>
            </w:tcMar>
            <w:vAlign w:val="center"/>
          </w:tcPr>
          <w:p w14:paraId="7A525ADD">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行业名称</w:t>
            </w:r>
          </w:p>
        </w:tc>
        <w:tc>
          <w:tcPr>
            <w:tcW w:w="1618" w:type="dxa"/>
            <w:tcMar>
              <w:top w:w="0" w:type="dxa"/>
              <w:left w:w="105" w:type="dxa"/>
              <w:bottom w:w="0" w:type="dxa"/>
              <w:right w:w="105" w:type="dxa"/>
            </w:tcMar>
            <w:vAlign w:val="center"/>
          </w:tcPr>
          <w:p w14:paraId="4474C0E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指标名称</w:t>
            </w:r>
          </w:p>
        </w:tc>
        <w:tc>
          <w:tcPr>
            <w:tcW w:w="448" w:type="dxa"/>
            <w:tcMar>
              <w:top w:w="0" w:type="dxa"/>
              <w:left w:w="105" w:type="dxa"/>
              <w:bottom w:w="0" w:type="dxa"/>
              <w:right w:w="105" w:type="dxa"/>
            </w:tcMar>
            <w:vAlign w:val="center"/>
          </w:tcPr>
          <w:p w14:paraId="4E19380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计量单位</w:t>
            </w:r>
          </w:p>
        </w:tc>
        <w:tc>
          <w:tcPr>
            <w:tcW w:w="1949" w:type="dxa"/>
            <w:tcMar>
              <w:top w:w="0" w:type="dxa"/>
              <w:left w:w="105" w:type="dxa"/>
              <w:bottom w:w="0" w:type="dxa"/>
              <w:right w:w="105" w:type="dxa"/>
            </w:tcMar>
            <w:vAlign w:val="center"/>
          </w:tcPr>
          <w:p w14:paraId="38885EA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中型</w:t>
            </w:r>
          </w:p>
        </w:tc>
        <w:tc>
          <w:tcPr>
            <w:tcW w:w="1590" w:type="dxa"/>
            <w:tcMar>
              <w:top w:w="0" w:type="dxa"/>
              <w:left w:w="105" w:type="dxa"/>
              <w:bottom w:w="0" w:type="dxa"/>
              <w:right w:w="105" w:type="dxa"/>
            </w:tcMar>
            <w:vAlign w:val="center"/>
          </w:tcPr>
          <w:p w14:paraId="62A335C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小型</w:t>
            </w:r>
          </w:p>
        </w:tc>
        <w:tc>
          <w:tcPr>
            <w:tcW w:w="1376" w:type="dxa"/>
            <w:tcMar>
              <w:top w:w="0" w:type="dxa"/>
              <w:left w:w="105" w:type="dxa"/>
              <w:bottom w:w="0" w:type="dxa"/>
              <w:right w:w="105" w:type="dxa"/>
            </w:tcMar>
            <w:vAlign w:val="center"/>
          </w:tcPr>
          <w:p w14:paraId="2A52233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微型</w:t>
            </w:r>
          </w:p>
        </w:tc>
      </w:tr>
      <w:tr w14:paraId="1FC2450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791C173B">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农、林、牧、渔</w:t>
            </w:r>
          </w:p>
        </w:tc>
        <w:tc>
          <w:tcPr>
            <w:tcW w:w="1618" w:type="dxa"/>
            <w:tcMar>
              <w:top w:w="0" w:type="dxa"/>
              <w:left w:w="105" w:type="dxa"/>
              <w:bottom w:w="0" w:type="dxa"/>
              <w:right w:w="105" w:type="dxa"/>
            </w:tcMar>
            <w:vAlign w:val="center"/>
          </w:tcPr>
          <w:p w14:paraId="45B41AC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9755217">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4DAFC7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0155A3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50≤Y＜500</w:t>
            </w:r>
          </w:p>
        </w:tc>
        <w:tc>
          <w:tcPr>
            <w:tcW w:w="1376" w:type="dxa"/>
            <w:tcMar>
              <w:top w:w="0" w:type="dxa"/>
              <w:left w:w="105" w:type="dxa"/>
              <w:bottom w:w="0" w:type="dxa"/>
              <w:right w:w="105" w:type="dxa"/>
            </w:tcMar>
            <w:vAlign w:val="center"/>
          </w:tcPr>
          <w:p w14:paraId="3E3203A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Y＜50</w:t>
            </w:r>
          </w:p>
        </w:tc>
      </w:tr>
      <w:tr w14:paraId="4D1571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7ADEFBF3">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工业</w:t>
            </w:r>
          </w:p>
        </w:tc>
        <w:tc>
          <w:tcPr>
            <w:tcW w:w="1618" w:type="dxa"/>
            <w:tcMar>
              <w:top w:w="0" w:type="dxa"/>
              <w:left w:w="105" w:type="dxa"/>
              <w:bottom w:w="0" w:type="dxa"/>
              <w:right w:w="105" w:type="dxa"/>
            </w:tcMar>
            <w:vAlign w:val="center"/>
          </w:tcPr>
          <w:p w14:paraId="5774946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E6D5E3A">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4C49CC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75BE6F1A">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5B9343B">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X＜20</w:t>
            </w:r>
          </w:p>
        </w:tc>
      </w:tr>
      <w:tr w14:paraId="1DA07E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AB42DA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D488AE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6304B573">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6B1E33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2000≤Y＜40000</w:t>
            </w:r>
          </w:p>
        </w:tc>
        <w:tc>
          <w:tcPr>
            <w:tcW w:w="1590" w:type="dxa"/>
            <w:tcMar>
              <w:top w:w="0" w:type="dxa"/>
              <w:left w:w="105" w:type="dxa"/>
              <w:bottom w:w="0" w:type="dxa"/>
              <w:right w:w="105" w:type="dxa"/>
            </w:tcMar>
            <w:vAlign w:val="center"/>
          </w:tcPr>
          <w:p w14:paraId="3166275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300≤Y＜2000</w:t>
            </w:r>
          </w:p>
        </w:tc>
        <w:tc>
          <w:tcPr>
            <w:tcW w:w="1376" w:type="dxa"/>
            <w:tcMar>
              <w:top w:w="0" w:type="dxa"/>
              <w:left w:w="105" w:type="dxa"/>
              <w:bottom w:w="0" w:type="dxa"/>
              <w:right w:w="105" w:type="dxa"/>
            </w:tcMar>
            <w:vAlign w:val="center"/>
          </w:tcPr>
          <w:p w14:paraId="3700329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Y＜300</w:t>
            </w:r>
          </w:p>
        </w:tc>
      </w:tr>
      <w:tr w14:paraId="43CEB4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12B6DA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建筑业</w:t>
            </w:r>
          </w:p>
        </w:tc>
        <w:tc>
          <w:tcPr>
            <w:tcW w:w="1618" w:type="dxa"/>
            <w:tcMar>
              <w:top w:w="0" w:type="dxa"/>
              <w:left w:w="105" w:type="dxa"/>
              <w:bottom w:w="0" w:type="dxa"/>
              <w:right w:w="105" w:type="dxa"/>
            </w:tcMar>
            <w:vAlign w:val="center"/>
          </w:tcPr>
          <w:p w14:paraId="6A1B958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F4577A0">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670B057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6000≤Y＜80000</w:t>
            </w:r>
          </w:p>
        </w:tc>
        <w:tc>
          <w:tcPr>
            <w:tcW w:w="1590" w:type="dxa"/>
            <w:tcMar>
              <w:top w:w="0" w:type="dxa"/>
              <w:left w:w="105" w:type="dxa"/>
              <w:bottom w:w="0" w:type="dxa"/>
              <w:right w:w="105" w:type="dxa"/>
            </w:tcMar>
            <w:vAlign w:val="center"/>
          </w:tcPr>
          <w:p w14:paraId="2CDCDBD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300≤Y＜6000</w:t>
            </w:r>
          </w:p>
        </w:tc>
        <w:tc>
          <w:tcPr>
            <w:tcW w:w="1376" w:type="dxa"/>
            <w:tcMar>
              <w:top w:w="0" w:type="dxa"/>
              <w:left w:w="105" w:type="dxa"/>
              <w:bottom w:w="0" w:type="dxa"/>
              <w:right w:w="105" w:type="dxa"/>
            </w:tcMar>
            <w:vAlign w:val="center"/>
          </w:tcPr>
          <w:p w14:paraId="2FEA1FB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Y＜300</w:t>
            </w:r>
          </w:p>
        </w:tc>
      </w:tr>
      <w:tr w14:paraId="273092B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BF60F7C">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9BD028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317DAD3">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532B74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5000≤Z＜80000</w:t>
            </w:r>
          </w:p>
        </w:tc>
        <w:tc>
          <w:tcPr>
            <w:tcW w:w="1590" w:type="dxa"/>
            <w:tcMar>
              <w:top w:w="0" w:type="dxa"/>
              <w:left w:w="105" w:type="dxa"/>
              <w:bottom w:w="0" w:type="dxa"/>
              <w:right w:w="105" w:type="dxa"/>
            </w:tcMar>
            <w:vAlign w:val="center"/>
          </w:tcPr>
          <w:p w14:paraId="05AEFF56">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300≤Z＜5000</w:t>
            </w:r>
          </w:p>
        </w:tc>
        <w:tc>
          <w:tcPr>
            <w:tcW w:w="1376" w:type="dxa"/>
            <w:tcMar>
              <w:top w:w="0" w:type="dxa"/>
              <w:left w:w="105" w:type="dxa"/>
              <w:bottom w:w="0" w:type="dxa"/>
              <w:right w:w="105" w:type="dxa"/>
            </w:tcMar>
            <w:vAlign w:val="center"/>
          </w:tcPr>
          <w:p w14:paraId="25862B1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Z＜300</w:t>
            </w:r>
          </w:p>
        </w:tc>
      </w:tr>
      <w:tr w14:paraId="126306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D7A0DAB">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批发业</w:t>
            </w:r>
          </w:p>
        </w:tc>
        <w:tc>
          <w:tcPr>
            <w:tcW w:w="1618" w:type="dxa"/>
            <w:tcMar>
              <w:top w:w="0" w:type="dxa"/>
              <w:left w:w="105" w:type="dxa"/>
              <w:bottom w:w="0" w:type="dxa"/>
              <w:right w:w="105" w:type="dxa"/>
            </w:tcMar>
            <w:vAlign w:val="center"/>
          </w:tcPr>
          <w:p w14:paraId="1E6B04A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A9E68F7">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7A2D8D9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20≤X＜200</w:t>
            </w:r>
          </w:p>
        </w:tc>
        <w:tc>
          <w:tcPr>
            <w:tcW w:w="1590" w:type="dxa"/>
            <w:tcMar>
              <w:top w:w="0" w:type="dxa"/>
              <w:left w:w="105" w:type="dxa"/>
              <w:bottom w:w="0" w:type="dxa"/>
              <w:right w:w="105" w:type="dxa"/>
            </w:tcMar>
            <w:vAlign w:val="center"/>
          </w:tcPr>
          <w:p w14:paraId="409DCD1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5≤X＜20</w:t>
            </w:r>
          </w:p>
        </w:tc>
        <w:tc>
          <w:tcPr>
            <w:tcW w:w="1376" w:type="dxa"/>
            <w:tcMar>
              <w:top w:w="0" w:type="dxa"/>
              <w:left w:w="105" w:type="dxa"/>
              <w:bottom w:w="0" w:type="dxa"/>
              <w:right w:w="105" w:type="dxa"/>
            </w:tcMar>
            <w:vAlign w:val="center"/>
          </w:tcPr>
          <w:p w14:paraId="00D1F9A6">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X＜5</w:t>
            </w:r>
          </w:p>
        </w:tc>
      </w:tr>
      <w:tr w14:paraId="1764BD1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BF5D69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1367F0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2B38D00">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D351CF3">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5000≤Y＜40000</w:t>
            </w:r>
          </w:p>
        </w:tc>
        <w:tc>
          <w:tcPr>
            <w:tcW w:w="1590" w:type="dxa"/>
            <w:tcMar>
              <w:top w:w="0" w:type="dxa"/>
              <w:left w:w="105" w:type="dxa"/>
              <w:bottom w:w="0" w:type="dxa"/>
              <w:right w:w="105" w:type="dxa"/>
            </w:tcMar>
            <w:vAlign w:val="center"/>
          </w:tcPr>
          <w:p w14:paraId="79A4A25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1000≤Y＜5000</w:t>
            </w:r>
          </w:p>
        </w:tc>
        <w:tc>
          <w:tcPr>
            <w:tcW w:w="1376" w:type="dxa"/>
            <w:tcMar>
              <w:top w:w="0" w:type="dxa"/>
              <w:left w:w="105" w:type="dxa"/>
              <w:bottom w:w="0" w:type="dxa"/>
              <w:right w:w="105" w:type="dxa"/>
            </w:tcMar>
            <w:vAlign w:val="center"/>
          </w:tcPr>
          <w:p w14:paraId="3BF3E9F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Y＜1000</w:t>
            </w:r>
          </w:p>
        </w:tc>
      </w:tr>
      <w:tr w14:paraId="08729C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EB80DC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零售业</w:t>
            </w:r>
          </w:p>
        </w:tc>
        <w:tc>
          <w:tcPr>
            <w:tcW w:w="1618" w:type="dxa"/>
            <w:tcMar>
              <w:top w:w="0" w:type="dxa"/>
              <w:left w:w="105" w:type="dxa"/>
              <w:bottom w:w="0" w:type="dxa"/>
              <w:right w:w="105" w:type="dxa"/>
            </w:tcMar>
            <w:vAlign w:val="center"/>
          </w:tcPr>
          <w:p w14:paraId="45F64C83">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4E20BAB">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EE65CF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50≤X＜300</w:t>
            </w:r>
          </w:p>
        </w:tc>
        <w:tc>
          <w:tcPr>
            <w:tcW w:w="1590" w:type="dxa"/>
            <w:tcMar>
              <w:top w:w="0" w:type="dxa"/>
              <w:left w:w="105" w:type="dxa"/>
              <w:bottom w:w="0" w:type="dxa"/>
              <w:right w:w="105" w:type="dxa"/>
            </w:tcMar>
            <w:vAlign w:val="center"/>
          </w:tcPr>
          <w:p w14:paraId="26883769">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10≤X＜50</w:t>
            </w:r>
          </w:p>
        </w:tc>
        <w:tc>
          <w:tcPr>
            <w:tcW w:w="1376" w:type="dxa"/>
            <w:tcMar>
              <w:top w:w="0" w:type="dxa"/>
              <w:left w:w="105" w:type="dxa"/>
              <w:bottom w:w="0" w:type="dxa"/>
              <w:right w:w="105" w:type="dxa"/>
            </w:tcMar>
            <w:vAlign w:val="center"/>
          </w:tcPr>
          <w:p w14:paraId="52C270EA">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w:t>
            </w:r>
          </w:p>
        </w:tc>
      </w:tr>
      <w:tr w14:paraId="550861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ED658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415CD9BD">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219FE81">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A45625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2DAAEC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100≤Y＜500</w:t>
            </w:r>
          </w:p>
        </w:tc>
        <w:tc>
          <w:tcPr>
            <w:tcW w:w="1376" w:type="dxa"/>
            <w:tcMar>
              <w:top w:w="0" w:type="dxa"/>
              <w:left w:w="105" w:type="dxa"/>
              <w:bottom w:w="0" w:type="dxa"/>
              <w:right w:w="105" w:type="dxa"/>
            </w:tcMar>
            <w:vAlign w:val="center"/>
          </w:tcPr>
          <w:p w14:paraId="0A6EBAF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Y＜100</w:t>
            </w:r>
          </w:p>
        </w:tc>
      </w:tr>
      <w:tr w14:paraId="43A2D6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D8EE43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交通运输业</w:t>
            </w:r>
          </w:p>
        </w:tc>
        <w:tc>
          <w:tcPr>
            <w:tcW w:w="1618" w:type="dxa"/>
            <w:tcMar>
              <w:top w:w="0" w:type="dxa"/>
              <w:left w:w="105" w:type="dxa"/>
              <w:bottom w:w="0" w:type="dxa"/>
              <w:right w:w="105" w:type="dxa"/>
            </w:tcMar>
            <w:vAlign w:val="center"/>
          </w:tcPr>
          <w:p w14:paraId="2DD7279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215C7FC">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8A5CE0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5BDD1D2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4CB4801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X＜20</w:t>
            </w:r>
          </w:p>
        </w:tc>
      </w:tr>
      <w:tr w14:paraId="3D73324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8FEBAA2">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3F4ACD9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3BDF38C">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9350599">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3000≤Y＜30000</w:t>
            </w:r>
          </w:p>
        </w:tc>
        <w:tc>
          <w:tcPr>
            <w:tcW w:w="1590" w:type="dxa"/>
            <w:tcMar>
              <w:top w:w="0" w:type="dxa"/>
              <w:left w:w="105" w:type="dxa"/>
              <w:bottom w:w="0" w:type="dxa"/>
              <w:right w:w="105" w:type="dxa"/>
            </w:tcMar>
            <w:vAlign w:val="center"/>
          </w:tcPr>
          <w:p w14:paraId="222479DA">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200≤Y＜3000</w:t>
            </w:r>
          </w:p>
        </w:tc>
        <w:tc>
          <w:tcPr>
            <w:tcW w:w="1376" w:type="dxa"/>
            <w:tcMar>
              <w:top w:w="0" w:type="dxa"/>
              <w:left w:w="105" w:type="dxa"/>
              <w:bottom w:w="0" w:type="dxa"/>
              <w:right w:w="105" w:type="dxa"/>
            </w:tcMar>
            <w:vAlign w:val="center"/>
          </w:tcPr>
          <w:p w14:paraId="6C636DAB">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Y＜200</w:t>
            </w:r>
          </w:p>
        </w:tc>
      </w:tr>
      <w:tr w14:paraId="52E7BF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75CC30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仓储业</w:t>
            </w:r>
          </w:p>
        </w:tc>
        <w:tc>
          <w:tcPr>
            <w:tcW w:w="1618" w:type="dxa"/>
            <w:tcMar>
              <w:top w:w="0" w:type="dxa"/>
              <w:left w:w="105" w:type="dxa"/>
              <w:bottom w:w="0" w:type="dxa"/>
              <w:right w:w="105" w:type="dxa"/>
            </w:tcMar>
            <w:vAlign w:val="center"/>
          </w:tcPr>
          <w:p w14:paraId="0CB3D43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9E0290D">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793BBFA">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100≤X＜200</w:t>
            </w:r>
          </w:p>
        </w:tc>
        <w:tc>
          <w:tcPr>
            <w:tcW w:w="1590" w:type="dxa"/>
            <w:tcMar>
              <w:top w:w="0" w:type="dxa"/>
              <w:left w:w="105" w:type="dxa"/>
              <w:bottom w:w="0" w:type="dxa"/>
              <w:right w:w="105" w:type="dxa"/>
            </w:tcMar>
            <w:vAlign w:val="center"/>
          </w:tcPr>
          <w:p w14:paraId="599F410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20≤X＜100</w:t>
            </w:r>
          </w:p>
        </w:tc>
        <w:tc>
          <w:tcPr>
            <w:tcW w:w="1376" w:type="dxa"/>
            <w:tcMar>
              <w:top w:w="0" w:type="dxa"/>
              <w:left w:w="105" w:type="dxa"/>
              <w:bottom w:w="0" w:type="dxa"/>
              <w:right w:w="105" w:type="dxa"/>
            </w:tcMar>
            <w:vAlign w:val="center"/>
          </w:tcPr>
          <w:p w14:paraId="4D8DC5BD">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X＜20</w:t>
            </w:r>
          </w:p>
        </w:tc>
      </w:tr>
      <w:tr w14:paraId="202422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FAE258E">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6E36B4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D98B4C8">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65C128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1000≤Y＜30000</w:t>
            </w:r>
          </w:p>
        </w:tc>
        <w:tc>
          <w:tcPr>
            <w:tcW w:w="1590" w:type="dxa"/>
            <w:tcMar>
              <w:top w:w="0" w:type="dxa"/>
              <w:left w:w="105" w:type="dxa"/>
              <w:bottom w:w="0" w:type="dxa"/>
              <w:right w:w="105" w:type="dxa"/>
            </w:tcMar>
            <w:vAlign w:val="center"/>
          </w:tcPr>
          <w:p w14:paraId="053FB5E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78318E1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Y＜100</w:t>
            </w:r>
          </w:p>
        </w:tc>
      </w:tr>
      <w:tr w14:paraId="579D9F2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556144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邮政业</w:t>
            </w:r>
          </w:p>
        </w:tc>
        <w:tc>
          <w:tcPr>
            <w:tcW w:w="1618" w:type="dxa"/>
            <w:tcMar>
              <w:top w:w="0" w:type="dxa"/>
              <w:left w:w="105" w:type="dxa"/>
              <w:bottom w:w="0" w:type="dxa"/>
              <w:right w:w="105" w:type="dxa"/>
            </w:tcMar>
            <w:vAlign w:val="center"/>
          </w:tcPr>
          <w:p w14:paraId="7254397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2E4083">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1D6D9BD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10FF3336">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95C5E6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X＜20</w:t>
            </w:r>
          </w:p>
        </w:tc>
      </w:tr>
      <w:tr w14:paraId="6439DC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4F08FC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BC8F753">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7C4F4CE">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9F071E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2000≤Y＜30000</w:t>
            </w:r>
          </w:p>
        </w:tc>
        <w:tc>
          <w:tcPr>
            <w:tcW w:w="1590" w:type="dxa"/>
            <w:tcMar>
              <w:top w:w="0" w:type="dxa"/>
              <w:left w:w="105" w:type="dxa"/>
              <w:bottom w:w="0" w:type="dxa"/>
              <w:right w:w="105" w:type="dxa"/>
            </w:tcMar>
            <w:vAlign w:val="center"/>
          </w:tcPr>
          <w:p w14:paraId="584DA5EB">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35E318C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Y＜100</w:t>
            </w:r>
          </w:p>
        </w:tc>
      </w:tr>
      <w:tr w14:paraId="4FACE98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AC7A85D">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住宿业</w:t>
            </w:r>
          </w:p>
        </w:tc>
        <w:tc>
          <w:tcPr>
            <w:tcW w:w="1618" w:type="dxa"/>
            <w:tcMar>
              <w:top w:w="0" w:type="dxa"/>
              <w:left w:w="105" w:type="dxa"/>
              <w:bottom w:w="0" w:type="dxa"/>
              <w:right w:w="105" w:type="dxa"/>
            </w:tcMar>
            <w:vAlign w:val="center"/>
          </w:tcPr>
          <w:p w14:paraId="7892C3A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16A10DA">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4D1553D6">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463E0E03">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55AC57B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w:t>
            </w:r>
          </w:p>
        </w:tc>
      </w:tr>
      <w:tr w14:paraId="368976A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3787E42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3481BD5">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060A3A8">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731F7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098A5A3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1BB2D45B">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Y＜100</w:t>
            </w:r>
          </w:p>
        </w:tc>
      </w:tr>
      <w:tr w14:paraId="5F9B2FC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298FAF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餐饮业</w:t>
            </w:r>
          </w:p>
        </w:tc>
        <w:tc>
          <w:tcPr>
            <w:tcW w:w="1618" w:type="dxa"/>
            <w:tcMar>
              <w:top w:w="0" w:type="dxa"/>
              <w:left w:w="105" w:type="dxa"/>
              <w:bottom w:w="0" w:type="dxa"/>
              <w:right w:w="105" w:type="dxa"/>
            </w:tcMar>
            <w:vAlign w:val="center"/>
          </w:tcPr>
          <w:p w14:paraId="51DFE47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54B8451">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D1FD2E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8EB63C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195EA98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w:t>
            </w:r>
          </w:p>
        </w:tc>
      </w:tr>
      <w:tr w14:paraId="68E4FC3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F85EAC5">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F8C67DA">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878D955">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F36622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345F541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48290656">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Y＜100</w:t>
            </w:r>
          </w:p>
        </w:tc>
      </w:tr>
      <w:tr w14:paraId="25C8A0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3AD98B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信息传输业</w:t>
            </w:r>
          </w:p>
        </w:tc>
        <w:tc>
          <w:tcPr>
            <w:tcW w:w="1618" w:type="dxa"/>
            <w:tcMar>
              <w:top w:w="0" w:type="dxa"/>
              <w:left w:w="105" w:type="dxa"/>
              <w:bottom w:w="0" w:type="dxa"/>
              <w:right w:w="105" w:type="dxa"/>
            </w:tcMar>
            <w:vAlign w:val="center"/>
          </w:tcPr>
          <w:p w14:paraId="25C75A53">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BE0F971">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0CE555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100≤X＜2000</w:t>
            </w:r>
          </w:p>
        </w:tc>
        <w:tc>
          <w:tcPr>
            <w:tcW w:w="1590" w:type="dxa"/>
            <w:tcMar>
              <w:top w:w="0" w:type="dxa"/>
              <w:left w:w="105" w:type="dxa"/>
              <w:bottom w:w="0" w:type="dxa"/>
              <w:right w:w="105" w:type="dxa"/>
            </w:tcMar>
            <w:vAlign w:val="center"/>
          </w:tcPr>
          <w:p w14:paraId="76ACDD05">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60A7F0AA">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w:t>
            </w:r>
          </w:p>
        </w:tc>
      </w:tr>
      <w:tr w14:paraId="654146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CC8A41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84B529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CABE443">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960B8C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1000≤Y＜100000</w:t>
            </w:r>
          </w:p>
        </w:tc>
        <w:tc>
          <w:tcPr>
            <w:tcW w:w="1590" w:type="dxa"/>
            <w:tcMar>
              <w:top w:w="0" w:type="dxa"/>
              <w:left w:w="105" w:type="dxa"/>
              <w:bottom w:w="0" w:type="dxa"/>
              <w:right w:w="105" w:type="dxa"/>
            </w:tcMar>
            <w:vAlign w:val="center"/>
          </w:tcPr>
          <w:p w14:paraId="1E9D8D5A">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1D446E1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Y＜100</w:t>
            </w:r>
          </w:p>
        </w:tc>
      </w:tr>
      <w:tr w14:paraId="3E5997F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42BE935">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软件和信息技术服务业</w:t>
            </w:r>
          </w:p>
        </w:tc>
        <w:tc>
          <w:tcPr>
            <w:tcW w:w="1618" w:type="dxa"/>
            <w:tcMar>
              <w:top w:w="0" w:type="dxa"/>
              <w:left w:w="105" w:type="dxa"/>
              <w:bottom w:w="0" w:type="dxa"/>
              <w:right w:w="105" w:type="dxa"/>
            </w:tcMar>
            <w:vAlign w:val="center"/>
          </w:tcPr>
          <w:p w14:paraId="739E56D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C7665FA">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532E2A5">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0C2D779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475260D5">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w:t>
            </w:r>
          </w:p>
        </w:tc>
      </w:tr>
      <w:tr w14:paraId="4F70739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0E275DE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174A6733">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C65C1CF">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C8D11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1000≤Y＜10000</w:t>
            </w:r>
          </w:p>
        </w:tc>
        <w:tc>
          <w:tcPr>
            <w:tcW w:w="1590" w:type="dxa"/>
            <w:tcMar>
              <w:top w:w="0" w:type="dxa"/>
              <w:left w:w="105" w:type="dxa"/>
              <w:bottom w:w="0" w:type="dxa"/>
              <w:right w:w="105" w:type="dxa"/>
            </w:tcMar>
            <w:vAlign w:val="center"/>
          </w:tcPr>
          <w:p w14:paraId="610AC76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50≤Y＜1000</w:t>
            </w:r>
          </w:p>
        </w:tc>
        <w:tc>
          <w:tcPr>
            <w:tcW w:w="1376" w:type="dxa"/>
            <w:tcMar>
              <w:top w:w="0" w:type="dxa"/>
              <w:left w:w="105" w:type="dxa"/>
              <w:bottom w:w="0" w:type="dxa"/>
              <w:right w:w="105" w:type="dxa"/>
            </w:tcMar>
            <w:vAlign w:val="center"/>
          </w:tcPr>
          <w:p w14:paraId="7590CF5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Y＜50</w:t>
            </w:r>
          </w:p>
        </w:tc>
      </w:tr>
      <w:tr w14:paraId="7566B0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8100A8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房地产开发经营</w:t>
            </w:r>
          </w:p>
        </w:tc>
        <w:tc>
          <w:tcPr>
            <w:tcW w:w="1618" w:type="dxa"/>
            <w:tcMar>
              <w:top w:w="0" w:type="dxa"/>
              <w:left w:w="105" w:type="dxa"/>
              <w:bottom w:w="0" w:type="dxa"/>
              <w:right w:w="105" w:type="dxa"/>
            </w:tcMar>
            <w:vAlign w:val="center"/>
          </w:tcPr>
          <w:p w14:paraId="0A6FC0BF">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7C42169B">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E6A337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1000≤Y＜200000</w:t>
            </w:r>
          </w:p>
        </w:tc>
        <w:tc>
          <w:tcPr>
            <w:tcW w:w="1590" w:type="dxa"/>
            <w:tcMar>
              <w:top w:w="0" w:type="dxa"/>
              <w:left w:w="105" w:type="dxa"/>
              <w:bottom w:w="0" w:type="dxa"/>
              <w:right w:w="105" w:type="dxa"/>
            </w:tcMar>
            <w:vAlign w:val="center"/>
          </w:tcPr>
          <w:p w14:paraId="1B4633E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100≤X＜1000</w:t>
            </w:r>
          </w:p>
        </w:tc>
        <w:tc>
          <w:tcPr>
            <w:tcW w:w="1376" w:type="dxa"/>
            <w:tcMar>
              <w:top w:w="0" w:type="dxa"/>
              <w:left w:w="105" w:type="dxa"/>
              <w:bottom w:w="0" w:type="dxa"/>
              <w:right w:w="105" w:type="dxa"/>
            </w:tcMar>
            <w:vAlign w:val="center"/>
          </w:tcPr>
          <w:p w14:paraId="6F42EC0D">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X＜100</w:t>
            </w:r>
          </w:p>
        </w:tc>
      </w:tr>
      <w:tr w14:paraId="5798B0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F90C8FF">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07BD77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5A06FC86">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912955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5000≤Z＜10000</w:t>
            </w:r>
          </w:p>
        </w:tc>
        <w:tc>
          <w:tcPr>
            <w:tcW w:w="1590" w:type="dxa"/>
            <w:tcMar>
              <w:top w:w="0" w:type="dxa"/>
              <w:left w:w="105" w:type="dxa"/>
              <w:bottom w:w="0" w:type="dxa"/>
              <w:right w:w="105" w:type="dxa"/>
            </w:tcMar>
            <w:vAlign w:val="center"/>
          </w:tcPr>
          <w:p w14:paraId="38F823B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2000≤Y＜5000</w:t>
            </w:r>
          </w:p>
        </w:tc>
        <w:tc>
          <w:tcPr>
            <w:tcW w:w="1376" w:type="dxa"/>
            <w:tcMar>
              <w:top w:w="0" w:type="dxa"/>
              <w:left w:w="105" w:type="dxa"/>
              <w:bottom w:w="0" w:type="dxa"/>
              <w:right w:w="105" w:type="dxa"/>
            </w:tcMar>
            <w:vAlign w:val="center"/>
          </w:tcPr>
          <w:p w14:paraId="227E0529">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Y＜2000</w:t>
            </w:r>
          </w:p>
        </w:tc>
      </w:tr>
      <w:tr w14:paraId="134A429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7C30662">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物业管理</w:t>
            </w:r>
          </w:p>
        </w:tc>
        <w:tc>
          <w:tcPr>
            <w:tcW w:w="1618" w:type="dxa"/>
            <w:tcMar>
              <w:top w:w="0" w:type="dxa"/>
              <w:left w:w="105" w:type="dxa"/>
              <w:bottom w:w="0" w:type="dxa"/>
              <w:right w:w="105" w:type="dxa"/>
            </w:tcMar>
            <w:vAlign w:val="center"/>
          </w:tcPr>
          <w:p w14:paraId="2FD89EA4">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4AC688">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63AF17C9">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4F3065B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100≤X＜300</w:t>
            </w:r>
          </w:p>
        </w:tc>
        <w:tc>
          <w:tcPr>
            <w:tcW w:w="1376" w:type="dxa"/>
            <w:tcMar>
              <w:top w:w="0" w:type="dxa"/>
              <w:left w:w="105" w:type="dxa"/>
              <w:bottom w:w="0" w:type="dxa"/>
              <w:right w:w="105" w:type="dxa"/>
            </w:tcMar>
            <w:vAlign w:val="center"/>
          </w:tcPr>
          <w:p w14:paraId="0EBA11D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X＜100</w:t>
            </w:r>
          </w:p>
        </w:tc>
      </w:tr>
      <w:tr w14:paraId="5C53BF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2E94F2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6B8E832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5495B69">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A449D7D">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1000≤Y＜5000</w:t>
            </w:r>
          </w:p>
        </w:tc>
        <w:tc>
          <w:tcPr>
            <w:tcW w:w="1590" w:type="dxa"/>
            <w:tcMar>
              <w:top w:w="0" w:type="dxa"/>
              <w:left w:w="105" w:type="dxa"/>
              <w:bottom w:w="0" w:type="dxa"/>
              <w:right w:w="105" w:type="dxa"/>
            </w:tcMar>
            <w:vAlign w:val="center"/>
          </w:tcPr>
          <w:p w14:paraId="355AB62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500≤Y＜1000</w:t>
            </w:r>
          </w:p>
        </w:tc>
        <w:tc>
          <w:tcPr>
            <w:tcW w:w="1376" w:type="dxa"/>
            <w:tcMar>
              <w:top w:w="0" w:type="dxa"/>
              <w:left w:w="105" w:type="dxa"/>
              <w:bottom w:w="0" w:type="dxa"/>
              <w:right w:w="105" w:type="dxa"/>
            </w:tcMar>
            <w:vAlign w:val="center"/>
          </w:tcPr>
          <w:p w14:paraId="740AC5D0">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Y＜500</w:t>
            </w:r>
          </w:p>
        </w:tc>
      </w:tr>
      <w:tr w14:paraId="1BDAB1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3F91778">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租赁和商务服务业</w:t>
            </w:r>
          </w:p>
        </w:tc>
        <w:tc>
          <w:tcPr>
            <w:tcW w:w="1618" w:type="dxa"/>
            <w:tcMar>
              <w:top w:w="0" w:type="dxa"/>
              <w:left w:w="105" w:type="dxa"/>
              <w:bottom w:w="0" w:type="dxa"/>
              <w:right w:w="105" w:type="dxa"/>
            </w:tcMar>
            <w:vAlign w:val="center"/>
          </w:tcPr>
          <w:p w14:paraId="5605FFCE">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F3357EE">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2FC113FD">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D28922D">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87C83D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w:t>
            </w:r>
          </w:p>
        </w:tc>
      </w:tr>
      <w:tr w14:paraId="44FDB8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D7CED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0527046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4E14F71">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2B18256">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8000≤Z＜120000</w:t>
            </w:r>
          </w:p>
        </w:tc>
        <w:tc>
          <w:tcPr>
            <w:tcW w:w="1590" w:type="dxa"/>
            <w:tcMar>
              <w:top w:w="0" w:type="dxa"/>
              <w:left w:w="105" w:type="dxa"/>
              <w:bottom w:w="0" w:type="dxa"/>
              <w:right w:w="105" w:type="dxa"/>
            </w:tcMar>
            <w:vAlign w:val="center"/>
          </w:tcPr>
          <w:p w14:paraId="3EE1E061">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100≤Z＜8000</w:t>
            </w:r>
          </w:p>
        </w:tc>
        <w:tc>
          <w:tcPr>
            <w:tcW w:w="1376" w:type="dxa"/>
            <w:tcMar>
              <w:top w:w="0" w:type="dxa"/>
              <w:left w:w="105" w:type="dxa"/>
              <w:bottom w:w="0" w:type="dxa"/>
              <w:right w:w="105" w:type="dxa"/>
            </w:tcMar>
            <w:vAlign w:val="center"/>
          </w:tcPr>
          <w:p w14:paraId="7A69B97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Y＜100</w:t>
            </w:r>
          </w:p>
        </w:tc>
      </w:tr>
      <w:tr w14:paraId="1E64A8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549B89B9">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其他未列明行业</w:t>
            </w:r>
          </w:p>
        </w:tc>
        <w:tc>
          <w:tcPr>
            <w:tcW w:w="1618" w:type="dxa"/>
            <w:tcMar>
              <w:top w:w="0" w:type="dxa"/>
              <w:left w:w="105" w:type="dxa"/>
              <w:bottom w:w="0" w:type="dxa"/>
              <w:right w:w="105" w:type="dxa"/>
            </w:tcMar>
            <w:vAlign w:val="center"/>
          </w:tcPr>
          <w:p w14:paraId="6DFF50C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76CAC293">
            <w:pPr>
              <w:pStyle w:val="266"/>
              <w:spacing w:line="360" w:lineRule="auto"/>
              <w:rPr>
                <w:rFonts w:hint="eastAsia" w:hAnsi="宋体" w:cs="宋体"/>
                <w:color w:val="auto"/>
                <w:sz w:val="21"/>
                <w:szCs w:val="21"/>
                <w:highlight w:val="none"/>
              </w:rPr>
            </w:pPr>
            <w:r>
              <w:rPr>
                <w:rStyle w:val="274"/>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B976AFA">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5AEFD01C">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D0FB377">
            <w:pPr>
              <w:pStyle w:val="266"/>
              <w:spacing w:line="360" w:lineRule="auto"/>
              <w:jc w:val="center"/>
              <w:rPr>
                <w:rFonts w:hint="eastAsia" w:hAnsi="宋体" w:cs="宋体"/>
                <w:color w:val="auto"/>
                <w:sz w:val="21"/>
                <w:szCs w:val="21"/>
                <w:highlight w:val="none"/>
              </w:rPr>
            </w:pPr>
            <w:r>
              <w:rPr>
                <w:rStyle w:val="274"/>
                <w:rFonts w:hint="eastAsia" w:hAnsi="宋体" w:cs="宋体"/>
                <w:color w:val="auto"/>
                <w:sz w:val="21"/>
                <w:szCs w:val="21"/>
                <w:highlight w:val="none"/>
              </w:rPr>
              <w:t>X＜10</w:t>
            </w:r>
          </w:p>
        </w:tc>
      </w:tr>
    </w:tbl>
    <w:p w14:paraId="1698BA02">
      <w:pPr>
        <w:pStyle w:val="266"/>
        <w:spacing w:before="300" w:after="452" w:line="360" w:lineRule="auto"/>
        <w:ind w:firstLine="420"/>
        <w:rPr>
          <w:rStyle w:val="274"/>
          <w:rFonts w:hint="eastAsia" w:hAnsi="宋体" w:cs="宋体"/>
          <w:color w:val="auto"/>
          <w:sz w:val="21"/>
          <w:szCs w:val="21"/>
          <w:highlight w:val="none"/>
        </w:rPr>
      </w:pPr>
      <w:r>
        <w:rPr>
          <w:rStyle w:val="274"/>
          <w:rFonts w:hint="eastAsia"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7C24AF1F">
      <w:pPr>
        <w:widowControl/>
        <w:jc w:val="left"/>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r>
    </w:p>
    <w:p w14:paraId="265F34A5">
      <w:pPr>
        <w:jc w:val="center"/>
        <w:rPr>
          <w:color w:val="auto"/>
          <w:highlight w:val="none"/>
        </w:rPr>
      </w:pPr>
      <w:r>
        <w:rPr>
          <w:rFonts w:hint="eastAsia" w:ascii="黑体" w:hAnsi="黑体" w:eastAsia="黑体"/>
          <w:b/>
          <w:color w:val="auto"/>
          <w:sz w:val="32"/>
          <w:szCs w:val="24"/>
          <w:highlight w:val="none"/>
        </w:rPr>
        <w:t>属于监狱企业的证明文件</w:t>
      </w:r>
    </w:p>
    <w:p w14:paraId="2D736580">
      <w:pPr>
        <w:rPr>
          <w:color w:val="auto"/>
          <w:highlight w:val="none"/>
        </w:rPr>
      </w:pPr>
      <w:r>
        <w:rPr>
          <w:rFonts w:hint="eastAsia"/>
          <w:color w:val="auto"/>
          <w:highlight w:val="none"/>
        </w:rPr>
        <w:t>（提供由省级以上监狱管理局、戒毒管理局(含新疆生产建设兵团)出具的属于监狱企业的证明文件）</w:t>
      </w:r>
    </w:p>
    <w:p w14:paraId="3F09A4E2">
      <w:pPr>
        <w:rPr>
          <w:color w:val="auto"/>
          <w:highlight w:val="none"/>
        </w:rPr>
      </w:pPr>
      <w:r>
        <w:rPr>
          <w:rFonts w:hint="eastAsia"/>
          <w:color w:val="auto"/>
          <w:highlight w:val="none"/>
        </w:rPr>
        <w:t xml:space="preserve"> </w:t>
      </w:r>
    </w:p>
    <w:p w14:paraId="70075395">
      <w:pPr>
        <w:rPr>
          <w:color w:val="auto"/>
          <w:highlight w:val="none"/>
        </w:rPr>
      </w:pPr>
      <w:r>
        <w:rPr>
          <w:rFonts w:hint="eastAsia"/>
          <w:color w:val="auto"/>
          <w:highlight w:val="none"/>
        </w:rPr>
        <w:t xml:space="preserve"> </w:t>
      </w:r>
    </w:p>
    <w:p w14:paraId="641E6108">
      <w:pPr>
        <w:rPr>
          <w:color w:val="auto"/>
          <w:highlight w:val="none"/>
        </w:rPr>
      </w:pPr>
      <w:r>
        <w:rPr>
          <w:rFonts w:hint="eastAsia"/>
          <w:color w:val="auto"/>
          <w:highlight w:val="none"/>
        </w:rPr>
        <w:t xml:space="preserve"> </w:t>
      </w:r>
    </w:p>
    <w:p w14:paraId="7C7D4AF1">
      <w:pPr>
        <w:jc w:val="center"/>
        <w:rPr>
          <w:color w:val="auto"/>
          <w:highlight w:val="none"/>
        </w:rPr>
      </w:pPr>
    </w:p>
    <w:p w14:paraId="6DB0F3FD">
      <w:pPr>
        <w:jc w:val="center"/>
        <w:rPr>
          <w:color w:val="auto"/>
          <w:highlight w:val="none"/>
        </w:rPr>
      </w:pPr>
    </w:p>
    <w:p w14:paraId="388D153D">
      <w:pPr>
        <w:jc w:val="center"/>
        <w:rPr>
          <w:rFonts w:hint="eastAsia" w:ascii="黑体" w:hAnsi="黑体" w:eastAsia="黑体"/>
          <w:b/>
          <w:color w:val="auto"/>
          <w:sz w:val="32"/>
          <w:szCs w:val="24"/>
          <w:highlight w:val="none"/>
        </w:rPr>
      </w:pPr>
      <w:bookmarkStart w:id="282" w:name="_Toc5876"/>
      <w:bookmarkEnd w:id="282"/>
      <w:r>
        <w:rPr>
          <w:rFonts w:hint="eastAsia" w:ascii="黑体" w:hAnsi="黑体" w:eastAsia="黑体"/>
          <w:b/>
          <w:color w:val="auto"/>
          <w:sz w:val="32"/>
          <w:szCs w:val="24"/>
          <w:highlight w:val="none"/>
        </w:rPr>
        <w:t>节能产品认证证书</w:t>
      </w:r>
    </w:p>
    <w:p w14:paraId="1774A765">
      <w:pPr>
        <w:rPr>
          <w:color w:val="auto"/>
          <w:highlight w:val="none"/>
        </w:rPr>
      </w:pPr>
      <w:r>
        <w:rPr>
          <w:rFonts w:hint="eastAsia"/>
          <w:color w:val="auto"/>
          <w:highlight w:val="none"/>
        </w:rPr>
        <w:t>（提供国家确定的认证机构出具的、处于有效期之内的产品认证证书）</w:t>
      </w:r>
    </w:p>
    <w:p w14:paraId="7146862F">
      <w:pPr>
        <w:rPr>
          <w:color w:val="auto"/>
          <w:highlight w:val="none"/>
        </w:rPr>
      </w:pPr>
      <w:r>
        <w:rPr>
          <w:rFonts w:hint="eastAsia"/>
          <w:color w:val="auto"/>
          <w:highlight w:val="none"/>
        </w:rPr>
        <w:t xml:space="preserve"> </w:t>
      </w:r>
    </w:p>
    <w:p w14:paraId="3996B7A1">
      <w:pPr>
        <w:rPr>
          <w:color w:val="auto"/>
          <w:highlight w:val="none"/>
        </w:rPr>
      </w:pPr>
      <w:r>
        <w:rPr>
          <w:rFonts w:hint="eastAsia"/>
          <w:color w:val="auto"/>
          <w:highlight w:val="none"/>
        </w:rPr>
        <w:t xml:space="preserve"> </w:t>
      </w:r>
    </w:p>
    <w:p w14:paraId="660F6D62">
      <w:pPr>
        <w:rPr>
          <w:color w:val="auto"/>
          <w:highlight w:val="none"/>
        </w:rPr>
      </w:pPr>
      <w:r>
        <w:rPr>
          <w:rFonts w:hint="eastAsia"/>
          <w:color w:val="auto"/>
          <w:highlight w:val="none"/>
        </w:rPr>
        <w:t xml:space="preserve"> </w:t>
      </w:r>
    </w:p>
    <w:p w14:paraId="78E436E5">
      <w:pPr>
        <w:rPr>
          <w:color w:val="auto"/>
          <w:highlight w:val="none"/>
        </w:rPr>
      </w:pPr>
      <w:r>
        <w:rPr>
          <w:rFonts w:hint="eastAsia"/>
          <w:color w:val="auto"/>
          <w:highlight w:val="none"/>
        </w:rPr>
        <w:t xml:space="preserve"> </w:t>
      </w:r>
    </w:p>
    <w:p w14:paraId="661AD76A">
      <w:pPr>
        <w:jc w:val="center"/>
        <w:rPr>
          <w:rFonts w:hint="eastAsia" w:ascii="黑体" w:hAnsi="黑体" w:eastAsia="黑体"/>
          <w:b/>
          <w:color w:val="auto"/>
          <w:sz w:val="32"/>
          <w:szCs w:val="24"/>
          <w:highlight w:val="none"/>
        </w:rPr>
      </w:pPr>
    </w:p>
    <w:p w14:paraId="2EC6F0D3">
      <w:pPr>
        <w:jc w:val="center"/>
        <w:rPr>
          <w:rFonts w:hint="eastAsia" w:ascii="黑体" w:hAnsi="黑体" w:eastAsia="黑体"/>
          <w:b/>
          <w:color w:val="auto"/>
          <w:sz w:val="32"/>
          <w:szCs w:val="24"/>
          <w:highlight w:val="none"/>
        </w:rPr>
      </w:pPr>
      <w:bookmarkStart w:id="283" w:name="_Toc16386"/>
      <w:bookmarkEnd w:id="283"/>
      <w:r>
        <w:rPr>
          <w:rFonts w:hint="eastAsia" w:ascii="黑体" w:hAnsi="黑体" w:eastAsia="黑体"/>
          <w:b/>
          <w:color w:val="auto"/>
          <w:sz w:val="32"/>
          <w:szCs w:val="24"/>
          <w:highlight w:val="none"/>
        </w:rPr>
        <w:t>环境标志产品认证证书</w:t>
      </w:r>
    </w:p>
    <w:p w14:paraId="21119709">
      <w:pPr>
        <w:rPr>
          <w:color w:val="auto"/>
          <w:highlight w:val="none"/>
        </w:rPr>
      </w:pPr>
      <w:r>
        <w:rPr>
          <w:rFonts w:hint="eastAsia"/>
          <w:color w:val="auto"/>
          <w:highlight w:val="none"/>
        </w:rPr>
        <w:t>（提供国家确定的认证机构出具的、处于有效期之内的产品认证证书）</w:t>
      </w:r>
    </w:p>
    <w:p w14:paraId="3ADBF994">
      <w:pPr>
        <w:rPr>
          <w:color w:val="auto"/>
          <w:highlight w:val="none"/>
        </w:rPr>
      </w:pPr>
      <w:r>
        <w:rPr>
          <w:rFonts w:hint="eastAsia"/>
          <w:color w:val="auto"/>
          <w:highlight w:val="none"/>
        </w:rPr>
        <w:t xml:space="preserve"> </w:t>
      </w:r>
    </w:p>
    <w:p w14:paraId="24027D48">
      <w:pPr>
        <w:rPr>
          <w:color w:val="auto"/>
          <w:highlight w:val="none"/>
        </w:rPr>
      </w:pPr>
      <w:r>
        <w:rPr>
          <w:rFonts w:hint="eastAsia"/>
          <w:color w:val="auto"/>
          <w:highlight w:val="none"/>
        </w:rPr>
        <w:t xml:space="preserve"> </w:t>
      </w:r>
    </w:p>
    <w:p w14:paraId="0E8CF6D2">
      <w:pPr>
        <w:rPr>
          <w:color w:val="auto"/>
          <w:highlight w:val="none"/>
        </w:rPr>
      </w:pPr>
      <w:r>
        <w:rPr>
          <w:rFonts w:hint="eastAsia"/>
          <w:color w:val="auto"/>
          <w:highlight w:val="none"/>
        </w:rPr>
        <w:t xml:space="preserve"> </w:t>
      </w:r>
    </w:p>
    <w:p w14:paraId="50E58A97">
      <w:pPr>
        <w:rPr>
          <w:color w:val="auto"/>
          <w:highlight w:val="none"/>
        </w:rPr>
      </w:pPr>
      <w:r>
        <w:rPr>
          <w:rFonts w:hint="eastAsia"/>
          <w:color w:val="auto"/>
          <w:highlight w:val="none"/>
        </w:rPr>
        <w:t xml:space="preserve"> </w:t>
      </w:r>
    </w:p>
    <w:p w14:paraId="11029475">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p>
    <w:p w14:paraId="2B05F890">
      <w:pPr>
        <w:jc w:val="center"/>
        <w:rPr>
          <w:rFonts w:hint="eastAsia" w:ascii="黑体" w:hAnsi="黑体" w:eastAsia="黑体"/>
          <w:b/>
          <w:color w:val="auto"/>
          <w:sz w:val="32"/>
          <w:szCs w:val="24"/>
          <w:highlight w:val="none"/>
        </w:rPr>
      </w:pPr>
      <w:bookmarkStart w:id="284" w:name="_Toc1060"/>
      <w:bookmarkEnd w:id="284"/>
      <w:r>
        <w:rPr>
          <w:rFonts w:hint="eastAsia" w:ascii="黑体" w:hAnsi="黑体" w:eastAsia="黑体"/>
          <w:b/>
          <w:color w:val="auto"/>
          <w:sz w:val="32"/>
          <w:szCs w:val="24"/>
          <w:highlight w:val="none"/>
        </w:rPr>
        <w:t>进口产品转让技术、消化吸收再创新方案</w:t>
      </w:r>
    </w:p>
    <w:p w14:paraId="1F1D7EA9">
      <w:pPr>
        <w:rPr>
          <w:color w:val="auto"/>
          <w:highlight w:val="none"/>
        </w:rPr>
      </w:pPr>
      <w:r>
        <w:rPr>
          <w:rFonts w:hint="eastAsia"/>
          <w:color w:val="auto"/>
          <w:highlight w:val="none"/>
        </w:rPr>
        <w:t>（对于允许进口产品参加的项目）</w:t>
      </w:r>
    </w:p>
    <w:p w14:paraId="4990E4C6">
      <w:pPr>
        <w:rPr>
          <w:rFonts w:hint="eastAsia" w:ascii="黑体" w:hAnsi="黑体" w:eastAsia="黑体"/>
          <w:color w:val="auto"/>
          <w:sz w:val="32"/>
          <w:highlight w:val="none"/>
        </w:rPr>
      </w:pPr>
      <w:r>
        <w:rPr>
          <w:color w:val="auto"/>
          <w:highlight w:val="none"/>
        </w:rPr>
        <w:br w:type="page" w:clear="all"/>
      </w:r>
    </w:p>
    <w:p w14:paraId="56A54F6D">
      <w:pPr>
        <w:pStyle w:val="491"/>
        <w:outlineLvl w:val="1"/>
        <w:rPr>
          <w:rFonts w:hint="eastAsia"/>
          <w:color w:val="auto"/>
          <w:highlight w:val="none"/>
        </w:rPr>
      </w:pPr>
      <w:bookmarkStart w:id="285" w:name="_Toc164203482"/>
      <w:bookmarkStart w:id="286" w:name="_Toc15535"/>
      <w:bookmarkStart w:id="287" w:name="_Toc4596"/>
      <w:bookmarkStart w:id="288" w:name="_Toc356"/>
      <w:r>
        <w:rPr>
          <w:color w:val="auto"/>
          <w:highlight w:val="none"/>
        </w:rPr>
        <w:t>十</w:t>
      </w:r>
      <w:r>
        <w:rPr>
          <w:rFonts w:hint="eastAsia"/>
          <w:color w:val="auto"/>
          <w:highlight w:val="none"/>
        </w:rPr>
        <w:t>三</w:t>
      </w:r>
      <w:r>
        <w:rPr>
          <w:color w:val="auto"/>
          <w:highlight w:val="none"/>
        </w:rPr>
        <w:t>、响应偏差表</w:t>
      </w:r>
      <w:bookmarkEnd w:id="278"/>
      <w:bookmarkEnd w:id="279"/>
      <w:bookmarkEnd w:id="285"/>
      <w:bookmarkEnd w:id="286"/>
      <w:bookmarkEnd w:id="287"/>
      <w:bookmarkEnd w:id="288"/>
    </w:p>
    <w:p w14:paraId="1EE4FE16">
      <w:pPr>
        <w:pStyle w:val="302"/>
        <w:jc w:val="center"/>
        <w:rPr>
          <w:color w:val="auto"/>
          <w:sz w:val="32"/>
          <w:szCs w:val="32"/>
          <w:highlight w:val="none"/>
        </w:rPr>
      </w:pPr>
      <w:r>
        <w:rPr>
          <w:rFonts w:hint="eastAsia"/>
          <w:color w:val="auto"/>
          <w:sz w:val="32"/>
          <w:szCs w:val="32"/>
          <w:highlight w:val="none"/>
        </w:rPr>
        <w:t>（一）技术响应偏差表</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8"/>
        <w:gridCol w:w="2100"/>
        <w:gridCol w:w="2232"/>
        <w:gridCol w:w="1790"/>
      </w:tblGrid>
      <w:tr w14:paraId="7541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1F464A3">
            <w:pPr>
              <w:pStyle w:val="302"/>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898" w:type="dxa"/>
            <w:tcBorders>
              <w:top w:val="single" w:color="auto" w:sz="4" w:space="0"/>
              <w:left w:val="single" w:color="auto" w:sz="4" w:space="0"/>
              <w:bottom w:val="single" w:color="auto" w:sz="4" w:space="0"/>
              <w:right w:val="single" w:color="auto" w:sz="4" w:space="0"/>
            </w:tcBorders>
            <w:vAlign w:val="center"/>
          </w:tcPr>
          <w:p w14:paraId="27C5A878">
            <w:pPr>
              <w:pStyle w:val="302"/>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100" w:type="dxa"/>
            <w:tcBorders>
              <w:top w:val="single" w:color="auto" w:sz="4" w:space="0"/>
              <w:left w:val="single" w:color="auto" w:sz="4" w:space="0"/>
              <w:bottom w:val="single" w:color="auto" w:sz="4" w:space="0"/>
              <w:right w:val="single" w:color="auto" w:sz="4" w:space="0"/>
            </w:tcBorders>
            <w:vAlign w:val="center"/>
          </w:tcPr>
          <w:p w14:paraId="64DCC29B">
            <w:pPr>
              <w:pStyle w:val="302"/>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232" w:type="dxa"/>
            <w:tcBorders>
              <w:top w:val="single" w:color="auto" w:sz="4" w:space="0"/>
              <w:left w:val="single" w:color="auto" w:sz="4" w:space="0"/>
              <w:bottom w:val="single" w:color="auto" w:sz="4" w:space="0"/>
              <w:right w:val="single" w:color="auto" w:sz="4" w:space="0"/>
            </w:tcBorders>
            <w:vAlign w:val="center"/>
          </w:tcPr>
          <w:p w14:paraId="0422AB4C">
            <w:pPr>
              <w:pStyle w:val="302"/>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c>
          <w:tcPr>
            <w:tcW w:w="1790" w:type="dxa"/>
            <w:tcBorders>
              <w:top w:val="single" w:color="auto" w:sz="4" w:space="0"/>
              <w:left w:val="single" w:color="auto" w:sz="4" w:space="0"/>
              <w:bottom w:val="single" w:color="auto" w:sz="4" w:space="0"/>
              <w:right w:val="single" w:color="auto" w:sz="4" w:space="0"/>
            </w:tcBorders>
            <w:vAlign w:val="center"/>
          </w:tcPr>
          <w:p w14:paraId="4112472B">
            <w:pPr>
              <w:pStyle w:val="302"/>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40B6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E2F9138">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61E2E855">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8F800A9">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D3E2FEE">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5C1A3D1">
            <w:pPr>
              <w:pStyle w:val="302"/>
              <w:spacing w:line="560" w:lineRule="exact"/>
              <w:jc w:val="center"/>
              <w:rPr>
                <w:rFonts w:ascii="仿宋_GB2312" w:eastAsia="仿宋_GB2312"/>
                <w:color w:val="auto"/>
                <w:sz w:val="24"/>
                <w:highlight w:val="none"/>
              </w:rPr>
            </w:pPr>
          </w:p>
        </w:tc>
      </w:tr>
      <w:tr w14:paraId="2FC8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AEA4513">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7868A9F7">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624D4E2E">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ABD38D1">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839784D">
            <w:pPr>
              <w:pStyle w:val="302"/>
              <w:spacing w:line="560" w:lineRule="exact"/>
              <w:jc w:val="center"/>
              <w:rPr>
                <w:rFonts w:ascii="仿宋_GB2312" w:eastAsia="仿宋_GB2312"/>
                <w:color w:val="auto"/>
                <w:sz w:val="24"/>
                <w:highlight w:val="none"/>
              </w:rPr>
            </w:pPr>
          </w:p>
        </w:tc>
      </w:tr>
      <w:tr w14:paraId="3FF3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4C6B6C7E">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02DFF68">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FAC0643">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5578E4C5">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9ED4EC2">
            <w:pPr>
              <w:pStyle w:val="302"/>
              <w:spacing w:line="560" w:lineRule="exact"/>
              <w:jc w:val="center"/>
              <w:rPr>
                <w:rFonts w:ascii="仿宋_GB2312" w:eastAsia="仿宋_GB2312"/>
                <w:color w:val="auto"/>
                <w:sz w:val="24"/>
                <w:highlight w:val="none"/>
              </w:rPr>
            </w:pPr>
          </w:p>
        </w:tc>
      </w:tr>
      <w:tr w14:paraId="11E8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D02AB9F">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A7ED6A5">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EFD305E">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22353102">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6DA5EFAB">
            <w:pPr>
              <w:pStyle w:val="302"/>
              <w:spacing w:line="560" w:lineRule="exact"/>
              <w:jc w:val="center"/>
              <w:rPr>
                <w:rFonts w:ascii="仿宋_GB2312" w:eastAsia="仿宋_GB2312"/>
                <w:color w:val="auto"/>
                <w:sz w:val="24"/>
                <w:highlight w:val="none"/>
              </w:rPr>
            </w:pPr>
          </w:p>
        </w:tc>
      </w:tr>
      <w:tr w14:paraId="654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19D4548F">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1BCBAA2">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405093AC">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E3DF783">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A4D5F1D">
            <w:pPr>
              <w:pStyle w:val="302"/>
              <w:spacing w:line="560" w:lineRule="exact"/>
              <w:jc w:val="center"/>
              <w:rPr>
                <w:rFonts w:ascii="仿宋_GB2312" w:eastAsia="仿宋_GB2312"/>
                <w:color w:val="auto"/>
                <w:sz w:val="24"/>
                <w:highlight w:val="none"/>
              </w:rPr>
            </w:pPr>
          </w:p>
        </w:tc>
      </w:tr>
      <w:tr w14:paraId="177A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715D99C">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C4A2DA2">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4C57246">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5BDB9C7">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A8CD2AC">
            <w:pPr>
              <w:pStyle w:val="302"/>
              <w:spacing w:line="560" w:lineRule="exact"/>
              <w:jc w:val="center"/>
              <w:rPr>
                <w:rFonts w:ascii="仿宋_GB2312" w:eastAsia="仿宋_GB2312"/>
                <w:color w:val="auto"/>
                <w:sz w:val="24"/>
                <w:highlight w:val="none"/>
              </w:rPr>
            </w:pPr>
          </w:p>
        </w:tc>
      </w:tr>
      <w:tr w14:paraId="5D26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FEF95AB">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54DBA22">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EA6B3E">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920E889">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2E85C6C2">
            <w:pPr>
              <w:pStyle w:val="302"/>
              <w:spacing w:line="560" w:lineRule="exact"/>
              <w:jc w:val="center"/>
              <w:rPr>
                <w:rFonts w:ascii="仿宋_GB2312" w:eastAsia="仿宋_GB2312"/>
                <w:color w:val="auto"/>
                <w:sz w:val="24"/>
                <w:highlight w:val="none"/>
              </w:rPr>
            </w:pPr>
          </w:p>
        </w:tc>
      </w:tr>
      <w:tr w14:paraId="430F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3361CBD4">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9D54A86">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698CD99">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7F143507">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5435490">
            <w:pPr>
              <w:pStyle w:val="302"/>
              <w:spacing w:line="560" w:lineRule="exact"/>
              <w:jc w:val="center"/>
              <w:rPr>
                <w:rFonts w:ascii="仿宋_GB2312" w:eastAsia="仿宋_GB2312"/>
                <w:color w:val="auto"/>
                <w:sz w:val="24"/>
                <w:highlight w:val="none"/>
              </w:rPr>
            </w:pPr>
          </w:p>
        </w:tc>
      </w:tr>
      <w:tr w14:paraId="68A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7A0FEA1">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6554E90">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21B3CF9E">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0A30AA0E">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07F8A3C5">
            <w:pPr>
              <w:pStyle w:val="302"/>
              <w:spacing w:line="560" w:lineRule="exact"/>
              <w:jc w:val="center"/>
              <w:rPr>
                <w:rFonts w:ascii="仿宋_GB2312" w:eastAsia="仿宋_GB2312"/>
                <w:color w:val="auto"/>
                <w:sz w:val="24"/>
                <w:highlight w:val="none"/>
              </w:rPr>
            </w:pPr>
          </w:p>
        </w:tc>
      </w:tr>
      <w:tr w14:paraId="07A6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E83DAFF">
            <w:pPr>
              <w:pStyle w:val="302"/>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3752DCC">
            <w:pPr>
              <w:pStyle w:val="302"/>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6AB7B0">
            <w:pPr>
              <w:pStyle w:val="302"/>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615A6D7">
            <w:pPr>
              <w:pStyle w:val="302"/>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7AE6005">
            <w:pPr>
              <w:pStyle w:val="302"/>
              <w:spacing w:line="560" w:lineRule="exact"/>
              <w:jc w:val="center"/>
              <w:rPr>
                <w:rFonts w:ascii="仿宋_GB2312" w:eastAsia="仿宋_GB2312"/>
                <w:color w:val="auto"/>
                <w:sz w:val="24"/>
                <w:highlight w:val="none"/>
              </w:rPr>
            </w:pPr>
          </w:p>
        </w:tc>
      </w:tr>
    </w:tbl>
    <w:p w14:paraId="1867F5C6">
      <w:pPr>
        <w:pStyle w:val="363"/>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674C7B87">
      <w:pPr>
        <w:pStyle w:val="363"/>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7C2BD8A2">
      <w:pPr>
        <w:pStyle w:val="301"/>
        <w:ind w:firstLine="482"/>
        <w:rPr>
          <w:rFonts w:hint="eastAsia" w:hAnsi="宋体"/>
          <w:b/>
          <w:bCs/>
          <w:color w:val="auto"/>
          <w:sz w:val="24"/>
          <w:szCs w:val="28"/>
          <w:highlight w:val="none"/>
        </w:rPr>
      </w:pPr>
    </w:p>
    <w:p w14:paraId="3922C2F3">
      <w:pPr>
        <w:pStyle w:val="301"/>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1、凡投标文件中所投货物或服务与招标文件有偏差的（包括正偏差，负偏差），均应在此表中详细列出并说明理由。第四部分采购需求须逐条应答。</w:t>
      </w:r>
    </w:p>
    <w:p w14:paraId="059DC71D">
      <w:pPr>
        <w:pStyle w:val="302"/>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2、投标人所投产品如与招标文件要求的规格及配置不一致，则须在上表偏离说明中详细注明。</w:t>
      </w:r>
    </w:p>
    <w:p w14:paraId="10EC470E">
      <w:pPr>
        <w:pStyle w:val="508"/>
        <w:rPr>
          <w:color w:val="auto"/>
          <w:highlight w:val="none"/>
        </w:rPr>
      </w:pPr>
      <w:r>
        <w:rPr>
          <w:rFonts w:hint="eastAsia" w:ascii="宋体" w:hAnsi="宋体"/>
          <w:b/>
          <w:bCs/>
          <w:color w:val="auto"/>
          <w:sz w:val="24"/>
          <w:szCs w:val="28"/>
          <w:highlight w:val="none"/>
        </w:rPr>
        <w:t>3、响应部分可后附详细说明及技术资料，并注明投标文件中对应的页码范围。</w:t>
      </w:r>
    </w:p>
    <w:p w14:paraId="536E9B4F">
      <w:pPr>
        <w:pStyle w:val="629"/>
        <w:jc w:val="center"/>
        <w:rPr>
          <w:rFonts w:hint="eastAsia"/>
          <w:color w:val="auto"/>
          <w:highlight w:val="none"/>
        </w:rPr>
      </w:pPr>
    </w:p>
    <w:p w14:paraId="5548FA84">
      <w:pPr>
        <w:rPr>
          <w:color w:val="auto"/>
          <w:highlight w:val="none"/>
        </w:rPr>
      </w:pPr>
      <w:bookmarkStart w:id="289" w:name="_Toc8566"/>
      <w:bookmarkStart w:id="290" w:name="_Toc9396"/>
      <w:r>
        <w:rPr>
          <w:color w:val="auto"/>
          <w:highlight w:val="none"/>
        </w:rPr>
        <w:br w:type="page" w:clear="all"/>
      </w:r>
    </w:p>
    <w:p w14:paraId="6BBF8B78">
      <w:pPr>
        <w:pStyle w:val="302"/>
        <w:jc w:val="center"/>
        <w:rPr>
          <w:color w:val="auto"/>
          <w:sz w:val="32"/>
          <w:szCs w:val="32"/>
          <w:highlight w:val="none"/>
        </w:rPr>
      </w:pPr>
      <w:r>
        <w:rPr>
          <w:rFonts w:hint="eastAsia"/>
          <w:color w:val="auto"/>
          <w:sz w:val="32"/>
          <w:szCs w:val="32"/>
          <w:highlight w:val="none"/>
        </w:rPr>
        <w:t>（二）投标商务偏离表</w:t>
      </w:r>
      <w:bookmarkEnd w:id="289"/>
      <w:bookmarkEnd w:id="290"/>
    </w:p>
    <w:p w14:paraId="2E565B8D">
      <w:pPr>
        <w:jc w:val="center"/>
        <w:rPr>
          <w:color w:val="auto"/>
          <w:highlight w:val="none"/>
        </w:rPr>
      </w:pPr>
      <w:bookmarkStart w:id="291" w:name="_Toc16003"/>
      <w:bookmarkStart w:id="292" w:name="_Toc19062"/>
      <w:r>
        <w:rPr>
          <w:rFonts w:hint="eastAsia"/>
          <w:color w:val="auto"/>
          <w:highlight w:val="none"/>
        </w:rPr>
        <w:t>（付款方式、服务期等须逐条应答，且不可负偏差）</w:t>
      </w:r>
      <w:bookmarkEnd w:id="291"/>
      <w:bookmarkEnd w:id="292"/>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14:paraId="5A70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2030BDC">
            <w:pPr>
              <w:pStyle w:val="302"/>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09EAD662">
            <w:pPr>
              <w:pStyle w:val="302"/>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112F30D1">
            <w:pPr>
              <w:pStyle w:val="302"/>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14:paraId="55C3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6F0269E">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6064B92">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8E0785">
            <w:pPr>
              <w:pStyle w:val="302"/>
              <w:spacing w:line="560" w:lineRule="exact"/>
              <w:jc w:val="center"/>
              <w:rPr>
                <w:rFonts w:ascii="仿宋_GB2312" w:eastAsia="仿宋_GB2312"/>
                <w:color w:val="auto"/>
                <w:sz w:val="24"/>
                <w:highlight w:val="none"/>
              </w:rPr>
            </w:pPr>
          </w:p>
        </w:tc>
      </w:tr>
      <w:tr w14:paraId="26EF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B723A3">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DEE9E7">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8BFF38B">
            <w:pPr>
              <w:pStyle w:val="302"/>
              <w:spacing w:line="560" w:lineRule="exact"/>
              <w:jc w:val="center"/>
              <w:rPr>
                <w:rFonts w:ascii="仿宋_GB2312" w:eastAsia="仿宋_GB2312"/>
                <w:color w:val="auto"/>
                <w:sz w:val="24"/>
                <w:highlight w:val="none"/>
              </w:rPr>
            </w:pPr>
          </w:p>
        </w:tc>
      </w:tr>
      <w:tr w14:paraId="2E7D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D5CDB54">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E570BDE">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C6F2222">
            <w:pPr>
              <w:pStyle w:val="302"/>
              <w:spacing w:line="560" w:lineRule="exact"/>
              <w:jc w:val="center"/>
              <w:rPr>
                <w:rFonts w:ascii="仿宋_GB2312" w:eastAsia="仿宋_GB2312"/>
                <w:color w:val="auto"/>
                <w:sz w:val="24"/>
                <w:highlight w:val="none"/>
              </w:rPr>
            </w:pPr>
          </w:p>
        </w:tc>
      </w:tr>
      <w:tr w14:paraId="5A9C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828A23E">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9E4E39C">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CFCD5A1">
            <w:pPr>
              <w:pStyle w:val="302"/>
              <w:spacing w:line="560" w:lineRule="exact"/>
              <w:jc w:val="center"/>
              <w:rPr>
                <w:rFonts w:ascii="仿宋_GB2312" w:eastAsia="仿宋_GB2312"/>
                <w:color w:val="auto"/>
                <w:sz w:val="24"/>
                <w:highlight w:val="none"/>
              </w:rPr>
            </w:pPr>
          </w:p>
        </w:tc>
      </w:tr>
      <w:tr w14:paraId="303C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79A0308">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A730CE5">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C26F81">
            <w:pPr>
              <w:pStyle w:val="302"/>
              <w:spacing w:line="560" w:lineRule="exact"/>
              <w:jc w:val="center"/>
              <w:rPr>
                <w:rFonts w:ascii="仿宋_GB2312" w:eastAsia="仿宋_GB2312"/>
                <w:color w:val="auto"/>
                <w:sz w:val="24"/>
                <w:highlight w:val="none"/>
              </w:rPr>
            </w:pPr>
          </w:p>
        </w:tc>
      </w:tr>
      <w:tr w14:paraId="009E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ADB987D">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575BF16">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1309A5D">
            <w:pPr>
              <w:pStyle w:val="302"/>
              <w:spacing w:line="560" w:lineRule="exact"/>
              <w:jc w:val="center"/>
              <w:rPr>
                <w:rFonts w:ascii="仿宋_GB2312" w:eastAsia="仿宋_GB2312"/>
                <w:color w:val="auto"/>
                <w:sz w:val="24"/>
                <w:highlight w:val="none"/>
              </w:rPr>
            </w:pPr>
          </w:p>
        </w:tc>
      </w:tr>
      <w:tr w14:paraId="275E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63FE765">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C9D091A">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F72EF9A">
            <w:pPr>
              <w:pStyle w:val="302"/>
              <w:spacing w:line="560" w:lineRule="exact"/>
              <w:jc w:val="center"/>
              <w:rPr>
                <w:rFonts w:ascii="仿宋_GB2312" w:eastAsia="仿宋_GB2312"/>
                <w:color w:val="auto"/>
                <w:sz w:val="24"/>
                <w:highlight w:val="none"/>
              </w:rPr>
            </w:pPr>
          </w:p>
        </w:tc>
      </w:tr>
      <w:tr w14:paraId="6CF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CD9A584">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4AFA0CE">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0B8CF63">
            <w:pPr>
              <w:pStyle w:val="302"/>
              <w:spacing w:line="560" w:lineRule="exact"/>
              <w:jc w:val="center"/>
              <w:rPr>
                <w:rFonts w:ascii="仿宋_GB2312" w:eastAsia="仿宋_GB2312"/>
                <w:color w:val="auto"/>
                <w:sz w:val="24"/>
                <w:highlight w:val="none"/>
              </w:rPr>
            </w:pPr>
          </w:p>
        </w:tc>
      </w:tr>
      <w:tr w14:paraId="76EF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EE61B44">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CB0C5E8">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A55D0E">
            <w:pPr>
              <w:pStyle w:val="302"/>
              <w:spacing w:line="560" w:lineRule="exact"/>
              <w:jc w:val="center"/>
              <w:rPr>
                <w:rFonts w:ascii="仿宋_GB2312" w:eastAsia="仿宋_GB2312"/>
                <w:color w:val="auto"/>
                <w:sz w:val="24"/>
                <w:highlight w:val="none"/>
              </w:rPr>
            </w:pPr>
          </w:p>
        </w:tc>
      </w:tr>
      <w:tr w14:paraId="3860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10CFE30">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806BA7">
            <w:pPr>
              <w:pStyle w:val="302"/>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BAEB4F1">
            <w:pPr>
              <w:pStyle w:val="302"/>
              <w:spacing w:line="560" w:lineRule="exact"/>
              <w:jc w:val="center"/>
              <w:rPr>
                <w:rFonts w:ascii="仿宋_GB2312" w:eastAsia="仿宋_GB2312"/>
                <w:color w:val="auto"/>
                <w:sz w:val="24"/>
                <w:highlight w:val="none"/>
              </w:rPr>
            </w:pPr>
          </w:p>
        </w:tc>
      </w:tr>
    </w:tbl>
    <w:p w14:paraId="64A1915C">
      <w:pPr>
        <w:pStyle w:val="363"/>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25525C8D">
      <w:pPr>
        <w:pStyle w:val="363"/>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63B556CD">
      <w:pPr>
        <w:pStyle w:val="301"/>
        <w:ind w:firstLine="482"/>
        <w:rPr>
          <w:rFonts w:hint="eastAsia" w:hAnsi="宋体"/>
          <w:b/>
          <w:bCs/>
          <w:color w:val="auto"/>
          <w:sz w:val="24"/>
          <w:szCs w:val="28"/>
          <w:highlight w:val="none"/>
        </w:rPr>
      </w:pPr>
    </w:p>
    <w:p w14:paraId="3ECFDE8C">
      <w:pPr>
        <w:pStyle w:val="301"/>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1、凡投标文件中所投货物或服务与招标文件有偏差的（包括正偏差，负偏差），均应在此表中详细列出并说明理由，须点对点应答。</w:t>
      </w:r>
    </w:p>
    <w:p w14:paraId="4799862A">
      <w:pPr>
        <w:pStyle w:val="302"/>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2、投标人商务条件如与招标文件要求的不一致，则须在上表偏离说明中详细注明。</w:t>
      </w:r>
    </w:p>
    <w:p w14:paraId="67BCC2E9">
      <w:pPr>
        <w:pStyle w:val="629"/>
        <w:outlineLvl w:val="1"/>
        <w:rPr>
          <w:rFonts w:hint="eastAsia"/>
          <w:color w:val="auto"/>
          <w:highlight w:val="none"/>
        </w:rPr>
      </w:pPr>
      <w:r>
        <w:rPr>
          <w:color w:val="auto"/>
          <w:highlight w:val="none"/>
        </w:rPr>
        <w:br w:type="page" w:clear="all"/>
      </w:r>
      <w:bookmarkStart w:id="293" w:name="_Toc15828"/>
      <w:bookmarkStart w:id="294" w:name="_Toc26943"/>
    </w:p>
    <w:bookmarkEnd w:id="293"/>
    <w:bookmarkEnd w:id="294"/>
    <w:p w14:paraId="4F8E53B0">
      <w:pPr>
        <w:pStyle w:val="599"/>
        <w:outlineLvl w:val="1"/>
        <w:rPr>
          <w:rFonts w:hint="eastAsia"/>
          <w:color w:val="auto"/>
          <w:highlight w:val="none"/>
        </w:rPr>
      </w:pPr>
      <w:bookmarkStart w:id="295" w:name="_Toc20188"/>
      <w:bookmarkStart w:id="296" w:name="_Toc514054502"/>
      <w:bookmarkStart w:id="297" w:name="_Toc25001_WPSOffice_Level2"/>
      <w:bookmarkStart w:id="298" w:name="_Toc109"/>
      <w:bookmarkStart w:id="299" w:name="_Toc21179"/>
      <w:bookmarkStart w:id="300" w:name="_Toc164203484"/>
      <w:bookmarkStart w:id="301" w:name="_Toc5519"/>
      <w:bookmarkStart w:id="302" w:name="_Toc7579"/>
      <w:r>
        <w:rPr>
          <w:color w:val="auto"/>
          <w:highlight w:val="none"/>
        </w:rPr>
        <w:t>十</w:t>
      </w:r>
      <w:r>
        <w:rPr>
          <w:rFonts w:hint="eastAsia"/>
          <w:color w:val="auto"/>
          <w:highlight w:val="none"/>
        </w:rPr>
        <w:t>四</w:t>
      </w:r>
      <w:r>
        <w:rPr>
          <w:color w:val="auto"/>
          <w:highlight w:val="none"/>
        </w:rPr>
        <w:t>、</w:t>
      </w:r>
      <w:r>
        <w:rPr>
          <w:rFonts w:hint="eastAsia"/>
          <w:color w:val="auto"/>
          <w:highlight w:val="none"/>
        </w:rPr>
        <w:t>服务</w:t>
      </w:r>
      <w:r>
        <w:rPr>
          <w:color w:val="auto"/>
          <w:highlight w:val="none"/>
        </w:rPr>
        <w:t>方案</w:t>
      </w:r>
      <w:bookmarkEnd w:id="295"/>
      <w:bookmarkEnd w:id="296"/>
      <w:bookmarkEnd w:id="297"/>
    </w:p>
    <w:p w14:paraId="222D681F">
      <w:pPr>
        <w:pStyle w:val="437"/>
        <w:spacing w:line="560" w:lineRule="exact"/>
        <w:jc w:val="center"/>
        <w:rPr>
          <w:rFonts w:ascii="宋体"/>
          <w:b/>
          <w:bCs/>
          <w:color w:val="auto"/>
          <w:sz w:val="32"/>
          <w:szCs w:val="32"/>
          <w:highlight w:val="none"/>
        </w:rPr>
      </w:pPr>
      <w:bookmarkStart w:id="303" w:name="_Toc2882_WPSOffice_Level2"/>
      <w:r>
        <w:rPr>
          <w:rFonts w:hint="eastAsia" w:ascii="宋体"/>
          <w:b/>
          <w:bCs/>
          <w:color w:val="auto"/>
          <w:sz w:val="32"/>
          <w:szCs w:val="32"/>
          <w:highlight w:val="none"/>
        </w:rPr>
        <w:t>按照招标文件要求，格式自拟</w:t>
      </w:r>
      <w:bookmarkEnd w:id="303"/>
    </w:p>
    <w:p w14:paraId="4300374A">
      <w:pPr>
        <w:widowControl/>
        <w:jc w:val="left"/>
        <w:rPr>
          <w:rFonts w:hint="eastAsia" w:ascii="黑体" w:hAnsi="黑体" w:eastAsia="黑体"/>
          <w:b/>
          <w:color w:val="auto"/>
          <w:sz w:val="32"/>
          <w:szCs w:val="24"/>
          <w:highlight w:val="none"/>
        </w:rPr>
      </w:pPr>
      <w:r>
        <w:rPr>
          <w:rFonts w:hint="eastAsia"/>
          <w:color w:val="auto"/>
          <w:highlight w:val="none"/>
        </w:rPr>
        <w:br w:type="page"/>
      </w:r>
    </w:p>
    <w:p w14:paraId="7A55FD67">
      <w:pPr>
        <w:pStyle w:val="567"/>
        <w:outlineLvl w:val="1"/>
        <w:rPr>
          <w:rFonts w:hint="eastAsia"/>
          <w:color w:val="auto"/>
          <w:highlight w:val="none"/>
        </w:rPr>
      </w:pPr>
      <w:bookmarkStart w:id="304" w:name="_Toc14378"/>
      <w:r>
        <w:rPr>
          <w:color w:val="auto"/>
          <w:highlight w:val="none"/>
        </w:rPr>
        <w:t>十</w:t>
      </w:r>
      <w:r>
        <w:rPr>
          <w:rFonts w:hint="eastAsia"/>
          <w:color w:val="auto"/>
          <w:highlight w:val="none"/>
        </w:rPr>
        <w:t>五</w:t>
      </w:r>
      <w:r>
        <w:rPr>
          <w:color w:val="auto"/>
          <w:highlight w:val="none"/>
        </w:rPr>
        <w:t>、类似项目业绩一览表</w:t>
      </w:r>
      <w:bookmarkEnd w:id="298"/>
      <w:bookmarkEnd w:id="299"/>
      <w:bookmarkEnd w:id="300"/>
      <w:bookmarkEnd w:id="301"/>
      <w:bookmarkEnd w:id="302"/>
      <w:bookmarkEnd w:id="304"/>
    </w:p>
    <w:p w14:paraId="4FE74B5B">
      <w:pPr>
        <w:pStyle w:val="480"/>
        <w:jc w:val="center"/>
        <w:rPr>
          <w:b/>
          <w:color w:val="auto"/>
          <w:sz w:val="32"/>
          <w:szCs w:val="32"/>
          <w:highlight w:val="none"/>
        </w:rPr>
      </w:pPr>
      <w:r>
        <w:rPr>
          <w:rFonts w:hint="eastAsia"/>
          <w:b/>
          <w:color w:val="auto"/>
          <w:sz w:val="32"/>
          <w:szCs w:val="32"/>
          <w:highlight w:val="none"/>
        </w:rPr>
        <w:t>类似项目业绩一览表</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1CA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7742D479">
            <w:pPr>
              <w:pStyle w:val="52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vAlign w:val="center"/>
          </w:tcPr>
          <w:p w14:paraId="59DE0DCE">
            <w:pPr>
              <w:pStyle w:val="52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vAlign w:val="center"/>
          </w:tcPr>
          <w:p w14:paraId="36C48EBF">
            <w:pPr>
              <w:pStyle w:val="52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vAlign w:val="center"/>
          </w:tcPr>
          <w:p w14:paraId="2DA51958">
            <w:pPr>
              <w:pStyle w:val="52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合同金额</w:t>
            </w:r>
          </w:p>
        </w:tc>
      </w:tr>
      <w:tr w14:paraId="4663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E132AA7">
            <w:pPr>
              <w:pStyle w:val="520"/>
              <w:spacing w:line="560" w:lineRule="exact"/>
              <w:jc w:val="center"/>
              <w:rPr>
                <w:rFonts w:ascii="仿宋_GB2312" w:eastAsia="仿宋_GB2312"/>
                <w:color w:val="auto"/>
                <w:sz w:val="28"/>
                <w:highlight w:val="none"/>
              </w:rPr>
            </w:pPr>
          </w:p>
        </w:tc>
        <w:tc>
          <w:tcPr>
            <w:tcW w:w="3827" w:type="dxa"/>
            <w:vAlign w:val="center"/>
          </w:tcPr>
          <w:p w14:paraId="3058231C">
            <w:pPr>
              <w:pStyle w:val="520"/>
              <w:spacing w:line="560" w:lineRule="exact"/>
              <w:jc w:val="center"/>
              <w:rPr>
                <w:rFonts w:ascii="仿宋_GB2312" w:eastAsia="仿宋_GB2312"/>
                <w:color w:val="auto"/>
                <w:sz w:val="28"/>
                <w:highlight w:val="none"/>
              </w:rPr>
            </w:pPr>
          </w:p>
        </w:tc>
        <w:tc>
          <w:tcPr>
            <w:tcW w:w="2433" w:type="dxa"/>
            <w:vAlign w:val="center"/>
          </w:tcPr>
          <w:p w14:paraId="4047A5DD">
            <w:pPr>
              <w:pStyle w:val="520"/>
              <w:spacing w:line="560" w:lineRule="exact"/>
              <w:jc w:val="center"/>
              <w:rPr>
                <w:rFonts w:ascii="仿宋_GB2312" w:eastAsia="仿宋_GB2312"/>
                <w:color w:val="auto"/>
                <w:sz w:val="28"/>
                <w:highlight w:val="none"/>
              </w:rPr>
            </w:pPr>
          </w:p>
        </w:tc>
        <w:tc>
          <w:tcPr>
            <w:tcW w:w="1395" w:type="dxa"/>
            <w:vAlign w:val="center"/>
          </w:tcPr>
          <w:p w14:paraId="17B2EE12">
            <w:pPr>
              <w:pStyle w:val="520"/>
              <w:spacing w:line="560" w:lineRule="exact"/>
              <w:jc w:val="center"/>
              <w:rPr>
                <w:rFonts w:ascii="仿宋_GB2312" w:eastAsia="仿宋_GB2312"/>
                <w:color w:val="auto"/>
                <w:sz w:val="28"/>
                <w:highlight w:val="none"/>
              </w:rPr>
            </w:pPr>
          </w:p>
        </w:tc>
      </w:tr>
      <w:tr w14:paraId="32AF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47183C9">
            <w:pPr>
              <w:pStyle w:val="520"/>
              <w:spacing w:line="560" w:lineRule="exact"/>
              <w:jc w:val="center"/>
              <w:rPr>
                <w:rFonts w:ascii="仿宋_GB2312" w:eastAsia="仿宋_GB2312"/>
                <w:color w:val="auto"/>
                <w:sz w:val="28"/>
                <w:highlight w:val="none"/>
              </w:rPr>
            </w:pPr>
          </w:p>
        </w:tc>
        <w:tc>
          <w:tcPr>
            <w:tcW w:w="3827" w:type="dxa"/>
            <w:vAlign w:val="center"/>
          </w:tcPr>
          <w:p w14:paraId="11D9769C">
            <w:pPr>
              <w:pStyle w:val="520"/>
              <w:spacing w:line="560" w:lineRule="exact"/>
              <w:jc w:val="center"/>
              <w:rPr>
                <w:rFonts w:ascii="仿宋_GB2312" w:eastAsia="仿宋_GB2312"/>
                <w:color w:val="auto"/>
                <w:sz w:val="28"/>
                <w:highlight w:val="none"/>
              </w:rPr>
            </w:pPr>
          </w:p>
        </w:tc>
        <w:tc>
          <w:tcPr>
            <w:tcW w:w="2433" w:type="dxa"/>
            <w:vAlign w:val="center"/>
          </w:tcPr>
          <w:p w14:paraId="5EA8082D">
            <w:pPr>
              <w:pStyle w:val="520"/>
              <w:spacing w:line="560" w:lineRule="exact"/>
              <w:jc w:val="center"/>
              <w:rPr>
                <w:rFonts w:ascii="仿宋_GB2312" w:eastAsia="仿宋_GB2312"/>
                <w:color w:val="auto"/>
                <w:sz w:val="28"/>
                <w:highlight w:val="none"/>
              </w:rPr>
            </w:pPr>
          </w:p>
        </w:tc>
        <w:tc>
          <w:tcPr>
            <w:tcW w:w="1395" w:type="dxa"/>
            <w:vAlign w:val="center"/>
          </w:tcPr>
          <w:p w14:paraId="6F4E8774">
            <w:pPr>
              <w:pStyle w:val="520"/>
              <w:spacing w:line="560" w:lineRule="exact"/>
              <w:jc w:val="center"/>
              <w:rPr>
                <w:rFonts w:ascii="仿宋_GB2312" w:eastAsia="仿宋_GB2312"/>
                <w:color w:val="auto"/>
                <w:sz w:val="28"/>
                <w:highlight w:val="none"/>
              </w:rPr>
            </w:pPr>
          </w:p>
        </w:tc>
      </w:tr>
      <w:tr w14:paraId="551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B98C209">
            <w:pPr>
              <w:pStyle w:val="520"/>
              <w:spacing w:line="560" w:lineRule="exact"/>
              <w:jc w:val="center"/>
              <w:rPr>
                <w:rFonts w:ascii="仿宋_GB2312" w:eastAsia="仿宋_GB2312"/>
                <w:color w:val="auto"/>
                <w:sz w:val="28"/>
                <w:highlight w:val="none"/>
              </w:rPr>
            </w:pPr>
          </w:p>
        </w:tc>
        <w:tc>
          <w:tcPr>
            <w:tcW w:w="3827" w:type="dxa"/>
            <w:vAlign w:val="center"/>
          </w:tcPr>
          <w:p w14:paraId="7E588013">
            <w:pPr>
              <w:pStyle w:val="520"/>
              <w:spacing w:line="560" w:lineRule="exact"/>
              <w:jc w:val="center"/>
              <w:rPr>
                <w:rFonts w:ascii="仿宋_GB2312" w:eastAsia="仿宋_GB2312"/>
                <w:color w:val="auto"/>
                <w:sz w:val="28"/>
                <w:highlight w:val="none"/>
              </w:rPr>
            </w:pPr>
          </w:p>
        </w:tc>
        <w:tc>
          <w:tcPr>
            <w:tcW w:w="2433" w:type="dxa"/>
            <w:vAlign w:val="center"/>
          </w:tcPr>
          <w:p w14:paraId="24364A92">
            <w:pPr>
              <w:pStyle w:val="520"/>
              <w:spacing w:line="560" w:lineRule="exact"/>
              <w:jc w:val="center"/>
              <w:rPr>
                <w:rFonts w:ascii="仿宋_GB2312" w:eastAsia="仿宋_GB2312"/>
                <w:color w:val="auto"/>
                <w:sz w:val="28"/>
                <w:highlight w:val="none"/>
              </w:rPr>
            </w:pPr>
          </w:p>
        </w:tc>
        <w:tc>
          <w:tcPr>
            <w:tcW w:w="1395" w:type="dxa"/>
            <w:vAlign w:val="center"/>
          </w:tcPr>
          <w:p w14:paraId="51D78BA5">
            <w:pPr>
              <w:pStyle w:val="520"/>
              <w:spacing w:line="560" w:lineRule="exact"/>
              <w:jc w:val="center"/>
              <w:rPr>
                <w:rFonts w:ascii="仿宋_GB2312" w:eastAsia="仿宋_GB2312"/>
                <w:color w:val="auto"/>
                <w:sz w:val="28"/>
                <w:highlight w:val="none"/>
              </w:rPr>
            </w:pPr>
          </w:p>
        </w:tc>
      </w:tr>
      <w:tr w14:paraId="119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248CB3AF">
            <w:pPr>
              <w:pStyle w:val="520"/>
              <w:spacing w:line="560" w:lineRule="exact"/>
              <w:jc w:val="center"/>
              <w:rPr>
                <w:rFonts w:ascii="仿宋_GB2312" w:eastAsia="仿宋_GB2312"/>
                <w:color w:val="auto"/>
                <w:sz w:val="28"/>
                <w:highlight w:val="none"/>
              </w:rPr>
            </w:pPr>
          </w:p>
        </w:tc>
        <w:tc>
          <w:tcPr>
            <w:tcW w:w="3827" w:type="dxa"/>
            <w:vAlign w:val="center"/>
          </w:tcPr>
          <w:p w14:paraId="44D6055C">
            <w:pPr>
              <w:pStyle w:val="520"/>
              <w:spacing w:line="560" w:lineRule="exact"/>
              <w:jc w:val="center"/>
              <w:rPr>
                <w:rFonts w:ascii="仿宋_GB2312" w:eastAsia="仿宋_GB2312"/>
                <w:color w:val="auto"/>
                <w:sz w:val="28"/>
                <w:highlight w:val="none"/>
              </w:rPr>
            </w:pPr>
          </w:p>
        </w:tc>
        <w:tc>
          <w:tcPr>
            <w:tcW w:w="2433" w:type="dxa"/>
            <w:vAlign w:val="center"/>
          </w:tcPr>
          <w:p w14:paraId="61986A85">
            <w:pPr>
              <w:pStyle w:val="520"/>
              <w:spacing w:line="560" w:lineRule="exact"/>
              <w:jc w:val="center"/>
              <w:rPr>
                <w:rFonts w:ascii="仿宋_GB2312" w:eastAsia="仿宋_GB2312"/>
                <w:color w:val="auto"/>
                <w:sz w:val="28"/>
                <w:highlight w:val="none"/>
              </w:rPr>
            </w:pPr>
          </w:p>
        </w:tc>
        <w:tc>
          <w:tcPr>
            <w:tcW w:w="1395" w:type="dxa"/>
            <w:vAlign w:val="center"/>
          </w:tcPr>
          <w:p w14:paraId="2F3B50D3">
            <w:pPr>
              <w:pStyle w:val="520"/>
              <w:spacing w:line="560" w:lineRule="exact"/>
              <w:jc w:val="center"/>
              <w:rPr>
                <w:rFonts w:ascii="仿宋_GB2312" w:eastAsia="仿宋_GB2312"/>
                <w:color w:val="auto"/>
                <w:sz w:val="28"/>
                <w:highlight w:val="none"/>
              </w:rPr>
            </w:pPr>
          </w:p>
        </w:tc>
      </w:tr>
    </w:tbl>
    <w:p w14:paraId="23741E8D">
      <w:pPr>
        <w:pStyle w:val="467"/>
        <w:outlineLvl w:val="1"/>
        <w:rPr>
          <w:rFonts w:hint="eastAsia"/>
          <w:color w:val="auto"/>
          <w:highlight w:val="none"/>
        </w:rPr>
      </w:pPr>
      <w:r>
        <w:rPr>
          <w:color w:val="auto"/>
          <w:highlight w:val="none"/>
        </w:rPr>
        <w:br w:type="page" w:clear="all"/>
      </w:r>
      <w:bookmarkStart w:id="305" w:name="_Toc15753"/>
      <w:bookmarkStart w:id="306" w:name="_Toc20255"/>
      <w:bookmarkStart w:id="307" w:name="_Toc14046"/>
      <w:bookmarkStart w:id="308" w:name="_Toc6607"/>
      <w:bookmarkStart w:id="309" w:name="_Toc164203485"/>
      <w:bookmarkStart w:id="310" w:name="_Toc5295"/>
      <w:r>
        <w:rPr>
          <w:color w:val="auto"/>
          <w:highlight w:val="none"/>
        </w:rPr>
        <w:t>十</w:t>
      </w:r>
      <w:r>
        <w:rPr>
          <w:rFonts w:hint="eastAsia"/>
          <w:color w:val="auto"/>
          <w:highlight w:val="none"/>
        </w:rPr>
        <w:t>六</w:t>
      </w:r>
      <w:r>
        <w:rPr>
          <w:color w:val="auto"/>
          <w:highlight w:val="none"/>
        </w:rPr>
        <w:t>、投标所需其他材料</w:t>
      </w:r>
      <w:bookmarkEnd w:id="305"/>
      <w:bookmarkEnd w:id="306"/>
      <w:bookmarkEnd w:id="307"/>
      <w:bookmarkEnd w:id="308"/>
      <w:bookmarkEnd w:id="309"/>
      <w:bookmarkEnd w:id="310"/>
    </w:p>
    <w:p w14:paraId="38C4D06E">
      <w:pPr>
        <w:pStyle w:val="604"/>
        <w:spacing w:line="360" w:lineRule="auto"/>
        <w:ind w:firstLine="420"/>
        <w:rPr>
          <w:color w:val="auto"/>
          <w:highlight w:val="none"/>
        </w:rPr>
      </w:pPr>
      <w:r>
        <w:rPr>
          <w:rFonts w:hint="eastAsia"/>
          <w:color w:val="auto"/>
          <w:highlight w:val="none"/>
        </w:rPr>
        <w:t>请在此文档中增加投标所需其他相关内容（包括资格要求、评分办法、采购需求中涉及的证件证明及其它投标人认为有必要提供的资料），如没有请空置。</w:t>
      </w:r>
    </w:p>
    <w:p w14:paraId="717CD131">
      <w:pPr>
        <w:rPr>
          <w:rFonts w:hint="eastAsia" w:ascii="宋体" w:hAnsi="宋体" w:cs="宋体"/>
          <w:color w:val="auto"/>
          <w:sz w:val="20"/>
          <w:highlight w:val="none"/>
        </w:rPr>
      </w:pPr>
    </w:p>
    <w:sectPr>
      <w:footerReference r:id="rId3" w:type="default"/>
      <w:pgSz w:w="11906" w:h="16838"/>
      <w:pgMar w:top="1440" w:right="1083" w:bottom="1440" w:left="108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Univers LT Std 45 Light">
    <w:altName w:val="宋体"/>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
    <w:altName w:val="宋体"/>
    <w:panose1 w:val="00000000000000000000"/>
    <w:charset w:val="00"/>
    <w:family w:val="roman"/>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roman"/>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Kingsoft Phonetic Plain">
    <w:altName w:val="Times New Roman"/>
    <w:panose1 w:val="00000000000000000000"/>
    <w:charset w:val="00"/>
    <w:family w:val="roman"/>
    <w:pitch w:val="default"/>
    <w:sig w:usb0="00000000" w:usb1="00000000" w:usb2="00000000" w:usb3="00000000" w:csb0="00000000" w:csb1="00000000"/>
  </w:font>
  <w:font w:name="Helvetica">
    <w:altName w:val="Arial"/>
    <w:panose1 w:val="020B0504020202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方正大标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C2335">
    <w:pPr>
      <w:pStyle w:val="246"/>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6C79ACF">
                          <w:pPr>
                            <w:pStyle w:val="246"/>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428AD3BC"/>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T0m7K8MBAACHAwAADgAAAAAAAAABACAAAAAfAQAAZHJzL2Uyb0RvYy54bWxQ&#10;SwUGAAAAAAYABgBZAQAAVAUAAAAA&#10;">
              <v:fill on="f" focussize="0,0"/>
              <v:stroke on="f"/>
              <v:imagedata o:title=""/>
              <o:lock v:ext="edit" aspectratio="f"/>
              <v:textbox inset="0mm,0mm,0mm,0mm" style="mso-fit-shape-to-text:t;">
                <w:txbxContent>
                  <w:p w14:paraId="56C79ACF">
                    <w:pPr>
                      <w:pStyle w:val="246"/>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428AD3BC"/>
                </w:txbxContent>
              </v:textbox>
            </v:rect>
          </w:pict>
        </mc:Fallback>
      </mc:AlternateContent>
    </w:r>
  </w:p>
  <w:p w14:paraId="41FF7A00">
    <w:pPr>
      <w:pStyle w:val="246"/>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5B1E40"/>
    <w:multiLevelType w:val="multilevel"/>
    <w:tmpl w:val="835B1E40"/>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
    <w:nsid w:val="DD33B62E"/>
    <w:multiLevelType w:val="multilevel"/>
    <w:tmpl w:val="DD33B62E"/>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00000001"/>
    <w:multiLevelType w:val="multilevel"/>
    <w:tmpl w:val="00000001"/>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3"/>
    <w:multiLevelType w:val="multilevel"/>
    <w:tmpl w:val="00000003"/>
    <w:lvl w:ilvl="0" w:tentative="0">
      <w:start w:val="1"/>
      <w:numFmt w:val="decimal"/>
      <w:pStyle w:val="641"/>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tentative="0">
      <w:start w:val="1"/>
      <w:numFmt w:val="decimal"/>
      <w:pStyle w:val="640"/>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4">
    <w:nsid w:val="00000004"/>
    <w:multiLevelType w:val="multilevel"/>
    <w:tmpl w:val="0000000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51"/>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5">
    <w:nsid w:val="00000005"/>
    <w:multiLevelType w:val="multilevel"/>
    <w:tmpl w:val="00000005"/>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50"/>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0000006"/>
    <w:multiLevelType w:val="multilevel"/>
    <w:tmpl w:val="00000006"/>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000007"/>
    <w:multiLevelType w:val="multilevel"/>
    <w:tmpl w:val="00000007"/>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000008"/>
    <w:multiLevelType w:val="multilevel"/>
    <w:tmpl w:val="0000000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000009"/>
    <w:multiLevelType w:val="multilevel"/>
    <w:tmpl w:val="00000009"/>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00000A"/>
    <w:multiLevelType w:val="multilevel"/>
    <w:tmpl w:val="0000000A"/>
    <w:lvl w:ilvl="0" w:tentative="0">
      <w:start w:val="1"/>
      <w:numFmt w:val="bullet"/>
      <w:pStyle w:val="492"/>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000000B"/>
    <w:multiLevelType w:val="multilevel"/>
    <w:tmpl w:val="0000000B"/>
    <w:lvl w:ilvl="0" w:tentative="0">
      <w:start w:val="5"/>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000000C"/>
    <w:multiLevelType w:val="singleLevel"/>
    <w:tmpl w:val="0000000C"/>
    <w:lvl w:ilvl="0" w:tentative="0">
      <w:start w:val="2"/>
      <w:numFmt w:val="chineseCounting"/>
      <w:suff w:val="nothing"/>
      <w:lvlText w:val="（%1）"/>
      <w:lvlJc w:val="left"/>
      <w:rPr>
        <w:rFonts w:hint="eastAsia"/>
      </w:rPr>
    </w:lvl>
  </w:abstractNum>
  <w:abstractNum w:abstractNumId="13">
    <w:nsid w:val="23313BD0"/>
    <w:multiLevelType w:val="multilevel"/>
    <w:tmpl w:val="23313BD0"/>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EAF525E"/>
    <w:multiLevelType w:val="multilevel"/>
    <w:tmpl w:val="7EAF525E"/>
    <w:lvl w:ilvl="0" w:tentative="0">
      <w:start w:val="10"/>
      <w:numFmt w:val="decimal"/>
      <w:lvlText w:val="%1"/>
      <w:lvlJc w:val="left"/>
      <w:pPr>
        <w:tabs>
          <w:tab w:val="left" w:pos="480"/>
        </w:tabs>
        <w:ind w:left="480" w:hanging="480"/>
      </w:pPr>
      <w:rPr>
        <w:rFonts w:hint="eastAsia"/>
      </w:rPr>
    </w:lvl>
    <w:lvl w:ilvl="1" w:tentative="0">
      <w:start w:val="5"/>
      <w:numFmt w:val="decimal"/>
      <w:lvlText w:val="%1.%2"/>
      <w:lvlJc w:val="left"/>
      <w:pPr>
        <w:tabs>
          <w:tab w:val="left" w:pos="480"/>
        </w:tabs>
        <w:ind w:left="480" w:hanging="48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080"/>
        </w:tabs>
        <w:ind w:left="1080" w:hanging="108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440"/>
        </w:tabs>
        <w:ind w:left="1440" w:hanging="1440"/>
      </w:pPr>
      <w:rPr>
        <w:rFonts w:hint="eastAsia"/>
      </w:rPr>
    </w:lvl>
    <w:lvl w:ilvl="6" w:tentative="0">
      <w:start w:val="1"/>
      <w:numFmt w:val="decimal"/>
      <w:lvlText w:val="%1.%2.%3.%4.%5.%6.%7"/>
      <w:lvlJc w:val="left"/>
      <w:pPr>
        <w:tabs>
          <w:tab w:val="left" w:pos="1800"/>
        </w:tabs>
        <w:ind w:left="1800" w:hanging="1800"/>
      </w:pPr>
      <w:rPr>
        <w:rFonts w:hint="eastAsia"/>
      </w:rPr>
    </w:lvl>
    <w:lvl w:ilvl="7" w:tentative="0">
      <w:start w:val="1"/>
      <w:numFmt w:val="decimal"/>
      <w:lvlText w:val="%1.%2.%3.%4.%5.%6.%7.%8"/>
      <w:lvlJc w:val="left"/>
      <w:pPr>
        <w:tabs>
          <w:tab w:val="left" w:pos="1800"/>
        </w:tabs>
        <w:ind w:left="1800" w:hanging="1800"/>
      </w:pPr>
      <w:rPr>
        <w:rFonts w:hint="eastAsia"/>
      </w:rPr>
    </w:lvl>
    <w:lvl w:ilvl="8" w:tentative="0">
      <w:start w:val="1"/>
      <w:numFmt w:val="decimal"/>
      <w:lvlText w:val="%1.%2.%3.%4.%5.%6.%7.%8.%9"/>
      <w:lvlJc w:val="left"/>
      <w:pPr>
        <w:tabs>
          <w:tab w:val="left" w:pos="2160"/>
        </w:tabs>
        <w:ind w:left="2160" w:hanging="2160"/>
      </w:pPr>
      <w:rPr>
        <w:rFonts w:hint="eastAsia"/>
      </w:rPr>
    </w:lvl>
  </w:abstractNum>
  <w:num w:numId="1">
    <w:abstractNumId w:val="5"/>
  </w:num>
  <w:num w:numId="2">
    <w:abstractNumId w:val="4"/>
  </w:num>
  <w:num w:numId="3">
    <w:abstractNumId w:val="10"/>
  </w:num>
  <w:num w:numId="4">
    <w:abstractNumId w:val="3"/>
  </w:num>
  <w:num w:numId="5">
    <w:abstractNumId w:val="12"/>
  </w:num>
  <w:num w:numId="6">
    <w:abstractNumId w:val="2"/>
  </w:num>
  <w:num w:numId="7">
    <w:abstractNumId w:val="7"/>
  </w:num>
  <w:num w:numId="8">
    <w:abstractNumId w:val="0"/>
  </w:num>
  <w:num w:numId="9">
    <w:abstractNumId w:val="11"/>
  </w:num>
  <w:num w:numId="10">
    <w:abstractNumId w:val="14"/>
  </w:num>
  <w:num w:numId="11">
    <w:abstractNumId w:val="1"/>
  </w:num>
  <w:num w:numId="12">
    <w:abstractNumId w:val="9"/>
    <w:lvlOverride w:ilvl="0">
      <w:startOverride w:val="1"/>
    </w:lvlOverride>
  </w:num>
  <w:num w:numId="13">
    <w:abstractNumId w:val="6"/>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9A"/>
    <w:rsid w:val="00006D06"/>
    <w:rsid w:val="0001003E"/>
    <w:rsid w:val="00194EE5"/>
    <w:rsid w:val="002270A3"/>
    <w:rsid w:val="002C0AC5"/>
    <w:rsid w:val="003F77F2"/>
    <w:rsid w:val="004F529A"/>
    <w:rsid w:val="005D3B35"/>
    <w:rsid w:val="00630CAE"/>
    <w:rsid w:val="00684A25"/>
    <w:rsid w:val="0069043E"/>
    <w:rsid w:val="008E4EBB"/>
    <w:rsid w:val="00A255D7"/>
    <w:rsid w:val="00AA22E8"/>
    <w:rsid w:val="00BC1B9A"/>
    <w:rsid w:val="00CD6E18"/>
    <w:rsid w:val="00F657B1"/>
    <w:rsid w:val="017B3FF0"/>
    <w:rsid w:val="098F0092"/>
    <w:rsid w:val="0BE8469D"/>
    <w:rsid w:val="0DD24162"/>
    <w:rsid w:val="10B9797C"/>
    <w:rsid w:val="15D53161"/>
    <w:rsid w:val="1D3F60F9"/>
    <w:rsid w:val="1DDB1D29"/>
    <w:rsid w:val="1F233BCD"/>
    <w:rsid w:val="1FB01B57"/>
    <w:rsid w:val="21E351C0"/>
    <w:rsid w:val="23126EFB"/>
    <w:rsid w:val="254A443E"/>
    <w:rsid w:val="268358FB"/>
    <w:rsid w:val="27AE3812"/>
    <w:rsid w:val="28CB797A"/>
    <w:rsid w:val="29144155"/>
    <w:rsid w:val="2A7A6113"/>
    <w:rsid w:val="2C1F6A8C"/>
    <w:rsid w:val="2E3F0BEE"/>
    <w:rsid w:val="2E6D7F83"/>
    <w:rsid w:val="33125987"/>
    <w:rsid w:val="36851E1B"/>
    <w:rsid w:val="374103B6"/>
    <w:rsid w:val="3A986B49"/>
    <w:rsid w:val="3AA03137"/>
    <w:rsid w:val="3AF44AC4"/>
    <w:rsid w:val="407D392A"/>
    <w:rsid w:val="42F00D2B"/>
    <w:rsid w:val="483A7FA2"/>
    <w:rsid w:val="4DA4611B"/>
    <w:rsid w:val="4F1A6654"/>
    <w:rsid w:val="58575AE7"/>
    <w:rsid w:val="5C757E7F"/>
    <w:rsid w:val="5D481CFD"/>
    <w:rsid w:val="5EAE1F6A"/>
    <w:rsid w:val="61D218D0"/>
    <w:rsid w:val="650E0E71"/>
    <w:rsid w:val="665D1B75"/>
    <w:rsid w:val="6C933009"/>
    <w:rsid w:val="6DA46816"/>
    <w:rsid w:val="6DC960AE"/>
    <w:rsid w:val="6EE51773"/>
    <w:rsid w:val="710A268A"/>
    <w:rsid w:val="770C35E3"/>
    <w:rsid w:val="775D3592"/>
    <w:rsid w:val="787943FB"/>
    <w:rsid w:val="79001555"/>
    <w:rsid w:val="7D3E5C13"/>
    <w:rsid w:val="7E200B07"/>
    <w:rsid w:val="7F901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7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semiHidden/>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semiHidden/>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9"/>
    <w:semiHidden/>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0"/>
    <w:semiHidden/>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1"/>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2"/>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83"/>
    <w:qFormat/>
    <w:uiPriority w:val="9"/>
    <w:pPr>
      <w:keepNext/>
      <w:keepLines/>
      <w:spacing w:before="320" w:after="200"/>
      <w:outlineLvl w:val="8"/>
    </w:pPr>
    <w:rPr>
      <w:rFonts w:ascii="Arial" w:hAnsi="Arial" w:eastAsia="Arial" w:cs="Arial"/>
      <w:i/>
      <w:iCs/>
      <w:szCs w:val="21"/>
    </w:rPr>
  </w:style>
  <w:style w:type="character" w:default="1" w:styleId="35">
    <w:name w:val="Default Paragraph Font"/>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after="57"/>
      <w:ind w:left="1701"/>
    </w:pPr>
  </w:style>
  <w:style w:type="paragraph" w:styleId="12">
    <w:name w:val="caption"/>
    <w:basedOn w:val="1"/>
    <w:next w:val="1"/>
    <w:qFormat/>
    <w:uiPriority w:val="35"/>
    <w:pPr>
      <w:spacing w:line="276" w:lineRule="auto"/>
    </w:pPr>
    <w:rPr>
      <w:b/>
      <w:bCs/>
      <w:color w:val="4F81BD"/>
      <w:sz w:val="18"/>
      <w:szCs w:val="18"/>
    </w:rPr>
  </w:style>
  <w:style w:type="paragraph" w:styleId="13">
    <w:name w:val="annotation text"/>
    <w:basedOn w:val="1"/>
    <w:qFormat/>
    <w:uiPriority w:val="99"/>
    <w:pPr>
      <w:jc w:val="left"/>
    </w:pPr>
  </w:style>
  <w:style w:type="paragraph" w:styleId="14">
    <w:name w:val="Body Text"/>
    <w:basedOn w:val="1"/>
    <w:next w:val="1"/>
    <w:qFormat/>
    <w:uiPriority w:val="0"/>
    <w:pPr>
      <w:spacing w:after="120"/>
    </w:pPr>
    <w:rPr>
      <w:rFonts w:eastAsia="Times New Roman"/>
    </w:rPr>
  </w:style>
  <w:style w:type="paragraph" w:styleId="15">
    <w:name w:val="Body Text Indent"/>
    <w:basedOn w:val="1"/>
    <w:link w:val="652"/>
    <w:qFormat/>
    <w:uiPriority w:val="99"/>
    <w:pPr>
      <w:spacing w:after="120"/>
      <w:ind w:left="420" w:leftChars="200"/>
    </w:pPr>
  </w:style>
  <w:style w:type="paragraph" w:styleId="16">
    <w:name w:val="toc 5"/>
    <w:basedOn w:val="1"/>
    <w:next w:val="1"/>
    <w:qFormat/>
    <w:uiPriority w:val="39"/>
    <w:pPr>
      <w:spacing w:after="57"/>
      <w:ind w:left="1134"/>
    </w:pPr>
  </w:style>
  <w:style w:type="paragraph" w:styleId="17">
    <w:name w:val="toc 3"/>
    <w:basedOn w:val="1"/>
    <w:next w:val="1"/>
    <w:qFormat/>
    <w:uiPriority w:val="39"/>
    <w:pPr>
      <w:spacing w:after="57"/>
      <w:ind w:left="567"/>
    </w:pPr>
  </w:style>
  <w:style w:type="paragraph" w:styleId="18">
    <w:name w:val="toc 8"/>
    <w:basedOn w:val="1"/>
    <w:next w:val="1"/>
    <w:qFormat/>
    <w:uiPriority w:val="39"/>
    <w:pPr>
      <w:spacing w:after="57"/>
      <w:ind w:left="1984"/>
    </w:pPr>
  </w:style>
  <w:style w:type="paragraph" w:styleId="19">
    <w:name w:val="Date"/>
    <w:basedOn w:val="1"/>
    <w:next w:val="1"/>
    <w:link w:val="650"/>
    <w:qFormat/>
    <w:uiPriority w:val="99"/>
    <w:pPr>
      <w:ind w:left="100"/>
    </w:pPr>
  </w:style>
  <w:style w:type="paragraph" w:styleId="20">
    <w:name w:val="endnote text"/>
    <w:basedOn w:val="1"/>
    <w:link w:val="199"/>
    <w:qFormat/>
    <w:uiPriority w:val="99"/>
    <w:rPr>
      <w:sz w:val="20"/>
    </w:rPr>
  </w:style>
  <w:style w:type="paragraph" w:styleId="21">
    <w:name w:val="footer"/>
    <w:basedOn w:val="1"/>
    <w:link w:val="91"/>
    <w:qFormat/>
    <w:uiPriority w:val="99"/>
    <w:pPr>
      <w:tabs>
        <w:tab w:val="center" w:pos="7143"/>
        <w:tab w:val="right" w:pos="14287"/>
      </w:tabs>
    </w:pPr>
  </w:style>
  <w:style w:type="paragraph" w:styleId="22">
    <w:name w:val="header"/>
    <w:basedOn w:val="1"/>
    <w:qFormat/>
    <w:uiPriority w:val="99"/>
    <w:pPr>
      <w:tabs>
        <w:tab w:val="center" w:pos="7143"/>
        <w:tab w:val="right" w:pos="14287"/>
      </w:tabs>
    </w:pPr>
  </w:style>
  <w:style w:type="paragraph" w:styleId="23">
    <w:name w:val="toc 1"/>
    <w:basedOn w:val="1"/>
    <w:next w:val="1"/>
    <w:qFormat/>
    <w:uiPriority w:val="39"/>
    <w:pPr>
      <w:spacing w:after="57"/>
    </w:pPr>
  </w:style>
  <w:style w:type="paragraph" w:styleId="24">
    <w:name w:val="toc 4"/>
    <w:basedOn w:val="1"/>
    <w:next w:val="1"/>
    <w:qFormat/>
    <w:uiPriority w:val="39"/>
    <w:pPr>
      <w:spacing w:after="57"/>
      <w:ind w:left="850"/>
    </w:pPr>
  </w:style>
  <w:style w:type="paragraph" w:styleId="25">
    <w:name w:val="Subtitle"/>
    <w:basedOn w:val="1"/>
    <w:next w:val="1"/>
    <w:link w:val="86"/>
    <w:qFormat/>
    <w:uiPriority w:val="11"/>
    <w:pPr>
      <w:spacing w:before="200" w:after="200"/>
    </w:pPr>
    <w:rPr>
      <w:sz w:val="24"/>
      <w:szCs w:val="24"/>
    </w:rPr>
  </w:style>
  <w:style w:type="paragraph" w:styleId="26">
    <w:name w:val="footnote text"/>
    <w:basedOn w:val="1"/>
    <w:link w:val="198"/>
    <w:qFormat/>
    <w:uiPriority w:val="0"/>
    <w:pPr>
      <w:spacing w:after="40"/>
    </w:pPr>
    <w:rPr>
      <w:sz w:val="18"/>
    </w:rPr>
  </w:style>
  <w:style w:type="paragraph" w:styleId="27">
    <w:name w:val="toc 6"/>
    <w:basedOn w:val="1"/>
    <w:next w:val="1"/>
    <w:qFormat/>
    <w:uiPriority w:val="39"/>
    <w:pPr>
      <w:spacing w:after="57"/>
      <w:ind w:left="1417"/>
    </w:pPr>
  </w:style>
  <w:style w:type="paragraph" w:styleId="28">
    <w:name w:val="table of figures"/>
    <w:basedOn w:val="1"/>
    <w:next w:val="1"/>
    <w:qFormat/>
    <w:uiPriority w:val="99"/>
  </w:style>
  <w:style w:type="paragraph" w:styleId="29">
    <w:name w:val="toc 2"/>
    <w:basedOn w:val="1"/>
    <w:next w:val="1"/>
    <w:qFormat/>
    <w:uiPriority w:val="39"/>
    <w:pPr>
      <w:spacing w:after="57"/>
      <w:ind w:left="283"/>
    </w:pPr>
  </w:style>
  <w:style w:type="paragraph" w:styleId="30">
    <w:name w:val="toc 9"/>
    <w:basedOn w:val="1"/>
    <w:next w:val="1"/>
    <w:qFormat/>
    <w:uiPriority w:val="39"/>
    <w:pPr>
      <w:spacing w:after="57"/>
      <w:ind w:left="2268"/>
    </w:pPr>
  </w:style>
  <w:style w:type="paragraph" w:styleId="31">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2">
    <w:name w:val="Title"/>
    <w:basedOn w:val="1"/>
    <w:next w:val="1"/>
    <w:link w:val="85"/>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0"/>
    <w:rPr>
      <w:b/>
    </w:rPr>
  </w:style>
  <w:style w:type="character" w:styleId="37">
    <w:name w:val="endnote reference"/>
    <w:qFormat/>
    <w:uiPriority w:val="99"/>
    <w:rPr>
      <w:vertAlign w:val="superscript"/>
    </w:rPr>
  </w:style>
  <w:style w:type="character" w:styleId="38">
    <w:name w:val="Hyperlink"/>
    <w:qFormat/>
    <w:uiPriority w:val="99"/>
    <w:rPr>
      <w:color w:val="0000FF"/>
      <w:u w:val="single"/>
    </w:rPr>
  </w:style>
  <w:style w:type="character" w:styleId="39">
    <w:name w:val="annotation reference"/>
    <w:basedOn w:val="35"/>
    <w:qFormat/>
    <w:uiPriority w:val="99"/>
    <w:rPr>
      <w:sz w:val="21"/>
      <w:szCs w:val="21"/>
    </w:rPr>
  </w:style>
  <w:style w:type="character" w:styleId="40">
    <w:name w:val="footnote reference"/>
    <w:qFormat/>
    <w:uiPriority w:val="0"/>
    <w:rPr>
      <w:vertAlign w:val="superscript"/>
    </w:rPr>
  </w:style>
  <w:style w:type="paragraph" w:customStyle="1" w:styleId="41">
    <w:name w:val="样式1"/>
    <w:basedOn w:val="42"/>
    <w:next w:val="1"/>
    <w:qFormat/>
    <w:uiPriority w:val="0"/>
    <w:pPr>
      <w:tabs>
        <w:tab w:val="left" w:pos="0"/>
        <w:tab w:val="left" w:pos="840"/>
      </w:tabs>
    </w:pPr>
    <w:rPr>
      <w:rFonts w:ascii="Arial" w:hAnsi="Arial" w:eastAsia="幼圆" w:cs="Arial"/>
      <w:sz w:val="24"/>
      <w:szCs w:val="20"/>
    </w:rPr>
  </w:style>
  <w:style w:type="paragraph" w:customStyle="1" w:styleId="42">
    <w:name w:val="列表编号1"/>
    <w:basedOn w:val="1"/>
    <w:qFormat/>
    <w:uiPriority w:val="0"/>
    <w:pPr>
      <w:tabs>
        <w:tab w:val="left" w:pos="0"/>
        <w:tab w:val="left" w:pos="840"/>
      </w:tabs>
      <w:spacing w:line="360" w:lineRule="auto"/>
    </w:pPr>
  </w:style>
  <w:style w:type="table" w:customStyle="1" w:styleId="43">
    <w:name w:val="无格式表格 11"/>
    <w:basedOn w:val="33"/>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44">
    <w:name w:val="无格式表格 21"/>
    <w:basedOn w:val="33"/>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45">
    <w:name w:val="无格式表格 31"/>
    <w:basedOn w:val="33"/>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46">
    <w:name w:val="无格式表格 41"/>
    <w:basedOn w:val="33"/>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47">
    <w:name w:val="无格式表格 51"/>
    <w:basedOn w:val="33"/>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48">
    <w:name w:val="网格表 1 浅色1"/>
    <w:basedOn w:val="33"/>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49">
    <w:name w:val="网格表 21"/>
    <w:basedOn w:val="33"/>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0">
    <w:name w:val="网格表 31"/>
    <w:basedOn w:val="33"/>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1">
    <w:name w:val="网格表 41"/>
    <w:basedOn w:val="33"/>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2">
    <w:name w:val="网格表 5 深色1"/>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3">
    <w:name w:val="网格表 6 彩色1"/>
    <w:basedOn w:val="33"/>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4">
    <w:name w:val="网格表 7 彩色1"/>
    <w:basedOn w:val="33"/>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55">
    <w:name w:val="清单表 1 浅色1"/>
    <w:basedOn w:val="33"/>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56">
    <w:name w:val="清单表 21"/>
    <w:basedOn w:val="33"/>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57">
    <w:name w:val="清单表 31"/>
    <w:basedOn w:val="33"/>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58">
    <w:name w:val="清单表 41"/>
    <w:basedOn w:val="3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59">
    <w:name w:val="清单表 5 深色1"/>
    <w:basedOn w:val="33"/>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0">
    <w:name w:val="清单表 6 彩色1"/>
    <w:basedOn w:val="33"/>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1">
    <w:name w:val="清单表 7 彩色1"/>
    <w:basedOn w:val="33"/>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62">
    <w:name w:val="TOC 标题1"/>
    <w:qFormat/>
    <w:uiPriority w:val="39"/>
    <w:rPr>
      <w:rFonts w:ascii="Times New Roman" w:hAnsi="Times New Roman" w:eastAsia="宋体" w:cs="Times New Roman"/>
      <w:lang w:val="en-US" w:eastAsia="zh-CN" w:bidi="ar-SA"/>
    </w:rPr>
  </w:style>
  <w:style w:type="character" w:customStyle="1" w:styleId="63">
    <w:name w:val="Heading 1 Char_434700aa-fe40-4ee6-9069-0a69300fd62b"/>
    <w:basedOn w:val="35"/>
    <w:qFormat/>
    <w:uiPriority w:val="9"/>
    <w:rPr>
      <w:rFonts w:ascii="Arial" w:hAnsi="Arial" w:eastAsia="Arial" w:cs="Arial"/>
      <w:sz w:val="40"/>
      <w:szCs w:val="40"/>
    </w:rPr>
  </w:style>
  <w:style w:type="character" w:customStyle="1" w:styleId="64">
    <w:name w:val="Heading 5 Char_925b8ece-8082-461d-ae29-1d41b41a7251"/>
    <w:basedOn w:val="35"/>
    <w:qFormat/>
    <w:uiPriority w:val="9"/>
    <w:rPr>
      <w:rFonts w:ascii="Arial" w:hAnsi="Arial" w:eastAsia="Arial" w:cs="Arial"/>
      <w:b/>
      <w:bCs/>
      <w:sz w:val="24"/>
      <w:szCs w:val="24"/>
    </w:rPr>
  </w:style>
  <w:style w:type="character" w:customStyle="1" w:styleId="65">
    <w:name w:val="Heading 6 Char_a35ea97a-1ce8-4d9b-8930-2f6c61bf63ec"/>
    <w:basedOn w:val="35"/>
    <w:qFormat/>
    <w:uiPriority w:val="9"/>
    <w:rPr>
      <w:rFonts w:ascii="Arial" w:hAnsi="Arial" w:eastAsia="Arial" w:cs="Arial"/>
      <w:b/>
      <w:bCs/>
      <w:sz w:val="22"/>
      <w:szCs w:val="22"/>
    </w:rPr>
  </w:style>
  <w:style w:type="character" w:customStyle="1" w:styleId="66">
    <w:name w:val="Heading 7 Char_187ddb87-c7bc-4839-9585-67a43c484026"/>
    <w:basedOn w:val="35"/>
    <w:qFormat/>
    <w:uiPriority w:val="9"/>
    <w:rPr>
      <w:rFonts w:ascii="Arial" w:hAnsi="Arial" w:eastAsia="Arial" w:cs="Arial"/>
      <w:b/>
      <w:bCs/>
      <w:i/>
      <w:iCs/>
      <w:sz w:val="22"/>
      <w:szCs w:val="22"/>
    </w:rPr>
  </w:style>
  <w:style w:type="character" w:customStyle="1" w:styleId="67">
    <w:name w:val="Heading 8 Char_f86cc6f1-e07f-46cd-8999-b4d6f395b7ab"/>
    <w:basedOn w:val="35"/>
    <w:qFormat/>
    <w:uiPriority w:val="9"/>
    <w:rPr>
      <w:rFonts w:ascii="Arial" w:hAnsi="Arial" w:eastAsia="Arial" w:cs="Arial"/>
      <w:i/>
      <w:iCs/>
      <w:sz w:val="22"/>
      <w:szCs w:val="22"/>
    </w:rPr>
  </w:style>
  <w:style w:type="character" w:customStyle="1" w:styleId="68">
    <w:name w:val="Heading 9 Char_78d770f5-7fe8-45f8-a379-5ea7765ab889"/>
    <w:basedOn w:val="35"/>
    <w:qFormat/>
    <w:uiPriority w:val="9"/>
    <w:rPr>
      <w:rFonts w:ascii="Arial" w:hAnsi="Arial" w:eastAsia="Arial" w:cs="Arial"/>
      <w:i/>
      <w:iCs/>
      <w:sz w:val="21"/>
      <w:szCs w:val="21"/>
    </w:rPr>
  </w:style>
  <w:style w:type="character" w:customStyle="1" w:styleId="69">
    <w:name w:val="Title Char_cba70f7b-6b0c-40c3-9c1d-79b000d9620e"/>
    <w:basedOn w:val="35"/>
    <w:qFormat/>
    <w:uiPriority w:val="10"/>
    <w:rPr>
      <w:sz w:val="48"/>
      <w:szCs w:val="48"/>
    </w:rPr>
  </w:style>
  <w:style w:type="character" w:customStyle="1" w:styleId="70">
    <w:name w:val="Subtitle Char"/>
    <w:basedOn w:val="35"/>
    <w:qFormat/>
    <w:uiPriority w:val="11"/>
    <w:rPr>
      <w:sz w:val="24"/>
      <w:szCs w:val="24"/>
    </w:rPr>
  </w:style>
  <w:style w:type="character" w:customStyle="1" w:styleId="71">
    <w:name w:val="Quote Char_7b531250-58de-49b9-9d0c-04cfbc5a8719"/>
    <w:qFormat/>
    <w:uiPriority w:val="29"/>
    <w:rPr>
      <w:i/>
    </w:rPr>
  </w:style>
  <w:style w:type="character" w:customStyle="1" w:styleId="72">
    <w:name w:val="Intense Quote Char_0c2ead29-d2a6-4ac5-8f7c-28c2f003bdba"/>
    <w:qFormat/>
    <w:uiPriority w:val="30"/>
    <w:rPr>
      <w:i/>
    </w:rPr>
  </w:style>
  <w:style w:type="character" w:customStyle="1" w:styleId="73">
    <w:name w:val="Caption Char"/>
    <w:qFormat/>
    <w:uiPriority w:val="99"/>
  </w:style>
  <w:style w:type="character" w:customStyle="1" w:styleId="74">
    <w:name w:val="Footnote Text Char"/>
    <w:qFormat/>
    <w:uiPriority w:val="99"/>
    <w:rPr>
      <w:sz w:val="18"/>
    </w:rPr>
  </w:style>
  <w:style w:type="character" w:customStyle="1" w:styleId="75">
    <w:name w:val="Endnote Text Char"/>
    <w:qFormat/>
    <w:uiPriority w:val="99"/>
    <w:rPr>
      <w:sz w:val="20"/>
    </w:rPr>
  </w:style>
  <w:style w:type="paragraph" w:customStyle="1" w:styleId="76">
    <w:name w:val="TOC 标题111"/>
    <w:qFormat/>
    <w:uiPriority w:val="39"/>
    <w:rPr>
      <w:rFonts w:ascii="Times New Roman" w:hAnsi="Times New Roman" w:eastAsia="宋体" w:cs="Times New Roman"/>
      <w:lang w:val="en-US" w:eastAsia="zh-CN" w:bidi="ar-SA"/>
    </w:rPr>
  </w:style>
  <w:style w:type="paragraph" w:customStyle="1" w:styleId="77">
    <w:name w:val="正文文本1"/>
    <w:basedOn w:val="1"/>
    <w:next w:val="1"/>
    <w:link w:val="212"/>
    <w:qFormat/>
    <w:uiPriority w:val="0"/>
    <w:pPr>
      <w:spacing w:line="60" w:lineRule="auto"/>
    </w:pPr>
    <w:rPr>
      <w:rFonts w:ascii="仿宋_GB2312" w:eastAsia="仿宋_GB2312"/>
      <w:sz w:val="32"/>
    </w:rPr>
  </w:style>
  <w:style w:type="character" w:customStyle="1" w:styleId="78">
    <w:name w:val="标题 1 字符1"/>
    <w:link w:val="2"/>
    <w:qFormat/>
    <w:uiPriority w:val="9"/>
    <w:rPr>
      <w:rFonts w:ascii="Arial" w:hAnsi="Arial" w:eastAsia="Arial" w:cs="Arial"/>
      <w:sz w:val="40"/>
      <w:szCs w:val="40"/>
    </w:rPr>
  </w:style>
  <w:style w:type="character" w:customStyle="1" w:styleId="79">
    <w:name w:val="标题 5 字符"/>
    <w:link w:val="6"/>
    <w:qFormat/>
    <w:uiPriority w:val="9"/>
    <w:rPr>
      <w:rFonts w:ascii="Arial" w:hAnsi="Arial" w:eastAsia="Arial" w:cs="Arial"/>
      <w:b/>
      <w:bCs/>
      <w:sz w:val="24"/>
      <w:szCs w:val="24"/>
    </w:rPr>
  </w:style>
  <w:style w:type="character" w:customStyle="1" w:styleId="80">
    <w:name w:val="标题 6 字符"/>
    <w:link w:val="7"/>
    <w:qFormat/>
    <w:uiPriority w:val="9"/>
    <w:rPr>
      <w:rFonts w:ascii="Arial" w:hAnsi="Arial" w:eastAsia="Arial" w:cs="Arial"/>
      <w:b/>
      <w:bCs/>
      <w:sz w:val="22"/>
      <w:szCs w:val="22"/>
    </w:rPr>
  </w:style>
  <w:style w:type="character" w:customStyle="1" w:styleId="81">
    <w:name w:val="标题 7 字符"/>
    <w:link w:val="8"/>
    <w:qFormat/>
    <w:uiPriority w:val="9"/>
    <w:rPr>
      <w:rFonts w:ascii="Arial" w:hAnsi="Arial" w:eastAsia="Arial" w:cs="Arial"/>
      <w:b/>
      <w:bCs/>
      <w:i/>
      <w:iCs/>
      <w:sz w:val="22"/>
      <w:szCs w:val="22"/>
    </w:rPr>
  </w:style>
  <w:style w:type="character" w:customStyle="1" w:styleId="82">
    <w:name w:val="标题 8 字符"/>
    <w:link w:val="9"/>
    <w:qFormat/>
    <w:uiPriority w:val="9"/>
    <w:rPr>
      <w:rFonts w:ascii="Arial" w:hAnsi="Arial" w:eastAsia="Arial" w:cs="Arial"/>
      <w:i/>
      <w:iCs/>
      <w:sz w:val="22"/>
      <w:szCs w:val="22"/>
    </w:rPr>
  </w:style>
  <w:style w:type="character" w:customStyle="1" w:styleId="83">
    <w:name w:val="标题 9 字符"/>
    <w:link w:val="10"/>
    <w:qFormat/>
    <w:uiPriority w:val="9"/>
    <w:rPr>
      <w:rFonts w:ascii="Arial" w:hAnsi="Arial" w:eastAsia="Arial" w:cs="Arial"/>
      <w:i/>
      <w:iCs/>
      <w:sz w:val="21"/>
      <w:szCs w:val="21"/>
    </w:rPr>
  </w:style>
  <w:style w:type="paragraph" w:styleId="84">
    <w:name w:val="No Spacing"/>
    <w:qFormat/>
    <w:uiPriority w:val="1"/>
    <w:rPr>
      <w:rFonts w:ascii="Times New Roman" w:hAnsi="Times New Roman" w:eastAsia="宋体" w:cs="Times New Roman"/>
      <w:lang w:val="en-US" w:eastAsia="zh-CN" w:bidi="ar-SA"/>
    </w:rPr>
  </w:style>
  <w:style w:type="character" w:customStyle="1" w:styleId="85">
    <w:name w:val="标题 字符"/>
    <w:link w:val="32"/>
    <w:qFormat/>
    <w:uiPriority w:val="10"/>
    <w:rPr>
      <w:sz w:val="48"/>
      <w:szCs w:val="48"/>
    </w:rPr>
  </w:style>
  <w:style w:type="character" w:customStyle="1" w:styleId="86">
    <w:name w:val="副标题 字符"/>
    <w:link w:val="25"/>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引用 字符"/>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0">
    <w:name w:val="明显引用 字符"/>
    <w:link w:val="89"/>
    <w:qFormat/>
    <w:uiPriority w:val="30"/>
    <w:rPr>
      <w:i/>
    </w:rPr>
  </w:style>
  <w:style w:type="character" w:customStyle="1" w:styleId="91">
    <w:name w:val="页脚 字符1"/>
    <w:link w:val="21"/>
    <w:qFormat/>
    <w:uiPriority w:val="99"/>
  </w:style>
  <w:style w:type="table" w:customStyle="1" w:styleId="9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9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9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9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9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99">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0">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1">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02">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3">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4">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0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0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1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1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1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2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2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23">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24">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25">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26">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7">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28">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2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3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4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4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4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4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4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4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5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5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5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0">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61">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6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6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6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1">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2">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3">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4">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5">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6">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7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9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9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9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9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98">
    <w:name w:val="脚注文本 字符"/>
    <w:link w:val="26"/>
    <w:qFormat/>
    <w:uiPriority w:val="0"/>
    <w:rPr>
      <w:sz w:val="18"/>
    </w:rPr>
  </w:style>
  <w:style w:type="character" w:customStyle="1" w:styleId="199">
    <w:name w:val="尾注文本 字符"/>
    <w:link w:val="20"/>
    <w:qFormat/>
    <w:uiPriority w:val="99"/>
    <w:rPr>
      <w:sz w:val="20"/>
    </w:rPr>
  </w:style>
  <w:style w:type="paragraph" w:customStyle="1" w:styleId="200">
    <w:name w:val="TOC 标题11"/>
    <w:qFormat/>
    <w:uiPriority w:val="39"/>
    <w:rPr>
      <w:rFonts w:ascii="Times New Roman" w:hAnsi="Times New Roman" w:eastAsia="宋体" w:cs="Times New Roman"/>
      <w:lang w:val="en-US" w:eastAsia="zh-CN" w:bidi="ar-SA"/>
    </w:rPr>
  </w:style>
  <w:style w:type="paragraph" w:customStyle="1" w:styleId="201">
    <w:name w:val="标题 11"/>
    <w:basedOn w:val="1"/>
    <w:next w:val="1"/>
    <w:link w:val="213"/>
    <w:qFormat/>
    <w:uiPriority w:val="0"/>
    <w:pPr>
      <w:keepNext/>
      <w:keepLines/>
      <w:spacing w:before="340" w:after="330" w:line="576" w:lineRule="auto"/>
      <w:outlineLvl w:val="0"/>
    </w:pPr>
    <w:rPr>
      <w:b/>
      <w:sz w:val="44"/>
      <w:szCs w:val="20"/>
    </w:rPr>
  </w:style>
  <w:style w:type="paragraph" w:customStyle="1" w:styleId="202">
    <w:name w:val="标题 21"/>
    <w:basedOn w:val="1"/>
    <w:next w:val="1"/>
    <w:link w:val="214"/>
    <w:qFormat/>
    <w:uiPriority w:val="0"/>
    <w:pPr>
      <w:keepNext/>
      <w:keepLines/>
      <w:spacing w:before="260" w:after="260" w:line="413" w:lineRule="auto"/>
      <w:outlineLvl w:val="1"/>
    </w:pPr>
    <w:rPr>
      <w:rFonts w:ascii="Arial" w:hAnsi="Arial" w:eastAsia="黑体"/>
      <w:b/>
      <w:sz w:val="32"/>
      <w:szCs w:val="20"/>
    </w:rPr>
  </w:style>
  <w:style w:type="paragraph" w:customStyle="1" w:styleId="203">
    <w:name w:val="标题 31"/>
    <w:basedOn w:val="1"/>
    <w:next w:val="1"/>
    <w:link w:val="215"/>
    <w:qFormat/>
    <w:uiPriority w:val="0"/>
    <w:pPr>
      <w:keepNext/>
      <w:keepLines/>
      <w:spacing w:before="260" w:after="260" w:line="413" w:lineRule="auto"/>
      <w:outlineLvl w:val="2"/>
    </w:pPr>
    <w:rPr>
      <w:b/>
      <w:sz w:val="32"/>
      <w:szCs w:val="20"/>
    </w:rPr>
  </w:style>
  <w:style w:type="paragraph" w:customStyle="1" w:styleId="204">
    <w:name w:val="标题 41"/>
    <w:basedOn w:val="1"/>
    <w:next w:val="1"/>
    <w:link w:val="216"/>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05">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06">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07">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08">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09">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10">
    <w:name w:val="默认段落字体1"/>
    <w:qFormat/>
    <w:uiPriority w:val="1"/>
  </w:style>
  <w:style w:type="table" w:customStyle="1" w:styleId="211">
    <w:name w:val="普通表格1"/>
    <w:qFormat/>
    <w:uiPriority w:val="0"/>
    <w:tblPr>
      <w:tblCellMar>
        <w:top w:w="0" w:type="dxa"/>
        <w:left w:w="0" w:type="dxa"/>
        <w:bottom w:w="0" w:type="dxa"/>
        <w:right w:w="0" w:type="dxa"/>
      </w:tblCellMar>
    </w:tblPr>
  </w:style>
  <w:style w:type="character" w:customStyle="1" w:styleId="212">
    <w:name w:val="正文文本 字符"/>
    <w:link w:val="77"/>
    <w:qFormat/>
    <w:uiPriority w:val="0"/>
    <w:rPr>
      <w:rFonts w:ascii="仿宋_GB2312" w:eastAsia="仿宋_GB2312"/>
      <w:sz w:val="32"/>
      <w:szCs w:val="22"/>
    </w:rPr>
  </w:style>
  <w:style w:type="character" w:customStyle="1" w:styleId="213">
    <w:name w:val="标题 1 字符"/>
    <w:link w:val="201"/>
    <w:qFormat/>
    <w:uiPriority w:val="0"/>
    <w:rPr>
      <w:b/>
      <w:sz w:val="44"/>
    </w:rPr>
  </w:style>
  <w:style w:type="character" w:customStyle="1" w:styleId="214">
    <w:name w:val="标题 2 字符"/>
    <w:link w:val="202"/>
    <w:qFormat/>
    <w:uiPriority w:val="0"/>
    <w:rPr>
      <w:rFonts w:ascii="Arial" w:hAnsi="Arial" w:eastAsia="黑体"/>
      <w:b/>
      <w:sz w:val="32"/>
    </w:rPr>
  </w:style>
  <w:style w:type="character" w:customStyle="1" w:styleId="215">
    <w:name w:val="标题 3 字符"/>
    <w:link w:val="203"/>
    <w:qFormat/>
    <w:uiPriority w:val="0"/>
    <w:rPr>
      <w:b/>
      <w:sz w:val="32"/>
    </w:rPr>
  </w:style>
  <w:style w:type="character" w:customStyle="1" w:styleId="216">
    <w:name w:val="标题 4 字符"/>
    <w:link w:val="204"/>
    <w:qFormat/>
    <w:uiPriority w:val="0"/>
    <w:rPr>
      <w:rFonts w:ascii="宋体" w:eastAsia="宋体"/>
      <w:color w:val="800000"/>
      <w:sz w:val="28"/>
      <w:lang w:val="en-US" w:eastAsia="zh-CN" w:bidi="ar-SA"/>
    </w:rPr>
  </w:style>
  <w:style w:type="paragraph" w:customStyle="1" w:styleId="217">
    <w:name w:val="目录 71"/>
    <w:basedOn w:val="1"/>
    <w:next w:val="1"/>
    <w:qFormat/>
    <w:uiPriority w:val="0"/>
    <w:pPr>
      <w:ind w:left="1260"/>
      <w:jc w:val="left"/>
    </w:pPr>
    <w:rPr>
      <w:rFonts w:ascii="Calibri" w:hAnsi="Calibri" w:cs="Calibri"/>
      <w:sz w:val="18"/>
      <w:szCs w:val="18"/>
    </w:rPr>
  </w:style>
  <w:style w:type="paragraph" w:customStyle="1" w:styleId="218">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19">
    <w:name w:val="索引 81"/>
    <w:basedOn w:val="1"/>
    <w:next w:val="1"/>
    <w:qFormat/>
    <w:uiPriority w:val="0"/>
    <w:pPr>
      <w:ind w:left="1400"/>
    </w:pPr>
    <w:rPr>
      <w:rFonts w:ascii="Calibri" w:hAnsi="Calibri"/>
    </w:rPr>
  </w:style>
  <w:style w:type="paragraph" w:customStyle="1" w:styleId="220">
    <w:name w:val="正文缩进11"/>
    <w:basedOn w:val="1"/>
    <w:qFormat/>
    <w:uiPriority w:val="0"/>
    <w:pPr>
      <w:ind w:firstLine="420"/>
    </w:pPr>
    <w:rPr>
      <w:rFonts w:ascii="宋体"/>
      <w:color w:val="000000"/>
      <w:sz w:val="24"/>
      <w:szCs w:val="20"/>
    </w:rPr>
  </w:style>
  <w:style w:type="paragraph" w:customStyle="1" w:styleId="221">
    <w:name w:val="题注1"/>
    <w:basedOn w:val="1"/>
    <w:next w:val="1"/>
    <w:link w:val="222"/>
    <w:qFormat/>
    <w:uiPriority w:val="0"/>
    <w:pPr>
      <w:tabs>
        <w:tab w:val="left" w:pos="0"/>
      </w:tabs>
      <w:spacing w:line="360" w:lineRule="auto"/>
    </w:pPr>
    <w:rPr>
      <w:rFonts w:ascii="Arial" w:hAnsi="Arial" w:eastAsia="黑体"/>
      <w:sz w:val="20"/>
      <w:szCs w:val="20"/>
    </w:rPr>
  </w:style>
  <w:style w:type="character" w:customStyle="1" w:styleId="222">
    <w:name w:val="题注 字符"/>
    <w:link w:val="221"/>
    <w:qFormat/>
    <w:uiPriority w:val="0"/>
    <w:rPr>
      <w:rFonts w:ascii="Arial" w:hAnsi="Arial" w:eastAsia="黑体" w:cs="Arial"/>
    </w:rPr>
  </w:style>
  <w:style w:type="paragraph" w:customStyle="1" w:styleId="223">
    <w:name w:val="索引 51"/>
    <w:basedOn w:val="1"/>
    <w:next w:val="1"/>
    <w:qFormat/>
    <w:uiPriority w:val="0"/>
    <w:pPr>
      <w:ind w:left="800"/>
    </w:pPr>
    <w:rPr>
      <w:rFonts w:ascii="Calibri" w:hAnsi="Calibri"/>
    </w:rPr>
  </w:style>
  <w:style w:type="paragraph" w:customStyle="1" w:styleId="224">
    <w:name w:val="列表项目符号1"/>
    <w:basedOn w:val="1"/>
    <w:qFormat/>
    <w:uiPriority w:val="0"/>
    <w:pPr>
      <w:tabs>
        <w:tab w:val="left" w:pos="840"/>
      </w:tabs>
      <w:spacing w:line="360" w:lineRule="auto"/>
      <w:ind w:left="962" w:hanging="480"/>
    </w:pPr>
    <w:rPr>
      <w:sz w:val="24"/>
    </w:rPr>
  </w:style>
  <w:style w:type="paragraph" w:customStyle="1" w:styleId="225">
    <w:name w:val="文档结构图1"/>
    <w:basedOn w:val="1"/>
    <w:qFormat/>
    <w:uiPriority w:val="0"/>
    <w:pPr>
      <w:shd w:val="clear" w:color="auto" w:fill="000080"/>
    </w:pPr>
  </w:style>
  <w:style w:type="paragraph" w:customStyle="1" w:styleId="226">
    <w:name w:val="批注文字1"/>
    <w:basedOn w:val="1"/>
    <w:link w:val="227"/>
    <w:qFormat/>
    <w:uiPriority w:val="99"/>
    <w:pPr>
      <w:jc w:val="left"/>
    </w:pPr>
    <w:rPr>
      <w:rFonts w:ascii="Calibri" w:hAnsi="Calibri"/>
      <w:szCs w:val="20"/>
    </w:rPr>
  </w:style>
  <w:style w:type="character" w:customStyle="1" w:styleId="227">
    <w:name w:val="批注文字 字符"/>
    <w:link w:val="226"/>
    <w:qFormat/>
    <w:uiPriority w:val="99"/>
    <w:rPr>
      <w:rFonts w:ascii="Calibri" w:hAnsi="Calibri" w:eastAsia="宋体" w:cs="Times New Roman"/>
      <w:sz w:val="21"/>
    </w:rPr>
  </w:style>
  <w:style w:type="paragraph" w:customStyle="1" w:styleId="228">
    <w:name w:val="索引 61"/>
    <w:basedOn w:val="1"/>
    <w:next w:val="1"/>
    <w:qFormat/>
    <w:uiPriority w:val="0"/>
    <w:pPr>
      <w:ind w:left="1000"/>
    </w:pPr>
    <w:rPr>
      <w:rFonts w:ascii="Calibri" w:hAnsi="Calibri"/>
    </w:rPr>
  </w:style>
  <w:style w:type="paragraph" w:customStyle="1" w:styleId="229">
    <w:name w:val="正文文本 31"/>
    <w:basedOn w:val="1"/>
    <w:qFormat/>
    <w:uiPriority w:val="0"/>
    <w:rPr>
      <w:color w:val="000000"/>
    </w:rPr>
  </w:style>
  <w:style w:type="paragraph" w:customStyle="1" w:styleId="230">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31">
    <w:name w:val="正文文本缩进11"/>
    <w:basedOn w:val="1"/>
    <w:next w:val="1"/>
    <w:qFormat/>
    <w:uiPriority w:val="0"/>
    <w:pPr>
      <w:ind w:firstLine="225"/>
    </w:pPr>
    <w:rPr>
      <w:rFonts w:ascii="仿宋_GB2312" w:eastAsia="仿宋_GB2312"/>
      <w:sz w:val="32"/>
    </w:rPr>
  </w:style>
  <w:style w:type="paragraph" w:customStyle="1" w:styleId="232">
    <w:name w:val="文本块1"/>
    <w:basedOn w:val="1"/>
    <w:qFormat/>
    <w:uiPriority w:val="0"/>
    <w:pPr>
      <w:spacing w:line="360" w:lineRule="exact"/>
      <w:ind w:left="1548" w:right="12" w:hanging="2405"/>
    </w:pPr>
    <w:rPr>
      <w:rFonts w:ascii="宋体"/>
      <w:bCs/>
      <w:sz w:val="28"/>
    </w:rPr>
  </w:style>
  <w:style w:type="paragraph" w:customStyle="1" w:styleId="233">
    <w:name w:val="列表项目符号 21"/>
    <w:basedOn w:val="1"/>
    <w:qFormat/>
    <w:uiPriority w:val="0"/>
    <w:pPr>
      <w:tabs>
        <w:tab w:val="left" w:pos="720"/>
      </w:tabs>
      <w:spacing w:line="360" w:lineRule="auto"/>
      <w:ind w:left="720" w:hanging="360"/>
    </w:pPr>
    <w:rPr>
      <w:sz w:val="24"/>
    </w:rPr>
  </w:style>
  <w:style w:type="paragraph" w:customStyle="1" w:styleId="234">
    <w:name w:val="HTML 地址1"/>
    <w:basedOn w:val="1"/>
    <w:qFormat/>
    <w:uiPriority w:val="0"/>
    <w:rPr>
      <w:i/>
      <w:iCs/>
    </w:rPr>
  </w:style>
  <w:style w:type="paragraph" w:customStyle="1" w:styleId="235">
    <w:name w:val="索引 41"/>
    <w:basedOn w:val="1"/>
    <w:next w:val="1"/>
    <w:qFormat/>
    <w:uiPriority w:val="0"/>
    <w:pPr>
      <w:ind w:left="600"/>
    </w:pPr>
    <w:rPr>
      <w:rFonts w:ascii="Calibri" w:hAnsi="Calibri"/>
    </w:rPr>
  </w:style>
  <w:style w:type="paragraph" w:customStyle="1" w:styleId="236">
    <w:name w:val="目录 51"/>
    <w:basedOn w:val="1"/>
    <w:next w:val="1"/>
    <w:qFormat/>
    <w:uiPriority w:val="0"/>
    <w:pPr>
      <w:ind w:left="840"/>
      <w:jc w:val="left"/>
    </w:pPr>
    <w:rPr>
      <w:rFonts w:ascii="Calibri" w:hAnsi="Calibri" w:cs="Calibri"/>
      <w:sz w:val="18"/>
      <w:szCs w:val="18"/>
    </w:rPr>
  </w:style>
  <w:style w:type="paragraph" w:customStyle="1" w:styleId="237">
    <w:name w:val="目录 31"/>
    <w:basedOn w:val="1"/>
    <w:next w:val="1"/>
    <w:qFormat/>
    <w:uiPriority w:val="39"/>
    <w:pPr>
      <w:ind w:left="420"/>
      <w:jc w:val="left"/>
    </w:pPr>
    <w:rPr>
      <w:rFonts w:ascii="Calibri" w:hAnsi="Calibri" w:cs="Calibri"/>
      <w:i/>
      <w:iCs/>
      <w:sz w:val="20"/>
      <w:szCs w:val="20"/>
    </w:rPr>
  </w:style>
  <w:style w:type="paragraph" w:customStyle="1" w:styleId="238">
    <w:name w:val="纯文本11"/>
    <w:basedOn w:val="1"/>
    <w:qFormat/>
    <w:uiPriority w:val="0"/>
    <w:rPr>
      <w:rFonts w:ascii="宋体"/>
      <w:szCs w:val="21"/>
    </w:rPr>
  </w:style>
  <w:style w:type="paragraph" w:customStyle="1" w:styleId="239">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40">
    <w:name w:val="目录 81"/>
    <w:basedOn w:val="1"/>
    <w:next w:val="1"/>
    <w:qFormat/>
    <w:uiPriority w:val="0"/>
    <w:pPr>
      <w:ind w:left="1470"/>
      <w:jc w:val="left"/>
    </w:pPr>
    <w:rPr>
      <w:rFonts w:ascii="Calibri" w:hAnsi="Calibri" w:cs="Calibri"/>
      <w:sz w:val="18"/>
      <w:szCs w:val="18"/>
    </w:rPr>
  </w:style>
  <w:style w:type="paragraph" w:customStyle="1" w:styleId="241">
    <w:name w:val="索引 31"/>
    <w:basedOn w:val="1"/>
    <w:next w:val="1"/>
    <w:qFormat/>
    <w:uiPriority w:val="0"/>
    <w:pPr>
      <w:ind w:left="400"/>
    </w:pPr>
    <w:rPr>
      <w:rFonts w:ascii="Calibri" w:hAnsi="Calibri"/>
    </w:rPr>
  </w:style>
  <w:style w:type="paragraph" w:customStyle="1" w:styleId="242">
    <w:name w:val="日期1"/>
    <w:basedOn w:val="1"/>
    <w:next w:val="1"/>
    <w:qFormat/>
    <w:uiPriority w:val="0"/>
    <w:pPr>
      <w:ind w:left="2500"/>
    </w:pPr>
  </w:style>
  <w:style w:type="paragraph" w:customStyle="1" w:styleId="243">
    <w:name w:val="正文文本缩进 21"/>
    <w:basedOn w:val="1"/>
    <w:qFormat/>
    <w:uiPriority w:val="0"/>
    <w:pPr>
      <w:spacing w:line="540" w:lineRule="exact"/>
      <w:ind w:firstLine="225"/>
      <w:jc w:val="left"/>
    </w:pPr>
    <w:rPr>
      <w:rFonts w:ascii="仿宋_GB2312" w:eastAsia="仿宋_GB2312"/>
      <w:sz w:val="32"/>
    </w:rPr>
  </w:style>
  <w:style w:type="paragraph" w:customStyle="1" w:styleId="244">
    <w:name w:val="尾注文本1"/>
    <w:basedOn w:val="1"/>
    <w:qFormat/>
    <w:uiPriority w:val="0"/>
    <w:pPr>
      <w:widowControl/>
      <w:jc w:val="left"/>
    </w:pPr>
    <w:rPr>
      <w:rFonts w:ascii="宋体"/>
      <w:bCs/>
      <w:szCs w:val="21"/>
    </w:rPr>
  </w:style>
  <w:style w:type="paragraph" w:customStyle="1" w:styleId="245">
    <w:name w:val="批注框文本1"/>
    <w:basedOn w:val="1"/>
    <w:qFormat/>
    <w:uiPriority w:val="0"/>
    <w:rPr>
      <w:sz w:val="18"/>
      <w:szCs w:val="20"/>
    </w:rPr>
  </w:style>
  <w:style w:type="paragraph" w:customStyle="1" w:styleId="246">
    <w:name w:val="页脚1"/>
    <w:basedOn w:val="1"/>
    <w:link w:val="247"/>
    <w:qFormat/>
    <w:uiPriority w:val="99"/>
    <w:pPr>
      <w:tabs>
        <w:tab w:val="center" w:pos="4153"/>
        <w:tab w:val="right" w:pos="8306"/>
      </w:tabs>
      <w:jc w:val="left"/>
    </w:pPr>
    <w:rPr>
      <w:rFonts w:ascii="Calibri" w:hAnsi="Calibri"/>
      <w:sz w:val="18"/>
      <w:szCs w:val="18"/>
    </w:rPr>
  </w:style>
  <w:style w:type="character" w:customStyle="1" w:styleId="247">
    <w:name w:val="页脚 字符"/>
    <w:link w:val="246"/>
    <w:qFormat/>
    <w:uiPriority w:val="99"/>
    <w:rPr>
      <w:rFonts w:ascii="Calibri" w:hAnsi="Calibri" w:eastAsia="宋体" w:cs="Times New Roman"/>
      <w:sz w:val="18"/>
      <w:szCs w:val="18"/>
    </w:rPr>
  </w:style>
  <w:style w:type="paragraph" w:customStyle="1" w:styleId="248">
    <w:name w:val="寄信人地址11"/>
    <w:basedOn w:val="1"/>
    <w:qFormat/>
    <w:uiPriority w:val="0"/>
    <w:rPr>
      <w:rFonts w:ascii="Arial" w:hAnsi="Arial"/>
    </w:rPr>
  </w:style>
  <w:style w:type="paragraph" w:customStyle="1" w:styleId="249">
    <w:name w:val="页眉1"/>
    <w:basedOn w:val="1"/>
    <w:link w:val="250"/>
    <w:qFormat/>
    <w:uiPriority w:val="99"/>
    <w:pPr>
      <w:pBdr>
        <w:bottom w:val="single" w:color="000000" w:sz="6" w:space="1"/>
      </w:pBdr>
      <w:tabs>
        <w:tab w:val="center" w:pos="4153"/>
        <w:tab w:val="right" w:pos="8306"/>
      </w:tabs>
      <w:jc w:val="center"/>
    </w:pPr>
    <w:rPr>
      <w:sz w:val="18"/>
      <w:szCs w:val="18"/>
    </w:rPr>
  </w:style>
  <w:style w:type="character" w:customStyle="1" w:styleId="250">
    <w:name w:val="页眉 字符"/>
    <w:link w:val="249"/>
    <w:qFormat/>
    <w:uiPriority w:val="99"/>
    <w:rPr>
      <w:sz w:val="18"/>
      <w:szCs w:val="18"/>
    </w:rPr>
  </w:style>
  <w:style w:type="paragraph" w:customStyle="1" w:styleId="251">
    <w:name w:val="目录 11"/>
    <w:basedOn w:val="1"/>
    <w:next w:val="1"/>
    <w:qFormat/>
    <w:uiPriority w:val="39"/>
    <w:pPr>
      <w:spacing w:before="120" w:after="120"/>
      <w:jc w:val="left"/>
    </w:pPr>
    <w:rPr>
      <w:rFonts w:ascii="Calibri" w:hAnsi="Calibri" w:cs="Calibri"/>
      <w:b/>
      <w:bCs/>
      <w:caps/>
      <w:sz w:val="20"/>
      <w:szCs w:val="20"/>
    </w:rPr>
  </w:style>
  <w:style w:type="paragraph" w:customStyle="1" w:styleId="252">
    <w:name w:val="目录 41"/>
    <w:basedOn w:val="1"/>
    <w:next w:val="1"/>
    <w:qFormat/>
    <w:uiPriority w:val="0"/>
    <w:pPr>
      <w:ind w:left="630"/>
      <w:jc w:val="left"/>
    </w:pPr>
    <w:rPr>
      <w:rFonts w:ascii="Calibri" w:hAnsi="Calibri" w:cs="Calibri"/>
      <w:sz w:val="18"/>
      <w:szCs w:val="18"/>
    </w:rPr>
  </w:style>
  <w:style w:type="paragraph" w:customStyle="1" w:styleId="253">
    <w:name w:val="索引标题1"/>
    <w:basedOn w:val="1"/>
    <w:next w:val="254"/>
    <w:qFormat/>
    <w:uiPriority w:val="0"/>
    <w:rPr>
      <w:rFonts w:ascii="Calibri" w:hAnsi="Calibri"/>
    </w:rPr>
  </w:style>
  <w:style w:type="paragraph" w:customStyle="1" w:styleId="254">
    <w:name w:val="索引 11"/>
    <w:basedOn w:val="1"/>
    <w:next w:val="1"/>
    <w:qFormat/>
    <w:uiPriority w:val="0"/>
    <w:rPr>
      <w:rFonts w:ascii="Calibri" w:hAnsi="Calibri"/>
    </w:rPr>
  </w:style>
  <w:style w:type="paragraph" w:customStyle="1" w:styleId="255">
    <w:name w:val="脚注文本1"/>
    <w:basedOn w:val="1"/>
    <w:qFormat/>
    <w:uiPriority w:val="0"/>
    <w:pPr>
      <w:jc w:val="left"/>
    </w:pPr>
    <w:rPr>
      <w:rFonts w:ascii="宋体"/>
      <w:bCs/>
      <w:sz w:val="18"/>
      <w:szCs w:val="18"/>
    </w:rPr>
  </w:style>
  <w:style w:type="paragraph" w:customStyle="1" w:styleId="256">
    <w:name w:val="目录 61"/>
    <w:basedOn w:val="1"/>
    <w:next w:val="1"/>
    <w:qFormat/>
    <w:uiPriority w:val="0"/>
    <w:pPr>
      <w:ind w:left="1050"/>
      <w:jc w:val="left"/>
    </w:pPr>
    <w:rPr>
      <w:rFonts w:ascii="Calibri" w:hAnsi="Calibri" w:cs="Calibri"/>
      <w:sz w:val="18"/>
      <w:szCs w:val="18"/>
    </w:rPr>
  </w:style>
  <w:style w:type="paragraph" w:customStyle="1" w:styleId="257">
    <w:name w:val="正文文本缩进 31"/>
    <w:basedOn w:val="1"/>
    <w:qFormat/>
    <w:uiPriority w:val="0"/>
    <w:pPr>
      <w:ind w:firstLine="213"/>
    </w:pPr>
    <w:rPr>
      <w:rFonts w:ascii="仿宋_GB2312" w:eastAsia="仿宋_GB2312"/>
      <w:sz w:val="30"/>
    </w:rPr>
  </w:style>
  <w:style w:type="paragraph" w:customStyle="1" w:styleId="258">
    <w:name w:val="索引 71"/>
    <w:basedOn w:val="1"/>
    <w:next w:val="1"/>
    <w:qFormat/>
    <w:uiPriority w:val="0"/>
    <w:pPr>
      <w:ind w:left="1200"/>
    </w:pPr>
    <w:rPr>
      <w:rFonts w:ascii="Calibri" w:hAnsi="Calibri"/>
    </w:rPr>
  </w:style>
  <w:style w:type="paragraph" w:customStyle="1" w:styleId="259">
    <w:name w:val="索引 91"/>
    <w:basedOn w:val="1"/>
    <w:next w:val="1"/>
    <w:qFormat/>
    <w:uiPriority w:val="0"/>
    <w:pPr>
      <w:ind w:left="1600"/>
    </w:pPr>
    <w:rPr>
      <w:rFonts w:ascii="Calibri" w:hAnsi="Calibri"/>
    </w:rPr>
  </w:style>
  <w:style w:type="paragraph" w:customStyle="1" w:styleId="260">
    <w:name w:val="图表目录11"/>
    <w:basedOn w:val="1"/>
    <w:next w:val="1"/>
    <w:qFormat/>
    <w:uiPriority w:val="0"/>
    <w:pPr>
      <w:widowControl/>
      <w:ind w:left="400" w:hanging="200"/>
      <w:jc w:val="left"/>
    </w:pPr>
    <w:rPr>
      <w:rFonts w:ascii="宋体"/>
      <w:bCs/>
      <w:szCs w:val="21"/>
    </w:rPr>
  </w:style>
  <w:style w:type="paragraph" w:customStyle="1" w:styleId="261">
    <w:name w:val="目录 21"/>
    <w:basedOn w:val="1"/>
    <w:next w:val="1"/>
    <w:qFormat/>
    <w:uiPriority w:val="39"/>
    <w:pPr>
      <w:ind w:left="210"/>
      <w:jc w:val="left"/>
    </w:pPr>
    <w:rPr>
      <w:rFonts w:ascii="Calibri" w:hAnsi="Calibri" w:cs="Calibri"/>
      <w:smallCaps/>
      <w:sz w:val="20"/>
      <w:szCs w:val="20"/>
    </w:rPr>
  </w:style>
  <w:style w:type="paragraph" w:customStyle="1" w:styleId="262">
    <w:name w:val="目录 91"/>
    <w:basedOn w:val="1"/>
    <w:next w:val="1"/>
    <w:qFormat/>
    <w:uiPriority w:val="0"/>
    <w:pPr>
      <w:ind w:left="1680"/>
      <w:jc w:val="left"/>
    </w:pPr>
    <w:rPr>
      <w:rFonts w:ascii="Calibri" w:hAnsi="Calibri" w:cs="Calibri"/>
      <w:sz w:val="18"/>
      <w:szCs w:val="18"/>
    </w:rPr>
  </w:style>
  <w:style w:type="paragraph" w:customStyle="1" w:styleId="263">
    <w:name w:val="正文文本 21"/>
    <w:basedOn w:val="1"/>
    <w:qFormat/>
    <w:uiPriority w:val="0"/>
    <w:pPr>
      <w:spacing w:line="560" w:lineRule="exact"/>
    </w:pPr>
    <w:rPr>
      <w:rFonts w:ascii="仿宋_GB2312" w:eastAsia="仿宋_GB2312"/>
      <w:sz w:val="28"/>
      <w:szCs w:val="30"/>
    </w:rPr>
  </w:style>
  <w:style w:type="paragraph" w:customStyle="1" w:styleId="264">
    <w:name w:val="列表接续 21"/>
    <w:basedOn w:val="1"/>
    <w:qFormat/>
    <w:uiPriority w:val="0"/>
    <w:pPr>
      <w:spacing w:after="120"/>
      <w:ind w:left="840"/>
    </w:pPr>
  </w:style>
  <w:style w:type="paragraph" w:customStyle="1" w:styleId="26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66">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67">
    <w:name w:val="索引 21"/>
    <w:basedOn w:val="1"/>
    <w:next w:val="1"/>
    <w:qFormat/>
    <w:uiPriority w:val="0"/>
    <w:pPr>
      <w:ind w:left="200"/>
    </w:pPr>
    <w:rPr>
      <w:rFonts w:ascii="Calibri" w:hAnsi="Calibri"/>
    </w:rPr>
  </w:style>
  <w:style w:type="paragraph" w:customStyle="1" w:styleId="268">
    <w:name w:val="标题1"/>
    <w:basedOn w:val="1"/>
    <w:qFormat/>
    <w:uiPriority w:val="0"/>
    <w:pPr>
      <w:spacing w:before="240" w:after="60"/>
      <w:jc w:val="center"/>
      <w:outlineLvl w:val="0"/>
    </w:pPr>
    <w:rPr>
      <w:rFonts w:ascii="Cambria" w:hAnsi="Cambria"/>
      <w:b/>
      <w:bCs/>
      <w:sz w:val="32"/>
      <w:szCs w:val="32"/>
    </w:rPr>
  </w:style>
  <w:style w:type="paragraph" w:customStyle="1" w:styleId="269">
    <w:name w:val="批注主题1"/>
    <w:basedOn w:val="226"/>
    <w:next w:val="226"/>
    <w:qFormat/>
    <w:uiPriority w:val="0"/>
    <w:rPr>
      <w:b/>
    </w:rPr>
  </w:style>
  <w:style w:type="paragraph" w:customStyle="1" w:styleId="270">
    <w:name w:val="正文首行缩进1"/>
    <w:basedOn w:val="1"/>
    <w:next w:val="1"/>
    <w:qFormat/>
    <w:uiPriority w:val="0"/>
    <w:pPr>
      <w:spacing w:after="120"/>
      <w:ind w:firstLine="100"/>
    </w:pPr>
  </w:style>
  <w:style w:type="paragraph" w:customStyle="1" w:styleId="271">
    <w:name w:val="正文首行缩进 21"/>
    <w:basedOn w:val="231"/>
    <w:link w:val="272"/>
    <w:qFormat/>
    <w:uiPriority w:val="0"/>
    <w:pPr>
      <w:spacing w:after="120"/>
      <w:ind w:left="200" w:firstLine="200"/>
    </w:pPr>
    <w:rPr>
      <w:rFonts w:ascii="Times New Roman"/>
      <w:sz w:val="24"/>
      <w:szCs w:val="24"/>
    </w:rPr>
  </w:style>
  <w:style w:type="character" w:customStyle="1" w:styleId="272">
    <w:name w:val="正文文本首行缩进 2 字符"/>
    <w:link w:val="271"/>
    <w:qFormat/>
    <w:uiPriority w:val="0"/>
    <w:rPr>
      <w:rFonts w:eastAsia="仿宋_GB2312"/>
      <w:sz w:val="24"/>
      <w:szCs w:val="24"/>
      <w:lang w:bidi="ar-SA"/>
    </w:rPr>
  </w:style>
  <w:style w:type="table" w:customStyle="1" w:styleId="273">
    <w:name w:val="网格型1"/>
    <w:basedOn w:val="211"/>
    <w:qFormat/>
    <w:uiPriority w:val="0"/>
  </w:style>
  <w:style w:type="character" w:customStyle="1" w:styleId="274">
    <w:name w:val="要点1"/>
    <w:qFormat/>
    <w:uiPriority w:val="0"/>
    <w:rPr>
      <w:b/>
    </w:rPr>
  </w:style>
  <w:style w:type="character" w:customStyle="1" w:styleId="275">
    <w:name w:val="尾注引用1"/>
    <w:qFormat/>
    <w:uiPriority w:val="0"/>
    <w:rPr>
      <w:vertAlign w:val="superscript"/>
    </w:rPr>
  </w:style>
  <w:style w:type="character" w:customStyle="1" w:styleId="276">
    <w:name w:val="页码1"/>
    <w:qFormat/>
    <w:uiPriority w:val="0"/>
  </w:style>
  <w:style w:type="character" w:customStyle="1" w:styleId="277">
    <w:name w:val="已访问的超链接1"/>
    <w:qFormat/>
    <w:uiPriority w:val="0"/>
    <w:rPr>
      <w:color w:val="800080"/>
      <w:u w:val="single"/>
    </w:rPr>
  </w:style>
  <w:style w:type="character" w:customStyle="1" w:styleId="278">
    <w:name w:val="强调1"/>
    <w:qFormat/>
    <w:uiPriority w:val="0"/>
    <w:rPr>
      <w:color w:val="CC0033"/>
    </w:rPr>
  </w:style>
  <w:style w:type="character" w:customStyle="1" w:styleId="279">
    <w:name w:val="HTML 打字机1"/>
    <w:qFormat/>
    <w:uiPriority w:val="0"/>
    <w:rPr>
      <w:rFonts w:ascii="宋体" w:eastAsia="宋体" w:cs="宋体"/>
      <w:sz w:val="24"/>
      <w:szCs w:val="24"/>
      <w:lang w:bidi="ar-SA"/>
    </w:rPr>
  </w:style>
  <w:style w:type="character" w:customStyle="1" w:styleId="280">
    <w:name w:val="超链接1"/>
    <w:qFormat/>
    <w:uiPriority w:val="99"/>
    <w:rPr>
      <w:color w:val="0000FF"/>
      <w:u w:val="single"/>
    </w:rPr>
  </w:style>
  <w:style w:type="character" w:customStyle="1" w:styleId="281">
    <w:name w:val="批注引用1"/>
    <w:qFormat/>
    <w:uiPriority w:val="0"/>
    <w:rPr>
      <w:sz w:val="21"/>
    </w:rPr>
  </w:style>
  <w:style w:type="character" w:customStyle="1" w:styleId="282">
    <w:name w:val="脚注引用1"/>
    <w:qFormat/>
    <w:uiPriority w:val="0"/>
    <w:rPr>
      <w:vertAlign w:val="superscript"/>
    </w:rPr>
  </w:style>
  <w:style w:type="paragraph" w:customStyle="1" w:styleId="283">
    <w:name w:val="样式 正文首行缩进 2 + Arial"/>
    <w:basedOn w:val="1"/>
    <w:next w:val="1"/>
    <w:qFormat/>
    <w:uiPriority w:val="0"/>
    <w:pPr>
      <w:spacing w:after="120" w:line="320" w:lineRule="atLeast"/>
      <w:ind w:firstLine="200"/>
    </w:pPr>
    <w:rPr>
      <w:rFonts w:ascii="Arial" w:hAnsi="Arial"/>
    </w:rPr>
  </w:style>
  <w:style w:type="character" w:customStyle="1" w:styleId="284">
    <w:name w:val="Comment Text Char"/>
    <w:qFormat/>
    <w:uiPriority w:val="0"/>
    <w:rPr>
      <w:rFonts w:cs="Times New Roman"/>
      <w:sz w:val="21"/>
      <w:szCs w:val="21"/>
      <w:lang w:bidi="ar-SA"/>
    </w:rPr>
  </w:style>
  <w:style w:type="character" w:customStyle="1" w:styleId="285">
    <w:name w:val="纯文本 Char_0"/>
    <w:link w:val="286"/>
    <w:qFormat/>
    <w:uiPriority w:val="0"/>
    <w:rPr>
      <w:rFonts w:ascii="宋体" w:hAnsi="Courier New" w:cs="Courier New"/>
      <w:sz w:val="21"/>
      <w:szCs w:val="21"/>
    </w:rPr>
  </w:style>
  <w:style w:type="paragraph" w:customStyle="1" w:styleId="286">
    <w:name w:val="纯文本_0"/>
    <w:basedOn w:val="287"/>
    <w:link w:val="285"/>
    <w:qFormat/>
    <w:uiPriority w:val="0"/>
    <w:rPr>
      <w:rFonts w:ascii="宋体" w:hAnsi="Courier New"/>
      <w:szCs w:val="21"/>
    </w:rPr>
  </w:style>
  <w:style w:type="paragraph" w:customStyle="1" w:styleId="287">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88">
    <w:name w:val="ca-51"/>
    <w:qFormat/>
    <w:uiPriority w:val="0"/>
    <w:rPr>
      <w:rFonts w:ascii="楷体_GB2312" w:eastAsia="楷体_GB2312"/>
      <w:b/>
      <w:bCs/>
      <w:spacing w:val="-20"/>
      <w:sz w:val="24"/>
      <w:szCs w:val="24"/>
    </w:rPr>
  </w:style>
  <w:style w:type="character" w:customStyle="1" w:styleId="289">
    <w:name w:val="Heading 4 Char_de27d71f-764f-47bd-84d1-49c3f4abdbf0"/>
    <w:qFormat/>
    <w:uiPriority w:val="0"/>
    <w:rPr>
      <w:rFonts w:ascii="Cambria" w:hAnsi="Cambria" w:eastAsia="宋体" w:cs="Cambria"/>
      <w:b/>
      <w:bCs/>
      <w:sz w:val="28"/>
      <w:szCs w:val="28"/>
      <w:lang w:bidi="ar-SA"/>
    </w:rPr>
  </w:style>
  <w:style w:type="character" w:customStyle="1" w:styleId="290">
    <w:name w:val="正文缩进 Char1_0"/>
    <w:link w:val="291"/>
    <w:qFormat/>
    <w:uiPriority w:val="0"/>
    <w:rPr>
      <w:sz w:val="21"/>
      <w:szCs w:val="22"/>
    </w:rPr>
  </w:style>
  <w:style w:type="paragraph" w:customStyle="1" w:styleId="291">
    <w:name w:val="正文缩进_0"/>
    <w:basedOn w:val="287"/>
    <w:link w:val="290"/>
    <w:qFormat/>
    <w:uiPriority w:val="0"/>
    <w:pPr>
      <w:ind w:firstLine="420"/>
    </w:pPr>
    <w:rPr>
      <w:szCs w:val="22"/>
    </w:rPr>
  </w:style>
  <w:style w:type="character" w:customStyle="1" w:styleId="292">
    <w:name w:val="Header Char1"/>
    <w:qFormat/>
    <w:uiPriority w:val="0"/>
    <w:rPr>
      <w:rFonts w:cs="Times New Roman"/>
      <w:sz w:val="18"/>
      <w:szCs w:val="18"/>
      <w:lang w:bidi="ar-SA"/>
    </w:rPr>
  </w:style>
  <w:style w:type="character" w:customStyle="1" w:styleId="293">
    <w:name w:val="正文文本缩进 2 Char"/>
    <w:link w:val="294"/>
    <w:qFormat/>
    <w:uiPriority w:val="0"/>
    <w:rPr>
      <w:rFonts w:hAnsi="Times New Roman"/>
      <w:sz w:val="21"/>
      <w:szCs w:val="20"/>
    </w:rPr>
  </w:style>
  <w:style w:type="paragraph" w:customStyle="1" w:styleId="294">
    <w:name w:val="正文文本缩进 2_0"/>
    <w:basedOn w:val="295"/>
    <w:link w:val="293"/>
    <w:qFormat/>
    <w:uiPriority w:val="0"/>
    <w:pPr>
      <w:spacing w:line="420" w:lineRule="exact"/>
      <w:ind w:firstLine="525"/>
    </w:pPr>
  </w:style>
  <w:style w:type="paragraph" w:customStyle="1" w:styleId="295">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296">
    <w:name w:val="Heading 3 Char_a5a6c394-65ab-4144-8017-81f81103df3a"/>
    <w:qFormat/>
    <w:uiPriority w:val="0"/>
    <w:rPr>
      <w:rFonts w:cs="Times New Roman"/>
      <w:b/>
      <w:bCs/>
      <w:sz w:val="32"/>
      <w:szCs w:val="32"/>
      <w:lang w:bidi="ar-SA"/>
    </w:rPr>
  </w:style>
  <w:style w:type="character" w:customStyle="1" w:styleId="297">
    <w:name w:val="ca-21"/>
    <w:qFormat/>
    <w:uiPriority w:val="0"/>
    <w:rPr>
      <w:rFonts w:ascii="宋体" w:eastAsia="宋体"/>
      <w:sz w:val="21"/>
    </w:rPr>
  </w:style>
  <w:style w:type="character" w:customStyle="1" w:styleId="298">
    <w:name w:val="Plain Text Char"/>
    <w:qFormat/>
    <w:uiPriority w:val="0"/>
    <w:rPr>
      <w:rFonts w:ascii="宋体" w:eastAsia="宋体"/>
      <w:sz w:val="21"/>
      <w:lang w:val="en-US" w:eastAsia="zh-CN"/>
    </w:rPr>
  </w:style>
  <w:style w:type="character" w:customStyle="1" w:styleId="299">
    <w:name w:val="maywed421"/>
    <w:qFormat/>
    <w:uiPriority w:val="0"/>
    <w:rPr>
      <w:color w:val="366FB6"/>
      <w:u w:val="none"/>
    </w:rPr>
  </w:style>
  <w:style w:type="character" w:customStyle="1" w:styleId="300">
    <w:name w:val="纯文本 Char_0_0"/>
    <w:link w:val="301"/>
    <w:qFormat/>
    <w:uiPriority w:val="0"/>
    <w:rPr>
      <w:rFonts w:ascii="宋体" w:hAnsi="Courier New"/>
      <w:sz w:val="21"/>
      <w:szCs w:val="21"/>
    </w:rPr>
  </w:style>
  <w:style w:type="paragraph" w:customStyle="1" w:styleId="301">
    <w:name w:val="纯文本_0_0"/>
    <w:basedOn w:val="302"/>
    <w:link w:val="300"/>
    <w:qFormat/>
    <w:uiPriority w:val="0"/>
    <w:rPr>
      <w:rFonts w:ascii="宋体" w:hAnsi="Courier New"/>
      <w:szCs w:val="21"/>
    </w:rPr>
  </w:style>
  <w:style w:type="paragraph" w:customStyle="1" w:styleId="302">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03">
    <w:name w:val="style15"/>
    <w:qFormat/>
    <w:uiPriority w:val="0"/>
  </w:style>
  <w:style w:type="character" w:customStyle="1" w:styleId="304">
    <w:name w:val="正文（标记） Char2"/>
    <w:link w:val="305"/>
    <w:qFormat/>
    <w:uiPriority w:val="0"/>
    <w:rPr>
      <w:sz w:val="24"/>
      <w:szCs w:val="24"/>
    </w:rPr>
  </w:style>
  <w:style w:type="paragraph" w:customStyle="1" w:styleId="305">
    <w:name w:val="正文（标记）"/>
    <w:basedOn w:val="1"/>
    <w:link w:val="304"/>
    <w:qFormat/>
    <w:uiPriority w:val="0"/>
    <w:pPr>
      <w:tabs>
        <w:tab w:val="left" w:pos="0"/>
        <w:tab w:val="left" w:pos="840"/>
      </w:tabs>
      <w:spacing w:before="50" w:after="50"/>
    </w:pPr>
    <w:rPr>
      <w:sz w:val="24"/>
      <w:szCs w:val="24"/>
    </w:rPr>
  </w:style>
  <w:style w:type="character" w:customStyle="1" w:styleId="306">
    <w:name w:val="段落 Char"/>
    <w:qFormat/>
    <w:uiPriority w:val="0"/>
    <w:rPr>
      <w:rFonts w:ascii="仿宋_GB2312" w:eastAsia="仿宋_GB2312"/>
      <w:sz w:val="24"/>
      <w:szCs w:val="24"/>
      <w:lang w:val="en-US" w:eastAsia="zh-CN" w:bidi="ar-SA"/>
    </w:rPr>
  </w:style>
  <w:style w:type="character" w:customStyle="1" w:styleId="307">
    <w:name w:val="Char Char2"/>
    <w:qFormat/>
    <w:uiPriority w:val="0"/>
    <w:rPr>
      <w:sz w:val="18"/>
      <w:szCs w:val="18"/>
    </w:rPr>
  </w:style>
  <w:style w:type="character" w:customStyle="1" w:styleId="308">
    <w:name w:val="style91"/>
    <w:qFormat/>
    <w:uiPriority w:val="0"/>
    <w:rPr>
      <w:color w:val="2060C0"/>
      <w:sz w:val="24"/>
      <w:szCs w:val="24"/>
    </w:rPr>
  </w:style>
  <w:style w:type="character" w:customStyle="1" w:styleId="309">
    <w:name w:val="普通文字1 Char"/>
    <w:qFormat/>
    <w:uiPriority w:val="0"/>
    <w:rPr>
      <w:rFonts w:ascii="宋体" w:eastAsia="宋体" w:cs="Courier New"/>
      <w:sz w:val="21"/>
      <w:szCs w:val="21"/>
      <w:lang w:val="en-US" w:eastAsia="zh-CN" w:bidi="ar-SA"/>
    </w:rPr>
  </w:style>
  <w:style w:type="character" w:customStyle="1" w:styleId="310">
    <w:name w:val="正文文本缩进 Char"/>
    <w:link w:val="311"/>
    <w:qFormat/>
    <w:uiPriority w:val="0"/>
    <w:rPr>
      <w:rFonts w:hAnsi="Times New Roman"/>
      <w:szCs w:val="20"/>
    </w:rPr>
  </w:style>
  <w:style w:type="paragraph" w:customStyle="1" w:styleId="311">
    <w:name w:val="正文文本缩进_0"/>
    <w:basedOn w:val="295"/>
    <w:link w:val="310"/>
    <w:qFormat/>
    <w:uiPriority w:val="0"/>
    <w:pPr>
      <w:spacing w:line="360" w:lineRule="auto"/>
      <w:ind w:firstLine="420"/>
    </w:pPr>
    <w:rPr>
      <w:sz w:val="20"/>
    </w:rPr>
  </w:style>
  <w:style w:type="character" w:customStyle="1" w:styleId="312">
    <w:name w:val="Char Char21"/>
    <w:qFormat/>
    <w:uiPriority w:val="0"/>
    <w:rPr>
      <w:sz w:val="18"/>
      <w:szCs w:val="18"/>
    </w:rPr>
  </w:style>
  <w:style w:type="character" w:customStyle="1" w:styleId="313">
    <w:name w:val="ca-41"/>
    <w:qFormat/>
    <w:uiPriority w:val="0"/>
    <w:rPr>
      <w:rFonts w:ascii="宋体" w:eastAsia="宋体"/>
      <w:b/>
      <w:bCs/>
      <w:color w:val="000000"/>
      <w:spacing w:val="-20"/>
      <w:sz w:val="21"/>
      <w:szCs w:val="21"/>
    </w:rPr>
  </w:style>
  <w:style w:type="character" w:customStyle="1" w:styleId="314">
    <w:name w:val="question-title"/>
    <w:qFormat/>
    <w:uiPriority w:val="0"/>
  </w:style>
  <w:style w:type="character" w:customStyle="1" w:styleId="315">
    <w:name w:val="A1"/>
    <w:qFormat/>
    <w:uiPriority w:val="0"/>
    <w:rPr>
      <w:rFonts w:ascii="Univers LT Std 45 Light" w:hAnsi="宋体" w:eastAsia="Univers LT Std 45 Light" w:cs="Univers LT Std 45 Light"/>
      <w:color w:val="221E1F"/>
      <w:sz w:val="10"/>
      <w:szCs w:val="10"/>
    </w:rPr>
  </w:style>
  <w:style w:type="character" w:customStyle="1" w:styleId="316">
    <w:name w:val="style161"/>
    <w:qFormat/>
    <w:uiPriority w:val="0"/>
    <w:rPr>
      <w:rFonts w:ascii="Verdana" w:hAnsi="Verdana" w:eastAsia="宋体"/>
      <w:b/>
      <w:color w:val="0A246A"/>
      <w:sz w:val="24"/>
      <w:szCs w:val="24"/>
      <w:lang w:val="en-US" w:eastAsia="zh-CN" w:bidi="ar-SA"/>
    </w:rPr>
  </w:style>
  <w:style w:type="character" w:customStyle="1" w:styleId="317">
    <w:name w:val="ca-31"/>
    <w:qFormat/>
    <w:uiPriority w:val="0"/>
    <w:rPr>
      <w:rFonts w:ascii="宋体" w:eastAsia="宋体"/>
      <w:color w:val="000000"/>
      <w:sz w:val="21"/>
      <w:szCs w:val="21"/>
    </w:rPr>
  </w:style>
  <w:style w:type="character" w:customStyle="1" w:styleId="318">
    <w:name w:val="apple-converted-space"/>
    <w:qFormat/>
    <w:uiPriority w:val="0"/>
  </w:style>
  <w:style w:type="character" w:customStyle="1" w:styleId="319">
    <w:name w:val="Footer Char1"/>
    <w:qFormat/>
    <w:uiPriority w:val="0"/>
    <w:rPr>
      <w:rFonts w:cs="Times New Roman"/>
      <w:sz w:val="18"/>
      <w:szCs w:val="18"/>
      <w:lang w:bidi="ar-SA"/>
    </w:rPr>
  </w:style>
  <w:style w:type="character" w:customStyle="1" w:styleId="320">
    <w:name w:val="A0"/>
    <w:qFormat/>
    <w:uiPriority w:val="0"/>
    <w:rPr>
      <w:rFonts w:ascii=".....?." w:hAnsi="宋体" w:eastAsia=".....?."/>
      <w:color w:val="000000"/>
      <w:sz w:val="22"/>
    </w:rPr>
  </w:style>
  <w:style w:type="character" w:customStyle="1" w:styleId="321">
    <w:name w:val="Char Char23"/>
    <w:qFormat/>
    <w:uiPriority w:val="0"/>
    <w:rPr>
      <w:sz w:val="24"/>
      <w:szCs w:val="21"/>
      <w:lang w:bidi="ar-SA"/>
    </w:rPr>
  </w:style>
  <w:style w:type="character" w:customStyle="1" w:styleId="322">
    <w:name w:val="Char Char1"/>
    <w:qFormat/>
    <w:uiPriority w:val="0"/>
    <w:rPr>
      <w:rFonts w:ascii="宋体" w:eastAsia="宋体"/>
      <w:sz w:val="21"/>
      <w:lang w:val="en-US" w:eastAsia="zh-CN"/>
    </w:rPr>
  </w:style>
  <w:style w:type="character" w:customStyle="1" w:styleId="323">
    <w:name w:val="apple-style-span"/>
    <w:qFormat/>
    <w:uiPriority w:val="0"/>
    <w:rPr>
      <w:rFonts w:ascii="宋体" w:hAnsi="宋体" w:cs="Times New Roman"/>
    </w:rPr>
  </w:style>
  <w:style w:type="character" w:customStyle="1" w:styleId="324">
    <w:name w:val="无间隔 字符"/>
    <w:link w:val="325"/>
    <w:qFormat/>
    <w:uiPriority w:val="0"/>
    <w:rPr>
      <w:sz w:val="22"/>
      <w:lang w:val="en-US" w:eastAsia="zh-CN" w:bidi="ar-SA"/>
    </w:rPr>
  </w:style>
  <w:style w:type="paragraph" w:customStyle="1" w:styleId="325">
    <w:name w:val="无间隔1"/>
    <w:link w:val="324"/>
    <w:qFormat/>
    <w:uiPriority w:val="0"/>
    <w:rPr>
      <w:rFonts w:ascii="Times New Roman" w:hAnsi="Times New Roman" w:eastAsia="宋体" w:cs="Times New Roman"/>
      <w:sz w:val="22"/>
      <w:lang w:val="en-US" w:eastAsia="zh-CN" w:bidi="ar-SA"/>
    </w:rPr>
  </w:style>
  <w:style w:type="character" w:customStyle="1" w:styleId="326">
    <w:name w:val="Char Char3"/>
    <w:qFormat/>
    <w:uiPriority w:val="0"/>
    <w:rPr>
      <w:rFonts w:ascii="宋体" w:eastAsia="宋体"/>
      <w:sz w:val="18"/>
      <w:szCs w:val="18"/>
      <w:lang w:val="en-US" w:eastAsia="zh-CN" w:bidi="ar-SA"/>
    </w:rPr>
  </w:style>
  <w:style w:type="character" w:customStyle="1" w:styleId="327">
    <w:name w:val="z12 style23"/>
    <w:qFormat/>
    <w:uiPriority w:val="0"/>
  </w:style>
  <w:style w:type="character" w:customStyle="1" w:styleId="328">
    <w:name w:val="font41"/>
    <w:qFormat/>
    <w:uiPriority w:val="0"/>
    <w:rPr>
      <w:rFonts w:hint="eastAsia" w:ascii="宋体" w:hAnsi="宋体" w:eastAsia="宋体" w:cs="宋体"/>
      <w:color w:val="000000"/>
      <w:sz w:val="24"/>
      <w:szCs w:val="24"/>
      <w:u w:val="none"/>
    </w:rPr>
  </w:style>
  <w:style w:type="character" w:customStyle="1" w:styleId="329">
    <w:name w:val="font11"/>
    <w:qFormat/>
    <w:uiPriority w:val="0"/>
    <w:rPr>
      <w:rFonts w:ascii="Times" w:hAnsi="Times" w:eastAsia="Times" w:cs="Times"/>
      <w:color w:val="000000"/>
      <w:sz w:val="24"/>
      <w:szCs w:val="24"/>
      <w:u w:val="none"/>
    </w:rPr>
  </w:style>
  <w:style w:type="character" w:customStyle="1" w:styleId="330">
    <w:name w:val="Plain Text Char1"/>
    <w:qFormat/>
    <w:uiPriority w:val="0"/>
    <w:rPr>
      <w:rFonts w:ascii="宋体" w:eastAsia="宋体"/>
      <w:sz w:val="21"/>
      <w:szCs w:val="21"/>
      <w:lang w:val="en-US" w:eastAsia="zh-CN" w:bidi="ar-SA"/>
    </w:rPr>
  </w:style>
  <w:style w:type="character" w:customStyle="1" w:styleId="331">
    <w:name w:val="Char Char"/>
    <w:qFormat/>
    <w:uiPriority w:val="0"/>
    <w:rPr>
      <w:rFonts w:eastAsia="宋体"/>
      <w:sz w:val="18"/>
      <w:lang w:val="en-US" w:eastAsia="zh-CN"/>
    </w:rPr>
  </w:style>
  <w:style w:type="character" w:customStyle="1" w:styleId="332">
    <w:name w:val="wj1"/>
    <w:qFormat/>
    <w:uiPriority w:val="0"/>
    <w:rPr>
      <w:color w:val="000000"/>
      <w:sz w:val="18"/>
      <w:szCs w:val="18"/>
      <w:u w:val="none"/>
    </w:rPr>
  </w:style>
  <w:style w:type="character" w:customStyle="1" w:styleId="333">
    <w:name w:val="Heading 2 Char_e7971b2e-95ff-491d-afd8-0e6cfcc6c1b2"/>
    <w:qFormat/>
    <w:uiPriority w:val="0"/>
    <w:rPr>
      <w:rFonts w:ascii="Arial" w:hAnsi="Arial" w:eastAsia="黑体"/>
      <w:b/>
      <w:bCs/>
      <w:sz w:val="32"/>
      <w:szCs w:val="32"/>
      <w:lang w:val="en-US" w:eastAsia="zh-CN" w:bidi="ar-SA"/>
    </w:rPr>
  </w:style>
  <w:style w:type="character" w:customStyle="1" w:styleId="334">
    <w:name w:val="z1"/>
    <w:qFormat/>
    <w:uiPriority w:val="0"/>
  </w:style>
  <w:style w:type="character" w:customStyle="1" w:styleId="335">
    <w:name w:val="font01"/>
    <w:qFormat/>
    <w:uiPriority w:val="0"/>
    <w:rPr>
      <w:rFonts w:hint="eastAsia" w:ascii="宋体" w:hAnsi="宋体" w:eastAsia="宋体" w:cs="宋体"/>
      <w:color w:val="000000"/>
      <w:sz w:val="24"/>
      <w:szCs w:val="24"/>
      <w:u w:val="none"/>
    </w:rPr>
  </w:style>
  <w:style w:type="character" w:customStyle="1" w:styleId="336">
    <w:name w:val="Footer Char_f0e3e3bf-5b2e-454d-aedf-db4c0b3a23ed"/>
    <w:qFormat/>
    <w:uiPriority w:val="0"/>
    <w:rPr>
      <w:rFonts w:eastAsia="宋体"/>
      <w:sz w:val="18"/>
      <w:lang w:val="en-US" w:eastAsia="zh-CN"/>
    </w:rPr>
  </w:style>
  <w:style w:type="character" w:customStyle="1" w:styleId="337">
    <w:name w:val="Header Char_9800ef60-2583-47c5-8652-b7f35f90c311"/>
    <w:qFormat/>
    <w:uiPriority w:val="0"/>
    <w:rPr>
      <w:rFonts w:eastAsia="宋体"/>
      <w:sz w:val="18"/>
      <w:lang w:val="en-US" w:eastAsia="zh-CN"/>
    </w:rPr>
  </w:style>
  <w:style w:type="character" w:customStyle="1" w:styleId="338">
    <w:name w:val="ca-01"/>
    <w:qFormat/>
    <w:uiPriority w:val="0"/>
    <w:rPr>
      <w:rFonts w:ascii="宋体" w:eastAsia="宋体"/>
      <w:b/>
      <w:bCs/>
      <w:spacing w:val="-20"/>
      <w:sz w:val="24"/>
      <w:szCs w:val="24"/>
    </w:rPr>
  </w:style>
  <w:style w:type="character" w:customStyle="1" w:styleId="339">
    <w:name w:val="font51"/>
    <w:qFormat/>
    <w:uiPriority w:val="99"/>
    <w:rPr>
      <w:rFonts w:ascii="宋体" w:hAnsi="宋体" w:eastAsia="宋体" w:cs="宋体"/>
      <w:color w:val="000000"/>
      <w:sz w:val="22"/>
      <w:szCs w:val="22"/>
    </w:rPr>
  </w:style>
  <w:style w:type="character" w:customStyle="1" w:styleId="340">
    <w:name w:val="font21"/>
    <w:qFormat/>
    <w:uiPriority w:val="0"/>
    <w:rPr>
      <w:rFonts w:ascii="Times New Roman" w:hAnsi="Times New Roman"/>
      <w:color w:val="000000"/>
      <w:sz w:val="20"/>
      <w:u w:val="none"/>
    </w:rPr>
  </w:style>
  <w:style w:type="character" w:customStyle="1" w:styleId="341">
    <w:name w:val="font31"/>
    <w:qFormat/>
    <w:uiPriority w:val="0"/>
    <w:rPr>
      <w:rFonts w:ascii="Arial" w:hAnsi="Arial" w:cs="Arial"/>
      <w:color w:val="000000"/>
      <w:sz w:val="22"/>
      <w:szCs w:val="22"/>
      <w:u w:val="none"/>
    </w:rPr>
  </w:style>
  <w:style w:type="character" w:customStyle="1" w:styleId="342">
    <w:name w:val="正文（编号） Char Char"/>
    <w:link w:val="343"/>
    <w:qFormat/>
    <w:uiPriority w:val="0"/>
    <w:rPr>
      <w:sz w:val="24"/>
      <w:szCs w:val="24"/>
    </w:rPr>
  </w:style>
  <w:style w:type="paragraph" w:customStyle="1" w:styleId="343">
    <w:name w:val="正文（编号）"/>
    <w:basedOn w:val="344"/>
    <w:link w:val="342"/>
    <w:qFormat/>
    <w:uiPriority w:val="0"/>
    <w:pPr>
      <w:tabs>
        <w:tab w:val="left" w:pos="720"/>
        <w:tab w:val="left" w:pos="780"/>
      </w:tabs>
      <w:ind w:left="720" w:firstLine="0"/>
    </w:pPr>
    <w:rPr>
      <w:szCs w:val="24"/>
    </w:rPr>
  </w:style>
  <w:style w:type="paragraph" w:customStyle="1" w:styleId="344">
    <w:name w:val="正文（缩进）"/>
    <w:basedOn w:val="1"/>
    <w:qFormat/>
    <w:uiPriority w:val="0"/>
    <w:pPr>
      <w:spacing w:before="50" w:after="50" w:line="360" w:lineRule="auto"/>
      <w:ind w:firstLine="200"/>
    </w:pPr>
    <w:rPr>
      <w:sz w:val="24"/>
    </w:rPr>
  </w:style>
  <w:style w:type="character" w:customStyle="1" w:styleId="345">
    <w:name w:val="marklong"/>
    <w:qFormat/>
    <w:uiPriority w:val="0"/>
  </w:style>
  <w:style w:type="character" w:customStyle="1" w:styleId="346">
    <w:name w:val="标题 2 Char Char Char"/>
    <w:qFormat/>
    <w:uiPriority w:val="0"/>
    <w:rPr>
      <w:rFonts w:ascii="Arial" w:hAnsi="Arial" w:eastAsia="宋体" w:cs="Arial"/>
      <w:b/>
      <w:bCs/>
      <w:i/>
      <w:iCs/>
      <w:sz w:val="28"/>
      <w:szCs w:val="28"/>
      <w:lang w:val="en-US" w:eastAsia="zh-CN" w:bidi="ar-SA"/>
    </w:rPr>
  </w:style>
  <w:style w:type="character" w:customStyle="1" w:styleId="347">
    <w:name w:val="ca-1"/>
    <w:qFormat/>
    <w:uiPriority w:val="0"/>
  </w:style>
  <w:style w:type="character" w:customStyle="1" w:styleId="348">
    <w:name w:val="ca-11"/>
    <w:qFormat/>
    <w:uiPriority w:val="0"/>
    <w:rPr>
      <w:rFonts w:ascii="宋体" w:eastAsia="宋体"/>
      <w:b/>
      <w:bCs/>
      <w:color w:val="000000"/>
      <w:spacing w:val="-20"/>
      <w:sz w:val="28"/>
      <w:szCs w:val="28"/>
    </w:rPr>
  </w:style>
  <w:style w:type="character" w:customStyle="1" w:styleId="349">
    <w:name w:val="正文（缩进） Char Char"/>
    <w:qFormat/>
    <w:uiPriority w:val="0"/>
    <w:rPr>
      <w:rFonts w:eastAsia="宋体"/>
      <w:sz w:val="24"/>
      <w:szCs w:val="24"/>
      <w:lang w:val="en-US" w:eastAsia="zh-CN" w:bidi="ar-SA"/>
    </w:rPr>
  </w:style>
  <w:style w:type="character" w:customStyle="1" w:styleId="350">
    <w:name w:val="Char Char31"/>
    <w:qFormat/>
    <w:uiPriority w:val="0"/>
    <w:rPr>
      <w:rFonts w:ascii="Arial" w:hAnsi="Arial" w:eastAsia="黑体" w:cs="Times New Roman"/>
      <w:b/>
      <w:bCs/>
      <w:sz w:val="32"/>
      <w:szCs w:val="32"/>
      <w:lang w:val="en-US" w:eastAsia="zh-CN" w:bidi="ar-SA"/>
    </w:rPr>
  </w:style>
  <w:style w:type="paragraph" w:customStyle="1" w:styleId="351">
    <w:name w:val="表文1"/>
    <w:basedOn w:val="1"/>
    <w:qFormat/>
    <w:uiPriority w:val="0"/>
    <w:pPr>
      <w:widowControl/>
      <w:spacing w:line="360" w:lineRule="auto"/>
      <w:ind w:firstLine="196"/>
    </w:pPr>
    <w:rPr>
      <w:rFonts w:ascii="宋体"/>
      <w:sz w:val="24"/>
    </w:rPr>
  </w:style>
  <w:style w:type="paragraph" w:customStyle="1" w:styleId="352">
    <w:name w:val="Normal_6_0"/>
    <w:qFormat/>
    <w:uiPriority w:val="0"/>
    <w:rPr>
      <w:rFonts w:ascii="黑体" w:hAnsi="黑体" w:eastAsia="黑体" w:cs="Times New Roman"/>
      <w:b/>
      <w:sz w:val="32"/>
      <w:szCs w:val="24"/>
      <w:lang w:val="en-US" w:eastAsia="zh-CN" w:bidi="ar-SA"/>
    </w:rPr>
  </w:style>
  <w:style w:type="paragraph" w:customStyle="1" w:styleId="353">
    <w:name w:val="正文文本缩进1"/>
    <w:basedOn w:val="354"/>
    <w:qFormat/>
    <w:uiPriority w:val="99"/>
    <w:pPr>
      <w:spacing w:after="120"/>
      <w:ind w:left="420"/>
    </w:pPr>
    <w:rPr>
      <w:rFonts w:ascii="Calibri" w:hAnsi="Calibri" w:cs="Calibri"/>
    </w:rPr>
  </w:style>
  <w:style w:type="paragraph" w:customStyle="1" w:styleId="354">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55">
    <w:name w:val="Char Char Char"/>
    <w:basedOn w:val="1"/>
    <w:qFormat/>
    <w:uiPriority w:val="0"/>
    <w:rPr>
      <w:rFonts w:ascii="Calibri" w:hAnsi="Calibri"/>
      <w:szCs w:val="21"/>
    </w:rPr>
  </w:style>
  <w:style w:type="paragraph" w:customStyle="1" w:styleId="356">
    <w:name w:val="标题二、"/>
    <w:basedOn w:val="1"/>
    <w:qFormat/>
    <w:uiPriority w:val="99"/>
    <w:pPr>
      <w:spacing w:line="360" w:lineRule="auto"/>
      <w:ind w:firstLine="200"/>
      <w:outlineLvl w:val="2"/>
    </w:pPr>
    <w:rPr>
      <w:rFonts w:ascii="宋体" w:hAnsi="宋体"/>
      <w:b/>
      <w:szCs w:val="21"/>
    </w:rPr>
  </w:style>
  <w:style w:type="paragraph" w:customStyle="1" w:styleId="35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5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59">
    <w:name w:val="Normal_9_0"/>
    <w:qFormat/>
    <w:uiPriority w:val="0"/>
    <w:rPr>
      <w:rFonts w:ascii="Times New Roman" w:hAnsi="Times New Roman" w:eastAsia="Times New Roman" w:cs="Times New Roman"/>
      <w:sz w:val="24"/>
      <w:szCs w:val="24"/>
      <w:lang w:val="en-US" w:eastAsia="zh-CN" w:bidi="ar-SA"/>
    </w:rPr>
  </w:style>
  <w:style w:type="paragraph" w:customStyle="1" w:styleId="360">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1">
    <w:name w:val="pa-6"/>
    <w:basedOn w:val="1"/>
    <w:qFormat/>
    <w:uiPriority w:val="0"/>
    <w:pPr>
      <w:widowControl/>
      <w:spacing w:line="360" w:lineRule="atLeast"/>
    </w:pPr>
    <w:rPr>
      <w:rFonts w:ascii="宋体"/>
      <w:sz w:val="24"/>
      <w:szCs w:val="20"/>
    </w:rPr>
  </w:style>
  <w:style w:type="paragraph" w:customStyle="1" w:styleId="362">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3">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64">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5">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67">
    <w:name w:val="Char Char Char Char Char Char Char Char Char Char"/>
    <w:basedOn w:val="1"/>
    <w:qFormat/>
    <w:uiPriority w:val="0"/>
    <w:rPr>
      <w:rFonts w:ascii="Tahoma" w:hAnsi="Tahoma"/>
      <w:sz w:val="24"/>
      <w:szCs w:val="20"/>
    </w:rPr>
  </w:style>
  <w:style w:type="paragraph" w:customStyle="1" w:styleId="368">
    <w:name w:val="篇名"/>
    <w:next w:val="201"/>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69">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0">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1">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2">
    <w:name w:val="WPSOffice手动目录 1"/>
    <w:qFormat/>
    <w:uiPriority w:val="0"/>
    <w:rPr>
      <w:rFonts w:ascii="Times New Roman" w:hAnsi="Times New Roman" w:eastAsia="宋体" w:cs="Times New Roman"/>
      <w:lang w:val="en-US" w:eastAsia="zh-CN" w:bidi="ar-SA"/>
    </w:rPr>
  </w:style>
  <w:style w:type="paragraph" w:customStyle="1" w:styleId="373">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4">
    <w:name w:val="参考资料清单+倾斜+蓝色"/>
    <w:basedOn w:val="1"/>
    <w:qFormat/>
    <w:uiPriority w:val="0"/>
    <w:pPr>
      <w:spacing w:line="360" w:lineRule="auto"/>
    </w:pPr>
    <w:rPr>
      <w:rFonts w:ascii="Arial" w:hAnsi="Arial"/>
      <w:i/>
      <w:iCs/>
      <w:color w:val="0000FF"/>
      <w:szCs w:val="21"/>
    </w:rPr>
  </w:style>
  <w:style w:type="paragraph" w:customStyle="1" w:styleId="375">
    <w:name w:val="Normal_8"/>
    <w:qFormat/>
    <w:uiPriority w:val="0"/>
    <w:rPr>
      <w:rFonts w:ascii="Times New Roman" w:hAnsi="Times New Roman" w:eastAsia="Times New Roman" w:cs="Times New Roman"/>
      <w:sz w:val="24"/>
      <w:szCs w:val="24"/>
      <w:lang w:val="en-US" w:eastAsia="zh-CN" w:bidi="ar-SA"/>
    </w:rPr>
  </w:style>
  <w:style w:type="paragraph" w:customStyle="1" w:styleId="376">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77">
    <w:name w:val="Normal_2"/>
    <w:qFormat/>
    <w:uiPriority w:val="0"/>
    <w:rPr>
      <w:rFonts w:ascii="黑体" w:hAnsi="黑体" w:eastAsia="黑体" w:cs="Times New Roman"/>
      <w:b/>
      <w:sz w:val="32"/>
      <w:szCs w:val="24"/>
      <w:lang w:val="en-US" w:eastAsia="zh-CN" w:bidi="ar-SA"/>
    </w:rPr>
  </w:style>
  <w:style w:type="paragraph" w:customStyle="1" w:styleId="378">
    <w:name w:val="Normal_1_2"/>
    <w:qFormat/>
    <w:uiPriority w:val="0"/>
    <w:rPr>
      <w:rFonts w:ascii="Times New Roman" w:hAnsi="Times New Roman" w:eastAsia="Times New Roman" w:cs="Times New Roman"/>
      <w:sz w:val="24"/>
      <w:szCs w:val="24"/>
      <w:lang w:val="en-US" w:eastAsia="zh-CN" w:bidi="ar-SA"/>
    </w:rPr>
  </w:style>
  <w:style w:type="paragraph" w:customStyle="1" w:styleId="379">
    <w:name w:val="默认段落字体 Para Char Char Char Char Char Char Char Char Char1"/>
    <w:basedOn w:val="1"/>
    <w:qFormat/>
    <w:uiPriority w:val="0"/>
    <w:rPr>
      <w:rFonts w:ascii="Tahoma" w:hAnsi="Tahoma"/>
      <w:sz w:val="24"/>
      <w:szCs w:val="20"/>
    </w:rPr>
  </w:style>
  <w:style w:type="paragraph" w:customStyle="1" w:styleId="380">
    <w:name w:val="样式 序号----------- + 仿宋_GB2312"/>
    <w:basedOn w:val="381"/>
    <w:qFormat/>
    <w:uiPriority w:val="0"/>
    <w:pPr>
      <w:spacing w:line="360" w:lineRule="auto"/>
      <w:ind w:firstLine="200"/>
    </w:pPr>
    <w:rPr>
      <w:rFonts w:ascii="仿宋_GB2312" w:eastAsia="仿宋_GB2312"/>
      <w:bCs w:val="0"/>
    </w:rPr>
  </w:style>
  <w:style w:type="paragraph" w:customStyle="1" w:styleId="381">
    <w:name w:val="序号-----------"/>
    <w:basedOn w:val="1"/>
    <w:qFormat/>
    <w:uiPriority w:val="0"/>
    <w:pPr>
      <w:widowControl/>
      <w:jc w:val="left"/>
    </w:pPr>
    <w:rPr>
      <w:rFonts w:ascii="宋体"/>
      <w:bCs/>
      <w:szCs w:val="21"/>
    </w:rPr>
  </w:style>
  <w:style w:type="paragraph" w:customStyle="1" w:styleId="382">
    <w:name w:val="pa-8"/>
    <w:basedOn w:val="1"/>
    <w:qFormat/>
    <w:uiPriority w:val="0"/>
    <w:pPr>
      <w:widowControl/>
      <w:spacing w:line="280" w:lineRule="atLeast"/>
      <w:ind w:firstLine="480"/>
    </w:pPr>
    <w:rPr>
      <w:rFonts w:ascii="宋体" w:cs="宋体"/>
      <w:sz w:val="24"/>
    </w:rPr>
  </w:style>
  <w:style w:type="paragraph" w:customStyle="1" w:styleId="383">
    <w:name w:val="Indent Normal"/>
    <w:basedOn w:val="1"/>
    <w:qFormat/>
    <w:uiPriority w:val="0"/>
    <w:pPr>
      <w:ind w:firstLine="150"/>
    </w:pPr>
    <w:rPr>
      <w:sz w:val="24"/>
      <w:szCs w:val="20"/>
    </w:rPr>
  </w:style>
  <w:style w:type="paragraph" w:customStyle="1" w:styleId="384">
    <w:name w:val="Normal_3"/>
    <w:qFormat/>
    <w:uiPriority w:val="0"/>
    <w:rPr>
      <w:rFonts w:ascii="黑体" w:hAnsi="黑体" w:eastAsia="黑体" w:cs="Times New Roman"/>
      <w:b/>
      <w:sz w:val="32"/>
      <w:szCs w:val="24"/>
      <w:lang w:val="en-US" w:eastAsia="zh-CN" w:bidi="ar-SA"/>
    </w:rPr>
  </w:style>
  <w:style w:type="paragraph" w:customStyle="1" w:styleId="385">
    <w:name w:val="寄信人地址1"/>
    <w:basedOn w:val="354"/>
    <w:qFormat/>
    <w:uiPriority w:val="99"/>
    <w:rPr>
      <w:rFonts w:ascii="Arial" w:hAnsi="Arial" w:cs="Arial"/>
    </w:rPr>
  </w:style>
  <w:style w:type="paragraph" w:customStyle="1" w:styleId="386">
    <w:name w:val="标题2"/>
    <w:basedOn w:val="1"/>
    <w:qFormat/>
    <w:uiPriority w:val="0"/>
    <w:pPr>
      <w:tabs>
        <w:tab w:val="left" w:pos="0"/>
      </w:tabs>
    </w:pPr>
    <w:rPr>
      <w:rFonts w:ascii="黑体" w:eastAsia="黑体"/>
      <w:sz w:val="24"/>
    </w:rPr>
  </w:style>
  <w:style w:type="paragraph" w:customStyle="1" w:styleId="387">
    <w:name w:val="Normal_10"/>
    <w:qFormat/>
    <w:uiPriority w:val="0"/>
    <w:rPr>
      <w:rFonts w:ascii="黑体" w:hAnsi="黑体" w:eastAsia="黑体" w:cs="Times New Roman"/>
      <w:b/>
      <w:sz w:val="32"/>
      <w:szCs w:val="24"/>
      <w:lang w:val="en-US" w:eastAsia="zh-CN" w:bidi="ar-SA"/>
    </w:rPr>
  </w:style>
  <w:style w:type="paragraph" w:customStyle="1" w:styleId="388">
    <w:name w:val="样式3"/>
    <w:basedOn w:val="203"/>
    <w:qFormat/>
    <w:uiPriority w:val="0"/>
    <w:pPr>
      <w:spacing w:line="415" w:lineRule="auto"/>
    </w:pPr>
    <w:rPr>
      <w:rFonts w:ascii="Calibri" w:hAnsi="Calibri"/>
      <w:bCs/>
      <w:color w:val="000000"/>
      <w:sz w:val="28"/>
      <w:szCs w:val="28"/>
    </w:rPr>
  </w:style>
  <w:style w:type="paragraph" w:customStyle="1" w:styleId="389">
    <w:name w:val="样式6"/>
    <w:basedOn w:val="41"/>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90">
    <w:name w:val="Char1 Char Char Char"/>
    <w:basedOn w:val="1"/>
    <w:qFormat/>
    <w:uiPriority w:val="0"/>
    <w:rPr>
      <w:szCs w:val="20"/>
    </w:rPr>
  </w:style>
  <w:style w:type="paragraph" w:customStyle="1" w:styleId="391">
    <w:name w:val="纯文本2"/>
    <w:basedOn w:val="1"/>
    <w:qFormat/>
    <w:uiPriority w:val="0"/>
    <w:rPr>
      <w:rFonts w:ascii="宋体" w:hAnsi="Courier New" w:eastAsia="楷体_GB2312"/>
      <w:sz w:val="26"/>
      <w:szCs w:val="20"/>
    </w:rPr>
  </w:style>
  <w:style w:type="paragraph" w:customStyle="1" w:styleId="392">
    <w:name w:val="Normal_4_0"/>
    <w:qFormat/>
    <w:uiPriority w:val="0"/>
    <w:rPr>
      <w:rFonts w:ascii="黑体" w:hAnsi="黑体" w:eastAsia="黑体" w:cs="Times New Roman"/>
      <w:b/>
      <w:sz w:val="32"/>
      <w:szCs w:val="24"/>
      <w:lang w:val="en-US" w:eastAsia="zh-CN" w:bidi="ar-SA"/>
    </w:rPr>
  </w:style>
  <w:style w:type="paragraph" w:customStyle="1" w:styleId="393">
    <w:name w:val="三级条标题"/>
    <w:basedOn w:val="394"/>
    <w:next w:val="396"/>
    <w:qFormat/>
    <w:uiPriority w:val="0"/>
    <w:pPr>
      <w:ind w:left="1050"/>
      <w:outlineLvl w:val="4"/>
    </w:pPr>
  </w:style>
  <w:style w:type="paragraph" w:customStyle="1" w:styleId="394">
    <w:name w:val="二级条标题"/>
    <w:basedOn w:val="395"/>
    <w:next w:val="396"/>
    <w:qFormat/>
    <w:uiPriority w:val="0"/>
    <w:pPr>
      <w:ind w:left="360"/>
      <w:outlineLvl w:val="3"/>
    </w:pPr>
  </w:style>
  <w:style w:type="paragraph" w:customStyle="1" w:styleId="395">
    <w:name w:val="一级条标题"/>
    <w:next w:val="396"/>
    <w:qFormat/>
    <w:uiPriority w:val="0"/>
    <w:pPr>
      <w:outlineLvl w:val="2"/>
    </w:pPr>
    <w:rPr>
      <w:rFonts w:ascii="Times New Roman" w:hAnsi="Times New Roman" w:eastAsia="黑体" w:cs="Times New Roman"/>
      <w:sz w:val="21"/>
      <w:lang w:val="en-US" w:eastAsia="zh-CN" w:bidi="ar-SA"/>
    </w:rPr>
  </w:style>
  <w:style w:type="paragraph" w:customStyle="1" w:styleId="396">
    <w:name w:val="段"/>
    <w:qFormat/>
    <w:uiPriority w:val="0"/>
    <w:pPr>
      <w:ind w:firstLine="200"/>
      <w:jc w:val="both"/>
    </w:pPr>
    <w:rPr>
      <w:rFonts w:ascii="宋体" w:hAnsi="Times New Roman" w:eastAsia="宋体" w:cs="Times New Roman"/>
      <w:sz w:val="21"/>
      <w:lang w:val="en-US" w:eastAsia="zh-CN" w:bidi="ar-SA"/>
    </w:rPr>
  </w:style>
  <w:style w:type="paragraph" w:customStyle="1" w:styleId="397">
    <w:name w:val="Normal_5_0"/>
    <w:qFormat/>
    <w:uiPriority w:val="0"/>
    <w:rPr>
      <w:rFonts w:ascii="黑体" w:hAnsi="黑体" w:eastAsia="黑体" w:cs="Times New Roman"/>
      <w:b/>
      <w:sz w:val="32"/>
      <w:szCs w:val="24"/>
      <w:lang w:val="en-US" w:eastAsia="zh-CN" w:bidi="ar-SA"/>
    </w:rPr>
  </w:style>
  <w:style w:type="paragraph" w:customStyle="1" w:styleId="398">
    <w:name w:val="Normal_14_0"/>
    <w:qFormat/>
    <w:uiPriority w:val="0"/>
    <w:rPr>
      <w:rFonts w:ascii="黑体" w:hAnsi="黑体" w:eastAsia="黑体" w:cs="Times New Roman"/>
      <w:b/>
      <w:sz w:val="32"/>
      <w:szCs w:val="24"/>
      <w:lang w:val="en-US" w:eastAsia="zh-CN" w:bidi="ar-SA"/>
    </w:rPr>
  </w:style>
  <w:style w:type="paragraph" w:customStyle="1" w:styleId="399">
    <w:name w:val="技术方案2"/>
    <w:basedOn w:val="1"/>
    <w:qFormat/>
    <w:uiPriority w:val="0"/>
    <w:pPr>
      <w:spacing w:line="480" w:lineRule="auto"/>
    </w:pPr>
    <w:rPr>
      <w:rFonts w:ascii="宋体"/>
      <w:b/>
      <w:bCs/>
      <w:sz w:val="36"/>
    </w:rPr>
  </w:style>
  <w:style w:type="paragraph" w:customStyle="1" w:styleId="400">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401">
    <w:name w:val="Normal_0_0"/>
    <w:qFormat/>
    <w:uiPriority w:val="0"/>
    <w:rPr>
      <w:rFonts w:ascii="黑体" w:hAnsi="黑体" w:eastAsia="黑体" w:cs="Times New Roman"/>
      <w:b/>
      <w:sz w:val="40"/>
      <w:szCs w:val="24"/>
      <w:lang w:val="en-US" w:eastAsia="zh-CN" w:bidi="ar-SA"/>
    </w:rPr>
  </w:style>
  <w:style w:type="paragraph" w:customStyle="1" w:styleId="402">
    <w:name w:val="表格标题"/>
    <w:basedOn w:val="1"/>
    <w:qFormat/>
    <w:uiPriority w:val="0"/>
    <w:pPr>
      <w:jc w:val="center"/>
    </w:pPr>
    <w:rPr>
      <w:b/>
    </w:rPr>
  </w:style>
  <w:style w:type="paragraph" w:customStyle="1" w:styleId="403">
    <w:name w:val="表中文字"/>
    <w:basedOn w:val="1"/>
    <w:qFormat/>
    <w:uiPriority w:val="0"/>
    <w:pPr>
      <w:widowControl/>
    </w:pPr>
    <w:rPr>
      <w:rFonts w:ascii="Calibri" w:hAnsi="Calibri"/>
      <w:szCs w:val="20"/>
    </w:rPr>
  </w:style>
  <w:style w:type="paragraph" w:customStyle="1" w:styleId="404">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05">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06">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07">
    <w:name w:val="Normal_9"/>
    <w:qFormat/>
    <w:uiPriority w:val="0"/>
    <w:rPr>
      <w:rFonts w:ascii="黑体" w:hAnsi="黑体" w:eastAsia="黑体" w:cs="Times New Roman"/>
      <w:b/>
      <w:sz w:val="32"/>
      <w:szCs w:val="24"/>
      <w:lang w:val="en-US" w:eastAsia="zh-CN" w:bidi="ar-SA"/>
    </w:rPr>
  </w:style>
  <w:style w:type="paragraph" w:customStyle="1" w:styleId="408">
    <w:name w:val="表格正文"/>
    <w:basedOn w:val="1"/>
    <w:qFormat/>
    <w:uiPriority w:val="0"/>
    <w:pPr>
      <w:tabs>
        <w:tab w:val="left" w:pos="420"/>
      </w:tabs>
      <w:spacing w:line="300" w:lineRule="auto"/>
    </w:pPr>
  </w:style>
  <w:style w:type="paragraph" w:customStyle="1" w:styleId="409">
    <w:name w:val="目录 1_0"/>
    <w:basedOn w:val="295"/>
    <w:next w:val="295"/>
    <w:qFormat/>
    <w:uiPriority w:val="0"/>
    <w:pPr>
      <w:jc w:val="left"/>
    </w:pPr>
    <w:rPr>
      <w:rFonts w:hint="eastAsia" w:ascii="宋体" w:hAnsi="宋体"/>
      <w:b/>
      <w:sz w:val="24"/>
    </w:rPr>
  </w:style>
  <w:style w:type="paragraph" w:customStyle="1" w:styleId="410">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1">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2">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3">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14">
    <w:name w:val="标书2"/>
    <w:next w:val="415"/>
    <w:qFormat/>
    <w:uiPriority w:val="0"/>
    <w:rPr>
      <w:rFonts w:ascii="Times New Roman" w:hAnsi="Times New Roman" w:eastAsia="黑体" w:cs="宋体"/>
      <w:b/>
      <w:sz w:val="44"/>
      <w:lang w:val="en-US" w:eastAsia="zh-CN" w:bidi="ar-SA"/>
    </w:rPr>
  </w:style>
  <w:style w:type="paragraph" w:customStyle="1" w:styleId="415">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paragraph" w:customStyle="1" w:styleId="416">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7">
    <w:name w:val="p0"/>
    <w:basedOn w:val="1"/>
    <w:qFormat/>
    <w:uiPriority w:val="0"/>
    <w:pPr>
      <w:widowControl/>
    </w:pPr>
    <w:rPr>
      <w:szCs w:val="21"/>
    </w:rPr>
  </w:style>
  <w:style w:type="paragraph" w:customStyle="1" w:styleId="418">
    <w:name w:val="ibm-list-next"/>
    <w:basedOn w:val="1"/>
    <w:qFormat/>
    <w:uiPriority w:val="0"/>
    <w:pPr>
      <w:widowControl/>
      <w:spacing w:before="100" w:beforeAutospacing="1" w:after="100" w:afterAutospacing="1"/>
      <w:jc w:val="left"/>
    </w:pPr>
    <w:rPr>
      <w:rFonts w:ascii="宋体" w:cs="宋体"/>
      <w:sz w:val="24"/>
    </w:rPr>
  </w:style>
  <w:style w:type="paragraph" w:customStyle="1" w:styleId="419">
    <w:name w:val="WPSOffice手动目录 2"/>
    <w:qFormat/>
    <w:uiPriority w:val="0"/>
    <w:rPr>
      <w:rFonts w:ascii="Times New Roman" w:hAnsi="Times New Roman" w:eastAsia="宋体" w:cs="Times New Roman"/>
      <w:lang w:val="en-US" w:eastAsia="zh-CN" w:bidi="ar-SA"/>
    </w:rPr>
  </w:style>
  <w:style w:type="paragraph" w:customStyle="1" w:styleId="420">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21">
    <w:name w:val="pa-9"/>
    <w:basedOn w:val="1"/>
    <w:qFormat/>
    <w:uiPriority w:val="0"/>
    <w:pPr>
      <w:widowControl/>
      <w:spacing w:line="360" w:lineRule="atLeast"/>
      <w:jc w:val="center"/>
    </w:pPr>
    <w:rPr>
      <w:rFonts w:ascii="宋体" w:cs="宋体"/>
      <w:sz w:val="24"/>
    </w:rPr>
  </w:style>
  <w:style w:type="paragraph" w:customStyle="1" w:styleId="422">
    <w:name w:val="表格文字"/>
    <w:basedOn w:val="1"/>
    <w:qFormat/>
    <w:uiPriority w:val="0"/>
    <w:pPr>
      <w:jc w:val="left"/>
    </w:pPr>
    <w:rPr>
      <w:sz w:val="18"/>
    </w:rPr>
  </w:style>
  <w:style w:type="paragraph" w:customStyle="1" w:styleId="423">
    <w:name w:val="Figure and Table Title"/>
    <w:basedOn w:val="1"/>
    <w:qFormat/>
    <w:uiPriority w:val="0"/>
    <w:pPr>
      <w:widowControl/>
      <w:ind w:left="2160"/>
      <w:jc w:val="left"/>
    </w:pPr>
    <w:rPr>
      <w:rFonts w:ascii="Helvetica-Light" w:hAnsi="Helvetica-Light"/>
      <w:b/>
      <w:bCs/>
      <w:sz w:val="20"/>
      <w:lang w:eastAsia="en-US"/>
    </w:rPr>
  </w:style>
  <w:style w:type="paragraph" w:customStyle="1" w:styleId="424">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5">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6">
    <w:name w:val="首页小标题"/>
    <w:next w:val="427"/>
    <w:qFormat/>
    <w:uiPriority w:val="0"/>
    <w:pPr>
      <w:jc w:val="center"/>
    </w:pPr>
    <w:rPr>
      <w:rFonts w:ascii="Times New Roman" w:hAnsi="Times New Roman" w:eastAsia="宋体" w:cs="宋体"/>
      <w:sz w:val="44"/>
      <w:lang w:val="en-US" w:eastAsia="zh-CN" w:bidi="ar-SA"/>
    </w:rPr>
  </w:style>
  <w:style w:type="paragraph" w:customStyle="1" w:styleId="427">
    <w:name w:val="首页空格"/>
    <w:qFormat/>
    <w:uiPriority w:val="0"/>
    <w:pPr>
      <w:jc w:val="center"/>
    </w:pPr>
    <w:rPr>
      <w:rFonts w:ascii="Times New Roman" w:hAnsi="Times New Roman" w:eastAsia="宋体" w:cs="宋体"/>
      <w:sz w:val="72"/>
      <w:lang w:val="en-US" w:eastAsia="zh-CN" w:bidi="ar-SA"/>
    </w:rPr>
  </w:style>
  <w:style w:type="paragraph" w:customStyle="1" w:styleId="428">
    <w:name w:val="纯文本1"/>
    <w:basedOn w:val="1"/>
    <w:qFormat/>
    <w:uiPriority w:val="0"/>
    <w:rPr>
      <w:rFonts w:ascii="宋体" w:hAnsi="Courier New" w:eastAsia="楷体_GB2312"/>
      <w:sz w:val="26"/>
      <w:szCs w:val="20"/>
    </w:rPr>
  </w:style>
  <w:style w:type="paragraph" w:customStyle="1" w:styleId="429">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30">
    <w:name w:val="表头"/>
    <w:basedOn w:val="431"/>
    <w:qFormat/>
    <w:uiPriority w:val="0"/>
    <w:pPr>
      <w:spacing w:line="240" w:lineRule="auto"/>
      <w:ind w:left="0" w:firstLine="0"/>
    </w:pPr>
    <w:rPr>
      <w:sz w:val="20"/>
    </w:rPr>
  </w:style>
  <w:style w:type="paragraph" w:customStyle="1" w:styleId="431">
    <w:name w:val="正文1"/>
    <w:basedOn w:val="1"/>
    <w:qFormat/>
    <w:uiPriority w:val="0"/>
    <w:pPr>
      <w:widowControl/>
      <w:spacing w:line="360" w:lineRule="auto"/>
      <w:ind w:left="357" w:firstLine="420"/>
      <w:jc w:val="left"/>
    </w:pPr>
    <w:rPr>
      <w:rFonts w:cs="Arial"/>
      <w:szCs w:val="20"/>
    </w:rPr>
  </w:style>
  <w:style w:type="paragraph" w:customStyle="1" w:styleId="432">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3">
    <w:name w:val="表格序号"/>
    <w:qFormat/>
    <w:uiPriority w:val="0"/>
    <w:rPr>
      <w:rFonts w:ascii="Times New Roman" w:hAnsi="Times New Roman" w:eastAsia="仿宋_GB2312" w:cs="宋体"/>
      <w:sz w:val="21"/>
      <w:lang w:val="en-US" w:eastAsia="zh-CN" w:bidi="ar-SA"/>
    </w:rPr>
  </w:style>
  <w:style w:type="paragraph" w:customStyle="1" w:styleId="434">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5">
    <w:name w:val="Normal_15"/>
    <w:qFormat/>
    <w:uiPriority w:val="0"/>
    <w:rPr>
      <w:rFonts w:ascii="黑体" w:hAnsi="黑体" w:eastAsia="黑体" w:cs="Times New Roman"/>
      <w:b/>
      <w:sz w:val="32"/>
      <w:szCs w:val="24"/>
      <w:lang w:val="en-US" w:eastAsia="zh-CN" w:bidi="ar-SA"/>
    </w:rPr>
  </w:style>
  <w:style w:type="paragraph" w:styleId="436">
    <w:name w:val="List Paragraph"/>
    <w:basedOn w:val="1"/>
    <w:link w:val="651"/>
    <w:qFormat/>
    <w:uiPriority w:val="34"/>
    <w:pPr>
      <w:ind w:firstLine="200"/>
    </w:pPr>
    <w:rPr>
      <w:rFonts w:ascii="Calibri" w:hAnsi="Calibri"/>
    </w:rPr>
  </w:style>
  <w:style w:type="paragraph" w:customStyle="1" w:styleId="437">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8">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39">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0">
    <w:name w:val="技术方案3"/>
    <w:basedOn w:val="1"/>
    <w:qFormat/>
    <w:uiPriority w:val="0"/>
    <w:pPr>
      <w:spacing w:line="360" w:lineRule="auto"/>
    </w:pPr>
    <w:rPr>
      <w:rFonts w:ascii="宋体"/>
      <w:b/>
      <w:bCs/>
      <w:sz w:val="32"/>
    </w:rPr>
  </w:style>
  <w:style w:type="paragraph" w:customStyle="1" w:styleId="441">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42">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3">
    <w:name w:val="pa-10"/>
    <w:basedOn w:val="1"/>
    <w:qFormat/>
    <w:uiPriority w:val="0"/>
    <w:pPr>
      <w:widowControl/>
      <w:spacing w:line="240" w:lineRule="atLeast"/>
    </w:pPr>
    <w:rPr>
      <w:rFonts w:ascii="宋体" w:cs="宋体"/>
      <w:sz w:val="24"/>
    </w:rPr>
  </w:style>
  <w:style w:type="paragraph" w:customStyle="1" w:styleId="444">
    <w:name w:val="pa-5"/>
    <w:basedOn w:val="1"/>
    <w:qFormat/>
    <w:uiPriority w:val="0"/>
    <w:pPr>
      <w:widowControl/>
      <w:spacing w:line="280" w:lineRule="atLeast"/>
    </w:pPr>
    <w:rPr>
      <w:rFonts w:ascii="宋体" w:cs="宋体"/>
      <w:sz w:val="24"/>
    </w:rPr>
  </w:style>
  <w:style w:type="paragraph" w:customStyle="1" w:styleId="445">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46">
    <w:name w:val="新段落缩进"/>
    <w:basedOn w:val="1"/>
    <w:qFormat/>
    <w:uiPriority w:val="0"/>
    <w:pPr>
      <w:spacing w:line="400" w:lineRule="exact"/>
      <w:ind w:firstLine="200"/>
    </w:pPr>
    <w:rPr>
      <w:rFonts w:ascii="仿宋_GB2312" w:eastAsia="仿宋_GB2312"/>
      <w:sz w:val="24"/>
    </w:rPr>
  </w:style>
  <w:style w:type="paragraph" w:customStyle="1" w:styleId="447">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8">
    <w:name w:val="pa-2"/>
    <w:basedOn w:val="1"/>
    <w:qFormat/>
    <w:uiPriority w:val="0"/>
    <w:pPr>
      <w:widowControl/>
      <w:spacing w:line="360" w:lineRule="atLeast"/>
    </w:pPr>
    <w:rPr>
      <w:rFonts w:ascii="宋体" w:cs="宋体"/>
      <w:sz w:val="24"/>
    </w:rPr>
  </w:style>
  <w:style w:type="paragraph" w:customStyle="1" w:styleId="449">
    <w:name w:val="列出段落1"/>
    <w:basedOn w:val="1"/>
    <w:qFormat/>
    <w:uiPriority w:val="99"/>
    <w:pPr>
      <w:ind w:firstLine="200"/>
    </w:pPr>
    <w:rPr>
      <w:rFonts w:ascii="Calibri" w:hAnsi="Calibri"/>
    </w:rPr>
  </w:style>
  <w:style w:type="paragraph" w:customStyle="1" w:styleId="450">
    <w:name w:val="说明书2级标题"/>
    <w:basedOn w:val="1"/>
    <w:next w:val="451"/>
    <w:qFormat/>
    <w:uiPriority w:val="0"/>
    <w:pPr>
      <w:numPr>
        <w:ilvl w:val="2"/>
        <w:numId w:val="1"/>
      </w:numPr>
      <w:spacing w:before="100"/>
    </w:pPr>
    <w:rPr>
      <w:rFonts w:ascii="Calibri" w:hAnsi="Calibri" w:eastAsia="黑体"/>
      <w:sz w:val="28"/>
      <w:szCs w:val="28"/>
    </w:rPr>
  </w:style>
  <w:style w:type="paragraph" w:customStyle="1" w:styleId="451">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52">
    <w:name w:val="Char Char1 Char Char Char Char Char Char Char Char"/>
    <w:basedOn w:val="1"/>
    <w:qFormat/>
    <w:uiPriority w:val="0"/>
    <w:pPr>
      <w:widowControl/>
      <w:spacing w:after="160" w:line="240" w:lineRule="exact"/>
      <w:jc w:val="left"/>
    </w:pPr>
  </w:style>
  <w:style w:type="paragraph" w:customStyle="1" w:styleId="453">
    <w:name w:val="Normal_11_0"/>
    <w:qFormat/>
    <w:uiPriority w:val="0"/>
    <w:rPr>
      <w:rFonts w:ascii="黑体" w:hAnsi="黑体" w:eastAsia="黑体" w:cs="Times New Roman"/>
      <w:b/>
      <w:sz w:val="32"/>
      <w:szCs w:val="24"/>
      <w:lang w:val="en-US" w:eastAsia="zh-CN" w:bidi="ar-SA"/>
    </w:rPr>
  </w:style>
  <w:style w:type="paragraph" w:customStyle="1" w:styleId="454">
    <w:name w:val="首页标题小初"/>
    <w:qFormat/>
    <w:uiPriority w:val="0"/>
    <w:pPr>
      <w:jc w:val="center"/>
    </w:pPr>
    <w:rPr>
      <w:rFonts w:ascii="黑体" w:hAnsi="Times New Roman" w:eastAsia="黑体" w:cs="宋体"/>
      <w:sz w:val="72"/>
      <w:lang w:val="en-US" w:eastAsia="zh-CN" w:bidi="ar-SA"/>
    </w:rPr>
  </w:style>
  <w:style w:type="paragraph" w:customStyle="1" w:styleId="45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6">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58">
    <w:name w:val="附图标题"/>
    <w:basedOn w:val="221"/>
    <w:next w:val="220"/>
    <w:qFormat/>
    <w:uiPriority w:val="0"/>
    <w:pPr>
      <w:tabs>
        <w:tab w:val="left" w:pos="780"/>
      </w:tabs>
      <w:spacing w:after="100"/>
      <w:ind w:left="780" w:hanging="480"/>
      <w:jc w:val="center"/>
    </w:pPr>
    <w:rPr>
      <w:b/>
      <w:sz w:val="21"/>
    </w:rPr>
  </w:style>
  <w:style w:type="paragraph" w:customStyle="1" w:styleId="459">
    <w:name w:val="Normal_7"/>
    <w:qFormat/>
    <w:uiPriority w:val="0"/>
    <w:rPr>
      <w:rFonts w:ascii="黑体" w:hAnsi="黑体" w:eastAsia="黑体" w:cs="Times New Roman"/>
      <w:b/>
      <w:sz w:val="32"/>
      <w:szCs w:val="24"/>
      <w:lang w:val="en-US" w:eastAsia="zh-CN" w:bidi="ar-SA"/>
    </w:rPr>
  </w:style>
  <w:style w:type="paragraph" w:customStyle="1" w:styleId="460">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1">
    <w:name w:val="五级条标题"/>
    <w:basedOn w:val="462"/>
    <w:next w:val="396"/>
    <w:qFormat/>
    <w:uiPriority w:val="0"/>
    <w:pPr>
      <w:outlineLvl w:val="6"/>
    </w:pPr>
  </w:style>
  <w:style w:type="paragraph" w:customStyle="1" w:styleId="462">
    <w:name w:val="四级条标题"/>
    <w:basedOn w:val="393"/>
    <w:next w:val="396"/>
    <w:qFormat/>
    <w:uiPriority w:val="0"/>
    <w:pPr>
      <w:ind w:left="0"/>
      <w:outlineLvl w:val="5"/>
    </w:pPr>
  </w:style>
  <w:style w:type="paragraph" w:customStyle="1" w:styleId="463">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4">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5">
    <w:name w:val="标准小四"/>
    <w:basedOn w:val="1"/>
    <w:qFormat/>
    <w:uiPriority w:val="0"/>
    <w:pPr>
      <w:spacing w:line="360" w:lineRule="auto"/>
      <w:ind w:firstLine="200"/>
    </w:pPr>
    <w:rPr>
      <w:rFonts w:ascii="Arial" w:hAnsi="Arial"/>
      <w:sz w:val="24"/>
      <w:szCs w:val="21"/>
    </w:rPr>
  </w:style>
  <w:style w:type="paragraph" w:customStyle="1" w:styleId="466">
    <w:name w:val="图表目录1"/>
    <w:qFormat/>
    <w:uiPriority w:val="0"/>
    <w:pPr>
      <w:ind w:left="840" w:hanging="420"/>
    </w:pPr>
    <w:rPr>
      <w:rFonts w:ascii="Times New Roman" w:hAnsi="Times New Roman" w:eastAsia="宋体" w:cs="宋体"/>
      <w:sz w:val="21"/>
      <w:lang w:val="en-US" w:eastAsia="zh-CN" w:bidi="ar-SA"/>
    </w:rPr>
  </w:style>
  <w:style w:type="paragraph" w:customStyle="1" w:styleId="467">
    <w:name w:val="Normal_18_0"/>
    <w:qFormat/>
    <w:uiPriority w:val="0"/>
    <w:rPr>
      <w:rFonts w:ascii="黑体" w:hAnsi="黑体" w:eastAsia="黑体" w:cs="Times New Roman"/>
      <w:b/>
      <w:sz w:val="32"/>
      <w:szCs w:val="24"/>
      <w:lang w:val="en-US" w:eastAsia="zh-CN" w:bidi="ar-SA"/>
    </w:rPr>
  </w:style>
  <w:style w:type="paragraph" w:customStyle="1" w:styleId="468">
    <w:name w:val="a0"/>
    <w:basedOn w:val="1"/>
    <w:qFormat/>
    <w:uiPriority w:val="0"/>
    <w:pPr>
      <w:widowControl/>
      <w:spacing w:before="100" w:beforeAutospacing="1" w:after="100" w:afterAutospacing="1"/>
      <w:jc w:val="left"/>
    </w:pPr>
    <w:rPr>
      <w:rFonts w:ascii="宋体"/>
      <w:sz w:val="24"/>
    </w:rPr>
  </w:style>
  <w:style w:type="paragraph" w:customStyle="1" w:styleId="469">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70">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71">
    <w:name w:val="加点正文缩进"/>
    <w:basedOn w:val="1"/>
    <w:qFormat/>
    <w:uiPriority w:val="0"/>
    <w:pPr>
      <w:tabs>
        <w:tab w:val="left" w:pos="840"/>
      </w:tabs>
      <w:spacing w:line="300" w:lineRule="auto"/>
      <w:ind w:left="962" w:hanging="480"/>
    </w:pPr>
    <w:rPr>
      <w:sz w:val="24"/>
    </w:rPr>
  </w:style>
  <w:style w:type="paragraph" w:customStyle="1" w:styleId="472">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3">
    <w:name w:val="Normal_1_1"/>
    <w:qFormat/>
    <w:uiPriority w:val="0"/>
    <w:rPr>
      <w:rFonts w:ascii="黑体" w:hAnsi="黑体" w:eastAsia="黑体" w:cs="Times New Roman"/>
      <w:b/>
      <w:sz w:val="32"/>
      <w:szCs w:val="24"/>
      <w:lang w:val="en-US" w:eastAsia="zh-CN" w:bidi="ar-SA"/>
    </w:rPr>
  </w:style>
  <w:style w:type="paragraph" w:customStyle="1" w:styleId="474">
    <w:name w:val="技术方案正文样式"/>
    <w:basedOn w:val="1"/>
    <w:qFormat/>
    <w:uiPriority w:val="0"/>
    <w:pPr>
      <w:spacing w:line="400" w:lineRule="exact"/>
      <w:ind w:firstLine="200"/>
    </w:pPr>
    <w:rPr>
      <w:rFonts w:ascii="宋体" w:cs="宋体"/>
      <w:sz w:val="24"/>
      <w:szCs w:val="21"/>
    </w:rPr>
  </w:style>
  <w:style w:type="paragraph" w:customStyle="1" w:styleId="475">
    <w:name w:val="首页标题 一号"/>
    <w:basedOn w:val="454"/>
    <w:qFormat/>
    <w:uiPriority w:val="0"/>
    <w:rPr>
      <w:sz w:val="52"/>
    </w:rPr>
  </w:style>
  <w:style w:type="paragraph" w:customStyle="1" w:styleId="476">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77">
    <w:name w:val="Table Text/Title"/>
    <w:basedOn w:val="1"/>
    <w:qFormat/>
    <w:uiPriority w:val="0"/>
    <w:pPr>
      <w:widowControl/>
      <w:jc w:val="left"/>
    </w:pPr>
    <w:rPr>
      <w:rFonts w:ascii="宋体"/>
      <w:b/>
      <w:bCs/>
      <w:sz w:val="20"/>
      <w:szCs w:val="20"/>
      <w:lang w:eastAsia="en-US"/>
    </w:rPr>
  </w:style>
  <w:style w:type="paragraph" w:customStyle="1" w:styleId="478">
    <w:name w:val="样式 序号----------- + 仿宋_GB23121"/>
    <w:basedOn w:val="381"/>
    <w:qFormat/>
    <w:uiPriority w:val="0"/>
    <w:pPr>
      <w:spacing w:line="360" w:lineRule="auto"/>
    </w:pPr>
    <w:rPr>
      <w:rFonts w:ascii="仿宋_GB2312" w:eastAsia="仿宋_GB2312"/>
      <w:bCs w:val="0"/>
    </w:rPr>
  </w:style>
  <w:style w:type="paragraph" w:customStyle="1" w:styleId="479">
    <w:name w:val="Char Char Char Char1"/>
    <w:basedOn w:val="1"/>
    <w:qFormat/>
    <w:uiPriority w:val="0"/>
    <w:pPr>
      <w:spacing w:line="360" w:lineRule="auto"/>
      <w:ind w:firstLine="200"/>
    </w:pPr>
    <w:rPr>
      <w:sz w:val="24"/>
      <w:szCs w:val="20"/>
    </w:rPr>
  </w:style>
  <w:style w:type="paragraph" w:customStyle="1" w:styleId="480">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1">
    <w:name w:val="Char1"/>
    <w:basedOn w:val="1"/>
    <w:qFormat/>
    <w:uiPriority w:val="0"/>
    <w:pPr>
      <w:tabs>
        <w:tab w:val="left" w:pos="360"/>
      </w:tabs>
      <w:spacing w:line="480" w:lineRule="auto"/>
      <w:ind w:left="360" w:right="202" w:firstLine="360"/>
    </w:pPr>
    <w:rPr>
      <w:sz w:val="24"/>
    </w:rPr>
  </w:style>
  <w:style w:type="paragraph" w:customStyle="1" w:styleId="482">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3">
    <w:name w:val="章标题"/>
    <w:next w:val="396"/>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84">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5">
    <w:name w:val="Normal_0_1"/>
    <w:qFormat/>
    <w:uiPriority w:val="0"/>
    <w:rPr>
      <w:rFonts w:ascii="黑体" w:hAnsi="黑体" w:eastAsia="黑体" w:cs="Times New Roman"/>
      <w:b/>
      <w:sz w:val="32"/>
      <w:szCs w:val="24"/>
      <w:lang w:val="en-US" w:eastAsia="zh-CN" w:bidi="ar-SA"/>
    </w:rPr>
  </w:style>
  <w:style w:type="paragraph" w:customStyle="1" w:styleId="486">
    <w:name w:val="列表段落1"/>
    <w:basedOn w:val="1"/>
    <w:qFormat/>
    <w:uiPriority w:val="34"/>
    <w:pPr>
      <w:ind w:firstLine="420"/>
    </w:pPr>
  </w:style>
  <w:style w:type="paragraph" w:customStyle="1" w:styleId="487">
    <w:name w:val="默认段落字体 Para Char Char Char Char Char Char Char Char Char1 Char Char Char Char Char Char Char Char"/>
    <w:basedOn w:val="225"/>
    <w:qFormat/>
    <w:uiPriority w:val="0"/>
    <w:rPr>
      <w:rFonts w:ascii="Calibri" w:hAnsi="Calibri"/>
    </w:rPr>
  </w:style>
  <w:style w:type="paragraph" w:customStyle="1" w:styleId="488">
    <w:name w:val="Normal_7_0"/>
    <w:qFormat/>
    <w:uiPriority w:val="0"/>
    <w:rPr>
      <w:rFonts w:ascii="黑体" w:hAnsi="黑体" w:eastAsia="黑体" w:cs="Times New Roman"/>
      <w:b/>
      <w:sz w:val="32"/>
      <w:szCs w:val="24"/>
      <w:lang w:val="en-US" w:eastAsia="zh-CN" w:bidi="ar-SA"/>
    </w:rPr>
  </w:style>
  <w:style w:type="paragraph" w:customStyle="1" w:styleId="489">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0">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91">
    <w:name w:val="Normal_12_0"/>
    <w:qFormat/>
    <w:uiPriority w:val="0"/>
    <w:rPr>
      <w:rFonts w:ascii="黑体" w:hAnsi="黑体" w:eastAsia="黑体" w:cs="Times New Roman"/>
      <w:b/>
      <w:sz w:val="32"/>
      <w:szCs w:val="24"/>
      <w:lang w:val="en-US" w:eastAsia="zh-CN" w:bidi="ar-SA"/>
    </w:rPr>
  </w:style>
  <w:style w:type="paragraph" w:customStyle="1" w:styleId="492">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493">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4">
    <w:name w:val="表格样式居中"/>
    <w:qFormat/>
    <w:uiPriority w:val="0"/>
    <w:pPr>
      <w:jc w:val="center"/>
    </w:pPr>
    <w:rPr>
      <w:rFonts w:ascii="Times New Roman" w:hAnsi="Times New Roman" w:eastAsia="仿宋_GB2312" w:cs="Times New Roman"/>
      <w:bCs/>
      <w:sz w:val="21"/>
      <w:szCs w:val="44"/>
      <w:lang w:val="en-US" w:eastAsia="zh-CN" w:bidi="ar-SA"/>
    </w:rPr>
  </w:style>
  <w:style w:type="paragraph" w:customStyle="1" w:styleId="495">
    <w:name w:val="Normal_18"/>
    <w:qFormat/>
    <w:uiPriority w:val="0"/>
    <w:rPr>
      <w:rFonts w:ascii="黑体" w:hAnsi="黑体" w:eastAsia="黑体" w:cs="Times New Roman"/>
      <w:b/>
      <w:sz w:val="32"/>
      <w:szCs w:val="24"/>
      <w:lang w:val="en-US" w:eastAsia="zh-CN" w:bidi="ar-SA"/>
    </w:rPr>
  </w:style>
  <w:style w:type="paragraph" w:customStyle="1" w:styleId="496">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97">
    <w:name w:val="Normal_0_3"/>
    <w:qFormat/>
    <w:uiPriority w:val="0"/>
    <w:rPr>
      <w:rFonts w:ascii="黑体" w:hAnsi="黑体" w:eastAsia="黑体" w:cs="Times New Roman"/>
      <w:b/>
      <w:sz w:val="32"/>
      <w:szCs w:val="24"/>
      <w:lang w:val="en-US" w:eastAsia="zh-CN" w:bidi="ar-SA"/>
    </w:rPr>
  </w:style>
  <w:style w:type="paragraph" w:customStyle="1" w:styleId="498">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9">
    <w:name w:val="修订1"/>
    <w:qFormat/>
    <w:uiPriority w:val="0"/>
    <w:rPr>
      <w:rFonts w:ascii="Times New Roman" w:hAnsi="Times New Roman" w:eastAsia="宋体" w:cs="Times New Roman"/>
      <w:sz w:val="21"/>
      <w:szCs w:val="24"/>
      <w:lang w:val="en-US" w:eastAsia="zh-CN" w:bidi="ar-SA"/>
    </w:rPr>
  </w:style>
  <w:style w:type="paragraph" w:customStyle="1" w:styleId="500">
    <w:name w:val="Char11"/>
    <w:basedOn w:val="1"/>
    <w:qFormat/>
    <w:uiPriority w:val="0"/>
    <w:rPr>
      <w:szCs w:val="21"/>
    </w:rPr>
  </w:style>
  <w:style w:type="paragraph" w:customStyle="1" w:styleId="501">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502">
    <w:name w:val="Normal_12"/>
    <w:qFormat/>
    <w:uiPriority w:val="0"/>
    <w:rPr>
      <w:rFonts w:ascii="黑体" w:hAnsi="黑体" w:eastAsia="黑体" w:cs="Times New Roman"/>
      <w:b/>
      <w:sz w:val="32"/>
      <w:szCs w:val="24"/>
      <w:lang w:val="en-US" w:eastAsia="zh-CN" w:bidi="ar-SA"/>
    </w:rPr>
  </w:style>
  <w:style w:type="paragraph" w:customStyle="1" w:styleId="503">
    <w:name w:val="Normal_8_0"/>
    <w:qFormat/>
    <w:uiPriority w:val="0"/>
    <w:rPr>
      <w:rFonts w:ascii="黑体" w:hAnsi="黑体" w:eastAsia="黑体" w:cs="Times New Roman"/>
      <w:b/>
      <w:sz w:val="32"/>
      <w:szCs w:val="24"/>
      <w:lang w:val="en-US" w:eastAsia="zh-CN" w:bidi="ar-SA"/>
    </w:rPr>
  </w:style>
  <w:style w:type="paragraph" w:customStyle="1" w:styleId="504">
    <w:name w:val="文档正文"/>
    <w:basedOn w:val="1"/>
    <w:qFormat/>
    <w:uiPriority w:val="0"/>
    <w:rPr>
      <w:rFonts w:ascii="宋体"/>
      <w:szCs w:val="20"/>
    </w:rPr>
  </w:style>
  <w:style w:type="paragraph" w:customStyle="1" w:styleId="505">
    <w:name w:val="技术方案正文"/>
    <w:basedOn w:val="1"/>
    <w:qFormat/>
    <w:uiPriority w:val="0"/>
    <w:pPr>
      <w:spacing w:line="360" w:lineRule="auto"/>
      <w:ind w:firstLine="480"/>
    </w:pPr>
    <w:rPr>
      <w:rFonts w:ascii="宋体"/>
      <w:sz w:val="24"/>
    </w:rPr>
  </w:style>
  <w:style w:type="paragraph" w:customStyle="1" w:styleId="50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07">
    <w:name w:val="普通正文"/>
    <w:basedOn w:val="1"/>
    <w:qFormat/>
    <w:uiPriority w:val="0"/>
    <w:pPr>
      <w:ind w:firstLine="425"/>
      <w:jc w:val="left"/>
    </w:pPr>
    <w:rPr>
      <w:rFonts w:ascii="宋体"/>
      <w:sz w:val="20"/>
      <w:szCs w:val="20"/>
    </w:rPr>
  </w:style>
  <w:style w:type="paragraph" w:customStyle="1" w:styleId="508">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09">
    <w:name w:val="Normal_0_2"/>
    <w:qFormat/>
    <w:uiPriority w:val="0"/>
    <w:rPr>
      <w:rFonts w:ascii="黑体" w:hAnsi="黑体" w:eastAsia="黑体" w:cs="Times New Roman"/>
      <w:b/>
      <w:sz w:val="32"/>
      <w:szCs w:val="24"/>
      <w:lang w:val="en-US" w:eastAsia="zh-CN" w:bidi="ar-SA"/>
    </w:rPr>
  </w:style>
  <w:style w:type="paragraph" w:customStyle="1" w:styleId="51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1">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2">
    <w:name w:val="样式4"/>
    <w:basedOn w:val="203"/>
    <w:qFormat/>
    <w:uiPriority w:val="0"/>
    <w:pPr>
      <w:spacing w:line="415" w:lineRule="auto"/>
    </w:pPr>
    <w:rPr>
      <w:rFonts w:ascii="Calibri" w:hAnsi="Calibri"/>
      <w:bCs/>
      <w:color w:val="000000"/>
      <w:sz w:val="28"/>
      <w:szCs w:val="28"/>
    </w:rPr>
  </w:style>
  <w:style w:type="paragraph" w:customStyle="1" w:styleId="513">
    <w:name w:val="pa-4"/>
    <w:basedOn w:val="1"/>
    <w:qFormat/>
    <w:uiPriority w:val="0"/>
    <w:pPr>
      <w:widowControl/>
      <w:spacing w:line="280" w:lineRule="atLeast"/>
      <w:jc w:val="center"/>
    </w:pPr>
    <w:rPr>
      <w:rFonts w:ascii="宋体" w:cs="宋体"/>
      <w:sz w:val="24"/>
    </w:rPr>
  </w:style>
  <w:style w:type="paragraph" w:customStyle="1" w:styleId="514">
    <w:name w:val="Normal_1"/>
    <w:qFormat/>
    <w:uiPriority w:val="0"/>
    <w:rPr>
      <w:rFonts w:ascii="黑体" w:hAnsi="黑体" w:eastAsia="黑体" w:cs="Times New Roman"/>
      <w:b/>
      <w:sz w:val="32"/>
      <w:szCs w:val="24"/>
      <w:lang w:val="en-US" w:eastAsia="zh-CN" w:bidi="ar-SA"/>
    </w:rPr>
  </w:style>
  <w:style w:type="paragraph" w:customStyle="1" w:styleId="515">
    <w:name w:val="标书3"/>
    <w:next w:val="415"/>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16">
    <w:name w:val="Char2"/>
    <w:basedOn w:val="1"/>
    <w:qFormat/>
    <w:uiPriority w:val="0"/>
    <w:pPr>
      <w:tabs>
        <w:tab w:val="left" w:pos="360"/>
      </w:tabs>
    </w:pPr>
    <w:rPr>
      <w:rFonts w:ascii="仿宋_GB2312" w:eastAsia="仿宋_GB2312"/>
      <w:b/>
      <w:sz w:val="24"/>
    </w:rPr>
  </w:style>
  <w:style w:type="paragraph" w:customStyle="1" w:styleId="517">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8">
    <w:name w:val="正文（首行缩进两字）"/>
    <w:basedOn w:val="1"/>
    <w:qFormat/>
    <w:uiPriority w:val="0"/>
    <w:pPr>
      <w:spacing w:line="312" w:lineRule="auto"/>
    </w:pPr>
    <w:rPr>
      <w:rFonts w:ascii="宋体" w:cs="宋体"/>
      <w:sz w:val="24"/>
    </w:rPr>
  </w:style>
  <w:style w:type="paragraph" w:customStyle="1" w:styleId="519">
    <w:name w:val="首页标题"/>
    <w:qFormat/>
    <w:uiPriority w:val="0"/>
    <w:pPr>
      <w:jc w:val="center"/>
    </w:pPr>
    <w:rPr>
      <w:rFonts w:ascii="宋体" w:hAnsi="Times New Roman" w:eastAsia="宋体" w:cs="宋体"/>
      <w:sz w:val="72"/>
      <w:szCs w:val="72"/>
      <w:lang w:val="en-US" w:eastAsia="zh-CN" w:bidi="ar-SA"/>
    </w:rPr>
  </w:style>
  <w:style w:type="paragraph" w:customStyle="1" w:styleId="520">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1">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2">
    <w:name w:val="pa-3"/>
    <w:basedOn w:val="1"/>
    <w:qFormat/>
    <w:uiPriority w:val="0"/>
    <w:pPr>
      <w:widowControl/>
      <w:spacing w:before="150" w:after="150"/>
      <w:jc w:val="left"/>
    </w:pPr>
    <w:rPr>
      <w:rFonts w:ascii="宋体" w:cs="宋体"/>
      <w:sz w:val="24"/>
    </w:rPr>
  </w:style>
  <w:style w:type="paragraph" w:customStyle="1" w:styleId="523">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24">
    <w:name w:val="Normal_10_0"/>
    <w:qFormat/>
    <w:uiPriority w:val="0"/>
    <w:rPr>
      <w:rFonts w:ascii="黑体" w:hAnsi="黑体" w:eastAsia="黑体" w:cs="Times New Roman"/>
      <w:b/>
      <w:sz w:val="32"/>
      <w:szCs w:val="24"/>
      <w:lang w:val="en-US" w:eastAsia="zh-CN" w:bidi="ar-SA"/>
    </w:rPr>
  </w:style>
  <w:style w:type="paragraph" w:customStyle="1" w:styleId="525">
    <w:name w:val="Normal_6"/>
    <w:qFormat/>
    <w:uiPriority w:val="0"/>
    <w:rPr>
      <w:rFonts w:ascii="黑体" w:hAnsi="黑体" w:eastAsia="黑体" w:cs="Times New Roman"/>
      <w:b/>
      <w:sz w:val="32"/>
      <w:szCs w:val="24"/>
      <w:lang w:val="en-US" w:eastAsia="zh-CN" w:bidi="ar-SA"/>
    </w:rPr>
  </w:style>
  <w:style w:type="paragraph" w:customStyle="1" w:styleId="526">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27">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28">
    <w:name w:val="Body Text First Indent 21"/>
    <w:basedOn w:val="231"/>
    <w:qFormat/>
    <w:uiPriority w:val="99"/>
    <w:pPr>
      <w:ind w:firstLine="420"/>
    </w:pPr>
  </w:style>
  <w:style w:type="paragraph" w:customStyle="1" w:styleId="529">
    <w:name w:val="CM17"/>
    <w:basedOn w:val="1"/>
    <w:next w:val="1"/>
    <w:qFormat/>
    <w:uiPriority w:val="0"/>
    <w:pPr>
      <w:spacing w:after="273" w:line="360" w:lineRule="auto"/>
      <w:jc w:val="left"/>
    </w:pPr>
    <w:rPr>
      <w:rFonts w:ascii="宋体"/>
      <w:sz w:val="24"/>
    </w:rPr>
  </w:style>
  <w:style w:type="paragraph" w:customStyle="1" w:styleId="530">
    <w:name w:val="pa-0"/>
    <w:basedOn w:val="1"/>
    <w:qFormat/>
    <w:uiPriority w:val="0"/>
    <w:pPr>
      <w:widowControl/>
      <w:spacing w:line="360" w:lineRule="atLeast"/>
      <w:ind w:firstLine="480"/>
    </w:pPr>
    <w:rPr>
      <w:rFonts w:ascii="宋体" w:cs="宋体"/>
      <w:sz w:val="24"/>
    </w:rPr>
  </w:style>
  <w:style w:type="paragraph" w:customStyle="1" w:styleId="531">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2">
    <w:name w:val="D&amp;L"/>
    <w:basedOn w:val="249"/>
    <w:qFormat/>
    <w:uiPriority w:val="0"/>
    <w:pPr>
      <w:pBdr>
        <w:bottom w:val="single" w:color="000000" w:sz="18" w:space="1"/>
      </w:pBdr>
      <w:spacing w:line="240" w:lineRule="atLeast"/>
    </w:pPr>
    <w:rPr>
      <w:sz w:val="24"/>
      <w:szCs w:val="20"/>
    </w:rPr>
  </w:style>
  <w:style w:type="paragraph" w:customStyle="1" w:styleId="533">
    <w:name w:val="Normal_16"/>
    <w:qFormat/>
    <w:uiPriority w:val="0"/>
    <w:rPr>
      <w:rFonts w:ascii="黑体" w:hAnsi="黑体" w:eastAsia="黑体" w:cs="Times New Roman"/>
      <w:b/>
      <w:sz w:val="32"/>
      <w:szCs w:val="24"/>
      <w:lang w:val="en-US" w:eastAsia="zh-CN" w:bidi="ar-SA"/>
    </w:rPr>
  </w:style>
  <w:style w:type="paragraph" w:customStyle="1" w:styleId="534">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5">
    <w:name w:val="font5"/>
    <w:basedOn w:val="1"/>
    <w:qFormat/>
    <w:uiPriority w:val="0"/>
    <w:pPr>
      <w:widowControl/>
      <w:spacing w:before="100" w:beforeAutospacing="1" w:after="100" w:afterAutospacing="1"/>
      <w:jc w:val="left"/>
    </w:pPr>
    <w:rPr>
      <w:rFonts w:ascii="宋体"/>
      <w:sz w:val="18"/>
      <w:szCs w:val="18"/>
    </w:rPr>
  </w:style>
  <w:style w:type="paragraph" w:customStyle="1" w:styleId="536">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7">
    <w:name w:val="大汉方案正文 Char"/>
    <w:basedOn w:val="1"/>
    <w:qFormat/>
    <w:uiPriority w:val="0"/>
    <w:pPr>
      <w:spacing w:line="360" w:lineRule="auto"/>
      <w:ind w:firstLine="200"/>
    </w:pPr>
    <w:rPr>
      <w:rFonts w:ascii="Arial" w:hAnsi="Arial"/>
      <w:sz w:val="24"/>
    </w:rPr>
  </w:style>
  <w:style w:type="paragraph" w:customStyle="1" w:styleId="538">
    <w:name w:val="样式2"/>
    <w:basedOn w:val="203"/>
    <w:qFormat/>
    <w:uiPriority w:val="0"/>
    <w:pPr>
      <w:spacing w:line="415" w:lineRule="auto"/>
    </w:pPr>
    <w:rPr>
      <w:rFonts w:ascii="Calibri" w:hAnsi="Calibri"/>
      <w:bCs/>
      <w:color w:val="000000"/>
      <w:sz w:val="28"/>
      <w:szCs w:val="28"/>
    </w:rPr>
  </w:style>
  <w:style w:type="paragraph" w:customStyle="1" w:styleId="539">
    <w:name w:val="Normal_2_0"/>
    <w:qFormat/>
    <w:uiPriority w:val="0"/>
    <w:rPr>
      <w:rFonts w:ascii="黑体" w:hAnsi="黑体" w:eastAsia="黑体" w:cs="Times New Roman"/>
      <w:b/>
      <w:sz w:val="32"/>
      <w:szCs w:val="24"/>
      <w:lang w:val="en-US" w:eastAsia="zh-CN" w:bidi="ar-SA"/>
    </w:rPr>
  </w:style>
  <w:style w:type="paragraph" w:customStyle="1" w:styleId="540">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541">
    <w:name w:val="Normal_4"/>
    <w:qFormat/>
    <w:uiPriority w:val="0"/>
    <w:rPr>
      <w:rFonts w:ascii="黑体" w:hAnsi="黑体" w:eastAsia="黑体" w:cs="Times New Roman"/>
      <w:b/>
      <w:sz w:val="32"/>
      <w:szCs w:val="24"/>
      <w:lang w:val="en-US" w:eastAsia="zh-CN" w:bidi="ar-SA"/>
    </w:rPr>
  </w:style>
  <w:style w:type="paragraph" w:customStyle="1" w:styleId="54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43">
    <w:name w:val="txt"/>
    <w:basedOn w:val="1"/>
    <w:qFormat/>
    <w:uiPriority w:val="0"/>
    <w:pPr>
      <w:widowControl/>
      <w:spacing w:before="100" w:beforeAutospacing="1" w:after="100" w:afterAutospacing="1"/>
      <w:jc w:val="left"/>
    </w:pPr>
    <w:rPr>
      <w:rFonts w:ascii="宋体" w:cs="宋体"/>
      <w:sz w:val="24"/>
    </w:rPr>
  </w:style>
  <w:style w:type="paragraph" w:customStyle="1" w:styleId="544">
    <w:name w:val="样式5"/>
    <w:basedOn w:val="203"/>
    <w:qFormat/>
    <w:uiPriority w:val="0"/>
    <w:pPr>
      <w:spacing w:line="415" w:lineRule="auto"/>
    </w:pPr>
    <w:rPr>
      <w:rFonts w:ascii="Calibri" w:hAnsi="Calibri"/>
      <w:bCs/>
      <w:color w:val="000000"/>
      <w:sz w:val="28"/>
      <w:szCs w:val="28"/>
    </w:rPr>
  </w:style>
  <w:style w:type="paragraph" w:customStyle="1" w:styleId="545">
    <w:name w:val="font7"/>
    <w:basedOn w:val="1"/>
    <w:qFormat/>
    <w:uiPriority w:val="0"/>
    <w:pPr>
      <w:widowControl/>
      <w:spacing w:before="100" w:beforeAutospacing="1" w:after="100" w:afterAutospacing="1"/>
      <w:jc w:val="left"/>
    </w:pPr>
    <w:rPr>
      <w:rFonts w:ascii="宋体"/>
      <w:sz w:val="20"/>
      <w:szCs w:val="20"/>
    </w:rPr>
  </w:style>
  <w:style w:type="paragraph" w:customStyle="1" w:styleId="546">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7">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48">
    <w:name w:val="编号"/>
    <w:basedOn w:val="1"/>
    <w:next w:val="415"/>
    <w:qFormat/>
    <w:uiPriority w:val="0"/>
    <w:pPr>
      <w:widowControl/>
      <w:tabs>
        <w:tab w:val="left" w:pos="420"/>
      </w:tabs>
      <w:ind w:left="420" w:right="-136" w:hanging="420"/>
    </w:pPr>
    <w:rPr>
      <w:rFonts w:ascii="仿宋_GB2312" w:eastAsia="仿宋_GB2312"/>
      <w:b/>
      <w:bCs/>
      <w:sz w:val="24"/>
      <w:szCs w:val="21"/>
    </w:rPr>
  </w:style>
  <w:style w:type="paragraph" w:customStyle="1" w:styleId="549">
    <w:name w:val="TOC 标题2"/>
    <w:basedOn w:val="201"/>
    <w:next w:val="1"/>
    <w:qFormat/>
    <w:uiPriority w:val="0"/>
    <w:pPr>
      <w:widowControl/>
      <w:spacing w:before="480" w:after="0" w:line="276" w:lineRule="auto"/>
      <w:outlineLvl w:val="9"/>
    </w:pPr>
    <w:rPr>
      <w:rFonts w:ascii="Cambria" w:hAnsi="Cambria"/>
      <w:color w:val="365F91"/>
      <w:sz w:val="28"/>
    </w:rPr>
  </w:style>
  <w:style w:type="paragraph" w:customStyle="1" w:styleId="550">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51">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52">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53">
    <w:name w:val="Char Char Char Char Char Char Char Char Char Char1"/>
    <w:basedOn w:val="1"/>
    <w:qFormat/>
    <w:uiPriority w:val="0"/>
    <w:rPr>
      <w:rFonts w:ascii="Tahoma" w:hAnsi="Tahoma" w:cs="Tahoma"/>
      <w:sz w:val="24"/>
    </w:rPr>
  </w:style>
  <w:style w:type="paragraph" w:customStyle="1" w:styleId="554">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55">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56">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7">
    <w:name w:val="Normal_11"/>
    <w:qFormat/>
    <w:uiPriority w:val="0"/>
    <w:rPr>
      <w:rFonts w:ascii="黑体" w:hAnsi="黑体" w:eastAsia="黑体" w:cs="Times New Roman"/>
      <w:b/>
      <w:sz w:val="32"/>
      <w:szCs w:val="24"/>
      <w:lang w:val="en-US" w:eastAsia="zh-CN" w:bidi="ar-SA"/>
    </w:rPr>
  </w:style>
  <w:style w:type="paragraph" w:customStyle="1" w:styleId="558">
    <w:name w:val="Char12"/>
    <w:basedOn w:val="1"/>
    <w:qFormat/>
    <w:uiPriority w:val="0"/>
    <w:pPr>
      <w:tabs>
        <w:tab w:val="left" w:pos="360"/>
      </w:tabs>
      <w:spacing w:line="480" w:lineRule="auto"/>
      <w:ind w:left="360" w:right="202" w:firstLine="360"/>
    </w:pPr>
    <w:rPr>
      <w:sz w:val="24"/>
    </w:rPr>
  </w:style>
  <w:style w:type="paragraph" w:customStyle="1" w:styleId="559">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6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1">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2">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63">
    <w:name w:val="样式 标题 2 + Times New Roman 四号 非加粗 段前: 5 磅 段后: 0 磅 行距: 固定值 20..."/>
    <w:basedOn w:val="202"/>
    <w:qFormat/>
    <w:uiPriority w:val="0"/>
    <w:pPr>
      <w:spacing w:before="100" w:after="0" w:line="400" w:lineRule="exact"/>
    </w:pPr>
    <w:rPr>
      <w:rFonts w:ascii="Times New Roman" w:hAnsi="Times New Roman" w:cs="宋体"/>
      <w:b w:val="0"/>
      <w:sz w:val="28"/>
    </w:rPr>
  </w:style>
  <w:style w:type="paragraph" w:customStyle="1" w:styleId="564">
    <w:name w:val="font6"/>
    <w:basedOn w:val="1"/>
    <w:qFormat/>
    <w:uiPriority w:val="0"/>
    <w:pPr>
      <w:widowControl/>
      <w:spacing w:before="100" w:beforeAutospacing="1" w:after="100" w:afterAutospacing="1"/>
      <w:jc w:val="left"/>
    </w:pPr>
    <w:rPr>
      <w:sz w:val="20"/>
      <w:szCs w:val="20"/>
    </w:rPr>
  </w:style>
  <w:style w:type="paragraph" w:customStyle="1" w:styleId="565">
    <w:name w:val="样式 正文首行缩进 + 宋体 首行缩进:  0.74 厘米"/>
    <w:basedOn w:val="270"/>
    <w:qFormat/>
    <w:uiPriority w:val="0"/>
    <w:pPr>
      <w:spacing w:before="120" w:after="0" w:line="380" w:lineRule="exact"/>
      <w:ind w:firstLine="210"/>
    </w:pPr>
    <w:rPr>
      <w:rFonts w:ascii="宋体" w:cs="宋体"/>
      <w:sz w:val="24"/>
      <w:szCs w:val="20"/>
    </w:rPr>
  </w:style>
  <w:style w:type="paragraph" w:customStyle="1" w:styleId="566">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7">
    <w:name w:val="Normal_17_0"/>
    <w:qFormat/>
    <w:uiPriority w:val="0"/>
    <w:rPr>
      <w:rFonts w:ascii="黑体" w:hAnsi="黑体" w:eastAsia="黑体" w:cs="Times New Roman"/>
      <w:b/>
      <w:sz w:val="32"/>
      <w:szCs w:val="24"/>
      <w:lang w:val="en-US" w:eastAsia="zh-CN" w:bidi="ar-SA"/>
    </w:rPr>
  </w:style>
  <w:style w:type="paragraph" w:customStyle="1" w:styleId="568">
    <w:name w:val="Char Char Char Char Char Char Char Char Char Char2"/>
    <w:basedOn w:val="1"/>
    <w:qFormat/>
    <w:uiPriority w:val="0"/>
    <w:rPr>
      <w:rFonts w:ascii="Tahoma" w:hAnsi="Tahoma"/>
      <w:sz w:val="24"/>
      <w:szCs w:val="20"/>
    </w:rPr>
  </w:style>
  <w:style w:type="paragraph" w:customStyle="1" w:styleId="569">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570">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571">
    <w:name w:val="Char Char Char Char Char Char Char1 Char"/>
    <w:basedOn w:val="1"/>
    <w:qFormat/>
    <w:uiPriority w:val="0"/>
    <w:rPr>
      <w:rFonts w:ascii="Tahoma" w:hAnsi="Tahoma"/>
      <w:sz w:val="24"/>
      <w:szCs w:val="20"/>
    </w:rPr>
  </w:style>
  <w:style w:type="paragraph" w:customStyle="1" w:styleId="572">
    <w:name w:val="Char Char1 Char Char Char Char Char Char"/>
    <w:basedOn w:val="1"/>
    <w:qFormat/>
    <w:uiPriority w:val="0"/>
    <w:pPr>
      <w:widowControl/>
      <w:jc w:val="center"/>
    </w:pPr>
    <w:rPr>
      <w:szCs w:val="20"/>
    </w:rPr>
  </w:style>
  <w:style w:type="paragraph" w:customStyle="1" w:styleId="573">
    <w:name w:val="Normal Paragraph Char"/>
    <w:basedOn w:val="1"/>
    <w:qFormat/>
    <w:uiPriority w:val="0"/>
    <w:pPr>
      <w:widowControl/>
      <w:spacing w:before="120" w:line="360" w:lineRule="auto"/>
      <w:ind w:firstLine="425"/>
    </w:pPr>
    <w:rPr>
      <w:rFonts w:ascii="Calibri" w:hAnsi="Calibri"/>
      <w:sz w:val="24"/>
    </w:rPr>
  </w:style>
  <w:style w:type="paragraph" w:customStyle="1" w:styleId="574">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75">
    <w:name w:val="默认段落字体 Para Char"/>
    <w:basedOn w:val="1"/>
    <w:qFormat/>
    <w:uiPriority w:val="0"/>
    <w:rPr>
      <w:rFonts w:ascii="宋体"/>
      <w:b/>
      <w:sz w:val="28"/>
      <w:szCs w:val="28"/>
    </w:rPr>
  </w:style>
  <w:style w:type="paragraph" w:customStyle="1" w:styleId="57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7">
    <w:name w:val="Normal_1_0"/>
    <w:qFormat/>
    <w:uiPriority w:val="0"/>
    <w:rPr>
      <w:rFonts w:ascii="Times New Roman" w:hAnsi="Times New Roman" w:eastAsia="Times New Roman" w:cs="Times New Roman"/>
      <w:sz w:val="24"/>
      <w:szCs w:val="24"/>
      <w:lang w:val="en-US" w:eastAsia="zh-CN" w:bidi="ar-SA"/>
    </w:rPr>
  </w:style>
  <w:style w:type="paragraph" w:customStyle="1" w:styleId="578">
    <w:name w:val="Char Char Char1"/>
    <w:basedOn w:val="1"/>
    <w:qFormat/>
    <w:uiPriority w:val="0"/>
    <w:rPr>
      <w:rFonts w:ascii="Tahoma" w:hAnsi="Tahoma"/>
      <w:sz w:val="24"/>
      <w:szCs w:val="20"/>
    </w:rPr>
  </w:style>
  <w:style w:type="paragraph" w:customStyle="1" w:styleId="579">
    <w:name w:val="Normal1"/>
    <w:qFormat/>
    <w:uiPriority w:val="0"/>
    <w:rPr>
      <w:rFonts w:ascii="Times New Roman" w:hAnsi="Times New Roman" w:eastAsia="Times New Roman" w:cs="Times New Roman"/>
      <w:sz w:val="24"/>
      <w:szCs w:val="24"/>
      <w:lang w:val="en-US" w:eastAsia="zh-CN" w:bidi="ar-SA"/>
    </w:rPr>
  </w:style>
  <w:style w:type="paragraph" w:customStyle="1" w:styleId="580">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81">
    <w:name w:val="表格"/>
    <w:basedOn w:val="1"/>
    <w:qFormat/>
    <w:uiPriority w:val="0"/>
    <w:pPr>
      <w:ind w:firstLine="21"/>
    </w:pPr>
    <w:rPr>
      <w:rFonts w:ascii="宋体"/>
      <w:szCs w:val="20"/>
    </w:rPr>
  </w:style>
  <w:style w:type="paragraph" w:customStyle="1" w:styleId="582">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3">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4">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5">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86">
    <w:name w:val="项目"/>
    <w:basedOn w:val="1"/>
    <w:qFormat/>
    <w:uiPriority w:val="0"/>
    <w:pPr>
      <w:tabs>
        <w:tab w:val="left" w:pos="840"/>
      </w:tabs>
      <w:spacing w:before="60" w:after="60" w:line="360" w:lineRule="auto"/>
      <w:ind w:left="840" w:hanging="420"/>
    </w:pPr>
    <w:rPr>
      <w:rFonts w:ascii="宋体"/>
      <w:szCs w:val="20"/>
    </w:rPr>
  </w:style>
  <w:style w:type="paragraph" w:customStyle="1" w:styleId="58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8">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89">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590">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1">
    <w:name w:val="规范正文"/>
    <w:basedOn w:val="1"/>
    <w:qFormat/>
    <w:uiPriority w:val="0"/>
    <w:pPr>
      <w:spacing w:line="360" w:lineRule="auto"/>
      <w:ind w:left="480"/>
    </w:pPr>
    <w:rPr>
      <w:sz w:val="24"/>
      <w:szCs w:val="20"/>
    </w:rPr>
  </w:style>
  <w:style w:type="paragraph" w:customStyle="1" w:styleId="592">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593">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4">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595">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596">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7">
    <w:name w:val="特点"/>
    <w:basedOn w:val="1"/>
    <w:next w:val="1"/>
    <w:qFormat/>
    <w:uiPriority w:val="0"/>
    <w:pPr>
      <w:spacing w:line="360" w:lineRule="auto"/>
      <w:jc w:val="center"/>
    </w:pPr>
    <w:rPr>
      <w:rFonts w:ascii="Arial" w:hAnsi="Arial"/>
      <w:sz w:val="24"/>
      <w:szCs w:val="20"/>
    </w:rPr>
  </w:style>
  <w:style w:type="paragraph" w:customStyle="1" w:styleId="598">
    <w:name w:val="正文小四"/>
    <w:basedOn w:val="1"/>
    <w:qFormat/>
    <w:uiPriority w:val="0"/>
    <w:pPr>
      <w:spacing w:line="312" w:lineRule="auto"/>
    </w:pPr>
    <w:rPr>
      <w:rFonts w:ascii="Calibri" w:hAnsi="Calibri"/>
      <w:sz w:val="24"/>
    </w:rPr>
  </w:style>
  <w:style w:type="paragraph" w:customStyle="1" w:styleId="599">
    <w:name w:val="Normal_15_0"/>
    <w:qFormat/>
    <w:uiPriority w:val="0"/>
    <w:rPr>
      <w:rFonts w:ascii="黑体" w:hAnsi="黑体" w:eastAsia="黑体" w:cs="Times New Roman"/>
      <w:b/>
      <w:sz w:val="32"/>
      <w:szCs w:val="24"/>
      <w:lang w:val="en-US" w:eastAsia="zh-CN" w:bidi="ar-SA"/>
    </w:rPr>
  </w:style>
  <w:style w:type="paragraph" w:customStyle="1" w:styleId="600">
    <w:name w:val="tabletext"/>
    <w:basedOn w:val="1"/>
    <w:qFormat/>
    <w:uiPriority w:val="0"/>
    <w:pPr>
      <w:widowControl/>
      <w:spacing w:before="100" w:beforeAutospacing="1" w:after="100" w:afterAutospacing="1"/>
      <w:jc w:val="left"/>
    </w:pPr>
    <w:rPr>
      <w:rFonts w:ascii="宋体"/>
      <w:sz w:val="24"/>
    </w:rPr>
  </w:style>
  <w:style w:type="paragraph" w:customStyle="1" w:styleId="601">
    <w:name w:val="表内容"/>
    <w:basedOn w:val="431"/>
    <w:qFormat/>
    <w:uiPriority w:val="0"/>
    <w:pPr>
      <w:spacing w:line="320" w:lineRule="exact"/>
      <w:ind w:left="0" w:firstLine="0"/>
    </w:pPr>
    <w:rPr>
      <w:sz w:val="20"/>
    </w:rPr>
  </w:style>
  <w:style w:type="paragraph" w:customStyle="1" w:styleId="602">
    <w:name w:val="Char13"/>
    <w:basedOn w:val="1"/>
    <w:qFormat/>
    <w:uiPriority w:val="0"/>
  </w:style>
  <w:style w:type="paragraph" w:customStyle="1" w:styleId="603">
    <w:name w:val="我的样式"/>
    <w:basedOn w:val="1"/>
    <w:qFormat/>
    <w:uiPriority w:val="0"/>
    <w:pPr>
      <w:widowControl/>
      <w:spacing w:after="120"/>
      <w:ind w:firstLine="420"/>
      <w:jc w:val="left"/>
    </w:pPr>
    <w:rPr>
      <w:rFonts w:ascii="宋体"/>
      <w:color w:val="000000"/>
      <w:sz w:val="24"/>
      <w:szCs w:val="16"/>
    </w:rPr>
  </w:style>
  <w:style w:type="paragraph" w:customStyle="1" w:styleId="604">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5">
    <w:name w:val="编号1"/>
    <w:next w:val="415"/>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606">
    <w:name w:val="Normal_0"/>
    <w:qFormat/>
    <w:uiPriority w:val="0"/>
    <w:rPr>
      <w:rFonts w:ascii="黑体" w:hAnsi="黑体" w:eastAsia="黑体" w:cs="Times New Roman"/>
      <w:b/>
      <w:sz w:val="32"/>
      <w:szCs w:val="24"/>
      <w:lang w:val="en-US" w:eastAsia="zh-CN" w:bidi="ar-SA"/>
    </w:rPr>
  </w:style>
  <w:style w:type="paragraph" w:customStyle="1" w:styleId="607">
    <w:name w:val="首页单位日期"/>
    <w:basedOn w:val="1"/>
    <w:qFormat/>
    <w:uiPriority w:val="0"/>
    <w:pPr>
      <w:widowControl/>
      <w:jc w:val="center"/>
    </w:pPr>
    <w:rPr>
      <w:rFonts w:ascii="宋体" w:cs="宋体"/>
      <w:bCs/>
      <w:sz w:val="28"/>
      <w:szCs w:val="20"/>
    </w:rPr>
  </w:style>
  <w:style w:type="paragraph" w:customStyle="1" w:styleId="608">
    <w:name w:val="Normal Paragraph"/>
    <w:basedOn w:val="1"/>
    <w:qFormat/>
    <w:uiPriority w:val="0"/>
    <w:pPr>
      <w:widowControl/>
      <w:spacing w:before="120" w:line="360" w:lineRule="auto"/>
      <w:ind w:firstLine="425"/>
    </w:pPr>
    <w:rPr>
      <w:rFonts w:ascii="Calibri" w:hAnsi="Calibri"/>
      <w:sz w:val="24"/>
      <w:szCs w:val="20"/>
    </w:rPr>
  </w:style>
  <w:style w:type="paragraph" w:customStyle="1" w:styleId="609">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0">
    <w:name w:val="È±Ê¡ÎÄ±¾"/>
    <w:basedOn w:val="1"/>
    <w:qFormat/>
    <w:uiPriority w:val="0"/>
    <w:pPr>
      <w:widowControl/>
      <w:spacing w:line="360" w:lineRule="auto"/>
      <w:jc w:val="left"/>
    </w:pPr>
    <w:rPr>
      <w:sz w:val="24"/>
      <w:szCs w:val="20"/>
    </w:rPr>
  </w:style>
  <w:style w:type="paragraph" w:customStyle="1" w:styleId="611">
    <w:name w:val="Char Char Char Char Char Char Char Char Char Char3"/>
    <w:basedOn w:val="1"/>
    <w:qFormat/>
    <w:uiPriority w:val="0"/>
    <w:rPr>
      <w:rFonts w:ascii="Tahoma" w:hAnsi="Tahoma"/>
      <w:sz w:val="24"/>
      <w:szCs w:val="20"/>
    </w:rPr>
  </w:style>
  <w:style w:type="paragraph" w:customStyle="1" w:styleId="612">
    <w:name w:val="a1"/>
    <w:basedOn w:val="1"/>
    <w:qFormat/>
    <w:uiPriority w:val="0"/>
    <w:pPr>
      <w:widowControl/>
      <w:spacing w:before="100" w:beforeAutospacing="1" w:after="100" w:afterAutospacing="1"/>
      <w:jc w:val="left"/>
    </w:pPr>
    <w:rPr>
      <w:rFonts w:ascii="宋体"/>
      <w:sz w:val="24"/>
    </w:rPr>
  </w:style>
  <w:style w:type="paragraph" w:customStyle="1" w:styleId="613">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4">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6">
    <w:name w:val="正文段"/>
    <w:basedOn w:val="1"/>
    <w:qFormat/>
    <w:uiPriority w:val="0"/>
    <w:pPr>
      <w:widowControl/>
      <w:spacing w:after="240" w:line="240" w:lineRule="atLeast"/>
      <w:ind w:firstLine="425"/>
    </w:pPr>
    <w:rPr>
      <w:sz w:val="24"/>
      <w:szCs w:val="20"/>
    </w:rPr>
  </w:style>
  <w:style w:type="paragraph" w:customStyle="1" w:styleId="617">
    <w:name w:val="Normal_16_0"/>
    <w:qFormat/>
    <w:uiPriority w:val="0"/>
    <w:rPr>
      <w:rFonts w:ascii="黑体" w:hAnsi="黑体" w:eastAsia="黑体" w:cs="Times New Roman"/>
      <w:b/>
      <w:sz w:val="32"/>
      <w:szCs w:val="24"/>
      <w:lang w:val="en-US" w:eastAsia="zh-CN" w:bidi="ar-SA"/>
    </w:rPr>
  </w:style>
  <w:style w:type="paragraph" w:customStyle="1" w:styleId="618">
    <w:name w:val="Normal_17"/>
    <w:qFormat/>
    <w:uiPriority w:val="0"/>
    <w:rPr>
      <w:rFonts w:ascii="黑体" w:hAnsi="黑体" w:eastAsia="黑体" w:cs="Times New Roman"/>
      <w:b/>
      <w:sz w:val="32"/>
      <w:szCs w:val="24"/>
      <w:lang w:val="en-US" w:eastAsia="zh-CN" w:bidi="ar-SA"/>
    </w:rPr>
  </w:style>
  <w:style w:type="paragraph" w:customStyle="1" w:styleId="619">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20">
    <w:name w:val="列出段落[858D7CFB-ED40-4347-BF05-701D383B685F][858D7CFB-ED40-4347-BF05-701D383B685F]"/>
    <w:basedOn w:val="1"/>
    <w:qFormat/>
    <w:uiPriority w:val="0"/>
    <w:pPr>
      <w:ind w:firstLine="200"/>
    </w:pPr>
    <w:rPr>
      <w:rFonts w:ascii="Calibri" w:hAnsi="Calibri"/>
    </w:rPr>
  </w:style>
  <w:style w:type="paragraph" w:customStyle="1" w:styleId="621">
    <w:name w:val="缺省文本"/>
    <w:basedOn w:val="1"/>
    <w:qFormat/>
    <w:uiPriority w:val="0"/>
    <w:pPr>
      <w:jc w:val="left"/>
    </w:pPr>
    <w:rPr>
      <w:sz w:val="24"/>
      <w:szCs w:val="20"/>
    </w:rPr>
  </w:style>
  <w:style w:type="paragraph" w:customStyle="1" w:styleId="622">
    <w:name w:val="Normal_13"/>
    <w:qFormat/>
    <w:uiPriority w:val="0"/>
    <w:rPr>
      <w:rFonts w:ascii="黑体" w:hAnsi="黑体" w:eastAsia="黑体" w:cs="Times New Roman"/>
      <w:b/>
      <w:sz w:val="32"/>
      <w:szCs w:val="24"/>
      <w:lang w:val="en-US" w:eastAsia="zh-CN" w:bidi="ar-SA"/>
    </w:rPr>
  </w:style>
  <w:style w:type="paragraph" w:customStyle="1" w:styleId="623">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624">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25">
    <w:name w:val="附图居中"/>
    <w:basedOn w:val="1"/>
    <w:next w:val="458"/>
    <w:qFormat/>
    <w:uiPriority w:val="0"/>
    <w:pPr>
      <w:keepNext/>
      <w:tabs>
        <w:tab w:val="left" w:pos="0"/>
      </w:tabs>
      <w:spacing w:line="360" w:lineRule="auto"/>
      <w:ind w:left="1271" w:hanging="420"/>
      <w:jc w:val="center"/>
    </w:pPr>
    <w:rPr>
      <w:caps/>
      <w:sz w:val="24"/>
    </w:rPr>
  </w:style>
  <w:style w:type="paragraph" w:customStyle="1" w:styleId="626">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7">
    <w:name w:val="正文 + 宋体"/>
    <w:basedOn w:val="1"/>
    <w:qFormat/>
    <w:uiPriority w:val="0"/>
    <w:pPr>
      <w:ind w:firstLine="250"/>
    </w:pPr>
    <w:rPr>
      <w:rFonts w:ascii="宋体"/>
      <w:szCs w:val="21"/>
    </w:rPr>
  </w:style>
  <w:style w:type="paragraph" w:customStyle="1" w:styleId="628">
    <w:name w:val="Normal_5"/>
    <w:qFormat/>
    <w:uiPriority w:val="0"/>
    <w:rPr>
      <w:rFonts w:ascii="黑体" w:hAnsi="黑体" w:eastAsia="黑体" w:cs="Times New Roman"/>
      <w:b/>
      <w:sz w:val="32"/>
      <w:szCs w:val="24"/>
      <w:lang w:val="en-US" w:eastAsia="zh-CN" w:bidi="ar-SA"/>
    </w:rPr>
  </w:style>
  <w:style w:type="paragraph" w:customStyle="1" w:styleId="629">
    <w:name w:val="Normal_13_0"/>
    <w:qFormat/>
    <w:uiPriority w:val="0"/>
    <w:rPr>
      <w:rFonts w:ascii="黑体" w:hAnsi="黑体" w:eastAsia="黑体" w:cs="Times New Roman"/>
      <w:b/>
      <w:sz w:val="32"/>
      <w:szCs w:val="24"/>
      <w:lang w:val="en-US" w:eastAsia="zh-CN" w:bidi="ar-SA"/>
    </w:rPr>
  </w:style>
  <w:style w:type="paragraph" w:customStyle="1" w:styleId="630">
    <w:name w:val="Normal_14"/>
    <w:qFormat/>
    <w:uiPriority w:val="0"/>
    <w:rPr>
      <w:rFonts w:ascii="黑体" w:hAnsi="黑体" w:eastAsia="黑体" w:cs="Times New Roman"/>
      <w:b/>
      <w:sz w:val="32"/>
      <w:szCs w:val="24"/>
      <w:lang w:val="en-US" w:eastAsia="zh-CN" w:bidi="ar-SA"/>
    </w:rPr>
  </w:style>
  <w:style w:type="paragraph" w:customStyle="1" w:styleId="631">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32">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3">
    <w:name w:val="Normal_3_0"/>
    <w:qFormat/>
    <w:uiPriority w:val="0"/>
    <w:rPr>
      <w:rFonts w:ascii="黑体" w:hAnsi="黑体" w:eastAsia="黑体" w:cs="Times New Roman"/>
      <w:b/>
      <w:sz w:val="32"/>
      <w:szCs w:val="24"/>
      <w:lang w:val="en-US" w:eastAsia="zh-CN" w:bidi="ar-SA"/>
    </w:rPr>
  </w:style>
  <w:style w:type="paragraph" w:customStyle="1" w:styleId="634">
    <w:name w:val="保密事宜格式"/>
    <w:basedOn w:val="221"/>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35">
    <w:name w:val="样式 正文缩进 + (中文) 仿宋_GB2312 小四 Char"/>
    <w:basedOn w:val="220"/>
    <w:qFormat/>
    <w:uiPriority w:val="0"/>
    <w:pPr>
      <w:spacing w:line="360" w:lineRule="auto"/>
      <w:ind w:firstLine="200"/>
    </w:pPr>
    <w:rPr>
      <w:szCs w:val="24"/>
    </w:rPr>
  </w:style>
  <w:style w:type="paragraph" w:customStyle="1" w:styleId="636">
    <w:name w:val="默认段落字体 Para Char Char Char Char Char Char Char Char Char Char Char Char Char Char"/>
    <w:basedOn w:val="225"/>
    <w:qFormat/>
    <w:uiPriority w:val="0"/>
    <w:rPr>
      <w:rFonts w:ascii="Tahoma" w:hAnsi="Tahoma"/>
      <w:sz w:val="24"/>
    </w:rPr>
  </w:style>
  <w:style w:type="character" w:customStyle="1" w:styleId="637">
    <w:name w:val="font71"/>
    <w:qFormat/>
    <w:uiPriority w:val="0"/>
    <w:rPr>
      <w:rFonts w:hint="eastAsia" w:ascii="宋体" w:hAnsi="宋体" w:eastAsia="宋体" w:cs="宋体"/>
      <w:color w:val="FF0000"/>
      <w:sz w:val="24"/>
      <w:szCs w:val="24"/>
      <w:u w:val="none"/>
    </w:rPr>
  </w:style>
  <w:style w:type="paragraph" w:customStyle="1" w:styleId="638">
    <w:name w:val="正文缩进1"/>
    <w:basedOn w:val="1"/>
    <w:qFormat/>
    <w:uiPriority w:val="0"/>
    <w:pPr>
      <w:ind w:firstLine="420"/>
    </w:pPr>
    <w:rPr>
      <w:szCs w:val="20"/>
    </w:rPr>
  </w:style>
  <w:style w:type="character" w:customStyle="1" w:styleId="639">
    <w:name w:val="占位符文本1"/>
    <w:qFormat/>
    <w:uiPriority w:val="99"/>
    <w:rPr>
      <w:color w:val="808080"/>
    </w:rPr>
  </w:style>
  <w:style w:type="paragraph" w:customStyle="1" w:styleId="640">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41">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42">
    <w:name w:val="正文文本11"/>
    <w:basedOn w:val="1"/>
    <w:next w:val="1"/>
    <w:qFormat/>
    <w:uiPriority w:val="0"/>
    <w:rPr>
      <w:rFonts w:ascii="楷体_GB2312" w:hAnsi="Arial" w:eastAsia="楷体_GB2312"/>
      <w:sz w:val="28"/>
      <w:szCs w:val="28"/>
    </w:rPr>
  </w:style>
  <w:style w:type="paragraph" w:customStyle="1" w:styleId="643">
    <w:name w:val="Table Text"/>
    <w:basedOn w:val="1"/>
    <w:qFormat/>
    <w:uiPriority w:val="0"/>
    <w:rPr>
      <w:rFonts w:ascii="宋体" w:hAnsi="宋体" w:cs="宋体"/>
      <w:sz w:val="17"/>
      <w:szCs w:val="17"/>
      <w:lang w:eastAsia="en-US"/>
    </w:rPr>
  </w:style>
  <w:style w:type="table" w:customStyle="1" w:styleId="644">
    <w:name w:val="Table Normal"/>
    <w:qFormat/>
    <w:uiPriority w:val="0"/>
    <w:tblPr>
      <w:tblCellMar>
        <w:top w:w="0" w:type="dxa"/>
        <w:left w:w="0" w:type="dxa"/>
        <w:bottom w:w="0" w:type="dxa"/>
        <w:right w:w="0" w:type="dxa"/>
      </w:tblCellMar>
    </w:tblPr>
  </w:style>
  <w:style w:type="character" w:customStyle="1" w:styleId="645">
    <w:name w:val="mark"/>
    <w:qFormat/>
    <w:uiPriority w:val="0"/>
    <w:rPr>
      <w:rFonts w:ascii="Times New Roman" w:hAnsi="Times New Roman" w:eastAsia="宋体" w:cs="Times New Roman"/>
    </w:rPr>
  </w:style>
  <w:style w:type="paragraph" w:customStyle="1" w:styleId="646">
    <w:name w:val="标题 311"/>
    <w:basedOn w:val="1"/>
    <w:next w:val="1"/>
    <w:qFormat/>
    <w:uiPriority w:val="0"/>
    <w:pPr>
      <w:keepNext/>
      <w:keepLines/>
      <w:spacing w:before="260" w:after="260" w:line="416" w:lineRule="auto"/>
      <w:outlineLvl w:val="2"/>
    </w:pPr>
    <w:rPr>
      <w:b/>
      <w:sz w:val="32"/>
      <w:szCs w:val="20"/>
    </w:rPr>
  </w:style>
  <w:style w:type="paragraph" w:customStyle="1" w:styleId="647">
    <w:name w:val="p16"/>
    <w:basedOn w:val="1"/>
    <w:qFormat/>
    <w:uiPriority w:val="0"/>
    <w:pPr>
      <w:widowControl/>
    </w:pPr>
    <w:rPr>
      <w:rFonts w:ascii="宋体" w:hAnsi="宋体" w:cs="宋体"/>
      <w:b/>
      <w:color w:val="000000"/>
      <w:position w:val="-10"/>
      <w:sz w:val="28"/>
      <w:szCs w:val="28"/>
    </w:rPr>
  </w:style>
  <w:style w:type="paragraph" w:customStyle="1" w:styleId="648">
    <w:name w:val="p19"/>
    <w:basedOn w:val="1"/>
    <w:qFormat/>
    <w:uiPriority w:val="0"/>
    <w:pPr>
      <w:widowControl/>
    </w:pPr>
    <w:rPr>
      <w:rFonts w:ascii="宋体" w:hAnsi="宋体" w:cs="宋体"/>
      <w:b/>
      <w:color w:val="000000"/>
      <w:position w:val="-10"/>
      <w:sz w:val="28"/>
      <w:szCs w:val="28"/>
    </w:rPr>
  </w:style>
  <w:style w:type="paragraph" w:customStyle="1" w:styleId="649">
    <w:name w:val="修订2"/>
    <w:qFormat/>
    <w:uiPriority w:val="99"/>
    <w:rPr>
      <w:rFonts w:ascii="Times New Roman" w:hAnsi="Times New Roman" w:eastAsia="宋体" w:cs="Times New Roman"/>
      <w:sz w:val="21"/>
      <w:szCs w:val="22"/>
      <w:lang w:val="en-US" w:eastAsia="zh-CN" w:bidi="ar-SA"/>
    </w:rPr>
  </w:style>
  <w:style w:type="character" w:customStyle="1" w:styleId="650">
    <w:name w:val="日期 字符"/>
    <w:basedOn w:val="35"/>
    <w:link w:val="19"/>
    <w:qFormat/>
    <w:uiPriority w:val="99"/>
    <w:rPr>
      <w:sz w:val="21"/>
      <w:szCs w:val="22"/>
    </w:rPr>
  </w:style>
  <w:style w:type="character" w:customStyle="1" w:styleId="651">
    <w:name w:val="列表段落 字符"/>
    <w:link w:val="436"/>
    <w:qFormat/>
    <w:uiPriority w:val="34"/>
    <w:rPr>
      <w:rFonts w:ascii="Calibri" w:hAnsi="Calibri"/>
      <w:sz w:val="21"/>
      <w:szCs w:val="22"/>
    </w:rPr>
  </w:style>
  <w:style w:type="character" w:customStyle="1" w:styleId="652">
    <w:name w:val="正文文本缩进 字符"/>
    <w:basedOn w:val="35"/>
    <w:link w:val="15"/>
    <w:qFormat/>
    <w:uiPriority w:val="99"/>
    <w:rPr>
      <w:sz w:val="21"/>
      <w:szCs w:val="22"/>
    </w:rPr>
  </w:style>
  <w:style w:type="character" w:customStyle="1" w:styleId="653">
    <w:name w:val="标题 2 Char"/>
    <w:qFormat/>
    <w:uiPriority w:val="0"/>
    <w:rPr>
      <w:rFonts w:ascii="Cambria" w:hAnsi="Cambria" w:eastAsia="宋体" w:cs="Times New Roman"/>
      <w:b/>
      <w:bCs/>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63</Pages>
  <Words>20918</Words>
  <Characters>22419</Characters>
  <Lines>1168</Lines>
  <Paragraphs>1250</Paragraphs>
  <TotalTime>16</TotalTime>
  <ScaleCrop>false</ScaleCrop>
  <LinksUpToDate>false</LinksUpToDate>
  <CharactersWithSpaces>22731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2025-04-14T07:55:00Z</dcterms:created>
  <dc:creator>Adminis</dc:creator>
  <cp:lastModifiedBy>nini</cp:lastModifiedBy>
  <cp:lastPrinted>2025-11-26T08:35:00Z</cp:lastPrinted>
  <dcterms:modified xsi:type="dcterms:W3CDTF">2025-11-28T01:36:13Z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F3A4338A9622435899689C8B5FA60CE8_13</vt:lpwstr>
  </property>
  <property fmtid="{D5CDD505-2E9C-101B-9397-08002B2CF9AE}" pid="4" name="KSOTemplateDocerSaveRecord">
    <vt:lpwstr>eyJoZGlkIjoiY2IzOGVkMDU5ZWY0YjE2NjQyNDYzOGIyZjY2MTU3NmUiLCJ1c2VySWQiOiIxMjkxNjQxOTA0In0=</vt:lpwstr>
  </property>
</Properties>
</file>