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left="0"/>
        <w:rPr>
          <w:rFonts w:eastAsia="宋体"/>
          <w:color w:val="000000" w:themeColor="text1"/>
          <w:highlight w:val="none"/>
          <w:lang w:val="en-US"/>
          <w14:textFill>
            <w14:solidFill>
              <w14:schemeClr w14:val="tx1"/>
            </w14:solidFill>
          </w14:textFill>
        </w:rPr>
      </w:pPr>
      <w:r>
        <w:rPr>
          <w:rFonts w:eastAsia="宋体"/>
          <w:color w:val="000000" w:themeColor="text1"/>
          <w:highlight w:val="none"/>
          <w:lang w:val="en-US"/>
          <w14:textFill>
            <w14:solidFill>
              <w14:schemeClr w14:val="tx1"/>
            </w14:solidFill>
          </w14:textFill>
        </w:rPr>
      </w:r>
      <w:r/>
    </w:p>
    <w:p>
      <w:pPr>
        <w:pStyle w:val="1035"/>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招　标　文　件</w:t>
      </w:r>
      <w:r/>
    </w:p>
    <w:p>
      <w:pPr>
        <w:ind w:firstLine="1506"/>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1506"/>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602"/>
        <w:rPr>
          <w:b/>
          <w:color w:val="000000" w:themeColor="text1"/>
          <w:sz w:val="30"/>
          <w:szCs w:val="30"/>
          <w:highlight w:val="none"/>
          <w:u w:val="singl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项目名称：</w:t>
      </w:r>
      <w:r>
        <w:rPr>
          <w:rFonts w:hint="eastAsia"/>
          <w:b/>
          <w:color w:val="000000" w:themeColor="text1"/>
          <w:sz w:val="32"/>
          <w:szCs w:val="32"/>
          <w:highlight w:val="none"/>
          <w:lang w:eastAsia="zh-CN"/>
          <w14:textFill>
            <w14:solidFill>
              <w14:schemeClr w14:val="tx1"/>
            </w14:solidFill>
          </w14:textFill>
        </w:rPr>
        <w:t xml:space="preserve">南京中华中等专业学校办公设施（2）</w:t>
      </w:r>
      <w:r/>
    </w:p>
    <w:p>
      <w:pPr>
        <w:ind w:firstLine="1506"/>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602"/>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项目编号：</w:t>
      </w:r>
      <w:r>
        <w:rPr>
          <w:rFonts w:hint="eastAsia"/>
          <w:b/>
          <w:color w:val="000000" w:themeColor="text1"/>
          <w:sz w:val="30"/>
          <w:szCs w:val="30"/>
          <w:highlight w:val="none"/>
          <w:lang w:eastAsia="zh-CN"/>
          <w14:textFill>
            <w14:solidFill>
              <w14:schemeClr w14:val="tx1"/>
            </w14:solidFill>
          </w14:textFill>
        </w:rPr>
        <w:t xml:space="preserve">JSZC-320114-NJXN-G2026-0008</w:t>
      </w:r>
      <w:r>
        <w:rPr>
          <w:rFonts w:hint="eastAsia"/>
          <w:b/>
          <w:color w:val="000000" w:themeColor="text1"/>
          <w:sz w:val="30"/>
          <w:szCs w:val="30"/>
          <w:highlight w:val="none"/>
          <w14:textFill>
            <w14:solidFill>
              <w14:schemeClr w14:val="tx1"/>
            </w14:solidFill>
          </w14:textFill>
        </w:rPr>
        <w:t xml:space="preserve">              </w:t>
      </w:r>
      <w:r/>
    </w:p>
    <w:p>
      <w:pPr>
        <w:jc w:val="center"/>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1506"/>
        <w:jc w:val="both"/>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（货物类项目，</w:t>
      </w:r>
      <w:r>
        <w:rPr>
          <w:rFonts w:hint="eastAsia" w:ascii="宋体" w:hAnsi="宋体" w:cs="宋体"/>
          <w:b/>
          <w:bCs/>
          <w:color w:val="000000" w:themeColor="text1"/>
          <w:sz w:val="30"/>
          <w:szCs w:val="30"/>
          <w:highlight w:val="none"/>
          <w14:textFill>
            <w14:solidFill>
              <w14:schemeClr w14:val="tx1"/>
            </w14:solidFill>
          </w14:textFill>
        </w:rPr>
        <w:t xml:space="preserve">非专门</w:t>
      </w:r>
      <w:r>
        <w:rPr>
          <w:rFonts w:hint="eastAsia"/>
          <w:b/>
          <w:color w:val="000000" w:themeColor="text1"/>
          <w:sz w:val="30"/>
          <w:szCs w:val="30"/>
          <w:highlight w:val="none"/>
          <w14:textFill>
            <w14:solidFill>
              <w14:schemeClr w14:val="tx1"/>
            </w14:solidFill>
          </w14:textFill>
        </w:rPr>
        <w:t xml:space="preserve">面向中小企业）</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035"/>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5"/>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5"/>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5"/>
        <w:ind w:firstLine="0"/>
        <w:jc w:val="both"/>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5"/>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jc w:val="center"/>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南京信诺工程造价咨询有限责任公司</w:t>
      </w:r>
      <w:r/>
    </w:p>
    <w:p>
      <w:pPr>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2026年0</w:t>
      </w:r>
      <w:r>
        <w:rPr>
          <w:rFonts w:hint="eastAsia"/>
          <w:b/>
          <w:color w:val="000000" w:themeColor="text1"/>
          <w:sz w:val="32"/>
          <w:szCs w:val="32"/>
          <w:highlight w:val="none"/>
          <w:lang w:val="en-US" w:eastAsia="zh-CN"/>
          <w14:textFill>
            <w14:solidFill>
              <w14:schemeClr w14:val="tx1"/>
            </w14:solidFill>
          </w14:textFill>
        </w:rPr>
        <w:t xml:space="preserve">7</w:t>
      </w:r>
      <w:r>
        <w:rPr>
          <w:rFonts w:hint="eastAsia"/>
          <w:b/>
          <w:color w:val="000000" w:themeColor="text1"/>
          <w:sz w:val="32"/>
          <w:szCs w:val="32"/>
          <w:highlight w:val="none"/>
          <w14:textFill>
            <w14:solidFill>
              <w14:schemeClr w14:val="tx1"/>
            </w14:solidFill>
          </w14:textFill>
        </w:rPr>
        <w:t xml:space="preserve">月</w:t>
      </w:r>
      <w:r/>
    </w:p>
    <w:p>
      <w:pPr>
        <w:jc w:val="left"/>
        <w:spacing w:before="120" w:after="120" w:line="360" w:lineRule="auto"/>
        <w:rPr>
          <w:rFonts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spacing w:line="480" w:lineRule="auto"/>
        <w:rPr>
          <w:color w:val="000000" w:themeColor="text1"/>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r>
      <w:r/>
    </w:p>
    <w:p>
      <w:pPr>
        <w:jc w:val="center"/>
        <w:spacing w:line="480" w:lineRule="auto"/>
        <w:rPr>
          <w:rFonts w:ascii="黑体" w:hAnsi="Arial" w:eastAsia="黑体"/>
          <w:b/>
          <w:color w:val="000000" w:themeColor="text1"/>
          <w:sz w:val="44"/>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spacing w:line="480" w:lineRule="auto"/>
        <w:rPr>
          <w:rFonts w:ascii="仿宋_GB2312" w:hAnsi="Arial" w:eastAsia="仿宋_GB2312"/>
          <w:b/>
          <w:color w:val="000000" w:themeColor="text1"/>
          <w:sz w:val="28"/>
          <w:szCs w:val="21"/>
          <w:highlight w:val="none"/>
          <w14:textFill>
            <w14:solidFill>
              <w14:schemeClr w14:val="tx1"/>
            </w14:solidFill>
          </w14:textFill>
        </w:rPr>
      </w:pPr>
      <w:r>
        <w:rPr>
          <w:rFonts w:ascii="仿宋_GB2312" w:hAnsi="Arial" w:eastAsia="仿宋_GB2312"/>
          <w:b/>
          <w:color w:val="000000" w:themeColor="text1"/>
          <w:sz w:val="28"/>
          <w:szCs w:val="21"/>
          <w:highlight w:val="none"/>
          <w14:textFill>
            <w14:solidFill>
              <w14:schemeClr w14:val="tx1"/>
            </w14:solidFill>
          </w14:textFill>
        </w:rPr>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投标邀请…………………………………… </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1</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投标人须知………………………………… </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4</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合同文本……………………………………1</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5</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采购需求……………………………………1</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9</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评标方法与评标标准………………………</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40</w:t>
      </w:r>
      <w:r/>
    </w:p>
    <w:p>
      <w:pPr>
        <w:numPr>
          <w:ilvl w:val="0"/>
          <w:numId w:val="4"/>
        </w:numPr>
        <w:jc w:val="center"/>
        <w:spacing w:line="480" w:lineRule="auto"/>
        <w:rPr>
          <w:rFonts w:hint="default" w:ascii="黑体" w:hAnsi="宋体" w:eastAsia="黑体"/>
          <w:color w:val="000000" w:themeColor="text1"/>
          <w:sz w:val="36"/>
          <w:szCs w:val="21"/>
          <w:highlight w:val="none"/>
          <w:lang w:val="en-US"/>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投标文件格式………………………………</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44</w:t>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93"/>
        <w:rPr>
          <w:rFonts w:ascii="Times New Roman" w:hAnsi="Times New Roman"/>
          <w:color w:val="000000" w:themeColor="text1"/>
          <w:szCs w:val="21"/>
          <w:highlight w:val="none"/>
          <w:lang w:eastAsia="zh-CN"/>
          <w14:textFill>
            <w14:solidFill>
              <w14:schemeClr w14:val="tx1"/>
            </w14:solidFill>
          </w14:textFill>
        </w:rPr>
      </w:pPr>
      <w:r>
        <w:rPr>
          <w:rFonts w:ascii="Times New Roman" w:hAnsi="Times New Roman"/>
          <w:color w:val="000000" w:themeColor="text1"/>
          <w:szCs w:val="21"/>
          <w:highlight w:val="none"/>
          <w:lang w:eastAsia="zh-CN"/>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93"/>
        <w:rPr>
          <w:rFonts w:ascii="Times New Roman" w:hAnsi="Times New Roman"/>
          <w:color w:val="000000" w:themeColor="text1"/>
          <w:szCs w:val="21"/>
          <w:highlight w:val="none"/>
          <w:lang w:eastAsia="zh-CN"/>
          <w14:textFill>
            <w14:solidFill>
              <w14:schemeClr w14:val="tx1"/>
            </w14:solidFill>
          </w14:textFill>
        </w:rPr>
      </w:pPr>
      <w:r>
        <w:rPr>
          <w:rFonts w:ascii="Times New Roman" w:hAnsi="Times New Roman"/>
          <w:color w:val="000000" w:themeColor="text1"/>
          <w:szCs w:val="21"/>
          <w:highlight w:val="none"/>
          <w:lang w:eastAsia="zh-CN"/>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93"/>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sectPr>
          <w:footnotePr/>
          <w:endnotePr/>
          <w:type w:val="nextPage"/>
          <w:pgSz w:w="11906" w:h="16839" w:orient="portrait"/>
          <w:pgMar w:top="1426" w:right="877" w:bottom="1587" w:left="1369" w:header="0" w:footer="0" w:gutter="0"/>
          <w:cols w:num="1" w:sep="0" w:space="720" w:equalWidth="1"/>
          <w:docGrid w:linePitch="360"/>
        </w:sect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第一章  </w:t>
      </w:r>
      <w:bookmarkEnd w:id="0"/>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投标邀请</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u w:val="single"/>
          <w14:textFill>
            <w14:solidFill>
              <w14:schemeClr w14:val="tx1"/>
            </w14:solidFill>
          </w14:textFill>
        </w:rPr>
        <w:t xml:space="preserve">南京中华中等专业学校</w:t>
      </w:r>
      <w:r>
        <w:rPr>
          <w:rFonts w:hint="eastAsia" w:ascii="宋体" w:hAnsi="宋体"/>
          <w:color w:val="000000" w:themeColor="text1"/>
          <w:sz w:val="24"/>
          <w:szCs w:val="24"/>
          <w:highlight w:val="none"/>
          <w14:textFill>
            <w14:solidFill>
              <w14:schemeClr w14:val="tx1"/>
            </w14:solidFill>
          </w14:textFill>
        </w:rPr>
        <w:t xml:space="preserve">委托，</w:t>
      </w:r>
      <w:r>
        <w:rPr>
          <w:rFonts w:hint="eastAsia" w:ascii="宋体" w:hAnsi="宋体"/>
          <w:color w:val="000000" w:themeColor="text1"/>
          <w:sz w:val="24"/>
          <w:szCs w:val="24"/>
          <w:highlight w:val="none"/>
          <w:u w:val="single"/>
          <w14:textFill>
            <w14:solidFill>
              <w14:schemeClr w14:val="tx1"/>
            </w14:solidFill>
          </w14:textFill>
        </w:rPr>
        <w:t xml:space="preserve">南京信诺工程造价咨询有限责任公司</w:t>
      </w:r>
      <w:r>
        <w:rPr>
          <w:rFonts w:hint="eastAsia" w:ascii="宋体" w:hAnsi="宋体"/>
          <w:color w:val="000000" w:themeColor="text1"/>
          <w:sz w:val="24"/>
          <w:szCs w:val="24"/>
          <w:highlight w:val="none"/>
          <w14:textFill>
            <w14:solidFill>
              <w14:schemeClr w14:val="tx1"/>
            </w14:solidFill>
          </w14:textFill>
        </w:rPr>
        <w:t xml:space="preserve">（以下简称“采购代理”）就</w:t>
      </w:r>
      <w:r>
        <w:rPr>
          <w:rFonts w:hint="eastAsia" w:ascii="宋体" w:hAnsi="宋体"/>
          <w:color w:val="000000" w:themeColor="text1"/>
          <w:sz w:val="24"/>
          <w:szCs w:val="24"/>
          <w:highlight w:val="none"/>
          <w:u w:val="single"/>
          <w:lang w:eastAsia="zh-CN"/>
          <w14:textFill>
            <w14:solidFill>
              <w14:schemeClr w14:val="tx1"/>
            </w14:solidFill>
          </w14:textFill>
        </w:rPr>
        <w:t xml:space="preserve">南京中华中等专业学校办公设施（2）</w:t>
      </w:r>
      <w:r>
        <w:rPr>
          <w:rFonts w:hint="eastAsia" w:ascii="宋体" w:hAnsi="宋体"/>
          <w:color w:val="000000" w:themeColor="text1"/>
          <w:sz w:val="24"/>
          <w:szCs w:val="24"/>
          <w:highlight w:val="none"/>
          <w14:textFill>
            <w14:solidFill>
              <w14:schemeClr w14:val="tx1"/>
            </w14:solidFill>
          </w14:textFill>
        </w:rPr>
        <w:t xml:space="preserve">项目进行公开招标采购，欢迎符合条件的</w:t>
      </w: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投标。</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252"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JSZC-320114-NJXN-G2026-0008</w:t>
      </w:r>
      <w:r/>
    </w:p>
    <w:p>
      <w:pPr>
        <w:ind w:firstLine="480"/>
        <w:spacing w:line="252"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南京中华中等专业学校办公设施（2）</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143.00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4.最高限价：</w:t>
      </w:r>
      <w:r>
        <w:rPr>
          <w:rFonts w:ascii="SimSun" w:hAnsi="SimSun" w:eastAsia="SimSun" w:cs="SimSun"/>
          <w:color w:val="000000"/>
          <w:sz w:val="24"/>
        </w:rPr>
        <w:t xml:space="preserve">142.4743</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252"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5.采购需求：南京中华中等专业学校</w:t>
      </w:r>
      <w:r>
        <w:rPr>
          <w:rFonts w:hint="eastAsia" w:ascii="宋体" w:hAnsi="宋体"/>
          <w:color w:val="000000" w:themeColor="text1"/>
          <w:sz w:val="24"/>
          <w:szCs w:val="24"/>
          <w:highlight w:val="none"/>
          <w:lang w:val="en-US" w:eastAsia="zh-CN"/>
          <w14:textFill>
            <w14:solidFill>
              <w14:schemeClr w14:val="tx1"/>
            </w14:solidFill>
          </w14:textFill>
        </w:rPr>
        <w:t xml:space="preserve">办公设施、教学设施设备及家具</w:t>
      </w:r>
      <w:r>
        <w:rPr>
          <w:rFonts w:hint="eastAsia" w:ascii="宋体" w:hAnsi="宋体"/>
          <w:color w:val="000000" w:themeColor="text1"/>
          <w:sz w:val="24"/>
          <w:szCs w:val="24"/>
          <w:highlight w:val="none"/>
          <w14:textFill>
            <w14:solidFill>
              <w14:schemeClr w14:val="tx1"/>
            </w14:solidFill>
          </w14:textFill>
        </w:rPr>
        <w:t xml:space="preserve">采购。</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 </w:t>
      </w:r>
      <w:r/>
    </w:p>
    <w:p>
      <w:pPr>
        <w:ind w:firstLine="480"/>
        <w:spacing w:line="252"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ascii="宋体" w:hAnsi="宋体" w:cs="宋体"/>
          <w:color w:val="000000" w:themeColor="text1"/>
          <w:sz w:val="24"/>
          <w:szCs w:val="24"/>
          <w:highlight w:val="none"/>
          <w14:textFill>
            <w14:solidFill>
              <w14:schemeClr w14:val="tx1"/>
            </w14:solidFill>
          </w14:textFill>
        </w:rPr>
        <w:t xml:space="preserve">合同签订后</w:t>
      </w:r>
      <w:r>
        <w:rPr>
          <w:rFonts w:hint="eastAsia" w:ascii="宋体" w:hAnsi="宋体" w:cs="宋体"/>
          <w:bCs/>
          <w:color w:val="000000" w:themeColor="text1"/>
          <w:sz w:val="24"/>
          <w:szCs w:val="24"/>
          <w:highlight w:val="none"/>
          <w14:textFill>
            <w14:solidFill>
              <w14:schemeClr w14:val="tx1"/>
            </w14:solidFill>
          </w14:textFill>
        </w:rPr>
        <w:t xml:space="preserve">35</w:t>
      </w:r>
      <w:r>
        <w:rPr>
          <w:rFonts w:ascii="宋体" w:hAnsi="宋体" w:cs="宋体"/>
          <w:color w:val="000000" w:themeColor="text1"/>
          <w:sz w:val="24"/>
          <w:szCs w:val="24"/>
          <w:highlight w:val="none"/>
          <w14:textFill>
            <w14:solidFill>
              <w14:schemeClr w14:val="tx1"/>
            </w14:solidFill>
          </w14:textFill>
        </w:rPr>
        <w:t xml:space="preserve">天内交付并完成安装调试及验收等相关工作</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7.本项目不接受进口产品投标。</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8.本项目不接受联合体投标。</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2" w:name="_Toc35393622"/>
      <w:r/>
      <w:bookmarkStart w:id="13" w:name="_Toc28359080"/>
      <w:r/>
      <w:bookmarkStart w:id="14" w:name="_Toc38985264"/>
      <w:r/>
      <w:bookmarkStart w:id="15" w:name="_Toc35393791"/>
      <w:r/>
      <w:bookmarkStart w:id="16" w:name="_Toc28359003"/>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17" w:name="_Toc28359004"/>
      <w:r/>
      <w:bookmarkStart w:id="18" w:name="_Toc35393623"/>
      <w:r/>
      <w:bookmarkStart w:id="19" w:name="_Toc38985265"/>
      <w:r/>
      <w:bookmarkStart w:id="20" w:name="_Toc28359081"/>
      <w:r/>
      <w:bookmarkStart w:id="21" w:name="_Toc35393792"/>
      <w:r>
        <w:rPr>
          <w:rFonts w:hint="eastAsia" w:ascii="宋体" w:hAnsi="宋体" w:cs="宋体"/>
          <w:color w:val="000000" w:themeColor="text1"/>
          <w:sz w:val="24"/>
          <w:szCs w:val="24"/>
          <w:highlight w:val="none"/>
          <w14:textFill>
            <w14:solidFill>
              <w14:schemeClr w14:val="tx1"/>
            </w14:solidFill>
          </w14:textFill>
        </w:rPr>
        <w:t xml:space="preserve">（一）通用资格要求</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（1）具有独立承担民事责任的能力（法人或者其他组织提供营业执照或法人证书或组织机构代码证，自然人提供身份证）；</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（3）具有履行合同所必需的设备和专业技术能力（根据项目需求提供履行合同所必需的设备和专业技术能力的证明材料或承诺书原件扫描件加盖公章）；</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（4）有依法缴纳税收和社会保障资金的良好记录（提供参加本次政府采购活动前一年内（至少一个月）依法缴纳税收和社会保障资金的相关材料复印件加盖供应商公章）；</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（6）法律、行政法规规定的其他条件：无。</w:t>
      </w:r>
      <w:r/>
    </w:p>
    <w:p>
      <w:pPr>
        <w:ind w:firstLine="480"/>
        <w:rPr>
          <w:color w:val="000000" w:themeColor="text1"/>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rPr>
          <w:rFonts w:ascii="宋体" w:hAnsi="宋体" w:cs="宋体"/>
          <w:color w:val="000000" w:themeColor="text1"/>
          <w:sz w:val="24"/>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（1）符合国家相关规定的财务状况报告；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（2）依法缴纳税收的证明材料；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（3）依法缴纳社会保障资金的证明材料；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（4）具备履行政府采购合同所必需的设备和专业技术能力的证明材料；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（5）参加政府采购活动前三年内在经营活动中没有重大违法记录的证明材料； </w:t>
      </w:r>
      <w:r/>
    </w:p>
    <w:p>
      <w:pPr>
        <w:ind w:firstLine="480"/>
        <w:rPr>
          <w:rFonts w:hint="eastAsia" w:ascii="宋体" w:hAnsi="宋体"/>
          <w:color w:val="000000" w:themeColor="text1"/>
          <w:sz w:val="24"/>
          <w:szCs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（6）未被列入失信被执行人、重大税收违法失信主体、政府采购严重违法失信行为记录名单的证明材料。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2.落实政府采购政策需满足的资格要求：无。</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本项目采购标的对应的中小企业划分标准所属行业为：</w:t>
      </w:r>
      <w:r>
        <w:rPr>
          <w:rFonts w:hint="eastAsia" w:ascii="宋体" w:hAnsi="宋体"/>
          <w:color w:val="000000" w:themeColor="text1"/>
          <w:sz w:val="24"/>
          <w:szCs w:val="24"/>
          <w:highlight w:val="none"/>
          <w14:textFill>
            <w14:solidFill>
              <w14:schemeClr w14:val="tx1"/>
            </w14:solidFill>
          </w14:textFill>
        </w:rPr>
        <w:t xml:space="preserve">工</w:t>
      </w:r>
      <w:r>
        <w:rPr>
          <w:rFonts w:hint="eastAsia" w:ascii="宋体" w:hAnsi="宋体"/>
          <w:color w:val="000000" w:themeColor="text1"/>
          <w:sz w:val="24"/>
          <w:szCs w:val="24"/>
          <w:highlight w:val="none"/>
          <w:lang w:val="zh-CN"/>
          <w14:textFill>
            <w14:solidFill>
              <w14:schemeClr w14:val="tx1"/>
            </w14:solidFill>
          </w14:textFill>
        </w:rPr>
        <w:t xml:space="preserve">业。</w:t>
      </w:r>
      <w:r>
        <w:rPr>
          <w:rFonts w:hint="eastAsia" w:ascii="宋体" w:hAnsi="宋体"/>
          <w:color w:val="000000" w:themeColor="text1"/>
          <w:sz w:val="24"/>
          <w:szCs w:val="24"/>
          <w:highlight w:val="none"/>
          <w14:textFill>
            <w14:solidFill>
              <w14:schemeClr w14:val="tx1"/>
            </w14:solidFill>
          </w14:textFill>
        </w:rPr>
        <w:t xml:space="preserve">根据《中小企业划型标准规定》（工信部联企业</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w:t>
      </w:r>
      <w:bookmarkStart w:id="213" w:name="_GoBack"/>
      <w:r/>
      <w:bookmarkEnd w:id="213"/>
      <w:r>
        <w:rPr>
          <w:rFonts w:hint="eastAsia" w:ascii="宋体" w:hAnsi="宋体"/>
          <w:color w:val="000000" w:themeColor="text1"/>
          <w:sz w:val="24"/>
          <w:szCs w:val="24"/>
          <w:highlight w:val="none"/>
          <w14:textFill>
            <w14:solidFill>
              <w14:schemeClr w14:val="tx1"/>
            </w14:solidFill>
          </w14:textFill>
        </w:rPr>
        <w:t xml:space="preserve">或营业收入300万元以下的为微型企业。</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（二）本项目特定资格要求：</w:t>
      </w:r>
      <w:r>
        <w:rPr>
          <w:rFonts w:hint="eastAsia" w:ascii="宋体" w:hAnsi="宋体"/>
          <w:color w:val="000000" w:themeColor="text1"/>
          <w:sz w:val="24"/>
          <w:szCs w:val="24"/>
          <w:highlight w:val="none"/>
          <w14:textFill>
            <w14:solidFill>
              <w14:schemeClr w14:val="tx1"/>
            </w14:solidFill>
          </w14:textFill>
        </w:rPr>
        <w:t xml:space="preserve">无。</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252"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2.方式：在“江苏政府采购网”免费下载。</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四、提交投标文件</w:t>
      </w:r>
      <w:bookmarkEnd w:id="22"/>
      <w:r/>
      <w:bookmarkEnd w:id="23"/>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252" w:lineRule="auto"/>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1.提交投标文件截止时间、开标时间：</w:t>
      </w:r>
      <w:r>
        <w:rPr>
          <w:rFonts w:hint="eastAsia" w:ascii="宋体" w:hAnsi="宋体" w:cs="宋体"/>
          <w:bCs/>
          <w:color w:val="000000" w:themeColor="text1"/>
          <w:sz w:val="24"/>
          <w:szCs w:val="24"/>
          <w:highlight w:val="none"/>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年</w:t>
      </w: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月</w:t>
      </w:r>
      <w:r>
        <w:rPr>
          <w:rFonts w:hint="eastAsia" w:ascii="宋体" w:hAnsi="宋体"/>
          <w:bCs/>
          <w:color w:val="000000" w:themeColor="text1"/>
          <w:sz w:val="24"/>
          <w:szCs w:val="24"/>
          <w:highlight w:val="none"/>
          <w:lang w:val="en-US" w:eastAsia="zh-CN"/>
          <w14:textFill>
            <w14:solidFill>
              <w14:schemeClr w14:val="tx1"/>
            </w14:solidFill>
          </w14:textFill>
        </w:rPr>
        <w:t xml:space="preserve">28</w:t>
      </w:r>
      <w:r>
        <w:rPr>
          <w:rFonts w:hint="eastAsia" w:ascii="宋体" w:hAnsi="宋体"/>
          <w:bCs/>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14:textFill>
            <w14:solidFill>
              <w14:schemeClr w14:val="tx1"/>
            </w14:solidFill>
          </w14:textFill>
        </w:rPr>
        <w:t xml:space="preserve">14</w:t>
      </w:r>
      <w:r>
        <w:rPr>
          <w:rFonts w:hint="eastAsia"/>
          <w:bCs/>
          <w:color w:val="000000" w:themeColor="text1"/>
          <w:sz w:val="24"/>
          <w:szCs w:val="24"/>
          <w:highlight w:val="none"/>
          <w14:textFill>
            <w14:solidFill>
              <w14:schemeClr w14:val="tx1"/>
            </w14:solidFill>
          </w14:textFill>
        </w:rPr>
        <w:t xml:space="preserve">时30</w:t>
      </w:r>
      <w:r>
        <w:rPr>
          <w:rFonts w:hint="eastAsia" w:ascii="宋体" w:hAnsi="宋体"/>
          <w:bCs/>
          <w:color w:val="000000" w:themeColor="text1"/>
          <w:sz w:val="24"/>
          <w:szCs w:val="24"/>
          <w:highlight w:val="none"/>
          <w14:textFill>
            <w14:solidFill>
              <w14:schemeClr w14:val="tx1"/>
            </w14:solidFill>
          </w14:textFill>
        </w:rPr>
        <w:t xml:space="preserve">分（北京时间）。</w:t>
      </w:r>
      <w:r/>
    </w:p>
    <w:p>
      <w:pPr>
        <w:ind w:firstLine="480"/>
        <w:spacing w:line="252" w:lineRule="auto"/>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江苏省政府采购交易系统（以下简称“苏采云系统”）网上开标大厅。</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27" w:name="_Toc35393625"/>
      <w:r/>
      <w:bookmarkStart w:id="28" w:name="_Toc38985267"/>
      <w:r/>
      <w:bookmarkStart w:id="29" w:name="_Toc35393794"/>
      <w:r/>
      <w:bookmarkStart w:id="30" w:name="_Toc28359007"/>
      <w:r/>
      <w:bookmarkStart w:id="31" w:name="_Toc28359084"/>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公告期限为自本公告发布之日起5个工作日。</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000000" w:themeColor="text1"/>
          <w:sz w:val="24"/>
          <w:szCs w:val="24"/>
          <w:highlight w:val="none"/>
          <w14:textFill>
            <w14:solidFill>
              <w14:schemeClr w14:val="tx1"/>
            </w14:solidFill>
          </w14:textFill>
        </w:rPr>
      </w:pPr>
      <w:r/>
      <w:bookmarkStart w:id="35" w:name="_Toc38985269"/>
      <w:r/>
      <w:bookmarkStart w:id="36" w:name="_Toc35393627"/>
      <w:r/>
      <w:bookmarkStart w:id="37" w:name="_Toc28359085"/>
      <w:r/>
      <w:bookmarkStart w:id="38" w:name="_Toc28359008"/>
      <w:r/>
      <w:bookmarkStart w:id="39" w:name="_Toc35393796"/>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firstLine="480"/>
        <w:spacing w:line="252" w:lineRule="auto"/>
        <w:tabs>
          <w:tab w:val="left" w:pos="9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本项目不组织</w:t>
      </w:r>
      <w:r>
        <w:rPr>
          <w:rFonts w:hint="eastAsia" w:ascii="宋体" w:hAnsi="宋体"/>
          <w:color w:val="000000" w:themeColor="text1"/>
          <w:sz w:val="24"/>
          <w:szCs w:val="24"/>
          <w:highlight w:val="none"/>
          <w14:textFill>
            <w14:solidFill>
              <w14:schemeClr w14:val="tx1"/>
            </w14:solidFill>
          </w14:textFill>
        </w:rPr>
        <w:t xml:space="preserve">勘察及答疑</w:t>
      </w:r>
      <w:r>
        <w:rPr>
          <w:rFonts w:hint="eastAsia" w:ascii="宋体" w:hAnsi="宋体" w:cs="宋体"/>
          <w:color w:val="000000" w:themeColor="text1"/>
          <w:sz w:val="24"/>
          <w:szCs w:val="24"/>
          <w:highlight w:val="none"/>
          <w14:textFill>
            <w14:solidFill>
              <w14:schemeClr w14:val="tx1"/>
            </w14:solidFill>
          </w14:textFill>
        </w:rPr>
        <w:t xml:space="preserve">，供应商如对采购需求有疑问，请咨询采购单位联系人。 </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"http://www.ccgp-jiangsu.gov.cn/jiangsu/zlxz/ee/ee3a4bc5a3454aa2b0d9312230633ce9.html"</w:instrText>
      </w:r>
      <w:r>
        <w:rPr>
          <w:color w:val="000000" w:themeColor="text1"/>
          <w:highlight w:val="none"/>
          <w14:textFill>
            <w14:solidFill>
              <w14:schemeClr w14:val="tx1"/>
            </w14:solidFill>
          </w14:textFill>
        </w:rPr>
        <w:fldChar w:fldCharType="separate"/>
      </w:r>
      <w:r>
        <w:rPr>
          <w:rStyle w:val="1021"/>
          <w:rFonts w:hint="eastAsia" w:ascii="宋体" w:hAnsi="宋体" w:cs="宋体"/>
          <w:color w:val="000000" w:themeColor="text1"/>
          <w:sz w:val="24"/>
          <w:szCs w:val="24"/>
          <w:highlight w:val="none"/>
          <w14:textFill>
            <w14:solidFill>
              <w14:schemeClr w14:val="tx1"/>
            </w14:solidFill>
          </w14:textFill>
        </w:rPr>
        <w:t xml:space="preserve">下载地址</w:t>
      </w:r>
      <w:r>
        <w:rPr>
          <w:color w:val="000000" w:themeColor="text1"/>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（CTRL+鼠标左键）。</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4.有关本次招标的事项若存在变动或修改，请及时关注“江苏政府采购网”（www.ccgp-jiangsu.gov.cn）更正公告。</w:t>
      </w:r>
      <w:r/>
    </w:p>
    <w:p>
      <w:pPr>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themeColor="text1"/>
          <w:highlight w:val="none"/>
          <w14:textFill>
            <w14:solidFill>
              <w14:schemeClr w14:val="tx1"/>
            </w14:solidFill>
          </w14:textFill>
        </w:rPr>
        <w:t xml:space="preserve">（https://njgc.jfh.com/）</w:t>
      </w:r>
      <w:r>
        <w:rPr>
          <w:rFonts w:ascii="宋体" w:hAnsi="宋体" w:cs="宋体"/>
          <w:color w:val="000000" w:themeColor="text1"/>
          <w:sz w:val="24"/>
          <w:highlight w:val="none"/>
          <w14:textFill>
            <w14:solidFill>
              <w14:schemeClr w14:val="tx1"/>
            </w14:solidFill>
          </w14:textFill>
        </w:rPr>
        <w:t xml:space="preserve">‘南京市政府采购供应商诚信档案’系统链接打开系统页面</w:t>
      </w:r>
      <w:r>
        <w:rPr>
          <w:rFonts w:ascii="宋体" w:hAnsi="宋体" w:cs="宋体"/>
          <w:color w:val="000000" w:themeColor="text1"/>
          <w:highlight w:val="none"/>
          <w14:textFill>
            <w14:solidFill>
              <w14:schemeClr w14:val="tx1"/>
            </w14:solidFill>
          </w14:textFill>
        </w:rPr>
        <w:t xml:space="preserve">（http://180.101.238.212:8280/hodeframe2018_cxda/index.action;jsessionid=769BA9C8E1729422E7173B991C8EC1E5）</w:t>
      </w:r>
      <w:r>
        <w:rPr>
          <w:rFonts w:ascii="宋体" w:hAnsi="宋体" w:cs="宋体"/>
          <w:color w:val="000000" w:themeColor="text1"/>
          <w:sz w:val="24"/>
          <w:highlight w:val="none"/>
          <w14:textFill>
            <w14:solidFill>
              <w14:schemeClr w14:val="tx1"/>
            </w14:solidFill>
          </w14:textFill>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highlight w:val="none"/>
          <w14:textFill>
            <w14:solidFill>
              <w14:schemeClr w14:val="tx1"/>
            </w14:solidFill>
          </w14:textFill>
        </w:rPr>
        <w:t xml:space="preserve">章</w:t>
      </w:r>
      <w:r>
        <w:rPr>
          <w:rFonts w:ascii="宋体" w:hAnsi="宋体" w:cs="宋体"/>
          <w:color w:val="000000" w:themeColor="text1"/>
          <w:sz w:val="24"/>
          <w:highlight w:val="none"/>
          <w14:textFill>
            <w14:solidFill>
              <w14:schemeClr w14:val="tx1"/>
            </w14:solidFill>
          </w14:textFill>
        </w:rPr>
        <w:t xml:space="preserve">并</w:t>
      </w:r>
      <w:r>
        <w:rPr>
          <w:rFonts w:hint="eastAsia" w:ascii="宋体" w:hAnsi="宋体" w:cs="宋体"/>
          <w:color w:val="000000" w:themeColor="text1"/>
          <w:sz w:val="24"/>
          <w:highlight w:val="none"/>
          <w14:textFill>
            <w14:solidFill>
              <w14:schemeClr w14:val="tx1"/>
            </w14:solidFill>
          </w14:textFill>
        </w:rPr>
        <w:t xml:space="preserve">加</w:t>
      </w:r>
      <w:r>
        <w:rPr>
          <w:rFonts w:ascii="宋体" w:hAnsi="宋体" w:cs="宋体"/>
          <w:color w:val="000000" w:themeColor="text1"/>
          <w:sz w:val="24"/>
          <w:highlight w:val="none"/>
          <w14:textFill>
            <w14:solidFill>
              <w14:schemeClr w14:val="tx1"/>
            </w14:solidFill>
          </w14:textFill>
        </w:rPr>
        <w:t xml:space="preserve">盖单位公章，随响应文件一并递交。</w:t>
      </w:r>
      <w:r>
        <w:rPr>
          <w:rFonts w:ascii="宋体" w:hAnsi="宋体" w:cs="宋体"/>
          <w:b/>
          <w:color w:val="000000" w:themeColor="text1"/>
          <w:sz w:val="24"/>
          <w:highlight w:val="none"/>
          <w14:textFill>
            <w14:solidFill>
              <w14:schemeClr w14:val="tx1"/>
            </w14:solidFill>
          </w14:textFill>
        </w:rPr>
        <w:t xml:space="preserve">注：下载打印日期从招标公告发布起至开标前。</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（1）符合国家相关规定的财务状况报告；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（2）依法缴纳税收的证明材料；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（3）依法缴纳社会保障资金的证明材料；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（4）具备履行政府采购合同所必需的设备和专业技术能力的证明材料；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（5）参加政府采购活动前三年内在经营活动中没有重大违法记录的证明材料；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（6）未被列入失信被执行人、重大税收违法失信主体、政府采购严重违法失信行为记录名单的证明材料。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供应商涉及以下情形的，不适用信用承诺：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（1）供应商被列入严重失信主体名单；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（2）被相关监管部门作出行政处罚且尚在处罚有效期内；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（3）其他法律、行政法规规定的不适用信用承诺的情形。 </w:t>
      </w:r>
      <w:r/>
    </w:p>
    <w:p>
      <w:pPr>
        <w:ind w:firstLine="480"/>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拒绝下述供应商参加本次采购活动</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为采购项目提供整体设计、规范编制或者项目管理、监理、检测等服务的供应商，不得参加本项目的采购活动。</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供应商被“信用中国”网站（www.creditchina.gov.cn）、“中国政府采购网”（www.ccgp.gov.cn）列入失信被执行人、重大税收违法案件当事人名单、政府采购严重违法失信行为记录名单。</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1.采购人</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称：南京中华中等专业学校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址：南京市雨花台区雨花西路260号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联系人：漆</w:t>
      </w:r>
      <w:r>
        <w:rPr>
          <w:rFonts w:hint="eastAsia" w:ascii="宋体" w:hAnsi="宋体"/>
          <w:color w:val="000000" w:themeColor="text1"/>
          <w:sz w:val="24"/>
          <w:szCs w:val="24"/>
          <w:highlight w:val="none"/>
          <w:lang w:val="en-US" w:eastAsia="zh-CN"/>
          <w14:textFill>
            <w14:solidFill>
              <w14:schemeClr w14:val="tx1"/>
            </w14:solidFill>
          </w14:textFill>
        </w:rPr>
        <w:t xml:space="preserve">主任</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联系电话：13770691687  </w:t>
      </w:r>
      <w:bookmarkStart w:id="40" w:name="_Toc28359009"/>
      <w:r/>
      <w:bookmarkStart w:id="41" w:name="_Toc28359086"/>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2.采购代理</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称：南京信诺工程造价咨询有限责任公司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址：南京市江北新区浦滨路150号中科创新广场23栋8层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联系人：明</w:t>
      </w:r>
      <w:r>
        <w:rPr>
          <w:rFonts w:hint="eastAsia" w:ascii="宋体" w:hAnsi="宋体"/>
          <w:color w:val="000000" w:themeColor="text1"/>
          <w:sz w:val="24"/>
          <w:szCs w:val="24"/>
          <w:highlight w:val="none"/>
          <w:lang w:val="en-US" w:eastAsia="zh-CN"/>
          <w14:textFill>
            <w14:solidFill>
              <w14:schemeClr w14:val="tx1"/>
            </w14:solidFill>
          </w14:textFill>
        </w:rPr>
        <w:t xml:space="preserve">工</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联系电话：15720826001  </w:t>
      </w:r>
      <w:bookmarkEnd w:id="40"/>
      <w:r/>
      <w:bookmarkEnd w:id="41"/>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ascii="宋体" w:hAnsi="宋体"/>
          <w:color w:val="000000" w:themeColor="text1"/>
          <w:sz w:val="24"/>
          <w:szCs w:val="24"/>
          <w:highlight w:val="none"/>
          <w14:textFill>
            <w14:solidFill>
              <w14:schemeClr w14:val="tx1"/>
            </w14:solidFill>
          </w14:textFill>
        </w:rPr>
        <w:br w:type="page" w:clear="all"/>
      </w:r>
      <w:bookmarkStart w:id="42" w:name="_Toc120614211"/>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47" w:name="_Toc513029203"/>
      <w:r/>
      <w:bookmarkStart w:id="48" w:name="_Toc20823275"/>
      <w:r/>
      <w:bookmarkStart w:id="49" w:name="_Toc120614214"/>
      <w:r/>
      <w:bookmarkStart w:id="50" w:name="_Toc16938519"/>
      <w:r/>
      <w:bookmarkStart w:id="51" w:name="_Toc120614221"/>
      <w:r/>
      <w:bookmarkStart w:id="52" w:name="_Toc479757207"/>
      <w:r/>
      <w:bookmarkStart w:id="53" w:name="_Toc513029242"/>
      <w:r/>
      <w:bookmarkStart w:id="54" w:name="_Toc16938558"/>
      <w:r/>
      <w:bookmarkStart w:id="55" w:name="_Toc20823314"/>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color w:val="000000" w:themeColor="text1"/>
          <w:highlight w:val="none"/>
          <w14:textFill>
            <w14:solidFill>
              <w14:schemeClr w14:val="tx1"/>
            </w14:solidFill>
          </w14:textFill>
        </w:rPr>
        <w:t xml:space="preserve">1</w:t>
      </w:r>
      <w:bookmarkEnd w:id="57"/>
      <w:r>
        <w:rPr>
          <w:rFonts w:hint="eastAsia" w:ascii="方正楷体_GBK" w:hAnsi="方正楷体_GBK" w:eastAsia="方正楷体_GBK" w:cs="方正楷体_GBK"/>
          <w:color w:val="000000" w:themeColor="text1"/>
          <w:highlight w:val="none"/>
          <w14:textFill>
            <w14:solidFill>
              <w14:schemeClr w14:val="tx1"/>
            </w14:solidFill>
          </w14:textFill>
        </w:rPr>
        <w:t xml:space="preserve">.招标方式</w:t>
      </w:r>
      <w:bookmarkEnd w:id="58"/>
      <w:r/>
      <w:bookmarkEnd w:id="59"/>
      <w:r/>
      <w:bookmarkEnd w:id="60"/>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本次招标采取公开招标方式，本文件仅适用于招标公告中所述项目。</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61" w:name="_Toc16938521"/>
      <w:r/>
      <w:bookmarkStart w:id="62" w:name="_Toc20823277"/>
      <w:r/>
      <w:bookmarkStart w:id="63" w:name="_Toc513029205"/>
      <w:r>
        <w:rPr>
          <w:rFonts w:hint="eastAsia" w:ascii="方正楷体_GBK" w:hAnsi="方正楷体_GBK" w:eastAsia="方正楷体_GBK" w:cs="方正楷体_GBK"/>
          <w:color w:val="000000" w:themeColor="text1"/>
          <w:highlight w:val="none"/>
          <w14:textFill>
            <w14:solidFill>
              <w14:schemeClr w14:val="tx1"/>
            </w14:solidFill>
          </w14:textFill>
        </w:rPr>
        <w:t xml:space="preserve">2.合格的投标人</w:t>
      </w:r>
      <w:bookmarkEnd w:id="61"/>
      <w:r/>
      <w:bookmarkEnd w:id="62"/>
      <w:r/>
      <w:bookmarkEnd w:id="63"/>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 满足招标公告对供应商资格要求的规定。</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满足招标文件规定的实质性要求和条件。</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64" w:name="_Toc20823278"/>
      <w:r/>
      <w:bookmarkStart w:id="65" w:name="_Toc16938522"/>
      <w:r/>
      <w:bookmarkStart w:id="66" w:name="_Toc513029206"/>
      <w:r>
        <w:rPr>
          <w:rFonts w:hint="eastAsia" w:ascii="方正楷体_GBK" w:hAnsi="方正楷体_GBK" w:eastAsia="方正楷体_GBK" w:cs="方正楷体_GBK"/>
          <w:color w:val="000000" w:themeColor="text1"/>
          <w:highlight w:val="none"/>
          <w14:textFill>
            <w14:solidFill>
              <w14:schemeClr w14:val="tx1"/>
            </w14:solidFill>
          </w14:textFill>
        </w:rPr>
        <w:t xml:space="preserve">3.适用法律</w:t>
      </w:r>
      <w:bookmarkEnd w:id="64"/>
      <w:r/>
      <w:bookmarkEnd w:id="65"/>
      <w:r/>
      <w:bookmarkEnd w:id="66"/>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 在本项目政府采购活动过程中，如果所执行的标准有更新的，按照最新标准执行。</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67" w:name="_Toc16938523"/>
      <w:r/>
      <w:bookmarkStart w:id="68" w:name="_Toc20823279"/>
      <w:r/>
      <w:bookmarkStart w:id="69" w:name="_Toc513029207"/>
      <w:r/>
      <w:bookmarkStart w:id="70" w:name="_Toc462564067"/>
      <w:r>
        <w:rPr>
          <w:rFonts w:hint="eastAsia" w:ascii="方正楷体_GBK" w:hAnsi="方正楷体_GBK" w:eastAsia="方正楷体_GBK" w:cs="方正楷体_GBK"/>
          <w:color w:val="000000" w:themeColor="text1"/>
          <w:highlight w:val="none"/>
          <w14:textFill>
            <w14:solidFill>
              <w14:schemeClr w14:val="tx1"/>
            </w14:solidFill>
          </w14:textFill>
        </w:rPr>
        <w:t xml:space="preserve">4.投标费用</w:t>
      </w:r>
      <w:bookmarkEnd w:id="67"/>
      <w:r/>
      <w:bookmarkEnd w:id="68"/>
      <w:r/>
      <w:bookmarkEnd w:id="69"/>
      <w:r/>
      <w:bookmarkEnd w:id="70"/>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 投标人应自行承担所有与参加投标有关的费用，无论投标过程中的做法和结果如何，采购代理在任何情况下均无义务和责任承担这些费用。</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本次招标采购人和采购代理不收取标书工本费。</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5.招标文件的约束力</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投标人一旦参加本项目采购活动，即被认为接受了本文件的规定和约束。</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二、招标文件</w:t>
      </w:r>
      <w:bookmarkEnd w:id="71"/>
      <w:r/>
      <w:bookmarkEnd w:id="72"/>
      <w:r/>
      <w:bookmarkEnd w:id="73"/>
      <w:r/>
      <w:bookmarkEnd w:id="74"/>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75" w:name="_Toc513029210"/>
      <w:r/>
      <w:bookmarkStart w:id="76" w:name="_Toc16938526"/>
      <w:r/>
      <w:bookmarkStart w:id="77" w:name="_Toc20823282"/>
      <w:r>
        <w:rPr>
          <w:rFonts w:hint="eastAsia" w:ascii="方正楷体_GBK" w:hAnsi="方正楷体_GBK" w:eastAsia="方正楷体_GBK" w:cs="方正楷体_GBK"/>
          <w:color w:val="000000" w:themeColor="text1"/>
          <w:highlight w:val="none"/>
          <w14:textFill>
            <w14:solidFill>
              <w14:schemeClr w14:val="tx1"/>
            </w14:solidFill>
          </w14:textFill>
        </w:rPr>
        <w:t xml:space="preserve">6.招标文件构成</w:t>
      </w:r>
      <w:bookmarkEnd w:id="75"/>
      <w:r/>
      <w:bookmarkEnd w:id="76"/>
      <w:r/>
      <w:bookmarkEnd w:id="77"/>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 招标文件由以下部分组成：</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（1）投标邀请</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（2）投标人须知</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（3）合同文本</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（5）评标方法与评标标准</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（6）投标文件格式</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投标人应仔细检查招标文件是否齐全，如有缺漏请立即与采购代理联系。</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78" w:name="_Toc513029211"/>
      <w:r/>
      <w:bookmarkStart w:id="79" w:name="_Toc16938527"/>
      <w:r/>
      <w:bookmarkStart w:id="80" w:name="_Toc20823283"/>
      <w:r/>
      <w:bookmarkStart w:id="81" w:name="_Toc462564070"/>
      <w:r>
        <w:rPr>
          <w:rFonts w:hint="eastAsia" w:ascii="方正楷体_GBK" w:hAnsi="方正楷体_GBK" w:eastAsia="方正楷体_GBK" w:cs="方正楷体_GBK"/>
          <w:color w:val="000000" w:themeColor="text1"/>
          <w:highlight w:val="none"/>
          <w14:textFill>
            <w14:solidFill>
              <w14:schemeClr w14:val="tx1"/>
            </w14:solidFill>
          </w14:textFill>
        </w:rPr>
        <w:t xml:space="preserve">7.招标文件的澄清</w:t>
      </w:r>
      <w:bookmarkEnd w:id="78"/>
      <w:r/>
      <w:bookmarkEnd w:id="79"/>
      <w:r/>
      <w:bookmarkEnd w:id="80"/>
      <w:r/>
      <w:bookmarkEnd w:id="81"/>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 任何要求对招标文件进行澄清的投标人，应在投标截止期十日前按招标公告中的通讯地址，以书面形式通知采购代理。</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82" w:name="_Toc20823284"/>
      <w:r/>
      <w:bookmarkStart w:id="83" w:name="_Toc462564071"/>
      <w:r/>
      <w:bookmarkStart w:id="84" w:name="_Toc513029212"/>
      <w:r/>
      <w:bookmarkStart w:id="85" w:name="_Toc16938528"/>
      <w:r>
        <w:rPr>
          <w:rFonts w:hint="eastAsia" w:ascii="方正楷体_GBK" w:hAnsi="方正楷体_GBK" w:eastAsia="方正楷体_GBK" w:cs="方正楷体_GBK"/>
          <w:color w:val="000000" w:themeColor="text1"/>
          <w:highlight w:val="none"/>
          <w14:textFill>
            <w14:solidFill>
              <w14:schemeClr w14:val="tx1"/>
            </w14:solidFill>
          </w14:textFill>
        </w:rPr>
        <w:t xml:space="preserve">8.招标文件的修改</w:t>
      </w:r>
      <w:bookmarkEnd w:id="82"/>
      <w:r/>
      <w:bookmarkEnd w:id="83"/>
      <w:r/>
      <w:bookmarkEnd w:id="84"/>
      <w:r/>
      <w:bookmarkEnd w:id="85"/>
      <w:r/>
      <w:r/>
    </w:p>
    <w:p>
      <w:pPr>
        <w:ind w:firstLine="420"/>
        <w:rPr>
          <w:rFonts w:hint="eastAsia" w:ascii="宋体" w:hAnsi="宋体"/>
          <w:color w:val="000000" w:themeColor="text1"/>
          <w:sz w:val="24"/>
          <w:highlight w:val="none"/>
          <w14:textFill>
            <w14:solidFill>
              <w14:schemeClr w14:val="tx1"/>
            </w14:solidFill>
          </w14:textFill>
        </w:rPr>
      </w:pPr>
      <w:r/>
      <w:bookmarkStart w:id="86" w:name="_Toc16938529"/>
      <w:r/>
      <w:bookmarkStart w:id="87" w:name="_Toc513029213"/>
      <w:r/>
      <w:bookmarkStart w:id="88" w:name="_Toc20823285"/>
      <w:r/>
      <w:bookmarkStart w:id="89" w:name="_Toc462564072"/>
      <w:r/>
      <w:bookmarkStart w:id="90" w:name="_Toc120614216"/>
      <w:r>
        <w:rPr>
          <w:rFonts w:hint="eastAsia" w:ascii="宋体" w:hAnsi="宋体"/>
          <w:color w:val="000000" w:themeColor="text1"/>
          <w:sz w:val="24"/>
          <w:highlight w:val="none"/>
          <w14:textFill>
            <w14:solidFill>
              <w14:schemeClr w14:val="tx1"/>
            </w14:solidFill>
          </w14:textFill>
        </w:rPr>
        <w:t xml:space="preserve">8.1 在投标截止时间前，采购代理可以对招标文件进行修改。招标文件的修改将在原公告媒体发布更正公告，更正内容将作为招标文件的组成部分，并对投标人具有约束力。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8.3 采购代理有权按照法定的要求推迟投标截止日期和开标日期，并在原公告媒体发布更正公告。</w:t>
      </w:r>
      <w:r/>
    </w:p>
    <w:p>
      <w:pPr>
        <w:pStyle w:val="951"/>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三、投标文件的编制</w:t>
      </w:r>
      <w:bookmarkEnd w:id="86"/>
      <w:r/>
      <w:bookmarkEnd w:id="87"/>
      <w:r/>
      <w:bookmarkEnd w:id="88"/>
      <w:r/>
      <w:bookmarkEnd w:id="89"/>
      <w:r/>
      <w:bookmarkEnd w:id="90"/>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color w:val="000000" w:themeColor="text1"/>
          <w:highlight w:val="none"/>
          <w14:textFill>
            <w14:solidFill>
              <w14:schemeClr w14:val="tx1"/>
            </w14:solidFill>
          </w14:textFill>
        </w:rPr>
        <w:t xml:space="preserve">9.投标文件的语言及度量衡单位</w:t>
      </w:r>
      <w:bookmarkEnd w:id="91"/>
      <w:r/>
      <w:bookmarkEnd w:id="92"/>
      <w:r/>
      <w:bookmarkEnd w:id="93"/>
      <w:r/>
      <w:bookmarkEnd w:id="94"/>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 投标人提交的投标文件以及投标人与采购代理就有关投标的所有来往通知、函件和文件均应使用简体中文。</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 除技术性能另有规定外，投标文件所使用的度量衡单位，均须采用国家法定计量单位。</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95" w:name="_Toc20823287"/>
      <w:r/>
      <w:bookmarkStart w:id="96" w:name="_Toc513029215"/>
      <w:r/>
      <w:bookmarkStart w:id="97" w:name="_Toc462564074"/>
      <w:r/>
      <w:bookmarkStart w:id="98" w:name="_Toc16938531"/>
      <w:r>
        <w:rPr>
          <w:rFonts w:hint="eastAsia" w:ascii="方正楷体_GBK" w:hAnsi="方正楷体_GBK" w:eastAsia="方正楷体_GBK" w:cs="方正楷体_GBK"/>
          <w:color w:val="000000" w:themeColor="text1"/>
          <w:highlight w:val="none"/>
          <w14:textFill>
            <w14:solidFill>
              <w14:schemeClr w14:val="tx1"/>
            </w14:solidFill>
          </w14:textFill>
        </w:rPr>
        <w:t xml:space="preserve">10.投标文件构成</w:t>
      </w:r>
      <w:bookmarkEnd w:id="95"/>
      <w:r/>
      <w:bookmarkEnd w:id="96"/>
      <w:r/>
      <w:bookmarkEnd w:id="97"/>
      <w:r/>
      <w:bookmarkEnd w:id="98"/>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99" w:name="_Hlt26954838"/>
      <w:r/>
      <w:bookmarkEnd w:id="99"/>
      <w:r/>
      <w:bookmarkStart w:id="100" w:name="_Hlt26670360"/>
      <w:r/>
      <w:bookmarkEnd w:id="100"/>
      <w:r/>
      <w:bookmarkStart w:id="101" w:name="_Hlt26668975"/>
      <w:r/>
      <w:bookmarkEnd w:id="101"/>
      <w:r/>
      <w:bookmarkStart w:id="102" w:name="_Toc49090507"/>
      <w:r/>
      <w:bookmarkStart w:id="103" w:name="_Toc14577354"/>
      <w:r/>
      <w:bookmarkStart w:id="104" w:name="_Toc513029216"/>
      <w:r/>
      <w:bookmarkStart w:id="105" w:name="_Toc49090509"/>
      <w:r/>
      <w:bookmarkStart w:id="106" w:name="_Toc14577357"/>
      <w:r/>
      <w:bookmarkStart w:id="107" w:name="_Toc513029219"/>
      <w:r>
        <w:rPr>
          <w:rFonts w:hint="eastAsia" w:ascii="方正楷体_GBK" w:hAnsi="方正楷体_GBK" w:eastAsia="方正楷体_GBK" w:cs="方正楷体_GBK"/>
          <w:color w:val="000000" w:themeColor="text1"/>
          <w:highlight w:val="none"/>
          <w14:textFill>
            <w14:solidFill>
              <w14:schemeClr w14:val="tx1"/>
            </w14:solidFill>
          </w14:textFill>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color w:val="000000" w:themeColor="text1"/>
          <w:sz w:val="24"/>
          <w:highlight w:val="none"/>
          <w14:textFill>
            <w14:solidFill>
              <w14:schemeClr w14:val="tx1"/>
            </w14:solidFill>
          </w14:textFill>
        </w:rPr>
      </w:pPr>
      <w:r/>
      <w:bookmarkStart w:id="108" w:name="_Toc14577355"/>
      <w:r/>
      <w:bookmarkStart w:id="109" w:name="_Toc49090508"/>
      <w:r>
        <w:rPr>
          <w:rFonts w:hint="eastAsia" w:ascii="宋体" w:hAnsi="宋体"/>
          <w:color w:val="000000" w:themeColor="text1"/>
          <w:sz w:val="24"/>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 招标文件对证明文件无明确形式要求的，证明文件可以以文字资料、图纸和数据等形式提交。</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12.投标分项报价</w:t>
      </w:r>
      <w:bookmarkEnd w:id="108"/>
      <w:r/>
      <w:bookmarkStart w:id="110" w:name="_Hlt26670373"/>
      <w:r/>
      <w:bookmarkEnd w:id="110"/>
      <w:r>
        <w:rPr>
          <w:rFonts w:hint="eastAsia" w:ascii="方正楷体_GBK" w:hAnsi="方正楷体_GBK" w:eastAsia="方正楷体_GBK" w:cs="方正楷体_GBK"/>
          <w:color w:val="000000" w:themeColor="text1"/>
          <w:highlight w:val="none"/>
          <w14:textFill>
            <w14:solidFill>
              <w14:schemeClr w14:val="tx1"/>
            </w14:solidFill>
          </w14:textFill>
        </w:rPr>
        <w:t xml:space="preserve">表</w:t>
      </w:r>
      <w:bookmarkEnd w:id="109"/>
      <w:r>
        <w:rPr>
          <w:rFonts w:hint="eastAsia" w:ascii="方正楷体_GBK" w:hAnsi="方正楷体_GBK" w:eastAsia="方正楷体_GBK" w:cs="方正楷体_GBK"/>
          <w:color w:val="000000" w:themeColor="text1"/>
          <w:highlight w:val="none"/>
          <w14:textFill>
            <w14:solidFill>
              <w14:schemeClr w14:val="tx1"/>
            </w14:solidFill>
          </w14:textFill>
        </w:rPr>
        <w:t xml:space="preserve">（如有）</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12.1 投</w:t>
      </w:r>
      <w:bookmarkStart w:id="111" w:name="_Hlt26954840"/>
      <w:r/>
      <w:bookmarkEnd w:id="111"/>
      <w:r>
        <w:rPr>
          <w:rFonts w:hint="eastAsia" w:ascii="宋体" w:hAnsi="宋体"/>
          <w:color w:val="000000" w:themeColor="text1"/>
          <w:sz w:val="24"/>
          <w:highlight w:val="none"/>
          <w14:textFill>
            <w14:solidFill>
              <w14:schemeClr w14:val="tx1"/>
            </w14:solidFill>
          </w14:textFill>
        </w:rPr>
        <w:t xml:space="preserve">标人应按照招标文件规定格式填报投标分项报价表</w:t>
      </w:r>
      <w:bookmarkStart w:id="112" w:name="_Hlt26670399"/>
      <w:r/>
      <w:bookmarkEnd w:id="112"/>
      <w:r>
        <w:rPr>
          <w:rFonts w:hint="eastAsia" w:ascii="宋体" w:hAnsi="宋体"/>
          <w:color w:val="000000" w:themeColor="text1"/>
          <w:sz w:val="24"/>
          <w:highlight w:val="none"/>
          <w14:textFill>
            <w14:solidFill>
              <w14:schemeClr w14:val="tx1"/>
            </w14:solidFill>
          </w14:textFill>
        </w:rPr>
        <w:t xml:space="preserve">。</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 投标文件中的单价和总价无特殊规定的采用人民币报价，以元为单位标注。招标文件另有规定的按规定执行。</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13" w:name="_Hlt26670486"/>
      <w:r/>
      <w:bookmarkEnd w:id="113"/>
      <w:r/>
      <w:bookmarkStart w:id="114" w:name="_Hlt26954848"/>
      <w:r/>
      <w:bookmarkEnd w:id="114"/>
      <w:r/>
      <w:bookmarkStart w:id="115" w:name="_Hlt26670403"/>
      <w:r/>
      <w:bookmarkEnd w:id="115"/>
      <w:r/>
      <w:bookmarkStart w:id="116" w:name="_Hlt26954846"/>
      <w:r/>
      <w:bookmarkEnd w:id="116"/>
      <w:r/>
      <w:bookmarkStart w:id="117" w:name="_Hlt26954844"/>
      <w:r/>
      <w:bookmarkEnd w:id="117"/>
      <w:r/>
      <w:bookmarkStart w:id="118" w:name="_Hlt26668983"/>
      <w:r/>
      <w:bookmarkEnd w:id="118"/>
      <w:r/>
      <w:bookmarkStart w:id="119" w:name="_Hlt26670425"/>
      <w:r/>
      <w:bookmarkEnd w:id="119"/>
      <w:r/>
      <w:bookmarkStart w:id="120" w:name="_Hlt26670482"/>
      <w:r/>
      <w:bookmarkEnd w:id="120"/>
      <w:r/>
      <w:bookmarkStart w:id="121" w:name="_Hlt26954842"/>
      <w:r/>
      <w:bookmarkEnd w:id="121"/>
      <w:r/>
      <w:bookmarkStart w:id="122" w:name="_Hlt26954731"/>
      <w:r/>
      <w:bookmarkEnd w:id="122"/>
      <w:r>
        <w:rPr>
          <w:rFonts w:hint="eastAsia" w:ascii="方正楷体_GBK" w:hAnsi="方正楷体_GBK" w:eastAsia="方正楷体_GBK" w:cs="方正楷体_GBK"/>
          <w:color w:val="000000" w:themeColor="text1"/>
          <w:highlight w:val="none"/>
          <w14:textFill>
            <w14:solidFill>
              <w14:schemeClr w14:val="tx1"/>
            </w14:solidFill>
          </w14:textFill>
        </w:rPr>
        <w:t xml:space="preserve">13.响应及偏离表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13.1 投标人需对招标文件中的技术要求与商务要求逐项作出响应或偏离说明。</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13.2 投标人可以在投标文件中提供认为需要的其他技术文件或说明。</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23" w:name="_Toc14577359"/>
      <w:r/>
      <w:bookmarkStart w:id="124" w:name="_Toc49090510"/>
      <w:r>
        <w:rPr>
          <w:rFonts w:hint="eastAsia" w:ascii="方正楷体_GBK" w:hAnsi="方正楷体_GBK" w:eastAsia="方正楷体_GBK" w:cs="方正楷体_GBK"/>
          <w:color w:val="000000" w:themeColor="text1"/>
          <w:highlight w:val="none"/>
          <w14:textFill>
            <w14:solidFill>
              <w14:schemeClr w14:val="tx1"/>
            </w14:solidFill>
          </w14:textFill>
        </w:rPr>
        <w:t xml:space="preserve">14.投标函和开标一览表及核心产品品牌一览表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14.1 投标人应按照招标文件规定格式完整、正确填报投标函、开标一览表及核心产品品牌一览表。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14.2 对于采用货币报价的项目，开标一览表中的投标总报价应与投标分项报价表中的投标总报价一致，如不一致评标时</w:t>
      </w:r>
      <w:r>
        <w:rPr>
          <w:rFonts w:hint="eastAsia" w:ascii="宋体" w:hAnsi="宋体"/>
          <w:color w:val="000000" w:themeColor="text1"/>
          <w:sz w:val="24"/>
          <w:highlight w:val="none"/>
          <w14:textFill>
            <w14:solidFill>
              <w14:schemeClr w14:val="tx1"/>
            </w14:solidFill>
          </w14:textFill>
        </w:rPr>
        <w:t xml:space="preserve">以</w:t>
      </w:r>
      <w:r>
        <w:rPr>
          <w:rFonts w:hint="eastAsia" w:ascii="宋体" w:hAnsi="宋体"/>
          <w:color w:val="000000" w:themeColor="text1"/>
          <w:sz w:val="24"/>
          <w:highlight w:val="none"/>
          <w:lang w:val="zh-CN"/>
          <w14:textFill>
            <w14:solidFill>
              <w14:schemeClr w14:val="tx1"/>
            </w14:solidFill>
          </w14:textFill>
        </w:rPr>
        <w:t xml:space="preserve">开标一览表中价格为准。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14.3 核心产品品牌一览表中所投核心产品品牌缺项的将视为无效投标。</w:t>
      </w:r>
      <w:bookmarkEnd w:id="123"/>
      <w:r/>
      <w:bookmarkEnd w:id="124"/>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color w:val="000000" w:themeColor="text1"/>
          <w:highlight w:val="none"/>
          <w14:textFill>
            <w14:solidFill>
              <w14:schemeClr w14:val="tx1"/>
            </w14:solidFill>
          </w14:textFill>
        </w:rPr>
        <w:t xml:space="preserve">15.投标有效期</w:t>
      </w:r>
      <w:bookmarkEnd w:id="128"/>
      <w:r/>
      <w:bookmarkEnd w:id="129"/>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15.1 投标有效期为</w:t>
      </w:r>
      <w:r>
        <w:rPr>
          <w:rFonts w:hint="eastAsia" w:ascii="宋体" w:hAnsi="宋体"/>
          <w:color w:val="000000" w:themeColor="text1"/>
          <w:sz w:val="24"/>
          <w:highlight w:val="none"/>
          <w14:textFill>
            <w14:solidFill>
              <w14:schemeClr w14:val="tx1"/>
            </w14:solidFill>
          </w14:textFill>
        </w:rPr>
        <w:t xml:space="preserve">招标公告</w:t>
      </w:r>
      <w:r>
        <w:rPr>
          <w:rFonts w:hint="eastAsia" w:ascii="宋体" w:hAnsi="宋体"/>
          <w:color w:val="000000" w:themeColor="text1"/>
          <w:sz w:val="24"/>
          <w:highlight w:val="none"/>
          <w:lang w:val="zh-CN"/>
          <w14:textFill>
            <w14:solidFill>
              <w14:schemeClr w14:val="tx1"/>
            </w14:solidFill>
          </w14:textFill>
        </w:rPr>
        <w:t xml:space="preserve">规定的开标之日</w:t>
      </w:r>
      <w:r>
        <w:rPr>
          <w:rFonts w:hint="eastAsia" w:ascii="宋体" w:hAnsi="宋体"/>
          <w:color w:val="000000" w:themeColor="text1"/>
          <w:sz w:val="24"/>
          <w:highlight w:val="none"/>
          <w14:textFill>
            <w14:solidFill>
              <w14:schemeClr w14:val="tx1"/>
            </w14:solidFill>
          </w14:textFill>
        </w:rPr>
        <w:t xml:space="preserve">起</w:t>
      </w:r>
      <w:r>
        <w:rPr>
          <w:rFonts w:hint="eastAsia" w:ascii="宋体" w:hAnsi="宋体"/>
          <w:color w:val="000000" w:themeColor="text1"/>
          <w:sz w:val="24"/>
          <w:highlight w:val="none"/>
          <w:lang w:val="zh-CN"/>
          <w14:textFill>
            <w14:solidFill>
              <w14:schemeClr w14:val="tx1"/>
            </w14:solidFill>
          </w14:textFill>
        </w:rPr>
        <w:t xml:space="preserve">六十天。投标有效期比规定短的将被视为未实质性响应招标文件而</w:t>
      </w:r>
      <w:r>
        <w:rPr>
          <w:rFonts w:hint="eastAsia" w:ascii="宋体" w:hAnsi="宋体"/>
          <w:color w:val="000000" w:themeColor="text1"/>
          <w:sz w:val="24"/>
          <w:highlight w:val="none"/>
          <w14:textFill>
            <w14:solidFill>
              <w14:schemeClr w14:val="tx1"/>
            </w14:solidFill>
          </w14:textFill>
        </w:rPr>
        <w:t xml:space="preserve">被</w:t>
      </w:r>
      <w:r>
        <w:rPr>
          <w:rFonts w:hint="eastAsia" w:ascii="宋体" w:hAnsi="宋体"/>
          <w:color w:val="000000" w:themeColor="text1"/>
          <w:sz w:val="24"/>
          <w:highlight w:val="none"/>
          <w:lang w:val="zh-CN"/>
          <w14:textFill>
            <w14:solidFill>
              <w14:schemeClr w14:val="tx1"/>
            </w14:solidFill>
          </w14:textFill>
        </w:rPr>
        <w:t xml:space="preserve">拒绝。</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16.投标有效期的延长</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16.1 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满。</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30" w:name="_Hlt26954852"/>
      <w:r/>
      <w:bookmarkEnd w:id="130"/>
      <w:r/>
      <w:bookmarkStart w:id="131" w:name="_Hlt26954739"/>
      <w:r/>
      <w:bookmarkEnd w:id="131"/>
      <w:r/>
      <w:bookmarkStart w:id="132" w:name="_Toc20823296"/>
      <w:r/>
      <w:bookmarkStart w:id="133" w:name="_Toc120614217"/>
      <w:r/>
      <w:bookmarkStart w:id="134" w:name="_Toc513029224"/>
      <w:r/>
      <w:bookmarkStart w:id="135" w:name="_Toc16938540"/>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四、投标文件的递交</w:t>
      </w:r>
      <w:bookmarkEnd w:id="132"/>
      <w:r/>
      <w:bookmarkEnd w:id="133"/>
      <w:r/>
      <w:bookmarkEnd w:id="134"/>
      <w:r/>
      <w:bookmarkEnd w:id="135"/>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36" w:name="_Toc513029225"/>
      <w:r/>
      <w:bookmarkStart w:id="137" w:name="_Toc20823297"/>
      <w:r/>
      <w:bookmarkStart w:id="138" w:name="_Toc462564084"/>
      <w:r/>
      <w:bookmarkStart w:id="139" w:name="_Toc16938541"/>
      <w:r>
        <w:rPr>
          <w:rFonts w:hint="eastAsia" w:ascii="方正楷体_GBK" w:hAnsi="方正楷体_GBK" w:eastAsia="方正楷体_GBK" w:cs="方正楷体_GBK"/>
          <w:color w:val="000000" w:themeColor="text1"/>
          <w:highlight w:val="none"/>
          <w14:textFill>
            <w14:solidFill>
              <w14:schemeClr w14:val="tx1"/>
            </w14:solidFill>
          </w14:textFill>
        </w:rPr>
        <w:t xml:space="preserve">17.投标文件</w:t>
      </w:r>
      <w:bookmarkEnd w:id="136"/>
      <w:r/>
      <w:bookmarkEnd w:id="137"/>
      <w:r/>
      <w:bookmarkEnd w:id="138"/>
      <w:r/>
      <w:bookmarkEnd w:id="139"/>
      <w:r>
        <w:rPr>
          <w:rFonts w:hint="eastAsia" w:ascii="方正楷体_GBK" w:hAnsi="方正楷体_GBK" w:eastAsia="方正楷体_GBK" w:cs="方正楷体_GBK"/>
          <w:color w:val="000000" w:themeColor="text1"/>
          <w:highlight w:val="none"/>
          <w14:textFill>
            <w14:solidFill>
              <w14:schemeClr w14:val="tx1"/>
            </w14:solidFill>
          </w14:textFill>
        </w:rPr>
        <w:t xml:space="preserve">的递交</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17.1 投标人应当按照《操作手册》规定，在招标公告规定的投标截止时间前制作并上传电子投标文件。</w:t>
      </w:r>
      <w:bookmarkStart w:id="140" w:name="_Toc20823298"/>
      <w:r/>
      <w:bookmarkEnd w:id="140"/>
      <w:r/>
      <w:bookmarkStart w:id="141" w:name="_Toc513029226"/>
      <w:r/>
      <w:bookmarkEnd w:id="141"/>
      <w:r/>
      <w:bookmarkStart w:id="142" w:name="_Toc16938542"/>
      <w:r/>
      <w:bookmarkEnd w:id="142"/>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 投标人应充分考虑网络环境、网络带宽等因素</w:t>
      </w:r>
      <w:r>
        <w:rPr>
          <w:rFonts w:hint="eastAsia" w:ascii="宋体" w:hAnsi="宋体"/>
          <w:color w:val="000000" w:themeColor="text1"/>
          <w:sz w:val="24"/>
          <w:highlight w:val="none"/>
          <w14:textFill>
            <w14:solidFill>
              <w14:schemeClr w14:val="tx1"/>
            </w14:solidFill>
          </w14:textFill>
        </w:rPr>
        <w:t xml:space="preserve">可能对投标产生的影响</w:t>
      </w:r>
      <w:r>
        <w:rPr>
          <w:rFonts w:hint="eastAsia" w:ascii="宋体" w:hAnsi="宋体"/>
          <w:color w:val="000000" w:themeColor="text1"/>
          <w:sz w:val="24"/>
          <w:highlight w:val="none"/>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.1条规定做无效投标处理。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 采购代理可以按照规定，通过修改招标文件酌情延长投标截止时间，在此情况下，投标人的所有权利和义务均以延长后新的截止时间为准。</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43" w:name="_Toc16938543"/>
      <w:r/>
      <w:bookmarkStart w:id="144" w:name="_Toc513029227"/>
      <w:r/>
      <w:bookmarkStart w:id="145" w:name="_Toc20823299"/>
      <w:r>
        <w:rPr>
          <w:rFonts w:hint="eastAsia" w:ascii="方正楷体_GBK" w:hAnsi="方正楷体_GBK" w:eastAsia="方正楷体_GBK" w:cs="方正楷体_GBK"/>
          <w:color w:val="000000" w:themeColor="text1"/>
          <w:highlight w:val="none"/>
          <w14:textFill>
            <w14:solidFill>
              <w14:schemeClr w14:val="tx1"/>
            </w14:solidFill>
          </w14:textFill>
        </w:rPr>
        <w:t xml:space="preserve">18.投标文件</w:t>
      </w:r>
      <w:bookmarkEnd w:id="143"/>
      <w:r/>
      <w:bookmarkEnd w:id="144"/>
      <w:r/>
      <w:bookmarkEnd w:id="145"/>
      <w:r>
        <w:rPr>
          <w:rFonts w:hint="eastAsia" w:ascii="方正楷体_GBK" w:hAnsi="方正楷体_GBK" w:eastAsia="方正楷体_GBK" w:cs="方正楷体_GBK"/>
          <w:color w:val="000000" w:themeColor="text1"/>
          <w:highlight w:val="none"/>
          <w14:textFill>
            <w14:solidFill>
              <w14:schemeClr w14:val="tx1"/>
            </w14:solidFill>
          </w14:textFill>
        </w:rPr>
        <w:t xml:space="preserve">的拒收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投标截止时间后上传的任何投标文件将被拒绝。</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46" w:name="_Toc20823300"/>
      <w:r/>
      <w:bookmarkStart w:id="147" w:name="_Toc16938544"/>
      <w:r/>
      <w:bookmarkStart w:id="148" w:name="_Toc513029228"/>
      <w:r>
        <w:rPr>
          <w:rFonts w:hint="eastAsia" w:ascii="方正楷体_GBK" w:hAnsi="方正楷体_GBK" w:eastAsia="方正楷体_GBK" w:cs="方正楷体_GBK"/>
          <w:color w:val="000000" w:themeColor="text1"/>
          <w:highlight w:val="none"/>
          <w14:textFill>
            <w14:solidFill>
              <w14:schemeClr w14:val="tx1"/>
            </w14:solidFill>
          </w14:textFill>
        </w:rPr>
        <w:t xml:space="preserve">19.投标文件的撤回和修改</w:t>
      </w:r>
      <w:bookmarkEnd w:id="146"/>
      <w:r/>
      <w:bookmarkEnd w:id="147"/>
      <w:r/>
      <w:bookmarkEnd w:id="148"/>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 投标文件的撤回</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投标人可在投标截止时间前撤回其电子投标文件，具体操作方法见《操作手册》。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投标人撤回电子投标文件，则认为其不再参与本项目投标活动。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 投标文件的修改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投标人可在投标截止时间前对其电子投标文件进行修改，具体操作方法见《操作手册》。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投标截止时间之后，投标人不得对其电子投标文件作任何修改。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.3 在投标截止时间至招标文件中规定的投标有效期满之间的这段时间内，投标人不得撤回其投标。</w:t>
      </w:r>
      <w:bookmarkStart w:id="149" w:name="_Toc120614218"/>
      <w:r/>
      <w:bookmarkStart w:id="150" w:name="_Toc20823301"/>
      <w:r/>
      <w:bookmarkStart w:id="151" w:name="_Toc513029229"/>
      <w:r/>
      <w:bookmarkStart w:id="152" w:name="_Toc16938545"/>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五、开标与评标</w:t>
      </w:r>
      <w:bookmarkEnd w:id="149"/>
      <w:r/>
      <w:bookmarkEnd w:id="150"/>
      <w:r/>
      <w:bookmarkEnd w:id="151"/>
      <w:r/>
      <w:bookmarkEnd w:id="152"/>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53" w:name="_Toc16938546"/>
      <w:r/>
      <w:bookmarkStart w:id="154" w:name="_Toc20823302"/>
      <w:r/>
      <w:bookmarkStart w:id="155" w:name="_Toc513029230"/>
      <w:r>
        <w:rPr>
          <w:rFonts w:hint="eastAsia" w:ascii="方正楷体_GBK" w:hAnsi="方正楷体_GBK" w:eastAsia="方正楷体_GBK" w:cs="方正楷体_GBK"/>
          <w:color w:val="000000" w:themeColor="text1"/>
          <w:highlight w:val="none"/>
          <w14:textFill>
            <w14:solidFill>
              <w14:schemeClr w14:val="tx1"/>
            </w14:solidFill>
          </w14:textFill>
        </w:rPr>
        <w:t xml:space="preserve">20.开标</w:t>
      </w:r>
      <w:bookmarkEnd w:id="153"/>
      <w:r/>
      <w:bookmarkEnd w:id="154"/>
      <w:r/>
      <w:bookmarkEnd w:id="155"/>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.1 采购代理在招标公告中规定的时间和地点组织公开开标。投标人按照《操作手册》规定参加开标活动，并在苏采云系统规定的时间内对投标文件进行解密。苏采云系统公布各投标人名称和投标价格。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lang w:val="zh-CN"/>
          <w14:textFill>
            <w14:solidFill>
              <w14:schemeClr w14:val="tx1"/>
            </w14:solidFill>
          </w14:textFill>
        </w:rPr>
        <w:t xml:space="preserve">投标人在开标过程中涉及到的投标文件解密、开标结果确认等工作，应按照《操作手册》规定执行。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lang w:val="zh-CN"/>
          <w14:textFill>
            <w14:solidFill>
              <w14:schemeClr w14:val="tx1"/>
            </w14:solidFill>
          </w14:textFill>
        </w:rPr>
        <w:t xml:space="preserve">投标人如果对开标过程和开标</w:t>
      </w:r>
      <w:r>
        <w:rPr>
          <w:rFonts w:hint="eastAsia" w:ascii="宋体" w:hAnsi="宋体"/>
          <w:color w:val="000000" w:themeColor="text1"/>
          <w:sz w:val="24"/>
          <w:highlight w:val="none"/>
          <w14:textFill>
            <w14:solidFill>
              <w14:schemeClr w14:val="tx1"/>
            </w14:solidFill>
          </w14:textFill>
        </w:rPr>
        <w:t xml:space="preserve">结果</w:t>
      </w:r>
      <w:r>
        <w:rPr>
          <w:rFonts w:hint="eastAsia" w:ascii="宋体" w:hAnsi="宋体"/>
          <w:color w:val="000000" w:themeColor="text1"/>
          <w:sz w:val="24"/>
          <w:highlight w:val="none"/>
          <w:lang w:val="zh-CN"/>
          <w14:textFill>
            <w14:solidFill>
              <w14:schemeClr w14:val="tx1"/>
            </w14:solidFill>
          </w14:textFill>
        </w:rPr>
        <w:t xml:space="preserve">有疑义，应当根据《操作手册》规定提出，苏采云系统中《开标记录表》公布后5分钟内未提出的，视同认可开标结果。</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56" w:name="_Toc513029231"/>
      <w:r/>
      <w:bookmarkStart w:id="157" w:name="_Toc16938547"/>
      <w:r/>
      <w:bookmarkStart w:id="158" w:name="_Toc20823303"/>
      <w:r>
        <w:rPr>
          <w:rFonts w:hint="eastAsia" w:ascii="方正楷体_GBK" w:hAnsi="方正楷体_GBK" w:eastAsia="方正楷体_GBK" w:cs="方正楷体_GBK"/>
          <w:color w:val="000000" w:themeColor="text1"/>
          <w:highlight w:val="none"/>
          <w14:textFill>
            <w14:solidFill>
              <w14:schemeClr w14:val="tx1"/>
            </w14:solidFill>
          </w14:textFill>
        </w:rPr>
        <w:t xml:space="preserve">21.评标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.1 </w:t>
      </w:r>
      <w:r>
        <w:rPr>
          <w:rFonts w:hint="eastAsia" w:ascii="宋体" w:hAnsi="宋体"/>
          <w:color w:val="000000" w:themeColor="text1"/>
          <w:sz w:val="24"/>
          <w:highlight w:val="none"/>
          <w14:textFill>
            <w14:solidFill>
              <w14:schemeClr w14:val="tx1"/>
            </w14:solidFill>
          </w14:textFill>
        </w:rPr>
        <w:t xml:space="preserve">评标由</w:t>
      </w:r>
      <w:r>
        <w:rPr>
          <w:rFonts w:hint="eastAsia" w:ascii="宋体" w:hAnsi="宋体"/>
          <w:color w:val="000000" w:themeColor="text1"/>
          <w:sz w:val="24"/>
          <w:highlight w:val="none"/>
          <w:lang w:val="zh-CN"/>
          <w14:textFill>
            <w14:solidFill>
              <w14:schemeClr w14:val="tx1"/>
            </w14:solidFill>
          </w14:textFill>
        </w:rPr>
        <w:t xml:space="preserve">依法组建的评标委员会（以下简称“评委会”）进行。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.2 评委会由采购人代表和有关方面专家组成，人员构成符合政府采购有关规定。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评委会独立工作，负责评审所有投标文件并</w:t>
      </w:r>
      <w:r>
        <w:rPr>
          <w:rFonts w:hint="eastAsia" w:ascii="宋体" w:hAnsi="宋体"/>
          <w:color w:val="000000" w:themeColor="text1"/>
          <w:sz w:val="24"/>
          <w:highlight w:val="none"/>
          <w14:textFill>
            <w14:solidFill>
              <w14:schemeClr w14:val="tx1"/>
            </w14:solidFill>
          </w14:textFill>
        </w:rPr>
        <w:t xml:space="preserve">推荐</w:t>
      </w:r>
      <w:r>
        <w:rPr>
          <w:rFonts w:hint="eastAsia" w:ascii="宋体" w:hAnsi="宋体"/>
          <w:color w:val="000000" w:themeColor="text1"/>
          <w:sz w:val="24"/>
          <w:highlight w:val="none"/>
          <w:lang w:val="zh-CN"/>
          <w14:textFill>
            <w14:solidFill>
              <w14:schemeClr w14:val="tx1"/>
            </w14:solidFill>
          </w14:textFill>
        </w:rPr>
        <w:t xml:space="preserve">中标候选人，</w:t>
      </w:r>
      <w:r>
        <w:rPr>
          <w:rFonts w:hint="eastAsia" w:ascii="宋体" w:hAnsi="宋体"/>
          <w:color w:val="000000" w:themeColor="text1"/>
          <w:sz w:val="24"/>
          <w:highlight w:val="none"/>
          <w14:textFill>
            <w14:solidFill>
              <w14:schemeClr w14:val="tx1"/>
            </w14:solidFill>
          </w14:textFill>
        </w:rPr>
        <w:t xml:space="preserve">或根据采购人授权直接确定中标人</w:t>
      </w:r>
      <w:r>
        <w:rPr>
          <w:rFonts w:hint="eastAsia" w:ascii="宋体" w:hAnsi="宋体"/>
          <w:color w:val="000000" w:themeColor="text1"/>
          <w:sz w:val="24"/>
          <w:highlight w:val="none"/>
          <w:lang w:val="zh-CN"/>
          <w14:textFill>
            <w14:solidFill>
              <w14:schemeClr w14:val="tx1"/>
            </w14:solidFill>
          </w14:textFill>
        </w:rPr>
        <w:t xml:space="preserve">。</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22.评标过程的保密与公正</w:t>
      </w:r>
      <w:bookmarkEnd w:id="156"/>
      <w:r/>
      <w:bookmarkEnd w:id="157"/>
      <w:r/>
      <w:bookmarkEnd w:id="158"/>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凡是与审查、澄清、评价和比较投标的有关资料以及授标建议等，采购人、评委、采购代理均不得向投标人或与评标无关的其他人员透露。</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投标人不得以任何</w:t>
      </w:r>
      <w:r>
        <w:rPr>
          <w:rFonts w:hint="eastAsia" w:ascii="宋体" w:hAnsi="宋体"/>
          <w:color w:val="000000" w:themeColor="text1"/>
          <w:sz w:val="24"/>
          <w:highlight w:val="none"/>
          <w14:textFill>
            <w14:solidFill>
              <w14:schemeClr w14:val="tx1"/>
            </w14:solidFill>
          </w14:textFill>
        </w:rPr>
        <w:t xml:space="preserve">方式</w:t>
      </w:r>
      <w:r>
        <w:rPr>
          <w:rFonts w:hint="eastAsia" w:ascii="宋体" w:hAnsi="宋体"/>
          <w:color w:val="000000" w:themeColor="text1"/>
          <w:sz w:val="24"/>
          <w:highlight w:val="none"/>
          <w:lang w:val="zh-CN"/>
          <w14:textFill>
            <w14:solidFill>
              <w14:schemeClr w14:val="tx1"/>
            </w14:solidFill>
          </w14:textFill>
        </w:rPr>
        <w:t xml:space="preserve">影响评标，否则其投标文件将被作为无效投标文件。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.3 采购代理和评委会不向未中标的投标人解释未中标原因，也不公布评标过程中的相关细节。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.4 采用综合评分法的项目，未中标的投标人可于中标结果公告期限届满之日起通过苏采云系统查看</w:t>
      </w:r>
      <w:r>
        <w:rPr>
          <w:rFonts w:hint="eastAsia" w:ascii="宋体" w:hAnsi="宋体"/>
          <w:color w:val="000000" w:themeColor="text1"/>
          <w:sz w:val="24"/>
          <w:highlight w:val="none"/>
          <w14:textFill>
            <w14:solidFill>
              <w14:schemeClr w14:val="tx1"/>
            </w14:solidFill>
          </w14:textFill>
        </w:rPr>
        <w:t xml:space="preserve">本单位</w:t>
      </w:r>
      <w:r>
        <w:rPr>
          <w:rFonts w:hint="eastAsia" w:ascii="宋体" w:hAnsi="宋体"/>
          <w:color w:val="000000" w:themeColor="text1"/>
          <w:sz w:val="24"/>
          <w:highlight w:val="none"/>
          <w:lang w:val="zh-CN"/>
          <w14:textFill>
            <w14:solidFill>
              <w14:schemeClr w14:val="tx1"/>
            </w14:solidFill>
          </w14:textFill>
        </w:rPr>
        <w:t xml:space="preserve">的评审得分及排</w:t>
      </w:r>
      <w:r>
        <w:rPr>
          <w:rFonts w:hint="eastAsia" w:ascii="宋体" w:hAnsi="宋体"/>
          <w:color w:val="000000" w:themeColor="text1"/>
          <w:sz w:val="24"/>
          <w:highlight w:val="none"/>
          <w14:textFill>
            <w14:solidFill>
              <w14:schemeClr w14:val="tx1"/>
            </w14:solidFill>
          </w14:textFill>
        </w:rPr>
        <w:t xml:space="preserve">名</w:t>
      </w:r>
      <w:r>
        <w:rPr>
          <w:rFonts w:hint="eastAsia" w:ascii="宋体" w:hAnsi="宋体"/>
          <w:color w:val="000000" w:themeColor="text1"/>
          <w:sz w:val="24"/>
          <w:highlight w:val="none"/>
          <w:lang w:val="zh-CN"/>
          <w14:textFill>
            <w14:solidFill>
              <w14:schemeClr w14:val="tx1"/>
            </w14:solidFill>
          </w14:textFill>
        </w:rPr>
        <w:t xml:space="preserve">情况。</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59" w:name="_Toc513029232"/>
      <w:r/>
      <w:bookmarkStart w:id="160" w:name="_Toc16938548"/>
      <w:r/>
      <w:bookmarkStart w:id="161" w:name="_Toc20823304"/>
      <w:r>
        <w:rPr>
          <w:rFonts w:hint="eastAsia" w:ascii="方正楷体_GBK" w:hAnsi="方正楷体_GBK" w:eastAsia="方正楷体_GBK" w:cs="方正楷体_GBK"/>
          <w:color w:val="000000" w:themeColor="text1"/>
          <w:highlight w:val="none"/>
          <w14:textFill>
            <w14:solidFill>
              <w14:schemeClr w14:val="tx1"/>
            </w14:solidFill>
          </w14:textFill>
        </w:rPr>
        <w:t xml:space="preserve">23.投标文件的澄清</w:t>
      </w:r>
      <w:bookmarkEnd w:id="159"/>
      <w:r/>
      <w:bookmarkEnd w:id="160"/>
      <w:r/>
      <w:bookmarkEnd w:id="161"/>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评委会并非对每个投标人都做澄清要求。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需要供应商进行澄清、说明和补正的，评委会将通过苏采云系统向</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.3 接到评委会澄清、说明和补正要求的，投标人如未按规定</w:t>
      </w:r>
      <w:r>
        <w:rPr>
          <w:rFonts w:hint="eastAsia" w:ascii="宋体" w:hAnsi="宋体"/>
          <w:color w:val="000000" w:themeColor="text1"/>
          <w:sz w:val="24"/>
          <w:highlight w:val="none"/>
          <w14:textFill>
            <w14:solidFill>
              <w14:schemeClr w14:val="tx1"/>
            </w14:solidFill>
          </w14:textFill>
        </w:rPr>
        <w:t xml:space="preserve">作</w:t>
      </w:r>
      <w:r>
        <w:rPr>
          <w:rFonts w:hint="eastAsia" w:ascii="宋体" w:hAnsi="宋体"/>
          <w:color w:val="000000" w:themeColor="text1"/>
          <w:sz w:val="24"/>
          <w:highlight w:val="none"/>
          <w:lang w:val="zh-CN"/>
          <w14:textFill>
            <w14:solidFill>
              <w14:schemeClr w14:val="tx1"/>
            </w14:solidFill>
          </w14:textFill>
        </w:rPr>
        <w:t xml:space="preserve">出澄清、说明和补正，其风险由投标人自行承担。</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62" w:name="_Toc16938549"/>
      <w:r/>
      <w:bookmarkStart w:id="163" w:name="_Toc513029233"/>
      <w:r/>
      <w:bookmarkStart w:id="164" w:name="_Toc20823305"/>
      <w:r>
        <w:rPr>
          <w:rFonts w:hint="eastAsia" w:ascii="方正楷体_GBK" w:hAnsi="方正楷体_GBK" w:eastAsia="方正楷体_GBK" w:cs="方正楷体_GBK"/>
          <w:color w:val="000000" w:themeColor="text1"/>
          <w:highlight w:val="none"/>
          <w14:textFill>
            <w14:solidFill>
              <w14:schemeClr w14:val="tx1"/>
            </w14:solidFill>
          </w14:textFill>
        </w:rPr>
        <w:t xml:space="preserve">24.投标文件的</w:t>
      </w:r>
      <w:bookmarkEnd w:id="162"/>
      <w:r/>
      <w:bookmarkEnd w:id="163"/>
      <w:r/>
      <w:bookmarkEnd w:id="164"/>
      <w:r>
        <w:rPr>
          <w:rFonts w:hint="eastAsia" w:ascii="方正楷体_GBK" w:hAnsi="方正楷体_GBK" w:eastAsia="方正楷体_GBK" w:cs="方正楷体_GBK"/>
          <w:color w:val="000000" w:themeColor="text1"/>
          <w:highlight w:val="none"/>
          <w14:textFill>
            <w14:solidFill>
              <w14:schemeClr w14:val="tx1"/>
            </w14:solidFill>
          </w14:textFill>
        </w:rPr>
        <w:t xml:space="preserve">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投标文件审查分为资格审查和符合性审查。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资格审查。依据法律法规和招标文件规定，由采购人对投标文件中的资格证明文件进行审查，</w:t>
      </w:r>
      <w:r>
        <w:rPr>
          <w:rFonts w:hint="eastAsia" w:ascii="宋体" w:hAnsi="宋体"/>
          <w:color w:val="000000" w:themeColor="text1"/>
          <w:sz w:val="24"/>
          <w:highlight w:val="none"/>
          <w14:textFill>
            <w14:solidFill>
              <w14:schemeClr w14:val="tx1"/>
            </w14:solidFill>
          </w14:textFill>
        </w:rPr>
        <w:t xml:space="preserve">并</w:t>
      </w:r>
      <w:r>
        <w:rPr>
          <w:rFonts w:hint="eastAsia" w:ascii="宋体" w:hAnsi="宋体"/>
          <w:color w:val="000000" w:themeColor="text1"/>
          <w:sz w:val="24"/>
          <w:highlight w:val="none"/>
          <w:lang w:val="zh-CN"/>
          <w14:textFill>
            <w14:solidFill>
              <w14:schemeClr w14:val="tx1"/>
            </w14:solidFill>
          </w14:textFill>
        </w:rPr>
        <w:t xml:space="preserve">向评委会反馈</w:t>
      </w:r>
      <w:r>
        <w:rPr>
          <w:rFonts w:hint="eastAsia" w:ascii="宋体" w:hAnsi="宋体"/>
          <w:color w:val="000000" w:themeColor="text1"/>
          <w:sz w:val="24"/>
          <w:highlight w:val="none"/>
          <w14:textFill>
            <w14:solidFill>
              <w14:schemeClr w14:val="tx1"/>
            </w14:solidFill>
          </w14:textFill>
        </w:rPr>
        <w:t xml:space="preserve">审查结论</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接受联合体的项目，联合体成员存在不良信用记录的，视同联合体存在不良</w:t>
      </w:r>
      <w:r>
        <w:rPr>
          <w:rFonts w:hint="eastAsia" w:ascii="宋体" w:hAnsi="宋体"/>
          <w:color w:val="000000" w:themeColor="text1"/>
          <w:sz w:val="24"/>
          <w:highlight w:val="none"/>
          <w14:textFill>
            <w14:solidFill>
              <w14:schemeClr w14:val="tx1"/>
            </w14:solidFill>
          </w14:textFill>
        </w:rPr>
        <w:t xml:space="preserve">信</w:t>
      </w:r>
      <w:r>
        <w:rPr>
          <w:rFonts w:hint="eastAsia" w:ascii="宋体" w:hAnsi="宋体"/>
          <w:color w:val="000000" w:themeColor="text1"/>
          <w:sz w:val="24"/>
          <w:highlight w:val="none"/>
          <w:lang w:val="zh-CN"/>
          <w14:textFill>
            <w14:solidFill>
              <w14:schemeClr w14:val="tx1"/>
            </w14:solidFill>
          </w14:textFill>
        </w:rPr>
        <w:t xml:space="preserve">用记录。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符合性审查。依据招标文件的规定，由评委会从有效性、完整性和对招标文件的响应程度</w:t>
      </w:r>
      <w:r>
        <w:rPr>
          <w:rFonts w:hint="eastAsia" w:ascii="宋体" w:hAnsi="宋体"/>
          <w:color w:val="000000" w:themeColor="text1"/>
          <w:sz w:val="24"/>
          <w:highlight w:val="none"/>
          <w14:textFill>
            <w14:solidFill>
              <w14:schemeClr w14:val="tx1"/>
            </w14:solidFill>
          </w14:textFill>
        </w:rPr>
        <w:t xml:space="preserve">等方面对投标文件</w:t>
      </w:r>
      <w:r>
        <w:rPr>
          <w:rFonts w:hint="eastAsia" w:ascii="宋体" w:hAnsi="宋体"/>
          <w:color w:val="000000" w:themeColor="text1"/>
          <w:sz w:val="24"/>
          <w:highlight w:val="none"/>
          <w:lang w:val="zh-CN"/>
          <w14:textFill>
            <w14:solidFill>
              <w14:schemeClr w14:val="tx1"/>
            </w14:solidFill>
          </w14:textFill>
        </w:rPr>
        <w:t xml:space="preserve">进行审查，以确定是否对招标文件的实质性要求作出响应。</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未通过资格审查或符合性审查的投标人，采购代理将</w:t>
      </w:r>
      <w:r>
        <w:rPr>
          <w:rFonts w:hint="eastAsia" w:ascii="宋体" w:hAnsi="宋体"/>
          <w:color w:val="000000" w:themeColor="text1"/>
          <w:sz w:val="24"/>
          <w:highlight w:val="none"/>
          <w14:textFill>
            <w14:solidFill>
              <w14:schemeClr w14:val="tx1"/>
            </w14:solidFill>
          </w14:textFill>
        </w:rPr>
        <w:t xml:space="preserve">通过</w:t>
      </w:r>
      <w:r>
        <w:rPr>
          <w:rFonts w:hint="eastAsia" w:ascii="宋体" w:hAnsi="宋体"/>
          <w:color w:val="000000" w:themeColor="text1"/>
          <w:sz w:val="24"/>
          <w:highlight w:val="none"/>
          <w:lang w:val="zh-CN"/>
          <w14:textFill>
            <w14:solidFill>
              <w14:schemeClr w14:val="tx1"/>
            </w14:solidFill>
          </w14:textFill>
        </w:rPr>
        <w:t xml:space="preserve">苏采云系统告知</w:t>
      </w:r>
      <w:r>
        <w:rPr>
          <w:rFonts w:hint="eastAsia" w:ascii="宋体" w:hAnsi="宋体"/>
          <w:color w:val="000000" w:themeColor="text1"/>
          <w:sz w:val="24"/>
          <w:highlight w:val="none"/>
          <w14:textFill>
            <w14:solidFill>
              <w14:schemeClr w14:val="tx1"/>
            </w14:solidFill>
          </w14:textFill>
        </w:rPr>
        <w:t xml:space="preserve">其具体</w:t>
      </w:r>
      <w:r>
        <w:rPr>
          <w:rFonts w:hint="eastAsia" w:ascii="宋体" w:hAnsi="宋体"/>
          <w:color w:val="000000" w:themeColor="text1"/>
          <w:sz w:val="24"/>
          <w:highlight w:val="none"/>
          <w:lang w:val="zh-CN"/>
          <w14:textFill>
            <w14:solidFill>
              <w14:schemeClr w14:val="tx1"/>
            </w14:solidFill>
          </w14:textFill>
        </w:rPr>
        <w:t xml:space="preserve">原因，评标结束后</w:t>
      </w:r>
      <w:r>
        <w:rPr>
          <w:rFonts w:hint="eastAsia" w:ascii="宋体" w:hAnsi="宋体"/>
          <w:color w:val="000000" w:themeColor="text1"/>
          <w:sz w:val="24"/>
          <w:highlight w:val="none"/>
          <w14:textFill>
            <w14:solidFill>
              <w14:schemeClr w14:val="tx1"/>
            </w14:solidFill>
          </w14:textFill>
        </w:rPr>
        <w:t xml:space="preserve">不再接受有关询问</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w:t>
      </w:r>
      <w:r>
        <w:rPr>
          <w:rFonts w:hint="eastAsia" w:ascii="宋体" w:hAnsi="宋体"/>
          <w:color w:val="000000" w:themeColor="text1"/>
          <w:sz w:val="24"/>
          <w:highlight w:val="none"/>
          <w14:textFill>
            <w14:solidFill>
              <w14:schemeClr w14:val="tx1"/>
            </w14:solidFill>
          </w14:textFill>
        </w:rPr>
        <w:t xml:space="preserve">仅对</w:t>
      </w:r>
      <w:r>
        <w:rPr>
          <w:rFonts w:hint="eastAsia" w:ascii="宋体" w:hAnsi="宋体"/>
          <w:color w:val="000000" w:themeColor="text1"/>
          <w:sz w:val="24"/>
          <w:highlight w:val="none"/>
          <w:lang w:val="zh-CN"/>
          <w14:textFill>
            <w14:solidFill>
              <w14:schemeClr w14:val="tx1"/>
            </w14:solidFill>
          </w14:textFill>
        </w:rPr>
        <w:t xml:space="preserve">实质性响应招标文件要求</w:t>
      </w:r>
      <w:r>
        <w:rPr>
          <w:rFonts w:hint="eastAsia" w:ascii="宋体" w:hAnsi="宋体"/>
          <w:color w:val="000000" w:themeColor="text1"/>
          <w:sz w:val="24"/>
          <w:highlight w:val="none"/>
          <w14:textFill>
            <w14:solidFill>
              <w14:schemeClr w14:val="tx1"/>
            </w14:solidFill>
          </w14:textFill>
        </w:rPr>
        <w:t xml:space="preserve">的投标文件进行详细评审</w:t>
      </w:r>
      <w:r>
        <w:rPr>
          <w:rFonts w:hint="eastAsia" w:ascii="宋体" w:hAnsi="宋体"/>
          <w:color w:val="000000" w:themeColor="text1"/>
          <w:sz w:val="24"/>
          <w:highlight w:val="none"/>
          <w:lang w:val="zh-CN"/>
          <w14:textFill>
            <w14:solidFill>
              <w14:schemeClr w14:val="tx1"/>
            </w14:solidFill>
          </w14:textFill>
        </w:rPr>
        <w:t xml:space="preserve">。实质性响应的投标文件应该是与招标文件要求的全部条款、条件和规格相符，没有重大偏离或保留的文件。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color w:val="000000" w:themeColor="text1"/>
          <w:sz w:val="24"/>
          <w:highlight w:val="none"/>
          <w14:textFill>
            <w14:solidFill>
              <w14:schemeClr w14:val="tx1"/>
            </w14:solidFill>
          </w14:textFill>
        </w:rPr>
        <w:t xml:space="preserve">采购人</w:t>
      </w:r>
      <w:r>
        <w:rPr>
          <w:rFonts w:hint="eastAsia" w:ascii="宋体" w:hAnsi="宋体"/>
          <w:color w:val="000000" w:themeColor="text1"/>
          <w:sz w:val="24"/>
          <w:highlight w:val="none"/>
          <w:lang w:val="zh-CN"/>
          <w14:textFill>
            <w14:solidFill>
              <w14:schemeClr w14:val="tx1"/>
            </w14:solidFill>
          </w14:textFill>
        </w:rPr>
        <w:t xml:space="preserve">的权利或投标人的义务，纠正这些偏离或保留将会对其他实质性响应的投标人产生不公正的影响。重大偏离的认定</w:t>
      </w:r>
      <w:r>
        <w:rPr>
          <w:rFonts w:hint="eastAsia" w:ascii="宋体" w:hAnsi="宋体"/>
          <w:color w:val="000000" w:themeColor="text1"/>
          <w:sz w:val="24"/>
          <w:highlight w:val="none"/>
          <w14:textFill>
            <w14:solidFill>
              <w14:schemeClr w14:val="tx1"/>
            </w14:solidFill>
          </w14:textFill>
        </w:rPr>
        <w:t xml:space="preserve">由</w:t>
      </w:r>
      <w:r>
        <w:rPr>
          <w:rFonts w:hint="eastAsia" w:ascii="宋体" w:hAnsi="宋体"/>
          <w:color w:val="000000" w:themeColor="text1"/>
          <w:sz w:val="24"/>
          <w:highlight w:val="none"/>
          <w:lang w:val="zh-CN"/>
          <w14:textFill>
            <w14:solidFill>
              <w14:schemeClr w14:val="tx1"/>
            </w14:solidFill>
          </w14:textFill>
        </w:rPr>
        <w:t xml:space="preserve">评委会</w:t>
      </w:r>
      <w:r>
        <w:rPr>
          <w:rFonts w:hint="eastAsia" w:ascii="宋体" w:hAnsi="宋体"/>
          <w:color w:val="000000" w:themeColor="text1"/>
          <w:sz w:val="24"/>
          <w:highlight w:val="none"/>
          <w14:textFill>
            <w14:solidFill>
              <w14:schemeClr w14:val="tx1"/>
            </w14:solidFill>
          </w14:textFill>
        </w:rPr>
        <w:t xml:space="preserve">按照</w:t>
      </w:r>
      <w:r>
        <w:rPr>
          <w:rFonts w:hint="eastAsia" w:ascii="宋体" w:hAnsi="宋体"/>
          <w:color w:val="000000" w:themeColor="text1"/>
          <w:sz w:val="24"/>
          <w:highlight w:val="none"/>
          <w:lang w:val="zh-CN"/>
          <w14:textFill>
            <w14:solidFill>
              <w14:schemeClr w14:val="tx1"/>
            </w14:solidFill>
          </w14:textFill>
        </w:rPr>
        <w:t xml:space="preserve">少数服从多数的原则作出结论。评委</w:t>
      </w:r>
      <w:r>
        <w:rPr>
          <w:rFonts w:hint="eastAsia" w:ascii="宋体" w:hAnsi="宋体"/>
          <w:color w:val="000000" w:themeColor="text1"/>
          <w:sz w:val="24"/>
          <w:highlight w:val="none"/>
          <w14:textFill>
            <w14:solidFill>
              <w14:schemeClr w14:val="tx1"/>
            </w14:solidFill>
          </w14:textFill>
        </w:rPr>
        <w:t xml:space="preserve">会认</w:t>
      </w:r>
      <w:r>
        <w:rPr>
          <w:rFonts w:hint="eastAsia" w:ascii="宋体" w:hAnsi="宋体"/>
          <w:color w:val="000000" w:themeColor="text1"/>
          <w:sz w:val="24"/>
          <w:highlight w:val="none"/>
          <w:lang w:val="zh-CN"/>
          <w14:textFill>
            <w14:solidFill>
              <w14:schemeClr w14:val="tx1"/>
            </w14:solidFill>
          </w14:textFill>
        </w:rPr>
        <w:t xml:space="preserve">定投标文件的响应性只根据投标文件本身的内容，而不寻求外部的证据。</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（1）投标文件中开标一览表内容与投标文件中相应内容不一致的，以开标一览表为准；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（2）大写金额和小写金额不一致的，以大写金额为准；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（3）单价金额小数点或者百分比有明显错位的，以开标一览表的总价为准，并修改单价；</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（4）总价金额与按单价汇总金额不一致的，以单价金额计算结果为准。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同时出现两种以上错误的，按照前款规定的顺序修正。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 w:val="24"/>
          <w:szCs w:val="21"/>
          <w:highlight w:val="none"/>
          <w14:textFill>
            <w14:solidFill>
              <w14:schemeClr w14:val="tx1"/>
            </w14:solidFill>
          </w14:textFill>
        </w:rPr>
        <w:t xml:space="preserve">随机抽取</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p>
    <w:p>
      <w:pPr>
        <w:ind w:firstLine="42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bookmarkStart w:id="165" w:name="_Toc513029234"/>
      <w:r/>
      <w:bookmarkStart w:id="166" w:name="_Toc20823306"/>
      <w:r/>
      <w:bookmarkStart w:id="167" w:name="_Toc16938550"/>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投标人在开、评标全过程中应保持通讯畅通，及时登录苏采云系统查阅、答复相关信息，并安排专人与采购代理及评委会联系。</w:t>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24.8</w:t>
      </w:r>
      <w:r>
        <w:rPr>
          <w:rFonts w:hint="eastAsia" w:ascii="宋体" w:hAnsi="宋体"/>
          <w:color w:val="000000" w:themeColor="text1"/>
          <w:sz w:val="24"/>
          <w:szCs w:val="21"/>
          <w:highlight w:val="none"/>
          <w14:textFill>
            <w14:solidFill>
              <w14:schemeClr w14:val="tx1"/>
            </w14:solidFill>
          </w14:textFill>
        </w:rPr>
        <w:t xml:space="preserve">异常低价投标审查</w:t>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24.8.1 评标过程中出现下列情形之一的，评标委员会应当启动异常低价投标审查程序：</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（1）投标报价低于全部通过符合性审查供应商投标报价平均值</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的，即投标报价&lt;全部通过符合性审查供应商投标报价平均值×</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（2）投标报价低于通过符合性审查的次低报价供应商投标报价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的，即投标报价&lt;通过符合性审查的次低报价供应商投标报价×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（3）投标报价低于采购项目最高限价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60</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的，即投标报价&lt;采购项目最高限价×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60</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w:t>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lang w:val="en-US" w:eastAsia="zh-CN"/>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）评标委员会认定的供应商报价过低、有可能影响产品质量或者不能诚信履约的其他情形。</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24.8.2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w:t>
      </w:r>
      <w:bookmarkEnd w:id="165"/>
      <w:r/>
      <w:bookmarkEnd w:id="166"/>
      <w:r/>
      <w:bookmarkEnd w:id="167"/>
      <w:r>
        <w:rPr>
          <w:rFonts w:hint="eastAsia" w:ascii="方正楷体_GBK" w:hAnsi="方正楷体_GBK" w:eastAsia="方正楷体_GBK" w:cs="方正楷体_GBK"/>
          <w:color w:val="000000" w:themeColor="text1"/>
          <w:highlight w:val="none"/>
          <w14:textFill>
            <w14:solidFill>
              <w14:schemeClr w14:val="tx1"/>
            </w14:solidFill>
          </w14:textFill>
        </w:rPr>
        <w:t xml:space="preserve">5.无效投标和废标</w:t>
      </w:r>
      <w:r/>
    </w:p>
    <w:p>
      <w:pPr>
        <w:ind w:firstLine="420"/>
        <w:rPr>
          <w:rFonts w:hint="eastAsia" w:ascii="宋体" w:hAnsi="宋体"/>
          <w:color w:val="000000" w:themeColor="text1"/>
          <w:sz w:val="24"/>
          <w:highlight w:val="none"/>
          <w:lang w:val="zh-CN"/>
          <w14:textFill>
            <w14:solidFill>
              <w14:schemeClr w14:val="tx1"/>
            </w14:solidFill>
          </w14:textFill>
        </w:rPr>
      </w:pPr>
      <w:r/>
      <w:bookmarkStart w:id="168" w:name="_Toc513029235"/>
      <w:r/>
      <w:bookmarkStart w:id="169" w:name="_Toc16938551"/>
      <w:r/>
      <w:bookmarkStart w:id="170" w:name="_Toc20823307"/>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无效投标情形</w:t>
      </w:r>
      <w:r/>
    </w:p>
    <w:p>
      <w:pPr>
        <w:pStyle w:val="712"/>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投标人在苏采云系统规定的时间内未成功解密电子投标文件。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投标人未按照招标文件要求上传电子投标文件。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同一投标人提交两个（含两个）以上不同的投标报价。</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投标人不具备招标文件规定</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资格要求。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投标人的报价超过了采购预算或最高限价</w:t>
      </w:r>
      <w:r>
        <w:rPr>
          <w:rFonts w:hint="eastAsia" w:ascii="宋体" w:hAnsi="宋体"/>
          <w:color w:val="000000" w:themeColor="text1"/>
          <w:sz w:val="24"/>
          <w:highlight w:val="none"/>
          <w14:textFill>
            <w14:solidFill>
              <w14:schemeClr w14:val="tx1"/>
            </w14:solidFill>
          </w14:textFill>
        </w:rPr>
        <w:t xml:space="preserve">或单价上限</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.1.6</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未通过符合性审查。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.1.7</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不符合招标文件中实质性要求和条件（</w:t>
      </w:r>
      <w:r>
        <w:rPr>
          <w:rFonts w:hint="eastAsia" w:ascii="宋体" w:hAnsi="宋体"/>
          <w:b/>
          <w:bCs/>
          <w:iCs/>
          <w:color w:val="000000" w:themeColor="text1"/>
          <w:sz w:val="24"/>
          <w:highlight w:val="none"/>
          <w:lang w:val="zh-CN"/>
          <w14:textFill>
            <w14:solidFill>
              <w14:schemeClr w14:val="tx1"/>
            </w14:solidFill>
          </w14:textFill>
        </w:rPr>
        <w:t xml:space="preserve">本文件中斜体且有下划线部分，</w:t>
      </w:r>
      <w:r>
        <w:rPr>
          <w:rFonts w:hint="eastAsia" w:ascii="宋体" w:hAnsi="宋体"/>
          <w:b/>
          <w:bCs/>
          <w:color w:val="000000" w:themeColor="text1"/>
          <w:sz w:val="24"/>
          <w:highlight w:val="none"/>
          <w:lang w:val="zh-CN"/>
          <w14:textFill>
            <w14:solidFill>
              <w14:schemeClr w14:val="tx1"/>
            </w14:solidFill>
          </w14:textFill>
        </w:rPr>
        <w:t xml:space="preserve">或者打“</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zh-CN"/>
          <w14:textFill>
            <w14:solidFill>
              <w14:schemeClr w14:val="tx1"/>
            </w14:solidFill>
          </w14:textFill>
        </w:rPr>
        <w:t xml:space="preserve">”内容为实质性要求和条件</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.1.8</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.1.9</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投标文件含有采购人不能接受的附加条件。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.1.10</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评委会发现投标人报价低于采</w:t>
      </w:r>
      <w:r>
        <w:rPr>
          <w:rFonts w:hint="eastAsia" w:ascii="宋体" w:hAnsi="宋体"/>
          <w:color w:val="000000" w:themeColor="text1"/>
          <w:sz w:val="24"/>
          <w:highlight w:val="none"/>
          <w:lang w:val="zh-CN"/>
          <w14:textFill>
            <w14:solidFill>
              <w14:schemeClr w14:val="tx1"/>
            </w14:solidFill>
          </w14:textFill>
        </w:rPr>
        <w:t xml:space="preserve">购项目预算</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0%，或者低于采购项目最高限价</w:t>
      </w:r>
      <w:r>
        <w:rPr>
          <w:rFonts w:hint="eastAsia" w:ascii="宋体" w:hAnsi="宋体"/>
          <w:color w:val="000000" w:themeColor="text1"/>
          <w:sz w:val="24"/>
          <w:highlight w:val="none"/>
          <w:lang w:val="en-US" w:eastAsia="zh-CN"/>
          <w14:textFill>
            <w14:solidFill>
              <w14:schemeClr w14:val="tx1"/>
            </w14:solidFill>
          </w14:textFill>
        </w:rPr>
        <w:t xml:space="preserve">60</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宋体" w:hAnsi="宋体"/>
          <w:b/>
          <w:bCs/>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采购产品被财政部、国家发改委、生态环境部等列入“节能产品品目清单”强制采购范围，而投标人提供的产品不在强制采购范围内。</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lang w:val="zh-CN"/>
          <w14:textFill>
            <w14:solidFill>
              <w14:schemeClr w14:val="tx1"/>
            </w14:solidFill>
          </w14:textFill>
        </w:rPr>
        <w:t xml:space="preserve">投标文件未按照招标文件要求加盖电子公章。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lang w:val="zh-CN"/>
          <w14:textFill>
            <w14:solidFill>
              <w14:schemeClr w14:val="tx1"/>
            </w14:solidFill>
          </w14:textFill>
        </w:rPr>
        <w:t xml:space="preserve">法律法规及本招标文件规定的</w:t>
      </w:r>
      <w:r>
        <w:rPr>
          <w:rFonts w:hint="eastAsia" w:ascii="宋体" w:hAnsi="宋体"/>
          <w:color w:val="000000" w:themeColor="text1"/>
          <w:sz w:val="24"/>
          <w:highlight w:val="none"/>
          <w14:textFill>
            <w14:solidFill>
              <w14:schemeClr w14:val="tx1"/>
            </w14:solidFill>
          </w14:textFill>
        </w:rPr>
        <w:t xml:space="preserve">其他</w:t>
      </w:r>
      <w:r>
        <w:rPr>
          <w:rFonts w:hint="eastAsia" w:ascii="宋体" w:hAnsi="宋体"/>
          <w:color w:val="000000" w:themeColor="text1"/>
          <w:sz w:val="24"/>
          <w:highlight w:val="none"/>
          <w:lang w:val="zh-CN"/>
          <w14:textFill>
            <w14:solidFill>
              <w14:schemeClr w14:val="tx1"/>
            </w14:solidFill>
          </w14:textFill>
        </w:rPr>
        <w:t xml:space="preserve">无效投标情形。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废标情形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符合</w:t>
      </w:r>
      <w:r>
        <w:rPr>
          <w:rFonts w:hint="eastAsia" w:ascii="宋体" w:hAnsi="宋体"/>
          <w:color w:val="000000" w:themeColor="text1"/>
          <w:sz w:val="24"/>
          <w:highlight w:val="none"/>
          <w14:textFill>
            <w14:solidFill>
              <w14:schemeClr w14:val="tx1"/>
            </w14:solidFill>
          </w14:textFill>
        </w:rPr>
        <w:t xml:space="preserve">资格</w:t>
      </w:r>
      <w:r>
        <w:rPr>
          <w:rFonts w:hint="eastAsia" w:ascii="宋体" w:hAnsi="宋体"/>
          <w:color w:val="000000" w:themeColor="text1"/>
          <w:sz w:val="24"/>
          <w:highlight w:val="none"/>
          <w:lang w:val="zh-CN"/>
          <w14:textFill>
            <w14:solidFill>
              <w14:schemeClr w14:val="tx1"/>
            </w14:solidFill>
          </w14:textFill>
        </w:rPr>
        <w:t xml:space="preserve">条件的供应商或者对招标文件作</w:t>
      </w:r>
      <w:r>
        <w:rPr>
          <w:rFonts w:hint="eastAsia" w:ascii="宋体" w:hAnsi="宋体"/>
          <w:color w:val="000000" w:themeColor="text1"/>
          <w:sz w:val="24"/>
          <w:highlight w:val="none"/>
          <w14:textFill>
            <w14:solidFill>
              <w14:schemeClr w14:val="tx1"/>
            </w14:solidFill>
          </w14:textFill>
        </w:rPr>
        <w:t xml:space="preserve">出</w:t>
      </w:r>
      <w:r>
        <w:rPr>
          <w:rFonts w:hint="eastAsia" w:ascii="宋体" w:hAnsi="宋体"/>
          <w:color w:val="000000" w:themeColor="text1"/>
          <w:sz w:val="24"/>
          <w:highlight w:val="none"/>
          <w:lang w:val="zh-CN"/>
          <w14:textFill>
            <w14:solidFill>
              <w14:schemeClr w14:val="tx1"/>
            </w14:solidFill>
          </w14:textFill>
        </w:rPr>
        <w:t xml:space="preserve">实质</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zh-CN"/>
          <w14:textFill>
            <w14:solidFill>
              <w14:schemeClr w14:val="tx1"/>
            </w14:solidFill>
          </w14:textFill>
        </w:rPr>
        <w:t xml:space="preserve">响应的供应商不足三家。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出现影响采购公正的违法、违规行为。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因重大变故采购任务取消。</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评委会认定招标文件存在歧义、重大缺陷导致评审工作无法进行。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因苏采云系统故障造成开标不成功。</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.3 如出现投标截止时间后参加投标的供应商或者对招标文件</w:t>
      </w:r>
      <w:r>
        <w:rPr>
          <w:rFonts w:hint="eastAsia" w:ascii="宋体" w:hAnsi="宋体"/>
          <w:color w:val="000000" w:themeColor="text1"/>
          <w:sz w:val="24"/>
          <w:highlight w:val="none"/>
          <w14:textFill>
            <w14:solidFill>
              <w14:schemeClr w14:val="tx1"/>
            </w14:solidFill>
          </w14:textFill>
        </w:rPr>
        <w:t xml:space="preserve">作</w:t>
      </w:r>
      <w:r>
        <w:rPr>
          <w:rFonts w:hint="eastAsia" w:ascii="宋体" w:hAnsi="宋体"/>
          <w:color w:val="000000" w:themeColor="text1"/>
          <w:sz w:val="24"/>
          <w:highlight w:val="none"/>
          <w:lang w:val="zh-CN"/>
          <w14:textFill>
            <w14:solidFill>
              <w14:schemeClr w14:val="tx1"/>
            </w14:solidFill>
          </w14:textFill>
        </w:rPr>
        <w:t xml:space="preserve">出实质</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zh-CN"/>
          <w14:textFill>
            <w14:solidFill>
              <w14:schemeClr w14:val="tx1"/>
            </w14:solidFill>
          </w14:textFill>
        </w:rPr>
        <w:t xml:space="preserve">响应的供应商不足三家</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情况，按政府采购相关规定执行。</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25.4 如出现25.2.1或25.3情形，招标活动失败，评审委员会</w:t>
      </w:r>
      <w:r>
        <w:rPr>
          <w:rFonts w:hint="eastAsia" w:ascii="宋体" w:hAnsi="宋体"/>
          <w:color w:val="000000" w:themeColor="text1"/>
          <w:sz w:val="24"/>
          <w:highlight w:val="none"/>
          <w14:textFill>
            <w14:solidFill>
              <w14:schemeClr w14:val="tx1"/>
            </w14:solidFill>
          </w14:textFill>
        </w:rPr>
        <w:t xml:space="preserve">应对</w:t>
      </w:r>
      <w:r>
        <w:rPr>
          <w:rFonts w:hint="eastAsia" w:ascii="宋体" w:hAnsi="宋体"/>
          <w:color w:val="000000" w:themeColor="text1"/>
          <w:sz w:val="24"/>
          <w:highlight w:val="none"/>
          <w:lang w:val="zh-CN"/>
          <w14:textFill>
            <w14:solidFill>
              <w14:schemeClr w14:val="tx1"/>
            </w14:solidFill>
          </w14:textFill>
        </w:rPr>
        <w:t xml:space="preserve">招标文件是否存在不合理条款</w:t>
      </w:r>
      <w:r>
        <w:rPr>
          <w:rFonts w:hint="eastAsia" w:ascii="宋体" w:hAnsi="宋体"/>
          <w:color w:val="000000" w:themeColor="text1"/>
          <w:sz w:val="24"/>
          <w:highlight w:val="none"/>
          <w14:textFill>
            <w14:solidFill>
              <w14:schemeClr w14:val="tx1"/>
            </w14:solidFill>
          </w14:textFill>
        </w:rPr>
        <w:t xml:space="preserve">进行论证，并在评审报告中写明</w:t>
      </w:r>
      <w:r>
        <w:rPr>
          <w:rFonts w:hint="eastAsia" w:ascii="宋体" w:hAnsi="宋体"/>
          <w:color w:val="000000" w:themeColor="text1"/>
          <w:sz w:val="24"/>
          <w:highlight w:val="none"/>
          <w:lang w:val="zh-CN"/>
          <w14:textFill>
            <w14:solidFill>
              <w14:schemeClr w14:val="tx1"/>
            </w14:solidFill>
          </w14:textFill>
        </w:rPr>
        <w:t xml:space="preserve">论证意见。</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1" w:name="_Toc120614219"/>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w:t>
      </w:r>
      <w:bookmarkEnd w:id="168"/>
      <w:r/>
      <w:bookmarkEnd w:id="169"/>
      <w:r/>
      <w:bookmarkEnd w:id="170"/>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定标</w:t>
      </w:r>
      <w:bookmarkEnd w:id="171"/>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72" w:name="_Toc513029238"/>
      <w:r/>
      <w:bookmarkStart w:id="173" w:name="_Toc16938554"/>
      <w:r/>
      <w:bookmarkStart w:id="174" w:name="_Toc20823310"/>
      <w:r>
        <w:rPr>
          <w:rFonts w:hint="eastAsia" w:ascii="方正楷体_GBK" w:hAnsi="方正楷体_GBK" w:eastAsia="方正楷体_GBK" w:cs="方正楷体_GBK"/>
          <w:color w:val="000000" w:themeColor="text1"/>
          <w:highlight w:val="none"/>
          <w14:textFill>
            <w14:solidFill>
              <w14:schemeClr w14:val="tx1"/>
            </w14:solidFill>
          </w14:textFill>
        </w:rPr>
        <w:t xml:space="preserve">2</w:t>
      </w:r>
      <w:bookmarkEnd w:id="172"/>
      <w:r>
        <w:rPr>
          <w:rFonts w:hint="eastAsia" w:ascii="方正楷体_GBK" w:hAnsi="方正楷体_GBK" w:eastAsia="方正楷体_GBK" w:cs="方正楷体_GBK"/>
          <w:color w:val="000000" w:themeColor="text1"/>
          <w:highlight w:val="none"/>
          <w14:textFill>
            <w14:solidFill>
              <w14:schemeClr w14:val="tx1"/>
            </w14:solidFill>
          </w14:textFill>
        </w:rPr>
        <w:t xml:space="preserve">6.确定</w:t>
      </w:r>
      <w:bookmarkEnd w:id="173"/>
      <w:r/>
      <w:bookmarkEnd w:id="174"/>
      <w:r>
        <w:rPr>
          <w:rFonts w:hint="eastAsia" w:ascii="方正楷体_GBK" w:hAnsi="方正楷体_GBK" w:eastAsia="方正楷体_GBK" w:cs="方正楷体_GBK"/>
          <w:color w:val="000000" w:themeColor="text1"/>
          <w:highlight w:val="none"/>
          <w14:textFill>
            <w14:solidFill>
              <w14:schemeClr w14:val="tx1"/>
            </w14:solidFill>
          </w14:textFill>
        </w:rPr>
        <w:t xml:space="preserve">中标单位</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中标候选人的</w:t>
      </w:r>
      <w:r>
        <w:rPr>
          <w:rFonts w:hint="eastAsia" w:ascii="宋体" w:hAnsi="宋体"/>
          <w:color w:val="000000" w:themeColor="text1"/>
          <w:sz w:val="24"/>
          <w:highlight w:val="none"/>
          <w14:textFill>
            <w14:solidFill>
              <w14:schemeClr w14:val="tx1"/>
            </w14:solidFill>
          </w14:textFill>
        </w:rPr>
        <w:t xml:space="preserve">确定</w:t>
      </w:r>
      <w:r>
        <w:rPr>
          <w:rFonts w:hint="eastAsia" w:ascii="宋体" w:hAnsi="宋体"/>
          <w:color w:val="000000" w:themeColor="text1"/>
          <w:sz w:val="24"/>
          <w:highlight w:val="none"/>
          <w:lang w:val="zh-CN"/>
          <w14:textFill>
            <w14:solidFill>
              <w14:schemeClr w14:val="tx1"/>
            </w14:solidFill>
          </w14:textFill>
        </w:rPr>
        <w:t xml:space="preserve">原则和数量见招标文件第五章。 </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.2 按以下第（</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）种方式确定中标人：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（1）评委会直接确定排名第一的中标候选人为中标人；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（2）采购人在评委会推荐的中标候选人中按顺序确定中标人。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按第二种方式确定中标人的，采购代理自评审结束之日起两个工作日内将评审报告送</w:t>
      </w:r>
      <w:r>
        <w:rPr>
          <w:rFonts w:hint="eastAsia" w:ascii="宋体" w:hAnsi="宋体"/>
          <w:color w:val="000000" w:themeColor="text1"/>
          <w:sz w:val="24"/>
          <w:highlight w:val="none"/>
          <w14:textFill>
            <w14:solidFill>
              <w14:schemeClr w14:val="tx1"/>
            </w14:solidFill>
          </w14:textFill>
        </w:rPr>
        <w:t xml:space="preserve">达</w:t>
      </w:r>
      <w:r>
        <w:rPr>
          <w:rFonts w:hint="eastAsia" w:ascii="宋体" w:hAnsi="宋体"/>
          <w:color w:val="000000" w:themeColor="text1"/>
          <w:sz w:val="24"/>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.3 采购代理将在“江苏政府采购网”发布中标公告，公告期限为1个工作日。</w:t>
      </w:r>
      <w:r/>
    </w:p>
    <w:p>
      <w:pPr>
        <w:ind w:firstLine="420"/>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lang w:val="zh-CN"/>
          <w14:textFill>
            <w14:solidFill>
              <w14:schemeClr w14:val="tx1"/>
            </w14:solidFill>
          </w14:textFill>
        </w:rPr>
        <w:t xml:space="preserve">若有充分证据证明中标人</w:t>
      </w:r>
      <w:r>
        <w:rPr>
          <w:rFonts w:hint="eastAsia" w:ascii="宋体" w:hAnsi="宋体"/>
          <w:b/>
          <w:bCs/>
          <w:color w:val="000000" w:themeColor="text1"/>
          <w:sz w:val="24"/>
          <w:highlight w:val="none"/>
          <w14:textFill>
            <w14:solidFill>
              <w14:schemeClr w14:val="tx1"/>
            </w14:solidFill>
          </w14:textFill>
        </w:rPr>
        <w:t xml:space="preserve">有</w:t>
      </w:r>
      <w:r>
        <w:rPr>
          <w:rFonts w:hint="eastAsia" w:ascii="宋体" w:hAnsi="宋体"/>
          <w:b/>
          <w:bCs/>
          <w:color w:val="000000" w:themeColor="text1"/>
          <w:sz w:val="24"/>
          <w:highlight w:val="none"/>
          <w:lang w:val="zh-CN"/>
          <w14:textFill>
            <w14:solidFill>
              <w14:schemeClr w14:val="tx1"/>
            </w14:solidFill>
          </w14:textFill>
        </w:rPr>
        <w:t xml:space="preserve">下列情况之一的，一经查实将被取消中标资格：</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26.4.1 提供虚假材料谋取中标。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26.4.2 向评审专家、采购人或采购代理工作人员行贿或者提供其他不正当利益。</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26.4.3 与其他供应商、评审专家、采购人或采购代理工作人员恶意串通。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26.4.4 属于本文件规定的无效投标情形，但在评标过程中未被评委会发现。</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26.4.5 采取不正当手段诋毁、排挤其他供应商。</w:t>
      </w:r>
      <w:r/>
    </w:p>
    <w:p>
      <w:pPr>
        <w:ind w:firstLine="420"/>
        <w:rPr>
          <w:rFonts w:hint="eastAsia" w:ascii="宋体" w:hAnsi="宋体"/>
          <w:b/>
          <w:bCs/>
          <w:color w:val="000000" w:themeColor="text1"/>
          <w:sz w:val="24"/>
          <w:highlight w:val="none"/>
          <w:lang w:val="zh-CN"/>
          <w14:textFill>
            <w14:solidFill>
              <w14:schemeClr w14:val="tx1"/>
            </w14:solidFill>
          </w14:textFill>
        </w:rPr>
      </w:pPr>
      <w:r/>
      <w:bookmarkStart w:id="175" w:name="_Toc200451960"/>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lang w:val="zh-CN"/>
          <w14:textFill>
            <w14:solidFill>
              <w14:schemeClr w14:val="tx1"/>
            </w14:solidFill>
          </w14:textFill>
        </w:rPr>
        <w:t xml:space="preserve">有下列情形之一的视为投标人串通投标，投标无效：</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不同投标人的投标文件由同一单位或者个人编制。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不同投标人委托同一单位或者个人办理投标事宜。</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不同投标人的投标文件载明的项目管理成员或者联系人员为同一人。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不同投标人的投标文件异常一致或者投标报价呈规律性差异。</w:t>
      </w:r>
      <w:bookmarkEnd w:id="175"/>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27.中标通知书</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.l 中标结果确定后，采购代理将向中标人发出《中标通知书》。中标人</w:t>
      </w:r>
      <w:r>
        <w:rPr>
          <w:rFonts w:hint="eastAsia" w:ascii="宋体" w:hAnsi="宋体"/>
          <w:color w:val="000000" w:themeColor="text1"/>
          <w:sz w:val="24"/>
          <w:highlight w:val="none"/>
          <w14:textFill>
            <w14:solidFill>
              <w14:schemeClr w14:val="tx1"/>
            </w14:solidFill>
          </w14:textFill>
        </w:rPr>
        <w:t xml:space="preserve">可</w:t>
      </w:r>
      <w:r>
        <w:rPr>
          <w:rFonts w:hint="eastAsia" w:ascii="宋体" w:hAnsi="宋体"/>
          <w:color w:val="000000" w:themeColor="text1"/>
          <w:sz w:val="24"/>
          <w:highlight w:val="none"/>
          <w:lang w:val="zh-CN"/>
          <w14:textFill>
            <w14:solidFill>
              <w14:schemeClr w14:val="tx1"/>
            </w14:solidFill>
          </w14:textFill>
        </w:rPr>
        <w:t xml:space="preserve">在中标结果公告届满之日起三十日内，登录苏采云系统下载。</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中标通知书</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6" w:name="_Toc513029236"/>
      <w:r/>
      <w:bookmarkStart w:id="177" w:name="_Toc16938552"/>
      <w:r/>
      <w:bookmarkStart w:id="178" w:name="_Toc20823308"/>
      <w:r/>
      <w:bookmarkStart w:id="179" w:name="_Toc120614220"/>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七、授予合同</w:t>
      </w:r>
      <w:bookmarkEnd w:id="176"/>
      <w:r/>
      <w:bookmarkEnd w:id="177"/>
      <w:r/>
      <w:bookmarkEnd w:id="178"/>
      <w:r/>
      <w:bookmarkEnd w:id="179"/>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80" w:name="_Toc513029237"/>
      <w:r/>
      <w:bookmarkStart w:id="181" w:name="_Toc20823309"/>
      <w:r/>
      <w:bookmarkStart w:id="182" w:name="_Toc16938553"/>
      <w:r>
        <w:rPr>
          <w:rFonts w:hint="eastAsia" w:ascii="方正楷体_GBK" w:hAnsi="方正楷体_GBK" w:eastAsia="方正楷体_GBK" w:cs="方正楷体_GBK"/>
          <w:color w:val="000000" w:themeColor="text1"/>
          <w:highlight w:val="none"/>
          <w14:textFill>
            <w14:solidFill>
              <w14:schemeClr w14:val="tx1"/>
            </w14:solidFill>
          </w14:textFill>
        </w:rPr>
        <w:t xml:space="preserve">28.签订合同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.l</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.2 招标文件、中标人的投标文件及招标过程中有关澄清、承诺文件均作为合同附件。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4"/>
          <w:highlight w:val="none"/>
          <w14:textFill>
            <w14:solidFill>
              <w14:schemeClr w14:val="tx1"/>
            </w14:solidFill>
          </w14:textFill>
        </w:rPr>
        <w:t xml:space="preserve">重新组织的</w:t>
      </w:r>
      <w:r>
        <w:rPr>
          <w:rFonts w:hint="eastAsia" w:ascii="宋体" w:hAnsi="宋体"/>
          <w:color w:val="000000" w:themeColor="text1"/>
          <w:sz w:val="24"/>
          <w:highlight w:val="none"/>
          <w:lang w:val="zh-CN"/>
          <w14:textFill>
            <w14:solidFill>
              <w14:schemeClr w14:val="tx1"/>
            </w14:solidFill>
          </w14:textFill>
        </w:rPr>
        <w:t xml:space="preserve">采购活动</w:t>
      </w:r>
      <w:r>
        <w:rPr>
          <w:rFonts w:hint="eastAsia"/>
          <w:color w:val="000000" w:themeColor="text1"/>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且将可能被拒绝参加该采购人</w:t>
      </w:r>
      <w:r>
        <w:rPr>
          <w:rFonts w:hint="eastAsia" w:ascii="宋体" w:hAnsi="宋体"/>
          <w:color w:val="000000" w:themeColor="text1"/>
          <w:sz w:val="24"/>
          <w:highlight w:val="none"/>
          <w:lang w:val="zh-CN"/>
          <w14:textFill>
            <w14:solidFill>
              <w14:schemeClr w14:val="tx1"/>
            </w14:solidFill>
          </w14:textFill>
        </w:rPr>
        <w:t xml:space="preserve">一年内</w:t>
      </w:r>
      <w:r>
        <w:rPr>
          <w:rFonts w:hint="eastAsia" w:ascii="宋体" w:hAnsi="宋体"/>
          <w:color w:val="000000" w:themeColor="text1"/>
          <w:sz w:val="24"/>
          <w:highlight w:val="none"/>
          <w14:textFill>
            <w14:solidFill>
              <w14:schemeClr w14:val="tx1"/>
            </w14:solidFill>
          </w14:textFill>
        </w:rPr>
        <w:t xml:space="preserve">的其他</w:t>
      </w:r>
      <w:r>
        <w:rPr>
          <w:rFonts w:hint="eastAsia" w:ascii="宋体" w:hAnsi="宋体"/>
          <w:color w:val="000000" w:themeColor="text1"/>
          <w:sz w:val="24"/>
          <w:highlight w:val="none"/>
          <w:lang w:val="zh-CN"/>
          <w14:textFill>
            <w14:solidFill>
              <w14:schemeClr w14:val="tx1"/>
            </w14:solidFill>
          </w14:textFill>
        </w:rPr>
        <w:t xml:space="preserve">政府采购活动。</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29.标的物的追加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10%。</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30.政府采购履约资金扶持政策</w:t>
      </w:r>
      <w:r/>
    </w:p>
    <w:p>
      <w:pPr>
        <w:ind w:firstLine="555"/>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30.1中标供应商可凭政府采购合同办理融资贷款，详情请见江苏政府采购网“政采贷”专栏。</w:t>
      </w:r>
      <w:bookmarkEnd w:id="180"/>
      <w:r/>
      <w:bookmarkEnd w:id="181"/>
      <w:r/>
      <w:bookmarkEnd w:id="182"/>
      <w:r/>
      <w:r/>
    </w:p>
    <w:p>
      <w:pPr>
        <w:pStyle w:val="951"/>
        <w:ind w:firstLine="600"/>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八、质疑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w:t>
      </w:r>
      <w:r>
        <w:rPr>
          <w:rFonts w:hint="eastAsia" w:ascii="宋体" w:hAnsi="宋体"/>
          <w:color w:val="000000" w:themeColor="text1"/>
          <w:sz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highlight w:val="none"/>
          <w14:textFill>
            <w14:solidFill>
              <w14:schemeClr w14:val="tx1"/>
            </w14:solidFill>
          </w14:textFill>
        </w:rPr>
        <w:t xml:space="preserve">按照第3</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条</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第35</w:t>
      </w:r>
      <w:r>
        <w:rPr>
          <w:rFonts w:hint="eastAsia" w:ascii="宋体" w:hAnsi="宋体"/>
          <w:color w:val="000000" w:themeColor="text1"/>
          <w:sz w:val="24"/>
          <w:highlight w:val="none"/>
          <w:lang w:val="zh-CN"/>
          <w14:textFill>
            <w14:solidFill>
              <w14:schemeClr w14:val="tx1"/>
            </w14:solidFill>
          </w14:textFill>
        </w:rPr>
        <w:t xml:space="preserve">条</w:t>
      </w:r>
      <w:r>
        <w:rPr>
          <w:rFonts w:hint="eastAsia" w:ascii="宋体" w:hAnsi="宋体"/>
          <w:color w:val="000000" w:themeColor="text1"/>
          <w:sz w:val="24"/>
          <w:highlight w:val="none"/>
          <w14:textFill>
            <w14:solidFill>
              <w14:schemeClr w14:val="tx1"/>
            </w14:solidFill>
          </w14:textFill>
        </w:rPr>
        <w:t xml:space="preserve">之</w:t>
      </w:r>
      <w:r>
        <w:rPr>
          <w:rFonts w:hint="eastAsia" w:ascii="宋体" w:hAnsi="宋体"/>
          <w:color w:val="000000" w:themeColor="text1"/>
          <w:sz w:val="24"/>
          <w:highlight w:val="none"/>
          <w:lang w:val="zh-CN"/>
          <w14:textFill>
            <w14:solidFill>
              <w14:schemeClr w14:val="tx1"/>
            </w14:solidFill>
          </w14:textFill>
        </w:rPr>
        <w:t xml:space="preserve">规定以书面形式向采购人或采购代理提出质疑。</w:t>
      </w:r>
      <w:r>
        <w:rPr>
          <w:rFonts w:hint="eastAsia" w:ascii="宋体" w:hAnsi="宋体"/>
          <w:b/>
          <w:bCs/>
          <w:color w:val="000000" w:themeColor="text1"/>
          <w:sz w:val="24"/>
          <w:highlight w:val="none"/>
          <w:lang w:val="zh-CN"/>
          <w14:textFill>
            <w14:solidFill>
              <w14:schemeClr w14:val="tx1"/>
            </w14:solidFill>
          </w14:textFill>
        </w:rPr>
        <w:t xml:space="preserve">上述应知其权益受到损害之日是指</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2.1 对采购文件提出质疑的，为收到采购文件之日或者采购文件公告期限届满之日。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2.2 对采购过程提出质疑的，为各采购程序环节结束之日。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2.3 对中标或者成交结果提出质疑的，为中标或者成交结果公告期限届满之日。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w:t>
      </w:r>
      <w:r>
        <w:rPr>
          <w:rFonts w:hint="eastAsia" w:ascii="宋体" w:hAnsi="宋体"/>
          <w:color w:val="000000" w:themeColor="text1"/>
          <w:sz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供应商应当在法定质疑期内一次性提出针对同一采购程序环节的质疑。供应商如在法定期限内对同一采购程序环节提出多次质疑的，采购代理或采购人将只对供应商第一次质疑作出答复。</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w:t>
      </w:r>
      <w:r>
        <w:rPr>
          <w:rFonts w:hint="eastAsia" w:ascii="宋体" w:hAnsi="宋体"/>
          <w:color w:val="000000" w:themeColor="text1"/>
          <w:sz w:val="24"/>
          <w:highlight w:val="none"/>
          <w:lang w:val="zh-CN"/>
          <w14:textFill>
            <w14:solidFill>
              <w14:schemeClr w14:val="tx1"/>
            </w14:solidFill>
          </w14:textFill>
        </w:rPr>
        <w:t xml:space="preserve">供应商提出质疑应提交《质疑函》原件，且尽可能通过邮寄方式送达，采购人和采购代理不接受无运单的快件。《质疑函》应按照本招标文件中《质疑函范本》</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格式和内容填写。</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供应商如组成联合体参加采购活动，《质疑函范本》中要求加盖公章之处，联合体各方均须按要求加盖公章。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w:t>
      </w:r>
      <w:r>
        <w:rPr>
          <w:rFonts w:hint="eastAsia" w:ascii="宋体" w:hAnsi="宋体"/>
          <w:b/>
          <w:bCs/>
          <w:color w:val="000000" w:themeColor="text1"/>
          <w:sz w:val="24"/>
          <w:highlight w:val="none"/>
          <w:lang w:val="zh-CN"/>
          <w14:textFill>
            <w14:solidFill>
              <w14:schemeClr w14:val="tx1"/>
            </w14:solidFill>
          </w14:textFill>
        </w:rPr>
        <w:t xml:space="preserve">供应商（含潜在供应商）对采购方式、采购需求、供应商资格条件、评标方法和评标标准、合同文本的</w:t>
      </w:r>
      <w:r>
        <w:rPr>
          <w:rFonts w:hint="eastAsia" w:ascii="宋体" w:hAnsi="宋体"/>
          <w:b/>
          <w:bCs/>
          <w:color w:val="000000" w:themeColor="text1"/>
          <w:sz w:val="24"/>
          <w:highlight w:val="none"/>
          <w14:textFill>
            <w14:solidFill>
              <w14:schemeClr w14:val="tx1"/>
            </w14:solidFill>
          </w14:textFill>
        </w:rPr>
        <w:t xml:space="preserve">询问或</w:t>
      </w:r>
      <w:r>
        <w:rPr>
          <w:rFonts w:hint="eastAsia" w:ascii="宋体" w:hAnsi="宋体"/>
          <w:b/>
          <w:bCs/>
          <w:color w:val="000000" w:themeColor="text1"/>
          <w:sz w:val="24"/>
          <w:highlight w:val="none"/>
          <w:lang w:val="zh-CN"/>
          <w14:textFill>
            <w14:solidFill>
              <w14:schemeClr w14:val="tx1"/>
            </w14:solidFill>
          </w14:textFill>
        </w:rPr>
        <w:t xml:space="preserve">质疑向采购人提出，由采购人负责答复。</w:t>
      </w:r>
      <w:r>
        <w:rPr>
          <w:rFonts w:hint="eastAsia" w:ascii="宋体" w:hAnsi="宋体"/>
          <w:color w:val="000000" w:themeColor="text1"/>
          <w:sz w:val="24"/>
          <w:highlight w:val="none"/>
          <w:lang w:val="zh-CN"/>
          <w14:textFill>
            <w14:solidFill>
              <w14:schemeClr w14:val="tx1"/>
            </w14:solidFill>
          </w14:textFill>
        </w:rPr>
        <w:t xml:space="preserve">供应商对</w:t>
      </w:r>
      <w:r>
        <w:rPr>
          <w:rFonts w:hint="eastAsia" w:ascii="宋体" w:hAnsi="宋体"/>
          <w:color w:val="000000" w:themeColor="text1"/>
          <w:sz w:val="24"/>
          <w:highlight w:val="none"/>
          <w14:textFill>
            <w14:solidFill>
              <w14:schemeClr w14:val="tx1"/>
            </w14:solidFill>
          </w14:textFill>
        </w:rPr>
        <w:t xml:space="preserve">采购过程、采购结果</w:t>
      </w:r>
      <w:r>
        <w:rPr>
          <w:rFonts w:hint="eastAsia" w:ascii="宋体" w:hAnsi="宋体"/>
          <w:color w:val="000000" w:themeColor="text1"/>
          <w:sz w:val="24"/>
          <w:highlight w:val="none"/>
          <w:lang w:val="zh-CN"/>
          <w14:textFill>
            <w14:solidFill>
              <w14:schemeClr w14:val="tx1"/>
            </w14:solidFill>
          </w14:textFill>
        </w:rPr>
        <w:t xml:space="preserve">的询问</w:t>
      </w:r>
      <w:r>
        <w:rPr>
          <w:rFonts w:hint="eastAsia" w:ascii="宋体" w:hAnsi="宋体"/>
          <w:color w:val="000000" w:themeColor="text1"/>
          <w:sz w:val="24"/>
          <w:highlight w:val="none"/>
          <w14:textFill>
            <w14:solidFill>
              <w14:schemeClr w14:val="tx1"/>
            </w14:solidFill>
          </w14:textFill>
        </w:rPr>
        <w:t xml:space="preserve">或</w:t>
      </w:r>
      <w:r>
        <w:rPr>
          <w:rFonts w:hint="eastAsia" w:ascii="宋体" w:hAnsi="宋体"/>
          <w:color w:val="000000" w:themeColor="text1"/>
          <w:sz w:val="24"/>
          <w:highlight w:val="none"/>
          <w:lang w:val="zh-CN"/>
          <w14:textFill>
            <w14:solidFill>
              <w14:schemeClr w14:val="tx1"/>
            </w14:solidFill>
          </w14:textFill>
        </w:rPr>
        <w:t xml:space="preserve">质疑向采购代理提出，由采购代理负责答复。</w:t>
      </w:r>
      <w:r/>
    </w:p>
    <w:p>
      <w:pPr>
        <w:ind w:firstLine="422"/>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《质疑函》接收人及联系方式见招标文件第一章。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《质疑函》接收部门为采购代理。收件人：南京信诺工程造价咨询有限责任公司，地址：南京市江北新区浦滨路150号中科创新广场23栋8层，联系电话：</w:t>
      </w:r>
      <w:r>
        <w:rPr>
          <w:rFonts w:hint="eastAsia" w:ascii="宋体" w:hAnsi="宋体"/>
          <w:color w:val="000000" w:themeColor="text1"/>
          <w:sz w:val="24"/>
          <w:highlight w:val="none"/>
          <w14:textFill>
            <w14:solidFill>
              <w14:schemeClr w14:val="tx1"/>
            </w14:solidFill>
          </w14:textFill>
        </w:rPr>
        <w:t xml:space="preserve">157208</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6001</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以下情形的质疑不予受理：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6.1 内容不符合《政府采购质疑和投诉办法》第十二条规定的质疑。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6.2 超出政府采购法定期限的质疑。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6.3 以传真、电子邮件等方式递交的非原件形式的质疑。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6.4 未参加采购活动或在采购活动中自身权益未受到损害的供应商所提出的质疑。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36.5供应商组成联合体参加采购活动，联合体中任何一方或多方未按要求签字或签章、加盖公章的质疑。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36.6 法律法规规定的其他不予受理情形。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37.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九、政策功能落实</w:t>
      </w:r>
      <w:r/>
    </w:p>
    <w:p>
      <w:pPr>
        <w:pStyle w:val="952"/>
        <w:ind w:firstLine="422"/>
        <w:spacing w:before="0" w:after="0" w:line="240" w:lineRule="auto"/>
        <w:rPr>
          <w:rFonts w:hint="eastAsia" w:ascii="方正楷体_GBK" w:hAnsi="方正楷体_GBK" w:eastAsia="方正楷体_GBK" w:cs="方正楷体_GBK"/>
          <w:color w:val="000000" w:themeColor="text1"/>
          <w:highlight w:val="none"/>
          <w:lang w:val="zh-CN"/>
          <w14:textFill>
            <w14:solidFill>
              <w14:schemeClr w14:val="tx1"/>
            </w14:solidFill>
          </w14:textFill>
        </w:rPr>
      </w:pP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38.促进中小企业发展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38.1 </w:t>
      </w:r>
      <w:r>
        <w:rPr>
          <w:rFonts w:hint="eastAsia" w:ascii="宋体" w:hAnsi="宋体"/>
          <w:color w:val="000000" w:themeColor="text1"/>
          <w:sz w:val="24"/>
          <w:highlight w:val="none"/>
          <w:lang w:val="zh-CN"/>
          <w14:textFill>
            <w14:solidFill>
              <w14:schemeClr w14:val="tx1"/>
            </w14:solidFill>
          </w14:textFill>
        </w:rPr>
        <w:t xml:space="preserve">本项目中的货物全部由中小企业制造的，投标供应商享受中小企业扶持政策。</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38.2 </w:t>
      </w:r>
      <w:r>
        <w:rPr>
          <w:rFonts w:hint="eastAsia" w:ascii="宋体" w:hAnsi="宋体"/>
          <w:color w:val="000000" w:themeColor="text1"/>
          <w:sz w:val="24"/>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38.3 </w:t>
      </w:r>
      <w:r>
        <w:rPr>
          <w:rFonts w:hint="eastAsia" w:ascii="宋体" w:hAnsi="宋体"/>
          <w:color w:val="000000" w:themeColor="text1"/>
          <w:sz w:val="24"/>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4"/>
          <w:highlight w:val="none"/>
          <w14:textFill>
            <w14:solidFill>
              <w14:schemeClr w14:val="tx1"/>
            </w14:solidFill>
          </w14:textFill>
        </w:rPr>
        <w:t xml:space="preserve">支持</w:t>
      </w:r>
      <w:r>
        <w:rPr>
          <w:rFonts w:hint="eastAsia" w:ascii="宋体" w:hAnsi="宋体"/>
          <w:color w:val="000000" w:themeColor="text1"/>
          <w:sz w:val="24"/>
          <w:highlight w:val="none"/>
          <w:lang w:val="zh-CN"/>
          <w14:textFill>
            <w14:solidFill>
              <w14:schemeClr w14:val="tx1"/>
            </w14:solidFill>
          </w14:textFill>
        </w:rPr>
        <w:t xml:space="preserve">政策。</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color w:val="000000" w:themeColor="text1"/>
          <w:sz w:val="24"/>
          <w:highlight w:val="none"/>
          <w:lang w:val="zh-CN"/>
          <w14:textFill>
            <w14:solidFill>
              <w14:schemeClr w14:val="tx1"/>
            </w14:solidFill>
          </w14:textFill>
        </w:rPr>
        <w:t xml:space="preserve">《中小企业声明函》</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38.4 </w:t>
      </w:r>
      <w:r>
        <w:rPr>
          <w:rFonts w:hint="eastAsia" w:ascii="宋体" w:hAnsi="宋体"/>
          <w:color w:val="000000" w:themeColor="text1"/>
          <w:sz w:val="24"/>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监狱和戒毒企业（简称监狱企业）视同小型、微型企业</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按照</w:t>
      </w:r>
      <w:r>
        <w:rPr>
          <w:rFonts w:hint="eastAsia" w:ascii="宋体" w:hAnsi="宋体"/>
          <w:color w:val="000000" w:themeColor="text1"/>
          <w:sz w:val="24"/>
          <w:highlight w:val="none"/>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4"/>
          <w:highlight w:val="none"/>
          <w14:textFill>
            <w14:solidFill>
              <w14:schemeClr w14:val="tx1"/>
            </w14:solidFill>
          </w14:textFill>
        </w:rPr>
        <w:t xml:space="preserve">规定，</w:t>
      </w:r>
      <w:r>
        <w:rPr>
          <w:rFonts w:hint="eastAsia" w:ascii="宋体" w:hAnsi="宋体"/>
          <w:color w:val="000000" w:themeColor="text1"/>
          <w:sz w:val="24"/>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 残疾人福利性单位</w:t>
      </w:r>
      <w:r>
        <w:rPr>
          <w:rFonts w:hint="eastAsia" w:ascii="宋体" w:hAnsi="宋体" w:cs="宋体"/>
          <w:color w:val="000000" w:themeColor="text1"/>
          <w:sz w:val="24"/>
          <w:szCs w:val="24"/>
          <w:highlight w:val="none"/>
          <w14:textFill>
            <w14:solidFill>
              <w14:schemeClr w14:val="tx1"/>
            </w14:solidFill>
          </w14:textFill>
        </w:rPr>
        <w:t xml:space="preserve">视同小型、微型企业</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按照《关于促进残疾人就业政府采购政策的通知》（财库〔2017〕141号）规定，</w:t>
      </w:r>
      <w:r>
        <w:rPr>
          <w:rFonts w:hint="eastAsia" w:ascii="宋体" w:hAnsi="宋体" w:cs="宋体"/>
          <w:color w:val="000000" w:themeColor="text1"/>
          <w:sz w:val="24"/>
          <w:szCs w:val="24"/>
          <w:highlight w:val="none"/>
          <w14:textFill>
            <w14:solidFill>
              <w14:schemeClr w14:val="tx1"/>
            </w14:solidFill>
          </w14:textFill>
        </w:rPr>
        <w:t xml:space="preserve">残疾人福利单位</w:t>
      </w:r>
      <w:r>
        <w:rPr>
          <w:rFonts w:hint="eastAsia" w:ascii="宋体" w:hAnsi="宋体"/>
          <w:color w:val="000000" w:themeColor="text1"/>
          <w:sz w:val="24"/>
          <w:highlight w:val="none"/>
          <w14:textFill>
            <w14:solidFill>
              <w14:schemeClr w14:val="tx1"/>
            </w14:solidFill>
          </w14:textFill>
        </w:rPr>
        <w:t xml:space="preserve">需</w:t>
      </w:r>
      <w:r>
        <w:rPr>
          <w:rFonts w:hint="eastAsia" w:ascii="宋体" w:hAnsi="宋体"/>
          <w:color w:val="000000" w:themeColor="text1"/>
          <w:sz w:val="24"/>
          <w:highlight w:val="none"/>
          <w:lang w:val="zh-CN"/>
          <w14:textFill>
            <w14:solidFill>
              <w14:schemeClr w14:val="tx1"/>
            </w14:solidFill>
          </w14:textFill>
        </w:rPr>
        <w:t xml:space="preserve">提供《残疾人福利性单位声明函》。</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3</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9</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节能环保产品</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39.2 采购产品</w:t>
      </w:r>
      <w:r>
        <w:rPr>
          <w:rFonts w:hint="eastAsia" w:ascii="宋体" w:hAnsi="宋体"/>
          <w:color w:val="000000" w:themeColor="text1"/>
          <w:sz w:val="24"/>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39.3 采购产品</w:t>
      </w:r>
      <w:r>
        <w:rPr>
          <w:rFonts w:hint="eastAsia" w:ascii="宋体" w:hAnsi="宋体"/>
          <w:color w:val="000000" w:themeColor="text1"/>
          <w:sz w:val="24"/>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4"/>
          <w:highlight w:val="none"/>
          <w14:textFill>
            <w14:solidFill>
              <w14:schemeClr w14:val="tx1"/>
            </w14:solidFill>
          </w14:textFill>
        </w:rPr>
        <w:t xml:space="preserve">第五章评标方法与评标标准</w:t>
      </w:r>
      <w:r>
        <w:rPr>
          <w:rFonts w:hint="eastAsia" w:ascii="宋体" w:hAnsi="宋体"/>
          <w:color w:val="000000" w:themeColor="text1"/>
          <w:sz w:val="24"/>
          <w:highlight w:val="none"/>
          <w:lang w:val="zh-CN"/>
          <w14:textFill>
            <w14:solidFill>
              <w14:schemeClr w14:val="tx1"/>
            </w14:solidFill>
          </w14:textFill>
        </w:rPr>
        <w:t xml:space="preserve">）。</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40</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绿色采购</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40.1 采购产品</w:t>
      </w:r>
      <w:r>
        <w:rPr>
          <w:rFonts w:hint="eastAsia" w:ascii="宋体"/>
          <w:bCs/>
          <w:color w:val="000000" w:themeColor="text1"/>
          <w:sz w:val="24"/>
          <w:szCs w:val="24"/>
          <w:highlight w:val="none"/>
          <w14:textFill>
            <w14:solidFill>
              <w14:schemeClr w14:val="tx1"/>
            </w14:solidFill>
          </w14:textFill>
        </w:rPr>
        <w:t xml:space="preserve">中涉及商品包装、快递包装要求的，应按照</w:t>
      </w:r>
      <w:r>
        <w:rPr>
          <w:rFonts w:hint="eastAsia" w:ascii="宋体" w:hAnsi="宋体"/>
          <w:color w:val="000000" w:themeColor="text1"/>
          <w:sz w:val="24"/>
          <w:highlight w:val="none"/>
          <w14:textFill>
            <w14:solidFill>
              <w14:schemeClr w14:val="tx1"/>
            </w14:solidFill>
          </w14:textFill>
        </w:rPr>
        <w:t xml:space="preserve">《商品包装政府采购需求标准（试行）》《快递包装政府采购需求标准（试行）》（财办库〔2020〕123号）、</w:t>
      </w:r>
      <w:r>
        <w:rPr>
          <w:rFonts w:hint="eastAsia" w:ascii="宋体" w:hAnsi="宋体" w:cs="宋体"/>
          <w:color w:val="000000" w:themeColor="text1"/>
          <w:sz w:val="24"/>
          <w:szCs w:val="24"/>
          <w:highlight w:val="none"/>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highlight w:val="none"/>
          <w14:textFill>
            <w14:solidFill>
              <w14:schemeClr w14:val="tx1"/>
            </w14:solidFill>
          </w14:textFill>
        </w:rPr>
        <w:t xml:space="preserve">文件执行。采购文件对</w:t>
      </w:r>
      <w:r>
        <w:rPr>
          <w:rFonts w:hint="eastAsia" w:ascii="宋体"/>
          <w:bCs/>
          <w:color w:val="000000" w:themeColor="text1"/>
          <w:sz w:val="24"/>
          <w:szCs w:val="24"/>
          <w:highlight w:val="none"/>
          <w14:textFill>
            <w14:solidFill>
              <w14:schemeClr w14:val="tx1"/>
            </w14:solidFill>
          </w14:textFill>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40.2 采购产品中涉及数据中心相关设备、运维服务的，应按照《关于印发〈绿色数据中心政府采购需求标准（试行）的通知》（财办库〔2023〕7号）、</w:t>
      </w:r>
      <w:r>
        <w:rPr>
          <w:rFonts w:hint="eastAsia" w:ascii="宋体" w:hAnsi="宋体" w:cs="宋体"/>
          <w:color w:val="000000" w:themeColor="text1"/>
          <w:sz w:val="24"/>
          <w:szCs w:val="24"/>
          <w:highlight w:val="none"/>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highlight w:val="none"/>
          <w14:textFill>
            <w14:solidFill>
              <w14:schemeClr w14:val="tx1"/>
            </w14:solidFill>
          </w14:textFill>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41</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创新产品采购</w:t>
      </w:r>
      <w:r/>
    </w:p>
    <w:p>
      <w:pPr>
        <w:ind w:firstLine="420"/>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41.1 优先采购各级政府部门公开发布的有效期内的创新产品、首台套等《目录》内的创新产品。创新产品自进入《目录》起2年内视同具备相应销售业绩。</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42.</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网络产品、市场准入类产品采购</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42.1 </w:t>
      </w:r>
      <w:r>
        <w:rPr>
          <w:rFonts w:hint="eastAsia" w:ascii="宋体" w:hAnsi="宋体"/>
          <w:color w:val="000000" w:themeColor="text1"/>
          <w:sz w:val="24"/>
          <w:highlight w:val="none"/>
          <w:lang w:val="zh-CN"/>
          <w14:textFill>
            <w14:solidFill>
              <w14:schemeClr w14:val="tx1"/>
            </w14:solidFill>
          </w14:textFill>
        </w:rPr>
        <w:t xml:space="preserve">本</w:t>
      </w:r>
      <w:r>
        <w:rPr>
          <w:rFonts w:hint="eastAsia" w:ascii="宋体" w:hAnsi="宋体"/>
          <w:color w:val="000000" w:themeColor="text1"/>
          <w:sz w:val="24"/>
          <w:highlight w:val="none"/>
          <w:lang w:val="zh-CN"/>
          <w14:textFill>
            <w14:solidFill>
              <w14:schemeClr w14:val="tx1"/>
            </w14:solidFill>
          </w14:textFill>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42.2 </w:t>
      </w:r>
      <w:r>
        <w:rPr>
          <w:rFonts w:hint="eastAsia" w:ascii="宋体" w:hAnsi="宋体"/>
          <w:color w:val="000000" w:themeColor="text1"/>
          <w:sz w:val="24"/>
          <w:highlight w:val="none"/>
          <w:lang w:val="zh-CN"/>
          <w14:textFill>
            <w14:solidFill>
              <w14:schemeClr w14:val="tx1"/>
            </w14:solidFill>
          </w14:textFill>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2"/>
        <w:ind w:firstLine="422"/>
        <w:spacing w:before="0" w:after="0" w:line="240" w:lineRule="auto"/>
        <w:rPr>
          <w:rFonts w:hint="eastAsia" w:ascii="方正楷体_GBK" w:hAnsi="方正楷体_GBK" w:eastAsia="方正楷体_GBK" w:cs="方正楷体_GBK"/>
          <w:bCs/>
          <w:color w:val="000000" w:themeColor="text1"/>
          <w:sz w:val="28"/>
          <w:szCs w:val="28"/>
          <w:highlight w:val="none"/>
          <w:lang w:val="zh-CN"/>
          <w14:textFill>
            <w14:solidFill>
              <w14:schemeClr w14:val="tx1"/>
            </w14:solidFill>
          </w14:textFill>
        </w:rPr>
      </w:pPr>
      <w:r>
        <w:rPr>
          <w:rFonts w:hint="eastAsia" w:ascii="方正楷体_GBK" w:hAnsi="方正楷体_GBK" w:eastAsia="方正楷体_GBK" w:cs="方正楷体_GBK"/>
          <w:color w:val="000000" w:themeColor="text1"/>
          <w:sz w:val="28"/>
          <w:highlight w:val="none"/>
          <w:lang w:val="zh-CN" w:eastAsia="zh-CN"/>
          <w14:textFill>
            <w14:solidFill>
              <w14:schemeClr w14:val="tx1"/>
            </w14:solidFill>
          </w14:textFill>
        </w:rPr>
        <w:t xml:space="preserve">43.</w:t>
      </w:r>
      <w:r>
        <w:rPr>
          <w:rFonts w:hint="eastAsia" w:ascii="方正楷体_GBK" w:hAnsi="方正楷体_GBK" w:eastAsia="方正楷体_GBK" w:cs="方正楷体_GBK"/>
          <w:bCs/>
          <w:color w:val="000000" w:themeColor="text1"/>
          <w:sz w:val="28"/>
          <w:szCs w:val="28"/>
          <w:highlight w:val="none"/>
          <w:lang w:val="zh-CN"/>
          <w14:textFill>
            <w14:solidFill>
              <w14:schemeClr w14:val="tx1"/>
            </w14:solidFill>
          </w14:textFill>
        </w:rPr>
        <w:t xml:space="preserve">实施本国产品标准及相关政策</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43.2</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本国产品应当符合以下条件</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（1）在中国境内生产</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（2）在中国境内生产的组件成本占比达到规定比例</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比例计算公式</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符合上述第（1）条“在中国境内生产”</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条件的产品在政府采购活动中视同本国产品。</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（3）特定产品的关键组件、关键工序符合相关要求</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43.3本国产品标准的适用范围</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43.4对本国产品的支持政策</w:t>
      </w:r>
      <w:r/>
    </w:p>
    <w:p>
      <w:pPr>
        <w:ind w:firstLine="422"/>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本项目如</w:t>
      </w: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既有本国产品又有非本国产品参与竞争，依法对本国产品给予价格评审优惠，</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具体详见第五章。</w:t>
      </w:r>
      <w:r/>
    </w:p>
    <w:p>
      <w:pPr>
        <w:ind w:firstLine="420"/>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43.5政策执行要求</w:t>
      </w:r>
      <w:r/>
    </w:p>
    <w:p>
      <w:pPr>
        <w:numPr>
          <w:ilvl w:val="0"/>
          <w:numId w:val="0"/>
        </w:numPr>
        <w:ind w:firstLine="420"/>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详见</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（2）有关证明文件。</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在</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政府采购中实施本国产品标准及相关政策规定要求的，供应商提供的相关产品视为不符合本国产品标准。</w:t>
      </w:r>
      <w:r/>
    </w:p>
    <w:p>
      <w:pPr>
        <w:jc w:val="center"/>
        <w:spacing w:line="252" w:lineRule="auto"/>
        <w:rPr>
          <w:rFonts w:ascii="黑体" w:eastAsia="黑体"/>
          <w:color w:val="000000" w:themeColor="text1"/>
          <w:sz w:val="44"/>
          <w:szCs w:val="44"/>
          <w:highlight w:val="none"/>
          <w14:textFill>
            <w14:solidFill>
              <w14:schemeClr w14:val="tx1"/>
            </w14:solidFill>
          </w14:textFill>
        </w:rPr>
        <w:outlineLvl w:val="0"/>
      </w:pPr>
      <w:r>
        <w:rPr>
          <w:rFonts w:hint="eastAsia" w:ascii="宋体" w:hAnsi="宋体"/>
          <w:color w:val="000000" w:themeColor="text1"/>
          <w:sz w:val="24"/>
          <w:highlight w:val="none"/>
          <w:lang w:val="zh-CN"/>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文本</w:t>
      </w:r>
      <w:r/>
    </w:p>
    <w:p>
      <w:pPr>
        <w:ind w:firstLine="480"/>
        <w:spacing w:line="264" w:lineRule="auto"/>
        <w:rPr>
          <w:rFonts w:hint="eastAsia" w:ascii="宋体" w:hAnsi="宋体"/>
          <w:bCs/>
          <w:color w:val="000000" w:themeColor="text1"/>
          <w:sz w:val="24"/>
          <w:szCs w:val="21"/>
          <w:highlight w:val="none"/>
          <w14:textFill>
            <w14:solidFill>
              <w14:schemeClr w14:val="tx1"/>
            </w14:solidFill>
          </w14:textFill>
        </w:rPr>
      </w:pPr>
      <w:r/>
      <w:bookmarkStart w:id="183" w:name="_Toc20823315"/>
      <w:r/>
      <w:bookmarkStart w:id="184" w:name="_Toc513029243"/>
      <w:r/>
      <w:bookmarkStart w:id="185" w:name="_Toc16938559"/>
      <w:r>
        <w:rPr>
          <w:rFonts w:hint="eastAsia" w:ascii="宋体" w:hAnsi="宋体"/>
          <w:bCs/>
          <w:color w:val="000000" w:themeColor="text1"/>
          <w:sz w:val="24"/>
          <w:szCs w:val="21"/>
          <w:highlight w:val="none"/>
          <w14:textFill>
            <w14:solidFill>
              <w14:schemeClr w14:val="tx1"/>
            </w14:solidFill>
          </w14:textFill>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themeColor="text1"/>
          <w:sz w:val="30"/>
          <w:szCs w:val="21"/>
          <w:highlight w:val="none"/>
          <w14:textFill>
            <w14:solidFill>
              <w14:schemeClr w14:val="tx1"/>
            </w14:solidFill>
          </w14:textFill>
        </w:rPr>
      </w:pPr>
      <w:r>
        <w:rPr>
          <w:rFonts w:hint="eastAsia" w:ascii="宋体" w:hAnsi="宋体"/>
          <w:b/>
          <w:color w:val="000000" w:themeColor="text1"/>
          <w:sz w:val="30"/>
          <w:szCs w:val="21"/>
          <w:highlight w:val="none"/>
          <w14:textFill>
            <w14:solidFill>
              <w14:schemeClr w14:val="tx1"/>
            </w14:solidFill>
          </w14:textFill>
        </w:rPr>
      </w:r>
      <w:r/>
    </w:p>
    <w:p>
      <w:pPr>
        <w:jc w:val="center"/>
        <w:spacing w:before="145" w:after="145" w:line="264" w:lineRule="auto"/>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t xml:space="preserve">政府采购合同（货物）</w:t>
      </w:r>
      <w:r/>
    </w:p>
    <w:p>
      <w:pPr>
        <w:jc w:val="left"/>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合同编号：</w:t>
      </w:r>
      <w:r/>
    </w:p>
    <w:p>
      <w:pPr>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jc w:val="left"/>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w:t>
      </w:r>
      <w:r/>
    </w:p>
    <w:p>
      <w:pPr>
        <w:jc w:val="left"/>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w:t>
      </w:r>
      <w:r/>
    </w:p>
    <w:p>
      <w:pPr>
        <w:spacing w:line="264" w:lineRule="auto"/>
        <w:rPr>
          <w:rFonts w:hint="eastAsia"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   </w:t>
      </w:r>
      <w:r>
        <w:rPr>
          <w:rFonts w:hint="eastAsia" w:ascii="宋体" w:hAnsi="宋体" w:cs="Courier New"/>
          <w:b/>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14:textFill>
            <w14:solidFill>
              <w14:schemeClr w14:val="tx1"/>
            </w14:solidFill>
          </w14:textFill>
        </w:rPr>
        <w:t xml:space="preserve">南京信诺工程造价咨询有限责任公司组织的</w:t>
      </w:r>
      <w:r>
        <w:rPr>
          <w:rFonts w:hint="eastAsia" w:hAnsi="宋体" w:cs="Courier New"/>
          <w:color w:val="000000" w:themeColor="text1"/>
          <w:sz w:val="24"/>
          <w:szCs w:val="24"/>
          <w:highlight w:val="none"/>
          <w14:textFill>
            <w14:solidFill>
              <w14:schemeClr w14:val="tx1"/>
            </w14:solidFill>
          </w14:textFill>
        </w:rPr>
        <w:t xml:space="preserve">____________________</w:t>
      </w:r>
      <w:r>
        <w:rPr>
          <w:rFonts w:ascii="宋体" w:hAnsi="宋体" w:cs="Courier New"/>
          <w:color w:val="000000" w:themeColor="text1"/>
          <w:sz w:val="24"/>
          <w:szCs w:val="24"/>
          <w:highlight w:val="none"/>
          <w14:textFill>
            <w14:solidFill>
              <w14:schemeClr w14:val="tx1"/>
            </w14:solidFill>
          </w14:textFill>
        </w:rPr>
        <w:t xml:space="preserve">项目公开招标结果，签署本合同。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一、合同内容</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 标的名称：</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 标的质量：按招标文件及投标文件执行。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 标的数量（规模）：按招标文件及投标文件执行。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 履行时间（期限）：按招标文件及投标文件执行。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 履行地点：采购人指定地点。</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.7 包装方式：按招标文件及投标文件执行。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二、合同金额</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2.1 </w:t>
      </w:r>
      <w:r>
        <w:rPr>
          <w:rFonts w:hint="eastAsia" w:hAnsi="宋体"/>
          <w:color w:val="000000" w:themeColor="text1"/>
          <w:sz w:val="24"/>
          <w:szCs w:val="24"/>
          <w:highlight w:val="none"/>
          <w14:textFill>
            <w14:solidFill>
              <w14:schemeClr w14:val="tx1"/>
            </w14:solidFill>
          </w14:textFill>
        </w:rPr>
        <w:t xml:space="preserve">本合同金额为（大写）：____________________圆（_________________元）人民币。</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三、技术资料</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w:t>
      </w:r>
      <w:r>
        <w:rPr>
          <w:rFonts w:hint="eastAsia" w:ascii="宋体" w:hAnsi="宋体" w:cs="Courier New"/>
          <w:color w:val="000000" w:themeColor="text1"/>
          <w:sz w:val="24"/>
          <w:szCs w:val="24"/>
          <w:highlight w:val="none"/>
          <w14:textFill>
            <w14:solidFill>
              <w14:schemeClr w14:val="tx1"/>
            </w14:solidFill>
          </w14:textFill>
        </w:rPr>
        <w:t xml:space="preserve">.1 乙方应按招标文件规定的时间向甲方提供货物(包含与货物相关的服务)的有关技术资料。</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w:t>
      </w:r>
      <w:r>
        <w:rPr>
          <w:rFonts w:hint="eastAsia" w:ascii="宋体" w:hAnsi="宋体" w:cs="Courier New"/>
          <w:color w:val="000000" w:themeColor="text1"/>
          <w:sz w:val="24"/>
          <w:szCs w:val="24"/>
          <w:highlight w:val="none"/>
          <w14:textFill>
            <w14:solidFill>
              <w14:schemeClr w14:val="tx1"/>
            </w14:solidFill>
          </w14:textFill>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四、知识产权</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五、产权担保</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5.1乙方保证所交付的货物（包含与货物相关的服务）的所有权完全属于乙方且无任何抵押、查封等产权瑕疵。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六、履约保证金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outlineLvl w:val="3"/>
      </w:pPr>
      <w:r>
        <w:rPr>
          <w:rFonts w:hint="eastAsia" w:ascii="宋体" w:hAnsi="宋体" w:cs="Courier New"/>
          <w:color w:val="000000" w:themeColor="text1"/>
          <w:sz w:val="24"/>
          <w:szCs w:val="24"/>
          <w:highlight w:val="none"/>
          <w14:textFill>
            <w14:solidFill>
              <w14:schemeClr w14:val="tx1"/>
            </w14:solidFill>
          </w14:textFill>
        </w:rPr>
        <w:t xml:space="preserve">6.1 本项目乙方无需缴纳履约保证金。</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七、合同转包或分包</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7.1 乙方不得将合同标的转包给他人履行。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八、合同款项支付</w:t>
      </w:r>
      <w:r/>
    </w:p>
    <w:p>
      <w:pPr>
        <w:pStyle w:val="987"/>
        <w:spacing w:line="264" w:lineRule="auto"/>
        <w:rPr>
          <w:rFonts w:hint="eastAsia" w:hAnsi="宋体"/>
          <w:color w:val="000000" w:themeColor="text1"/>
          <w:sz w:val="24"/>
          <w:szCs w:val="24"/>
          <w:highlight w:val="none"/>
          <w14:textFill>
            <w14:solidFill>
              <w14:schemeClr w14:val="tx1"/>
            </w14:solidFill>
          </w14:textFill>
        </w:rPr>
        <w:outlineLvl w:val="3"/>
      </w:pPr>
      <w:r>
        <w:rPr>
          <w:rFonts w:hint="eastAsia" w:hAnsi="宋体"/>
          <w:color w:val="000000" w:themeColor="text1"/>
          <w:sz w:val="24"/>
          <w:szCs w:val="24"/>
          <w:highlight w:val="none"/>
          <w14:textFill>
            <w14:solidFill>
              <w14:schemeClr w14:val="tx1"/>
            </w14:solidFill>
          </w14:textFill>
        </w:rPr>
        <w:t xml:space="preserve">8.1 合同款项的支付方式及时间</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8.1.1 合同签订后，甲方支付合同总价款的30%作为预付款。</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8.1.2 供货结束并验收合格后，甲方支付合同总价款的70%。</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8.1.3满足合同约定支付条件的，甲方收到乙方发票后，将资金支付到合同约定的乙方账户。 </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8.2 根据《保障中小企业款项支付条例》规定，甲方未按合同约定支付款项的，乙方可以向有关部门投诉。</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九、税费</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9.1 本合同执行中的相关税费均由乙方负担。</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十、质量保修范围和保修期及售后服务</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10.1 乙方应按招标文件规定的货物性能、技术要求、质量标准向甲方提供未经使用的全新产品。</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10.2.1 更换：由乙方承担所发生的全部费用。</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10.2.2 贬值处理：由甲乙双方合议定价。</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3</w:t>
      </w:r>
      <w:r>
        <w:rPr>
          <w:rFonts w:hint="eastAsia" w:ascii="宋体" w:hAnsi="宋体" w:cs="Courier New"/>
          <w:color w:val="000000" w:themeColor="text1"/>
          <w:sz w:val="24"/>
          <w:szCs w:val="24"/>
          <w:highlight w:val="none"/>
          <w14:textFill>
            <w14:solidFill>
              <w14:schemeClr w14:val="tx1"/>
            </w14:solidFill>
          </w14:textFill>
        </w:rPr>
        <w:t xml:space="preserve"> 质保期：家具质保期为6年，其他产品质保期均为3年。</w:t>
      </w:r>
      <w:r/>
    </w:p>
    <w:p>
      <w:pPr>
        <w:spacing w:line="264" w:lineRule="auto"/>
        <w:rPr>
          <w:rFonts w:hint="eastAsia"/>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质保期内，每年维护保养1次，维护保养及更换损坏件的费用包含在投标总价中。</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4</w:t>
      </w:r>
      <w:r>
        <w:rPr>
          <w:rFonts w:hint="eastAsia" w:ascii="宋体" w:hAnsi="宋体" w:cs="Courier New"/>
          <w:color w:val="000000" w:themeColor="text1"/>
          <w:sz w:val="24"/>
          <w:szCs w:val="24"/>
          <w:highlight w:val="none"/>
          <w14:textFill>
            <w14:solidFill>
              <w14:schemeClr w14:val="tx1"/>
            </w14:solidFill>
          </w14:textFill>
        </w:rPr>
        <w:t xml:space="preserve"> 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的一切质量问题，更换部件及产品本身质量原因造成的直接经济损失全部由供应商负责。无法短时间完成维修的，应向采购人提供应急备用产品。</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5</w:t>
      </w:r>
      <w:r>
        <w:rPr>
          <w:rFonts w:hint="eastAsia" w:ascii="宋体" w:hAnsi="宋体" w:cs="Courier New"/>
          <w:color w:val="000000" w:themeColor="text1"/>
          <w:sz w:val="24"/>
          <w:szCs w:val="24"/>
          <w:highlight w:val="none"/>
          <w14:textFill>
            <w14:solidFill>
              <w14:schemeClr w14:val="tx1"/>
            </w14:solidFill>
          </w14:textFill>
        </w:rPr>
        <w:t xml:space="preserve"> 质保期外，供应商提供终生服务，在货物的设计使用寿命周期内，供应商能保证采购人更换到原厂备件材料，确保产品的正常使用。</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lang w:val="en-US" w:eastAsia="zh-CN"/>
          <w14:textFill>
            <w14:solidFill>
              <w14:schemeClr w14:val="tx1"/>
            </w14:solidFill>
          </w14:textFill>
        </w:rPr>
        <w:t xml:space="preserve">10.6</w:t>
      </w:r>
      <w:r>
        <w:rPr>
          <w:rFonts w:hint="eastAsia" w:ascii="宋体" w:hAnsi="宋体" w:cs="Courier New"/>
          <w:color w:val="000000" w:themeColor="text1"/>
          <w:sz w:val="24"/>
          <w:szCs w:val="24"/>
          <w:highlight w:val="none"/>
          <w14:textFill>
            <w14:solidFill>
              <w14:schemeClr w14:val="tx1"/>
            </w14:solidFill>
          </w14:textFill>
        </w:rPr>
        <w:t xml:space="preserve">质保期内维修（人为因素除外）费用包含在投标总价中，质保期外提供不高于市场价格的终身维护。中标后提供质保期外配件价格明细表。</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十一、项目验收</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 甲方依法组织履约验收工作。</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 对于实际使用人和甲方分离的项目，甲方邀请实际使用人参与验收。</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十二、货物的包装、发运及运输</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12.2 使用说明书、质量检验证明书、随配附件和工具以及清单一并附于货物内。</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12.3 乙方在货物发运手续办理完毕后24小时内或货到甲方48小时前通知甲方，以准备接货。</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12.4 货物在交付甲方前发生的风险均由乙方负责。</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十三、违约责任</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13.1 甲方无正当理由拒收货物的，应向乙方偿付拒收货物总价款</w:t>
      </w:r>
      <w:r>
        <w:rPr>
          <w:rFonts w:hint="eastAsia" w:ascii="宋体" w:hAnsi="宋体" w:cs="Courier New"/>
          <w:color w:val="000000" w:themeColor="text1"/>
          <w:sz w:val="24"/>
          <w:szCs w:val="24"/>
          <w:highlight w:val="none"/>
          <w:u w:val="single"/>
          <w14:textFill>
            <w14:solidFill>
              <w14:schemeClr w14:val="tx1"/>
            </w14:solidFill>
          </w14:textFill>
        </w:rPr>
        <w:t xml:space="preserve"> 百分之五 </w:t>
      </w:r>
      <w:r>
        <w:rPr>
          <w:rFonts w:hint="eastAsia" w:ascii="宋体" w:hAnsi="宋体" w:cs="Courier New"/>
          <w:color w:val="000000" w:themeColor="text1"/>
          <w:sz w:val="24"/>
          <w:szCs w:val="24"/>
          <w:highlight w:val="none"/>
          <w14:textFill>
            <w14:solidFill>
              <w14:schemeClr w14:val="tx1"/>
            </w14:solidFill>
          </w14:textFill>
        </w:rPr>
        <w:t xml:space="preserve">的违约金。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13.2 甲方无故逾期验收和办理货款支付手续的，应按逾期付款总额每日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万分之五 </w:t>
      </w:r>
      <w:r>
        <w:rPr>
          <w:rFonts w:hint="eastAsia" w:ascii="宋体" w:hAnsi="宋体" w:cs="Courier New"/>
          <w:color w:val="000000" w:themeColor="text1"/>
          <w:sz w:val="24"/>
          <w:szCs w:val="24"/>
          <w:highlight w:val="none"/>
          <w14:textFill>
            <w14:solidFill>
              <w14:schemeClr w14:val="tx1"/>
            </w14:solidFill>
          </w14:textFill>
        </w:rPr>
        <w:t xml:space="preserve">向乙方支付违约金。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13.3 乙方逾期交付货物的，应按逾期交货总额每日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万分之五 </w:t>
      </w:r>
      <w:r>
        <w:rPr>
          <w:rFonts w:hint="eastAsia"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themeColor="text1"/>
          <w:sz w:val="24"/>
          <w:szCs w:val="24"/>
          <w:highlight w:val="none"/>
          <w:u w:val="single"/>
          <w14:textFill>
            <w14:solidFill>
              <w14:schemeClr w14:val="tx1"/>
            </w14:solidFill>
          </w14:textFill>
        </w:rPr>
        <w:t xml:space="preserve"> 百分之五 </w:t>
      </w:r>
      <w:r>
        <w:rPr>
          <w:rFonts w:hint="eastAsia" w:ascii="宋体" w:hAnsi="宋体" w:cs="Courier New"/>
          <w:color w:val="000000" w:themeColor="text1"/>
          <w:sz w:val="24"/>
          <w:szCs w:val="24"/>
          <w:highlight w:val="none"/>
          <w14:textFill>
            <w14:solidFill>
              <w14:schemeClr w14:val="tx1"/>
            </w14:solidFill>
          </w14:textFill>
        </w:rPr>
        <w:t xml:space="preserve">的违约金。 </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十四、不可抗力事件处理</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14.2 不可抗力事件发生后，应立即通知对方并寄送有关权威机构出具的证明。</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十五、解决争议的方法</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十六、合同生效及其它</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16.1 本合同经双方加盖单位公章后生效。</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16.2 本合同未尽事宜，遵照《中华人民共和国民法典》《中华人民共和国政府采购法》有关条文执行。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16.3 本合同正本一式两份，具有同等法律效力，甲方、乙方各执一份。</w:t>
      </w:r>
      <w:bookmarkEnd w:id="183"/>
      <w:r/>
      <w:bookmarkEnd w:id="184"/>
      <w:r/>
      <w:bookmarkEnd w:id="185"/>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bookmarkStart w:id="186" w:name="_Hlt16619369"/>
      <w:r/>
      <w:bookmarkEnd w:id="186"/>
      <w:r/>
      <w:bookmarkStart w:id="187" w:name="_Hlt16619350"/>
      <w:r/>
      <w:bookmarkStart w:id="188" w:name="_Toc16938590"/>
      <w:r/>
      <w:bookmarkStart w:id="189" w:name="_Toc20823346"/>
      <w:r/>
      <w:bookmarkStart w:id="190" w:name="_Toc120614244"/>
      <w:r/>
      <w:bookmarkStart w:id="191" w:name="_Toc479757211"/>
      <w:r/>
      <w:bookmarkStart w:id="192" w:name="_Toc462564139"/>
      <w:r>
        <w:rPr>
          <w:rFonts w:hint="eastAsia" w:hAnsi="宋体"/>
          <w:color w:val="000000" w:themeColor="text1"/>
          <w:sz w:val="24"/>
          <w:szCs w:val="24"/>
          <w:highlight w:val="none"/>
          <w14:textFill>
            <w14:solidFill>
              <w14:schemeClr w14:val="tx1"/>
            </w14:solidFill>
          </w14:textFill>
        </w:rPr>
        <w:t xml:space="preserve">  </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  方：（公章）                       乙  方：（公章） </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地  址：                               地  址： </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法定代表人或授权代表：                 法定代表人或授权代表：</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                                          </w:t>
      </w:r>
      <w:r/>
    </w:p>
    <w:p>
      <w:pPr>
        <w:pStyle w:val="987"/>
        <w:ind w:firstLine="4800"/>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签订日期：      </w:t>
      </w:r>
      <w:r/>
    </w:p>
    <w:p>
      <w:pPr>
        <w:jc w:val="center"/>
        <w:spacing w:before="145" w:after="145" w:line="264" w:lineRule="auto"/>
        <w:rPr>
          <w:rFonts w:hint="eastAsia" w:ascii="宋体" w:hAnsi="宋体"/>
          <w:b/>
          <w:color w:val="000000" w:themeColor="text1"/>
          <w:sz w:val="30"/>
          <w:szCs w:val="21"/>
          <w:highlight w:val="none"/>
          <w14:textFill>
            <w14:solidFill>
              <w14:schemeClr w14:val="tx1"/>
            </w14:solidFill>
          </w14:textFill>
        </w:rPr>
      </w:pPr>
      <w:r>
        <w:rPr>
          <w:rFonts w:hint="eastAsia" w:ascii="宋体" w:hAnsi="宋体"/>
          <w:b/>
          <w:color w:val="000000" w:themeColor="text1"/>
          <w:sz w:val="30"/>
          <w:szCs w:val="21"/>
          <w:highlight w:val="none"/>
          <w14:textFill>
            <w14:solidFill>
              <w14:schemeClr w14:val="tx1"/>
            </w14:solidFill>
          </w14:textFill>
        </w:rPr>
      </w:r>
      <w:r/>
    </w:p>
    <w:p>
      <w:pPr>
        <w:spacing w:before="145" w:after="145" w:line="264" w:lineRule="auto"/>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r>
      <w:r/>
    </w:p>
    <w:p>
      <w:pPr>
        <w:jc w:val="center"/>
        <w:spacing w:before="145" w:after="145" w:line="264" w:lineRule="auto"/>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outlineLvl w:val="1"/>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t xml:space="preserve">《*******合同》补充协议（合同附件）</w:t>
      </w:r>
      <w:r/>
    </w:p>
    <w:p>
      <w:pPr>
        <w:pStyle w:val="987"/>
        <w:ind w:firstLine="480"/>
        <w:jc w:val="left"/>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w:t>
      </w:r>
      <w:bookmarkEnd w:id="187"/>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四章  采购需求</w:t>
      </w:r>
      <w:bookmarkEnd w:id="188"/>
      <w:r/>
      <w:bookmarkEnd w:id="189"/>
      <w:r/>
      <w:bookmarkEnd w:id="190"/>
      <w:r/>
      <w:r/>
    </w:p>
    <w:p>
      <w:pPr>
        <w:ind w:firstLine="480"/>
        <w:rPr>
          <w:rFonts w:ascii="黑体" w:hAnsi="黑体" w:eastAsia="黑体" w:cs="黑体"/>
          <w:color w:val="000000" w:themeColor="text1"/>
          <w:sz w:val="24"/>
          <w:szCs w:val="24"/>
          <w:highlight w:val="none"/>
          <w14:textFill>
            <w14:solidFill>
              <w14:schemeClr w14:val="tx1"/>
            </w14:solidFill>
          </w14:textFill>
        </w:rPr>
      </w:pPr>
      <w:r/>
      <w:bookmarkStart w:id="193" w:name="_Toc49090575"/>
      <w:r/>
      <w:bookmarkStart w:id="194" w:name="_Toc120614281"/>
      <w:r/>
      <w:bookmarkStart w:id="195" w:name="_Toc26554093"/>
      <w:r>
        <w:rPr>
          <w:rFonts w:hint="eastAsia" w:ascii="黑体" w:hAnsi="黑体" w:eastAsia="黑体" w:cs="黑体"/>
          <w:color w:val="000000" w:themeColor="text1"/>
          <w:sz w:val="24"/>
          <w:szCs w:val="24"/>
          <w:highlight w:val="none"/>
          <w14:textFill>
            <w14:solidFill>
              <w14:schemeClr w14:val="tx1"/>
            </w14:solidFill>
          </w14:textFill>
        </w:rPr>
        <w:t xml:space="preserve">一、项目属性：</w:t>
      </w:r>
      <w:r>
        <w:rPr>
          <w:rFonts w:hint="eastAsia" w:ascii="宋体" w:hAnsi="宋体" w:cs="宋体"/>
          <w:color w:val="000000" w:themeColor="text1"/>
          <w:sz w:val="24"/>
          <w:szCs w:val="24"/>
          <w:highlight w:val="none"/>
          <w14:textFill>
            <w14:solidFill>
              <w14:schemeClr w14:val="tx1"/>
            </w14:solidFill>
          </w14:textFill>
        </w:rPr>
        <w:t xml:space="preserve">货物类项目。</w:t>
      </w:r>
      <w:r/>
    </w:p>
    <w:p>
      <w:pPr>
        <w:ind w:firstLine="480"/>
        <w:rPr>
          <w:rFonts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二、项目概况</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（一）项目背景</w:t>
      </w:r>
      <w:r/>
    </w:p>
    <w:p>
      <w:pPr>
        <w:numPr>
          <w:ilvl w:val="0"/>
          <w:numId w:val="0"/>
        </w:numPr>
        <w:ind w:firstLine="720"/>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为全面落实立德</w:t>
      </w:r>
      <w:r>
        <w:rPr>
          <w:rFonts w:hint="eastAsia" w:ascii="宋体" w:hAnsi="宋体" w:cs="宋体"/>
          <w:bCs/>
          <w:color w:val="000000" w:themeColor="text1"/>
          <w:sz w:val="24"/>
          <w:szCs w:val="24"/>
          <w:highlight w:val="none"/>
          <w:lang w:eastAsia="zh-CN"/>
          <w14:textFill>
            <w14:solidFill>
              <w14:schemeClr w14:val="tx1"/>
            </w14:solidFill>
          </w14:textFill>
        </w:rPr>
        <w:t xml:space="preserve">树人根本任务，深耕新时代中职学生综合素质培育与心理健康教育工作，完善校园育人服务体系，丰富学生课余文化生活、护航学生身心健康成长，南京中华中专新校区将建设学生发展指导中心项目。本项目立足学校办学特色与学生成长需求，科学规划功能空间、精准配置配套设施，打造集思想引领、社团实践、素质拓展、心理疏导、心灵赋能、家校共育于一体的综合性、专业化学生成长服务阵地，全方位助力学生德智体美劳全面发展。项目整体分为学生活动中心与学生心育中心两大核心功能板块，分区明确、功能互补、协同育人，构建全方位、多层次的学生发展保障体系。</w:t>
      </w:r>
      <w:r/>
    </w:p>
    <w:p>
      <w:pPr>
        <w:numPr>
          <w:ilvl w:val="0"/>
          <w:numId w:val="0"/>
        </w:numPr>
        <w:ind w:firstLine="72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本次拟对新校区学生发展指导中心相关功能室设施设备进行采购。</w:t>
      </w:r>
      <w:r>
        <w:rPr>
          <w:rFonts w:hint="eastAsia" w:ascii="宋体" w:hAnsi="宋体" w:cs="宋体"/>
          <w:bCs/>
          <w:color w:val="000000" w:themeColor="text1"/>
          <w:sz w:val="24"/>
          <w:szCs w:val="24"/>
          <w:highlight w:val="none"/>
          <w14:textFill>
            <w14:solidFill>
              <w14:schemeClr w14:val="tx1"/>
            </w14:solidFill>
          </w14:textFill>
        </w:rPr>
        <w:t xml:space="preserve"> </w:t>
      </w:r>
      <w:r/>
    </w:p>
    <w:p>
      <w:pPr>
        <w:numPr>
          <w:ilvl w:val="0"/>
          <w:numId w:val="5"/>
        </w:num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项目建设遵循标准</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遵循国家、行业及地方现行的规范和标准。</w:t>
      </w:r>
      <w:r/>
    </w:p>
    <w:p>
      <w:pPr>
        <w:ind w:firstLine="480"/>
        <w:rPr>
          <w:rFonts w:hint="eastAsia"/>
          <w:color w:val="000000" w:themeColor="text1"/>
          <w:highlight w:val="none"/>
          <w14:textFill>
            <w14:solidFill>
              <w14:schemeClr w14:val="tx1"/>
            </w14:solidFill>
          </w14:textFill>
        </w:rPr>
        <w:outlineLvl w:val="1"/>
      </w:pPr>
      <w:r>
        <w:rPr>
          <w:rFonts w:hint="eastAsia" w:ascii="黑体" w:hAnsi="黑体" w:eastAsia="黑体" w:cs="黑体"/>
          <w:color w:val="000000" w:themeColor="text1"/>
          <w:sz w:val="24"/>
          <w:szCs w:val="24"/>
          <w:highlight w:val="none"/>
          <w14:textFill>
            <w14:solidFill>
              <w14:schemeClr w14:val="tx1"/>
            </w14:solidFill>
          </w14:textFill>
        </w:rPr>
        <w:t xml:space="preserve">三、项目清单</w:t>
      </w:r>
      <w:r/>
    </w:p>
    <w:tbl>
      <w:tblPr>
        <w:tblStyle w:val="719"/>
        <w:tblW w:w="82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4"/>
        <w:gridCol w:w="4247"/>
        <w:gridCol w:w="805"/>
        <w:gridCol w:w="805"/>
        <w:gridCol w:w="1636"/>
      </w:tblGrid>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产品</w:t>
            </w:r>
            <w:r>
              <w:rPr>
                <w:rFonts w:hint="eastAsia" w:ascii="宋体" w:hAnsi="宋体" w:eastAsia="宋体" w:cs="宋体"/>
                <w:b/>
                <w:bCs/>
                <w:i w:val="0"/>
                <w:iCs w:val="0"/>
                <w:color w:val="000000"/>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多媒体功放机</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无线话筒（双手持）</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工作椅</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升降凳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石头阅读凳（中）</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石头阅读凳（小）</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小圆几</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异型阅读凳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期刊架</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作品展示高柜</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沙发卡座</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可移动讲台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学习桌</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学习椅</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活动隔断</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教师操作桌</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定制操作桌</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操作圆凳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收纳边柜</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冰柜</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破壁机</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即热式电热水器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桌面式100L电烤箱</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咖啡机</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电子蒸笼</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厨师机</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榨汁机</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烘焙专用炊具</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烘焙专用餐具</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烘焙工具套装</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烘焙专用工具耗材</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防热手套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套袖围裙</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挂衣板</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烘焙智慧教学软件系统</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学生操作台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操作边台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电子合成器</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麦克悬臂支架套装</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吉他</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乐器防潮箱</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乐器输出音响</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便携麦克</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话筒支架</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顶光灯</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面光灯</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直通箱</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可移动长桌</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学习椅（带写字板）</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可移动伸缩合唱台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定制乐器柜</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无线话筒（双头戴）</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换鞋柜</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储物高柜</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室内乒乓球桌1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室内乒乓球桌2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室外乒乓球桌</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乒乓球场地挡板</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团体活动工具箱</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组合学习桌</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学习椅</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花瓣凳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智能互动击打呐喊宣泄设备</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沉浸式动感单车干预设备</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桌上足球</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四人位辅导沙发</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三人位辅导沙发</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单人辅导沙发</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方几</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电视背景柜</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生物反馈式协调训练舱</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应急心理援助自助设备</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手持摄像机</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小音箱</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壁挂时钟</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无线插卡固话</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工作桌</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测评桌</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测评凳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墙面杂志架</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磁吸软木板</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磁吸黑板</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活动桌</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活动椅</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造型书柜</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心理沙盘</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智能情绪识别训练仪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智能倾诉与情绪疏导设备</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lang w:eastAsia="zh-CN"/>
              </w:rPr>
            </w:pPr>
            <w:r>
              <w:rPr>
                <w:rFonts w:hint="eastAsia" w:ascii="宋体" w:hAnsi="宋体" w:cs="宋体"/>
                <w:i w:val="0"/>
                <w:iCs w:val="0"/>
                <w:color w:val="000000"/>
                <w:sz w:val="20"/>
                <w:szCs w:val="20"/>
                <w:highlight w:val="none"/>
                <w:u w:val="none"/>
                <w:lang w:eastAsia="zh-CN"/>
              </w:rPr>
              <w:t xml:space="preserve">核心产品</w:t>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室内朗读亭</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jc w:val="center"/>
          <w:trHeight w:val="271"/>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424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心理自助设备</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720"/>
        <w:ind w:left="0" w:firstLine="0"/>
        <w:rPr>
          <w:rFonts w:hint="eastAsia" w:ascii="宋体" w:hAnsi="宋体" w:cs="宋体"/>
          <w:b/>
          <w:bCs/>
          <w:color w:val="000000" w:themeColor="text1"/>
          <w:spacing w:val="8"/>
          <w:sz w:val="24"/>
          <w:szCs w:val="24"/>
          <w:highlight w:val="none"/>
          <w14:textFill>
            <w14:solidFill>
              <w14:schemeClr w14:val="tx1"/>
            </w14:solidFill>
          </w14:textFill>
        </w:rPr>
      </w:pPr>
      <w:r>
        <w:rPr>
          <w:rFonts w:hint="eastAsia" w:ascii="宋体" w:hAnsi="宋体" w:cs="宋体"/>
          <w:b/>
          <w:bCs/>
          <w:color w:val="000000" w:themeColor="text1"/>
          <w:spacing w:val="8"/>
          <w:sz w:val="24"/>
          <w:szCs w:val="24"/>
          <w:highlight w:val="none"/>
          <w14:textFill>
            <w14:solidFill>
              <w14:schemeClr w14:val="tx1"/>
            </w14:solidFill>
          </w14:textFill>
        </w:rPr>
      </w:r>
      <w:r/>
    </w:p>
    <w:p>
      <w:pPr>
        <w:numPr>
          <w:ilvl w:val="0"/>
          <w:numId w:val="0"/>
        </w:numPr>
        <w:spacing w:before="133" w:line="187" w:lineRule="auto"/>
        <w:rPr>
          <w:rFonts w:hint="eastAsia" w:ascii="宋体" w:hAnsi="宋体" w:cs="宋体"/>
          <w:b/>
          <w:bCs/>
          <w:color w:val="000000" w:themeColor="text1"/>
          <w:spacing w:val="8"/>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四、</w:t>
      </w:r>
      <w:r>
        <w:rPr>
          <w:rFonts w:hint="eastAsia" w:ascii="黑体" w:hAnsi="黑体" w:eastAsia="黑体" w:cs="黑体"/>
          <w:color w:val="000000" w:themeColor="text1"/>
          <w:sz w:val="24"/>
          <w:szCs w:val="24"/>
          <w:highlight w:val="none"/>
          <w14:textFill>
            <w14:solidFill>
              <w14:schemeClr w14:val="tx1"/>
            </w14:solidFill>
          </w14:textFill>
        </w:rPr>
        <w:t xml:space="preserve">拟采购标的需要满足的技术、商务要求</w:t>
      </w:r>
      <w:r/>
    </w:p>
    <w:p>
      <w:pPr>
        <w:ind w:firstLine="480"/>
        <w:rPr>
          <w:rFonts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（一）技术要求</w:t>
      </w:r>
      <w:r/>
    </w:p>
    <w:p>
      <w:pPr>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1.产品技术指标</w:t>
      </w:r>
      <w:r/>
    </w:p>
    <w:tbl>
      <w:tblPr>
        <w:tblStyle w:val="719"/>
        <w:tblW w:w="98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1198"/>
        <w:gridCol w:w="6688"/>
        <w:gridCol w:w="1291"/>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产品</w:t>
            </w:r>
            <w:r>
              <w:rPr>
                <w:rFonts w:hint="eastAsia" w:ascii="宋体" w:hAnsi="宋体" w:eastAsia="宋体" w:cs="宋体"/>
                <w:b/>
                <w:bCs/>
                <w:i w:val="0"/>
                <w:iCs w:val="0"/>
                <w:color w:val="000000"/>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技术参数与功能要求</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参考图片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1.阻抗≤8Ω。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2.频响等同或优于65Hz-20KHz。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3.额定功率≥200W。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4.灵敏度≥97dB/W/M。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5.水平覆盖角≥90°，垂直覆盖角≥70°。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6.高音≥1.3"高音单元*1。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7.低音≥8"低音*1。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音箱支架</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多媒体功放机</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1.音源具备光纤，同轴，USB，蓝牙，路线，麦克风等多路输入。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2.内置DSP音效处理，具备延时、混响、混音、防啸叫（7级移频）、变调（10级），人声激励，消原唱等功能。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3.控制可以通过红外遥控、编码开关、按键实现其功能。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4.面板LCD显示屏，实现直观显示各种功能及工作状态。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5.提供≥3路RCA线路输入，≥3路平衡麦带幻象电源输入。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6.采用DSP处理器，预置多种场景模式。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7.每路话筒音量独立可调，效果可调，音乐音量独立可调，高中低音调节。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8.具备≥1路RS485接口，支持RS485通讯中控集成控制。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9.支持USB播放，支持MP3、WAV、APE、FLAC等主流音乐格式。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10.具有开关机软启动保护功能，具有功放有压限、短路、过载、过热保护。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11.面板：铝合金材质。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12.内置≥48V幻象开关控制功能。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13.支持蓝牙功能，可以手机，电脑等设备连接。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14.每个话筒输入有增益调节功能，话筒能最佳匹配功放输入状态。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15.额定输出功率：≥2x500W@4R；≥2x350W@8R。</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无线话筒（双手持）</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2.具有≥1台接收主机、≥2只手持发射机；频率范围等同或优于470MHz-510MHz、540MHz-590MHz、640MHz-690MHz、807MHz-830MHz四个频段使用。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4.具有自动静音功能，麦克风跌落、抛掷时，毫秒级自动静音，避免冲击声；实时监测设备姿态，静置≥5秒静音，≥8分钟关机，无需手动干预。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5.具有多档位混响调节功能，混响效果≥15000个，效果占比、回响延时、混响幅度调节，三种音效各具有≥20档调节方式。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6.具有多频段均衡调节功能，均衡调节≥2000种，麦克风均衡器调节功能，具有高、中、低音三种调节档位，每种效果支持≥10档调节。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7.具有长时间续航，发射机使用时长≥10小时。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9.接收机具有≥2个2.2英寸的TFT-LCD显示屏；发射机具有≥0.96英寸OLED显示屏，能够显示频率信息、音频加密状态、功率挡位、静音状态、电量格数信息。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1.规格：不低于22U。</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2.材质：黑色冷轧钢板，机柜前玻璃门后钢板门单开。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3.标准配置包含但不限于：8位国标电源排插1个，固定板部件1块,风扇部件1套，2"重型脚轮4只，M12支脚4只，M6方螺母螺钉20套，内六角扳手1只。</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音频线、音响线、膨胀螺丝、管线卡扣、接插件、专用插座、PVC线管。</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服务台</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1.参考尺寸：6000*900*750mm±5mm。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2.材质：采用不低于ENF级环保标准实木多层板，面贴优质三聚氰胺纸，板材厚度≥16mm，局部板材烤漆处理。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4.五金件：三合一链接件（锌合金偏心头、锌合金连接杆、塑料预埋螺母）、五金螺丝连接固定。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45465" cy="376555"/>
                      <wp:effectExtent l="0" t="0" r="3175" b="444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 descr="IMG_256"/>
                              <pic:cNvPicPr>
                                <a:picLocks noChangeAspect="1"/>
                              </pic:cNvPicPr>
                              <pic:nvPr/>
                            </pic:nvPicPr>
                            <pic:blipFill>
                              <a:blip r:embed="rId13"/>
                              <a:stretch/>
                            </pic:blipFill>
                            <pic:spPr bwMode="auto">
                              <a:xfrm>
                                <a:off x="0" y="0"/>
                                <a:ext cx="545465" cy="376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9pt;height:29.6pt;mso-wrap-distance-left:0.0pt;mso-wrap-distance-top:0.0pt;mso-wrap-distance-right:0.0pt;mso-wrap-distance-bottom:0.0pt;" stroked="f" strokeweight="0.75pt">
                      <v:path textboxrect="0,0,0,0"/>
                      <v:imagedata r:id="rId1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工作椅</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1.参考尺寸：总高1130（1260）mm*坐宽470mm*坐深430mm*扶手宽630mm±5mm。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2.座背胶壳：原材料使用PP工程塑料加纤，防寒耐腐，耐老化无毒环保。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3.座垫：采用定型海棉、布料采用阻燃绦纶面料，色度牢，耐光性好，抗皱免烫，座垫颜色可定制。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4.网背：透气中网靠背，回弹性好，坐感舒适，不场陷；不含胶水，不含有毒物质，品质健康没杂质。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5.扶手：原材料使用PP工程塑料加纤，防寒耐腐，耐老化无毒环保，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6.脚轮：尼龙万向轮</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23825" cy="190500"/>
                      <wp:effectExtent l="0" t="0" r="13335" b="7620"/>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 descr="IMG_257"/>
                              <pic:cNvPicPr>
                                <a:picLocks noChangeAspect="1"/>
                              </pic:cNvPicPr>
                              <pic:nvPr/>
                            </pic:nvPicPr>
                            <pic:blipFill>
                              <a:blip r:embed="rId14"/>
                              <a:stretch/>
                            </pic:blipFill>
                            <pic:spPr bwMode="auto">
                              <a:xfrm>
                                <a:off x="0" y="0"/>
                                <a:ext cx="1238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8pt;height:15.0pt;mso-wrap-distance-left:0.0pt;mso-wrap-distance-top:0.0pt;mso-wrap-distance-right:0.0pt;mso-wrap-distance-bottom:0.0pt;" stroked="f" strokeweight="0.75pt">
                      <v:path textboxrect="0,0,0,0"/>
                      <v:imagedata r:id="rId1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升降凳</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1.参考尺寸：440*440*410-530mm±5mm。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2.面料：饰面采用高密哑光科技布（哑光三层复合工艺，B1级阻燃），框架采用实木材质，辅以板材加固。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3.海绵：采用优质海绵，阻燃级别高且柔软性能好、回弹性高、不变形。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4.气压棒：优质气压棒，可承受至少30万次升降。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5.椅脚：五星脚静态承重能力强，不会因湿度和温度的变化而脆裂。</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60655" cy="401955"/>
                      <wp:effectExtent l="0" t="0" r="6985" b="9525"/>
                      <wp:docPr id="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 descr="IMG_258"/>
                              <pic:cNvPicPr>
                                <a:picLocks noChangeAspect="1"/>
                              </pic:cNvPicPr>
                              <pic:nvPr/>
                            </pic:nvPicPr>
                            <pic:blipFill>
                              <a:blip r:embed="rId15"/>
                              <a:stretch/>
                            </pic:blipFill>
                            <pic:spPr bwMode="auto">
                              <a:xfrm>
                                <a:off x="0" y="0"/>
                                <a:ext cx="160655" cy="4019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6pt;height:31.6pt;mso-wrap-distance-left:0.0pt;mso-wrap-distance-top:0.0pt;mso-wrap-distance-right:0.0pt;mso-wrap-distance-bottom:0.0pt;" stroked="f" strokeweight="0.75pt">
                      <v:path textboxrect="0,0,0,0"/>
                      <v:imagedata r:id="rId1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石头阅读凳（中）</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1.参考尺寸：570*570*400mm±5mm。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2.材质：饰面采用高密哑光科技布（哑光三层复合工艺，B1级阻燃），框架采用实木材质，辅以板材加固。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3.内衬：采用高密度回弹阻燃海绵填充，局部丝棉填充，弹力橡筋固定。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4.沙发脚：防滑耐磨塑胶脚，五金螺丝连接固定。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04775" cy="190500"/>
                      <wp:effectExtent l="0" t="0" r="9525" b="0"/>
                      <wp:docPr id="5"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 descr="IMG_259"/>
                              <pic:cNvPicPr>
                                <a:picLocks noChangeAspect="1"/>
                              </pic:cNvPicPr>
                              <pic:nvPr/>
                            </pic:nvPicPr>
                            <pic:blipFill>
                              <a:blip r:embed="rId16"/>
                              <a:stretch/>
                            </pic:blipFill>
                            <pic:spPr bwMode="auto">
                              <a:xfrm>
                                <a:off x="0" y="0"/>
                                <a:ext cx="10477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2pt;height:15.0pt;mso-wrap-distance-left:0.0pt;mso-wrap-distance-top:0.0pt;mso-wrap-distance-right:0.0pt;mso-wrap-distance-bottom:0.0pt;" stroked="f" strokeweight="0.75pt">
                      <v:path textboxrect="0,0,0,0"/>
                      <v:imagedata r:id="rId1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石头阅读凳（小）</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1.参考尺寸：450*450*450mm±5mm。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2.材质：饰面采用高密哑光科技布（哑光三层复合工艺，B1级阻燃），框架采用实木材质，辅以板材加固。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3.内衬：采用高密度回弹阻燃海绵填充，局部丝棉填充，弹力橡筋固定。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4.沙发脚：防滑耐磨塑胶脚，五金螺丝连接固定。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04775" cy="190500"/>
                      <wp:effectExtent l="0" t="0" r="9525" b="0"/>
                      <wp:docPr id="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5" descr="IMG_260"/>
                              <pic:cNvPicPr>
                                <a:picLocks noChangeAspect="1"/>
                              </pic:cNvPicPr>
                              <pic:nvPr/>
                            </pic:nvPicPr>
                            <pic:blipFill>
                              <a:blip r:embed="rId17"/>
                              <a:stretch/>
                            </pic:blipFill>
                            <pic:spPr bwMode="auto">
                              <a:xfrm>
                                <a:off x="0" y="0"/>
                                <a:ext cx="10477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2pt;height:15.0pt;mso-wrap-distance-left:0.0pt;mso-wrap-distance-top:0.0pt;mso-wrap-distance-right:0.0pt;mso-wrap-distance-bottom:0.0pt;" stroked="f" strokeweight="0.75pt">
                      <v:path textboxrect="0,0,0,0"/>
                      <v:imagedata r:id="rId1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小圆几</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1.参考尺寸：φ600*400mm±5mm。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2.台面：采用不低于ENF级环保标准实木多层板，表面烤漆工艺。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3.支架：实木橡木材质，采用环保木器漆，反复打磨上漆并保留原有木纹。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4.配件：五金螺丝连接固定。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5.颜色：台面可选。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42875" cy="190500"/>
                      <wp:effectExtent l="0" t="0" r="9525" b="0"/>
                      <wp:docPr id="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6" descr="IMG_261"/>
                              <pic:cNvPicPr>
                                <a:picLocks noChangeAspect="1"/>
                              </pic:cNvPicPr>
                              <pic:nvPr/>
                            </pic:nvPicPr>
                            <pic:blipFill>
                              <a:blip r:embed="rId18"/>
                              <a:stretch/>
                            </pic:blipFill>
                            <pic:spPr bwMode="auto">
                              <a:xfrm>
                                <a:off x="0" y="0"/>
                                <a:ext cx="14287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2pt;height:15.0pt;mso-wrap-distance-left:0.0pt;mso-wrap-distance-top:0.0pt;mso-wrap-distance-right:0.0pt;mso-wrap-distance-bottom:0.0pt;" stroked="f" strokeweight="0.75pt">
                      <v:path textboxrect="0,0,0,0"/>
                      <v:imagedata r:id="rId1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异型阅读凳</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1.参考尺寸：1300*1200*380mm±5mm。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2.材质：饰面采用高密哑光科技布（哑光三层复合工艺，B1级阻燃），框架采用实木材质，辅以板材加固。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3.内衬：采用高密度回弹阻燃海绵填充，局部丝棉填充，弹力橡筋固定。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4.沙发脚：防滑耐磨塑胶脚，五金螺丝连接固定。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14325" cy="190500"/>
                      <wp:effectExtent l="0" t="0" r="9525" b="0"/>
                      <wp:docPr id="8"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7" descr="IMG_262"/>
                              <pic:cNvPicPr>
                                <a:picLocks noChangeAspect="1"/>
                              </pic:cNvPicPr>
                              <pic:nvPr/>
                            </pic:nvPicPr>
                            <pic:blipFill>
                              <a:blip r:embed="rId19"/>
                              <a:stretch/>
                            </pic:blipFill>
                            <pic:spPr bwMode="auto">
                              <a:xfrm>
                                <a:off x="0" y="0"/>
                                <a:ext cx="3143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4.8pt;height:15.0pt;mso-wrap-distance-left:0.0pt;mso-wrap-distance-top:0.0pt;mso-wrap-distance-right:0.0pt;mso-wrap-distance-bottom:0.0pt;" stroked="f" strokeweight="0.75pt">
                      <v:path textboxrect="0,0,0,0"/>
                      <v:imagedata r:id="rId1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期刊架</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1.参考尺寸：650*460*1000mm±5mm。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2.材质：全金属铁艺材质。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3.工艺：采用满焊焊接，经酸洗磷化抛光等处理后，表面烤漆处理，耐腐蚀，不易生锈。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42875" cy="190500"/>
                      <wp:effectExtent l="0" t="0" r="9525" b="0"/>
                      <wp:docPr id="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8" descr="IMG_263"/>
                              <pic:cNvPicPr>
                                <a:picLocks noChangeAspect="1"/>
                              </pic:cNvPicPr>
                              <pic:nvPr/>
                            </pic:nvPicPr>
                            <pic:blipFill>
                              <a:blip r:embed="rId20"/>
                              <a:stretch/>
                            </pic:blipFill>
                            <pic:spPr bwMode="auto">
                              <a:xfrm>
                                <a:off x="0" y="0"/>
                                <a:ext cx="14287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2pt;height:15.0pt;mso-wrap-distance-left:0.0pt;mso-wrap-distance-top:0.0pt;mso-wrap-distance-right:0.0pt;mso-wrap-distance-bottom:0.0pt;" stroked="f" strokeweight="0.75pt">
                      <v:path textboxrect="0,0,0,0"/>
                      <v:imagedata r:id="rId2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作品展示高柜</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1.参考尺寸：700*450*2400mm±5mm。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2.材质：采用不低于ENF级环保标准实木多层板，面贴优质三聚氰胺纸，板材厚度≥16mm，背板厚度≥9mm。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4.五金件：三合一链接件（锌合金偏心头、锌合金连接杆、塑料预埋螺母）、五金螺丝连接固定。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5.结构：上下柜带门，中间不带门；其中一组中间含两龙头水槽，周边防水处理。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61950" cy="190500"/>
                      <wp:effectExtent l="0" t="0" r="0" b="0"/>
                      <wp:docPr id="1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9" descr="IMG_264"/>
                              <pic:cNvPicPr>
                                <a:picLocks noChangeAspect="1"/>
                              </pic:cNvPicPr>
                              <pic:nvPr/>
                            </pic:nvPicPr>
                            <pic:blipFill>
                              <a:blip r:embed="rId21"/>
                              <a:stretch/>
                            </pic:blipFill>
                            <pic:spPr bwMode="auto">
                              <a:xfrm>
                                <a:off x="0" y="0"/>
                                <a:ext cx="3619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8.5pt;height:15.0pt;mso-wrap-distance-left:0.0pt;mso-wrap-distance-top:0.0pt;mso-wrap-distance-right:0.0pt;mso-wrap-distance-bottom:0.0pt;" stroked="f" strokeweight="0.75pt">
                      <v:path textboxrect="0,0,0,0"/>
                      <v:imagedata r:id="rId2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沙发卡座</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1.参考尺寸：1180*400*450mm±5mm。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2.材质：采用不低于ENF级环保标准免漆板，面贴优质三聚氰胺纸，板材厚度≥16mm。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3.软包：饰面采用高密哑光科技布（哑光三层复合工艺，B1级阻燃），内衬高密度回弹阻燃海绵填充。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4.沙发脚：防滑耐磨塑胶脚，五金螺丝连接固定。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85750" cy="190500"/>
                      <wp:effectExtent l="0" t="0" r="0" b="0"/>
                      <wp:docPr id="1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0" descr="IMG_265"/>
                              <pic:cNvPicPr>
                                <a:picLocks noChangeAspect="1"/>
                              </pic:cNvPicPr>
                              <pic:nvPr/>
                            </pic:nvPicPr>
                            <pic:blipFill>
                              <a:blip r:embed="rId22"/>
                              <a:stretch/>
                            </pic:blipFill>
                            <pic:spPr bwMode="auto">
                              <a:xfrm>
                                <a:off x="0" y="0"/>
                                <a:ext cx="2857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pt;height:15.0pt;mso-wrap-distance-left:0.0pt;mso-wrap-distance-top:0.0pt;mso-wrap-distance-right:0.0pt;mso-wrap-distance-bottom:0.0pt;" stroked="f" strokeweight="0.75pt">
                      <v:path textboxrect="0,0,0,0"/>
                      <v:imagedata r:id="rId2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可移动讲台</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1.参考尺寸：715*475*750/1050mm±5mm。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2.台面：采用不低于ENF级环保实木多层板，面贴优质三聚氰胺纸。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3.支架：铝铸件一体成型，表面静电喷塑，底部安装四个万向轮。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4.结构：气压升降。</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33350" cy="190500"/>
                      <wp:effectExtent l="0" t="0" r="0" b="0"/>
                      <wp:docPr id="12"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1" descr="IMG_266"/>
                              <pic:cNvPicPr>
                                <a:picLocks noChangeAspect="1"/>
                              </pic:cNvPicPr>
                              <pic:nvPr/>
                            </pic:nvPicPr>
                            <pic:blipFill>
                              <a:blip r:embed="rId23"/>
                              <a:stretch/>
                            </pic:blipFill>
                            <pic:spPr bwMode="auto">
                              <a:xfrm>
                                <a:off x="0" y="0"/>
                                <a:ext cx="1333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5pt;height:15.0pt;mso-wrap-distance-left:0.0pt;mso-wrap-distance-top:0.0pt;mso-wrap-distance-right:0.0pt;mso-wrap-distance-bottom:0.0pt;" stroked="f" strokeweight="0.75pt">
                      <v:path textboxrect="0,0,0,0"/>
                      <v:imagedata r:id="rId2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1.参考尺寸：1200*400*750mm±5mm。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2.台面板：采用不低于ENF级环保标准实木多层板，面贴优质三聚氰胺纸，厚度≥25mm，四周采用厚度≥1.8mmPVC封边条，具耐磨、防污、牢固耐用，尺寸约1200*400mm。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3.前挡板：采用不低于ENF级环保标准实木多层板，面贴优质三聚氰胺纸，厚度≥15mm，四周采用厚度≥1.8mmPVC封边条，具耐磨、防污、牢固耐用，尺寸约970*340mm。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4.台面托架：采用优质冷轧钢板经冲压折弯工艺一体而成，壁厚≥3.0mm，表面采用防锈静电喷涂处理，实用牢固，承受力大，尺寸约970*340mm。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5.侧脚管：前脚管采用优质蛋型冷轧钢管，壁厚≥1.2mm，表面采用防锈静电喷涂处理及塑料配件而成，整体牢固耐用，承受力大，前后脚跨度约520mm，尺寸约20*50mm。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6.横梁：采用直径≥φ50mm圆形冷轧钢管，壁厚≥1.2mm，表面采用防锈静电喷涂处理，实用牢固，承受力大。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7.书网：采用直径≥φ14mm圆管，壁厚≥0.8mm，经塑料件与圆管组合成型，表面采用防锈静电喷涂处理。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8.结构：台架有旋钮拆叠装置。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9.颜色：板材颜色可选。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00025" cy="190500"/>
                      <wp:effectExtent l="0" t="0" r="9525" b="0"/>
                      <wp:docPr id="13"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2" descr="IMG_267"/>
                              <pic:cNvPicPr>
                                <a:picLocks noChangeAspect="1"/>
                              </pic:cNvPicPr>
                              <pic:nvPr/>
                            </pic:nvPicPr>
                            <pic:blipFill>
                              <a:blip r:embed="rId24"/>
                              <a:stretch/>
                            </pic:blipFill>
                            <pic:spPr bwMode="auto">
                              <a:xfrm>
                                <a:off x="0" y="0"/>
                                <a:ext cx="2000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5.8pt;height:15.0pt;mso-wrap-distance-left:0.0pt;mso-wrap-distance-top:0.0pt;mso-wrap-distance-right:0.0pt;mso-wrap-distance-bottom:0.0pt;" stroked="f" strokeweight="0.75pt">
                      <v:path textboxrect="0,0,0,0"/>
                      <v:imagedata r:id="rId2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1.参考尺寸：890*580*600mm±5mm。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2.饰面：采用优质黑色网布，透气性优良。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3.海绵：采用优质高密度定型海绵，阻燃级别高且柔软性能好、回弹性高、不变形。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4.背框：采用优质PP+纤维一体成型。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5.椅架：采用≥1.2mm壁厚优质方形钢管，不易变形。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6.椅轮：采用尼龙加纤维交强而成，强度高，耐磨性好，通过10万轮周试验掉轮，分裂现象。</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33350" cy="190500"/>
                      <wp:effectExtent l="0" t="0" r="0" b="0"/>
                      <wp:docPr id="14"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3" descr="IMG_268"/>
                              <pic:cNvPicPr>
                                <a:picLocks noChangeAspect="1"/>
                              </pic:cNvPicPr>
                              <pic:nvPr/>
                            </pic:nvPicPr>
                            <pic:blipFill>
                              <a:blip r:embed="rId25"/>
                              <a:stretch/>
                            </pic:blipFill>
                            <pic:spPr bwMode="auto">
                              <a:xfrm>
                                <a:off x="0" y="0"/>
                                <a:ext cx="1333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5pt;height:15.0pt;mso-wrap-distance-left:0.0pt;mso-wrap-distance-top:0.0pt;mso-wrap-distance-right:0.0pt;mso-wrap-distance-bottom:0.0pt;" stroked="f" strokeweight="0.75pt">
                      <v:path textboxrect="0,0,0,0"/>
                      <v:imagedata r:id="rId2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学习桌</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1.参考尺寸：3200*1400*750mm±5mm。                                                                                                                                                                                2.材质：采用不低于ENF级环保标准实木多层板，面贴优质三聚氰胺纸，板材厚度≥25mm。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4.钢架：优质钢管，壁厚度≥1.2mm，采用满焊焊接，经酸洗磷化抛光等处理后，采用环氧树脂塑粉喷涂处理，耐腐蚀，不易生锈。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5.五金件：五金螺丝连接固定。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6.配件：配套插座、多媒体线盒。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09550" cy="190500"/>
                      <wp:effectExtent l="0" t="0" r="0" b="0"/>
                      <wp:docPr id="15"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4" descr="IMG_269"/>
                              <pic:cNvPicPr>
                                <a:picLocks noChangeAspect="1"/>
                              </pic:cNvPicPr>
                              <pic:nvPr/>
                            </pic:nvPicPr>
                            <pic:blipFill>
                              <a:blip r:embed="rId26"/>
                              <a:stretch/>
                            </pic:blipFill>
                            <pic:spPr bwMode="auto">
                              <a:xfrm>
                                <a:off x="0" y="0"/>
                                <a:ext cx="2095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6.5pt;height:15.0pt;mso-wrap-distance-left:0.0pt;mso-wrap-distance-top:0.0pt;mso-wrap-distance-right:0.0pt;mso-wrap-distance-bottom:0.0pt;" stroked="f" strokeweight="0.75pt">
                      <v:path textboxrect="0,0,0,0"/>
                      <v:imagedata r:id="rId2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学习椅</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1.参考尺寸：483*366*882mm±5mm。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2.椅背：透气网布，背框采用高强度尼龙，S型设计。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3.坐垫：透气网布饰面，内衬采用高密度回弹阻燃海绵填充。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4.框架：优质钢管材质，配套加固螺钉，符合人体工程学设计。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5.扶手：PP塑料材质，曲线形扶手设计。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6.脚垫：高强度尼龙防滑垫。</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33350" cy="190500"/>
                      <wp:effectExtent l="0" t="0" r="0" b="0"/>
                      <wp:docPr id="16"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5" descr="IMG_270"/>
                              <pic:cNvPicPr>
                                <a:picLocks noChangeAspect="1"/>
                              </pic:cNvPicPr>
                              <pic:nvPr/>
                            </pic:nvPicPr>
                            <pic:blipFill>
                              <a:blip r:embed="rId27"/>
                              <a:stretch/>
                            </pic:blipFill>
                            <pic:spPr bwMode="auto">
                              <a:xfrm>
                                <a:off x="0" y="0"/>
                                <a:ext cx="1333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5pt;height:15.0pt;mso-wrap-distance-left:0.0pt;mso-wrap-distance-top:0.0pt;mso-wrap-distance-right:0.0pt;mso-wrap-distance-bottom:0.0pt;" stroked="f" strokeweight="0.75pt">
                      <v:path textboxrect="0,0,0,0"/>
                      <v:imagedata r:id="rId2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1.参考尺寸：900*400*2000mm±5mm。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2.结构：上玻下铁柜门，对开门设计，上2下2可调节层板（上3层A4空间），上下独立锁具。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3.主体：采用SPCC优质冷轧钢板，裸板厚度不低于0.6mm，经过国际领先的13工位处理法处理，表面硬度可以达H级。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4.玻璃：采用高透亮洛阳浮法玻璃，玻璃封条采用钢板全封结构，结实稳固。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5.拆装结构：前框、两侧及后背均采用特有卡接结构，两侧包裹顶板，侧面整张钢板无焊接缝，美观实用。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6.柜体：四周加强设计，并预冲加厚层板挂孔及层板口定位点，锁杆采用不低于4mm钢筋，上下带消音保护装置。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7.锁具：锁芯具有可更换锁芯和钥匙的功能，钥匙和锁芯有3位钢印编码。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8.塑粉：采用国内知名品牌的原生一代粉（哑光白），质地细腻均匀，洁白无暇。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9.扣手：右侧扣手设计（内嵌“一”字型全钢扣手，可换颜色），扣手与柜门平齐，美观实用。</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5725" cy="190500"/>
                      <wp:effectExtent l="0" t="0" r="9525" b="0"/>
                      <wp:docPr id="17"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6" descr="IMG_271"/>
                              <pic:cNvPicPr>
                                <a:picLocks noChangeAspect="1"/>
                              </pic:cNvPicPr>
                              <pic:nvPr/>
                            </pic:nvPicPr>
                            <pic:blipFill>
                              <a:blip r:embed="rId28"/>
                              <a:stretch/>
                            </pic:blipFill>
                            <pic:spPr bwMode="auto">
                              <a:xfrm>
                                <a:off x="0" y="0"/>
                                <a:ext cx="857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8pt;height:15.0pt;mso-wrap-distance-left:0.0pt;mso-wrap-distance-top:0.0pt;mso-wrap-distance-right:0.0pt;mso-wrap-distance-bottom:0.0pt;" stroked="f" strokeweight="0.75pt">
                      <v:path textboxrect="0,0,0,0"/>
                      <v:imagedata r:id="rId2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活动隔断</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1.饰面：采用免漆木饰面板。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2.骨架：采用高强度钢制骨架。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3.填充：采用环保防火隔音棉填充。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4.轨道：直向轨道和万向钢轮吊装。</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38125" cy="190500"/>
                      <wp:effectExtent l="0" t="0" r="9525" b="0"/>
                      <wp:docPr id="18"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7" descr="IMG_272"/>
                              <pic:cNvPicPr>
                                <a:picLocks noChangeAspect="1"/>
                              </pic:cNvPicPr>
                              <pic:nvPr/>
                            </pic:nvPicPr>
                            <pic:blipFill>
                              <a:blip r:embed="rId29"/>
                              <a:stretch/>
                            </pic:blipFill>
                            <pic:spPr bwMode="auto">
                              <a:xfrm>
                                <a:off x="0" y="0"/>
                                <a:ext cx="2381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8.8pt;height:15.0pt;mso-wrap-distance-left:0.0pt;mso-wrap-distance-top:0.0pt;mso-wrap-distance-right:0.0pt;mso-wrap-distance-bottom:0.0pt;" stroked="f" strokeweight="0.75pt">
                      <v:path textboxrect="0,0,0,0"/>
                      <v:imagedata r:id="rId2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教师操作桌</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1.参考尺寸：2000*800*750mm±5mm。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2.材质：采用不低于ENF级环保标准实木多层板，面贴优质三聚氰胺纸，台面板材厚度≥18mm。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4.钢架：优质钢管，壁厚度≥1.2mm，采用满焊焊接，经酸洗磷化抛光等处理后，采用环氧树脂塑粉喷涂处理，耐腐蚀，不易生锈。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5.五金件：五金螺丝连接固定。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47650" cy="190500"/>
                      <wp:effectExtent l="0" t="0" r="0" b="0"/>
                      <wp:docPr id="19"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8" descr="IMG_273"/>
                              <pic:cNvPicPr>
                                <a:picLocks noChangeAspect="1"/>
                              </pic:cNvPicPr>
                              <pic:nvPr/>
                            </pic:nvPicPr>
                            <pic:blipFill>
                              <a:blip r:embed="rId30"/>
                              <a:stretch/>
                            </pic:blipFill>
                            <pic:spPr bwMode="auto">
                              <a:xfrm>
                                <a:off x="0" y="0"/>
                                <a:ext cx="2476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9.5pt;height:15.0pt;mso-wrap-distance-left:0.0pt;mso-wrap-distance-top:0.0pt;mso-wrap-distance-right:0.0pt;mso-wrap-distance-bottom:0.0pt;" stroked="f" strokeweight="0.75pt">
                      <v:path textboxrect="0,0,0,0"/>
                      <v:imagedata r:id="rId3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1.参考尺寸：450*500*500/750mm±5mm。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2.面料：采用优质黑色网布，透气性优良。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3.海绵：采用优质海绵，阻燃级别高且柔软性能好、回弹性高、不变形。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4.气压棒：优质气压棒，可承受不低于30万次升降。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5.椅轮：采用尼龙加纤维交强而成，强度高，耐磨性好，通过不低于10万轮周试验掉轮，分裂现象。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6.椅脚：五星脚静态承重能力强，不会因湿度和温度的变化而脆裂。</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42875" cy="190500"/>
                      <wp:effectExtent l="0" t="0" r="9525" b="0"/>
                      <wp:docPr id="20"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9" descr="IMG_274"/>
                              <pic:cNvPicPr>
                                <a:picLocks noChangeAspect="1"/>
                              </pic:cNvPicPr>
                              <pic:nvPr/>
                            </pic:nvPicPr>
                            <pic:blipFill>
                              <a:blip r:embed="rId31"/>
                              <a:stretch/>
                            </pic:blipFill>
                            <pic:spPr bwMode="auto">
                              <a:xfrm>
                                <a:off x="0" y="0"/>
                                <a:ext cx="14287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2pt;height:15.0pt;mso-wrap-distance-left:0.0pt;mso-wrap-distance-top:0.0pt;mso-wrap-distance-right:0.0pt;mso-wrap-distance-bottom:0.0pt;" stroked="f" strokeweight="0.75pt">
                      <v:path textboxrect="0,0,0,0"/>
                      <v:imagedata r:id="rId3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定制操作桌</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1.参考尺寸：2400*1200*750mm±5mm。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2.材质：采用不低于ENF级环保标准实木多层板，面贴优质三聚氰胺纸，板材厚度≥18mm。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4.钢架：优质钢管，壁厚度≥1.2mm，采用满焊焊接，经酸洗磷化抛光等处理后，采用环氧树脂塑粉喷涂处理，耐腐蚀，不易生锈。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5.五金件：五金螺丝连接固定。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6.结构：桌架中档有层板，便于储物。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00025" cy="190500"/>
                      <wp:effectExtent l="0" t="0" r="9525" b="0"/>
                      <wp:docPr id="21"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0" descr="IMG_275"/>
                              <pic:cNvPicPr>
                                <a:picLocks noChangeAspect="1"/>
                              </pic:cNvPicPr>
                              <pic:nvPr/>
                            </pic:nvPicPr>
                            <pic:blipFill>
                              <a:blip r:embed="rId32"/>
                              <a:stretch/>
                            </pic:blipFill>
                            <pic:spPr bwMode="auto">
                              <a:xfrm>
                                <a:off x="0" y="0"/>
                                <a:ext cx="2000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5.8pt;height:15.0pt;mso-wrap-distance-left:0.0pt;mso-wrap-distance-top:0.0pt;mso-wrap-distance-right:0.0pt;mso-wrap-distance-bottom:0.0pt;" stroked="f" strokeweight="0.75pt">
                      <v:path textboxrect="0,0,0,0"/>
                      <v:imagedata r:id="rId3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操作圆凳</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1.参考尺寸：φ300*420mm±5mm。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2.椅面：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参考尺寸：φ300*18±0.5mm。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材质：采用厚度为18橡胶木实木指接板，木蜡油处理。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3.钢架：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参考尺寸：U型上管和U型下管尺寸为φ25*1.6±0.1mm圆管，加强圆管尺寸为φ16*1.5±0.1mm。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材质：采用直缝电焊钢管，钢架表面经磷化处理，静电粉末喷涂。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4.脚垫：采用PP+GF耐冲击塑料注塑成型，脚垫采用球形设计。</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33350" cy="190500"/>
                      <wp:effectExtent l="0" t="0" r="0" b="0"/>
                      <wp:docPr id="22"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1" descr="IMG_276"/>
                              <pic:cNvPicPr>
                                <a:picLocks noChangeAspect="1"/>
                              </pic:cNvPicPr>
                              <pic:nvPr/>
                            </pic:nvPicPr>
                            <pic:blipFill>
                              <a:blip r:embed="rId33"/>
                              <a:stretch/>
                            </pic:blipFill>
                            <pic:spPr bwMode="auto">
                              <a:xfrm>
                                <a:off x="0" y="0"/>
                                <a:ext cx="1333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0.5pt;height:15.0pt;mso-wrap-distance-left:0.0pt;mso-wrap-distance-top:0.0pt;mso-wrap-distance-right:0.0pt;mso-wrap-distance-bottom:0.0pt;" stroked="f" strokeweight="0.75pt">
                      <v:path textboxrect="0,0,0,0"/>
                      <v:imagedata r:id="rId3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收纳边柜</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1.参考尺寸：900*450*1000mm±5mm。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2.材质：采用不低于ENF级环保标准实木多层板，面贴优质三聚氰胺纸，板材厚度≥16mm，背板厚度≥9mm。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4.五金件：三合一链接件（锌合金偏心头、锌合金连接杆、塑料预埋螺母）、五金螺丝连接固定。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28600" cy="190500"/>
                      <wp:effectExtent l="0" t="0" r="0" b="0"/>
                      <wp:docPr id="23"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2" descr="IMG_277"/>
                              <pic:cNvPicPr>
                                <a:picLocks noChangeAspect="1"/>
                              </pic:cNvPicPr>
                              <pic:nvPr/>
                            </pic:nvPicPr>
                            <pic:blipFill>
                              <a:blip r:embed="rId34"/>
                              <a:stretch/>
                            </pic:blipFill>
                            <pic:spPr bwMode="auto">
                              <a:xfrm>
                                <a:off x="0" y="0"/>
                                <a:ext cx="2286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8.0pt;height:15.0pt;mso-wrap-distance-left:0.0pt;mso-wrap-distance-top:0.0pt;mso-wrap-distance-right:0.0pt;mso-wrap-distance-bottom:0.0pt;" stroked="f" strokeweight="0.75pt">
                      <v:path textboxrect="0,0,0,0"/>
                      <v:imagedata r:id="rId3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1.制冷方式：风冷。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2.容量不低于500L、采用变频技术。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3.对开三门，双系统三循环，2个蒸发器，独立变温区。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4.一级能耗。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5.智能 WiFi 互联。</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冰柜</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1.冷冻容积：不低于100L。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2.冷藏容积：不低于100L。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3.电压：220V。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4.容量：不低于100L。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5.综合耗电量：0.39kW·h/24h。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6.冷冻能力：6kg/12h。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7.产品尺寸：不低于深498mm*高865mm*宽541mm。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8.放置方式：卧式。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9.控温方式：机械控温。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10.开门方式：顶开门。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11.类型：卧式冷柜。</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1.容量：不低于11L。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2.额定功率(W)：不低于2200。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3.能效等级：1级。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4.热水输出率：80%。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5.额定电源：220V~ 50Hz。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6.额定压力(MPa)：约0.75。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7.额定温度(°C)：约75。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8.产品尺寸(mm)：约360*360*270。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1.安装方式：嵌入式。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2.消毒方式：中温烘干。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3.面板材质：钢化玻璃。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4.电压：220V，功率不低于520W。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5.容量：不低于80L；双层设计。</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破壁机</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1.电机功率不低于900W、加热功率不低于1200W。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2.冷饮容量不低于1750ml、热饮容量不低于1400ml。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3.电压：220V，转速：≥35000 转/分钟。</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即热式电热水器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1.加热类型；即热式（无需预热）防水等级：IPX4。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2.功率：不低于8000瓦热效率：≥95。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3.厚度：≤60mm。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4.安装：含6平方电线（部署设备）、PPR管、阀门、各种水路接头（水路到每个分组水柜）。</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桌面式100L电烤箱</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1.内腔容量：不低于100L。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2.温度控制：100度～250度。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3.控制方式：机械控制。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4.额定电压220V，额定功率≤2800W。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5.整机尺寸：(550±50)*(410±50)*(510±50)mm。</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净水器</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1.滤芯级数：不低于2级。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2.过滤原理：反渗透。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3.制水流量：不低于4L/min。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4.RO滤芯寿命：不低于5年。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5.含单独回路净水管道、厨下式安装及辅料。</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咖啡机</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1.咖啡豆自动研磨：不低于10档。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2.可拆卸式水箱：容量不低于1.8L。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3.自动奶泡系统：储奶容器不低于200ml、红外线传感器、牛奶容器自动清洁功能。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4.顶部斜面操作面板：咖啡类型图标显示。</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1.额定功率不低于1250W。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2.容量不低于20L，侧视窗。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3.电压：220V。</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电子蒸笼</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1.容量：≥7.8L。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2.层数：3层。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3.锅面直径：不低于24cm。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4.锅体材质：PP(聚丙烯)。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5.额定功率：不低于800W。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6.额定电压：220V。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7.配件：竹蒸笼、接水盘。</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厨师机</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1.电源：220v/50hz。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2.功率：不低于1500w。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3.容量：不低于6L。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4.控制方式：LC+恒速。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5.整机尺寸：360*245*320mm±5mm。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6.可支持打蛋器、和面机、搅拌机、鲜奶机。</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1.参考规格不低于305*290*79mm±5mm。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2.不低于10段火力调节，旋钮精准调节，防刮耐磨，使用寿命长，火力大小随时触控。</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榨汁机</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1.额定功率：不低于250w。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2.产品容量：不低于600ml。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3.材质：食品级塑料外壳，304不锈钢刀头。</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烘焙专用炊具</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1.不粘锅：口径不低于300mm，锅深不低于80mm，加防爆锅盖。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2.蒸锅（带蒸笼、蒸布）：口径不低于300mm，总高不低于280mm，加厚304材质，双层，含夹盘器、含蒸布。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3.煮水壶：容量不低于1.7L，不低于1800W功率，双层防烫，自动断电。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4.水壶：不低于2.0L，材质304，加厚。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5.面盆套装：不锈钢材质，小号：不低于口径168*深70mm，容量不低于700ML；大号：不低于193*80mm，容量不低于1200ML；特大号：不低于245*105mm，容量不低于2000ML。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6.洗菜盆套装：加厚304食品级不锈钢2件套；不低于260mm口径漏盆+实盆。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7.锅铲套装：不伤锅，耐高温，食品级硅胶，三件套（硅胶勺、硅胶铲、硅胶漏勺）。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8.菜板套装：六件套（菜刀、厨师刀、水果刀、剪刀、削皮刀、菜板、亚克力刀架） 。</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烘焙专用餐具</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1.餐叉套装不少于8套：勺子不低于45*207mm、叉子不低于26*207mm，304材质。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2.杯子不少于8个：密胺材质仿瓷杯白色，容量不低于200ml，不低于高94*75mm，耐高温120度。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3.盘子不少于8个：密胺材质仿瓷白色，不低于7寸浅试盘，不低于180*21mm。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4.碗不少于8个：密胺材质仿瓷白色，不低于4.75寸直边碗，不低于122*122*55mm，容量不低于370ml。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5.沙拉碗不少于1个：密胺材质仿瓷白色，不低于口径228mm*高度96mm，容量不低于2300ml。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6.整理箱不少于1个。</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烘焙工具套装</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1.电子秤：称重1-5kg，精度1g，背光电池款。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2.烘焙小工具套装：鸡蛋分离器、量杯、量勺、手动打蛋器、油刷。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3.电动打蛋器：额定电源220v-50hz，五档选择；外包尺寸不低于190*82*170mm；纯铜电机，多孔散热，一键退棒，附带原装线棒*2，原装片棒*2，蛋清分离器*1。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4.长柄刮刀：尺寸不低于27*5cm，硅胶刮刀。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5.打发奶油盆：大号口径不低于23cm，食品级304不锈钢。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6.筛子：食品级304不锈钢，pp材质手柄，过滤网晒60目，尺寸不低于10*25.5cm。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7.食品级硅胶垫：加厚640g，不低于70*50，送擀面杖+切面刀刮板。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8.裱花嘴5件套：中号底径不低于2.5cm，304不锈钢一体成型，约80克/套，1A圆口，1M直6齿，D42八齿，4B十五齿，不低于5mm口径挤馅嘴。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9.奶油抹刀：不低于8寸直抹刀，加厚420不锈钢材质，总长不低于32.5cm。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10.吐司盒：铝合金材质，表面不粘图层，带盖，尺寸不低于长30.9*9*10.7cm，出品600g。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11.活动蛋糕模：不低于7寸活底，尺寸不低于19.5*16.5*7.2cm，铝合金材质。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12.饼干模具：不锈钢材质，护手设计，尺寸不低于6.4*4.5cm大4个、不低于4.5*3.2cm小4个，雕花挖球器*1个，球径不低于3cm。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13.小喷壶：容量不低于200ml，PET材质瓶身，PP材质泵头，高不低于18.5cm。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14.羊毛刷：不低于3cm小号羊毛刷；木柄。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15.月饼印章：木质，直径不低于2.5cm福字。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16.手压月饼模具：食品级塑料；规格不低于50g，4片模具，模具尺寸不低于底直径5cm*高14cm。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17.转台：PP+塑料材质，直径不低于27.5cm。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18.深度烤盘：重型钢深烤盘加厚材质不低于1.5cm，尺寸不低于底长19.5cm*底宽14.5cm，双面不沾图层。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19.雪媚娘模具：铝合金材质，尺寸不低于8*3.7cm。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20.搅拌筷：长度不低于28cm，天然竹筷。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21.冰激凌模具不少于不少于6格：食品级硅胶，尺寸不低于长20*宽15*高4cm，带防尘盖。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22.食品夹：不低于9寸，不锈钢材质，尺寸不低于24.2*4cm。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23.以上各1套，整理箱1个。</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烘焙专用工具耗材</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1.保鲜膜不少于6卷：PE材质，冷热双用，透明无色，尺寸不低于30*30cm/60米/200张。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2.烘焙纸套装不少于不少于6卷：硅油纸10m宽30cm/锡纸10m宽30cm。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3.裱花袋不少于50个：一次性塑料裱花袋，尺寸不低于16.5*28.5cm，厚度不低于6丝。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4.蛋糕纸杯不少于100个：木浆纸+PE淋膜，无胶水粘合，食品级材质，小号不低于上直径5.8cm*下直径5cm*高4.5cm。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5.月饼印泥不少于3瓶：可食用色素，大红色，不低于20g。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6.一次性手套不少于6盒：食品级TPE手套，防油防污，加厚耐用耐磨，100只盒装。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7.小纸托不少于100个：一次性硅油纸托，淋膜纸材质，大号不低于顶部6.5*底部4.5*高3cm。</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防热手套</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长度不低于280mm，加厚耐高温，纯棉帆布。</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套袖围裙</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含围裙、套袖、帽子，微防水材质制服呢（DTY涤纶低弹丝），面料柔软、抗皱性好、耐磨耐洗。</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挂衣板</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实木底板，长不低于1200mm，12个挂钩。</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烘焙智慧教学课程</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1.课程目标：烘焙智慧课程既能培养学生热爱生活、体验美食的乐趣，又能培养学生的生活创造能力，以此为契机引导学生们热爱生活、热爱劳动。烘焙课程即是美育，又是德育还是劳技烘焙课的最好载体。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本烘焙智慧课程以了解烘焙的历史、文化、发展、原理等。学习烘焙的原料配比、计量方法、及烘烤方法等，总体课程分为三大类：糕点类、甜品类、果饮类。让学生感受烘焙的魅力，体验美食制作的乐趣。通过课程的实践塑造学生与人分享与为人付出的优秀品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2.应用类型：计算机桌面应用程序。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运行环境：windows/linux/mac系统平台。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运行模式：嵌入式浏览器app模式运行(窗体自适应)。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数据格式：静态数据json格式。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视频格式支持：mp4。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视频解码：videojs。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分辨率：高清1920*1080。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加密方式：nodejs分片加密。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功能介绍：前端界面：主窗口，菜单分级，资源接入等。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快速检索：输入关键词，联想搜索。自动分类 动态更新搜索结果 更新菜单和视频资源。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资源维护：更新资源，手动添加视频资源，运行配置程序自动更新主程序模块。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白板功能：可实现基本的批注功能，标注颜色可以三色选择。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翻页笔功能：以无线方式直接远程遥控软件，实现幻灯片的自由翻页和随意演示。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安装和更新：免安装集成软件包，即刻运行，静默更新。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3.基本模块：该套课程体系共分三大模块，包含：糕点类、甜品类、果饮类，共32课时。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其中糕点类包含不少于10节实操课；详细介绍不同糕点的烘焙历史与种类、面粉常识、配料、搅拌与发酵、烘焙塑形与装饰及保鲜的技能知识。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甜品类包含不少于10节实操课；通过学习使学生熟悉和掌握中西式甜品师专业基础知识和专业技能知识，了解相关原料知识，并能灵活运用。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果饮类包含不少于10节实操课；主要为学生提供了果茶果汁、水果泥、果酱等制作技术知识。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每课时配有专业人员的演示操作高清视频以及配套课程教案资源模块。教师可以根据自己的教学特点和习性，自由组织教学，满足教师的个性化要求。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4.师资培训：免费提供线上专业培训指导一次。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5.烘焙智慧教学指导用书：烘焙智慧课程教案，亦教师指导用书，共1册，配套烘焙智慧教学系统使用。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6.提供课程体系三大模块（糕点类、甜品类、果饮类）不少于32课时的目录，内容包含操作视频、以及配套课程教案资源模块（课程教案、教学大纲及成品展示）。</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学生操作台</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1.参考尺寸：2400*1200*750±5mm。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2.台面：选用优质人造石英石，台面厚度≥25mm。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3.柜体：采用不低于ENF级环保标准实木多层板，面贴优质三聚氰胺纸，板材厚度≥16mm，背板厚度≥9mm。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5.五金件：三合一链接件（锌合金偏心头、锌合金连接杆、塑料预埋螺母）、五金螺丝连接固定。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66700" cy="190500"/>
                      <wp:effectExtent l="0" t="0" r="0" b="0"/>
                      <wp:docPr id="24"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3" descr="IMG_278"/>
                              <pic:cNvPicPr>
                                <a:picLocks noChangeAspect="1"/>
                              </pic:cNvPicPr>
                              <pic:nvPr/>
                            </pic:nvPicPr>
                            <pic:blipFill>
                              <a:blip r:embed="rId35"/>
                              <a:stretch/>
                            </pic:blipFill>
                            <pic:spPr bwMode="auto">
                              <a:xfrm>
                                <a:off x="0" y="0"/>
                                <a:ext cx="2667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1.0pt;height:15.0pt;mso-wrap-distance-left:0.0pt;mso-wrap-distance-top:0.0pt;mso-wrap-distance-right:0.0pt;mso-wrap-distance-bottom:0.0pt;" stroked="f" strokeweight="0.75pt">
                      <v:path textboxrect="0,0,0,0"/>
                      <v:imagedata r:id="rId3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操作边台</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1.参考尺寸：2800*600*800mm±5mm。                                                                                                                                                             2.台面：选用优质人造石英石，台面厚度≥25mm。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3.柜体：采用不低于ENF级环保标准实木多层板，面贴优质三聚氰胺纸，板材厚度≥16mm，背板厚度≥9mm。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5.五金件：三合一链接件（锌合金偏心头、锌合金连接杆、塑料预埋螺母）、五金螺丝连接固定。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33350" cy="190500"/>
                      <wp:effectExtent l="0" t="0" r="0" b="0"/>
                      <wp:docPr id="25"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4" descr="IMG_279"/>
                              <pic:cNvPicPr>
                                <a:picLocks noChangeAspect="1"/>
                              </pic:cNvPicPr>
                              <pic:nvPr/>
                            </pic:nvPicPr>
                            <pic:blipFill>
                              <a:blip r:embed="rId36"/>
                              <a:stretch/>
                            </pic:blipFill>
                            <pic:spPr bwMode="auto">
                              <a:xfrm>
                                <a:off x="0" y="0"/>
                                <a:ext cx="1333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0.5pt;height:15.0pt;mso-wrap-distance-left:0.0pt;mso-wrap-distance-top:0.0pt;mso-wrap-distance-right:0.0pt;mso-wrap-distance-bottom:0.0pt;" stroked="f" strokeweight="0.75pt">
                      <v:path textboxrect="0,0,0,0"/>
                      <v:imagedata r:id="rId3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电子合成器</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1.键盘种类：管风琴(FSB)5级触感。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2.键盘数量：61。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3.弯音轮调制轮：十字摇杆。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4.实时控制按钮：2个(可分配)。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5.显示屏类型：不低于彩色7寸TFT触控屏。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6.音源技术：AWM立体声采样。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7.复音数：可达128。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8.音色数量：1587音色+63鼓组/SFX组特效音色+480XG音色。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9.伴奏数量：不少于520个专业伴奏型、49个音乐会伴奏型6个自由演奏伴奏型575种。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10.伴奏控制：前奏X3、主奏X4、自动加花X4、中断、尾奏X3。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11.录音音轨数：16。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12.扩展音色：不低于1GB。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13.内部存储：不低于1GB。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14.其他功能：音色制作器，面板延音，单音/复音，伴奏制作器伴奏推荐功能，乐曲制作器，乐谱显示功能，人声消除，移调变调，音调微调。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15.U盘接口：1个。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16.音频输出：R，L/L+R。</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17.踏板接口：1(SUSTAIN)，2(ARTICULATION1)，功能可分配。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18.话筒/吉他接口：有。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19.其他：AUXIN音频输入、耳机接口、USBTOHOST。</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20.功放：(15W+15W)。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21.尺寸：不低于1017mm*139mm*431mm。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22.定制中文界面，配套延音踏板1个，监听耳机1个。</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麦克悬臂支架套装</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1.类型：动圈。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2.指向性：超心形。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3.频率响应：50Hz-16kHz。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4.灵敏度：≥-51.5 dBV/Pa(2.6mV)。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5.输出阻抗：≥1500(实际2902)。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6.外壳：压铸金属。</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7.配套：桌面悬臂支架套装。</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吉他</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1.琴型：缺角型。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2.连接方式：榫卯连接式。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3.面板木材：云杉。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4.背侧板木材：沙比利。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5.音梁：X音梁。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6.是否切削：切削。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7.琴枕宽度：13/4" (1.750)。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8.12品宽度：21/8" (2.125)。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9.指板弧度：16"。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10.指板材质：Richlite 仿乌木。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11.有效弦长：24.9"。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12.琴颈：Select硬木。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13.弦钮：镀铬哑光封闭式。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14.拾音器：Martin 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乐器防潮箱</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1.产品尺寸：不低于500*500*1235mm。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2.产品内尺寸：不低于490*490*1180mm。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3.产品材质：冷轧钢&amp;全钢化玻璃。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4.湿度可设定范围：45%RH-60%RH。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5.湿度传感器精度：+2%RH，+0.3°C。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6.输入电压：DC3.8-5.5V。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7.最大功率：不低于32W。</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乐器输出音响</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1.额定输出功率：不低于300W。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2.额定输入电平(1khz)：MIC： -50dbu AUXIN： -10dbu LIN：-20dbu。</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3.供电：DC25.2V：21700锂电池(18节)或AC适配器。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4.扬声器：8(英寸)x2；2.75(英寸)x8。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5.电池容量：不低于11400mAh(MIN)/249.66WH。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6.体积：不低于长40cm*宽30cm*高30cm。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7.续航：不低于21700锂电池(18节)约3-5小时。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8.外壳：环保夹板木箱。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9.外观：环保皮革。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10.配套双话筒、支架等。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便携麦克</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1.一键式QuickScan频率选择快速查找俱佳开放频率。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2.每个频带多达12个兼容系统(视区域而定)。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3.XLR和%4英寸输出接口。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4.微处理器控制的内部天线分集。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5.双色音频状态LED指示灯。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6.套装包含接收机、腰包发射机、心形头戴话筒、电源适配器等。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1.采用柱极式电容麦克风设计，具有良好的束状特性。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2.接口：平衡式XLR接口；方向特性：束状。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3.支持单只麦克风或多只麦克风同时使用。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4.幻象供电：≥+48V。</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话筒支架</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1.高度调节等同或优于1030-1710mm。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2.横杠长度≥750mm。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3.外箱尺寸≥325*290*1000mm。</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顶光灯</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1.采用≥364*0.4W RGBW四合一LED光源，光源平均寿命≥50000H。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2.具备Ra≥85。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3.具备光斑角度≥105°。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4.支持0-25次/秒电子频闪，速度可调节，内置随机频闪或脉冲频闪；支持0-100%电子线性调光。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5.具备RGBW(红绿蓝白)线性混色系统，内置宏功能。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6.支持1800K-10000K色温线性调节。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7.采用≥1.8英寸蓝屏LCD显示屏，配置≥4个机械按键。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8.内置NTC温度控测功能，当LED工作过热时，智能降低LED的输出功率。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9.支持DM协议，手动控制模式；具备≥3种通道模式，由精简模式≥4CH，标准模式≥8CH，拓展模式≥9CH组成。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10.支持DMX信号更新、云端服务器远程在线更新。</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面光灯</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1.采用≥805*0.4W LED光源，光源平均寿命≥50000H。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2.具备Ra≥96。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3.具备光斑角度≥105°。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4.支持0-25次/秒电子频闪，速度可调节，内置随机频闪或脉冲频闪；支持0-100%电子线性调光。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5.支持3000K-6500K色温线性调节。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6.支持0°-65°翻转角度电动线性可调。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7.采用≥1.8英寸蓝屏LCD显示屏，配置≥4个机械按键。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8.内置NTC温度控测功能，当LED工作过热时，智能降低LED的输出功率。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9.支持RDM协议，手动控制模式；具备≥3种通道模式，由精简模式≥3CH，标准模式≥6CH，拓展模式≥7CH组成。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10.支持DMX信号更新、云端服务器远程在线更新。</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控台</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1.具备≥256个DMX控制通道，≥1路光电隔离信号输出。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2.支持≥16台电脑灯控制或≥64路调光控制。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3.支持RDM远程识别灯具。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4.采用背光LCD显示屏，可中英文切换显示界面。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5.具备≥35个内置图形。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6.具备可独立设置图形参数。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7.具备可储存≥80个重演场景，支持每个多步场景可储存≥100个单步。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8.具备≥16个重演场景，可同时输出和运行。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9.具备≥16根集控推杆，按键点控和推杆集控兼容。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10.具备关机或者突发断电等情况数据可记忆保持。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11.具备U盘可备份控台数据，支持重新导入到控台使用，同型号控台数据可共享。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12.支持远程软件升级。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13.具备预置推杆可控制电脑灯的属性。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14.支持立即黑场。</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直通箱</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1.具备过载与短路双重保护高分断空气开关。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2.具备≥12路*4KW功率输出。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3.支持A.B.C三相工作指示灯。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4.支持两脚和三脚万能用插座。</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1.支持DMX512公母接口输入。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2.支持输入输出光电隔离。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3.支持≥8路独立放大驱动输出。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4.具备信号放大整形功能，延长信号传输距离。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5.具备增强数据总线接入设备数量的能力。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6.具备独立的LED信号指示。</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可移动长桌</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1.参考尺寸：1500*500*750mm±5mm。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2.台面板：采用不低于ENF级环保标准实木多层板，面贴优质三聚氰胺纸，厚度≥25mm，四周采用厚度≥1.8mmPVC封边条，具耐磨、防污、牢固耐用，尺寸约1200*400mm。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3.前挡板：采用不低于ENF级环保标准实木多层板，面贴优质三聚氰胺纸，厚度≥15mm，四周采用厚度≥1.8mmPVC封边条，具耐磨、防污、牢固耐用，尺寸约970*340mm。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4.台面托架：采用优质冷轧钢板经冲压折弯工艺一体而成，壁厚≥3.0mm，表面采用防锈静电喷涂处理，实用牢固，承受力大，尺寸约970*340mm。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5.侧脚管：前脚管采用优质蛋型冷轧钢管，壁厚≥1.2mm，表面采用防锈静电喷涂处理及塑料配件而成，整体牢固耐用，承受力大，前后脚跨度约520mm，尺寸约20*50mm。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6.横梁：采用直径≥φ50mm圆形冷轧钢管，壁厚≥1.2mm，表面采用防锈静电喷涂处理，实用牢固，承受力大。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7.书网：采用直径≥φ14mm圆管，壁厚≥0.8mm，经塑料件与圆管组合成型，表面采用防锈静电喷涂处理。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8.结构：台架有旋钮拆叠装置。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9.颜色：板材颜色可选。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19075" cy="190500"/>
                      <wp:effectExtent l="0" t="0" r="9525" b="0"/>
                      <wp:docPr id="26"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5" descr="IMG_280"/>
                              <pic:cNvPicPr>
                                <a:picLocks noChangeAspect="1"/>
                              </pic:cNvPicPr>
                              <pic:nvPr/>
                            </pic:nvPicPr>
                            <pic:blipFill>
                              <a:blip r:embed="rId37"/>
                              <a:stretch/>
                            </pic:blipFill>
                            <pic:spPr bwMode="auto">
                              <a:xfrm>
                                <a:off x="0" y="0"/>
                                <a:ext cx="219074"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7.2pt;height:15.0pt;mso-wrap-distance-left:0.0pt;mso-wrap-distance-top:0.0pt;mso-wrap-distance-right:0.0pt;mso-wrap-distance-bottom:0.0pt;" stroked="f" strokeweight="0.75pt">
                      <v:path textboxrect="0,0,0,0"/>
                      <v:imagedata r:id="rId3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学习椅（带写字板）</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1.参考尺寸：545*545*436/806mm±5mm。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2.椅面：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参考尺寸：椅背尺寸545*342mm±5mm，椅座尺寸424*442mm±5mm。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材质：采用PP+GF耐冲击改性一级新料注塑成型。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功能：椅背带≥270个三角形透气孔设计，椅背上部设有异形孔，起到把手作用；椅座中间内凹，前端圆弧半弯，椅背和椅座有多种颜色可选。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3.椅架：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参考尺寸：前脚管和后立管尺寸φ25mm±0.5mm，壁厚1.8mm±0.1mm圆管。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材质：采用圆管满焊焊接，钢架表面经静电粉末喷涂，附着力强。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功能：椅座可实现90°翻转，方便收纳移动；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4.脚垫：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采用全新PA材料，脚垫设有嵌件螺纹柱一体注塑成型，防滑，防潮。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5.写字板：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参考尺寸：360*250*20mm±5mm。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材质：采用全新ABS材料，整体注塑成型。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功能：写字板可实现转动，顶部带有矩形和圆形凹槽，可放置水杯、笔等。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33350" cy="190500"/>
                      <wp:effectExtent l="0" t="0" r="0" b="0"/>
                      <wp:docPr id="27"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6" descr="IMG_281"/>
                              <pic:cNvPicPr>
                                <a:picLocks noChangeAspect="1"/>
                              </pic:cNvPicPr>
                              <pic:nvPr/>
                            </pic:nvPicPr>
                            <pic:blipFill>
                              <a:blip r:embed="rId38"/>
                              <a:stretch/>
                            </pic:blipFill>
                            <pic:spPr bwMode="auto">
                              <a:xfrm>
                                <a:off x="0" y="0"/>
                                <a:ext cx="1333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0.5pt;height:15.0pt;mso-wrap-distance-left:0.0pt;mso-wrap-distance-top:0.0pt;mso-wrap-distance-right:0.0pt;mso-wrap-distance-bottom:0.0pt;" stroked="f" strokeweight="0.75pt">
                      <v:path textboxrect="0,0,0,0"/>
                      <v:imagedata r:id="rId3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可移动伸缩合唱台</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1.参考尺寸：收纳后尺寸为长1200*宽600*高900mm±5mm，三层推开后尺寸为长1200*宽1000*高900mm±5mm；第一层台阶宽400*高300mm±5mm,第二层台阶宽400*高600mm±5mm，第三层台阶宽600*高900mm±5mm。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2.材质：合唱台整体采用橡胶木实木。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3.工艺：使用天然植物精炼木蜡油经反复打磨、浸润、擦拭、上光制成，内置钢架横向纵向连接固定，五金件连接。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4.功能：一、二层可收纳至第三层下面，节约收纳空间，底部配置优质带刹车万向轮，方便推移。</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85775" cy="190500"/>
                      <wp:effectExtent l="0" t="0" r="9525" b="0"/>
                      <wp:docPr id="28"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7" descr="IMG_282"/>
                              <pic:cNvPicPr>
                                <a:picLocks noChangeAspect="1"/>
                              </pic:cNvPicPr>
                              <pic:nvPr/>
                            </pic:nvPicPr>
                            <pic:blipFill>
                              <a:blip r:embed="rId39"/>
                              <a:stretch/>
                            </pic:blipFill>
                            <pic:spPr bwMode="auto">
                              <a:xfrm>
                                <a:off x="0" y="0"/>
                                <a:ext cx="48577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38.2pt;height:15.0pt;mso-wrap-distance-left:0.0pt;mso-wrap-distance-top:0.0pt;mso-wrap-distance-right:0.0pt;mso-wrap-distance-bottom:0.0pt;" stroked="f" strokeweight="0.75pt">
                      <v:path textboxrect="0,0,0,0"/>
                      <v:imagedata r:id="rId3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定制乐器柜</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1.参考尺寸：1450*600mm*2400mm±5mm。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2.材质：采用不低于ENF级环保标准实木多层板，面贴优质三聚氰胺纸，板材厚度≥16mm，背板厚度≥9mm。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4.五金件：液压铰链、三合一链接件（锌合金偏心头、锌合金连接杆、塑料预埋螺母）、五金螺丝连接固定。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5.结构：上部为开放展示格或洞洞板展示墙，下部为带门储物柜。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28625" cy="190500"/>
                      <wp:effectExtent l="0" t="0" r="9525" b="0"/>
                      <wp:docPr id="29"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8" descr="IMG_283"/>
                              <pic:cNvPicPr>
                                <a:picLocks noChangeAspect="1"/>
                              </pic:cNvPicPr>
                              <pic:nvPr/>
                            </pic:nvPicPr>
                            <pic:blipFill>
                              <a:blip r:embed="rId40"/>
                              <a:stretch/>
                            </pic:blipFill>
                            <pic:spPr bwMode="auto">
                              <a:xfrm>
                                <a:off x="0" y="0"/>
                                <a:ext cx="4286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33.8pt;height:15.0pt;mso-wrap-distance-left:0.0pt;mso-wrap-distance-top:0.0pt;mso-wrap-distance-right:0.0pt;mso-wrap-distance-bottom:0.0pt;" stroked="f" strokeweight="0.75pt">
                      <v:path textboxrect="0,0,0,0"/>
                      <v:imagedata r:id="rId4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无线话筒（双头戴）</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2.具有≥1台接收主机、≥2只头戴腰包；频率范围等同或优于470MHz-510MHz、540MHz-590MHz、640MHz-690MHz、807MHz-830MHz四个频段使用。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4.具有多档位混响调节功能，混响效果≥15000个，效果占比、回响延时、混响幅度调节，三种音效各具有≥20档调节方式。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5.具有多频段均衡调节功能，均衡调节≥2000种，麦克风均衡器调节功能，具有高、中、低音三种调节档位，每种效果支持≥10档调节。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6.具有长时间续航，发射机连续使用时长≥10小时。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8.接收机具有≥2个2.2英寸的TFT-LCD显示屏；发射机具有≥0.96英寸OLED显示屏，能够显示频率信息、音频加密状态、功率挡位、静音状态、电量格数信息。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换鞋柜</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1.参考尺寸：1200*300*560mm±5mm。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2.材质：采用不低于ENF级环保标准实木多层板，面贴优质三聚氰胺纸，板材厚度≥16mm，背板厚度≥9mm。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4.五金件：三合一链接件（锌合金偏心头、锌合金连接杆、塑料预埋螺母）、五金螺丝连接固定。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5.结构：三行三列，敞格。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28600" cy="190500"/>
                      <wp:effectExtent l="0" t="0" r="0" b="0"/>
                      <wp:docPr id="30"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9" descr="IMG_284"/>
                              <pic:cNvPicPr>
                                <a:picLocks noChangeAspect="1"/>
                              </pic:cNvPicPr>
                              <pic:nvPr/>
                            </pic:nvPicPr>
                            <pic:blipFill>
                              <a:blip r:embed="rId34"/>
                              <a:stretch/>
                            </pic:blipFill>
                            <pic:spPr bwMode="auto">
                              <a:xfrm>
                                <a:off x="0" y="0"/>
                                <a:ext cx="2286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8.0pt;height:15.0pt;mso-wrap-distance-left:0.0pt;mso-wrap-distance-top:0.0pt;mso-wrap-distance-right:0.0pt;mso-wrap-distance-bottom:0.0pt;" stroked="f" strokeweight="0.75pt">
                      <v:path textboxrect="0,0,0,0"/>
                      <v:imagedata r:id="rId3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储物高柜</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1.参考尺寸：870*450*2400mm±5mm。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2.材质：采用不低于ENF级环保标准实木多层板，面贴优质三聚氰胺纸，板材厚度≥16mm，背板厚度≥9mm。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4.五金件：三合一链接件（锌合金偏心头、锌合金连接杆、塑料预埋螺母）、五金螺丝连接固定。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323850" cy="190500"/>
                      <wp:effectExtent l="0" t="0" r="0" b="0"/>
                      <wp:docPr id="31"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0" descr="IMG_285"/>
                              <pic:cNvPicPr>
                                <a:picLocks noChangeAspect="1"/>
                              </pic:cNvPicPr>
                              <pic:nvPr/>
                            </pic:nvPicPr>
                            <pic:blipFill>
                              <a:blip r:embed="rId41"/>
                              <a:stretch/>
                            </pic:blipFill>
                            <pic:spPr bwMode="auto">
                              <a:xfrm>
                                <a:off x="0" y="0"/>
                                <a:ext cx="3238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5.5pt;height:15.0pt;mso-wrap-distance-left:0.0pt;mso-wrap-distance-top:0.0pt;mso-wrap-distance-right:0.0pt;mso-wrap-distance-bottom:0.0pt;" stroked="f" strokeweight="0.75pt">
                      <v:path textboxrect="0,0,0,0"/>
                      <v:imagedata r:id="rId4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室内乒乓球桌1</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1.台面颜色：蓝色。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2.参考尺寸：台长2740mm*台宽1525mm*台高760mm，平面度≤3mm。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3.台面材质：密度板。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4.是否可调高度：可调高度。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5.物理性能：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弹性：230-260mm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弹性均匀度：≤5mm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球台稳定性：≤10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台面光泽度：≤0.6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6.附：台面2块、固定螺丝、网架一副。</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室内乒乓球桌2</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1.台面颜色：蓝色。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2.参考尺寸：台⻓2740mm*台宽1525mm*台高760mm。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3.台面材质：整体采用MDF面板。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4.物理性能：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弹性：230-260mm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弹性均匀度：≤10mm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球台稳定性：≤10mm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台⾯光泽度：≤10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5.台⾯与优质型钢联结，整体折叠，操作⽅便，推移轻巧灵活。</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室外乒乓球桌</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1.台面颜色：蓝色。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2.参考尺寸：台长2740mm*台宽1525mm*台高760mm。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3.台面材质：整体采用SMC材质。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4.面板：1580*1420*120mm。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5.底架：2500*770*80mm。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6.网架：1570*210*130mm。</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乒乓球场地挡板</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1.参考尺寸：单块尺寸1.40*0.75（米）；比赛时围成的场地14*7（米），[由30块组成]。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2.乒乓球场地挡板底部横杆采用不低于25*25*1.5优质方管制作，上部支架采用Φ22*2优质圆管成一次弯管成形制作，挡板两侧设有围布。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3.挡板底部横杆两端设有防震垫及拨转机构，使用挡板时，拨转机构与挡板垂直，存放挡板时，拨转机与挡板底边重合。</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团体活动工具箱</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1.便携装置箱：精挑轻便耐用材质特别定制。</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2.团体辅导活动系列工具。</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3.①团体活动道具箱至少4个；②团体活动参考书籍至少1本。</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4.团体辅导指导手册：至少包含以下8个单元主题：</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单元一团队热身篇：如火车过山洞、背道而驰、大混战、画手、火车去哪儿、欢乐动物园、激情与节奏、牵手一起走、手表换位、霸占圆环等多个游戏活动。</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单元二集体趣味篇：如光盘拔河、传表情、舞林大会、无声猜歌名、波涛汹涌、画肖像、官兵捉贼、报纸PK赛、插秧比赛、撒网捕鱼等多个游戏活动。</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单元三自我挑战篇：如随机应变、无眼行动、叠叠乐、瞎子作画、穿针引线、连环吹“炮”、手手相印、脱口有“财”、黑暗来临、倒行等多个游戏活动。</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单元四团队熔炼篇：如合力玩气球、吸管穿环、气球爆炸、同舟而济、集体创作、疯狂的设计、找名字、同心协力、形影不离、携“脚”闯天涯等多个游戏活动。</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单元五人际互动篇：如奇妙图画之旅、言无不尽、寻人歌词、肢体语言、展示演技、收获赞美、沟通潜力、谁是好人、我们的形状、名人名字等多个游戏活动。</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单元六开拓思维篇：如天马行空、谁懂我的画、真假难辨、妙句连篇、记忆表象、巧妙取水、纸牌搭楼、宝藏钥匙、智取气球、联想等多个游戏活动。</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单元七学会信任篇：如寂寞互助、心中的密友、烦恼勿扰、信任倒、转绳圈、有进有退、风雨同行、冒险缓冲墙、最真实的忍耐性、信任坐等多个游戏活动。</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单元八心灵联接篇：如看到自己、我的责任、改变自己、最好的自己、命运之轮、盲人与拐棍、透支、心灵洗礼、敞开心扉、人生五项等多个游戏活动。</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5.每个游戏所需道具器材均独立包装，贴标明示，方便了心理老师与学生更好更迅速进入活动状态。有效帮助开展各种形式的心理训练活动。并且配有正规出版社出版的辅导书籍。介绍了工具包中的各个活动，包括每个活动的名称、目的、时间、道具、场地、程序以及注意事项的详细介绍。书籍通俗易懂，简洁明了，便于携带，同时还附有更为详细和完整的教材，利于参考。</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6.活动器材：便于携带的精致工具箱，金属锁扣，金属包角加固防跌防摩擦，扇形脚垫防滑防刮花，八角合页结实耐用，铝型骨架硬朗不变形。各种活动必备器材内置于活动包中。</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color w:val="000000"/>
                <w:sz w:val="20"/>
                <w:szCs w:val="20"/>
                <w:highlight w:val="none"/>
                <w:u w:val="none"/>
                <w:lang w:bidi="ar"/>
              </w:rPr>
              <w:t xml:space="preserve">7.产品安全要求：团体活动箱用具（含弹力球、胶水、套尺、笔、弗洛伊德卡、双面胶、粉笔）参考GB6675.2-2014“玩具安全第2部分：机械与物理性能”的要求，产品的机械物理性能、易燃性能均检测合格。</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组合学习桌</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1.参考尺寸：1590*1500*625-775mm±5mm。（六张组合尺寸）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2.单个面板规格：不低于760*600*18mm±2mm，钻石造型。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3.面板：采用ENF级不低于18mm厚环保实木多层板，表面耐磨、防污、硬度高、不易变色；桌面外侧四角倒圆（R20mm(±0.5mm)），采用PVC同色或黑色封边条，反面设有预埋定位螺母便于多次安装。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钢脚：采用不低于φ30*1.5mm±0.5mm的套杆和φ25*1.5mm±0.5mm的內杆做成桌脚，横梁采用不低于40*20*1.5mm±0.5mm的矩形管，门字形桌架采用满焊焊接而成，桌脚可通过改变螺丝安装位置调节高度（607mm-757mm，7档，每档间隔25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5.功能：可以实现6人组合成的正六边形讨论小组，也可以作为单人课桌灵活使用。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6.颜色：桌面有多种木纹及纯色饰面可选，以便课桌与整体空间颜色搭配协调。</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61925" cy="190500"/>
                      <wp:effectExtent l="0" t="0" r="9525" b="0"/>
                      <wp:docPr id="32"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1" descr="IMG_286"/>
                              <pic:cNvPicPr>
                                <a:picLocks noChangeAspect="1"/>
                              </pic:cNvPicPr>
                              <pic:nvPr/>
                            </pic:nvPicPr>
                            <pic:blipFill>
                              <a:blip r:embed="rId42"/>
                              <a:stretch/>
                            </pic:blipFill>
                            <pic:spPr bwMode="auto">
                              <a:xfrm>
                                <a:off x="0" y="0"/>
                                <a:ext cx="1619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2.8pt;height:15.0pt;mso-wrap-distance-left:0.0pt;mso-wrap-distance-top:0.0pt;mso-wrap-distance-right:0.0pt;mso-wrap-distance-bottom:0.0pt;" stroked="f" strokeweight="0.75pt">
                      <v:path textboxrect="0,0,0,0"/>
                      <v:imagedata r:id="rId4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学习椅</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1.参考尺寸：480*475*810mm±5mm。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2.椅面：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参考尺寸：430*450*440mm±5mm。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材质：采用PP+GF一级新料整体注塑成型。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功能：椅背中心内凹，椅背上部设有异形孔，起到把手作用；座板采用下凹式曲线弧度设计，座板底部两侧设有加强筋，起到加强座板承重性和连接课椅钢架的作用。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3.椅架：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参考尺寸：34*16mm±0.5mm，壁厚1.8mm±0.1mm椭圆管。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材质：采用直缝电焊钢管和钢板满焊焊接，钢架表面经磷化处理，静电粉末喷涂。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4.底盖、压条：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参考尺寸：底盖尺寸380*180*40mm±5mm，压条尺寸160*20*30mm±5mm。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材质：全新注塑一体成型。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功能：底盖盖合课椅钢架顶部，增加美观性的同时增强安全防护，底盖压条位于底盖底部，起到椅子悬挂桌面时防滑防刮伤桌面的作用，方便打扫卫生。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5.脚垫：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材质：采用PP+GF耐冲击塑料注塑成型。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功能：脚垫一体包覆钢架，防滑防刮伤地板。</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95250" cy="190500"/>
                      <wp:effectExtent l="0" t="0" r="0" b="0"/>
                      <wp:docPr id="33"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2" descr="IMG_287"/>
                              <pic:cNvPicPr>
                                <a:picLocks noChangeAspect="1"/>
                              </pic:cNvPicPr>
                              <pic:nvPr/>
                            </pic:nvPicPr>
                            <pic:blipFill>
                              <a:blip r:embed="rId43"/>
                              <a:stretch/>
                            </pic:blipFill>
                            <pic:spPr bwMode="auto">
                              <a:xfrm>
                                <a:off x="0" y="0"/>
                                <a:ext cx="952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5pt;height:15.0pt;mso-wrap-distance-left:0.0pt;mso-wrap-distance-top:0.0pt;mso-wrap-distance-right:0.0pt;mso-wrap-distance-bottom:0.0pt;" stroked="f" strokeweight="0.75pt">
                      <v:path textboxrect="0,0,0,0"/>
                      <v:imagedata r:id="rId4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花瓣凳</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1.参考尺寸：凳面φ300*450mm±5mm，凳脚对角线450mm。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2.材质：加强PP塑料，一体注塑成型。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52400" cy="190500"/>
                      <wp:effectExtent l="0" t="0" r="0" b="0"/>
                      <wp:docPr id="34"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3" descr="IMG_288"/>
                              <pic:cNvPicPr>
                                <a:picLocks noChangeAspect="1"/>
                              </pic:cNvPicPr>
                              <pic:nvPr/>
                            </pic:nvPicPr>
                            <pic:blipFill>
                              <a:blip r:embed="rId44"/>
                              <a:stretch/>
                            </pic:blipFill>
                            <pic:spPr bwMode="auto">
                              <a:xfrm>
                                <a:off x="0" y="0"/>
                                <a:ext cx="1524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2.0pt;height:15.0pt;mso-wrap-distance-left:0.0pt;mso-wrap-distance-top:0.0pt;mso-wrap-distance-right:0.0pt;mso-wrap-distance-bottom:0.0pt;" stroked="f" strokeweight="0.75pt">
                      <v:path textboxrect="0,0,0,0"/>
                      <v:imagedata r:id="rId4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智能互动击打呐喊宣泄设备</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一、硬件配置要求：</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（一）宣泄强硬件要求：</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1.多功能投影形成的虚拟宣泄墙具备捕捉模块，在投影表面上形成一个高于表面1-2mm、厚度约1mm的捕捉模块。</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2.当手指或任何不透明的物体接触墙体表面时，设备自动感应，再通过对光电位置的精确计算，提供实时相应反馈。</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3.多功能投影可形成的虚拟宣泄墙面，可根据场地选择合适尺寸，多功能投影触控宣泄墙可自动校正，≤5秒内完成，成功率≥95%以上，多点手势识别，最短投射比≤0.15，使来访者宣泄效果更佳，定位不适用红外和光学定位，切合来访者需求。</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4.多功能投影触控虚拟宣泄墙具备高稳定性特征，通过多种抗异常光点干扰的算法和滤光片推拉装置，使得系统不易受到外界环境、光线的影响，即使有爬虫或灰尘滞留在板面上都可正常操作，不影响来访者进行宣泄心理治疗。</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5.多功能投影触控虚拟宣泄墙支持满屏触控。</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（二）硬件部分：</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1.至少包含主机1套、内存≥4GB、硬盘≥512GB固态硬盘、音响1套、定位捕捉系统1套、高清摄像头1个、麦克风1个。</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2.投影设备1套，机身材质：PC/ABS化合物；USB接口：USBTypeMiniBx1；安装方式：吊装正投；梯形矫正：垂直矫正；镜头材质：全玻璃；流明：不低于3300流明；分辨率约800X600dpi。</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二、系统功能要求：</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1.提供智能互动击打宣泄和呐喊宣泄双模选择,且双模式都是在投影情境中使用，广泛适用不动环境大小使用对象，大幅度降低运维成本。</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2.语音识别交互系统，心理陪护感强烈，操作方便，宣泄更加轻松便捷。</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3.语音唤醒功能，通过呼喊设备昵称，如“请打开宣泄系统”，设备可按照指令唤醒系统。</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4.语音交互控制功能，通过语音呼喊，便可选择设备功能选项，如呼喊：“选择男生”系统便选择男生，如呼喊：“5-10分钟”系统便选择5-10分钟的宣泄选项；如呼喊：“考试焦虑”系统便提供考试焦虑的主题宣泄选项。</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5.智能时间控制系统，可以避免时间过长宣泄疲劳和时间过短效果不佳，让宣泄更加畅快淋漓。</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6.呐喊宣泄提供≥9种针对性主题模式：系统提供多种智能主题宣泄模式自由选择：试焦虑、情绪疏导、社交恐惧、身心疲乏、适应不良、逃避拖延、消除自卑、压力释放。满足不同使用者的需求。</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7.呐喊宣泄男女引导声的选择：满足不同使用者的需求，引导声以及场景的音乐治疗专用音乐均采用高清无损音质，宣泄听觉氛围极佳。</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8.提供互动宣泄场景：互动手段的先进化，宣泄视觉氛围极佳，使用者代入感更强。</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9.系统智能分析宣泄者的行为：通过对呐喊声音强度及时间等因素的分析，判断出其情绪的程度，根据不同程度进行智能化的语音以及动画正向引导、激励，最大程度的投入到宣泄中去。</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10.保护机制功能：使用者跟随系统引导语进行正常呐喊互动时，此阶段最多持续循环5分钟，以避免长时间呐喊造成声带损伤。系统在几次呐喊引导后依旧采集不到用户声音反馈，将自动退出此模块，不会无限循环引导用户呐喊，加深负面情绪。</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11.档案管理：每个用户都有专属档案，为进一步制定心理疏导策略提供依据。</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12.击打宣泄的灵敏度可自由调整，可以更改击打频率的反馈界面，根据使用者和使用周边环境操作度，合理调整适应的灵敏度。</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13.击打宣泄提供能量分析，对整个宣泄过程进行智能分析，了解用户宣泄特点。</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14.提供演示模式，在演示模式下，可以选择直接进入下一步操作，直接略过互动宣泄过程，演示模式页面必须包含销毁数量和击打频率两个关键指标。</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15.宣泄画面投影到墙壁，来访者通过引导在墙壁做动作，系统具备动态捕捉技术，捕捉用户全身所有肢体活动并与反馈，提供沉浸式宣泄体验，大大增强心理调适的效果。</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16.宣泄档案系统，便于用户自我管理和下一步心理调适工作的开展。</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17.击打宣泄模块，打开该模块，虚拟宣泄墙便形成连续动态漂浮蘑菇云，蘑菇云引导来访者击打，击中便可爆炸，给予极强心理反馈，让宣泄更加投入。</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18.宣泄档案基础模块，该模块需包含宣泄者的时间、性别、年龄、宣泄类型、宣泄主题和宣泄的持续时间。</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color w:val="000000"/>
                <w:sz w:val="20"/>
                <w:szCs w:val="20"/>
                <w:highlight w:val="none"/>
                <w:u w:val="none"/>
                <w:lang w:bidi="ar"/>
              </w:rPr>
              <w:t xml:space="preserve">19.宣泄数据模块，必须包含四色持续时间分析，并形成四色饼状图；必须包含击打频率波线图，横轴为时间，竖轴为击打频率，并形成折线图谱。</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沉浸式动感单车干预设备</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（一）硬件配置要求：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1.VR头显要求：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尺寸：不低于28*19*12cm±1cm。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屏幕尺寸：不低于5.46inch。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分辨率：不低于1920*3664。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帧率：不低于72/90Hz。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光学方案：菲涅尔。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IPD调节：自适应54-74mm。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接口：DP1.2*1  USB2.0*2。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2.动感单车要求：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全包型，飞轮重不低于6.0KG。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传送方式：皮带传送。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刹车系统：电动飞梭磁控。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最大承重：不低于120 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材质：喷塑钢管，主架不低于1.3mm厚，扶手不低于1.5mm厚，金属脚踏。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产品尺寸：110*50*100cm±1cm。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（二）功能要求：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1、提供设备使用、运动安全、身心调节等多种训练指导，包含如设备使用提示、VR头盔使用说明、动感单车使用说明、热身准备、运动姿态、骑行呼吸、穿着要求、训练后放松调节、训练禁忌</w:t>
            </w:r>
            <w:r>
              <w:rPr>
                <w:rFonts w:hint="eastAsia" w:ascii="宋体" w:hAnsi="宋体" w:eastAsia="宋体" w:cs="宋体"/>
                <w:i w:val="0"/>
                <w:iCs w:val="0"/>
                <w:color w:val="000000"/>
                <w:sz w:val="20"/>
                <w:szCs w:val="20"/>
                <w:highlight w:val="none"/>
                <w:u w:val="none"/>
                <w:lang w:val="en-US" w:eastAsia="zh-CN" w:bidi="ar"/>
              </w:rPr>
              <w:t xml:space="preserve">等内容。                                                                                                                                                               2.用户可在训练端自由注册信息，注册成功后即可进行训练，要求训练端至少具备训练指导、智能训练、自助训练、互动训练、档案中心等功能，可以充分满足用户各项训练需求，帮助用户科学宣泄心理压力。</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3.首页提供当前脉搏、轴向、速度、服务器连接状态等信息。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系统采用VR技术，为训练者构建高沉浸度的虚拟现实心理训练，通过与虚拟场景身临其境的交互，结合动感单车运动调适方法，实时监测采集训练者的生物反馈数据，配合场景、游戏、音乐等形式来对训练者进行减压训练，系统须由训练端和管理端两部分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5.支持在同一局域网中，多台VR动感单车身心调适系统设备可扩展为多人团体训练，即团体训练模式下可支持多个训练端同时在同一个训练游戏中进行团体互动训练。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6.内置脉搏参数采集传感器，芯片采集设备预置单车车把中，支持采集用户脉搏参数。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7.支持查看、导出、删除本地训练档案，档案内容涵盖个人信息、训练信息、训练结果等，提供如区间饼图、脉搏时间曲线图、速度区间图表等内容。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8.提供≥10道智能评估选择题，涵盖如“我觉得不快乐”、“哪一场景可以让你身心放松”等题目，答题结束后自动显示评估结果，评估结果包含如指导语、训练场景、训练时长、训练音乐等内容。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9.提供历次的智能训练、自助训练记录，包含如记录时间、训练场景、训练时间、训练音乐等内容，支持在训练记录页面再次进入训练。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提供如“森林骑行”、“雪地骑行”、“沙滩骑行”等≥10款自助训练虚拟场景，其中多款场景支持通过转动轴向调整骑行角度进行自由探索，多款场景支持固定路线骑行探索。提供如“动感系列”、“古典系列”、“轻柔系列”等系列≥20首训练音乐，支持自定义训练时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11.提供VR模式和PC模式两种训练模式，VR模式下支持训练者佩戴VR头显进行心理训练，训练过程中，训练画面可实现头显、屏幕同步显示。PC模式下支持通过观看屏幕进行心理训练。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12.内置多款单人训练，以互动训练游戏的形式展现，提供如简单、普通、困难等三级难度选择。内置多款团体训练游戏，支持创建房间，查看玩家列表、准备状态、当前人数等信息，支持自由设置游戏长度。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13.支持训练过程中，可实时监测训练者脉搏生物反馈指标，并在训练场景中显示脉搏（次/分钟）、速度（千米/小时）、距离（米）等。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14.内置角度方向和运动速度传感器，支持检测训练者的骑行速度和方向角度。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（三）产品组成：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包含主系统1套；动感单车1部；VR头显1个；控制台1套。</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桌上足球</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1.参考尺寸：1400*730*880mm±5mm。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2.材质：不低于E0级环保标准高密度板材+优质五金连接件。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3.配套：ABS环保人偶。</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四人位辅导沙发</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1.参考尺寸：2320*680*750mm±5mm。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2.框架：优质铁艺仿木框架，采用满焊焊接，经酸洗磷化抛光等处理后，采用环氧树脂塑粉喷涂处理，耐腐蚀，不易生锈。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3.坐垫：采用布艺饰面，高密度回弹阻燃海绵填充。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38125" cy="190500"/>
                      <wp:effectExtent l="0" t="0" r="9525" b="0"/>
                      <wp:docPr id="35"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4" descr="IMG_289"/>
                              <pic:cNvPicPr>
                                <a:picLocks noChangeAspect="1"/>
                              </pic:cNvPicPr>
                              <pic:nvPr/>
                            </pic:nvPicPr>
                            <pic:blipFill>
                              <a:blip r:embed="rId45"/>
                              <a:stretch/>
                            </pic:blipFill>
                            <pic:spPr bwMode="auto">
                              <a:xfrm>
                                <a:off x="0" y="0"/>
                                <a:ext cx="2381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8.8pt;height:15.0pt;mso-wrap-distance-left:0.0pt;mso-wrap-distance-top:0.0pt;mso-wrap-distance-right:0.0pt;mso-wrap-distance-bottom:0.0pt;" stroked="f" strokeweight="0.75pt">
                      <v:path textboxrect="0,0,0,0"/>
                      <v:imagedata r:id="rId4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三人位辅导沙发</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1.参考尺寸：1720*680*750mm±5mm。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2.框架：优质铁艺仿木框架，采用满焊焊接，经酸洗磷化抛光等处理后，采用环氧树脂塑粉喷涂处理，耐腐蚀，不易生锈。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3.坐垫：采用布艺饰面，高密度回弹阻燃海绵填充。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38125" cy="190500"/>
                      <wp:effectExtent l="0" t="0" r="9525" b="0"/>
                      <wp:docPr id="36"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5" descr="IMG_290"/>
                              <pic:cNvPicPr>
                                <a:picLocks noChangeAspect="1"/>
                              </pic:cNvPicPr>
                              <pic:nvPr/>
                            </pic:nvPicPr>
                            <pic:blipFill>
                              <a:blip r:embed="rId45"/>
                              <a:stretch/>
                            </pic:blipFill>
                            <pic:spPr bwMode="auto">
                              <a:xfrm>
                                <a:off x="0" y="0"/>
                                <a:ext cx="2381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8.8pt;height:15.0pt;mso-wrap-distance-left:0.0pt;mso-wrap-distance-top:0.0pt;mso-wrap-distance-right:0.0pt;mso-wrap-distance-bottom:0.0pt;" stroked="f" strokeweight="0.75pt">
                      <v:path textboxrect="0,0,0,0"/>
                      <v:imagedata r:id="rId4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单人辅导沙发</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1.参考尺寸：620*680*750mm±5mm。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2.框架：优质铁艺仿木框架，采用满焊焊接，经酸洗磷化抛光等处理后，采用环氧树脂塑粉喷涂处理，耐腐蚀，不易生锈。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3.坐垫：采用布艺饰面，高密度回弹阻燃海绵填充。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52400" cy="190500"/>
                      <wp:effectExtent l="0" t="0" r="0" b="0"/>
                      <wp:docPr id="37"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6" descr="IMG_291"/>
                              <pic:cNvPicPr>
                                <a:picLocks noChangeAspect="1"/>
                              </pic:cNvPicPr>
                              <pic:nvPr/>
                            </pic:nvPicPr>
                            <pic:blipFill>
                              <a:blip r:embed="rId46"/>
                              <a:stretch/>
                            </pic:blipFill>
                            <pic:spPr bwMode="auto">
                              <a:xfrm>
                                <a:off x="0" y="0"/>
                                <a:ext cx="1524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0pt;height:15.0pt;mso-wrap-distance-left:0.0pt;mso-wrap-distance-top:0.0pt;mso-wrap-distance-right:0.0pt;mso-wrap-distance-bottom:0.0pt;" stroked="f" strokeweight="0.75pt">
                      <v:path textboxrect="0,0,0,0"/>
                      <v:imagedata r:id="rId4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1.参考尺寸：1250*650*450mm±5mm。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2.框架：优质铁艺仿木框架，采用满焊焊接，经酸洗磷化抛光等处理后，采用环氧树脂塑粉喷涂处理，耐腐蚀，不易生锈。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3.五金件：五金螺丝连接固定。</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09550" cy="190500"/>
                      <wp:effectExtent l="0" t="0" r="0" b="0"/>
                      <wp:docPr id="38"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7" descr="IMG_292"/>
                              <pic:cNvPicPr>
                                <a:picLocks noChangeAspect="1"/>
                              </pic:cNvPicPr>
                              <pic:nvPr/>
                            </pic:nvPicPr>
                            <pic:blipFill>
                              <a:blip r:embed="rId47"/>
                              <a:stretch/>
                            </pic:blipFill>
                            <pic:spPr bwMode="auto">
                              <a:xfrm>
                                <a:off x="0" y="0"/>
                                <a:ext cx="2095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6.5pt;height:15.0pt;mso-wrap-distance-left:0.0pt;mso-wrap-distance-top:0.0pt;mso-wrap-distance-right:0.0pt;mso-wrap-distance-bottom:0.0pt;" stroked="f" strokeweight="0.75pt">
                      <v:path textboxrect="0,0,0,0"/>
                      <v:imagedata r:id="rId4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方几</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1.参考尺寸：600*600*440mm±5mm。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2.框架：优质铁艺仿木框架，采用满焊焊接，经酸洗磷化抛光等处理后，采用环氧树脂塑粉喷涂处理，耐腐蚀，不易生锈。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3.五金件：五金螺丝连接固定。</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80975" cy="190500"/>
                      <wp:effectExtent l="0" t="0" r="9525" b="0"/>
                      <wp:docPr id="39"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8" descr="IMG_293"/>
                              <pic:cNvPicPr>
                                <a:picLocks noChangeAspect="1"/>
                              </pic:cNvPicPr>
                              <pic:nvPr/>
                            </pic:nvPicPr>
                            <pic:blipFill>
                              <a:blip r:embed="rId48"/>
                              <a:stretch/>
                            </pic:blipFill>
                            <pic:spPr bwMode="auto">
                              <a:xfrm>
                                <a:off x="0" y="0"/>
                                <a:ext cx="18097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4.2pt;height:15.0pt;mso-wrap-distance-left:0.0pt;mso-wrap-distance-top:0.0pt;mso-wrap-distance-right:0.0pt;mso-wrap-distance-bottom:0.0pt;" stroked="f" strokeweight="0.75pt">
                      <v:path textboxrect="0,0,0,0"/>
                      <v:imagedata r:id="rId4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1.参考尺寸：800*400*800mm±5mm。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2.材质：采用不低于ENF级环保标准实木多层板，面贴优质三聚氰胺纸，板材厚度≥16mm。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4.五金件：钢制滚珠导轨、三合一链接件（锌合金偏心头、锌合金连接杆、塑料预埋螺母）、五金螺丝连接固定。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5.结构：上面两抽屉，下柜木门。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14300" cy="190500"/>
                      <wp:effectExtent l="0" t="0" r="0" b="0"/>
                      <wp:docPr id="40"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9" descr="IMG_294"/>
                              <pic:cNvPicPr>
                                <a:picLocks noChangeAspect="1"/>
                              </pic:cNvPicPr>
                              <pic:nvPr/>
                            </pic:nvPicPr>
                            <pic:blipFill>
                              <a:blip r:embed="rId49"/>
                              <a:stretch/>
                            </pic:blipFill>
                            <pic:spPr bwMode="auto">
                              <a:xfrm>
                                <a:off x="0" y="0"/>
                                <a:ext cx="1143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0pt;height:15.0pt;mso-wrap-distance-left:0.0pt;mso-wrap-distance-top:0.0pt;mso-wrap-distance-right:0.0pt;mso-wrap-distance-bottom:0.0pt;" stroked="f" strokeweight="0.75pt">
                      <v:path textboxrect="0,0,0,0"/>
                      <v:imagedata r:id="rId4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电视背景柜</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1.参考尺寸：2340*150*940mm±5mm。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2.材质：采用不低于ENF级环保标准实木多层板，面贴优质三聚氰胺纸，板材厚度≥16mm。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4.五金件：三合一链接件（锌合金偏心头、锌合金连接杆、塑料预埋螺母）、五金螺丝连接固定。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85750" cy="190500"/>
                      <wp:effectExtent l="0" t="0" r="0" b="0"/>
                      <wp:docPr id="41"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0" descr="IMG_295"/>
                              <pic:cNvPicPr>
                                <a:picLocks noChangeAspect="1"/>
                              </pic:cNvPicPr>
                              <pic:nvPr/>
                            </pic:nvPicPr>
                            <pic:blipFill>
                              <a:blip r:embed="rId50"/>
                              <a:stretch/>
                            </pic:blipFill>
                            <pic:spPr bwMode="auto">
                              <a:xfrm>
                                <a:off x="0" y="0"/>
                                <a:ext cx="2857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22.5pt;height:15.0pt;mso-wrap-distance-left:0.0pt;mso-wrap-distance-top:0.0pt;mso-wrap-distance-right:0.0pt;mso-wrap-distance-bottom:0.0pt;" stroked="f" strokeweight="0.75pt">
                      <v:path textboxrect="0,0,0,0"/>
                      <v:imagedata r:id="rId5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1.参考尺寸：1800*800*420/840mm±5mm。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2.材质：饰面采用优质麻绒面料，框架采用实木材质，辅以板材加固。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3.内衬：靠背填充优质公仔棉，坐垫采用高密度回弹阻燃海绵填充，弹力橡筋固定，坐垫蛇形弹簧。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4.扶手：靠包型扶手设计。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5.沙发脚：稳固实木沙发脚，五金螺丝连接固定。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95275" cy="190500"/>
                      <wp:effectExtent l="0" t="0" r="9525" b="0"/>
                      <wp:docPr id="42"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1" descr="IMG_296"/>
                              <pic:cNvPicPr>
                                <a:picLocks noChangeAspect="1"/>
                              </pic:cNvPicPr>
                              <pic:nvPr/>
                            </pic:nvPicPr>
                            <pic:blipFill>
                              <a:blip r:embed="rId51"/>
                              <a:stretch/>
                            </pic:blipFill>
                            <pic:spPr bwMode="auto">
                              <a:xfrm>
                                <a:off x="0" y="0"/>
                                <a:ext cx="295274"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23.2pt;height:15.0pt;mso-wrap-distance-left:0.0pt;mso-wrap-distance-top:0.0pt;mso-wrap-distance-right:0.0pt;mso-wrap-distance-bottom:0.0pt;" stroked="f" strokeweight="0.75pt">
                      <v:path textboxrect="0,0,0,0"/>
                      <v:imagedata r:id="rId5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1.参考尺寸：700*680*700mm±5mm。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2.材质：饰面采用绒布面料，框架采用实木材质，辅以板材加固。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3.内衬：采用高密度回弹阻燃海绵填充，弹力橡筋固定。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4.沙发脚：隐藏内收脚设计。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52400" cy="190500"/>
                      <wp:effectExtent l="0" t="0" r="0" b="0"/>
                      <wp:docPr id="43"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2" descr="IMG_297"/>
                              <pic:cNvPicPr>
                                <a:picLocks noChangeAspect="1"/>
                              </pic:cNvPicPr>
                              <pic:nvPr/>
                            </pic:nvPicPr>
                            <pic:blipFill>
                              <a:blip r:embed="rId52"/>
                              <a:stretch/>
                            </pic:blipFill>
                            <pic:spPr bwMode="auto">
                              <a:xfrm>
                                <a:off x="0" y="0"/>
                                <a:ext cx="1524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2.0pt;height:15.0pt;mso-wrap-distance-left:0.0pt;mso-wrap-distance-top:0.0pt;mso-wrap-distance-right:0.0pt;mso-wrap-distance-bottom:0.0pt;" stroked="f" strokeweight="0.75pt">
                      <v:path textboxrect="0,0,0,0"/>
                      <v:imagedata r:id="rId5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1.参考尺寸：台面φ900*500mm±5mm。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2.材质：采用不低于ENF级环保实木多层板台面，实木桌腿。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3.工艺：表面烤漆工艺。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4.配件：五金螺丝连接固定。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38125" cy="190500"/>
                      <wp:effectExtent l="0" t="0" r="9525" b="0"/>
                      <wp:docPr id="44"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3" descr="IMG_298"/>
                              <pic:cNvPicPr>
                                <a:picLocks noChangeAspect="1"/>
                              </pic:cNvPicPr>
                              <pic:nvPr/>
                            </pic:nvPicPr>
                            <pic:blipFill>
                              <a:blip r:embed="rId53"/>
                              <a:stretch/>
                            </pic:blipFill>
                            <pic:spPr bwMode="auto">
                              <a:xfrm>
                                <a:off x="0" y="0"/>
                                <a:ext cx="2381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8.8pt;height:15.0pt;mso-wrap-distance-left:0.0pt;mso-wrap-distance-top:0.0pt;mso-wrap-distance-right:0.0pt;mso-wrap-distance-bottom:0.0pt;" stroked="f" strokeweight="0.75pt">
                      <v:path textboxrect="0,0,0,0"/>
                      <v:imagedata r:id="rId5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生物反馈式协调训练舱</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一、硬件配置要求：</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1.训练端要求：</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屏幕尺寸不低于10英寸；内存不低于6G；存储不低于128G。</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2.减压舱要求：</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电动调节角度，人体工学结构设计，柔软舒适，内置超静音电机，通过控制手柄控制椅子的升降角度，满足来访者躺、仰、坐姿势。</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全身智能气囊按摩以及体感震动放松功能：零重力按摩体验，智能操控全身3D全身智能气囊按摩</w:t>
            </w:r>
            <w:r>
              <w:rPr>
                <w:rFonts w:hint="eastAsia" w:ascii="宋体" w:hAnsi="宋体" w:cs="宋体"/>
                <w:color w:val="000000"/>
                <w:sz w:val="20"/>
                <w:szCs w:val="20"/>
                <w:highlight w:val="none"/>
                <w:u w:val="none"/>
                <w:lang w:bidi="ar"/>
              </w:rPr>
              <w:t xml:space="preserve">，具有全身按摩器，多种按摩手法，可进行多个部位按摩，无论立体的机械按摩还是强劲的气囊挤压按摩，均精准独，可同时可开启体感震动放松功能。环绕立体声音响效果，音效纯正，带来无限的美妙音乐放松享受。采用阻燃材质面料，皮面洁净无味，贴合身型，为训练者提供一个健康舒适的心灵放松体验。安全检测要求：放松减压椅具备全金属底座蜗轮蜗杆传动装置，符合国家标准的正常条件电击危险要求；放松减压椅的软体沙发根据国家检测相关要求，减压放松椅皮革涂层粘着牢度≥2.5N/10mm；减压放松椅内填充海绵，A法检测泡沫回弹性能要求≥37%。</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3.脑电生物反馈采集仪要求：</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便携式脑波仪以发带形式配戴在头部，测量头部前额叶脑波。要求佩戴舒适，信号稳定可靠</w:t>
            </w:r>
            <w:r>
              <w:rPr>
                <w:rFonts w:hint="eastAsia" w:ascii="宋体" w:hAnsi="宋体" w:cs="宋体"/>
                <w:color w:val="000000"/>
                <w:sz w:val="20"/>
                <w:szCs w:val="20"/>
                <w:highlight w:val="none"/>
                <w:u w:val="none"/>
                <w:lang w:bidi="ar"/>
              </w:rPr>
              <w:t xml:space="preserve">；通道数：单通道；采用单颗芯片实现脑电信号采集、滤波、放大、A/D转换、计算等一体化工作，采用非侵入式干电极，无需导电胶或导电液；脑电采集位置：前额（FP1）；信号采样率约：512Hz；环境滤波约：50Hz；脑电设备数据输出频率为512Hz；输出δ、θ、α、β、γ频段至少8个EEG参数，数据输出频率为1Hz；输出“专注度(attention)”和谐度（Harmony）和“放松度(meditation)”参数；1数据通讯：无线数据通讯；无线通讯频率约：2.4GHz；脑波仪使用干电池供电，工作时间不少于8小时。</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二、功能要求：</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1.可以对个人和家庭成员的情绪周期进行演算、跟踪和提醒，并在情绪的临界和低潮期进行信息提醒，测评模块具有二级密码和匿名测试功能，充分保护用户隐私。</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2.测评系统具备平、标准心理测试功能，包含素质测评和情绪状态至少2大模块至少10大量表，并且可以具备定期心检功能，可以对重点用户进行持续检查。</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3.心理普查功能，用户单位可以对指定用户在指定时间内进行心理普查，用户直接在规定时间打开手机即可完成，普查结果按不同级别进行预警，按不同权限进行结果告知和汇总。</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4.脑功能测试可以测试出用户大脑的专注度，放松度，和谐度，稳定度至少4大指标，并提供趋势追踪。</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5.心理减压模块提供自然维度≥9大环境模拟；≥10阶梯不同情绪梳理方案；≥8大专业主题引导；≥30分钟专业互引音乐。</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6.心理测试包含情商、天赋、性格、成瘾、抑郁、焦虑、睡眠、智商等八大类测试量表。</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7.同时提供脑波测评量表，通过采集脑波数据进行心理测试。</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8.不抱怨模块提供个人和团队双模式，预置了7天、14天、21天等多种不同训练目标，不抱怨模块提供心态得分、系统排名、状态分析、柱状对比和心态趋势等综合分析工具。</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9.完美人生提供≥50条生命质量指标，并支持用户自由修正。系统提供完成度比例，大事件统计，人群分类等功能。</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10.训练系统提供≥10的经典阶段训练和≥21的全功能阶段训练。</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11.训练系统包括认知重构、呼吸训练、潜意识引导、生物反馈训练、多重基线测试，EFT情绪梳理、同步脱敏、深度冥想、音乐治疗等多种心理心理干预工具。</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12.个人中心提供资料修改，收藏管理，消息中心等辅助管理工具。</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13.个人的档案提供包含训练统计，EEG采集统计，情绪状态确认，自我认知等综合档案，结果不仅有直观的测试结果数据表和统计图，还有详细的心理特点分析及指导建议。</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14.平台和国内知名的云数据服务商合作，基于大量政府服务经验，提供安全高效的整体运行解决方案。</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15.应激肌肉感受性训练：提供训练介绍，包含语音训练介绍，训练钱提供心理压力测试，每个问题应道提供约10秒计时以及答题进度表，测试结束后提供测试结果，根据测试结果开启躯体训练放松引导，训练结束后提供脑波采集数据档案。</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16.脑波反馈训练：此训练系统通过脑波采集功能，可全面整合分析实时脑电数据与行为训练数据，可真实反映个体情绪状态和认知能力水平，揭示大脑素质与心理行为发展的关系。</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17.呼吸训练：训练开始提供语音训练介绍，点击开启训练后，提供脑波采集设备佩戴提示，以及正确佩戴操作办法，佩戴好后点击进入测试，界面提供呼吸动画引导，包含吸气，呼气，屏气，提供训练倒计时，训练结束后提供训练数据档案。</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18.潜意识内在训练：本训练系统可进行潜意识训练、消除和减轻来访者的紧张、冲突、失眠以及其他的身心健康问题。</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19.左右脑呼吸训练：训练开始提供语音训练介绍，点击开启训练后，提供左右鼻循环呼吸训练，20次为训练周期，训练一次后提供训练计数统计，并提供训练时间计时统计。</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20.综合技术训练：此系统通过五个算法得到至少5个心理指标，通过对用的训练认识他们，并形成个人脑波档案。</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21.放松技巧训练：训练开始提供语音训练介绍，开始训练后可点击播放示范功能，开启示范语音，点击开启训练后，提供训练倒计时，在重点训练部位提供标星文字提示。</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22.积极情绪训练：专业的放松音乐结合潜意识放松引导带来非常好的自我调节效果，在不看文字的情况下做完全套放松，并能达到良好的评级，提高大脑皮层的兴奋性，提高应激能力。</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23.完美人生计划定制系统：训练开始提供训练介绍，开启训练后，提供目标清单统计，包含总目标数，完成目标数以及饼状图统计，提供评定等级评分，点击开始定制完美人生后，提供用户排名展示以及目标执行大事件柱状图，以年份为横轴数量为数轴，提供目标激励对照图，可定制大事件内同，可标记或取消完成记录，提供目标完成记录统计包含具体事件以及发生的时间。</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24.专注力训练：具备脑电反馈系统，专业的训练系统提升训练者的多向能力，包含内在专注和对他人专注，此系统可挑战专注力，并通过训练提高专注能力。</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25.掌握和谐训练：具备脑电反馈系统，专业的训练系统提升训练者的多面能力，提高自信、和放松能力，此系统可挑战和谐能力，并通过训练提高和谐能力，可形成脑波档案。</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26.EFT情绪释放技术：有专业的视频教学，基于中医经络穴位的理论，可以迅速有效的释放掉负面情绪和一些心理创伤。</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27.同步脱敏训练：本阶段可以系统感受同步加工脱敏的训练，引导中，带入你想解决的问题或经历，跟随引导进行同步脱敏，最终解决负面情绪体验。</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28.冥想技巧训练：专业的视频引导，可以了解冥想的功能及技巧，改善身心状态，提高生活质量，改善睡眠。</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29.脑波训练档案查看设置密码防护，保证训练内容私密性。</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color w:val="000000"/>
                <w:sz w:val="20"/>
                <w:szCs w:val="20"/>
                <w:highlight w:val="none"/>
                <w:u w:val="none"/>
                <w:lang w:bidi="ar"/>
              </w:rPr>
              <w:t xml:space="preserve">30.训练档案中可查看训练时间，和训练等级；输出“专注度(attention)”和谐度（Harmony）和“放松度(meditation)”参数。</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应急心理援助自助设备</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（一）硬件配置要求：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1.指夹式生物反馈采集仪要求：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测量方法：双波长光电探测法。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检测参数：血氧饱和度（SPO2）；脉率（PR）。</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测量范围：血氧值70%-100%；脉搏值PR 30-250BPM。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分辨率：血氧饱和度1%。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精度：±1BPM或±2%，两者取大者。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工作电压：5V±0.05V DC。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2.训练端具体要求：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屏幕比例：16：10。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硬盘容量：不低于512GB。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内存容量：不低于16GB。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屏幕尺寸：不低于14英寸。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屏幕分辨率：不低于1920*1200。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屏幕刷新率：不低于60Hz。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（二）功能要求：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1.提供无需注册的游客模式，支持用户进行如安全感、放松、稳定感等主题的功能体验，包含如内在安全岛、蝴蝶拍、渐进肌肉放松等多项训练内容。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2.提供呼吸放松、想象放松、渐进肌肉放松等多种调节方法，通过音视频的形式展现，提供如“夏雨”、“河流”、“炉火”等多主题背景白噪音，支持调节背景音量、讲师音量。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3.支持开启/关闭语音引导，提示距危机事件发生已过去的时间，支持根据危机事件发生日期提供不同训练方案。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4.用户注册后首次登录需完善基础信息、危机信息等急救档案，支持根据男女性别选择提供不同人物形象。提供如被欺凌、遭受暴力等≥20项危机事件具体类型选择，并支持单选或多选。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5.提供在危机事件发生后急性期的训练方案，即危机事件发生日期为1个月内的紧急调节、测评后调节方案。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6.支持用户在情况特别紧急希望快速得到帮助时，进行紧急调节，提供如“画面闯入”、“胸口发紧”、“焦虑不安”等多类主题调节，支持通过音视频形式进行分段式训练，训练结束后生成报告。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7.提供危机事件发生后恢复期的训练方案，即危机事件发生日期为3个月以上的方案。通过创伤后应激障碍自评量表进行测评后，再匹配合适的调节方案，训练结束后生成报告。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支持用户在感觉能够承受的情况下，选择测评后调节。支持通过如“紧张”、“害怕”、“悲伤”、“愤怒”、“无助”等多项应激情绪进行快速评估，或通过完成如事件冲击量表修订版进行系统评估。支持进行测评后再匹配合适的调节方案，训练结束后生成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提供危机事件发生后冲击早期的训练方案，即危机事件发生日期为1-3个月以内的方案，根据前测-训练-后测的流程，包括PTSD初筛量表、训练方案、“情绪自评量表”、“HRV监测”等内容，训练结束后生成报告。首页提示最近评估日期、评估结果、训练进度等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10.通过实时监测心率、血氧等数据，覆盖如脉搏波形、协调度、压力指数、放松度等关键指标。协调度、压力指数、放松度采用百分制评估。点击参数或图表可查看其详细介绍信息。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提供如心率变异程度的曲线图、散点图、HRT直方图、心率的平均值、心率的标准差、NN间期平均值、相邻RR间期差值的均方根、相邻RR间期的标准差等≥10项指标数据。提供功率谱图、标准化HF（HF-norm）、交感及副交感张力的平衡（LF/HF）、总功率（TP）、高频功率（HF）、低频功率（LF）等多项指标数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12.支持通过如“画面闯入”、“胸口发紧”、“焦虑不安”等多种条件类型查询档案，支持用户自主查看、删除、导出训练档案，进行档案管理。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13.集成基于EMDR（眼动脱敏再处理）的8阶段眼动训练方案，提供多条提示，支持眼球追踪小球速度、颜色、尺寸的个性化调整。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14.训练档案包含如测评报告、训练进程、训练说明、训练原理、温馨提示等多类内容，测评报告包含量表名称、测评得分、评估日期、测评结果等多条信息。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呼吸放松：引导用户呼吸变深变慢，刺激副交感神经，让身体处于放松状态。想象放松：应用想象放松法动态地将闯入性画面从彩色变为黑白最后完全消失，危机场景中出现的声音越来越小直至消失，在想象中自我暗示减轻闯入性画面对用户身心的影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渐进肌肉放松：引导用户进行简单肌肉训练，帮助用户释放肌肉的紧张感，使肌肉从紧张转而放松。内在安全岛：运用想象法改善用户情绪，帮助用户找寻内在安全地，从而缓解用户紧张、焦虑、不安的情绪。积极想象：引导用户在自我的积极引导下与无意识进行接触，促使其自主性努力将自己的意图送往意识。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正念呼吸：引导用户活在当下，改变用户对过去的回忆或对将来的消极幻想，通过正念呼吸训练帮助用户专注心灵、觉知呼吸，增加正向情绪。心理着陆：将用户的注意力从内在的思考转向外部世界，从而减轻其内在紧张性想法带来的焦虑和不安全感。蝴蝶拍：模拟婴儿在母亲怀抱里被紧紧拥抱的训练，让用户身心得到深沉而实在的安慰，唤起婴幼儿时代安全感的记忆，从而降低用户紧张、恐惧的情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（三）产品组成：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1.包含主系统1套；训练端1个；便携箱1个；指夹式生物反馈采集仪1个。</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1.电池类型：锂电池。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2.录音模式：普通录音。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3.自带内存录音时长：不低于16小时。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4.麦克风：内置麦克风。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5.录音距离：不低于10米。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6.扬声器：内置扬声器。</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手持摄像机</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1.传感器尺寸：不低于1英寸。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2.像素：500-1000万。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3.存储介质：TF（MicroSD）卡。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4.最大光圈：F2。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5.外接电源：支持外接电源。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6.电池类型：锂离子电池。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7.功能：可遥控；自拍；手柄；全景拍摄；机身防抖；延时拍摄。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8.语言：中文。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9.画幅：不低于1英寸画幅。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10.标准ISO感光度：ISO50-16000。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11.传感器类型：CMOS。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12.接口：USB；Wi-Fi；蓝牙。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13.液晶屏尺寸：不低于2英寸。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14.液晶屏类型：旋转屏；触摸屏。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15.全能套装：保护壳、快充线、续航手柄、增广器、三脚架等。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小音箱</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1.变频器：45mm/1.75。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2.输出功率：不低于4.2W RMS。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3.频率响应：90Hz-20kHz。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4.信噪比：&gt;85dB。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5.电池类型：锂离子电池3.23Wh(相当于3.8V/850mAh)。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6.电池充电时间：＜3小时。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7.音乐播放时间：长达7小时(取决于音量和音频内容)。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8.Bluetooth@蓝牙版本：不低于5.3。</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壁挂时钟</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1.尺寸：直径不低于25cm。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2.材质：PP材质钟盘，高透钢化玻璃盘面。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3.机芯：石英机芯。</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无线插卡固话</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1.类别：移动式固话。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2.功能：带通讯录，铃声选择，一键拨号。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3.版本：全网通4G版。</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工作桌</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1.参考尺寸：1600*800*750mm±5mm。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2.材质：采用不低于E0级环保标准实木多层板＋铁皮小柜。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3.工艺：桌面与侧板拉板采用三合一链接件组装，桌面厚度≥25mm，固定柜采用冷轧钢板，厚不低于0.9mm，尺寸：600*350*625mm。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4.铁皮柜工艺：环保无磷静态粉末喷涂。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5.封边：四周采用厚度≥1.0mmPVC封边条，封边工艺采用全自动化机器封边技术，封边胶采用白乳胶。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6.五金件：钢制滚珠导轨、三合一链接件（锌合金偏心头、锌合金连接杆、塑料预埋螺母）、塑料厚度≥60mm线盒、螺丝。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7.颜色：满足甲方要求。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09550" cy="190500"/>
                      <wp:effectExtent l="0" t="0" r="0" b="0"/>
                      <wp:docPr id="45"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4" descr="IMG_299"/>
                              <pic:cNvPicPr>
                                <a:picLocks noChangeAspect="1"/>
                              </pic:cNvPicPr>
                              <pic:nvPr/>
                            </pic:nvPicPr>
                            <pic:blipFill>
                              <a:blip r:embed="rId54"/>
                              <a:stretch/>
                            </pic:blipFill>
                            <pic:spPr bwMode="auto">
                              <a:xfrm>
                                <a:off x="0" y="0"/>
                                <a:ext cx="2095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6.5pt;height:15.0pt;mso-wrap-distance-left:0.0pt;mso-wrap-distance-top:0.0pt;mso-wrap-distance-right:0.0pt;mso-wrap-distance-bottom:0.0pt;" stroked="f" strokeweight="0.75pt">
                      <v:path textboxrect="0,0,0,0"/>
                      <v:imagedata r:id="rId5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测评桌</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1.参考尺寸：2200*600*1050mm±5mm。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2.材质：不低于ENF级环保标准实木松木材质，厚度≥50mm。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3.油漆：采用环保木器漆，反复打磨上漆并保留原有木纹。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3.结构：台面下加横档支撑。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80975" cy="190500"/>
                      <wp:effectExtent l="0" t="0" r="9525" b="0"/>
                      <wp:docPr id="46"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5" descr="IMG_300"/>
                              <pic:cNvPicPr>
                                <a:picLocks noChangeAspect="1"/>
                              </pic:cNvPicPr>
                              <pic:nvPr/>
                            </pic:nvPicPr>
                            <pic:blipFill>
                              <a:blip r:embed="rId55"/>
                              <a:stretch/>
                            </pic:blipFill>
                            <pic:spPr bwMode="auto">
                              <a:xfrm>
                                <a:off x="0" y="0"/>
                                <a:ext cx="18097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4.2pt;height:15.0pt;mso-wrap-distance-left:0.0pt;mso-wrap-distance-top:0.0pt;mso-wrap-distance-right:0.0pt;mso-wrap-distance-bottom:0.0pt;" stroked="f" strokeweight="0.75pt">
                      <v:path textboxrect="0,0,0,0"/>
                      <v:imagedata r:id="rId5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测评凳</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1.参考尺寸：380*380*710/910mm±5mm。                                                                                                                                                             2.材质：实木橡胶木材质。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3.油漆：采用环保木器漆，反复打磨上漆并保留原有木纹。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4.坐垫：饰面采用棉麻面料，内衬采用高密度回弹阻燃海绵填充。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5.五金件：五金螺丝连接固定。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6.颜色：坐面可选。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04775" cy="190500"/>
                      <wp:effectExtent l="0" t="0" r="9525" b="0"/>
                      <wp:docPr id="47"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6" descr="IMG_301"/>
                              <pic:cNvPicPr>
                                <a:picLocks noChangeAspect="1"/>
                              </pic:cNvPicPr>
                              <pic:nvPr/>
                            </pic:nvPicPr>
                            <pic:blipFill>
                              <a:blip r:embed="rId56"/>
                              <a:stretch/>
                            </pic:blipFill>
                            <pic:spPr bwMode="auto">
                              <a:xfrm>
                                <a:off x="0" y="0"/>
                                <a:ext cx="10477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8.2pt;height:15.0pt;mso-wrap-distance-left:0.0pt;mso-wrap-distance-top:0.0pt;mso-wrap-distance-right:0.0pt;mso-wrap-distance-bottom:0.0pt;" stroked="f" strokeweight="0.75pt">
                      <v:path textboxrect="0,0,0,0"/>
                      <v:imagedata r:id="rId5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墙面杂志架</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1.参考尺寸：1200*150*50mm±5mm。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2.材质：优质亚克力。</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3.工艺：一体热弯。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23825" cy="190500"/>
                      <wp:effectExtent l="0" t="0" r="9525" b="0"/>
                      <wp:docPr id="48"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47" descr="IMG_302"/>
                              <pic:cNvPicPr>
                                <a:picLocks noChangeAspect="1"/>
                              </pic:cNvPicPr>
                              <pic:nvPr/>
                            </pic:nvPicPr>
                            <pic:blipFill>
                              <a:blip r:embed="rId57"/>
                              <a:stretch/>
                            </pic:blipFill>
                            <pic:spPr bwMode="auto">
                              <a:xfrm>
                                <a:off x="0" y="0"/>
                                <a:ext cx="1238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9.8pt;height:15.0pt;mso-wrap-distance-left:0.0pt;mso-wrap-distance-top:0.0pt;mso-wrap-distance-right:0.0pt;mso-wrap-distance-bottom:0.0pt;" stroked="f" strokeweight="0.75pt">
                      <v:path textboxrect="0,0,0,0"/>
                      <v:imagedata r:id="rId5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磁吸软木板</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1.参考尺寸：600*1200mm±5mm。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2.松木软木片，镀锌钢板，四周加装木框。</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47650" cy="190500"/>
                      <wp:effectExtent l="0" t="0" r="0" b="0"/>
                      <wp:docPr id="49"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8" descr="IMG_303"/>
                              <pic:cNvPicPr>
                                <a:picLocks noChangeAspect="1"/>
                              </pic:cNvPicPr>
                              <pic:nvPr/>
                            </pic:nvPicPr>
                            <pic:blipFill>
                              <a:blip r:embed="rId58"/>
                              <a:stretch/>
                            </pic:blipFill>
                            <pic:spPr bwMode="auto">
                              <a:xfrm>
                                <a:off x="0" y="0"/>
                                <a:ext cx="2476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9.5pt;height:15.0pt;mso-wrap-distance-left:0.0pt;mso-wrap-distance-top:0.0pt;mso-wrap-distance-right:0.0pt;mso-wrap-distance-bottom:0.0pt;" stroked="f" strokeweight="0.75pt">
                      <v:path textboxrect="0,0,0,0"/>
                      <v:imagedata r:id="rId5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磁吸黑板</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1.参考尺寸：1500*1200mm±5mm。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2.烤漆书写白板，四周加装木框。</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219075" cy="190500"/>
                      <wp:effectExtent l="0" t="0" r="9525" b="0"/>
                      <wp:docPr id="50"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9" descr="IMG_304"/>
                              <pic:cNvPicPr>
                                <a:picLocks noChangeAspect="1"/>
                              </pic:cNvPicPr>
                              <pic:nvPr/>
                            </pic:nvPicPr>
                            <pic:blipFill>
                              <a:blip r:embed="rId59"/>
                              <a:stretch/>
                            </pic:blipFill>
                            <pic:spPr bwMode="auto">
                              <a:xfrm>
                                <a:off x="0" y="0"/>
                                <a:ext cx="219074"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7.2pt;height:15.0pt;mso-wrap-distance-left:0.0pt;mso-wrap-distance-top:0.0pt;mso-wrap-distance-right:0.0pt;mso-wrap-distance-bottom:0.0pt;" stroked="f" strokeweight="0.75pt">
                      <v:path textboxrect="0,0,0,0"/>
                      <v:imagedata r:id="rId5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活动桌</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1.参考尺寸：1200*400*750mm±5mm。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2.台面板：采用不低于ENF级环保标准实木多层板，面贴优质三聚氰胺纸，厚度≥25mm，四周采用厚度≥1.8mmPVC封边条，具耐磨、防污、牢固耐用，尺寸约1200*400mm。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3.前挡板：采用不低于ENF级环保标准实木多层板，面贴优质三聚氰胺纸，厚度≥15mm，四周采用厚度≥1.8mmPVC封边条，具耐磨、防污、牢固耐用，尺寸约970*340mm。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4.台面托架：采用优质冷轧钢板经冲压折弯工艺一体而成，壁厚≥3.0mm，表面采用防锈静电喷涂处理，实用牢固，承受力大，尺寸约970*340mm。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5.侧脚管：前脚管采用优质蛋型冷轧钢管，壁厚≥1.2mm，表面采用防锈静电喷涂处理及塑料配件而成，整体牢固耐用，承受力大，前后脚跨度约520mm，尺寸约20*50mm。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6.横梁：采用直径≥φ50mm圆形冷轧钢管，壁厚≥1.2mm，表面采用防锈静电喷涂处理，实用牢固，承受力大。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7.书网：采用直径≥φ14mm圆管，壁厚≥0.8mm，经塑料件与圆管组合成型，表面采用防锈静电喷涂处理。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8.结构：台架有旋钮拆叠装置。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9.颜色：板材颜色可选。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80975" cy="190500"/>
                      <wp:effectExtent l="0" t="0" r="9525" b="0"/>
                      <wp:docPr id="51"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0" descr="IMG_305"/>
                              <pic:cNvPicPr>
                                <a:picLocks noChangeAspect="1"/>
                              </pic:cNvPicPr>
                              <pic:nvPr/>
                            </pic:nvPicPr>
                            <pic:blipFill>
                              <a:blip r:embed="rId60"/>
                              <a:stretch/>
                            </pic:blipFill>
                            <pic:spPr bwMode="auto">
                              <a:xfrm>
                                <a:off x="0" y="0"/>
                                <a:ext cx="18097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4.2pt;height:15.0pt;mso-wrap-distance-left:0.0pt;mso-wrap-distance-top:0.0pt;mso-wrap-distance-right:0.0pt;mso-wrap-distance-bottom:0.0pt;" stroked="f" strokeweight="0.75pt">
                      <v:path textboxrect="0,0,0,0"/>
                      <v:imagedata r:id="rId6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活动椅</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1.参考尺寸：890*580*600mm±5mm。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2.饰面：采用优质黑色网布，透气性优良。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3.海绵：采用优质高密度定型海绵，阻燃级别高且柔软性能好、回弹性高、不变形。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4.背框：采用优质PP+纤维一体成型。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5.椅架：采用≥1.2mm壁厚优质方形钢管，不易变形。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6.椅轮：采用尼龙加纤维交强而成，强度高，耐磨性好，通过10万轮周试验掉轮，分裂现象。</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14300" cy="190500"/>
                      <wp:effectExtent l="0" t="0" r="0" b="0"/>
                      <wp:docPr id="52"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1" descr="IMG_306"/>
                              <pic:cNvPicPr>
                                <a:picLocks noChangeAspect="1"/>
                              </pic:cNvPicPr>
                              <pic:nvPr/>
                            </pic:nvPicPr>
                            <pic:blipFill>
                              <a:blip r:embed="rId61"/>
                              <a:stretch/>
                            </pic:blipFill>
                            <pic:spPr bwMode="auto">
                              <a:xfrm>
                                <a:off x="0" y="0"/>
                                <a:ext cx="1143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9.0pt;height:15.0pt;mso-wrap-distance-left:0.0pt;mso-wrap-distance-top:0.0pt;mso-wrap-distance-right:0.0pt;mso-wrap-distance-bottom:0.0pt;" stroked="f" strokeweight="0.75pt">
                      <v:path textboxrect="0,0,0,0"/>
                      <v:imagedata r:id="rId6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造型书柜</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1.参考尺寸：深400mm±5mm。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2.材质：采用不低于ENF级环保标准实木多层板，面贴优质三聚氰胺纸，板材厚度≥16mm，背板厚度≥9mm。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3.封边：四周采用厚度≥1.8mmPVC封边条，全自动化机器封边技术，封边胶采用白乳胶。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4.五金件：三合一链接件（锌合金偏心头、锌合金连接杆、塑料预埋螺母）、五金螺丝连接固定。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5.颜色：可选。</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61925" cy="190500"/>
                      <wp:effectExtent l="0" t="0" r="9525" b="0"/>
                      <wp:docPr id="53"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2" descr="IMG_307"/>
                              <pic:cNvPicPr>
                                <a:picLocks noChangeAspect="1"/>
                              </pic:cNvPicPr>
                              <pic:nvPr/>
                            </pic:nvPicPr>
                            <pic:blipFill>
                              <a:blip r:embed="rId62"/>
                              <a:stretch/>
                            </pic:blipFill>
                            <pic:spPr bwMode="auto">
                              <a:xfrm>
                                <a:off x="0" y="0"/>
                                <a:ext cx="16192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2.8pt;height:15.0pt;mso-wrap-distance-left:0.0pt;mso-wrap-distance-top:0.0pt;mso-wrap-distance-right:0.0pt;mso-wrap-distance-bottom:0.0pt;" stroked="f" strokeweight="0.75pt">
                      <v:path textboxrect="0,0,0,0"/>
                      <v:imagedata r:id="rId6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心理沙盘</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（一）功能要求：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1.个体沙箱1个：规格长度70cm*宽度55cm*高度7cm，材质为橡木板材，内侧蓝色。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2.团体沙箱1个：规格长度110cm*宽度70cm*高度10cm，材质为橡木板材，内侧蓝色。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3.沙具不少于1500件：由人物类、宗教类、死亡类、文体类、食物类、家居类、交通类、军事类、建筑类、动物类、植物类、自然物类、名胜古迹类、颜色形状类、符号及钱币类15大类组成。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4.沙具摆放架不少于4个：高度约160cm*宽度约80cm*深度约30cm；橡木板材，≥9层设计。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5.细沙≥45KG：天然细沙、颗粒光滑、大小均匀、手感好。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6.提供至少30课时的沙盘培训微课一套，课程以双人访谈QA一对一解答的方式，分主题讲解沙盘游戏咨询的理论背景、实操技术，能让初学者迅速入门。</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90500" cy="190500"/>
                      <wp:effectExtent l="0" t="0" r="0" b="0"/>
                      <wp:docPr id="54"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3" descr="IMG_308"/>
                              <pic:cNvPicPr>
                                <a:picLocks noChangeAspect="1"/>
                              </pic:cNvPicPr>
                              <pic:nvPr/>
                            </pic:nvPicPr>
                            <pic:blipFill>
                              <a:blip r:embed="rId63"/>
                              <a:stretch/>
                            </pic:blipFill>
                            <pic:spPr bwMode="auto">
                              <a:xfrm>
                                <a:off x="0" y="0"/>
                                <a:ext cx="1905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15.0pt;height:15.0pt;mso-wrap-distance-left:0.0pt;mso-wrap-distance-top:0.0pt;mso-wrap-distance-right:0.0pt;mso-wrap-distance-bottom:0.0pt;" stroked="f" strokeweight="0.75pt">
                      <v:path textboxrect="0,0,0,0"/>
                      <v:imagedata r:id="rId6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智能情绪识别训练仪</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（一）硬件配置要求：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1.控制台要求：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机柜尺寸：不低于170*74*26cm±1cm，底座尺寸：不低于55*74cm±1cm。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材质：超厚钣金、低碳钢、微颗粒喷塑。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供电：220V。                                                                                                                                                              功率：不低于65W。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内存：不低于16G。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显卡：独立显卡。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存储：不低于256G。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（二）功能要求：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1.系统具有情绪识别小屋、积极训练中心、趣味体验场、个人小屋、档案信箱、心情日记等功能。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2.面部登录：支持用户注册并绑定人脸信息后，后续登录可通过面部识别进入。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3.支持通过每日一签记录如悲伤、惊讶、快乐、平静、愤怒等多种心情，提供如学习、朋友、生活、工作、健康等≥10种主题选项，支持输入经历和感受等心情日记。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提供如心理体验、心理文章、心理课程等功能模块。心理体验：提供如“绘制生命树”、“感恩留声”等多款体验游戏。心理文章功能：提供如“情绪是什么”“如何避免情绪化？”等≥30篇文章。心理课程：提供如“原来真的可以气出胃病”“拒绝情绪化进食”等≥30节课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5.趣味体验场提供如“奔跑的方块”、“印章糖”、“小羊回家”等≥20款游戏。提供本周/月情绪状况，包含积极情绪、消极情绪百分比等，支持选择日期范围、情绪状态等查询记录。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6.档案信箱包含快速情绪识别、多维情绪检测报告。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7.心情日记支持用户选择情绪状态、产生原因。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8.情绪识别小屋：提供快速情绪识别和多维情绪检测。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9.提供倒计时为30秒的快速情绪识别，识别中提示积极词语引导，帮助用户洞察内心，了解自我情绪。支持通过扫描二维码下载报告，或导出报告到本机。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10.多维情绪检测：要求包含面部情绪识别、图形情绪感知、自我评估三个阶段检测，支持生成报告，报告内容包含如多维情绪检测得分、情绪积极指数分析、情绪稳定性指数分析、情绪弹性指数分析等。                   </w:t>
            </w:r>
            <w:r>
              <w:rPr>
                <w:rFonts w:hint="eastAsia" w:ascii="宋体" w:hAnsi="宋体" w:eastAsia="宋体" w:cs="宋体"/>
                <w:i w:val="0"/>
                <w:iCs w:val="0"/>
                <w:color w:val="000000"/>
                <w:sz w:val="20"/>
                <w:szCs w:val="20"/>
                <w:highlight w:val="none"/>
                <w:u w:val="none"/>
                <w:lang w:val="en-US" w:eastAsia="zh-CN" w:bidi="ar"/>
              </w:rPr>
              <w:t xml:space="preserve">                                                                                                                                                  11.提供如积极/消极占比统计图、情绪占比统计图、情绪变化趋势图等多种快速情绪识别报告数据图表分析；提供情绪占比排名前三的情绪代表图，包含不同情绪占比、出现频率等数据；提供不同动态卡通动物形象作为情绪代表，如快乐小鸟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个人小屋包含基本信息、面部信息、成长等级等内容。基础训练任务：支持用户通过如登录岛屿、多维情绪识别等多项的任务操作，获取一定贝壳值及成长值。系统支持用户使用贝壳值，解锁积极训练中心的部分心理课程或心灵之舞的部分音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13.提供如“和谐轻音”、“夜航临星”、“平静之韵”等≥30款音频。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（三）产品组成：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1.包含主系统1套（预置安装）；控制台1套。</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智能倾诉与情绪疏导设备</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（一）硬件配置要求：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1.主机电脑要求：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内存：不低于16G。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硬盘：不低于512G。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显卡：不低于集显。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视频接口：HDMI/DP</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2.触摸显示器要求：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屏幕尺寸：不低于18英寸。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对比度：不低于1200：1。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分辨率：不低于1920*1080。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3.舱体参数要求：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舱体主材：碳塑复合隔声板、夹胶玻璃、PET吸声板、铝型材、304不锈钢、ABS工程塑胶等模块便捷组装，顶部是尖字顶，隔声板件饰面为涤纶纤维声学布，模块地毡采用非硫化丁基橡胶，阻尼胶垫使用原生胶改性物料具备宽频阻尼承压指数和耐老化记忆周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隔声玻璃：夹胶玻璃，安全、环保，无喷漆，符合国家标准。结实、易清洁、防火、防爆、防潮、防霉、抗腐蚀、耐磨、合适的隔音。安全级别高，破损后无锐角、对人无伤害。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新风具有低噪声正压涡轮新风系统，保持舱内空气流通。安全、环保，符合国家标准，没有国家标准的必须符合行业标准；单机正压/双机正负压，标秤风量≥2m³/min。支持通过自动感应或手动控制运行。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家具具有环保桌椅一套，舒适、美观、耐用。木质家具基材：优质实木或更优材质，厚度≥25mm。布艺家具：臂弯式沙发，贴合人体工程学曲线，迎合不同身姿和使用习惯诉求，沙发靠背免工具装卸设计，可拆洗、透气、耐磨、阻燃处理。海绵：优质高密度、高回弹一次成型泡棉，阻燃处理，软硬适中，不变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电源具有安全电源供应系统，适配100-240V/50-60Hz电源供应系统，符合不同电源使用。电源输入为民用单相交流电220V/50Hz，电源输出为220V 5A、5V 2.1A。防漏电，具有漏电保护功能。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（二）功能要求：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1.首次登录系统时，由2D数字形象引导介绍系统功能及操作，带领用户熟悉智慧对话角、心语测量仪、悦心发现阁等核心功能模块，便于用户快速上手、高效使用系统。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2.支持在进行语音对话前，提示采集面部照片进行情绪识别，对话结束后由AI生成情绪画像。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3.提供首次登录时引导介绍，由2D数字形象引导介绍如智慧对话角、心语测量仪、悦心发现阁等多个功能模块。支持在首页停留时，2D数字形象提供简短互动陪伴。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提供如陪伴精灵、朋友、理性分析师、日常分享官、放松引导员等多种AI角色，不同角色以2D数字形象展示，包含如聆听、思考、对话等多种动作形象，支持与用户进行语音对话。如果长时间没有语音互动，2D数字形象会提示如“这里比较安静，能听见我的声音吗”，并在一段时间后自动退出语音对话。</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5.语音对话时提供不少于两条提示词，如“最近总是很焦虑，怎么办？”，支持对当前对话进行暂停、清空等操作。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6.提供大数据可视化中心，包含系统使用人次统计、AI预警情况统计、常见心理问题分布、本月系统新增、总登录系统人次等多类数据，支持全屏显示。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7.内置如“焦虑自评量表”、“抑郁自评量表”等≥10个评估量表，支持通过语音对话由AI推荐适合的量表，测评后生成测评记录。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8.支持由AI根据用户当前情况推荐悦心内容，提供如课程推荐、文章精选、游戏天地、音乐中心等多个主题模块。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9.提供如心理科普、情绪管理、个人成长等至多主题文章精选，提供如“神经衰弱”、“情绪是什么？”、“如何面对成长中的痛苦”等≥50篇文章。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10.提供心理知识、生涯教育、减压训练等多主题课程推荐，包含如“拒绝情绪化进食”、“最近焦虑了、你别害怕！”、“如何培养职业兴趣”等≥100节课程。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11.支持用户手机号注册、登录，支持选择是否开启面部情绪识别。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12.提供如“图形拼贴”、“财务专家”、“理清线条”等≥于10款游戏训练。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13.提供如催眠音乐、放松音乐、精力恢复等多类主题音乐，提供≥50首音乐。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14.支持用户查看对话记录，提供如对话总时长、总交流轮次、主要情绪类型、情绪波动指数、情绪分布等≥5种数据，生成如情绪高光时刻、个性化情绪洞察、情绪小贴士等文字内容。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15.根据用户对话内容，生成AI对话预警，提供低、中、高三级风险等级，并用不同颜色提示。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16.支持根据等级、状态、组织机构等进行查询AI对话预警人员，支持导出人员名单。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17.支持通过不同颜色区分三级预警及未见风险用户画像，提供用户登录系统、风险预警、心理评测、AI对话等相关数据及更新时间。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18.支持根据用户的预警信息生成AI建议，包含如问题情况总结、辅导建议、短期目标、长期目标等内容，支持查看对话记录。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19.提供用户综合情况统计，包含如心理动态档案折线图、心理素质水平分析、系统使用人次统计柱状图、心理知识学习情况统计饼图等多类数据，支持生成动态男/女用户画像及核心描述词。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20.提供用户管理功能，支持单个添加、批量导入、批量删除用户信息。支持对用户信息进行查看、删除。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21.提供AI对话预警消息提示，可设置提醒等级及频率，支持微信公众号绑定后设置通知提醒。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22.支持查看用户预警详情，区分未读预警、已读预警便于管理者分类查看，支持选择多位预警用户标记为已读。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（三）产品组成：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1.包含主系统1套；对话舱1台；控制台1套；沙发1套。</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1.成品装饰挂画，尺寸不低于40*60cm。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2.画芯材质：油画布，高清喷绘工艺，金属画框。</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室内朗读亭</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（一）整体硬件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1.整机组成：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1）设备主体含朗读框体1个(包括静音排气扇，钢化玻璃、钣金框体、可旋转式升降座椅等)。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2）钣金框架：主体框架需采用优质冷扎板折弯焊接成型，整体钢制结构，表面静电喷粉防锈处理。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3）钢化玻璃：不小于10mm厚度钢化玻璃，安全可靠，隔音性能好。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4）朗读机含触摸屏≥1个，麦克风≥2个，专业耳机≥2个；主控机≥1个。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5）主控机：四核及以上高频处理器，运行内存≥4G，存储容量≥32G ，主要接口包括HDMI≥2个、USB2.0≥4个、RJ45≥1个、3.5mm接口≥2个、TF Card接口≥1个等，操作系统：Android9.0或以上。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6）动圈麦克风：高灵敏度动圈咪芯，频率响应：60Hz-18kHz，阻抗： 600Ω±30%，灵敏度：-50dB±3dB。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7）专业监听耳机：专业监听耳机，具备高度耐用性和佩戴性，灵敏度98dB/mW， 阻抗 32Ω。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8）监控系统：高清摄像头，最高分辨率≥1920*1080，内存卡≥32G。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9）时尚座椅：靠背采用人造皮革，透气性强；高回弹海绵坐垫，不易塌陷；气杆为高强合金，安全防护，稳固耐用，可升降范围≥20cm；电镀脚盘，承重强，胶圈防滑降低噪音。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10）定时器：支持软件以及后台管理设置时间，并且可多组定时设置，无需人工干预。断电记忆，断电无需重新设置。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11）全仓紫外线杀菌，提供一个健康安全的朗读空间。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2.规格尺寸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1）产品尺寸：不低于长1.30m*宽1.00m*高2.20m。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2）额定电源：AC220V  50HZ。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3）额定功率：整机≥150W，包含通风系统。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4）显示部分：触摸屏≥18.5英寸，分辨率≥1366*768。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5）网络：支持无线和有线。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（二）朗读亭APP软件功能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1.支持多种登录方式：包括①微信扫码登录；②刷卡登录；③账号密码登录等。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2.搜索功能：支持按素材或作者名字的拼音首字母进行模糊搜索。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3.配乐朗读：用户选择朗读的文章，选择适合的配乐进行配乐朗读，同时系统根据素材类型、风格，结合大数据算法智能化精准匹配推荐背景音乐。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视频录制：用户可选择录制视频作品，录制时视频画面与文本同屏显示，支持视频画面全屏显示，视频作品清晰度不低于720P，录制完成后视频作品自动同步到朗读亭个人中心与微信小程序作品中心，支持微信小程序端作品查看、评论、转发分享。（需配置摄像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视频配音：支持视频原声观看，支持试听他人进行配音模仿学习，开始配音后消除人声保留背景声音。影视、动漫画面支持放大模式，配音作品自动同步到小程序端，支持微信小程序端作品查看、评论、转发分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绘本配音：用户可根据绘本内容进行配音录制，支持试听他人进行配音模仿学习，绘本支持手动翻页，绘本图片全屏模式，显示当前页数及总页数，绘本文字经过提取加工处理，形成字幕方便配音。支持多人亲子绘本配音。绘本配音作品自动同步到小程序端，支持微信小程序端作品查看、评论、转发分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7.快速朗读，支持多种快速朗读方式：①随机一首，系统随机推荐一篇素材，用户可一键开始朗读；②自由录制，支持用户自带课本朗读、即兴朗读、上传素材朗读。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8.作品打分：读者朗读完成后显示作品分数，当作品低于某个分数时，会给与朗读者鼓励提示。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9.作品管理：支持读者对朗读完的作品进行以下操作：①作品回听②自动保存至草稿箱③发布作品 ④提交参赛⑤制作留声卡⑥扫描作品的二维码，进行分享；⑦发布作品经过审核后会同步到该素材试听列表、作品广场、小程序等模块。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试听他人：用户朗读前可试听该素材全国所有用户朗读的版本进行学习，该素材所有的朗读版本，包含置顶的名家示范音频，以及全国朗读爱好者朗读版本。试听他人模式下，可对他人朗读的作品进行点赞操作，同时支持该素材直接进入朗读界面进行录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11.作品广场：作品广场支持热门作品，最新作品两种展示维度，支持查看显示规则，支持查看机构作品排行，查看全国作品排行。作品详情支持播放、点赞、去朗读功能。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12..制作留声卡：①提供不少于10个主题分类的模板图片，模版图片不存在版权争议，可实时预览留声卡效果；②可直接打印留声卡。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个人中心：①我的作品（草稿箱、已发布、参赛作品）；②测评中心，记录用户测评历史及测评分数结果；③背诵记录，记录用户历史背诵文章及背诵分数；④支持多种方式编辑个人头像和昵称，随机更换和扫码上传手机本地图片作为头像，支持昵称随机生成和用户手机扫码更换昵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14.积分商城：①积分商城积分获取方式：每日签到获取积分、视频录制录制作品、配音录制作品、点赞作品、参与活动、参与投票等；②商城支持兑换实体物品与虚拟物品；③积分兑换奖品定期补货与更新。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15.普通话测评：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支持字词模式：字词模式测评前支持多种难度选择：普通、正常、较难、困难等，选择难度后将按照用户难度随机挑选字词生成题库。支持隐藏拼音、收藏字词。测评完成自动生成分数，分数包括发音分、声调分、音素分、音节分等维度；支持生成练习报告。支持查看所有收藏的字词、错题、重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②支持篇章模式：测评前可逐句点击进行试听和隐藏拼音。测评完成后支持在原文中用不同颜色标注出准确、不准、读错的单词，显示单句得分，包括准确度 流利度 完整度等。全篇测评完成后支持查看测评报告，包括分析图谱，显示全篇所有读错、不准、漏读、回读的词汇统计情况。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③支持考试模式：支持单音节词、多音节词、文章朗读等不少于三个部分测评，测试完成后支持查看测评报告，包括分析图谱，显示全篇所有读错、不准、漏读、回读的词汇统计情况。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英语测评：支持单句测评、全篇测评等方式，单句测评完成后会标记错误部分，显示测评分数，得分维度包括准确度、流利度和完整度等。全篇测评，测评完成后将得到篇章测评报告，包括分析图谱，显示全篇所有读错、不准、漏读、回读的词汇统计情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17.故障申报：用户选择故障类型上报后，系统可收到故障信息。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18.FAQ（常见问题及解答）：后台可编辑常见问题及对应的解答，支持实时更换展示内容。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活动模块：①支持活动信息轮播展示；②支持展示活动详情页，内容支持多段标题（如组织单位、参与方式、活动时间、活动规则、活动评奖等）；③支持展示活动作品排行榜，可分为全国排行和本机构排行；④支持活动作品试听、投票功能；⑤支持参与活动抽奖功能，抽奖内容支持虚拟奖品、实物奖品。活动抽奖次数支持自定义，抽奖获奖后信息通知；⑥活动结束后，支持活动评奖信息通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离线功能：①离线配乐朗读：断网状态下，用户仍可选择素材和配乐朗读；②离线配音：断网状态下，用户仍可选择视频或绘本素材进行配音演绎；③离线作品U盘导出：断网状态下，用户朗读完成后，可通过外置数据接口，将朗读作品导出到个人U盘；④离线作品保存：断网状态下，用户朗读的作品可保存在作品中心；⑤离线作品批量管理：断网状态下，管理员可对作品尽量批量删除或批量导出操作；⑥离线资源本地保存：音频、视频、文本、图片素材可全部本机存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21.延时自动退出登录：用户超时未退出时，系统将自动进行退出操作，保证用户数据安全。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22.朗读亭录课功能：①使用后台课件中心提供的文件；②检测u盘的文件；③在线浏览ppt、word文件；④录屏功能；⑤录制麦克风声同时录制系统声音；⑥我的视频，可管理录制好的视频导出到u盘、删除、上传到云端；⑦录制时间达60分钟及以上即自动保存到本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（三）朗读亭管理后台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1.后台具备首页模块，需包含常用快捷功能屏保设置，登录管理等。支持显示常用数据，包括朗读作品量、朗读亭练习情况、资源朗读数、自由朗读数、登录访问情况等。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2.支持活动管理：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①可以显示活动列表，活动列表包含新增活动、启用/停用活动，导出活动数据，编辑活动、素材设置，活动海报，二维码，管理作品，报名信息，活动作品等功能。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②支持活动数据分析，可查询活动，一键生成活动报表pdf，包含活动概况：访问量，投票量，访问人数，报名人数；活动作品数量，作品播放量，作品点赞量，作品分享量，作品搜藏量，活动作品提交率。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3.支持朗读作品管理，需包含待审核作品列表，已审核作品列表，被举报作品列表，背诵记录，作品发布规则等。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4.支持用户管理：需包含微信用户管理、刷卡用户（学生管理）、班级管理等。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5.支持设备管理：需包括登录管理、首页界面展示、配音素材展示、背诵素材展示、屏保设置、轮播设置、用户登录记录等。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6.支持素材资源库管理：需包括分类管理、文本素材、视频素材、绘本素材、背景音乐、示范音频等资源的管理功能。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7.支持测评管理：需包括评测设置、字词标签库、普通话内容库、英语内容库、中文测评、英文测评等。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（四）朗读资源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朗读文章类资源总数≥50000篇，需包含以下分类：诗词大汇、英语名篇、童话寓言、诗歌美文、经典文学选段、经典影视台词、中华诗文经典、红色经典、红色家书、党性教育、绕口令、习主席语录、歌颂祖国、毛泽东诗词、名家经典、读我原创、历史风貌、小语种专区、国学诵读、节日诵读、为你读诗、童声绘本、生态文化诗词、军事好书等；支持用户方在朗读亭上自定义展示素材分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党建阵地≥1000篇：需包含思想理论、时政热点、基层党建、党史人物、全面小康、三严三实、两学一做、党刊精选、党建智库（包含习近平总书记讲话原声）、党课随身听（包含原声）、党员风采、脱贫攻坚、两会原声、人民知心话、青年英模、最可爱的人（军事）、深化改革开放、从严治党、建军节选、四史教育等多个分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3.视频配音≥200篇：需包含华语经典影视、高分外语影视、名人故事、演讲训练营、高分国漫、高分纪录片等多个分类。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朗读背景音乐储备≥2000篇，分类需包括安静、轻快、史诗、感人、进取、浪漫、悲伤等多种类型，主题包括歌颂祖国、励志人生、恋爱心事、青春校园、思乡亲情、童真童趣、友谊情深、自然诗意。读者可根据不同主题的朗读内容选择不同的背景配乐，更能打造一个引人入胜的朗读情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5.名家朗读示范音频≥1000篇，需包括中华古诗文经典诵读、名家读老舍、等专业音频。</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心理自助设备</w:t>
            </w:r>
            <w:r/>
          </w:p>
        </w:tc>
        <w:tc>
          <w:tcPr>
            <w:shd w:val="clear" w:color="auto" w:fill="auto"/>
            <w:tcBorders>
              <w:top w:val="single" w:color="000000" w:sz="4" w:space="0"/>
              <w:left w:val="single" w:color="000000" w:sz="4" w:space="0"/>
              <w:bottom w:val="single" w:color="000000" w:sz="4" w:space="0"/>
              <w:right w:val="single" w:color="000000" w:sz="4" w:space="0"/>
            </w:tcBorders>
            <w:tcW w:w="6688" w:type="dxa"/>
            <w:vAlign w:val="center"/>
            <w:textDirection w:val="lrTb"/>
            <w:noWrap w:val="false"/>
          </w:tcPr>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（一）硬件配置要求：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1.控制台要求：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外观尺寸：不低于180cm*67cm*8±1cm。底座尺寸：不低于42cm*67cm±1cm。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控制台屏幕尺寸：不低于43寸。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功率：不低于65W。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内存：不低于16G。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显卡：不低于集显。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存储：不低于128G。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材质：超厚钣金、低碳钢、微颗粒喷塑。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供电：220V。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（二）功能要求：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color w:val="000000"/>
                <w:sz w:val="20"/>
                <w:szCs w:val="20"/>
                <w:highlight w:val="none"/>
                <w:u w:val="none"/>
                <w:lang w:bidi="ar"/>
              </w:rPr>
              <w:t xml:space="preserve">1.系统至少包含十六个心理自助服务调适模块：个人中心，心理学库，心理图片，心理音乐，咨询案例，心理影视，心理涂鸦，心理游戏，心理测评，心理预约，心理动态，自助方案，放松训练，注意力训练，单位简介以及留言信息功能模块。</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心理学库：包含心灵成长、高低透视心理、阳光性格、心灵之窗、雾里探花、天才养成记、美好心态、良好习惯、快乐源泉、花季绿茶、个性心理、自我调节等多个不同类型主题文章模块，每个文章模块中不少于5篇心理学文章。</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3.心理图片：包括心理冥想放松视觉图、心理放松大海图、心理励志图、著名名人照、不可能图、多种思想图、益智视觉图、颜色知觉图、视觉后像图、两歧图、大小长短错觉图等多个图片模块，不少于200张心理图片，每张图片都可以拖拉放置到屏幕的任意位置，还可进行放大缩小，让看心理图片成为一种乐趣。</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4.心理音乐内含不少于50首音乐，包含α脑波音乐、纯音乐、催眠减压音乐、放松减压音乐、大自然背景音乐、国外著名放松音乐、解除忧郁音乐、冥想音乐、全脑开发大师音乐、深度睡眠音乐、双脑同步共振音乐、心理音乐馆、中国风音乐、中医五行音乐等多种不同类型音乐。</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5.心理影院：系统自带心理学经典电影赏析、国内外名师课程视频、心理学科普知识视频。</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6.咨询案例：包含快速治愈严重失眠、焦虑障碍的治疗、小学生心理健康案例分析、如何使用沙盘游戏解决人际关系问题等指导方法类文章。</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7.心理涂鸦：支持用户自由涂鸦，画笔粗细可调，颜色可调。管理端还可以查看历史涂鸦，进行回复，用户在涂鸦的过程同时也能做到注意力稳定的训练。</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8.心理游戏：包含冒险、策略、卡片、棋牌、休闲、智力、射击等7大不同类型，不少于20款游戏。</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9.心理测评：包含自尊量表（SES），自信心测验，责任感测试，生活满意度评定量表（LSIA），情商（EQ）测量，性格倾向指数测验，焦虑自评量表（SAS），汉密顿焦虑量表（HAMA），Epworth嗜睡量表，汉密尔顿抑郁量表等共计不少于34个测试量表，测试完成之后，系统会自动出现一个测试报告，测试结果可在个人档案中进行查看。</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10.心理预约，可了解单位心理咨询师基本资料和个人简介，可预约不同的心理咨询师，简单描述个人想咨询的问题和预约地址及时间，管理员可根据用户留下的预约信息进行及时回复或者预约面谈咨询。咨询师将个人资料信息通过心理预约展示给学生，将自己的可预约时间发布以及个人信息在系统上展示（支持增删改查）。管理端编辑预约信息，包括排班日期（接受咨询的日期）、排班时间（接受咨询的具体时间段）、预约人数限制、取消预约限制（学生可在排班时间之前多久取消预约）等。</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11.放松训练内有三大放松视频包含控制呼吸、肌肉放松以及腹式呼吸法。</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12.注意力训练包括6款注意力训练游戏（一个都不能死、别踩白块儿、见缝插针、粉碎立方体、超级拼图、填色游戏），可以简单测量注意力水平和是否有注意力方面的困扰，评估注意力的各种细节能力。</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13.心理动态：包含希望就是力量、心理微表情、心理小常识等不同主题的动态文章不少于10篇。</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14.心理教案，提供关于心理问题的一些教案用户可以了解一些心理问题的解决方法。</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15.个人中心包括个人信息修改保存功能以及查看个人档案，其中个人档案中能够查看测评类型以及结果并给出相应的建议，以图文形式查看。</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16.背景切换：登录界面不少于四种背景图可任意更换。</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17.多层级用户管理功能：采用超级管理员、普通管理员、普通用户、不少于三级管理模式，并且系统具有游客登录和注册帐号登录以及默认账号登录三种登录模式，用户既可以利用管理员分配的帐号进行系统登录，也可以通过自由注册帐号信息登录系统，还可以使用游客方式登录，有效满足用户多种使用需求。</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18.系统资源管理，可通过管理员账号登录后台管理端，可自定义添加心理学库，心理图片，心理音乐，咨询案例，心理影视、自助方案、心理动态、放松训练等内容，对其内容可进行添加及删除，后台页面不少于6种背景色可进行选择，大大增强了系统的互动性和开放性。</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19.不良词过滤功能，可对不良词语进行过滤，支持批量添加过滤字符、添加单挑过滤字符，有效避免敏感词汇。</w:t>
            </w:r>
            <w:r/>
          </w:p>
          <w:p>
            <w:pPr>
              <w:jc w:val="left"/>
              <w:keepLines w:val="0"/>
              <w:keepNext w:val="0"/>
              <w:widowControl/>
              <w:rPr>
                <w:rFonts w:hint="eastAsia" w:ascii="宋体" w:hAnsi="宋体" w:cs="宋体"/>
                <w:color w:val="000000"/>
                <w:sz w:val="20"/>
                <w:szCs w:val="20"/>
                <w:highlight w:val="none"/>
                <w:u w:val="none"/>
                <w:lang w:bidi="ar"/>
              </w:rPr>
              <w:suppressLineNumbers w:val="0"/>
            </w:pPr>
            <w:r>
              <w:rPr>
                <w:rFonts w:hint="eastAsia" w:ascii="宋体" w:hAnsi="宋体" w:cs="宋体"/>
                <w:color w:val="000000"/>
                <w:sz w:val="20"/>
                <w:szCs w:val="20"/>
                <w:highlight w:val="none"/>
                <w:u w:val="none"/>
                <w:lang w:bidi="ar"/>
              </w:rPr>
              <w:t xml:space="preserve">20.站内详细群发，可对游客组、超级管理员、前台管理员发送站内消息。</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color w:val="000000"/>
                <w:sz w:val="20"/>
                <w:szCs w:val="20"/>
                <w:highlight w:val="none"/>
                <w:u w:val="none"/>
                <w:lang w:bidi="ar"/>
              </w:rPr>
              <w:t xml:space="preserve">21.日志管理，包括后台登陆日志和操作日志管理。</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ind w:firstLine="480"/>
        <w:spacing w:line="52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1.本项目核心产品为“智能倾诉与情绪疏导设备”。</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bCs/>
          <w:color w:val="auto"/>
          <w:sz w:val="24"/>
          <w:szCs w:val="24"/>
          <w:highlight w:val="none"/>
        </w:rPr>
        <w:t xml:space="preserve">2.设备安装费需投标人自行勘察现场，投标报价需包含采购货物运输安装调试所需要的全部工作。</w:t>
      </w:r>
      <w:r/>
    </w:p>
    <w:p>
      <w:pPr>
        <w:ind w:firstLine="480"/>
        <w:keepLines w:val="0"/>
        <w:keepNext w:val="0"/>
        <w:pageBreakBefore w:val="0"/>
        <w:spacing w:line="264"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3.部分产品重要功能要求</w:t>
      </w:r>
      <w:r/>
    </w:p>
    <w:p>
      <w:pPr>
        <w:ind w:firstLine="482"/>
        <w:keepLines w:val="0"/>
        <w:keepNext w:val="0"/>
        <w:pageBreakBefore w:val="0"/>
        <w:spacing w:line="0" w:lineRule="atLeast"/>
        <w:widowControl w:val="off"/>
        <w:rPr>
          <w:rFonts w:hint="eastAsia" w:ascii="宋体" w:hAnsi="宋体" w:cs="宋体"/>
          <w:b/>
          <w:bCs/>
          <w:color w:val="000000"/>
          <w:sz w:val="20"/>
          <w:szCs w:val="20"/>
          <w:highlight w:val="none"/>
          <w:lang w:val="en-US" w:eastAsia="zh-CN"/>
        </w:rPr>
      </w:pPr>
      <w:r>
        <w:rPr>
          <w:rFonts w:hint="eastAsia" w:ascii="宋体" w:hAnsi="宋体" w:cs="宋体"/>
          <w:b/>
          <w:bCs/>
          <w:color w:val="000000"/>
          <w:sz w:val="20"/>
          <w:szCs w:val="20"/>
          <w:highlight w:val="none"/>
          <w:lang w:val="en-US" w:eastAsia="zh-CN"/>
        </w:rPr>
        <w:t xml:space="preserve">1）烘焙智慧教学课程（序号50）</w:t>
      </w:r>
      <w:r/>
    </w:p>
    <w:p>
      <w:pPr>
        <w:ind w:firstLine="482"/>
        <w:keepLines w:val="0"/>
        <w:keepNext w:val="0"/>
        <w:pageBreakBefore w:val="0"/>
        <w:spacing w:line="0" w:lineRule="atLeast"/>
        <w:widowControl w:val="off"/>
        <w:rPr>
          <w:rFonts w:hint="default" w:ascii="宋体" w:hAnsi="宋体" w:cs="宋体"/>
          <w:color w:val="000000"/>
          <w:sz w:val="20"/>
          <w:szCs w:val="20"/>
          <w:highlight w:val="none"/>
          <w:lang w:val="en-US" w:eastAsia="zh-CN"/>
        </w:rPr>
      </w:pPr>
      <w:r>
        <w:rPr>
          <w:rFonts w:hint="default" w:ascii="宋体" w:hAnsi="宋体" w:cs="宋体"/>
          <w:color w:val="000000"/>
          <w:sz w:val="20"/>
          <w:szCs w:val="20"/>
          <w:highlight w:val="none"/>
          <w:lang w:val="en-US" w:eastAsia="zh-CN"/>
        </w:rPr>
        <w:t xml:space="preserve">▲6.投标时提供课程体系三大模块（糕点类、甜品类、果饮类）不少于3</w:t>
      </w:r>
      <w:r>
        <w:rPr>
          <w:rFonts w:hint="eastAsia" w:ascii="宋体" w:hAnsi="宋体" w:cs="宋体"/>
          <w:color w:val="000000"/>
          <w:sz w:val="20"/>
          <w:szCs w:val="20"/>
          <w:highlight w:val="none"/>
          <w:lang w:val="en-US" w:eastAsia="zh-CN"/>
        </w:rPr>
        <w:t xml:space="preserve">0</w:t>
      </w:r>
      <w:r>
        <w:rPr>
          <w:rFonts w:hint="default" w:ascii="宋体" w:hAnsi="宋体" w:cs="宋体"/>
          <w:color w:val="000000"/>
          <w:sz w:val="20"/>
          <w:szCs w:val="20"/>
          <w:highlight w:val="none"/>
          <w:lang w:val="en-US" w:eastAsia="zh-CN"/>
        </w:rPr>
        <w:t xml:space="preserve">课时的目录截图，以及三大模块各任意选取1课时进行功能截图，截图内容包含操作视频、以及配套课程教案资源模块（课程教案、教学大纲及成品展示），提供截图加盖公章。</w:t>
      </w:r>
      <w:r/>
    </w:p>
    <w:p>
      <w:pPr>
        <w:ind w:firstLine="482"/>
        <w:keepLines w:val="0"/>
        <w:keepNext w:val="0"/>
        <w:pageBreakBefore w:val="0"/>
        <w:spacing w:line="0" w:lineRule="atLeast"/>
        <w:widowControl w:val="off"/>
        <w:rPr>
          <w:rFonts w:hint="default" w:ascii="宋体" w:hAnsi="宋体" w:cs="宋体"/>
          <w:color w:val="000000"/>
          <w:sz w:val="20"/>
          <w:szCs w:val="20"/>
          <w:highlight w:val="none"/>
          <w:lang w:val="en-US" w:eastAsia="zh-CN"/>
        </w:rPr>
      </w:pPr>
      <w:r>
        <w:rPr>
          <w:rFonts w:hint="default" w:ascii="宋体" w:hAnsi="宋体" w:cs="宋体"/>
          <w:color w:val="000000"/>
          <w:sz w:val="20"/>
          <w:szCs w:val="20"/>
          <w:highlight w:val="none"/>
          <w:lang w:val="en-US" w:eastAsia="zh-CN"/>
        </w:rPr>
      </w:r>
      <w:r/>
    </w:p>
    <w:p>
      <w:pPr>
        <w:ind w:firstLine="482"/>
        <w:keepLines w:val="0"/>
        <w:keepNext w:val="0"/>
        <w:pageBreakBefore w:val="0"/>
        <w:spacing w:line="0" w:lineRule="atLeast"/>
        <w:widowControl w:val="off"/>
        <w:rPr>
          <w:rFonts w:hint="default" w:ascii="宋体" w:hAnsi="宋体" w:cs="宋体"/>
          <w:b/>
          <w:bCs/>
          <w:color w:val="000000"/>
          <w:sz w:val="20"/>
          <w:szCs w:val="20"/>
          <w:highlight w:val="none"/>
          <w:lang w:val="en-US" w:eastAsia="zh-CN"/>
        </w:rPr>
      </w:pPr>
      <w:r>
        <w:rPr>
          <w:rFonts w:hint="eastAsia" w:ascii="宋体" w:hAnsi="宋体" w:cs="宋体"/>
          <w:b/>
          <w:bCs/>
          <w:color w:val="000000"/>
          <w:sz w:val="20"/>
          <w:szCs w:val="20"/>
          <w:highlight w:val="none"/>
          <w:lang w:val="en-US" w:eastAsia="zh-CN"/>
        </w:rPr>
        <w:t xml:space="preserve">2）智能互动击打呐喊宣泄设备（序号81）</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3.语音唤醒功能，通过呼喊设备昵称，如“请打开宣泄系统”，设备可按照指令唤醒系统。</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4.语音交互控制功能，通过语音呼喊，便可选择设备功能选项，如呼喊：“选择男生”系统便选择男生，如呼喊：“5-10分钟”系统便选择5-10分钟的宣泄选项；如呼喊：“考试焦虑”系统便提供考试焦虑的主题宣泄选项。</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14.提供演示模式，在演示模式下，可以选择直接进入下一步操作，直接略过互动宣泄过程，演示模式页面必须包含销毁数量和击打频率两个关键指标。</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▲投标时提供符合GB/T25000.51-2016标准的第三方权威检测机构出具的至少满足以上第3、4、14项功能的检测报告扫描件加盖公章，检测内容至少包含“语音唤醒”“语音选择男女生功能”“演示模式”。</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r>
      <w:r/>
    </w:p>
    <w:p>
      <w:pPr>
        <w:ind w:firstLine="482"/>
        <w:keepLines w:val="0"/>
        <w:keepNext w:val="0"/>
        <w:pageBreakBefore w:val="0"/>
        <w:spacing w:line="0" w:lineRule="atLeast"/>
        <w:widowControl w:val="off"/>
        <w:rPr>
          <w:rFonts w:hint="default" w:ascii="宋体" w:hAnsi="宋体" w:cs="宋体"/>
          <w:b/>
          <w:bCs/>
          <w:color w:val="000000"/>
          <w:sz w:val="20"/>
          <w:szCs w:val="20"/>
          <w:highlight w:val="none"/>
          <w:lang w:val="en-US" w:eastAsia="zh-CN"/>
        </w:rPr>
      </w:pPr>
      <w:r>
        <w:rPr>
          <w:rFonts w:hint="eastAsia" w:ascii="宋体" w:hAnsi="宋体" w:cs="宋体"/>
          <w:b/>
          <w:bCs/>
          <w:color w:val="000000"/>
          <w:sz w:val="20"/>
          <w:szCs w:val="20"/>
          <w:highlight w:val="none"/>
          <w:lang w:val="en-US" w:eastAsia="zh-CN"/>
        </w:rPr>
        <w:t xml:space="preserve">3）沉浸式动感单车干预设备（序号82）</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8.提供≥10道智能评估选择题，涵盖如“我觉得不快乐”、“哪一场景可以让你身心放松”等题目，答题结束后自动显示评估结果，评估结果包含如指导语、训练场景、训练时长、训练音乐等内容。</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10.提供如“森林骑行”、“雪地骑行”、“沙滩骑行”等≥10款自助训练虚拟场景，其中多款场景支持通过转动轴向调整骑行角度进行自由探索，多款场景支持固定路线骑行探索。提供如“动感系列”、“古典系列”、“轻柔系列”等系列≥20首训练音乐，支持自定义训练时长。</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12.内置多款单人训练，以互动训练游戏的形式展现，提供如简单、普通、困难等三级难度选择。内置多款团体训练游戏，支持创建房间，查看玩家列表、准备状态、当前人数等信息，支持自由设置游戏长度。</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▲投标时提供此产品功能截图加盖公章，内容至少包含以上第8、10、12项功能。</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r>
      <w:r/>
    </w:p>
    <w:p>
      <w:pPr>
        <w:ind w:firstLine="482"/>
        <w:keepLines w:val="0"/>
        <w:keepNext w:val="0"/>
        <w:pageBreakBefore w:val="0"/>
        <w:spacing w:line="0" w:lineRule="atLeast"/>
        <w:widowControl w:val="off"/>
        <w:rPr>
          <w:rFonts w:hint="default" w:ascii="宋体" w:hAnsi="宋体" w:cs="宋体"/>
          <w:b/>
          <w:bCs/>
          <w:color w:val="000000"/>
          <w:sz w:val="20"/>
          <w:szCs w:val="20"/>
          <w:highlight w:val="none"/>
          <w:lang w:val="en-US" w:eastAsia="zh-CN"/>
        </w:rPr>
      </w:pPr>
      <w:r>
        <w:rPr>
          <w:rFonts w:hint="eastAsia" w:ascii="宋体" w:hAnsi="宋体" w:cs="宋体"/>
          <w:b/>
          <w:bCs/>
          <w:color w:val="000000"/>
          <w:sz w:val="20"/>
          <w:szCs w:val="20"/>
          <w:highlight w:val="none"/>
          <w:lang w:val="en-US" w:eastAsia="zh-CN"/>
        </w:rPr>
        <w:t xml:space="preserve">4）生物反馈式协调训练舱（序号94）</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1.可以对个人和家庭成员的情绪周期进行演算、跟踪和提醒，并在情绪的临界和低潮期进行信息提醒，测评模块具有二级密码和匿名测试功能，充分保护用户隐私。</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8.不抱怨模块提供个人和团队双模式，预置了7天、14天、21天等多种不同训练目标，不抱怨模块提供心态得分、系统排名、状态分析、柱状对比和心态趋势等综合分析工具。</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9.完美人生提供≥50条生命质量指标，并支持用户自由修正。系统提供完成度比例，大事件统计，人群分类等功能。</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投标时提供符合GB/T25000.51-2016标准的第三方权威检测机构出具的至少满足以上第1、8、9项功能的检测报告扫描件加盖公章，检测内容至少包含“演算情绪周期图谱功能、异常情绪提醒功能、匿名测试功能”“不抱怨模块、不抱怨打卡提醒功能、个人不抱怨活动总得分”“修改人生计划功能、定制专属完美人生计划功能”。</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23.完美人生计划定制系统：训练开始提供训练介绍，开启训练后，提供目标清单统计，包含总目标数，完成目标数以及饼状图统计，提供评定等级评分，点击开始定制完美人生后，提供用户排名展示以及目标执行大事件柱状图，以年份为横轴数量为数轴，提供目标激励对照图，可定制大事件内同，可标记或取消完成记录，提供目标完成记录统计包含具体事件以及发生的时间。（投标时提供符合或优于以上相关功能的系统截图）</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r>
      <w:r/>
    </w:p>
    <w:p>
      <w:pPr>
        <w:ind w:firstLine="482"/>
        <w:keepLines w:val="0"/>
        <w:keepNext w:val="0"/>
        <w:pageBreakBefore w:val="0"/>
        <w:spacing w:line="0" w:lineRule="atLeast"/>
        <w:widowControl w:val="off"/>
        <w:rPr>
          <w:rFonts w:hint="eastAsia" w:ascii="宋体" w:hAnsi="宋体" w:cs="宋体"/>
          <w:b/>
          <w:bCs/>
          <w:color w:val="000000"/>
          <w:sz w:val="20"/>
          <w:szCs w:val="20"/>
          <w:highlight w:val="none"/>
          <w:lang w:val="en-US" w:eastAsia="zh-CN"/>
        </w:rPr>
      </w:pPr>
      <w:r>
        <w:rPr>
          <w:rFonts w:hint="eastAsia" w:ascii="宋体" w:hAnsi="宋体" w:cs="宋体"/>
          <w:b/>
          <w:bCs/>
          <w:color w:val="000000"/>
          <w:sz w:val="20"/>
          <w:szCs w:val="20"/>
          <w:highlight w:val="none"/>
          <w:lang w:val="en-US" w:eastAsia="zh-CN"/>
        </w:rPr>
        <w:t xml:space="preserve">5）应急心理援助自助设备（序号95）</w:t>
      </w:r>
      <w:r/>
    </w:p>
    <w:p>
      <w:pPr>
        <w:ind w:firstLine="482"/>
        <w:keepLines w:val="0"/>
        <w:keepNext w:val="0"/>
        <w:pageBreakBefore w:val="0"/>
        <w:spacing w:line="0" w:lineRule="atLeast"/>
        <w:widowControl w:val="off"/>
        <w:rPr>
          <w:rFonts w:hint="default" w:ascii="宋体" w:hAnsi="宋体" w:cs="宋体"/>
          <w:color w:val="000000"/>
          <w:sz w:val="20"/>
          <w:szCs w:val="20"/>
          <w:highlight w:val="none"/>
          <w:lang w:val="en-US" w:eastAsia="zh-CN"/>
        </w:rPr>
      </w:pPr>
      <w:r>
        <w:rPr>
          <w:rFonts w:hint="default" w:ascii="宋体" w:hAnsi="宋体" w:cs="宋体"/>
          <w:color w:val="000000"/>
          <w:sz w:val="20"/>
          <w:szCs w:val="20"/>
          <w:highlight w:val="none"/>
          <w:lang w:val="en-US" w:eastAsia="zh-CN"/>
        </w:rPr>
        <w:t xml:space="preserve">6.支持用户在情况特别紧急希望快速得到帮助时，进行紧急调节，提供如“画面闯入”、“胸口发紧”、“焦虑不安”等多类主题调节，支持通过音视频形式进行分段式训练，训练结束后生成报告。</w:t>
      </w:r>
      <w:r/>
    </w:p>
    <w:p>
      <w:pPr>
        <w:ind w:firstLine="482"/>
        <w:keepLines w:val="0"/>
        <w:keepNext w:val="0"/>
        <w:pageBreakBefore w:val="0"/>
        <w:spacing w:line="0" w:lineRule="atLeast"/>
        <w:widowControl w:val="off"/>
        <w:rPr>
          <w:rFonts w:hint="default" w:ascii="宋体" w:hAnsi="宋体" w:cs="宋体"/>
          <w:color w:val="000000"/>
          <w:sz w:val="20"/>
          <w:szCs w:val="20"/>
          <w:highlight w:val="none"/>
          <w:lang w:val="en-US" w:eastAsia="zh-CN"/>
        </w:rPr>
      </w:pPr>
      <w:r>
        <w:rPr>
          <w:rFonts w:hint="default" w:ascii="宋体" w:hAnsi="宋体" w:cs="宋体"/>
          <w:color w:val="000000"/>
          <w:sz w:val="20"/>
          <w:szCs w:val="20"/>
          <w:highlight w:val="none"/>
          <w:lang w:val="en-US" w:eastAsia="zh-CN"/>
        </w:rPr>
        <w:t xml:space="preserve">7.提供危机事件发生后恢复期的训练方案，即危机事件发生日期为3个月以上的方案。通过创伤后应激障碍自评量表进行测评后，再匹配合适的调节方案，训练结束后生成报告。</w:t>
      </w:r>
      <w:r/>
    </w:p>
    <w:p>
      <w:pPr>
        <w:ind w:firstLine="482"/>
        <w:keepLines w:val="0"/>
        <w:keepNext w:val="0"/>
        <w:pageBreakBefore w:val="0"/>
        <w:spacing w:line="0" w:lineRule="atLeast"/>
        <w:widowControl w:val="off"/>
        <w:rPr>
          <w:rFonts w:hint="default" w:ascii="宋体" w:hAnsi="宋体" w:cs="宋体"/>
          <w:color w:val="000000"/>
          <w:sz w:val="20"/>
          <w:szCs w:val="20"/>
          <w:highlight w:val="none"/>
          <w:lang w:val="en-US" w:eastAsia="zh-CN"/>
        </w:rPr>
      </w:pPr>
      <w:r>
        <w:rPr>
          <w:rFonts w:hint="default" w:ascii="宋体" w:hAnsi="宋体" w:cs="宋体"/>
          <w:color w:val="000000"/>
          <w:sz w:val="20"/>
          <w:szCs w:val="20"/>
          <w:highlight w:val="none"/>
          <w:lang w:val="en-US" w:eastAsia="zh-CN"/>
        </w:rPr>
        <w:t xml:space="preserve">14.训练档案包含如测评报告、训练进程、训练说明、训练原理、温馨提示等多类内容，测评报告包含量表名称、测评得分、评估日期、测评结果等多条信息。</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▲投标时提供此产品功能截图加盖公章，内容至少包含以上第6、7、14项功能。</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r>
      <w:r/>
    </w:p>
    <w:p>
      <w:pPr>
        <w:ind w:firstLine="482"/>
        <w:keepLines w:val="0"/>
        <w:keepNext w:val="0"/>
        <w:pageBreakBefore w:val="0"/>
        <w:spacing w:line="0" w:lineRule="atLeast"/>
        <w:widowControl w:val="off"/>
        <w:rPr>
          <w:rFonts w:hint="default" w:ascii="宋体" w:hAnsi="宋体" w:cs="宋体"/>
          <w:b/>
          <w:bCs/>
          <w:color w:val="000000"/>
          <w:sz w:val="20"/>
          <w:szCs w:val="20"/>
          <w:highlight w:val="none"/>
          <w:lang w:val="en-US" w:eastAsia="zh-CN"/>
        </w:rPr>
      </w:pPr>
      <w:r>
        <w:rPr>
          <w:rFonts w:hint="eastAsia" w:ascii="宋体" w:hAnsi="宋体" w:cs="宋体"/>
          <w:b/>
          <w:bCs/>
          <w:color w:val="000000"/>
          <w:sz w:val="20"/>
          <w:szCs w:val="20"/>
          <w:highlight w:val="none"/>
          <w:lang w:val="en-US" w:eastAsia="zh-CN"/>
        </w:rPr>
        <w:t xml:space="preserve">6）智能情绪识别训练仪（序号111）</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2.面部登录：支持用户注册并绑定人脸信息后，后续登录可通过面部识别进入。</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8.情绪识别小屋：提供快速情绪识别和多维情绪检测。</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12.个人小屋包含基本信息、面部信息、成长等级等内容。基础训练任务：支持用户通过如登录岛屿、多维情绪识别等多项的任务操作，获取一定贝壳值及成长值。系统支持用户使用贝壳值，解锁积极训练中心的部分心理课程或心灵之舞的部分音乐。</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▲投标时提供此产品功能截图加盖公章，内容至少包含以上第2、8、12项功能。</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r>
      <w:r/>
    </w:p>
    <w:p>
      <w:pPr>
        <w:ind w:firstLine="482"/>
        <w:keepLines w:val="0"/>
        <w:keepNext w:val="0"/>
        <w:pageBreakBefore w:val="0"/>
        <w:spacing w:line="0" w:lineRule="atLeast"/>
        <w:widowControl w:val="off"/>
        <w:rPr>
          <w:rFonts w:hint="default" w:ascii="宋体" w:hAnsi="宋体" w:cs="宋体"/>
          <w:b/>
          <w:bCs/>
          <w:color w:val="000000"/>
          <w:sz w:val="20"/>
          <w:szCs w:val="20"/>
          <w:highlight w:val="none"/>
          <w:lang w:val="en-US" w:eastAsia="zh-CN"/>
        </w:rPr>
      </w:pPr>
      <w:r>
        <w:rPr>
          <w:rFonts w:hint="eastAsia" w:ascii="宋体" w:hAnsi="宋体" w:cs="宋体"/>
          <w:b/>
          <w:bCs/>
          <w:color w:val="000000"/>
          <w:sz w:val="20"/>
          <w:szCs w:val="20"/>
          <w:highlight w:val="none"/>
          <w:lang w:val="en-US" w:eastAsia="zh-CN"/>
        </w:rPr>
        <w:t xml:space="preserve">7）智能倾诉与情绪疏导设备（序号112）</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6.提供大数据可视化中心，包含系统使用人次统计、AI预警情况统计、常见心理问题分布、本月系统新增、总登录系统人次等多类数据，支持全屏显示。</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18.支持根据用户的预警信息生成AI建议，包含如问题情况总结、辅导建议、短期目标、长期目标等内容，支持查看对话记录。</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19.提供用户综合情况统计，包含如心理动态档案折线图、心理素质水平分析、系统使用人次统计柱状图、心理知识学习情况统计饼图等多类数据，支持生成动态男/女用户画像及核心描述词。</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21.提供AI对话预警消息提示，可设置提醒等级及频率，支持微信公众号绑定后设置通知提醒。</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▲投标时提供此产品功能截图加盖公章，内容至少包含以上第6、18、19、21项功能。</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r>
      <w:r/>
    </w:p>
    <w:p>
      <w:pPr>
        <w:ind w:firstLine="482"/>
        <w:keepLines w:val="0"/>
        <w:keepNext w:val="0"/>
        <w:pageBreakBefore w:val="0"/>
        <w:spacing w:line="0" w:lineRule="atLeast"/>
        <w:widowControl w:val="off"/>
        <w:rPr>
          <w:rFonts w:hint="default" w:ascii="宋体" w:hAnsi="宋体" w:cs="宋体"/>
          <w:b/>
          <w:bCs/>
          <w:color w:val="000000"/>
          <w:sz w:val="20"/>
          <w:szCs w:val="20"/>
          <w:highlight w:val="none"/>
          <w:lang w:val="en-US" w:eastAsia="zh-CN"/>
        </w:rPr>
      </w:pPr>
      <w:r>
        <w:rPr>
          <w:rFonts w:hint="eastAsia" w:ascii="宋体" w:hAnsi="宋体" w:cs="宋体"/>
          <w:b/>
          <w:bCs/>
          <w:color w:val="000000"/>
          <w:sz w:val="20"/>
          <w:szCs w:val="20"/>
          <w:highlight w:val="none"/>
          <w:lang w:val="en-US" w:eastAsia="zh-CN"/>
        </w:rPr>
        <w:t xml:space="preserve">8）室内朗读亭（序号114）</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13.个人中心：①我的作品（草稿箱、已发布、参赛作品）；②测评中心，记录用户测评历史及测评分数结果；③背诵记录，记录用户历史背诵文章及背诵分数；④支持多种方式编辑个人头像和昵称，随机更换和扫码上传手机本地图片作为头像，支持昵称随机生成和用户手机扫码更换昵称。</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22.朗读亭录课功能：①使用后台课件中心提供的文件；②检测u盘的文件；③在线浏览ppt、word文件；④录屏功能；⑤录制麦克风声同时录制系统声音；⑥我的视频，可管理录制好的视频导出到u盘、删除、上传到云端；⑦录制时间达60分钟及以上即自动保存到本地。</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▲投标时提供此产品功能截图加盖公章，内容至少包含以上第13、22项功能。</w:t>
      </w:r>
      <w:r/>
    </w:p>
    <w:p>
      <w:pPr>
        <w:ind w:firstLine="482"/>
        <w:keepLines w:val="0"/>
        <w:keepNext w:val="0"/>
        <w:pageBreakBefore w:val="0"/>
        <w:spacing w:line="0" w:lineRule="atLeast"/>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r>
      <w:r/>
    </w:p>
    <w:p>
      <w:pPr>
        <w:ind w:firstLine="482"/>
        <w:keepLines w:val="0"/>
        <w:keepNext w:val="0"/>
        <w:pageBreakBefore w:val="0"/>
        <w:spacing w:line="0" w:lineRule="atLeast"/>
        <w:widowControl w:val="off"/>
        <w:rPr>
          <w:rFonts w:hint="default" w:ascii="宋体" w:hAnsi="宋体" w:cs="宋体"/>
          <w:b/>
          <w:bCs/>
          <w:color w:val="000000"/>
          <w:sz w:val="20"/>
          <w:szCs w:val="20"/>
          <w:highlight w:val="none"/>
          <w:lang w:val="en-US" w:eastAsia="zh-CN"/>
        </w:rPr>
      </w:pPr>
      <w:r>
        <w:rPr>
          <w:rFonts w:hint="eastAsia" w:ascii="宋体" w:hAnsi="宋体" w:cs="宋体"/>
          <w:b/>
          <w:bCs/>
          <w:color w:val="000000"/>
          <w:sz w:val="20"/>
          <w:szCs w:val="20"/>
          <w:highlight w:val="none"/>
          <w:lang w:val="en-US" w:eastAsia="zh-CN"/>
        </w:rPr>
        <w:t xml:space="preserve">9）心理自助设备（序号115）</w:t>
      </w:r>
      <w:r/>
    </w:p>
    <w:p>
      <w:pPr>
        <w:ind w:firstLine="482"/>
        <w:keepLines w:val="0"/>
        <w:keepNext w:val="0"/>
        <w:pageBreakBefore w:val="0"/>
        <w:spacing w:line="360" w:lineRule="auto"/>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19.不良词过滤功能，可对不良词语进行过滤，支持批量添加过滤字符、添加单挑过滤字符，有效避免敏感词汇。</w:t>
      </w:r>
      <w:r/>
    </w:p>
    <w:p>
      <w:pPr>
        <w:ind w:firstLine="482"/>
        <w:keepLines w:val="0"/>
        <w:keepNext w:val="0"/>
        <w:pageBreakBefore w:val="0"/>
        <w:spacing w:line="360" w:lineRule="auto"/>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20.站内详细群发，可对游客组、超级管理员、前台管理员发送站内消息。</w:t>
      </w:r>
      <w:r/>
    </w:p>
    <w:p>
      <w:pPr>
        <w:ind w:firstLine="482"/>
        <w:keepLines w:val="0"/>
        <w:keepNext w:val="0"/>
        <w:pageBreakBefore w:val="0"/>
        <w:spacing w:line="360" w:lineRule="auto"/>
        <w:widowControl w:val="off"/>
        <w:rPr>
          <w:rFonts w:hint="eastAsia" w:ascii="宋体" w:hAnsi="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21.日志管理，包括后台登陆日志和操作日志管理。</w:t>
      </w:r>
      <w:r/>
    </w:p>
    <w:p>
      <w:pPr>
        <w:ind w:firstLine="482"/>
        <w:spacing w:line="36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rPr>
        <w:t xml:space="preserve">▲投标时提供符合GB/T25000.51-2016标准的第三方权威检测机构出具的至少满足以上第19-21项功能的检测报告扫描件加盖公章。</w:t>
      </w:r>
      <w:r/>
    </w:p>
    <w:p>
      <w:pPr>
        <w:ind w:left="0" w:hanging="141"/>
        <w:rPr>
          <w:rFonts w:ascii="宋体" w:hAnsi="宋体" w:cs="宋体"/>
          <w:bCs/>
          <w:color w:val="000000" w:themeColor="text1"/>
          <w:sz w:val="24"/>
          <w:szCs w:val="24"/>
          <w:highlight w:val="none"/>
          <w14:textFill>
            <w14:solidFill>
              <w14:schemeClr w14:val="tx1"/>
            </w14:solidFill>
          </w14:textFill>
        </w:rPr>
        <w:outlineLvl w:val="2"/>
      </w:pPr>
      <w:r/>
      <w:bookmarkStart w:id="196" w:name="_Hlk231127188"/>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（二）商务要求</w:t>
      </w:r>
      <w:r/>
    </w:p>
    <w:p>
      <w:pPr>
        <w:ind w:firstLine="480"/>
        <w:spacing w:line="264"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报价要求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（2）供应商的任何错漏、优惠、竞争性报价不得作为减轻责任、减少服务、增加收费、降低服务质量的理由。</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2.实施要求</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（1）总体要求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标供应商应严格依据招标文件及合同条款，完成包括产品供货、安装调试、培训交付、质保服务及项目全过程管理在内的所有履约内容。投标总报价应涵盖从中标至质保期结束期间所涉及的全部费用（含设备、配件、包装、运输、安装、调试、培训、售后服务等），不再另行支付任何费用。</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质量要求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（3）安全要求</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应采取安全措施，确保施工安全。因本项目实施产生的供应商及采购人相关人员人身安全问题由供应商承担全部责任。施工过程中若因供应商作业不当、安全措施缺失造成采购人工作人员、第三方人员人身伤害或财产损失，全部责任及相关费用由供应商承担。</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（4）验收要求</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全部货物送达指定现场后，中标供应商须主动向采购人申请组织验收工作，验收范围包含本项目所有配套家具、专用教学设备、心理类设备及全部配套辅材。验收前期，供应商需配合采购人完成货物整体清点工作，核对货品型号、规格、数量、配件清单，确保到货物资与招标文件、合同清单完全一致，杜绝缺货、错发、破损等问题。</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供应商须整理并向验收小组提交全套验收资料，主要包含产品出厂合格证、原厂检测报告、产品使用说明书、保修卡、项目培训课件等相关纸质、电子资料，资料不全采购人有权暂缓验收。</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针对家具</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部分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以现场外观查验、尺寸核对、材质核验、安装工艺验收为主。重点检查家具板材、五金配件、漆面工艺、结构牢固度，核查安装平整度、拼接缝隙、摆放位置，所有家具安装完毕后需无破损、无异味、稳固安全，各项指标满足国家行业标准及采购需求。</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针对专用教学设备、心理设备等相关软硬件产品，供应商需完成设备就位、布线安装、系统调试、软件激活及整体试运行工作。验收将核验设备技术参数、硬件性能、软件功能、兼容性，确保设备各项功能完整可用，能够稳定满足日常教学与心理辅导使用。同时供应商需免费对使用管理人员开展实操培训，并留存培训参训人员考核记录。</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所有货物与服务经采购人验收，全部满足采购要求方可签署验收报告；若验收不合格，中标供应商需根据采购人要求限期无偿完成整改、更换及重新调试，由此产生的一切费用与工期延误责任，均由中标供应商自行承担。</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培训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要求</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中标供应商须针对本项目所有供货设备，向甲方使用、管理及运维人员开展系统化专业培训，内容涵盖设备原理、标准操作、功能设置、日常巡检、基础故障排查及安全使用规范，确保参训人员熟练独立操作。</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培训期间须免费提供全套正式培训资料，包含纸质版、电子版操作手册、使用说明书、维保指南等，资料内容详实、图文规范，数量满足参训人员使用需求。</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中标供应商需安排专业技术人员到场全程辅助实操教学，现场答疑指导，保障培训效果。</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培训完成后，中标供应商须提供后期使用跟踪服务，在约定服务期内主动回访，跟进设备使用情况，及时解答使用疑问、指导解决实操问题，持续保障设备正常使用。</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）质保（维保）及售后要求</w:t>
      </w:r>
      <w:r/>
    </w:p>
    <w:p>
      <w:pPr>
        <w:ind w:firstLine="480"/>
        <w:keepLines w:val="0"/>
        <w:keepNext w:val="0"/>
        <w:pageBreakBefore w:val="0"/>
        <w:spacing w:line="264" w:lineRule="auto"/>
        <w:widowControl w:val="off"/>
        <w:rPr>
          <w:rFonts w:hint="eastAsia" w:ascii="宋体" w:hAnsi="宋体" w:cs="Courier New"/>
          <w:color w:val="000000" w:themeColor="text1"/>
          <w:sz w:val="24"/>
          <w:szCs w:val="24"/>
          <w:highlight w:val="none"/>
          <w14:textFill>
            <w14:solidFill>
              <w14:schemeClr w14:val="tx1"/>
            </w14:solidFill>
          </w14:textFill>
        </w:rPr>
      </w:pP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①</w:t>
      </w:r>
      <w:r>
        <w:rPr>
          <w:rFonts w:hint="eastAsia" w:ascii="宋体" w:hAnsi="宋体" w:cs="Courier New"/>
          <w:color w:val="000000" w:themeColor="text1"/>
          <w:sz w:val="24"/>
          <w:szCs w:val="24"/>
          <w:highlight w:val="none"/>
          <w14:textFill>
            <w14:solidFill>
              <w14:schemeClr w14:val="tx1"/>
            </w14:solidFill>
          </w14:textFill>
        </w:rPr>
        <w:t xml:space="preserve">质保期：家具质保期为6年，其他产品质保期均为3年。</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质保期内，每年维护保养1次，维护保养及更换损坏件的费用包含在投标总价中。</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14:textFill>
            <w14:solidFill>
              <w14:schemeClr w14:val="tx1"/>
            </w14:solidFill>
          </w14:textFill>
        </w:rPr>
      </w:pP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的一切质量问题，更换部件及产品本身质量原因造成的直接经济损失全部由供应商负责。无法短时间完成维修的，应向采购人提供应急备用产品。</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 </w:t>
      </w:r>
      <w:r/>
    </w:p>
    <w:p>
      <w:pPr>
        <w:ind w:firstLine="480"/>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eastAsia="宋体" w:cs="宋体"/>
          <w:b w:val="0"/>
          <w:bCs w:val="0"/>
          <w:color w:val="000000" w:themeColor="text1"/>
          <w:sz w:val="24"/>
          <w:szCs w:val="24"/>
          <w:highlight w:val="none"/>
          <w:lang w:val="en-US" w:eastAsia="zh-CN"/>
          <w14:textFill>
            <w14:solidFill>
              <w14:schemeClr w14:val="tx1"/>
            </w14:solidFill>
          </w14:textFill>
        </w:rPr>
        <w:fldChar w:fldCharType="begin"/>
      </w:r>
      <w:r>
        <w:rPr>
          <w:rFonts w:ascii="宋体" w:hAnsi="宋体" w:eastAsia="宋体" w:cs="宋体"/>
          <w:b w:val="0"/>
          <w:bCs w:val="0"/>
          <w:color w:val="000000" w:themeColor="text1"/>
          <w:sz w:val="24"/>
          <w:szCs w:val="24"/>
          <w:highlight w:val="none"/>
          <w:lang w:val="en-US" w:eastAsia="zh-CN"/>
          <w14:textFill>
            <w14:solidFill>
              <w14:schemeClr w14:val="tx1"/>
            </w14:solidFill>
          </w14:textFill>
        </w:rPr>
        <w:instrText xml:space="preserve"> = 3 \* GB3 \* MERGEFORMAT </w:instrTex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fldChar w:fldCharType="separate"/>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③</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fldChar w:fldCharType="end"/>
      </w:r>
      <w:r>
        <w:rPr>
          <w:rFonts w:hint="eastAsia" w:ascii="宋体" w:hAnsi="宋体" w:cs="Courier New"/>
          <w:color w:val="000000" w:themeColor="text1"/>
          <w:sz w:val="24"/>
          <w:szCs w:val="24"/>
          <w:highlight w:val="none"/>
          <w14:textFill>
            <w14:solidFill>
              <w14:schemeClr w14:val="tx1"/>
            </w14:solidFill>
          </w14:textFill>
        </w:rPr>
        <w:t xml:space="preserve">质保期外，供应商提供终生服务，在货物的设计使用寿命周期内，供应商能保证采购人更换到原厂备件材料，确保产品的正常使用。</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质保期内维修（人为因素除外）费用包含在投标总价中，质保期外提供不高于市场价格的终身维护。中标后提供质保期外配件价格明细表。</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3.付款条件</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以第三章合同文本</w:t>
      </w:r>
      <w:r>
        <w:rPr>
          <w:rFonts w:hint="eastAsia" w:ascii="宋体" w:hAnsi="宋体" w:cs="宋体"/>
          <w:color w:val="000000" w:themeColor="text1"/>
          <w:sz w:val="24"/>
          <w:szCs w:val="24"/>
          <w:highlight w:val="none"/>
          <w14:textFill>
            <w14:solidFill>
              <w14:schemeClr w14:val="tx1"/>
            </w14:solidFill>
          </w14:textFill>
        </w:rPr>
        <w:t xml:space="preserve">内容</w:t>
      </w:r>
      <w:r>
        <w:rPr>
          <w:rFonts w:ascii="宋体" w:hAnsi="宋体" w:cs="宋体"/>
          <w:color w:val="000000" w:themeColor="text1"/>
          <w:sz w:val="24"/>
          <w:szCs w:val="24"/>
          <w:highlight w:val="none"/>
          <w14:textFill>
            <w14:solidFill>
              <w14:schemeClr w14:val="tx1"/>
            </w14:solidFill>
          </w14:textFill>
        </w:rPr>
        <w:t xml:space="preserve">为准。</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ascii="宋体" w:hAnsi="宋体" w:cs="宋体"/>
          <w:color w:val="000000" w:themeColor="text1"/>
          <w:sz w:val="24"/>
          <w:szCs w:val="24"/>
          <w:highlight w:val="none"/>
          <w14:textFill>
            <w14:solidFill>
              <w14:schemeClr w14:val="tx1"/>
            </w14:solidFill>
          </w14:textFill>
        </w:rPr>
        <w:t xml:space="preserve">交付时间及地点</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（1）交付时间：合同签订后</w:t>
      </w:r>
      <w:r>
        <w:rPr>
          <w:rFonts w:hint="eastAsia" w:ascii="宋体" w:hAnsi="宋体" w:cs="宋体"/>
          <w:bCs/>
          <w:color w:val="000000" w:themeColor="text1"/>
          <w:sz w:val="24"/>
          <w:szCs w:val="24"/>
          <w:highlight w:val="none"/>
          <w14:textFill>
            <w14:solidFill>
              <w14:schemeClr w14:val="tx1"/>
            </w14:solidFill>
          </w14:textFill>
        </w:rPr>
        <w:t xml:space="preserve">35</w:t>
      </w:r>
      <w:r>
        <w:rPr>
          <w:rFonts w:ascii="宋体" w:hAnsi="宋体" w:cs="宋体"/>
          <w:color w:val="000000" w:themeColor="text1"/>
          <w:sz w:val="24"/>
          <w:szCs w:val="24"/>
          <w:highlight w:val="none"/>
          <w14:textFill>
            <w14:solidFill>
              <w14:schemeClr w14:val="tx1"/>
            </w14:solidFill>
          </w14:textFill>
        </w:rPr>
        <w:t xml:space="preserve">天内交付并完成安装调试及验收等相关工作</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（2）交付地点：采购人指定地点</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5.履约保证金</w:t>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以第三章合同文本</w:t>
      </w:r>
      <w:r>
        <w:rPr>
          <w:rFonts w:hint="eastAsia" w:ascii="宋体" w:hAnsi="宋体" w:cs="宋体"/>
          <w:bCs/>
          <w:color w:val="000000" w:themeColor="text1"/>
          <w:sz w:val="24"/>
          <w:szCs w:val="24"/>
          <w:highlight w:val="none"/>
          <w14:textFill>
            <w14:solidFill>
              <w14:schemeClr w14:val="tx1"/>
            </w14:solidFill>
          </w14:textFill>
        </w:rPr>
        <w:t xml:space="preserve">内容</w:t>
      </w:r>
      <w:r>
        <w:rPr>
          <w:rFonts w:ascii="宋体" w:hAnsi="宋体" w:cs="宋体"/>
          <w:bCs/>
          <w:color w:val="000000" w:themeColor="text1"/>
          <w:sz w:val="24"/>
          <w:szCs w:val="24"/>
          <w:highlight w:val="none"/>
          <w14:textFill>
            <w14:solidFill>
              <w14:schemeClr w14:val="tx1"/>
            </w14:solidFill>
          </w14:textFill>
        </w:rPr>
        <w:t xml:space="preserve">为准。</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6.其他要求</w:t>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196"/>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（三）样品要求</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1.供应商提供以下</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实物</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样品各一件</w:t>
      </w:r>
      <w:bookmarkStart w:id="197" w:name="OLE_LINK121"/>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（所有的制作标准和要求与本次采购项目一致</w:t>
      </w:r>
      <w:bookmarkEnd w:id="197"/>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（1）样品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1：操作圆凳（一、学生活动中心 2.社团活动室（手工艺） 序号4）</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样品2：可移动伸缩合唱台（ 一、学生活动中心 4.社团活动室（音乐类） 序号23）</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2.样品提交时间、地点：投标人请于开标当日投标截止时间前，将样品送至南京市江北新区浦滨路150号中科创新广场23栋8层会议室，并登记送达信息（登记时间：9</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00-12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00）在此期间样品由投标人自行保管（联系人：明丽，电话：15720826001）。</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3.其他说明</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投标人递交样品时应服从现场工作人员要求，按要求递交样品并签到，不得翻看他人样品及进行拍照，投标人如出现违法违规行为的，视为未提交样品并按照相应法律追究责任。所提供样品上和投标人名称有关的信息，应提前覆盖或处理。各投标人应同时提交加盖投标人公章的纸张密封在小信封中并将小信封粘贴在样品上，投标人递交的样品上及小信封外不得显示投标人名称及其他明显能识别投标人的标识，未按要求提交小信封、样品显示投标人名称及有其他明显能识别投标人的标识的，一律视为未提交样品。</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（2）样品的所有费用由供应商承担，评标结束后，供应商应最迟于次日取回，否则按废品处理，后果自负。中标供应商的样品由采购人封存、保管，作为履约验收的参考。</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）演示要求</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1.视频文件的格式为*.mp4或*.avi，供应商须将视频文件压缩为*.zip文件上传（单个文件不得大于50M，所有文件合计不得大于300M）。上传的演示视频将作为投标文件的组成部分。视频时长总计不超过15分钟。</w:t>
      </w:r>
      <w:r/>
    </w:p>
    <w:p>
      <w:pPr>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2.演示内容详见“第五章  评标方法与评标标准”。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ind w:right="840"/>
        <w:jc w:val="center"/>
        <w:rPr>
          <w:rFonts w:hint="eastAsia" w:ascii="宋体" w:hAnsi="宋体" w:cs="宋体"/>
          <w:b/>
          <w:bCs/>
          <w:color w:val="000000" w:themeColor="text1"/>
          <w:sz w:val="24"/>
          <w:szCs w:val="24"/>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第五章  评标方法与评标标准</w:t>
      </w:r>
      <w:r/>
    </w:p>
    <w:p>
      <w:pPr>
        <w:ind w:firstLine="480"/>
        <w:spacing w:line="264" w:lineRule="auto"/>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一、评标方法</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1.采用综合评分法，评标结果按评审后得分由高到低顺序排列。得分相同的，按投标报价由低到高顺序排列。得分且投标报价相同的，按“评标标准中</w:t>
      </w:r>
      <w:r>
        <w:rPr>
          <w:rFonts w:hint="eastAsia" w:ascii="宋体" w:hAnsi="宋体" w:cs="宋体"/>
          <w:color w:val="000000" w:themeColor="text1"/>
          <w:sz w:val="24"/>
          <w:szCs w:val="24"/>
          <w:highlight w:val="none"/>
          <w:lang w:val="en-US" w:eastAsia="zh-CN"/>
          <w14:textFill>
            <w14:solidFill>
              <w14:schemeClr w14:val="tx1"/>
            </w14:solidFill>
          </w14:textFill>
        </w:rPr>
        <w:t xml:space="preserve">功能指标及技术参数要求</w:t>
      </w:r>
      <w:r>
        <w:rPr>
          <w:rFonts w:hint="eastAsia" w:ascii="宋体" w:hAnsi="宋体" w:cs="宋体"/>
          <w:color w:val="000000" w:themeColor="text1"/>
          <w:sz w:val="24"/>
          <w:szCs w:val="24"/>
          <w:highlight w:val="none"/>
          <w14:textFill>
            <w14:solidFill>
              <w14:schemeClr w14:val="tx1"/>
            </w14:solidFill>
          </w14:textFill>
        </w:rPr>
        <w:t xml:space="preserve">”得分由高到低顺序排列。在投标文件满足招标文件全部实质性要求的供应商中，按照评审得分由高到低推荐</w:t>
      </w:r>
      <w:r>
        <w:rPr>
          <w:rFonts w:hint="eastAsia" w:ascii="宋体" w:hAnsi="宋体"/>
          <w:color w:val="000000" w:themeColor="text1"/>
          <w:sz w:val="24"/>
          <w:szCs w:val="24"/>
          <w:highlight w:val="none"/>
          <w14:textFill>
            <w14:solidFill>
              <w14:schemeClr w14:val="tx1"/>
            </w14:solidFill>
          </w14:textFill>
        </w:rPr>
        <w:t xml:space="preserve">3名</w:t>
      </w:r>
      <w:r>
        <w:rPr>
          <w:rFonts w:hint="eastAsia" w:ascii="宋体" w:hAnsi="宋体" w:cs="宋体"/>
          <w:color w:val="000000" w:themeColor="text1"/>
          <w:sz w:val="24"/>
          <w:szCs w:val="24"/>
          <w:highlight w:val="none"/>
          <w14:textFill>
            <w14:solidFill>
              <w14:schemeClr w14:val="tx1"/>
            </w14:solidFill>
          </w14:textFill>
        </w:rPr>
        <w:t xml:space="preserve">中标候选人。</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2.核心产品评审。多家供应商提供的核心产品品牌相同的，按一家供应商计算，评审后得分最高的同品牌供应商获得中标人推荐资格。</w:t>
      </w:r>
      <w:r/>
    </w:p>
    <w:p>
      <w:pPr>
        <w:ind w:firstLine="480"/>
        <w:spacing w:line="264" w:lineRule="auto"/>
        <w:widowControl w:val="off"/>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二、</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本国产品价格扣除</w:t>
      </w:r>
      <w:r/>
    </w:p>
    <w:p>
      <w:pPr>
        <w:ind w:firstLine="480"/>
        <w:spacing w:line="264" w:lineRule="auto"/>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1.本</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项目如</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既有本国产品又有非本国产品参与竞争，依法对本国产品给予价格评审优惠，对本国产品的报价给予20%的价格扣除，用扣除后的价格参与评审。</w:t>
      </w:r>
      <w:r/>
    </w:p>
    <w:p>
      <w:pPr>
        <w:ind w:firstLine="480"/>
        <w:spacing w:line="264"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2.如本</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采购包中含有多种产品，供应商为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采购包提供的符合本国产品标准的产品成本之和占该供应商提供的全部产品成本之和的比例达到80%以上时，依法</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对该供应商提供的全部产品给予价格评审优惠，即对该供应商提供的全部产品的总报价给予20%的价格扣除，用扣除后的价格参与评审。</w:t>
      </w:r>
      <w:r/>
    </w:p>
    <w:p>
      <w:pPr>
        <w:ind w:firstLine="480"/>
        <w:spacing w:line="264"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3.供应商需按照采购文件要求提供《关于符合本国产品标准的声明函》（以下简称《声明函》），如不提供将不享受本国产品价格评审优惠。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供应商需在《声明函》</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中逐项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准确填写产品名称、厂名、生产厂址三项信息，三项信息中任意一项未填写的视为该项产品不符合本国产品标准，不享受本国产品价格评审优惠。</w:t>
      </w:r>
      <w:r/>
    </w:p>
    <w:p>
      <w:pPr>
        <w:ind w:firstLine="480"/>
        <w:spacing w:line="264" w:lineRule="auto"/>
        <w:rPr>
          <w:rFonts w:hint="eastAsia" w:ascii="宋体" w:hAnsi="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4.对本国产品的支持政策与政府采购支持中小企业、节能环保等优惠政策叠加适用，对应执行价格扣除政策的项目，统一在原报价的基础上给予价格扣除。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三</w:t>
      </w:r>
      <w:r>
        <w:rPr>
          <w:rFonts w:hint="eastAsia" w:ascii="黑体" w:hAnsi="黑体" w:eastAsia="黑体" w:cs="黑体"/>
          <w:color w:val="000000" w:themeColor="text1"/>
          <w:sz w:val="24"/>
          <w:szCs w:val="24"/>
          <w:highlight w:val="none"/>
          <w14:textFill>
            <w14:solidFill>
              <w14:schemeClr w14:val="tx1"/>
            </w14:solidFill>
          </w14:textFill>
        </w:rPr>
        <w:t xml:space="preserve">、小微企业价格扣除</w:t>
      </w:r>
      <w:r/>
    </w:p>
    <w:p>
      <w:pPr>
        <w:ind w:firstLine="48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zh-CN"/>
          <w14:textFill>
            <w14:solidFill>
              <w14:schemeClr w14:val="tx1"/>
            </w14:solidFill>
          </w14:textFill>
        </w:rPr>
        <w:t xml:space="preserve">本项目全部货物制造商为小微企业的，</w:t>
      </w:r>
      <w:r>
        <w:rPr>
          <w:rFonts w:hint="eastAsia" w:ascii="宋体" w:hAnsi="宋体" w:cs="宋体"/>
          <w:b/>
          <w:bCs/>
          <w:color w:val="000000" w:themeColor="text1"/>
          <w:sz w:val="24"/>
          <w:szCs w:val="24"/>
          <w:highlight w:val="none"/>
          <w14:textFill>
            <w14:solidFill>
              <w14:schemeClr w14:val="tx1"/>
            </w14:solidFill>
          </w14:textFill>
        </w:rPr>
        <w:t xml:space="preserve">对报价给予</w:t>
      </w:r>
      <w:r>
        <w:rPr>
          <w:rFonts w:hint="eastAsia" w:ascii="宋体" w:hAnsi="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b/>
          <w:bCs/>
          <w:color w:val="000000" w:themeColor="text1"/>
          <w:sz w:val="24"/>
          <w:szCs w:val="24"/>
          <w:highlight w:val="none"/>
          <w:lang w:val="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的扣除，用扣除后的价格参与评审。</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2.残疾人福利性单位视同小型、微型企业，给予</w:t>
      </w:r>
      <w:r>
        <w:rPr>
          <w:rFonts w:hint="eastAsia" w:ascii="宋体" w:hAnsi="宋体"/>
          <w:color w:val="000000" w:themeColor="text1"/>
          <w:sz w:val="24"/>
          <w:szCs w:val="24"/>
          <w:highlight w:val="none"/>
          <w14:textFill>
            <w14:solidFill>
              <w14:schemeClr w14:val="tx1"/>
            </w14:solidFill>
          </w14:textFill>
        </w:rPr>
        <w:t xml:space="preserve">与小微企业相同</w:t>
      </w:r>
      <w:r>
        <w:rPr>
          <w:rFonts w:hint="eastAsia" w:ascii="宋体" w:hAnsi="宋体" w:cs="宋体"/>
          <w:color w:val="000000" w:themeColor="text1"/>
          <w:sz w:val="24"/>
          <w:szCs w:val="24"/>
          <w:highlight w:val="none"/>
          <w14:textFill>
            <w14:solidFill>
              <w14:schemeClr w14:val="tx1"/>
            </w14:solidFill>
          </w14:textFill>
        </w:rPr>
        <w:t xml:space="preserve">的价格扣除，用扣除后的价格参与评审；监狱和戒毒企业视同小型、微型企业，给予</w:t>
      </w:r>
      <w:r>
        <w:rPr>
          <w:rFonts w:hint="eastAsia" w:ascii="宋体" w:hAnsi="宋体"/>
          <w:color w:val="000000" w:themeColor="text1"/>
          <w:sz w:val="24"/>
          <w:szCs w:val="24"/>
          <w:highlight w:val="none"/>
          <w14:textFill>
            <w14:solidFill>
              <w14:schemeClr w14:val="tx1"/>
            </w14:solidFill>
          </w14:textFill>
        </w:rPr>
        <w:t xml:space="preserve">与小微企业相同</w:t>
      </w:r>
      <w:r>
        <w:rPr>
          <w:rFonts w:hint="eastAsia" w:ascii="宋体" w:hAnsi="宋体" w:cs="宋体"/>
          <w:color w:val="000000" w:themeColor="text1"/>
          <w:sz w:val="24"/>
          <w:szCs w:val="24"/>
          <w:highlight w:val="none"/>
          <w14:textFill>
            <w14:solidFill>
              <w14:schemeClr w14:val="tx1"/>
            </w14:solidFill>
          </w14:textFill>
        </w:rPr>
        <w:t xml:space="preserve">的价格扣除，用扣除后的价格参与评审。残疾人福利单位、监狱企业属于小型、微型企业的，不重复享受价格扣除。</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3.上述价格扣除政策仅适用于“非专门面向中小企业采购项目”</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264" w:lineRule="auto"/>
        <w:rPr>
          <w:rFonts w:hint="eastAsia" w:ascii="宋体" w:hAnsi="宋体" w:cs="宋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四</w:t>
      </w:r>
      <w:r>
        <w:rPr>
          <w:rFonts w:hint="eastAsia" w:ascii="黑体" w:hAnsi="黑体" w:eastAsia="黑体" w:cs="黑体"/>
          <w:color w:val="000000" w:themeColor="text1"/>
          <w:sz w:val="24"/>
          <w:szCs w:val="24"/>
          <w:highlight w:val="none"/>
          <w14:textFill>
            <w14:solidFill>
              <w14:schemeClr w14:val="tx1"/>
            </w14:solidFill>
          </w14:textFill>
        </w:rPr>
        <w:t xml:space="preserve">、评标标准</w:t>
      </w:r>
      <w:r/>
    </w:p>
    <w:tbl>
      <w:tblPr>
        <w:tblStyle w:val="719"/>
        <w:tblW w:w="95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1"/>
        <w:gridCol w:w="1108"/>
        <w:gridCol w:w="7195"/>
        <w:gridCol w:w="631"/>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7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分值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71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采用低价优先法计算，即满足招标文件要求且投标价格最低的投标报价为评标基准价，其价格分为满分。其他投标</w:t>
            </w:r>
            <w:r>
              <w:rPr>
                <w:rFonts w:hint="eastAsia" w:ascii="宋体" w:hAnsi="宋体" w:cs="宋体"/>
                <w:i w:val="0"/>
                <w:iCs w:val="0"/>
                <w:color w:val="000000"/>
                <w:sz w:val="20"/>
                <w:szCs w:val="20"/>
                <w:highlight w:val="none"/>
                <w:u w:val="none"/>
                <w:lang w:val="en-US" w:eastAsia="zh-CN" w:bidi="ar"/>
              </w:rPr>
              <w:t xml:space="preserve">人</w:t>
            </w:r>
            <w:r>
              <w:rPr>
                <w:rFonts w:hint="eastAsia" w:ascii="宋体" w:hAnsi="宋体" w:eastAsia="宋体" w:cs="宋体"/>
                <w:i w:val="0"/>
                <w:iCs w:val="0"/>
                <w:color w:val="000000"/>
                <w:sz w:val="20"/>
                <w:szCs w:val="20"/>
                <w:highlight w:val="none"/>
                <w:u w:val="none"/>
                <w:lang w:val="en-US" w:eastAsia="zh-CN" w:bidi="ar"/>
              </w:rPr>
              <w:t xml:space="preserve">的价格分按照下列公式计算（小数点保留两位）。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投标报价得分=(评标基准价／投标报价)×30分</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功能指标及技术参数要求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1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根据投标人所投产品的技术参数、性能指标的响应情况进行综合评审，全部符合采购需求的得2</w:t>
            </w:r>
            <w:r>
              <w:rPr>
                <w:rFonts w:hint="eastAsia" w:ascii="宋体" w:hAnsi="宋体" w:cs="宋体"/>
                <w:i w:val="0"/>
                <w:iCs w:val="0"/>
                <w:color w:val="000000"/>
                <w:sz w:val="20"/>
                <w:szCs w:val="20"/>
                <w:highlight w:val="none"/>
                <w:u w:val="none"/>
                <w:lang w:val="en-US" w:eastAsia="zh-CN" w:bidi="ar"/>
              </w:rPr>
              <w:t xml:space="preserve">0</w:t>
            </w:r>
            <w:r>
              <w:rPr>
                <w:rFonts w:hint="eastAsia" w:ascii="宋体" w:hAnsi="宋体" w:eastAsia="宋体" w:cs="宋体"/>
                <w:i w:val="0"/>
                <w:iCs w:val="0"/>
                <w:color w:val="000000"/>
                <w:sz w:val="20"/>
                <w:szCs w:val="20"/>
                <w:highlight w:val="none"/>
                <w:u w:val="none"/>
                <w:lang w:val="en-US" w:eastAsia="zh-CN" w:bidi="ar"/>
              </w:rPr>
              <w:t xml:space="preserve">分。打“▲”项为核心参数有一项负偏离扣2分（投标时应根据投标文件</w:t>
            </w:r>
            <w:r>
              <w:rPr>
                <w:rFonts w:hint="eastAsia" w:ascii="宋体" w:hAnsi="宋体" w:cs="宋体"/>
                <w:i w:val="0"/>
                <w:iCs w:val="0"/>
                <w:color w:val="000000"/>
                <w:sz w:val="20"/>
                <w:szCs w:val="20"/>
                <w:highlight w:val="none"/>
                <w:u w:val="none"/>
                <w:lang w:val="en-US" w:eastAsia="zh-CN" w:bidi="ar"/>
              </w:rPr>
              <w:t xml:space="preserve">提供</w:t>
            </w:r>
            <w:r>
              <w:rPr>
                <w:rFonts w:hint="eastAsia" w:ascii="宋体" w:hAnsi="宋体" w:eastAsia="宋体" w:cs="宋体"/>
                <w:i w:val="0"/>
                <w:iCs w:val="0"/>
                <w:color w:val="000000"/>
                <w:sz w:val="20"/>
                <w:szCs w:val="20"/>
                <w:highlight w:val="none"/>
                <w:u w:val="none"/>
                <w:lang w:val="en-US" w:eastAsia="zh-CN" w:bidi="ar"/>
              </w:rPr>
              <w:t xml:space="preserve">的相对应的证明文件的</w:t>
            </w:r>
            <w:r>
              <w:rPr>
                <w:rFonts w:hint="eastAsia" w:ascii="宋体" w:hAnsi="宋体" w:cs="宋体"/>
                <w:i w:val="0"/>
                <w:iCs w:val="0"/>
                <w:color w:val="000000"/>
                <w:sz w:val="20"/>
                <w:szCs w:val="20"/>
                <w:highlight w:val="none"/>
                <w:u w:val="none"/>
                <w:lang w:val="en-US" w:eastAsia="zh-CN" w:bidi="ar"/>
              </w:rPr>
              <w:t xml:space="preserve">扫描</w:t>
            </w:r>
            <w:r>
              <w:rPr>
                <w:rFonts w:hint="eastAsia" w:ascii="宋体" w:hAnsi="宋体" w:eastAsia="宋体" w:cs="宋体"/>
                <w:i w:val="0"/>
                <w:iCs w:val="0"/>
                <w:color w:val="000000"/>
                <w:sz w:val="20"/>
                <w:szCs w:val="20"/>
                <w:highlight w:val="none"/>
                <w:u w:val="none"/>
                <w:lang w:val="en-US" w:eastAsia="zh-CN" w:bidi="ar"/>
              </w:rPr>
              <w:t xml:space="preserve">件，并加盖投标单位公章），不提供不得分。其余参数有一项负偏离扣</w:t>
            </w:r>
            <w:r>
              <w:rPr>
                <w:rFonts w:hint="eastAsia" w:ascii="宋体" w:hAnsi="宋体" w:cs="宋体"/>
                <w:i w:val="0"/>
                <w:iCs w:val="0"/>
                <w:color w:val="000000"/>
                <w:sz w:val="20"/>
                <w:szCs w:val="20"/>
                <w:highlight w:val="none"/>
                <w:u w:val="none"/>
                <w:lang w:val="en-US" w:eastAsia="zh-CN" w:bidi="ar"/>
              </w:rPr>
              <w:t xml:space="preserve">0.5</w:t>
            </w:r>
            <w:r>
              <w:rPr>
                <w:rFonts w:hint="eastAsia" w:ascii="宋体" w:hAnsi="宋体" w:eastAsia="宋体" w:cs="宋体"/>
                <w:i w:val="0"/>
                <w:iCs w:val="0"/>
                <w:color w:val="000000"/>
                <w:sz w:val="20"/>
                <w:szCs w:val="20"/>
                <w:highlight w:val="none"/>
                <w:u w:val="none"/>
                <w:lang w:val="en-US" w:eastAsia="zh-CN" w:bidi="ar"/>
              </w:rPr>
              <w:t xml:space="preserve">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基材检测报告</w:t>
            </w:r>
            <w:r/>
          </w:p>
        </w:tc>
        <w:tc>
          <w:tcPr>
            <w:shd w:val="clear" w:color="auto" w:fill="auto"/>
            <w:tcBorders>
              <w:top w:val="single" w:color="000000" w:sz="4" w:space="0"/>
              <w:left w:val="single" w:color="000000" w:sz="4" w:space="0"/>
              <w:bottom w:val="single" w:color="000000" w:sz="4" w:space="0"/>
              <w:right w:val="single" w:color="000000" w:sz="4" w:space="0"/>
            </w:tcBorders>
            <w:tcW w:w="71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1.家具基材多层板具有第三方权威检测机构依据</w:t>
            </w:r>
            <w:r>
              <w:rPr>
                <w:rFonts w:hint="eastAsia" w:ascii="宋体" w:hAnsi="宋体" w:cs="宋体"/>
                <w:color w:val="000000"/>
                <w:sz w:val="20"/>
                <w:szCs w:val="20"/>
                <w:highlight w:val="none"/>
                <w:u w:val="none"/>
                <w:lang w:bidi="ar"/>
              </w:rPr>
              <w:t xml:space="preserve">GB/T39600-2021、GB/T 35601-2024、GB/T 17657-2022、GB 18584-2024</w:t>
            </w:r>
            <w:r>
              <w:rPr>
                <w:rFonts w:hint="eastAsia" w:ascii="宋体" w:hAnsi="宋体" w:cs="宋体"/>
                <w:i w:val="0"/>
                <w:iCs w:val="0"/>
                <w:color w:val="000000"/>
                <w:sz w:val="20"/>
                <w:szCs w:val="20"/>
                <w:highlight w:val="none"/>
                <w:u w:val="none"/>
                <w:lang w:val="en-US" w:eastAsia="zh-CN" w:bidi="ar"/>
              </w:rPr>
              <w:t xml:space="preserve">等</w:t>
            </w:r>
            <w:r>
              <w:rPr>
                <w:rFonts w:hint="eastAsia" w:ascii="宋体" w:hAnsi="宋体" w:eastAsia="宋体" w:cs="宋体"/>
                <w:i w:val="0"/>
                <w:iCs w:val="0"/>
                <w:color w:val="000000"/>
                <w:sz w:val="20"/>
                <w:szCs w:val="20"/>
                <w:highlight w:val="none"/>
                <w:u w:val="none"/>
                <w:lang w:val="en-US" w:eastAsia="zh-CN" w:bidi="ar"/>
              </w:rPr>
              <w:t xml:space="preserve">技术要求出具的检测报告，单份报告至少包含以下检测内容：</w:t>
            </w:r>
            <w:r>
              <w:rPr>
                <w:rFonts w:hint="eastAsia" w:ascii="宋体" w:hAnsi="宋体" w:cs="宋体"/>
                <w:i w:val="0"/>
                <w:iCs w:val="0"/>
                <w:color w:val="000000"/>
                <w:sz w:val="20"/>
                <w:szCs w:val="20"/>
                <w:highlight w:val="none"/>
                <w:u w:val="none"/>
                <w:lang w:val="en-US" w:eastAsia="zh-CN" w:bidi="ar"/>
              </w:rPr>
              <w:t xml:space="preserve">含水率≤8.5%、胶合强度≥0.7Mpa</w:t>
            </w:r>
            <w:r>
              <w:rPr>
                <w:rFonts w:hint="eastAsia" w:ascii="宋体" w:hAnsi="宋体" w:eastAsia="宋体" w:cs="宋体"/>
                <w:i w:val="0"/>
                <w:iCs w:val="0"/>
                <w:color w:val="000000"/>
                <w:sz w:val="20"/>
                <w:szCs w:val="20"/>
                <w:highlight w:val="none"/>
                <w:u w:val="none"/>
                <w:lang w:val="en-US" w:eastAsia="zh-CN" w:bidi="ar"/>
              </w:rPr>
              <w:t xml:space="preserve">、甲醛含量满足</w:t>
            </w:r>
            <w:r>
              <w:rPr>
                <w:rFonts w:hint="eastAsia" w:ascii="宋体" w:hAnsi="宋体" w:cs="宋体"/>
                <w:i w:val="0"/>
                <w:iCs w:val="0"/>
                <w:color w:val="000000"/>
                <w:sz w:val="20"/>
                <w:szCs w:val="20"/>
                <w:highlight w:val="none"/>
                <w:u w:val="none"/>
                <w:lang w:val="en-US" w:eastAsia="zh-CN" w:bidi="ar"/>
              </w:rPr>
              <w:t xml:space="preserve">ENF</w:t>
            </w:r>
            <w:r>
              <w:rPr>
                <w:rFonts w:hint="eastAsia" w:ascii="宋体" w:hAnsi="宋体" w:eastAsia="宋体" w:cs="宋体"/>
                <w:i w:val="0"/>
                <w:iCs w:val="0"/>
                <w:color w:val="000000"/>
                <w:sz w:val="20"/>
                <w:szCs w:val="20"/>
                <w:highlight w:val="none"/>
                <w:u w:val="none"/>
                <w:lang w:val="en-US" w:eastAsia="zh-CN" w:bidi="ar"/>
              </w:rPr>
              <w:t xml:space="preserve">级要求（即甲醛释放量≤0.0</w:t>
            </w:r>
            <w:r>
              <w:rPr>
                <w:rFonts w:hint="eastAsia" w:ascii="宋体" w:hAnsi="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lang w:val="en-US" w:eastAsia="zh-CN" w:bidi="ar"/>
              </w:rPr>
              <w:t xml:space="preserve">mg/m³）、挥发性有机化合物检测合格。投标时提供</w:t>
            </w:r>
            <w:r>
              <w:rPr>
                <w:rFonts w:hint="eastAsia" w:ascii="宋体" w:hAnsi="宋体" w:cs="宋体"/>
                <w:i w:val="0"/>
                <w:iCs w:val="0"/>
                <w:color w:val="000000"/>
                <w:sz w:val="20"/>
                <w:szCs w:val="20"/>
                <w:highlight w:val="none"/>
                <w:u w:val="none"/>
                <w:lang w:val="en-US" w:eastAsia="zh-CN" w:bidi="ar"/>
              </w:rPr>
              <w:t xml:space="preserve">具有CMA标识的</w:t>
            </w:r>
            <w:r>
              <w:rPr>
                <w:rFonts w:hint="eastAsia" w:ascii="宋体" w:hAnsi="宋体" w:eastAsia="宋体" w:cs="宋体"/>
                <w:i w:val="0"/>
                <w:iCs w:val="0"/>
                <w:color w:val="000000"/>
                <w:sz w:val="20"/>
                <w:szCs w:val="20"/>
                <w:highlight w:val="none"/>
                <w:u w:val="none"/>
                <w:lang w:val="en-US" w:eastAsia="zh-CN" w:bidi="ar"/>
              </w:rPr>
              <w:t xml:space="preserve">检测报告</w:t>
            </w:r>
            <w:r>
              <w:rPr>
                <w:rFonts w:hint="eastAsia" w:ascii="宋体" w:hAnsi="宋体" w:cs="宋体"/>
                <w:i w:val="0"/>
                <w:iCs w:val="0"/>
                <w:color w:val="000000"/>
                <w:sz w:val="20"/>
                <w:szCs w:val="20"/>
                <w:highlight w:val="none"/>
                <w:u w:val="none"/>
                <w:lang w:val="en-US" w:eastAsia="zh-CN" w:bidi="ar"/>
              </w:rPr>
              <w:t xml:space="preserve">扫描件加盖</w:t>
            </w:r>
            <w:r>
              <w:rPr>
                <w:rFonts w:hint="eastAsia" w:ascii="宋体" w:hAnsi="宋体" w:eastAsia="宋体" w:cs="宋体"/>
                <w:i w:val="0"/>
                <w:iCs w:val="0"/>
                <w:color w:val="000000"/>
                <w:sz w:val="20"/>
                <w:szCs w:val="20"/>
                <w:highlight w:val="none"/>
                <w:u w:val="none"/>
                <w:lang w:val="en-US" w:eastAsia="zh-CN" w:bidi="ar"/>
              </w:rPr>
              <w:t xml:space="preserve">公章，得</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.家具基材</w:t>
            </w:r>
            <w:r>
              <w:rPr>
                <w:rFonts w:hint="eastAsia" w:ascii="宋体" w:hAnsi="宋体" w:cs="宋体"/>
                <w:i w:val="0"/>
                <w:iCs w:val="0"/>
                <w:color w:val="000000"/>
                <w:sz w:val="20"/>
                <w:szCs w:val="20"/>
                <w:highlight w:val="none"/>
                <w:u w:val="none"/>
                <w:lang w:val="en-US" w:eastAsia="zh-CN" w:bidi="ar"/>
              </w:rPr>
              <w:t xml:space="preserve">阻燃海绵</w:t>
            </w:r>
            <w:r>
              <w:rPr>
                <w:rFonts w:hint="eastAsia" w:ascii="宋体" w:hAnsi="宋体" w:eastAsia="宋体" w:cs="宋体"/>
                <w:i w:val="0"/>
                <w:iCs w:val="0"/>
                <w:color w:val="000000"/>
                <w:sz w:val="20"/>
                <w:szCs w:val="20"/>
                <w:highlight w:val="none"/>
                <w:u w:val="none"/>
                <w:lang w:val="en-US" w:eastAsia="zh-CN" w:bidi="ar"/>
              </w:rPr>
              <w:t xml:space="preserve">具有第三方权威检测机构依据</w:t>
            </w:r>
            <w:r>
              <w:rPr>
                <w:rFonts w:hint="eastAsia" w:ascii="宋体" w:hAnsi="宋体" w:cs="宋体"/>
                <w:color w:val="000000"/>
                <w:sz w:val="20"/>
                <w:szCs w:val="20"/>
                <w:highlight w:val="none"/>
                <w:u w:val="none"/>
                <w:lang w:bidi="ar"/>
              </w:rPr>
              <w:t xml:space="preserve">GB/T 10802-2023、QB/T 1952.1-2023</w:t>
            </w:r>
            <w:r>
              <w:rPr>
                <w:rFonts w:hint="eastAsia" w:ascii="宋体" w:hAnsi="宋体" w:cs="宋体"/>
                <w:i w:val="0"/>
                <w:iCs w:val="0"/>
                <w:color w:val="000000"/>
                <w:sz w:val="20"/>
                <w:szCs w:val="20"/>
                <w:highlight w:val="none"/>
                <w:u w:val="none"/>
                <w:lang w:val="en-US" w:eastAsia="zh-CN" w:bidi="ar"/>
              </w:rPr>
              <w:t xml:space="preserve">等</w:t>
            </w:r>
            <w:r>
              <w:rPr>
                <w:rFonts w:hint="eastAsia" w:ascii="宋体" w:hAnsi="宋体" w:eastAsia="宋体" w:cs="宋体"/>
                <w:i w:val="0"/>
                <w:iCs w:val="0"/>
                <w:color w:val="000000"/>
                <w:sz w:val="20"/>
                <w:szCs w:val="20"/>
                <w:highlight w:val="none"/>
                <w:u w:val="none"/>
                <w:lang w:val="en-US" w:eastAsia="zh-CN" w:bidi="ar"/>
              </w:rPr>
              <w:t xml:space="preserve">技术要求出具的检测报告，单份报告至少包含以下检测内容：</w:t>
            </w:r>
            <w:r>
              <w:rPr>
                <w:rFonts w:hint="eastAsia" w:ascii="宋体" w:hAnsi="宋体" w:cs="宋体"/>
                <w:i w:val="0"/>
                <w:iCs w:val="0"/>
                <w:color w:val="000000"/>
                <w:sz w:val="20"/>
                <w:szCs w:val="20"/>
                <w:highlight w:val="none"/>
                <w:u w:val="none"/>
                <w:lang w:val="en-US" w:eastAsia="zh-CN" w:bidi="ar"/>
              </w:rPr>
              <w:t xml:space="preserve">回弹性能≥45%、75%压缩永久变形≤8%、甲醛释放量≤0.05mg/m³、TVOC≤0.05mg/㎡h</w:t>
            </w:r>
            <w:r>
              <w:rPr>
                <w:rFonts w:hint="eastAsia" w:ascii="宋体" w:hAnsi="宋体" w:eastAsia="宋体" w:cs="宋体"/>
                <w:i w:val="0"/>
                <w:iCs w:val="0"/>
                <w:color w:val="000000"/>
                <w:sz w:val="20"/>
                <w:szCs w:val="20"/>
                <w:highlight w:val="none"/>
                <w:u w:val="none"/>
                <w:lang w:val="en-US" w:eastAsia="zh-CN" w:bidi="ar"/>
              </w:rPr>
              <w:t xml:space="preserve">。投标时提供</w:t>
            </w:r>
            <w:r>
              <w:rPr>
                <w:rFonts w:hint="eastAsia" w:ascii="宋体" w:hAnsi="宋体" w:cs="宋体"/>
                <w:i w:val="0"/>
                <w:iCs w:val="0"/>
                <w:color w:val="000000"/>
                <w:sz w:val="20"/>
                <w:szCs w:val="20"/>
                <w:highlight w:val="none"/>
                <w:u w:val="none"/>
                <w:lang w:val="en-US" w:eastAsia="zh-CN" w:bidi="ar"/>
              </w:rPr>
              <w:t xml:space="preserve">具有CMA标识的</w:t>
            </w:r>
            <w:r>
              <w:rPr>
                <w:rFonts w:hint="eastAsia" w:ascii="宋体" w:hAnsi="宋体" w:eastAsia="宋体" w:cs="宋体"/>
                <w:i w:val="0"/>
                <w:iCs w:val="0"/>
                <w:color w:val="000000"/>
                <w:sz w:val="20"/>
                <w:szCs w:val="20"/>
                <w:highlight w:val="none"/>
                <w:u w:val="none"/>
                <w:lang w:val="en-US" w:eastAsia="zh-CN" w:bidi="ar"/>
              </w:rPr>
              <w:t xml:space="preserve">检测报告</w:t>
            </w:r>
            <w:r>
              <w:rPr>
                <w:rFonts w:hint="eastAsia" w:ascii="宋体" w:hAnsi="宋体" w:cs="宋体"/>
                <w:i w:val="0"/>
                <w:iCs w:val="0"/>
                <w:color w:val="000000"/>
                <w:sz w:val="20"/>
                <w:szCs w:val="20"/>
                <w:highlight w:val="none"/>
                <w:u w:val="none"/>
                <w:lang w:val="en-US" w:eastAsia="zh-CN" w:bidi="ar"/>
              </w:rPr>
              <w:t xml:space="preserve">扫描件加盖</w:t>
            </w:r>
            <w:r>
              <w:rPr>
                <w:rFonts w:hint="eastAsia" w:ascii="宋体" w:hAnsi="宋体" w:eastAsia="宋体" w:cs="宋体"/>
                <w:i w:val="0"/>
                <w:iCs w:val="0"/>
                <w:color w:val="000000"/>
                <w:sz w:val="20"/>
                <w:szCs w:val="20"/>
                <w:highlight w:val="none"/>
                <w:u w:val="none"/>
                <w:lang w:val="en-US" w:eastAsia="zh-CN" w:bidi="ar"/>
              </w:rPr>
              <w:t xml:space="preserve">公章，得</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7195" w:type="dxa"/>
            <w:vAlign w:val="center"/>
            <w:textDirection w:val="lrTb"/>
            <w:noWrap w:val="false"/>
          </w:tcPr>
          <w:p>
            <w:pPr>
              <w:jc w:val="left"/>
              <w:keepLines w:val="0"/>
              <w:keepNext w:val="0"/>
              <w:widowControl/>
              <w:rPr>
                <w:rStyle w:val="1075"/>
                <w:rFonts w:hint="eastAsia"/>
                <w:sz w:val="20"/>
                <w:szCs w:val="20"/>
                <w:highlight w:val="none"/>
                <w:lang w:val="en-US" w:eastAsia="zh-CN" w:bidi="ar"/>
              </w:rPr>
              <w:suppressLineNumbers w:val="0"/>
            </w:pPr>
            <w:r>
              <w:rPr>
                <w:rStyle w:val="1075"/>
                <w:rFonts w:hint="eastAsia"/>
                <w:sz w:val="20"/>
                <w:szCs w:val="20"/>
                <w:highlight w:val="none"/>
                <w:lang w:val="en-US" w:eastAsia="zh-CN" w:bidi="ar"/>
              </w:rPr>
              <w:t xml:space="preserve">评委根据投标人提供的项目实施方案综合评分，包括：1.项目背景理解；2.供货进度保证措施；3.质量保证措施；4.安装调试；5.实施组织；6.应急措施。</w:t>
            </w:r>
            <w:r/>
          </w:p>
          <w:p>
            <w:pPr>
              <w:jc w:val="left"/>
              <w:keepLines w:val="0"/>
              <w:keepNext w:val="0"/>
              <w:widowControl/>
              <w:rPr>
                <w:rStyle w:val="1075"/>
                <w:rFonts w:hint="eastAsia"/>
                <w:sz w:val="20"/>
                <w:szCs w:val="20"/>
                <w:highlight w:val="none"/>
                <w:lang w:val="en-US" w:eastAsia="zh-CN" w:bidi="ar"/>
              </w:rPr>
              <w:suppressLineNumbers w:val="0"/>
            </w:pPr>
            <w:r>
              <w:rPr>
                <w:rStyle w:val="1075"/>
                <w:rFonts w:hint="eastAsia"/>
                <w:sz w:val="20"/>
                <w:szCs w:val="20"/>
                <w:highlight w:val="none"/>
                <w:lang w:val="en-US" w:eastAsia="zh-CN" w:bidi="ar"/>
              </w:rPr>
              <w:t xml:space="preserve">以上每项内容逐条阐述。</w:t>
            </w:r>
            <w:r/>
          </w:p>
          <w:p>
            <w:pPr>
              <w:jc w:val="left"/>
              <w:keepLines w:val="0"/>
              <w:keepNext w:val="0"/>
              <w:widowControl/>
              <w:rPr>
                <w:rStyle w:val="1075"/>
                <w:rFonts w:hint="eastAsia"/>
                <w:sz w:val="20"/>
                <w:szCs w:val="20"/>
                <w:highlight w:val="none"/>
                <w:lang w:val="en-US" w:eastAsia="zh-CN" w:bidi="ar"/>
              </w:rPr>
              <w:suppressLineNumbers w:val="0"/>
            </w:pPr>
            <w:r>
              <w:rPr>
                <w:rStyle w:val="1075"/>
                <w:rFonts w:hint="eastAsia"/>
                <w:sz w:val="20"/>
                <w:szCs w:val="20"/>
                <w:highlight w:val="none"/>
                <w:lang w:val="en-US" w:eastAsia="zh-CN" w:bidi="ar"/>
              </w:rPr>
              <w:t xml:space="preserve">(1)上述内容方案思路清晰，组织科学合理，可执行性强，符合实际情况的，得6分；</w:t>
            </w:r>
            <w:r/>
          </w:p>
          <w:p>
            <w:pPr>
              <w:jc w:val="left"/>
              <w:keepLines w:val="0"/>
              <w:keepNext w:val="0"/>
              <w:widowControl/>
              <w:rPr>
                <w:rStyle w:val="1075"/>
                <w:rFonts w:hint="eastAsia"/>
                <w:sz w:val="20"/>
                <w:szCs w:val="20"/>
                <w:highlight w:val="none"/>
                <w:lang w:val="en-US" w:eastAsia="zh-CN" w:bidi="ar"/>
              </w:rPr>
              <w:suppressLineNumbers w:val="0"/>
            </w:pPr>
            <w:r>
              <w:rPr>
                <w:rStyle w:val="1075"/>
                <w:rFonts w:hint="eastAsia"/>
                <w:sz w:val="20"/>
                <w:szCs w:val="20"/>
                <w:highlight w:val="none"/>
                <w:lang w:val="en-US" w:eastAsia="zh-CN" w:bidi="ar"/>
              </w:rPr>
              <w:t xml:space="preserve">(2)上述内容方案基本合理，管理措施基本能满足项目需求，有一定工作思路的，得4分；</w:t>
            </w:r>
            <w:r/>
          </w:p>
          <w:p>
            <w:pPr>
              <w:jc w:val="left"/>
              <w:keepLines w:val="0"/>
              <w:keepNext w:val="0"/>
              <w:widowControl/>
              <w:rPr>
                <w:rStyle w:val="1075"/>
                <w:rFonts w:hint="eastAsia"/>
                <w:sz w:val="20"/>
                <w:szCs w:val="20"/>
                <w:highlight w:val="none"/>
                <w:lang w:val="en-US" w:eastAsia="zh-CN" w:bidi="ar"/>
              </w:rPr>
              <w:suppressLineNumbers w:val="0"/>
            </w:pPr>
            <w:r>
              <w:rPr>
                <w:rStyle w:val="1075"/>
                <w:rFonts w:hint="eastAsia"/>
                <w:sz w:val="20"/>
                <w:szCs w:val="20"/>
                <w:highlight w:val="none"/>
                <w:lang w:val="en-US" w:eastAsia="zh-CN" w:bidi="ar"/>
              </w:rPr>
              <w:t xml:space="preserve">(3)上述内容方案不够合理、缺乏可行性的，得2分；</w:t>
            </w:r>
            <w:r/>
          </w:p>
          <w:p>
            <w:pPr>
              <w:jc w:val="left"/>
              <w:keepLines w:val="0"/>
              <w:keepNext w:val="0"/>
              <w:widowControl/>
              <w:rPr>
                <w:rStyle w:val="1075"/>
                <w:rFonts w:hint="eastAsia"/>
                <w:sz w:val="20"/>
                <w:szCs w:val="20"/>
                <w:highlight w:val="none"/>
                <w:lang w:val="en-US" w:eastAsia="zh-CN" w:bidi="ar"/>
              </w:rPr>
              <w:suppressLineNumbers w:val="0"/>
            </w:pPr>
            <w:r>
              <w:rPr>
                <w:rStyle w:val="1075"/>
                <w:rFonts w:hint="eastAsia"/>
                <w:sz w:val="20"/>
                <w:szCs w:val="20"/>
                <w:highlight w:val="none"/>
                <w:lang w:val="en-US" w:eastAsia="zh-CN" w:bidi="ar"/>
              </w:rPr>
              <w:t xml:space="preserve">(4)不提供不得分。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7195" w:type="dxa"/>
            <w:vAlign w:val="center"/>
            <w:textDirection w:val="lrTb"/>
            <w:noWrap w:val="false"/>
          </w:tcPr>
          <w:p>
            <w:pPr>
              <w:jc w:val="left"/>
              <w:keepLines w:val="0"/>
              <w:keepNext w:val="0"/>
              <w:widowControl/>
              <w:rPr>
                <w:rStyle w:val="1076"/>
                <w:rFonts w:hint="eastAsia"/>
                <w:sz w:val="20"/>
                <w:szCs w:val="20"/>
                <w:highlight w:val="none"/>
                <w:lang w:val="en-US" w:eastAsia="zh-CN" w:bidi="ar"/>
              </w:rPr>
              <w:suppressLineNumbers w:val="0"/>
            </w:pPr>
            <w:r>
              <w:rPr>
                <w:rStyle w:val="1076"/>
                <w:rFonts w:hint="eastAsia"/>
                <w:sz w:val="20"/>
                <w:szCs w:val="20"/>
                <w:highlight w:val="none"/>
                <w:lang w:val="en-US" w:eastAsia="zh-CN" w:bidi="ar"/>
              </w:rPr>
              <w:t xml:space="preserve">评委根据投标人提供的项目售后服务方案综合评分，包括：1.服务内容；2.故障解决方案；3.售后服务体系；4.日常维护保障；5.技术人员保障；6.质保期满后的服务，以上每项内容逐条阐述。</w:t>
            </w:r>
            <w:r/>
          </w:p>
          <w:p>
            <w:pPr>
              <w:jc w:val="left"/>
              <w:keepLines w:val="0"/>
              <w:keepNext w:val="0"/>
              <w:widowControl/>
              <w:rPr>
                <w:rStyle w:val="1076"/>
                <w:rFonts w:hint="eastAsia"/>
                <w:sz w:val="20"/>
                <w:szCs w:val="20"/>
                <w:highlight w:val="none"/>
                <w:lang w:val="en-US" w:eastAsia="zh-CN" w:bidi="ar"/>
              </w:rPr>
              <w:suppressLineNumbers w:val="0"/>
            </w:pPr>
            <w:r>
              <w:rPr>
                <w:rStyle w:val="1076"/>
                <w:rFonts w:hint="eastAsia"/>
                <w:sz w:val="20"/>
                <w:szCs w:val="20"/>
                <w:highlight w:val="none"/>
                <w:lang w:val="en-US" w:eastAsia="zh-CN" w:bidi="ar"/>
              </w:rPr>
              <w:t xml:space="preserve">(1)上述内容完整、科学性、合理性、操作性强的，得6分；</w:t>
            </w:r>
            <w:r/>
          </w:p>
          <w:p>
            <w:pPr>
              <w:jc w:val="left"/>
              <w:keepLines w:val="0"/>
              <w:keepNext w:val="0"/>
              <w:widowControl/>
              <w:rPr>
                <w:rStyle w:val="1076"/>
                <w:rFonts w:hint="eastAsia"/>
                <w:sz w:val="20"/>
                <w:szCs w:val="20"/>
                <w:highlight w:val="none"/>
                <w:lang w:val="en-US" w:eastAsia="zh-CN" w:bidi="ar"/>
              </w:rPr>
              <w:suppressLineNumbers w:val="0"/>
            </w:pPr>
            <w:r>
              <w:rPr>
                <w:rStyle w:val="1076"/>
                <w:rFonts w:hint="eastAsia"/>
                <w:sz w:val="20"/>
                <w:szCs w:val="20"/>
                <w:highlight w:val="none"/>
                <w:lang w:val="en-US" w:eastAsia="zh-CN" w:bidi="ar"/>
              </w:rPr>
              <w:t xml:space="preserve">(2)上述内容基本完整、基本科学合理，有可操作性的，得4分；</w:t>
            </w:r>
            <w:r/>
          </w:p>
          <w:p>
            <w:pPr>
              <w:jc w:val="left"/>
              <w:keepLines w:val="0"/>
              <w:keepNext w:val="0"/>
              <w:widowControl/>
              <w:rPr>
                <w:rStyle w:val="1076"/>
                <w:rFonts w:hint="eastAsia"/>
                <w:sz w:val="20"/>
                <w:szCs w:val="20"/>
                <w:highlight w:val="none"/>
                <w:lang w:val="en-US" w:eastAsia="zh-CN" w:bidi="ar"/>
              </w:rPr>
              <w:suppressLineNumbers w:val="0"/>
            </w:pPr>
            <w:r>
              <w:rPr>
                <w:rStyle w:val="1076"/>
                <w:rFonts w:hint="eastAsia"/>
                <w:sz w:val="20"/>
                <w:szCs w:val="20"/>
                <w:highlight w:val="none"/>
                <w:lang w:val="en-US" w:eastAsia="zh-CN" w:bidi="ar"/>
              </w:rPr>
              <w:t xml:space="preserve">(3)上述内容不够完整、不够科学合理、缺乏可行性的，得2分；</w:t>
            </w:r>
            <w:r/>
          </w:p>
          <w:p>
            <w:pPr>
              <w:jc w:val="left"/>
              <w:keepLines w:val="0"/>
              <w:keepNext w:val="0"/>
              <w:widowControl/>
              <w:rPr>
                <w:rStyle w:val="1076"/>
                <w:rFonts w:hint="eastAsia"/>
                <w:sz w:val="20"/>
                <w:szCs w:val="20"/>
                <w:highlight w:val="none"/>
                <w:lang w:val="en-US" w:eastAsia="zh-CN" w:bidi="ar"/>
              </w:rPr>
              <w:suppressLineNumbers w:val="0"/>
            </w:pPr>
            <w:r>
              <w:rPr>
                <w:rStyle w:val="1076"/>
                <w:rFonts w:hint="eastAsia"/>
                <w:sz w:val="20"/>
                <w:szCs w:val="20"/>
                <w:highlight w:val="none"/>
                <w:lang w:val="en-US" w:eastAsia="zh-CN" w:bidi="ar"/>
              </w:rPr>
              <w:t xml:space="preserve">(4)不提供不得分。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项目</w:t>
            </w:r>
            <w:r>
              <w:rPr>
                <w:rFonts w:hint="eastAsia" w:ascii="宋体" w:hAnsi="宋体" w:eastAsia="宋体" w:cs="宋体"/>
                <w:i w:val="0"/>
                <w:iCs w:val="0"/>
                <w:color w:val="000000"/>
                <w:sz w:val="20"/>
                <w:szCs w:val="20"/>
                <w:highlight w:val="none"/>
                <w:u w:val="none"/>
                <w:lang w:val="en-US" w:eastAsia="zh-CN" w:bidi="ar"/>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7195" w:type="dxa"/>
            <w:vAlign w:val="center"/>
            <w:textDirection w:val="lrTb"/>
            <w:noWrap w:val="false"/>
          </w:tcPr>
          <w:p>
            <w:pPr>
              <w:jc w:val="left"/>
              <w:keepLines w:val="0"/>
              <w:keepNext w:val="0"/>
              <w:widowControl/>
              <w:rPr>
                <w:rStyle w:val="1076"/>
                <w:rFonts w:hint="eastAsia"/>
                <w:sz w:val="20"/>
                <w:szCs w:val="20"/>
                <w:highlight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评委根据投标人提供的项目</w:t>
            </w:r>
            <w:r>
              <w:rPr>
                <w:rFonts w:hint="eastAsia" w:ascii="宋体" w:hAnsi="宋体" w:cs="宋体"/>
                <w:b w:val="0"/>
                <w:bCs w:val="0"/>
                <w:i w:val="0"/>
                <w:iCs w:val="0"/>
                <w:color w:val="000000"/>
                <w:sz w:val="20"/>
                <w:szCs w:val="20"/>
                <w:highlight w:val="none"/>
                <w:u w:val="none"/>
                <w:lang w:val="en-US" w:eastAsia="zh-CN" w:bidi="ar"/>
              </w:rPr>
              <w:t xml:space="preserve">培训</w:t>
            </w:r>
            <w:r>
              <w:rPr>
                <w:rFonts w:hint="eastAsia" w:ascii="宋体" w:hAnsi="宋体" w:eastAsia="宋体" w:cs="宋体"/>
                <w:b w:val="0"/>
                <w:bCs w:val="0"/>
                <w:i w:val="0"/>
                <w:iCs w:val="0"/>
                <w:color w:val="000000"/>
                <w:sz w:val="20"/>
                <w:szCs w:val="20"/>
                <w:highlight w:val="none"/>
                <w:u w:val="none"/>
                <w:lang w:val="en-US" w:eastAsia="zh-CN" w:bidi="ar"/>
              </w:rPr>
              <w:t xml:space="preserve">方案综合评分，包括</w:t>
            </w:r>
            <w:r>
              <w:rPr>
                <w:rFonts w:hint="eastAsia" w:ascii="宋体" w:hAnsi="宋体" w:cs="宋体"/>
                <w:b w:val="0"/>
                <w:bCs w:val="0"/>
                <w:i w:val="0"/>
                <w:iCs w:val="0"/>
                <w:color w:val="000000"/>
                <w:sz w:val="20"/>
                <w:szCs w:val="20"/>
                <w:highlight w:val="none"/>
                <w:u w:val="none"/>
                <w:lang w:val="en-US" w:eastAsia="zh-CN" w:bidi="ar"/>
              </w:rPr>
              <w:t xml:space="preserve">：1.培训整体方案；2.时间进度安排；3.</w:t>
            </w:r>
            <w:r>
              <w:rPr>
                <w:rFonts w:hint="eastAsia" w:ascii="宋体" w:hAnsi="宋体" w:eastAsia="宋体" w:cs="宋体"/>
                <w:b w:val="0"/>
                <w:bCs w:val="0"/>
                <w:i w:val="0"/>
                <w:iCs w:val="0"/>
                <w:color w:val="000000"/>
                <w:sz w:val="20"/>
                <w:szCs w:val="20"/>
                <w:highlight w:val="none"/>
                <w:u w:val="none"/>
                <w:lang w:val="en-US" w:eastAsia="zh-CN" w:bidi="ar"/>
              </w:rPr>
              <w:t xml:space="preserve">培训内容</w:t>
            </w:r>
            <w:r>
              <w:rPr>
                <w:rFonts w:hint="eastAsia" w:ascii="宋体" w:hAnsi="宋体" w:cs="宋体"/>
                <w:b w:val="0"/>
                <w:bCs w:val="0"/>
                <w:i w:val="0"/>
                <w:iCs w:val="0"/>
                <w:color w:val="000000"/>
                <w:sz w:val="20"/>
                <w:szCs w:val="20"/>
                <w:highlight w:val="none"/>
                <w:u w:val="none"/>
                <w:lang w:val="en-US" w:eastAsia="zh-CN" w:bidi="ar"/>
              </w:rPr>
              <w:t xml:space="preserve">设置；4.</w:t>
            </w:r>
            <w:r>
              <w:rPr>
                <w:rFonts w:hint="eastAsia" w:ascii="宋体" w:hAnsi="宋体" w:eastAsia="宋体" w:cs="宋体"/>
                <w:b w:val="0"/>
                <w:bCs w:val="0"/>
                <w:i w:val="0"/>
                <w:iCs w:val="0"/>
                <w:color w:val="000000"/>
                <w:sz w:val="20"/>
                <w:szCs w:val="20"/>
                <w:highlight w:val="none"/>
                <w:u w:val="none"/>
                <w:lang w:val="en-US" w:eastAsia="zh-CN" w:bidi="ar"/>
              </w:rPr>
              <w:t xml:space="preserve">培训组织方式</w:t>
            </w:r>
            <w:r>
              <w:rPr>
                <w:rFonts w:hint="eastAsia" w:ascii="宋体" w:hAnsi="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lang w:val="en-US" w:eastAsia="zh-CN" w:bidi="ar"/>
              </w:rPr>
              <w:t xml:space="preserve">培训老师介绍</w:t>
            </w:r>
            <w:r>
              <w:rPr>
                <w:rFonts w:hint="eastAsia" w:ascii="宋体" w:hAnsi="宋体" w:cs="宋体"/>
                <w:b w:val="0"/>
                <w:bCs w:val="0"/>
                <w:i w:val="0"/>
                <w:iCs w:val="0"/>
                <w:color w:val="000000"/>
                <w:sz w:val="20"/>
                <w:szCs w:val="20"/>
                <w:highlight w:val="none"/>
                <w:u w:val="none"/>
                <w:lang w:val="en-US" w:eastAsia="zh-CN" w:bidi="ar"/>
              </w:rPr>
              <w:t xml:space="preserve">；6.后期跟进与实操指导，</w:t>
            </w:r>
            <w:r>
              <w:rPr>
                <w:rStyle w:val="1076"/>
                <w:rFonts w:hint="eastAsia"/>
                <w:sz w:val="20"/>
                <w:szCs w:val="20"/>
                <w:highlight w:val="none"/>
                <w:lang w:val="en-US" w:eastAsia="zh-CN" w:bidi="ar"/>
              </w:rPr>
              <w:t xml:space="preserve">以上每项内容逐条阐述。</w:t>
            </w:r>
            <w:r/>
          </w:p>
          <w:p>
            <w:pPr>
              <w:jc w:val="left"/>
              <w:keepLines w:val="0"/>
              <w:keepNext w:val="0"/>
              <w:widowControl/>
              <w:rPr>
                <w:rStyle w:val="1076"/>
                <w:rFonts w:hint="eastAsia"/>
                <w:sz w:val="20"/>
                <w:szCs w:val="20"/>
                <w:highlight w:val="none"/>
                <w:lang w:val="en-US" w:eastAsia="zh-CN" w:bidi="ar"/>
              </w:rPr>
              <w:suppressLineNumbers w:val="0"/>
            </w:pPr>
            <w:r>
              <w:rPr>
                <w:rStyle w:val="1076"/>
                <w:rFonts w:hint="eastAsia"/>
                <w:sz w:val="20"/>
                <w:szCs w:val="20"/>
                <w:highlight w:val="none"/>
                <w:lang w:val="en-US" w:eastAsia="zh-CN" w:bidi="ar"/>
              </w:rPr>
              <w:t xml:space="preserve">(1)上述内容完整、科学性、合理性、操作性强的，得6分；</w:t>
            </w:r>
            <w:r/>
          </w:p>
          <w:p>
            <w:pPr>
              <w:jc w:val="left"/>
              <w:keepLines w:val="0"/>
              <w:keepNext w:val="0"/>
              <w:widowControl/>
              <w:rPr>
                <w:rStyle w:val="1076"/>
                <w:rFonts w:hint="eastAsia"/>
                <w:sz w:val="20"/>
                <w:szCs w:val="20"/>
                <w:highlight w:val="none"/>
                <w:lang w:val="en-US" w:eastAsia="zh-CN" w:bidi="ar"/>
              </w:rPr>
              <w:suppressLineNumbers w:val="0"/>
            </w:pPr>
            <w:r>
              <w:rPr>
                <w:rStyle w:val="1076"/>
                <w:rFonts w:hint="eastAsia"/>
                <w:sz w:val="20"/>
                <w:szCs w:val="20"/>
                <w:highlight w:val="none"/>
                <w:lang w:val="en-US" w:eastAsia="zh-CN" w:bidi="ar"/>
              </w:rPr>
              <w:t xml:space="preserve">(2)上述内容基本完整、基本科学合理，有可操作性的，得4分；</w:t>
            </w:r>
            <w:r/>
          </w:p>
          <w:p>
            <w:pPr>
              <w:jc w:val="left"/>
              <w:keepLines w:val="0"/>
              <w:keepNext w:val="0"/>
              <w:widowControl/>
              <w:rPr>
                <w:rStyle w:val="1076"/>
                <w:rFonts w:hint="eastAsia"/>
                <w:sz w:val="20"/>
                <w:szCs w:val="20"/>
                <w:highlight w:val="none"/>
                <w:lang w:val="en-US" w:eastAsia="zh-CN" w:bidi="ar"/>
              </w:rPr>
              <w:suppressLineNumbers w:val="0"/>
            </w:pPr>
            <w:r>
              <w:rPr>
                <w:rStyle w:val="1076"/>
                <w:rFonts w:hint="eastAsia"/>
                <w:sz w:val="20"/>
                <w:szCs w:val="20"/>
                <w:highlight w:val="none"/>
                <w:lang w:val="en-US" w:eastAsia="zh-CN" w:bidi="ar"/>
              </w:rPr>
              <w:t xml:space="preserve">(3)上述内容不够完整、不够科学合理、缺乏可行性的，得2分；</w:t>
            </w:r>
            <w:r/>
          </w:p>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Style w:val="1076"/>
                <w:rFonts w:hint="eastAsia"/>
                <w:sz w:val="20"/>
                <w:szCs w:val="20"/>
                <w:highlight w:val="none"/>
                <w:lang w:val="en-US" w:eastAsia="zh-CN" w:bidi="ar"/>
              </w:rPr>
              <w:t xml:space="preserve">(4)不提供不得分。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服务质量保证</w:t>
            </w:r>
            <w:r/>
          </w:p>
        </w:tc>
        <w:tc>
          <w:tcPr>
            <w:shd w:val="clear" w:color="auto" w:fill="auto"/>
            <w:tcBorders>
              <w:top w:val="single" w:color="000000" w:sz="4" w:space="0"/>
              <w:left w:val="single" w:color="000000" w:sz="4" w:space="0"/>
              <w:bottom w:val="single" w:color="000000" w:sz="4" w:space="0"/>
              <w:right w:val="single" w:color="000000" w:sz="4" w:space="0"/>
            </w:tcBorders>
            <w:tcW w:w="71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.为保证产品的安全性，</w:t>
            </w:r>
            <w:r>
              <w:rPr>
                <w:rFonts w:hint="eastAsia" w:ascii="宋体" w:hAnsi="宋体" w:cs="宋体"/>
                <w:i w:val="0"/>
                <w:iCs w:val="0"/>
                <w:color w:val="000000"/>
                <w:sz w:val="20"/>
                <w:szCs w:val="20"/>
                <w:highlight w:val="none"/>
                <w:u w:val="none"/>
                <w:lang w:val="en-US" w:eastAsia="zh-CN" w:bidi="ar"/>
              </w:rPr>
              <w:t xml:space="preserve">家具</w:t>
            </w:r>
            <w:r>
              <w:rPr>
                <w:rFonts w:hint="eastAsia" w:ascii="宋体" w:hAnsi="宋体" w:eastAsia="宋体" w:cs="宋体"/>
                <w:i w:val="0"/>
                <w:iCs w:val="0"/>
                <w:color w:val="000000"/>
                <w:sz w:val="20"/>
                <w:szCs w:val="20"/>
                <w:highlight w:val="none"/>
                <w:u w:val="none"/>
                <w:lang w:val="en-US" w:eastAsia="zh-CN" w:bidi="ar"/>
              </w:rPr>
              <w:t xml:space="preserve">制造商具有</w:t>
            </w:r>
            <w:r>
              <w:rPr>
                <w:rFonts w:hint="eastAsia" w:ascii="宋体" w:hAnsi="宋体" w:cs="宋体"/>
                <w:i w:val="0"/>
                <w:iCs w:val="0"/>
                <w:color w:val="000000"/>
                <w:sz w:val="20"/>
                <w:szCs w:val="20"/>
                <w:highlight w:val="none"/>
                <w:u w:val="none"/>
                <w:lang w:val="en-US" w:eastAsia="zh-CN" w:bidi="ar"/>
              </w:rPr>
              <w:t xml:space="preserve">有效期内的“</w:t>
            </w:r>
            <w:r>
              <w:rPr>
                <w:rFonts w:hint="eastAsia" w:ascii="宋体" w:hAnsi="宋体" w:eastAsia="宋体" w:cs="宋体"/>
                <w:i w:val="0"/>
                <w:iCs w:val="0"/>
                <w:color w:val="000000"/>
                <w:sz w:val="20"/>
                <w:szCs w:val="20"/>
                <w:highlight w:val="none"/>
                <w:u w:val="none"/>
                <w:lang w:val="en-US" w:eastAsia="zh-CN" w:bidi="ar"/>
              </w:rPr>
              <w:t xml:space="preserve">家具中有害物质限量认证证书”（认证范围至少包含桌台类、椅凳类、柜架类），投标时提供证书</w:t>
            </w:r>
            <w:r>
              <w:rPr>
                <w:rFonts w:hint="eastAsia" w:ascii="宋体" w:hAnsi="宋体" w:cs="宋体"/>
                <w:i w:val="0"/>
                <w:iCs w:val="0"/>
                <w:color w:val="000000"/>
                <w:sz w:val="20"/>
                <w:szCs w:val="20"/>
                <w:highlight w:val="none"/>
                <w:u w:val="none"/>
                <w:lang w:val="en-US" w:eastAsia="zh-CN" w:bidi="ar"/>
              </w:rPr>
              <w:t xml:space="preserve">扫描件加盖</w:t>
            </w:r>
            <w:r>
              <w:rPr>
                <w:rFonts w:hint="eastAsia" w:ascii="宋体" w:hAnsi="宋体" w:eastAsia="宋体" w:cs="宋体"/>
                <w:i w:val="0"/>
                <w:iCs w:val="0"/>
                <w:color w:val="000000"/>
                <w:sz w:val="20"/>
                <w:szCs w:val="20"/>
                <w:highlight w:val="none"/>
                <w:u w:val="none"/>
                <w:lang w:val="en-US" w:eastAsia="zh-CN" w:bidi="ar"/>
              </w:rPr>
              <w:t xml:space="preserve">公章，</w:t>
            </w:r>
            <w:r>
              <w:rPr>
                <w:rFonts w:hint="eastAsia" w:ascii="宋体" w:hAnsi="宋体" w:cs="宋体"/>
                <w:i w:val="0"/>
                <w:iCs w:val="0"/>
                <w:color w:val="000000"/>
                <w:sz w:val="20"/>
                <w:szCs w:val="20"/>
                <w:highlight w:val="none"/>
                <w:u w:val="none"/>
                <w:lang w:val="en-US" w:eastAsia="zh-CN" w:bidi="ar"/>
              </w:rPr>
              <w:t xml:space="preserve">全部满足</w:t>
            </w:r>
            <w:r>
              <w:rPr>
                <w:rFonts w:hint="eastAsia" w:ascii="宋体" w:hAnsi="宋体" w:eastAsia="宋体" w:cs="宋体"/>
                <w:i w:val="0"/>
                <w:iCs w:val="0"/>
                <w:color w:val="000000"/>
                <w:sz w:val="20"/>
                <w:szCs w:val="20"/>
                <w:highlight w:val="none"/>
                <w:u w:val="none"/>
                <w:lang w:val="en-US" w:eastAsia="zh-CN" w:bidi="ar"/>
              </w:rPr>
              <w:t xml:space="preserve">得2分</w:t>
            </w:r>
            <w:r>
              <w:rPr>
                <w:rFonts w:hint="eastAsia" w:ascii="宋体" w:hAnsi="宋体" w:cs="宋体"/>
                <w:i w:val="0"/>
                <w:iCs w:val="0"/>
                <w:color w:val="000000"/>
                <w:sz w:val="20"/>
                <w:szCs w:val="20"/>
                <w:highlight w:val="none"/>
                <w:u w:val="none"/>
                <w:lang w:val="en-US" w:eastAsia="zh-CN" w:bidi="ar"/>
              </w:rPr>
              <w:t xml:space="preserve">，缺一不得分</w:t>
            </w:r>
            <w:r>
              <w:rPr>
                <w:rFonts w:hint="eastAsia" w:ascii="宋体" w:hAnsi="宋体" w:eastAsia="宋体" w:cs="宋体"/>
                <w:i w:val="0"/>
                <w:iCs w:val="0"/>
                <w:color w:val="000000"/>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.为保证产品的</w:t>
            </w:r>
            <w:r>
              <w:rPr>
                <w:rFonts w:hint="eastAsia" w:ascii="宋体" w:hAnsi="宋体" w:cs="宋体"/>
                <w:i w:val="0"/>
                <w:iCs w:val="0"/>
                <w:color w:val="000000"/>
                <w:sz w:val="20"/>
                <w:szCs w:val="20"/>
                <w:highlight w:val="none"/>
                <w:u w:val="none"/>
                <w:lang w:val="en-US" w:eastAsia="zh-CN" w:bidi="ar"/>
              </w:rPr>
              <w:t xml:space="preserve">性能</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家具</w:t>
            </w:r>
            <w:r>
              <w:rPr>
                <w:rFonts w:hint="eastAsia" w:ascii="宋体" w:hAnsi="宋体" w:eastAsia="宋体" w:cs="宋体"/>
                <w:i w:val="0"/>
                <w:iCs w:val="0"/>
                <w:color w:val="000000"/>
                <w:sz w:val="20"/>
                <w:szCs w:val="20"/>
                <w:highlight w:val="none"/>
                <w:u w:val="none"/>
                <w:lang w:val="en-US" w:eastAsia="zh-CN" w:bidi="ar"/>
              </w:rPr>
              <w:t xml:space="preserve">制造商具有</w:t>
            </w:r>
            <w:r>
              <w:rPr>
                <w:rFonts w:hint="eastAsia" w:ascii="宋体" w:hAnsi="宋体" w:cs="宋体"/>
                <w:i w:val="0"/>
                <w:iCs w:val="0"/>
                <w:color w:val="000000"/>
                <w:sz w:val="20"/>
                <w:szCs w:val="20"/>
                <w:highlight w:val="none"/>
                <w:u w:val="none"/>
                <w:lang w:val="en-US" w:eastAsia="zh-CN" w:bidi="ar"/>
              </w:rPr>
              <w:t xml:space="preserve">有效期内的“人类工效学认证证书”（认证范围至少包含桌台类、椅凳类、柜架类）</w:t>
            </w:r>
            <w:r>
              <w:rPr>
                <w:rFonts w:hint="eastAsia" w:ascii="宋体" w:hAnsi="宋体" w:eastAsia="宋体" w:cs="宋体"/>
                <w:i w:val="0"/>
                <w:iCs w:val="0"/>
                <w:color w:val="000000"/>
                <w:sz w:val="20"/>
                <w:szCs w:val="20"/>
                <w:highlight w:val="none"/>
                <w:u w:val="none"/>
                <w:lang w:val="en-US" w:eastAsia="zh-CN" w:bidi="ar"/>
              </w:rPr>
              <w:t xml:space="preserve">，投标时提供证书</w:t>
            </w:r>
            <w:r>
              <w:rPr>
                <w:rFonts w:hint="eastAsia" w:ascii="宋体" w:hAnsi="宋体" w:cs="宋体"/>
                <w:i w:val="0"/>
                <w:iCs w:val="0"/>
                <w:color w:val="000000"/>
                <w:sz w:val="20"/>
                <w:szCs w:val="20"/>
                <w:highlight w:val="none"/>
                <w:u w:val="none"/>
                <w:lang w:val="en-US" w:eastAsia="zh-CN" w:bidi="ar"/>
              </w:rPr>
              <w:t xml:space="preserve">扫描件加盖</w:t>
            </w:r>
            <w:r>
              <w:rPr>
                <w:rFonts w:hint="eastAsia" w:ascii="宋体" w:hAnsi="宋体" w:eastAsia="宋体" w:cs="宋体"/>
                <w:i w:val="0"/>
                <w:iCs w:val="0"/>
                <w:color w:val="000000"/>
                <w:sz w:val="20"/>
                <w:szCs w:val="20"/>
                <w:highlight w:val="none"/>
                <w:u w:val="none"/>
                <w:lang w:val="en-US" w:eastAsia="zh-CN" w:bidi="ar"/>
              </w:rPr>
              <w:t xml:space="preserve">公章，</w:t>
            </w:r>
            <w:r>
              <w:rPr>
                <w:rFonts w:hint="eastAsia" w:ascii="宋体" w:hAnsi="宋体" w:cs="宋体"/>
                <w:i w:val="0"/>
                <w:iCs w:val="0"/>
                <w:color w:val="000000"/>
                <w:sz w:val="20"/>
                <w:szCs w:val="20"/>
                <w:highlight w:val="none"/>
                <w:u w:val="none"/>
                <w:lang w:val="en-US" w:eastAsia="zh-CN" w:bidi="ar"/>
              </w:rPr>
              <w:t xml:space="preserve">全部满足</w:t>
            </w:r>
            <w:r>
              <w:rPr>
                <w:rFonts w:hint="eastAsia" w:ascii="宋体" w:hAnsi="宋体" w:eastAsia="宋体" w:cs="宋体"/>
                <w:i w:val="0"/>
                <w:iCs w:val="0"/>
                <w:color w:val="000000"/>
                <w:sz w:val="20"/>
                <w:szCs w:val="20"/>
                <w:highlight w:val="none"/>
                <w:u w:val="none"/>
                <w:lang w:val="en-US" w:eastAsia="zh-CN" w:bidi="ar"/>
              </w:rPr>
              <w:t xml:space="preserve">得2分</w:t>
            </w:r>
            <w:r>
              <w:rPr>
                <w:rFonts w:hint="eastAsia" w:ascii="宋体" w:hAnsi="宋体" w:cs="宋体"/>
                <w:i w:val="0"/>
                <w:iCs w:val="0"/>
                <w:color w:val="000000"/>
                <w:sz w:val="20"/>
                <w:szCs w:val="20"/>
                <w:highlight w:val="none"/>
                <w:u w:val="none"/>
                <w:lang w:val="en-US" w:eastAsia="zh-CN" w:bidi="ar"/>
              </w:rPr>
              <w:t xml:space="preserve">，缺一不得分</w:t>
            </w: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71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投标人提供202</w:t>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年0</w:t>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月01日以来（以合同签订日期为准）已完成的类似项目业绩，每有一份得2分，本项最高4分（仅限单笔合同）。投标文件中须同时提供中标通知书、合同等，缺一项不得分。</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样品的外观、材质要求及结构工艺</w:t>
            </w:r>
            <w:r/>
          </w:p>
        </w:tc>
        <w:tc>
          <w:tcPr>
            <w:shd w:val="clear" w:color="auto" w:fill="auto"/>
            <w:tcBorders>
              <w:top w:val="single" w:color="000000" w:sz="4" w:space="0"/>
              <w:left w:val="single" w:color="000000" w:sz="4" w:space="0"/>
              <w:bottom w:val="single" w:color="000000" w:sz="4" w:space="0"/>
              <w:right w:val="single" w:color="000000" w:sz="4" w:space="0"/>
            </w:tcBorders>
            <w:tcW w:w="71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评委</w:t>
            </w:r>
            <w:r>
              <w:rPr>
                <w:rFonts w:hint="eastAsia" w:ascii="宋体" w:hAnsi="宋体" w:eastAsia="宋体" w:cs="宋体"/>
                <w:i w:val="0"/>
                <w:iCs w:val="0"/>
                <w:color w:val="000000"/>
                <w:sz w:val="20"/>
                <w:szCs w:val="20"/>
                <w:highlight w:val="none"/>
                <w:u w:val="none"/>
                <w:lang w:val="en-US" w:eastAsia="zh-CN" w:bidi="ar"/>
              </w:rPr>
              <w:t xml:space="preserve">根据投标人提供的样品的外观、材质要求及结构工艺等情况进行评分(具体样品技术参数及规格要求详见第四章采购需求)</w:t>
            </w:r>
            <w:r>
              <w:rPr>
                <w:rFonts w:hint="eastAsia" w:ascii="宋体" w:hAnsi="宋体" w:cs="宋体"/>
                <w:i w:val="0"/>
                <w:iCs w:val="0"/>
                <w:color w:val="000000"/>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样品1：</w:t>
            </w:r>
            <w:r>
              <w:rPr>
                <w:rFonts w:hint="eastAsia" w:ascii="宋体" w:hAnsi="宋体" w:cs="宋体"/>
                <w:i w:val="0"/>
                <w:iCs w:val="0"/>
                <w:color w:val="000000"/>
                <w:sz w:val="20"/>
                <w:szCs w:val="20"/>
                <w:highlight w:val="none"/>
                <w:u w:val="none"/>
                <w:lang w:val="en-US" w:eastAsia="zh-CN" w:bidi="ar"/>
              </w:rPr>
              <w:t xml:space="preserve">操作圆</w:t>
            </w:r>
            <w:r>
              <w:rPr>
                <w:rFonts w:hint="eastAsia" w:ascii="宋体" w:hAnsi="宋体" w:eastAsia="宋体" w:cs="宋体"/>
                <w:i w:val="0"/>
                <w:iCs w:val="0"/>
                <w:color w:val="000000"/>
                <w:sz w:val="20"/>
                <w:szCs w:val="20"/>
                <w:highlight w:val="none"/>
                <w:u w:val="none"/>
                <w:lang w:val="en-US" w:eastAsia="zh-CN" w:bidi="ar"/>
              </w:rPr>
              <w:t xml:space="preserve">凳（序号27）</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（1）样品主要尺寸符合，产品形状、外观优美，表面平滑无毛刺，连接无瑕疵，结构稳固性好，承重性好，具有较多的人性化设计，得5分。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（2）样品主要尺寸基本符合，产品形状、外观较优美，表面较平滑，连接瑕疵少，结构较稳固，承重性较好，有人性化设计，得2分。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（3）其他不得分。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样品2：可移动伸缩合唱台（序号</w:t>
            </w:r>
            <w:r>
              <w:rPr>
                <w:rFonts w:hint="eastAsia" w:ascii="宋体" w:hAnsi="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（1)样品主要尺寸符合，产品形状、外观优美，表面平滑无毛刺，连接无瑕疵，零件的组合部件配合严密，样品稳定，</w:t>
            </w:r>
            <w:r>
              <w:rPr>
                <w:rFonts w:hint="eastAsia" w:ascii="宋体" w:hAnsi="宋体" w:cs="宋体"/>
                <w:i w:val="0"/>
                <w:iCs w:val="0"/>
                <w:color w:val="000000"/>
                <w:sz w:val="20"/>
                <w:szCs w:val="20"/>
                <w:highlight w:val="none"/>
                <w:u w:val="none"/>
                <w:lang w:val="en-US" w:eastAsia="zh-CN" w:bidi="ar"/>
              </w:rPr>
              <w:t xml:space="preserve">抽拉平顺，</w:t>
            </w:r>
            <w:r>
              <w:rPr>
                <w:rFonts w:hint="eastAsia" w:ascii="宋体" w:hAnsi="宋体" w:eastAsia="宋体" w:cs="宋体"/>
                <w:i w:val="0"/>
                <w:iCs w:val="0"/>
                <w:color w:val="000000"/>
                <w:sz w:val="20"/>
                <w:szCs w:val="20"/>
                <w:highlight w:val="none"/>
                <w:u w:val="none"/>
                <w:lang w:val="en-US" w:eastAsia="zh-CN" w:bidi="ar"/>
              </w:rPr>
              <w:t xml:space="preserve">承重性好，功能齐全，具有较多人性化使用部分得5分。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（2）样品主要尺寸基本符合、产品形状、外观较优美，表面较平滑，连接瑕疵较少，支撑零件的组合部件配合较严密，样品较为稳定</w:t>
            </w:r>
            <w:r>
              <w:rPr>
                <w:rFonts w:hint="eastAsia" w:ascii="宋体" w:hAnsi="宋体" w:cs="宋体"/>
                <w:i w:val="0"/>
                <w:iCs w:val="0"/>
                <w:color w:val="000000"/>
                <w:sz w:val="20"/>
                <w:szCs w:val="20"/>
                <w:highlight w:val="none"/>
                <w:u w:val="none"/>
                <w:lang w:val="en-US" w:eastAsia="zh-CN" w:bidi="ar"/>
              </w:rPr>
              <w:t xml:space="preserve">，抽拉较平顺</w:t>
            </w:r>
            <w:r>
              <w:rPr>
                <w:rFonts w:hint="eastAsia" w:ascii="宋体" w:hAnsi="宋体" w:eastAsia="宋体" w:cs="宋体"/>
                <w:i w:val="0"/>
                <w:iCs w:val="0"/>
                <w:color w:val="000000"/>
                <w:sz w:val="20"/>
                <w:szCs w:val="20"/>
                <w:highlight w:val="none"/>
                <w:u w:val="none"/>
                <w:lang w:val="en-US" w:eastAsia="zh-CN" w:bidi="ar"/>
              </w:rPr>
              <w:t xml:space="preserve">，承重性较好，功能较齐全、有人性化使用部分，得2分。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（3）其他不得分。</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产品演示</w:t>
            </w:r>
            <w:r/>
          </w:p>
        </w:tc>
        <w:tc>
          <w:tcPr>
            <w:shd w:val="clear" w:color="auto" w:fill="auto"/>
            <w:tcBorders>
              <w:top w:val="single" w:color="000000" w:sz="4" w:space="0"/>
              <w:left w:val="single" w:color="000000" w:sz="4" w:space="0"/>
              <w:bottom w:val="single" w:color="000000" w:sz="4" w:space="0"/>
              <w:right w:val="single" w:color="000000" w:sz="4" w:space="0"/>
            </w:tcBorders>
            <w:tcW w:w="7195" w:type="dxa"/>
            <w:vAlign w:val="center"/>
            <w:textDirection w:val="lrTb"/>
            <w:noWrap w:val="false"/>
          </w:tcPr>
          <w:p>
            <w:pPr>
              <w:jc w:val="left"/>
              <w:keepLines w:val="0"/>
              <w:keepNext w:val="0"/>
              <w:widowControl/>
              <w:rPr>
                <w:rStyle w:val="1076"/>
                <w:b w:val="0"/>
                <w:bCs w:val="0"/>
                <w:sz w:val="20"/>
                <w:szCs w:val="20"/>
                <w:highlight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投标时提供功能演示视频，演示所需设备需响应供应商自备，演示所产生的费用由响应供应商自理，演示</w:t>
            </w:r>
            <w:r>
              <w:rPr>
                <w:rFonts w:hint="eastAsia" w:ascii="宋体" w:hAnsi="宋体" w:cs="宋体"/>
                <w:b w:val="0"/>
                <w:bCs w:val="0"/>
                <w:i w:val="0"/>
                <w:iCs w:val="0"/>
                <w:color w:val="000000"/>
                <w:sz w:val="20"/>
                <w:szCs w:val="20"/>
                <w:highlight w:val="none"/>
                <w:u w:val="none"/>
                <w:lang w:val="en-US" w:eastAsia="zh-CN" w:bidi="ar"/>
              </w:rPr>
              <w:t xml:space="preserve">总</w:t>
            </w:r>
            <w:r>
              <w:rPr>
                <w:rFonts w:hint="eastAsia" w:ascii="宋体" w:hAnsi="宋体" w:eastAsia="宋体" w:cs="宋体"/>
                <w:b w:val="0"/>
                <w:bCs w:val="0"/>
                <w:i w:val="0"/>
                <w:iCs w:val="0"/>
                <w:color w:val="000000"/>
                <w:sz w:val="20"/>
                <w:szCs w:val="20"/>
                <w:highlight w:val="none"/>
                <w:u w:val="none"/>
                <w:lang w:val="en-US" w:eastAsia="zh-CN" w:bidi="ar"/>
              </w:rPr>
              <w:t xml:space="preserve">时</w:t>
            </w:r>
            <w:r>
              <w:rPr>
                <w:rFonts w:hint="eastAsia" w:ascii="宋体" w:hAnsi="宋体" w:cs="宋体"/>
                <w:b w:val="0"/>
                <w:bCs w:val="0"/>
                <w:i w:val="0"/>
                <w:iCs w:val="0"/>
                <w:color w:val="000000"/>
                <w:sz w:val="20"/>
                <w:szCs w:val="20"/>
                <w:highlight w:val="none"/>
                <w:u w:val="none"/>
                <w:lang w:val="en-US" w:eastAsia="zh-CN" w:bidi="ar"/>
              </w:rPr>
              <w:t xml:space="preserve">长</w:t>
            </w:r>
            <w:r>
              <w:rPr>
                <w:rFonts w:hint="eastAsia" w:ascii="宋体" w:hAnsi="宋体" w:eastAsia="宋体" w:cs="宋体"/>
                <w:b w:val="0"/>
                <w:bCs w:val="0"/>
                <w:i w:val="0"/>
                <w:iCs w:val="0"/>
                <w:color w:val="000000"/>
                <w:sz w:val="20"/>
                <w:szCs w:val="20"/>
                <w:highlight w:val="none"/>
                <w:u w:val="none"/>
                <w:lang w:val="en-US" w:eastAsia="zh-CN" w:bidi="ar"/>
              </w:rPr>
              <w:t xml:space="preserve">不超过15分钟。逐条演示，最高9分。</w:t>
            </w:r>
            <w:r>
              <w:rPr>
                <w:rStyle w:val="1076"/>
                <w:b w:val="0"/>
                <w:bCs w:val="0"/>
                <w:sz w:val="20"/>
                <w:szCs w:val="20"/>
                <w:highlight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一、应急心理援助自助</w:t>
            </w:r>
            <w:r>
              <w:rPr>
                <w:rFonts w:hint="eastAsia" w:ascii="宋体" w:hAnsi="宋体" w:cs="宋体"/>
                <w:b w:val="0"/>
                <w:bCs w:val="0"/>
                <w:i w:val="0"/>
                <w:iCs w:val="0"/>
                <w:color w:val="000000"/>
                <w:sz w:val="20"/>
                <w:szCs w:val="20"/>
                <w:highlight w:val="none"/>
                <w:u w:val="none"/>
                <w:lang w:val="en-US" w:eastAsia="zh-CN" w:bidi="ar"/>
              </w:rPr>
              <w:t xml:space="preserve">设备</w:t>
            </w:r>
            <w:r>
              <w:rPr>
                <w:rFonts w:hint="eastAsia" w:ascii="宋体" w:hAnsi="宋体" w:eastAsia="宋体" w:cs="宋体"/>
                <w:b w:val="0"/>
                <w:bCs w:val="0"/>
                <w:i w:val="0"/>
                <w:iCs w:val="0"/>
                <w:color w:val="000000"/>
                <w:sz w:val="20"/>
                <w:szCs w:val="20"/>
                <w:highlight w:val="none"/>
                <w:u w:val="none"/>
                <w:lang w:val="en-US" w:eastAsia="zh-CN" w:bidi="ar"/>
              </w:rPr>
              <w:t xml:space="preserve">功能视频演示步骤如下：</w:t>
            </w:r>
            <w:r>
              <w:rPr>
                <w:rStyle w:val="1076"/>
                <w:b w:val="0"/>
                <w:bCs w:val="0"/>
                <w:sz w:val="20"/>
                <w:szCs w:val="20"/>
                <w:highlight w:val="none"/>
                <w:lang w:val="en-US" w:eastAsia="zh-CN" w:bidi="ar"/>
              </w:rPr>
              <w:br/>
            </w:r>
            <w:r>
              <w:rPr>
                <w:rStyle w:val="1076"/>
                <w:b w:val="0"/>
                <w:bCs w:val="0"/>
                <w:sz w:val="20"/>
                <w:szCs w:val="20"/>
                <w:highlight w:val="none"/>
                <w:lang w:val="en-US" w:eastAsia="zh-CN" w:bidi="ar"/>
              </w:rPr>
              <w:t xml:space="preserve">1.</w:t>
            </w:r>
            <w:r>
              <w:rPr>
                <w:rStyle w:val="1076"/>
                <w:rFonts w:hint="eastAsia"/>
                <w:b w:val="0"/>
                <w:bCs w:val="0"/>
                <w:sz w:val="20"/>
                <w:szCs w:val="20"/>
                <w:highlight w:val="none"/>
                <w:lang w:val="en-US" w:eastAsia="zh-CN" w:bidi="ar"/>
              </w:rPr>
              <w:t xml:space="preserve">用户注册后首次登录需完善基础信息、危机信息等急救档案，支持根据男女性别选择提供不同人物形象。提供如被欺凌、遭受暴力等≥20项危机事件具体类型选择，并支持单选或多选。</w:t>
            </w:r>
            <w:r/>
          </w:p>
          <w:p>
            <w:pPr>
              <w:numPr>
                <w:ilvl w:val="0"/>
                <w:numId w:val="0"/>
              </w:numPr>
              <w:jc w:val="left"/>
              <w:keepLines w:val="0"/>
              <w:keepNext w:val="0"/>
              <w:widowControl/>
              <w:rPr>
                <w:rStyle w:val="1076"/>
                <w:b w:val="0"/>
                <w:bCs w:val="0"/>
                <w:sz w:val="20"/>
                <w:szCs w:val="20"/>
                <w:highlight w:val="none"/>
                <w:lang w:val="en-US" w:eastAsia="zh-CN" w:bidi="ar"/>
              </w:rPr>
              <w:suppressLineNumbers w:val="0"/>
            </w:pPr>
            <w:r>
              <w:rPr>
                <w:rFonts w:hint="eastAsia" w:ascii="宋体" w:hAnsi="宋体" w:eastAsia="宋体" w:cs="宋体"/>
                <w:b w:val="0"/>
                <w:bCs w:val="0"/>
                <w:color w:val="000000"/>
                <w:sz w:val="20"/>
                <w:szCs w:val="20"/>
                <w:highlight w:val="none"/>
                <w:lang w:val="en-US" w:eastAsia="zh-CN" w:bidi="ar"/>
              </w:rPr>
              <w:t xml:space="preserve">2.</w:t>
            </w:r>
            <w:r>
              <w:rPr>
                <w:rStyle w:val="1076"/>
                <w:rFonts w:hint="eastAsia"/>
                <w:b w:val="0"/>
                <w:bCs w:val="0"/>
                <w:sz w:val="20"/>
                <w:szCs w:val="20"/>
                <w:highlight w:val="none"/>
                <w:lang w:val="en-US" w:eastAsia="zh-CN" w:bidi="ar"/>
              </w:rPr>
              <w:t xml:space="preserve">支持用户在感觉能够承受的情况下，选择测评后调节。支持通过如“紧张”、“害怕”、“悲伤”、“愤怒”、“无助”等多项应激情绪进行快速评估，或通过完成如事件冲击量表修订版进行系统评估。支持进行测评后再匹配合适的调节方案，训练结束后生成报告。</w:t>
            </w:r>
            <w:r>
              <w:rPr>
                <w:rStyle w:val="1076"/>
                <w:b w:val="0"/>
                <w:bCs w:val="0"/>
                <w:sz w:val="20"/>
                <w:szCs w:val="20"/>
                <w:highlight w:val="none"/>
                <w:lang w:val="en-US" w:eastAsia="zh-CN" w:bidi="ar"/>
              </w:rPr>
              <w:t xml:space="preserve">                                                                                                      3.</w:t>
            </w:r>
            <w:r>
              <w:rPr>
                <w:rStyle w:val="1076"/>
                <w:rFonts w:hint="eastAsia"/>
                <w:b w:val="0"/>
                <w:bCs w:val="0"/>
                <w:sz w:val="20"/>
                <w:szCs w:val="20"/>
                <w:highlight w:val="none"/>
                <w:lang w:val="en-US" w:eastAsia="zh-CN" w:bidi="ar"/>
              </w:rPr>
              <w:t xml:space="preserve">提供危机事件发生后冲击早期的训练方案，即危机事件发生日期为1-3个月以内的方案，根据前测-训练-后测的流程，包括PTSD初筛量表、训练方案、“情绪自评量表”、“HRV监测”等内容，训练结束后生成报告。首页提示最近评估日期、评估结果、训练进度等信息</w:t>
            </w:r>
            <w:r>
              <w:rPr>
                <w:rStyle w:val="1076"/>
                <w:b w:val="0"/>
                <w:bCs w:val="0"/>
                <w:sz w:val="20"/>
                <w:szCs w:val="20"/>
                <w:highlight w:val="none"/>
                <w:lang w:val="en-US" w:eastAsia="zh-CN" w:bidi="ar"/>
              </w:rPr>
              <w:t xml:space="preserve">。</w:t>
            </w:r>
            <w:r>
              <w:rPr>
                <w:rStyle w:val="1076"/>
                <w:b w:val="0"/>
                <w:bCs w:val="0"/>
                <w:sz w:val="20"/>
                <w:szCs w:val="20"/>
                <w:highlight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二、智能情绪识别训练仪功能视频演示步骤如下：</w:t>
            </w:r>
            <w:r>
              <w:rPr>
                <w:rStyle w:val="1076"/>
                <w:b w:val="0"/>
                <w:bCs w:val="0"/>
                <w:sz w:val="20"/>
                <w:szCs w:val="20"/>
                <w:highlight w:val="none"/>
                <w:lang w:val="en-US" w:eastAsia="zh-CN" w:bidi="ar"/>
              </w:rPr>
              <w:br/>
            </w:r>
            <w:r>
              <w:rPr>
                <w:rStyle w:val="1076"/>
                <w:b w:val="0"/>
                <w:bCs w:val="0"/>
                <w:sz w:val="20"/>
                <w:szCs w:val="20"/>
                <w:highlight w:val="none"/>
                <w:lang w:val="en-US" w:eastAsia="zh-CN" w:bidi="ar"/>
              </w:rPr>
              <w:t xml:space="preserve">1.</w:t>
            </w:r>
            <w:r>
              <w:rPr>
                <w:rStyle w:val="1076"/>
                <w:rFonts w:hint="eastAsia"/>
                <w:b w:val="0"/>
                <w:bCs w:val="0"/>
                <w:sz w:val="20"/>
                <w:szCs w:val="20"/>
                <w:highlight w:val="none"/>
                <w:lang w:val="en-US" w:eastAsia="zh-CN" w:bidi="ar"/>
              </w:rPr>
              <w:t xml:space="preserve">支持通过每日一签记录如悲伤、惊讶、快乐、平静、愤怒等多种心情，提供如学习、朋友、生活、工作、健康等≥10种主题选项，支持输入经历和感受等心情日记</w:t>
            </w:r>
            <w:r>
              <w:rPr>
                <w:rStyle w:val="1076"/>
                <w:b w:val="0"/>
                <w:bCs w:val="0"/>
                <w:sz w:val="20"/>
                <w:szCs w:val="20"/>
                <w:highlight w:val="none"/>
                <w:lang w:val="en-US" w:eastAsia="zh-CN" w:bidi="ar"/>
              </w:rPr>
              <w:t xml:space="preserve">。</w:t>
            </w:r>
            <w:r/>
          </w:p>
          <w:p>
            <w:pPr>
              <w:numPr>
                <w:ilvl w:val="0"/>
                <w:numId w:val="0"/>
              </w:numPr>
              <w:jc w:val="left"/>
              <w:keepLines w:val="0"/>
              <w:keepNext w:val="0"/>
              <w:widowControl/>
              <w:rPr>
                <w:rStyle w:val="1076"/>
                <w:b w:val="0"/>
                <w:bCs w:val="0"/>
                <w:sz w:val="20"/>
                <w:szCs w:val="20"/>
                <w:highlight w:val="none"/>
                <w:lang w:val="en-US" w:eastAsia="zh-CN" w:bidi="ar"/>
              </w:rPr>
              <w:suppressLineNumbers w:val="0"/>
            </w:pPr>
            <w:r>
              <w:rPr>
                <w:rStyle w:val="1076"/>
                <w:b w:val="0"/>
                <w:bCs w:val="0"/>
                <w:sz w:val="20"/>
                <w:szCs w:val="20"/>
                <w:highlight w:val="none"/>
                <w:lang w:val="en-US" w:eastAsia="zh-CN" w:bidi="ar"/>
              </w:rPr>
              <w:t xml:space="preserve">2.</w:t>
            </w:r>
            <w:r>
              <w:rPr>
                <w:rStyle w:val="1076"/>
                <w:rFonts w:hint="eastAsia"/>
                <w:b w:val="0"/>
                <w:bCs w:val="0"/>
                <w:sz w:val="20"/>
                <w:szCs w:val="20"/>
                <w:highlight w:val="none"/>
                <w:lang w:val="en-US" w:eastAsia="zh-CN" w:bidi="ar"/>
              </w:rPr>
              <w:t xml:space="preserve">提供倒计时为30秒的快速情绪识别，识别中提示积极词语引导，帮助用户洞察内心，了解自我情绪。支持通过扫描二维码下载报告，或导出报告到本机</w:t>
            </w:r>
            <w:r>
              <w:rPr>
                <w:rStyle w:val="1076"/>
                <w:b w:val="0"/>
                <w:bCs w:val="0"/>
                <w:sz w:val="20"/>
                <w:szCs w:val="20"/>
                <w:highlight w:val="none"/>
                <w:lang w:val="en-US" w:eastAsia="zh-CN" w:bidi="ar"/>
              </w:rPr>
              <w:t xml:space="preserve">。</w:t>
            </w:r>
            <w:r/>
          </w:p>
          <w:p>
            <w:pPr>
              <w:numPr>
                <w:ilvl w:val="0"/>
                <w:numId w:val="0"/>
              </w:numPr>
              <w:jc w:val="left"/>
              <w:keepLines w:val="0"/>
              <w:keepNext w:val="0"/>
              <w:widowControl/>
              <w:rPr>
                <w:rStyle w:val="1076"/>
                <w:b w:val="0"/>
                <w:bCs w:val="0"/>
                <w:sz w:val="20"/>
                <w:szCs w:val="20"/>
                <w:highlight w:val="none"/>
                <w:lang w:val="en-US" w:eastAsia="zh-CN" w:bidi="ar"/>
              </w:rPr>
              <w:suppressLineNumbers w:val="0"/>
            </w:pPr>
            <w:r>
              <w:rPr>
                <w:rStyle w:val="1076"/>
                <w:b w:val="0"/>
                <w:bCs w:val="0"/>
                <w:sz w:val="20"/>
                <w:szCs w:val="20"/>
                <w:highlight w:val="none"/>
                <w:lang w:val="en-US" w:eastAsia="zh-CN" w:bidi="ar"/>
              </w:rPr>
              <w:t xml:space="preserve">3.</w:t>
            </w:r>
            <w:r>
              <w:rPr>
                <w:rStyle w:val="1076"/>
                <w:rFonts w:hint="eastAsia"/>
                <w:b w:val="0"/>
                <w:bCs w:val="0"/>
                <w:sz w:val="20"/>
                <w:szCs w:val="20"/>
                <w:highlight w:val="none"/>
                <w:lang w:val="en-US" w:eastAsia="zh-CN" w:bidi="ar"/>
              </w:rPr>
              <w:t xml:space="preserve">提供如积极/消极占比统计图、情绪占比统计图、情绪变化趋势图等多种快速情绪识别报告数据图表分析；提供情绪占比排名前三的情绪代表图，包含不同情绪占比、出现频率等数据；提供不同动态卡通动物形象作为情绪代表，如快乐小鸟等</w:t>
            </w:r>
            <w:r>
              <w:rPr>
                <w:rStyle w:val="1076"/>
                <w:b w:val="0"/>
                <w:bCs w:val="0"/>
                <w:sz w:val="20"/>
                <w:szCs w:val="20"/>
                <w:highlight w:val="none"/>
                <w:lang w:val="en-US" w:eastAsia="zh-CN" w:bidi="ar"/>
              </w:rPr>
              <w:t xml:space="preserve">。</w:t>
            </w:r>
            <w:r>
              <w:rPr>
                <w:rStyle w:val="1076"/>
                <w:b w:val="0"/>
                <w:bCs w:val="0"/>
                <w:sz w:val="20"/>
                <w:szCs w:val="20"/>
                <w:highlight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三、智能倾诉与情绪疏导</w:t>
            </w:r>
            <w:r>
              <w:rPr>
                <w:rFonts w:hint="eastAsia" w:ascii="宋体" w:hAnsi="宋体" w:cs="宋体"/>
                <w:b w:val="0"/>
                <w:bCs w:val="0"/>
                <w:i w:val="0"/>
                <w:iCs w:val="0"/>
                <w:color w:val="000000"/>
                <w:sz w:val="20"/>
                <w:szCs w:val="20"/>
                <w:highlight w:val="none"/>
                <w:u w:val="none"/>
                <w:lang w:val="en-US" w:eastAsia="zh-CN" w:bidi="ar"/>
              </w:rPr>
              <w:t xml:space="preserve">设备</w:t>
            </w:r>
            <w:r>
              <w:rPr>
                <w:rFonts w:hint="eastAsia" w:ascii="宋体" w:hAnsi="宋体" w:eastAsia="宋体" w:cs="宋体"/>
                <w:b w:val="0"/>
                <w:bCs w:val="0"/>
                <w:i w:val="0"/>
                <w:iCs w:val="0"/>
                <w:color w:val="000000"/>
                <w:sz w:val="20"/>
                <w:szCs w:val="20"/>
                <w:highlight w:val="none"/>
                <w:u w:val="none"/>
                <w:lang w:val="en-US" w:eastAsia="zh-CN" w:bidi="ar"/>
              </w:rPr>
              <w:t xml:space="preserve">功能视频演示步骤如下：</w:t>
            </w:r>
            <w:r>
              <w:rPr>
                <w:rStyle w:val="1076"/>
                <w:b w:val="0"/>
                <w:bCs w:val="0"/>
                <w:sz w:val="20"/>
                <w:szCs w:val="20"/>
                <w:highlight w:val="none"/>
                <w:lang w:val="en-US" w:eastAsia="zh-CN" w:bidi="ar"/>
              </w:rPr>
              <w:br/>
            </w:r>
            <w:r>
              <w:rPr>
                <w:rStyle w:val="1076"/>
                <w:b w:val="0"/>
                <w:bCs w:val="0"/>
                <w:sz w:val="20"/>
                <w:szCs w:val="20"/>
                <w:highlight w:val="none"/>
                <w:lang w:val="en-US" w:eastAsia="zh-CN" w:bidi="ar"/>
              </w:rPr>
              <w:t xml:space="preserve">1.</w:t>
            </w:r>
            <w:r>
              <w:rPr>
                <w:rStyle w:val="1076"/>
                <w:rFonts w:hint="eastAsia"/>
                <w:b w:val="0"/>
                <w:bCs w:val="0"/>
                <w:sz w:val="20"/>
                <w:szCs w:val="20"/>
                <w:highlight w:val="none"/>
                <w:lang w:val="en-US" w:eastAsia="zh-CN" w:bidi="ar"/>
              </w:rPr>
              <w:t xml:space="preserve">提供如陪伴精灵、朋友、理性分析师、日常分享官、放松引导员等多种AI角色，不同角色以2D数字形象展示，包含如聆听、思考、对话等多种动作形象，支持与用户进行语音对话。如果长时间没有语音互动，2D数字形象会提示如“这里比较安静，能听见我的声音吗”，并在一段时间后自动退出语音对话</w:t>
            </w:r>
            <w:r>
              <w:rPr>
                <w:rStyle w:val="1076"/>
                <w:b w:val="0"/>
                <w:bCs w:val="0"/>
                <w:sz w:val="20"/>
                <w:szCs w:val="20"/>
                <w:highlight w:val="none"/>
                <w:lang w:val="en-US" w:eastAsia="zh-CN" w:bidi="ar"/>
              </w:rPr>
              <w:t xml:space="preserve">。</w:t>
            </w:r>
            <w:r/>
          </w:p>
          <w:p>
            <w:pPr>
              <w:numPr>
                <w:ilvl w:val="0"/>
                <w:numId w:val="0"/>
              </w:numPr>
              <w:jc w:val="left"/>
              <w:keepLines w:val="0"/>
              <w:keepNext w:val="0"/>
              <w:widowControl/>
              <w:rPr>
                <w:rStyle w:val="1076"/>
                <w:b w:val="0"/>
                <w:bCs w:val="0"/>
                <w:sz w:val="20"/>
                <w:szCs w:val="20"/>
                <w:highlight w:val="none"/>
                <w:lang w:val="en-US" w:eastAsia="zh-CN" w:bidi="ar"/>
              </w:rPr>
              <w:suppressLineNumbers w:val="0"/>
            </w:pPr>
            <w:r>
              <w:rPr>
                <w:rStyle w:val="1076"/>
                <w:b w:val="0"/>
                <w:bCs w:val="0"/>
                <w:sz w:val="20"/>
                <w:szCs w:val="20"/>
                <w:highlight w:val="none"/>
                <w:lang w:val="en-US" w:eastAsia="zh-CN" w:bidi="ar"/>
              </w:rPr>
              <w:t xml:space="preserve">2.</w:t>
            </w:r>
            <w:r>
              <w:rPr>
                <w:rStyle w:val="1076"/>
                <w:rFonts w:hint="eastAsia"/>
                <w:b w:val="0"/>
                <w:bCs w:val="0"/>
                <w:sz w:val="20"/>
                <w:szCs w:val="20"/>
                <w:highlight w:val="none"/>
                <w:lang w:val="en-US" w:eastAsia="zh-CN" w:bidi="ar"/>
              </w:rPr>
              <w:t xml:space="preserve">支持用户查看对话记录，提供如对话总时长、总交流轮次、主要情绪类型、情绪波动指数、情绪分布等≥5种数据，生成如情绪高光时刻、个性化情绪洞察、情绪小贴士等文字内容。</w:t>
            </w:r>
            <w:r/>
          </w:p>
          <w:p>
            <w:pPr>
              <w:numPr>
                <w:ilvl w:val="0"/>
                <w:numId w:val="0"/>
              </w:num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Style w:val="1076"/>
                <w:b w:val="0"/>
                <w:bCs w:val="0"/>
                <w:sz w:val="20"/>
                <w:szCs w:val="20"/>
                <w:highlight w:val="none"/>
                <w:lang w:val="en-US" w:eastAsia="zh-CN" w:bidi="ar"/>
              </w:rPr>
              <w:t xml:space="preserve">3.</w:t>
            </w:r>
            <w:r>
              <w:rPr>
                <w:rStyle w:val="1076"/>
                <w:rFonts w:hint="eastAsia"/>
                <w:b w:val="0"/>
                <w:bCs w:val="0"/>
                <w:sz w:val="20"/>
                <w:szCs w:val="20"/>
                <w:highlight w:val="none"/>
                <w:lang w:val="en-US" w:eastAsia="zh-CN" w:bidi="ar"/>
              </w:rPr>
              <w:t xml:space="preserve">支持通过不同颜色区分三级预警及未见风险用户画像，提供用户登录系统、风险预警、心理评测、AI对话等相关数据及更新时间</w:t>
            </w:r>
            <w:r>
              <w:rPr>
                <w:rStyle w:val="1076"/>
                <w:b w:val="0"/>
                <w:bCs w:val="0"/>
                <w:sz w:val="20"/>
                <w:szCs w:val="20"/>
                <w:highlight w:val="none"/>
                <w:lang w:val="en-US" w:eastAsia="zh-CN" w:bidi="ar"/>
              </w:rPr>
              <w:t xml:space="preserve">。</w:t>
            </w:r>
            <w:r>
              <w:rPr>
                <w:rStyle w:val="1076"/>
                <w:b w:val="0"/>
                <w:bCs w:val="0"/>
                <w:sz w:val="20"/>
                <w:szCs w:val="20"/>
                <w:highlight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以上演示内容每成功演示一条得1分，部分满足或不满足的不得分，本项最高得9分。</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环境标志产品认证证书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719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cs="宋体"/>
                <w:b w:val="0"/>
                <w:bCs w:val="0"/>
                <w:i w:val="0"/>
                <w:iCs w:val="0"/>
                <w:color w:val="000000"/>
                <w:sz w:val="20"/>
                <w:szCs w:val="20"/>
                <w:highlight w:val="none"/>
                <w:u w:val="none"/>
                <w:lang w:val="en-US" w:eastAsia="zh-CN" w:bidi="ar"/>
              </w:rPr>
              <w:t xml:space="preserve">家具类</w:t>
            </w:r>
            <w:r>
              <w:rPr>
                <w:rFonts w:hint="eastAsia" w:ascii="宋体" w:hAnsi="宋体" w:eastAsia="宋体" w:cs="宋体"/>
                <w:b w:val="0"/>
                <w:bCs w:val="0"/>
                <w:i w:val="0"/>
                <w:iCs w:val="0"/>
                <w:color w:val="000000"/>
                <w:sz w:val="20"/>
                <w:szCs w:val="20"/>
                <w:highlight w:val="none"/>
                <w:u w:val="none"/>
                <w:lang w:val="en-US" w:eastAsia="zh-CN" w:bidi="ar"/>
              </w:rPr>
              <w:t xml:space="preserve">投标产品</w:t>
            </w:r>
            <w:r>
              <w:rPr>
                <w:rFonts w:hint="eastAsia" w:ascii="宋体" w:hAnsi="宋体" w:cs="宋体"/>
                <w:b w:val="0"/>
                <w:bCs w:val="0"/>
                <w:i w:val="0"/>
                <w:iCs w:val="0"/>
                <w:color w:val="000000"/>
                <w:sz w:val="20"/>
                <w:szCs w:val="20"/>
                <w:highlight w:val="none"/>
                <w:u w:val="none"/>
                <w:lang w:val="en-US" w:eastAsia="zh-CN" w:bidi="ar"/>
              </w:rPr>
              <w:t xml:space="preserve">（认证单元应包含钢木家具、软体家具）</w:t>
            </w:r>
            <w:r>
              <w:rPr>
                <w:rFonts w:hint="eastAsia" w:ascii="宋体" w:hAnsi="宋体" w:eastAsia="宋体" w:cs="宋体"/>
                <w:b w:val="0"/>
                <w:bCs w:val="0"/>
                <w:i w:val="0"/>
                <w:iCs w:val="0"/>
                <w:color w:val="000000"/>
                <w:sz w:val="20"/>
                <w:szCs w:val="20"/>
                <w:highlight w:val="none"/>
                <w:u w:val="none"/>
                <w:lang w:val="en-US" w:eastAsia="zh-CN" w:bidi="ar"/>
              </w:rPr>
              <w:t xml:space="preserve">属于财政部、生态环境部公布的《环境标志产品品目清单》（财库〔2019〕18号）范围内的，投标单位或生产厂家提供国家确定的认证机构出具的、处于有效期内的该环境标志产品认证证书的，得1分</w:t>
            </w:r>
            <w:r>
              <w:rPr>
                <w:rFonts w:hint="eastAsia" w:ascii="宋体" w:hAnsi="宋体" w:cs="宋体"/>
                <w:b w:val="0"/>
                <w:bCs w:val="0"/>
                <w:i w:val="0"/>
                <w:iCs w:val="0"/>
                <w:color w:val="000000"/>
                <w:sz w:val="20"/>
                <w:szCs w:val="20"/>
                <w:highlight w:val="none"/>
                <w:u w:val="none"/>
                <w:lang w:val="en-US" w:eastAsia="zh-CN" w:bidi="ar"/>
              </w:rPr>
              <w:t xml:space="preserve">，缺一不得分</w:t>
            </w:r>
            <w:r>
              <w:rPr>
                <w:rFonts w:hint="eastAsia" w:ascii="宋体" w:hAnsi="宋体" w:eastAsia="宋体" w:cs="宋体"/>
                <w:b w:val="0"/>
                <w:bCs w:val="0"/>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w:t>
            </w:r>
            <w:r/>
          </w:p>
        </w:tc>
      </w:tr>
    </w:tbl>
    <w:p>
      <w:pP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br w:type="page" w:clear="all"/>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第六章  投标</w:t>
      </w:r>
      <w:bookmarkEnd w:id="193"/>
      <w:r/>
      <w:bookmarkEnd w:id="194"/>
      <w:r/>
      <w:bookmarkEnd w:id="195"/>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文件格式</w:t>
      </w:r>
      <w:r/>
    </w:p>
    <w:p>
      <w:pPr>
        <w:jc w:val="center"/>
        <w:rPr>
          <w:rFonts w:hint="eastAsia" w:ascii="宋体" w:hAnsi="宋体"/>
          <w:b/>
          <w:color w:val="000000" w:themeColor="text1"/>
          <w:sz w:val="72"/>
          <w:szCs w:val="21"/>
          <w:highlight w:val="none"/>
          <w14:textFill>
            <w14:solidFill>
              <w14:schemeClr w14:val="tx1"/>
            </w14:solidFill>
          </w14:textFill>
        </w:rPr>
      </w:pPr>
      <w:r/>
      <w:bookmarkStart w:id="198" w:name="_Hlt26955039"/>
      <w:r/>
      <w:bookmarkEnd w:id="198"/>
      <w:r/>
      <w:bookmarkStart w:id="199" w:name="_Hlt26671244"/>
      <w:r/>
      <w:bookmarkEnd w:id="199"/>
      <w:r/>
      <w:bookmarkStart w:id="200" w:name="_Toc49090576"/>
      <w:r/>
      <w:bookmarkStart w:id="201" w:name="_Toc26554094"/>
      <w:r/>
      <w:bookmarkStart w:id="202" w:name="_Toc120614282"/>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（加盖电子公章）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rPr>
          <w:rFonts w:hint="eastAsia" w:ascii="方正黑体_GBK" w:hAnsi="方正黑体_GBK" w:eastAsia="方正黑体_GBK" w:cs="方正黑体_GBK"/>
          <w:color w:val="000000" w:themeColor="text1"/>
          <w:sz w:val="32"/>
          <w:szCs w:val="32"/>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r>
        <w:rPr>
          <w:rFonts w:hint="eastAsia" w:ascii="方正黑体_GBK" w:hAnsi="方正黑体_GBK" w:eastAsia="方正黑体_GBK" w:cs="方正黑体_GBK"/>
          <w:color w:val="000000" w:themeColor="text1"/>
          <w:sz w:val="32"/>
          <w:szCs w:val="32"/>
          <w:highlight w:val="none"/>
          <w14:textFill>
            <w14:solidFill>
              <w14:schemeClr w14:val="tx1"/>
            </w14:solidFill>
          </w14:textFill>
        </w:rPr>
        <w:t xml:space="preserve">投标文件目录</w:t>
      </w:r>
      <w:bookmarkEnd w:id="200"/>
      <w:r/>
      <w:bookmarkEnd w:id="201"/>
      <w:r/>
      <w:bookmarkEnd w:id="202"/>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bookmarkStart w:id="203" w:name="_Toc120614284"/>
      <w:r>
        <w:rPr>
          <w:rFonts w:hint="eastAsia" w:ascii="宋体" w:hAnsi="宋体" w:cs="宋体"/>
          <w:color w:val="000000" w:themeColor="text1"/>
          <w:sz w:val="28"/>
          <w:szCs w:val="28"/>
          <w:highlight w:val="none"/>
          <w14:textFill>
            <w14:solidFill>
              <w14:schemeClr w14:val="tx1"/>
            </w14:solidFill>
          </w14:textFill>
        </w:rPr>
        <w:t xml:space="preserve">一、</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南京市政府采购供应商信用记录表暨信用承诺书》</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二、满足特定资格要求的证明文件（如有特定资格要求）</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三、法人授权书</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四、投标函</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五、开标一览表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六、核心产品品牌一览表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七、投标分项报价表（如有）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八、技术要求响应及偏离表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九、商务要求响应及偏离表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十、中小企业声明函（如有）</w:t>
      </w:r>
      <w:r/>
    </w:p>
    <w:p>
      <w:pPr>
        <w:ind w:firstLine="560"/>
        <w:spacing w:line="600" w:lineRule="exact"/>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十一、关于符合本国产品标准的声明函（如有）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w:t>
      </w:r>
      <w:r>
        <w:rPr>
          <w:rFonts w:hint="eastAsia" w:ascii="宋体" w:hAnsi="宋体" w:cs="宋体"/>
          <w:color w:val="000000" w:themeColor="text1"/>
          <w:sz w:val="28"/>
          <w:szCs w:val="28"/>
          <w:highlight w:val="none"/>
          <w:lang w:val="en-US" w:eastAsia="zh-CN"/>
          <w14:textFill>
            <w14:solidFill>
              <w14:schemeClr w14:val="tx1"/>
            </w14:solidFill>
          </w14:textFill>
        </w:rPr>
        <w:t xml:space="preserve">二</w:t>
      </w:r>
      <w:r>
        <w:rPr>
          <w:rFonts w:hint="eastAsia" w:ascii="宋体" w:hAnsi="宋体" w:cs="宋体"/>
          <w:color w:val="000000" w:themeColor="text1"/>
          <w:sz w:val="28"/>
          <w:szCs w:val="28"/>
          <w:highlight w:val="none"/>
          <w14:textFill>
            <w14:solidFill>
              <w14:schemeClr w14:val="tx1"/>
            </w14:solidFill>
          </w14:textFill>
        </w:rPr>
        <w:t xml:space="preserve">、残疾人福利性单位声明函（如有）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w:t>
      </w:r>
      <w:r>
        <w:rPr>
          <w:rFonts w:hint="eastAsia" w:ascii="宋体" w:hAnsi="宋体" w:cs="宋体"/>
          <w:color w:val="000000" w:themeColor="text1"/>
          <w:sz w:val="28"/>
          <w:szCs w:val="28"/>
          <w:highlight w:val="none"/>
          <w:lang w:val="en-US" w:eastAsia="zh-CN"/>
          <w14:textFill>
            <w14:solidFill>
              <w14:schemeClr w14:val="tx1"/>
            </w14:solidFill>
          </w14:textFill>
        </w:rPr>
        <w:t xml:space="preserve">三</w:t>
      </w:r>
      <w:r>
        <w:rPr>
          <w:rFonts w:hint="eastAsia" w:ascii="宋体" w:hAnsi="宋体" w:cs="宋体"/>
          <w:color w:val="000000" w:themeColor="text1"/>
          <w:sz w:val="28"/>
          <w:szCs w:val="28"/>
          <w:highlight w:val="none"/>
          <w14:textFill>
            <w14:solidFill>
              <w14:schemeClr w14:val="tx1"/>
            </w14:solidFill>
          </w14:textFill>
        </w:rPr>
        <w:t xml:space="preserve">、联合体协议（如有）</w:t>
      </w:r>
      <w:r/>
    </w:p>
    <w:p>
      <w:pPr>
        <w:ind w:firstLine="560"/>
        <w:spacing w:line="600" w:lineRule="exact"/>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"_Toc21483"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十四</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、投标人类似业绩情况表</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ab/>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ind w:firstLine="560"/>
        <w:spacing w:line="600" w:lineRule="exact"/>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"_Toc14506"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十五</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、无重大违法记录声明格式</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ind w:firstLine="560"/>
        <w:spacing w:line="600" w:lineRule="exact"/>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"_Toc5236"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十六</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、具备履行合同所必需的设备和专业技术能力的声明格式</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ind w:firstLine="560"/>
        <w:spacing w:line="600" w:lineRule="exact"/>
        <w:rPr>
          <w:rFonts w:hint="eastAsia"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十七、</w:t>
      </w:r>
      <w:r>
        <w:rPr>
          <w:rFonts w:hint="eastAsia" w:cs="宋体"/>
          <w:color w:val="000000" w:themeColor="text1"/>
          <w:sz w:val="28"/>
          <w:szCs w:val="28"/>
          <w:highlight w:val="none"/>
          <w:lang w:val="en-US" w:eastAsia="zh-CN" w:bidi="ar-SA"/>
          <w14:textFill>
            <w14:solidFill>
              <w14:schemeClr w14:val="tx1"/>
            </w14:solidFill>
          </w14:textFill>
        </w:rPr>
        <w:t xml:space="preserve">服务方案</w:t>
      </w:r>
      <w:r/>
    </w:p>
    <w:p>
      <w:pPr>
        <w:ind w:firstLine="560"/>
        <w:spacing w:line="600" w:lineRule="exact"/>
        <w:rPr>
          <w:rFonts w:hint="eastAsia" w:cs="宋体"/>
          <w:color w:val="000000" w:themeColor="text1"/>
          <w:sz w:val="28"/>
          <w:szCs w:val="28"/>
          <w:highlight w:val="none"/>
          <w:lang w:val="en-US" w:eastAsia="zh-CN" w:bidi="ar-SA"/>
          <w14:textFill>
            <w14:solidFill>
              <w14:schemeClr w14:val="tx1"/>
            </w14:solidFill>
          </w14:textFill>
        </w:rPr>
      </w:pPr>
      <w:r>
        <w:rPr>
          <w:rFonts w:hint="eastAsia" w:cs="宋体"/>
          <w:color w:val="000000" w:themeColor="text1"/>
          <w:sz w:val="28"/>
          <w:szCs w:val="28"/>
          <w:highlight w:val="none"/>
          <w:lang w:val="en-US" w:eastAsia="zh-CN" w:bidi="ar-SA"/>
          <w14:textFill>
            <w14:solidFill>
              <w14:schemeClr w14:val="tx1"/>
            </w14:solidFill>
          </w14:textFill>
        </w:rPr>
        <w:t xml:space="preserve">十八、其他</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b w:val="0"/>
          <w:color w:val="000000" w:themeColor="text1"/>
          <w:position w:val="0"/>
          <w:sz w:val="24"/>
          <w:szCs w:val="24"/>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一、</w:t>
      </w:r>
      <w:r>
        <w:rPr>
          <w:rFonts w:hint="eastAsia" w:ascii="黑体" w:hAnsi="黑体" w:eastAsia="黑体"/>
          <w:color w:val="000000" w:themeColor="text1"/>
          <w:sz w:val="32"/>
          <w:szCs w:val="32"/>
          <w:highlight w:val="none"/>
          <w:lang w:eastAsia="zh-CN"/>
          <w14:textFill>
            <w14:solidFill>
              <w14:schemeClr w14:val="tx1"/>
            </w14:solidFill>
          </w14:textFill>
        </w:rPr>
        <w:t xml:space="preserve">《</w:t>
      </w:r>
      <w:r>
        <w:rPr>
          <w:rFonts w:hint="eastAsia" w:ascii="黑体" w:hAnsi="黑体" w:eastAsia="黑体"/>
          <w:color w:val="000000" w:themeColor="text1"/>
          <w:sz w:val="32"/>
          <w:szCs w:val="32"/>
          <w:highlight w:val="none"/>
          <w14:textFill>
            <w14:solidFill>
              <w14:schemeClr w14:val="tx1"/>
            </w14:solidFill>
          </w14:textFill>
        </w:rPr>
        <w:t xml:space="preserve">南京市政府采购供应商信用记录表暨信用承诺书》</w:t>
      </w:r>
      <w:r/>
    </w:p>
    <w:p>
      <w:pPr>
        <w:pStyle w:val="809"/>
        <w:ind w:firstLine="0"/>
        <w:jc w:val="center"/>
        <w:spacing w:line="360" w:lineRule="auto"/>
        <w:rPr>
          <w:rFonts w:eastAsia="仿宋"/>
          <w:b/>
          <w:bCs/>
          <w:color w:val="000000" w:themeColor="text1"/>
          <w:sz w:val="32"/>
          <w:szCs w:val="32"/>
          <w:highlight w:val="none"/>
          <w14:textFill>
            <w14:solidFill>
              <w14:schemeClr w14:val="tx1"/>
            </w14:solidFill>
          </w14:textFill>
        </w:rPr>
      </w:pPr>
      <w:r/>
      <w:bookmarkStart w:id="204" w:name="_Toc19773"/>
      <w:r>
        <w:rPr>
          <w:rFonts w:eastAsia="仿宋"/>
          <w:b/>
          <w:bCs/>
          <w:color w:val="000000" w:themeColor="text1"/>
          <w:sz w:val="32"/>
          <w:szCs w:val="32"/>
          <w:highlight w:val="none"/>
          <w14:textFill>
            <w14:solidFill>
              <w14:schemeClr w14:val="tx1"/>
            </w14:solidFill>
          </w14:textFill>
        </w:rPr>
        <w:t xml:space="preserve">南京市政府采购供应商信用记录表暨信用承诺书</w:t>
      </w:r>
      <w:bookmarkEnd w:id="204"/>
      <w:r/>
      <w:r/>
    </w:p>
    <w:p>
      <w:pPr>
        <w:jc w:val="center"/>
        <w:spacing w:line="360" w:lineRule="auto"/>
        <w:shd w:val="clear" w:color="auto" w:fill="eeece1" w:themeFill="background2"/>
        <w:rPr>
          <w:rFonts w:eastAsia="仿宋"/>
          <w:color w:val="000000" w:themeColor="text1"/>
          <w:sz w:val="20"/>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（仅为示范格式，直接填写无效，需至“南京政府采购供应商诚信档案管理系统”在线打印）</w:t>
      </w:r>
      <w:r/>
    </w:p>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20  年  月  日</w:t>
      </w:r>
      <w:r/>
    </w:p>
    <w:tbl>
      <w:tblPr>
        <w:tblStyle w:val="719"/>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单位名称</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统一社会信用代码</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法定代表人</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联系人</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联系地址</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联系电话</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1566"/>
        </w:trPr>
        <w:tc>
          <w:tcPr>
            <w:tcW w:w="2133"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诚信档案记录情况</w:t>
            </w:r>
            <w:r/>
          </w:p>
        </w:tc>
        <w:tc>
          <w:tcPr>
            <w:gridSpan w:val="3"/>
            <w:tcW w:w="6475"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r>
      <w:tr>
        <w:trPr>
          <w:trHeight w:val="6692"/>
        </w:trPr>
        <w:tc>
          <w:tcPr>
            <w:tcW w:w="2133"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信用承诺</w:t>
            </w:r>
            <w:r/>
          </w:p>
        </w:tc>
        <w:tc>
          <w:tcPr>
            <w:gridSpan w:val="3"/>
            <w:tcW w:w="6475" w:type="dxa"/>
            <w:vAlign w:val="center"/>
            <w:textDirection w:val="lrTb"/>
            <w:noWrap w:val="false"/>
          </w:tcPr>
          <w:p>
            <w:pPr>
              <w:ind w:right="60" w:firstLine="474"/>
              <w:jc w:val="left"/>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我公司自愿参加贵中心（公司）组织的本次采购活动，严格遵守《中华人民政府采购法》及相关</w:t>
            </w:r>
            <w:r>
              <w:rPr>
                <w:rFonts w:eastAsia="仿宋"/>
                <w:color w:val="000000" w:themeColor="text1"/>
                <w:sz w:val="24"/>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供应商名称（公章）：</w:t>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法定代表人（签字）：</w:t>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二〇   年  月    日</w:t>
            </w:r>
            <w:r/>
          </w:p>
        </w:tc>
      </w:tr>
    </w:tbl>
    <w:p>
      <w:pPr>
        <w:ind w:firstLine="482"/>
        <w:keepLines w:val="0"/>
        <w:keepNext w:val="0"/>
        <w:pageBreakBefore w:val="0"/>
        <w:spacing w:line="360" w:lineRule="auto"/>
        <w:widowControl w:val="off"/>
        <w:rPr>
          <w:rFonts w:hint="eastAsia"/>
          <w:b/>
          <w:bCs w:val="0"/>
          <w:color w:val="000000" w:themeColor="text1"/>
          <w:position w:val="0"/>
          <w:sz w:val="24"/>
          <w:szCs w:val="24"/>
          <w:highlight w:val="none"/>
          <w:u w:val="single"/>
          <w14:textFill>
            <w14:solidFill>
              <w14:schemeClr w14:val="tx1"/>
            </w14:solidFill>
          </w14:textFill>
        </w:rPr>
      </w:pPr>
      <w:r>
        <w:rPr>
          <w:rFonts w:hint="eastAsia"/>
          <w:b/>
          <w:bCs w:val="0"/>
          <w:color w:val="000000" w:themeColor="text1"/>
          <w:position w:val="0"/>
          <w:sz w:val="24"/>
          <w:szCs w:val="24"/>
          <w:highlight w:val="none"/>
          <w:u w:val="singl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0"/>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ind w:firstLine="482"/>
        <w:keepLines w:val="0"/>
        <w:keepNext w:val="0"/>
        <w:pageBreakBefore w:val="0"/>
        <w:spacing w:line="360" w:lineRule="auto"/>
        <w:widowControl w:val="off"/>
        <w:rPr>
          <w:rFonts w:hint="eastAsia"/>
          <w:b/>
          <w:bCs w:val="0"/>
          <w:color w:val="000000" w:themeColor="text1"/>
          <w:position w:val="0"/>
          <w:sz w:val="24"/>
          <w:szCs w:val="24"/>
          <w:highlight w:val="none"/>
          <w:u w:val="single"/>
          <w14:textFill>
            <w14:solidFill>
              <w14:schemeClr w14:val="tx1"/>
            </w14:solidFill>
          </w14:textFill>
        </w:rPr>
      </w:pPr>
      <w:r>
        <w:rPr>
          <w:rFonts w:hint="eastAsia"/>
          <w:bCs/>
          <w:color w:val="000000" w:themeColor="text1"/>
          <w:position w:val="0"/>
          <w:sz w:val="24"/>
          <w:szCs w:val="24"/>
          <w:highlight w:val="none"/>
          <w:u w:val="single"/>
          <w14:textFill>
            <w14:solidFill>
              <w14:schemeClr w14:val="tx1"/>
            </w14:solidFill>
          </w14:textFill>
        </w:rPr>
        <w:t xml:space="preserve">注：</w:t>
      </w:r>
      <w:r>
        <w:rPr>
          <w:rFonts w:hint="eastAsia"/>
          <w:b/>
          <w:bCs w:val="0"/>
          <w:color w:val="000000" w:themeColor="text1"/>
          <w:position w:val="0"/>
          <w:sz w:val="24"/>
          <w:szCs w:val="24"/>
          <w:highlight w:val="none"/>
          <w:u w:val="single"/>
          <w14:textFill>
            <w14:solidFill>
              <w14:schemeClr w14:val="tx1"/>
            </w14:solidFill>
          </w14:textFill>
        </w:rPr>
        <w:t xml:space="preserve">该信用承诺书生成时间必须为本项目公告挂网时间之后，开标时间之前</w:t>
      </w:r>
      <w:r/>
    </w:p>
    <w:p>
      <w:pPr>
        <w:rPr>
          <w:rFonts w:hint="eastAsia" w:ascii="黑体" w:hAnsi="黑体" w:eastAsia="黑体"/>
          <w:bCs/>
          <w:i/>
          <w:sz w:val="32"/>
          <w:szCs w:val="32"/>
          <w:highlight w:val="none"/>
          <w:u w:val="single"/>
          <w14:textFill>
            <w14:solidFill>
              <w14:schemeClr w14:val="tx1"/>
            </w14:solidFill>
          </w14:textFill>
        </w:rPr>
      </w:pPr>
      <w:r>
        <w:rPr>
          <w:rFonts w:hint="eastAsia" w:ascii="黑体" w:hAnsi="黑体" w:eastAsia="黑体"/>
          <w:bCs/>
          <w:i/>
          <w:sz w:val="32"/>
          <w:szCs w:val="32"/>
          <w:highlight w:val="none"/>
          <w:u w:val="single"/>
          <w14:textFill>
            <w14:solidFill>
              <w14:schemeClr w14:val="tx1"/>
            </w14:solidFill>
          </w14:textFill>
        </w:rPr>
      </w:r>
      <w:r>
        <w:rPr>
          <w:rFonts w:hint="eastAsia" w:ascii="黑体" w:hAnsi="黑体" w:eastAsia="黑体"/>
          <w:bCs/>
          <w:i/>
          <w:sz w:val="32"/>
          <w:szCs w:val="32"/>
          <w:highlight w:val="none"/>
          <w:u w:val="single"/>
          <w14:textFill>
            <w14:solidFill>
              <w14:schemeClr w14:val="tx1"/>
            </w14:solidFill>
          </w14:textFill>
        </w:rPr>
      </w:r>
      <w:r/>
    </w:p>
    <w:p>
      <w:pPr>
        <w:rPr>
          <w:rFonts w:hint="eastAsia" w:ascii="黑体" w:hAnsi="黑体" w:eastAsia="黑体"/>
          <w:bCs/>
          <w:i/>
          <w:sz w:val="32"/>
          <w:szCs w:val="32"/>
          <w:highlight w:val="none"/>
          <w:u w:val="single"/>
          <w14:textFill>
            <w14:solidFill>
              <w14:schemeClr w14:val="tx1"/>
            </w14:solidFill>
          </w14:textFill>
        </w:rPr>
      </w:pPr>
      <w:r>
        <w:rPr>
          <w:rFonts w:hint="eastAsia" w:ascii="黑体" w:hAnsi="黑体" w:eastAsia="黑体"/>
          <w:bCs/>
          <w:i/>
          <w:sz w:val="32"/>
          <w:szCs w:val="32"/>
          <w:highlight w:val="none"/>
          <w:u w:val="single"/>
          <w14:textFill>
            <w14:solidFill>
              <w14:schemeClr w14:val="tx1"/>
            </w14:solidFill>
          </w14:textFill>
        </w:rPr>
      </w:r>
      <w:r>
        <w:rPr>
          <w:rFonts w:hint="eastAsia" w:ascii="黑体" w:hAnsi="黑体" w:eastAsia="黑体"/>
          <w:bCs/>
          <w:i/>
          <w:sz w:val="32"/>
          <w:szCs w:val="32"/>
          <w:highlight w:val="none"/>
          <w:u w:val="single"/>
          <w14:textFill>
            <w14:solidFill>
              <w14:schemeClr w14:val="tx1"/>
            </w14:solidFill>
          </w14:textFill>
        </w:rPr>
      </w:r>
      <w:r/>
    </w:p>
    <w:p>
      <w:pPr>
        <w:rPr>
          <w:rFonts w:hint="eastAsia" w:ascii="黑体" w:hAnsi="黑体" w:eastAsia="黑体"/>
          <w:bCs/>
          <w:i/>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二、满足特定资格要求的证明文件</w:t>
      </w:r>
      <w:r/>
    </w:p>
    <w:p>
      <w:pPr>
        <w:pStyle w:val="1033"/>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本项目申请人的特定资格要求中要求提供的材料。</w:t>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pStyle w:val="797"/>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三、法人授权书</w:t>
      </w:r>
      <w:r/>
    </w:p>
    <w:p>
      <w:pPr>
        <w:jc w:val="center"/>
        <w:spacing w:line="420" w:lineRule="exact"/>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法人授权书</w:t>
      </w:r>
      <w:r/>
    </w:p>
    <w:p>
      <w:pPr>
        <w:pStyle w:val="1033"/>
        <w:ind w:firstLine="480"/>
        <w:spacing w:line="4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33"/>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（投标人名称）授权</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（被授权人姓名）作为我方参加编号为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pStyle w:val="1033"/>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本授权书自______年____月____日起生效，特此声明。</w:t>
      </w:r>
      <w:r/>
    </w:p>
    <w:p>
      <w:pPr>
        <w:pStyle w:val="1033"/>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被授权人身份证号码：</w:t>
      </w:r>
      <w:r/>
    </w:p>
    <w:p>
      <w:pPr>
        <w:pStyle w:val="1033"/>
        <w:ind w:firstLine="480"/>
        <w:spacing w:line="48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被授权人联系电话：（手机）</w:t>
      </w:r>
      <w:r/>
    </w:p>
    <w:p>
      <w:pPr>
        <w:pStyle w:val="1033"/>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单位名称：</w:t>
      </w:r>
      <w:r>
        <w:rPr>
          <w:rFonts w:hint="eastAsia" w:ascii="宋体" w:hAnsi="宋体" w:cs="宋体"/>
          <w:color w:val="000000" w:themeColor="text1"/>
          <w:sz w:val="24"/>
          <w:szCs w:val="24"/>
          <w:highlight w:val="none"/>
          <w14:textFill>
            <w14:solidFill>
              <w14:schemeClr w14:val="tx1"/>
            </w14:solidFill>
          </w14:textFill>
        </w:rPr>
        <w:t xml:space="preserve">（加盖电子公章）</w:t>
      </w:r>
      <w:r/>
    </w:p>
    <w:p>
      <w:pPr>
        <w:pStyle w:val="1033"/>
        <w:ind w:firstLine="480"/>
        <w:spacing w:line="48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单位地址：</w:t>
      </w:r>
      <w:r/>
    </w:p>
    <w:p>
      <w:pPr>
        <w:pStyle w:val="1033"/>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bookmarkStart w:id="205" w:name="_格式3__银行出具的资信证明"/>
      <w:r/>
      <w:bookmarkEnd w:id="205"/>
      <w:r/>
      <w:bookmarkStart w:id="206" w:name="_Hlt26955070"/>
      <w:r/>
      <w:bookmarkEnd w:id="206"/>
      <w:r/>
      <w:bookmarkStart w:id="207" w:name="_Hlt26671380"/>
      <w:r/>
      <w:bookmarkEnd w:id="207"/>
      <w:r/>
      <w:r/>
    </w:p>
    <w:p>
      <w:pPr>
        <w:pStyle w:val="950"/>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95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60" w:lineRule="exact"/>
        <w:rPr>
          <w:rFonts w:hint="eastAsia" w:ascii="楷体" w:hAnsi="楷体" w:eastAsia="楷体"/>
          <w:bCs/>
          <w:color w:val="000000" w:themeColor="text1"/>
          <w:sz w:val="24"/>
          <w:szCs w:val="24"/>
          <w:highlight w:val="none"/>
          <w14:textFill>
            <w14:solidFill>
              <w14:schemeClr w14:val="tx1"/>
            </w14:solidFill>
          </w14:textFill>
        </w:rPr>
      </w:pPr>
      <w:r>
        <w:rPr>
          <w:rFonts w:hint="eastAsia" w:ascii="楷体" w:hAnsi="楷体" w:eastAsia="楷体"/>
          <w:bCs/>
          <w:color w:val="000000" w:themeColor="text1"/>
          <w:sz w:val="24"/>
          <w:szCs w:val="24"/>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四、投标函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投标函</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致：南京中华中等专业学校</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根据贵方编号为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项目招标文件，我方正式提</w:t>
      </w:r>
      <w:r>
        <w:rPr>
          <w:rFonts w:hint="eastAsia" w:ascii="宋体" w:hAnsi="宋体" w:cs="宋体"/>
          <w:color w:val="000000" w:themeColor="text1"/>
          <w:highlight w:val="none"/>
          <w14:textFill>
            <w14:solidFill>
              <w14:schemeClr w14:val="tx1"/>
            </w14:solidFill>
          </w14:textFill>
        </w:rPr>
        <w:t xml:space="preserve">交投标函，</w:t>
      </w:r>
      <w:r>
        <w:rPr>
          <w:rFonts w:hint="eastAsia" w:ascii="宋体" w:hAnsi="宋体"/>
          <w:color w:val="000000" w:themeColor="text1"/>
          <w:szCs w:val="21"/>
          <w:highlight w:val="none"/>
          <w14:textFill>
            <w14:solidFill>
              <w14:schemeClr w14:val="tx1"/>
            </w14:solidFill>
          </w14:textFill>
        </w:rPr>
        <w:t xml:space="preserve">并宣布同意如下内容：</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1.按招标文件规定的各项要求，向买方提供所需货物（包含与货物相关的服务）。</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7.我方为：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大型企业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微型企业（在对应</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lang w:val="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8.我方与本次投标有关信息</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1035"/>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1035"/>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1035"/>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开户行：</w:t>
      </w:r>
      <w:r/>
    </w:p>
    <w:p>
      <w:pPr>
        <w:pStyle w:val="1035"/>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w:t>
      </w:r>
      <w:r/>
    </w:p>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w:t>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五、开标一览表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开标一览表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采购包号：</w:t>
      </w:r>
      <w:r/>
    </w:p>
    <w:tbl>
      <w:tblPr>
        <w:tblStyle w:val="719"/>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720"/>
        </w:trPr>
        <w:tc>
          <w:tcPr>
            <w:tcW w:w="9450" w:type="dxa"/>
            <w:vAlign w:val="center"/>
            <w:textDirection w:val="lrTb"/>
            <w:noWrap w:val="false"/>
          </w:tcPr>
          <w:p>
            <w:pPr>
              <w:pStyle w:val="1035"/>
              <w:ind w:firstLine="0"/>
              <w:spacing w:before="0" w:after="0"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                             </w:t>
            </w:r>
            <w:r/>
          </w:p>
        </w:tc>
      </w:tr>
    </w:tbl>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r/>
    </w:p>
    <w:p>
      <w:pPr>
        <w:ind w:firstLine="480"/>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黑体" w:hAnsi="黑体" w:eastAsia="黑体"/>
          <w:b/>
          <w:i/>
          <w:color w:val="000000" w:themeColor="text1"/>
          <w:sz w:val="32"/>
          <w:szCs w:val="32"/>
          <w:highlight w:val="none"/>
          <w:u w:val="single"/>
          <w14:textFill>
            <w14:solidFill>
              <w14:schemeClr w14:val="tx1"/>
            </w14:solidFill>
          </w14:textFill>
        </w:rPr>
      </w:r>
      <w:r/>
    </w:p>
    <w:p>
      <w:pPr>
        <w:pStyle w:val="10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ascii="黑体" w:eastAsia="黑体"/>
          <w:color w:val="000000" w:themeColor="text1"/>
          <w:sz w:val="32"/>
          <w:szCs w:val="32"/>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asci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核心产品品牌一览表</w:t>
      </w:r>
      <w:r/>
    </w:p>
    <w:tbl>
      <w:tblPr>
        <w:tblStyle w:val="719"/>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序号</w:t>
            </w:r>
            <w:r/>
          </w:p>
        </w:tc>
        <w:tc>
          <w:tcPr>
            <w:tcW w:w="3753"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rPr>
                <w:rFonts w:hint="eastAsia" w:ascii="宋体" w:hAnsi="宋体"/>
                <w:color w:val="000000" w:themeColor="text1"/>
                <w:sz w:val="24"/>
                <w:szCs w:val="24"/>
                <w:highlight w:val="none"/>
                <w:lang w:val="zh-CN"/>
                <w14:textFill>
                  <w14:solidFill>
                    <w14:schemeClr w14:val="tx1"/>
                  </w14:solidFill>
                </w14:textFill>
              </w:rPr>
              <w:t xml:space="preserve">名称</w:t>
            </w:r>
            <w:r/>
          </w:p>
        </w:tc>
        <w:tc>
          <w:tcPr>
            <w:tcW w:w="2158"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rPr>
                <w:rFonts w:hint="eastAsia" w:ascii="宋体" w:hAnsi="宋体"/>
                <w:color w:val="000000" w:themeColor="text1"/>
                <w:sz w:val="24"/>
                <w:szCs w:val="24"/>
                <w:highlight w:val="none"/>
                <w:lang w:val="zh-CN"/>
                <w14:textFill>
                  <w14:solidFill>
                    <w14:schemeClr w14:val="tx1"/>
                  </w14:solidFill>
                </w14:textFill>
              </w:rPr>
              <w:t xml:space="preserve">品牌</w:t>
            </w:r>
            <w:r/>
          </w:p>
        </w:tc>
        <w:tc>
          <w:tcPr>
            <w:tcW w:w="2391"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w:t>
            </w:r>
            <w:r/>
          </w:p>
        </w:tc>
        <w:tc>
          <w:tcPr>
            <w:tcW w:w="375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158" w:type="dxa"/>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391"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bl>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jc w:val="left"/>
        <w:spacing w:line="360" w:lineRule="auto"/>
        <w:widowControl/>
        <w:rPr>
          <w:rFonts w:ascii="宋体" w:cs="宋体"/>
          <w:color w:val="000000" w:themeColor="text1"/>
          <w:szCs w:val="21"/>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lang w:val="zh-CN"/>
          <w14:textFill>
            <w14:solidFill>
              <w14:schemeClr w14:val="tx1"/>
            </w14:solidFill>
          </w14:textFill>
        </w:rPr>
        <w:t xml:space="preserve">名称</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82"/>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rPr>
          <w:rFonts w:hint="eastAsia" w:ascii="黑体" w:hAnsi="黑体" w:eastAsia="黑体"/>
          <w:color w:val="000000" w:themeColor="text1"/>
          <w:sz w:val="32"/>
          <w:szCs w:val="32"/>
          <w:highlight w:val="none"/>
          <w14:textFill>
            <w14:solidFill>
              <w14:schemeClr w14:val="tx1"/>
            </w14:solidFill>
          </w14:textFill>
        </w:rPr>
        <w:t xml:space="preserve">七、投标分项报价表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投标分项报价表</w:t>
      </w:r>
      <w:r/>
    </w:p>
    <w:tbl>
      <w:tblPr>
        <w:tblStyle w:val="719"/>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55"/>
        <w:gridCol w:w="130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产品名称</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规格或型号</w:t>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交付期（天）</w:t>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w:t>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单价（元）</w:t>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gridSpan w:val="8"/>
            <w:tcW w:w="9380" w:type="dxa"/>
            <w:vAlign w:val="center"/>
            <w:textDirection w:val="lrTb"/>
            <w:noWrap w:val="false"/>
          </w:tcPr>
          <w:p>
            <w:pP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投标总价（元）：</w:t>
            </w:r>
            <w:r/>
          </w:p>
        </w:tc>
      </w:tr>
    </w:tbl>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none"/>
          <w14:textFill>
            <w14:solidFill>
              <w14:schemeClr w14:val="tx1"/>
            </w14:solidFill>
          </w14:textFill>
        </w:rPr>
        <w:t xml:space="preserve">备注： </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1.“投标报价”应包括为完成整个项目所产生的所有费用，招标文件另有规定的除外。</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2.《投标分项报价表》中“投标总价”应当与《开标一览表》中“投标总报价”一致。</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3.供应商所投产品须与“第四章-</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清单”中的产品一一对应，如有缺项、漏项或者超出单价上限，视为无效投标。“</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清单”中分项仅为一项的，此表无需提供。</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4.行数不够，可自行添加。</w:t>
      </w:r>
      <w:r/>
    </w:p>
    <w:p>
      <w:pP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八、技术要求响应及偏离表</w:t>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技术要求响应及偏离表</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46"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pStyle w:val="1012"/>
        <w:ind w:firstLine="480"/>
        <w:jc w:val="both"/>
        <w:spacing w:before="0" w:beforeAutospacing="0" w:after="0" w:afterAutospacing="0"/>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 </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1.供应商须对招标文件技术要求中的实质性要求（斜体下划线内容或打“★”内容）及其他要求做出明确响应，否则视为无效投标。</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3.行数不够，可自行添加。</w:t>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九、商务要求响应及偏离表</w:t>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商务要求响应及偏离表</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7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1" w:type="dxa"/>
            <w:vAlign w:val="center"/>
            <w:textDirection w:val="lrTb"/>
            <w:noWrap w:val="false"/>
          </w:tcPr>
          <w:p>
            <w:pPr>
              <w:jc w:val="cente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 </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1.供应商须对采购文件商务要求中的实质性要求（斜体下划线内容或打“★”内容）做出明确响应，否则视为无效投标。</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2.行数不够，可自行添加。</w:t>
      </w:r>
      <w:r/>
    </w:p>
    <w:p>
      <w:pPr>
        <w:spacing w:line="48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spacing w:line="480" w:lineRule="auto"/>
        <w:rPr>
          <w:rFonts w:ascii="仿宋_GB2312" w:hAnsi="Arial"/>
          <w:color w:val="000000" w:themeColor="text1"/>
          <w:sz w:val="30"/>
          <w:szCs w:val="21"/>
          <w:highlight w:val="none"/>
          <w14:textFill>
            <w14:solidFill>
              <w14:schemeClr w14:val="tx1"/>
            </w14:solidFill>
          </w14:textFill>
        </w:rPr>
      </w:pPr>
      <w:r>
        <w:rPr>
          <w:rFonts w:ascii="仿宋_GB2312" w:hAnsi="Arial"/>
          <w:color w:val="000000" w:themeColor="text1"/>
          <w:sz w:val="30"/>
          <w:szCs w:val="21"/>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十、中小企业声明函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中小企业声明函（货物）</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项目（采购包号：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300号)的规定，相关企业（含联合体中的小微企业、签订分包意向协议的小微企业）的具体情况如下：</w:t>
      </w:r>
      <w:r/>
    </w:p>
    <w:p>
      <w:pPr>
        <w:ind w:firstLine="360"/>
        <w:spacing w:line="360" w:lineRule="auto"/>
        <w:rPr>
          <w:rFonts w:hint="eastAsia"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（标的名称）属于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行业（采购文件中明确的所属行业）；制造商为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360"/>
        <w:spacing w:line="360" w:lineRule="auto"/>
        <w:rPr>
          <w:rFonts w:hint="eastAsia" w:ascii="宋体" w:hAnsi="宋体"/>
          <w:i/>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（标的名称）属于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行业（采购文件中明确的所属行业）；制造商为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102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36"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1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000000" w:themeColor="text1"/>
          <w:sz w:val="24"/>
          <w:szCs w:val="24"/>
          <w:highlight w:val="none"/>
          <w14:textFill>
            <w14:solidFill>
              <w14:schemeClr w14:val="tx1"/>
            </w14:solidFill>
          </w14:textFill>
        </w:rPr>
        <w:t xml:space="preserve">（货物由中小企业制造，即货物由中小企业生产且使用该中小企业商号或者注册商标）</w:t>
      </w:r>
      <w:r>
        <w:rPr>
          <w:rFonts w:hint="eastAsia" w:ascii="宋体" w:hAnsi="宋体"/>
          <w:color w:val="000000" w:themeColor="text1"/>
          <w:sz w:val="24"/>
          <w:szCs w:val="24"/>
          <w:highlight w:val="none"/>
          <w14:textFill>
            <w14:solidFill>
              <w14:schemeClr w14:val="tx1"/>
            </w14:solidFill>
          </w14:textFill>
        </w:rPr>
        <w:t xml:space="preserve">，不对其中涉及的服务的承接商、工程的承建商作出要求。</w:t>
      </w:r>
      <w:r/>
    </w:p>
    <w:p>
      <w:pPr>
        <w:numPr>
          <w:ilvl w:val="0"/>
          <w:numId w:val="0"/>
        </w:numPr>
        <w:jc w:val="left"/>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z w:val="32"/>
          <w:szCs w:val="32"/>
          <w:highlight w:val="none"/>
          <w:u w:val="none"/>
          <w:lang w:val="en-US" w:eastAsia="zh-CN"/>
          <w14:textFill>
            <w14:solidFill>
              <w14:schemeClr w14:val="tx1"/>
            </w14:solidFill>
          </w14:textFill>
        </w:rPr>
        <w:t xml:space="preserve">十一、关于符合本国产品标准的声明函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42"/>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42"/>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48"/>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48"/>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48"/>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48"/>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48"/>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48"/>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48"/>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（规定比例）</w:t>
      </w:r>
      <w:r>
        <w:rPr>
          <w:rStyle w:val="748"/>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48"/>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48"/>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（关键组件）</w:t>
      </w:r>
      <w:r>
        <w:rPr>
          <w:rStyle w:val="748"/>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48"/>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48"/>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（关键工序）</w:t>
      </w:r>
      <w:r>
        <w:rPr>
          <w:rStyle w:val="748"/>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42"/>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2.</w:t>
      </w:r>
      <w:r>
        <w:rPr>
          <w:rStyle w:val="748"/>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，生产厂为</w:t>
      </w:r>
      <w:r>
        <w:rPr>
          <w:rStyle w:val="748"/>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48"/>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48"/>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48"/>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48"/>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48"/>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48"/>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48"/>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42"/>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42"/>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以上产品成本之和</w:t>
      </w:r>
      <w:r>
        <w:rPr>
          <w:rFonts w:ascii="Wingdings" w:hAnsi="Wingdings" w:eastAsia="Wingdings" w:cs="Wingdings"/>
          <w:b/>
          <w:bCs/>
          <w:color w:val="000000" w:themeColor="text1"/>
          <w:highlight w:val="none"/>
          <w:u w:val="single"/>
          <w:shd w:val="clear" w:color="auto" w:fill="ffffff"/>
          <w:lang w:val="en-US" w:eastAsia="zh-CN"/>
          <w14:textFill>
            <w14:solidFill>
              <w14:schemeClr w14:val="tx1"/>
            </w14:solidFill>
          </w14:textFill>
        </w:rPr>
        <w:t xml:space="preserve">¨</w:t>
      </w:r>
      <w:r>
        <w:rPr>
          <w:rFonts w:hint="eastAsia" w:ascii="宋体" w:hAnsi="宋体" w:eastAsia="宋体" w:cs="宋体"/>
          <w:b/>
          <w:bCs/>
          <w:color w:val="000000" w:themeColor="text1"/>
          <w:highlight w:val="none"/>
          <w:u w:val="single"/>
          <w:shd w:val="clear" w:color="auto" w:fill="ffffff"/>
          <w:lang w:val="en-US" w:eastAsia="zh-CN"/>
          <w14:textFill>
            <w14:solidFill>
              <w14:schemeClr w14:val="tx1"/>
            </w14:solidFill>
          </w14:textFill>
        </w:rPr>
        <w:t xml:space="preserve">是</w:t>
      </w:r>
      <w:r>
        <w:rPr>
          <w:rFonts w:ascii="Wingdings" w:hAnsi="Wingdings" w:eastAsia="Wingdings" w:cs="Wingdings"/>
          <w:b/>
          <w:bCs/>
          <w:color w:val="000000" w:themeColor="text1"/>
          <w:highlight w:val="none"/>
          <w:u w:val="single"/>
          <w:shd w:val="clear" w:color="auto" w:fill="ffffff"/>
          <w:lang w:val="en-US" w:eastAsia="zh-CN"/>
          <w14:textFill>
            <w14:solidFill>
              <w14:schemeClr w14:val="tx1"/>
            </w14:solidFill>
          </w14:textFill>
        </w:rPr>
        <w:t xml:space="preserve">¨</w:t>
      </w:r>
      <w:r>
        <w:rPr>
          <w:rFonts w:hint="eastAsia" w:ascii="宋体" w:hAnsi="宋体" w:eastAsia="宋体" w:cs="宋体"/>
          <w:b/>
          <w:bCs/>
          <w:color w:val="000000" w:themeColor="text1"/>
          <w:highlight w:val="none"/>
          <w:u w:val="single"/>
          <w:shd w:val="clear" w:color="auto" w:fill="ffffff"/>
          <w:lang w:val="en-US" w:eastAsia="zh-CN"/>
          <w14:textFill>
            <w14:solidFill>
              <w14:schemeClr w14:val="tx1"/>
            </w14:solidFill>
          </w14:textFill>
        </w:rPr>
        <w:t xml:space="preserve">否</w:t>
      </w:r>
      <w:r>
        <w:rPr>
          <w:rFonts w:hint="eastAsia" w:ascii="宋体" w:hAnsi="宋体" w:eastAsia="宋体" w:cs="宋体"/>
          <w:color w:val="000000" w:themeColor="text1"/>
          <w:highlight w:val="none"/>
          <w:u w:val="none"/>
          <w:shd w:val="clear" w:color="auto" w:fill="ffffff"/>
          <w:lang w:val="en-US" w:eastAsia="zh-CN"/>
          <w14:textFill>
            <w14:solidFill>
              <w14:schemeClr w14:val="tx1"/>
            </w14:solidFill>
          </w14:textFill>
        </w:rPr>
        <w:t xml:space="preserve">达到</w:t>
      </w: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w:t>
      </w: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提供的全部产品成本之和的80%以上。</w:t>
      </w:r>
      <w:r>
        <w:rPr>
          <w:rStyle w:val="748"/>
          <w:rFonts w:hint="eastAsia" w:ascii="宋体" w:hAnsi="宋体" w:eastAsia="宋体" w:cs="宋体"/>
          <w:i w:val="0"/>
          <w:color w:val="000000" w:themeColor="text1"/>
          <w:highlight w:val="none"/>
          <w:shd w:val="clear" w:color="auto" w:fill="ffffff"/>
          <w:vertAlign w:val="superscript"/>
          <w:lang w:val="en-US" w:eastAsia="zh-CN"/>
          <w14:textFill>
            <w14:solidFill>
              <w14:schemeClr w14:val="tx1"/>
            </w14:solidFill>
          </w14:textFill>
        </w:rPr>
        <w:t xml:space="preserve">6</w:t>
      </w:r>
      <w:r/>
    </w:p>
    <w:p>
      <w:pPr>
        <w:pStyle w:val="742"/>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bookmarkStart w:id="208" w:name="OLE_LINK6"/>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w:t>
      </w:r>
      <w:bookmarkEnd w:id="208"/>
      <w:r>
        <w:rPr>
          <w:rFonts w:hint="eastAsia" w:ascii="宋体" w:hAnsi="宋体" w:eastAsia="宋体" w:cs="宋体"/>
          <w:color w:val="000000" w:themeColor="text1"/>
          <w:highlight w:val="none"/>
          <w:shd w:val="clear" w:color="auto" w:fill="ffffff"/>
          <w14:textFill>
            <w14:solidFill>
              <w14:schemeClr w14:val="tx1"/>
            </w14:solidFill>
          </w14:textFill>
        </w:rPr>
        <w:t xml:space="preserve">对上述声明内容的真实性负责。如有虚假，愿承担相应法律责任。</w:t>
      </w:r>
      <w:r/>
    </w:p>
    <w:p>
      <w:pPr>
        <w:pStyle w:val="742"/>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42"/>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42"/>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42"/>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42"/>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42"/>
        <w:ind w:firstLine="420"/>
        <w:spacing w:before="24" w:beforeAutospacing="0" w:after="24" w:afterAutospacing="0" w:line="360" w:lineRule="auto"/>
        <w:shd w:val="clear" w:color="auto" w:fill="ffff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42"/>
        <w:ind w:firstLine="420"/>
        <w:spacing w:before="24" w:beforeAutospacing="0" w:after="24" w:afterAutospacing="0" w:line="360" w:lineRule="auto"/>
        <w:shd w:val="clear" w:color="auto" w:fill="ffffff"/>
        <w:rPr>
          <w:rFonts w:hint="eastAsia" w:ascii="宋体" w:hAnsi="宋体" w:eastAsia="宋体" w:cs="宋体"/>
          <w:b w:val="0"/>
          <w:bCs w:val="0"/>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val="0"/>
          <w:bCs w:val="0"/>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4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themeColor="text1"/>
          <w:spacing w:val="0"/>
          <w:sz w:val="21"/>
          <w:szCs w:val="21"/>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ind w:firstLine="420"/>
        <w:jc w:val="left"/>
        <w:spacing w:line="360" w:lineRule="auto"/>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6.当采购项目或者采购包中含有多种产品，供应商未对提供的符合本国产品标准的产品成本之和占全部产品成本之和的比例达到80%以上作出承诺的，将不享受本国产品价格评审优惠。</w:t>
      </w:r>
      <w:r/>
    </w:p>
    <w:p>
      <w:pPr>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十</w:t>
      </w:r>
      <w:r>
        <w:rPr>
          <w:rFonts w:hint="eastAsia" w:ascii="黑体" w:hAnsi="黑体" w:eastAsia="黑体"/>
          <w:color w:val="000000" w:themeColor="text1"/>
          <w:sz w:val="32"/>
          <w:szCs w:val="32"/>
          <w:highlight w:val="none"/>
          <w:lang w:val="en-US" w:eastAsia="zh-CN"/>
          <w14:textFill>
            <w14:solidFill>
              <w14:schemeClr w14:val="tx1"/>
            </w14:solidFill>
          </w14:textFill>
        </w:rPr>
        <w:t xml:space="preserve">二</w:t>
      </w:r>
      <w:r>
        <w:rPr>
          <w:rFonts w:hint="eastAsia" w:ascii="黑体" w:hAnsi="黑体" w:eastAsia="黑体"/>
          <w:color w:val="000000" w:themeColor="text1"/>
          <w:sz w:val="32"/>
          <w:szCs w:val="32"/>
          <w:highlight w:val="none"/>
          <w14:textFill>
            <w14:solidFill>
              <w14:schemeClr w14:val="tx1"/>
            </w14:solidFill>
          </w14:textFill>
        </w:rPr>
        <w:t xml:space="preserve">、残疾人福利性单位声明函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项目（采购包号：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本单位对上述声明的真实性负责，如有虚假，将依法承担相应责任。</w:t>
      </w:r>
      <w:r/>
    </w:p>
    <w:p>
      <w:pPr>
        <w:pStyle w:val="102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588"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1.投标人如不提供此声明函，价格将不作相应扣除。</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2.中标人为残疾人福利性单位的，此声明函将随中标结果同时公告，接受社会监督。</w:t>
      </w:r>
      <w:r/>
    </w:p>
    <w:p>
      <w:pPr>
        <w:ind w:firstLine="624"/>
        <w:spacing w:line="480"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pStyle w:val="10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76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十</w:t>
      </w:r>
      <w:r>
        <w:rPr>
          <w:rFonts w:hint="eastAsia" w:ascii="黑体" w:hAnsi="黑体" w:eastAsia="黑体"/>
          <w:color w:val="000000" w:themeColor="text1"/>
          <w:sz w:val="32"/>
          <w:szCs w:val="32"/>
          <w:highlight w:val="none"/>
          <w:lang w:val="en-US" w:eastAsia="zh-CN"/>
          <w14:textFill>
            <w14:solidFill>
              <w14:schemeClr w14:val="tx1"/>
            </w14:solidFill>
          </w14:textFill>
        </w:rPr>
        <w:t xml:space="preserve">三</w:t>
      </w:r>
      <w:r>
        <w:rPr>
          <w:rFonts w:hint="eastAsia" w:ascii="黑体" w:hAnsi="黑体" w:eastAsia="黑体"/>
          <w:color w:val="000000" w:themeColor="text1"/>
          <w:sz w:val="32"/>
          <w:szCs w:val="32"/>
          <w:highlight w:val="none"/>
          <w14:textFill>
            <w14:solidFill>
              <w14:schemeClr w14:val="tx1"/>
            </w14:solidFill>
          </w14:textFill>
        </w:rPr>
        <w:t xml:space="preserve">、联合体协议</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联合体协议</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（联合体中各供应商全称）在此达成以下协议：</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.我们</w:t>
      </w:r>
      <w:r>
        <w:rPr>
          <w:rFonts w:hint="eastAsia" w:ascii="宋体" w:hAnsi="宋体"/>
          <w:color w:val="000000" w:themeColor="text1"/>
          <w:sz w:val="24"/>
          <w:highlight w:val="none"/>
          <w:u w:val="single"/>
          <w14:textFill>
            <w14:solidFill>
              <w14:schemeClr w14:val="tx1"/>
            </w14:solidFill>
          </w14:textFill>
        </w:rPr>
        <w:t xml:space="preserve"> （供应商1），（供应商2） ，</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自愿组成联合体，</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项目（采购包号：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，并指定</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（供应商名称）为牵头单位。</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.若我们联合中标，</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.其中，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（企业全称）为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小型、微型企业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残疾人福利性单位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监狱企业，且我们约定该单位所承担的合同金额将占本项目合同总金额的</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ind w:firstLine="645"/>
        <w:jc w:val="righ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w:t>
      </w:r>
      <w:r>
        <w:rPr>
          <w:rFonts w:hint="eastAsia" w:ascii="宋体" w:hAnsi="宋体"/>
          <w:color w:val="000000" w:themeColor="text1"/>
          <w:sz w:val="24"/>
          <w:szCs w:val="24"/>
          <w:highlight w:val="none"/>
          <w14:textFill>
            <w14:solidFill>
              <w14:schemeClr w14:val="tx1"/>
            </w14:solidFill>
          </w14:textFill>
        </w:rPr>
        <w:t xml:space="preserve">（加盖电子公章）</w:t>
      </w:r>
      <w:r>
        <w:rPr>
          <w:rFonts w:ascii="宋体" w:hAnsi="宋体"/>
          <w:color w:val="000000" w:themeColor="text1"/>
          <w:sz w:val="24"/>
          <w:highlight w:val="none"/>
          <w14:textFill>
            <w14:solidFill>
              <w14:schemeClr w14:val="tx1"/>
            </w14:solidFill>
          </w14:textFill>
        </w:rPr>
        <w:t xml:space="preserve">    </w:t>
      </w:r>
      <w:r/>
    </w:p>
    <w:p>
      <w:pPr>
        <w:ind w:firstLine="52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1.牵头单位必须为联合体成员。</w:t>
      </w:r>
      <w:r/>
    </w:p>
    <w:p>
      <w:pPr>
        <w:ind w:firstLine="48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3.除另有说明外，本招标文件要求加盖电子公章之处，加盖牵头单位的电子公章即可。</w:t>
      </w:r>
      <w:r/>
    </w:p>
    <w:p>
      <w:pPr>
        <w:pStyle w:val="1024"/>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rFonts w:ascii="宋体" w:hAnsi="宋体"/>
          <w:b/>
          <w:color w:val="000000" w:themeColor="text1"/>
          <w:sz w:val="24"/>
          <w:szCs w:val="22"/>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"_Toc21483"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十四</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t xml:space="preserve">、投标人类似业绩情况表</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ab/>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center"/>
        <w:spacing w:line="360" w:lineRule="auto"/>
        <w:widowControl/>
        <w:rPr>
          <w:rFonts w:eastAsia="仿宋"/>
          <w:b/>
          <w:bCs/>
          <w:color w:val="000000" w:themeColor="text1"/>
          <w:sz w:val="32"/>
          <w:szCs w:val="32"/>
          <w:highlight w:val="none"/>
          <w14:textFill>
            <w14:solidFill>
              <w14:schemeClr w14:val="tx1"/>
            </w14:solidFill>
          </w14:textFill>
        </w:rPr>
      </w:pPr>
      <w:r/>
      <w:bookmarkStart w:id="209" w:name="_Toc8537"/>
      <w:r/>
      <w:r/>
    </w:p>
    <w:p>
      <w:pPr>
        <w:jc w:val="center"/>
        <w:spacing w:line="360" w:lineRule="auto"/>
        <w:widowControl/>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投标人类似业绩情况表</w:t>
      </w:r>
      <w:bookmarkEnd w:id="209"/>
      <w:r/>
      <w:r/>
    </w:p>
    <w:tbl>
      <w:tblPr>
        <w:tblStyle w:val="71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项目</w:t>
            </w:r>
            <w:r/>
          </w:p>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eastAsia="仿宋"/>
                <w:b/>
                <w:bCs/>
                <w:color w:val="000000" w:themeColor="text1"/>
                <w:sz w:val="24"/>
                <w:highlight w:val="none"/>
                <w:lang w:eastAsia="zh-CN"/>
                <w14:textFill>
                  <w14:solidFill>
                    <w14:schemeClr w14:val="tx1"/>
                  </w14:solidFill>
                </w14:textFill>
              </w:rPr>
            </w:pPr>
            <w:r>
              <w:rPr>
                <w:rFonts w:hint="eastAsia" w:eastAsia="仿宋"/>
                <w:b/>
                <w:bCs/>
                <w:color w:val="000000" w:themeColor="text1"/>
                <w:sz w:val="24"/>
                <w:highlight w:val="none"/>
                <w:lang w:val="en-US" w:eastAsia="zh-CN"/>
                <w14:textFill>
                  <w14:solidFill>
                    <w14:schemeClr w14:val="tx1"/>
                  </w14:solidFill>
                </w14:textFill>
              </w:rPr>
              <w:t xml:space="preserve">项目内容</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签约及服务</w:t>
            </w:r>
            <w:r/>
          </w:p>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投标单位（加盖电子公章）：</w:t>
      </w:r>
      <w:r>
        <w:rPr>
          <w:rFonts w:eastAsia="仿宋"/>
          <w:color w:val="000000" w:themeColor="text1"/>
          <w:sz w:val="24"/>
          <w:highlight w:val="none"/>
          <w:u w:val="single"/>
          <w14:textFill>
            <w14:solidFill>
              <w14:schemeClr w14:val="tx1"/>
            </w14:solidFill>
          </w14:textFill>
        </w:rPr>
        <w:t xml:space="preserve">                             </w:t>
      </w:r>
      <w:r/>
    </w:p>
    <w:p>
      <w:pPr>
        <w:spacing w:line="360" w:lineRule="auto"/>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r>
      <w:r/>
    </w:p>
    <w:p>
      <w:pPr>
        <w:rPr>
          <w:rFonts w:eastAsia="仿宋"/>
          <w:b/>
          <w:color w:val="000000" w:themeColor="text1"/>
          <w:highlight w:val="none"/>
          <w14:textFill>
            <w14:solidFill>
              <w14:schemeClr w14:val="tx1"/>
            </w14:solidFill>
          </w14:textFill>
        </w:rPr>
      </w:pPr>
      <w:r>
        <w:rPr>
          <w:rFonts w:eastAsia="仿宋"/>
          <w:b/>
          <w:color w:val="000000" w:themeColor="text1"/>
          <w:highlight w:val="none"/>
          <w14:textFill>
            <w14:solidFill>
              <w14:schemeClr w14:val="tx1"/>
            </w14:solidFill>
          </w14:textFill>
        </w:rPr>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说明：</w:t>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1、如果行数不够，请自行增加。</w:t>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2、所有业绩均需要提供有效的复印件（扫描件）。</w:t>
      </w:r>
      <w:r/>
    </w:p>
    <w:p>
      <w:pPr>
        <w:rPr>
          <w:rFonts w:hint="default" w:ascii="黑体" w:hAnsi="黑体" w:eastAsia="黑体" w:cs="Times New Roman"/>
          <w:color w:val="000000" w:themeColor="text1"/>
          <w:sz w:val="32"/>
          <w:szCs w:val="32"/>
          <w:highlight w:val="none"/>
          <w:lang w:val="en-US" w:eastAsia="zh-CN"/>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br w:type="page" w:clear="all"/>
      </w:r>
      <w:r/>
    </w:p>
    <w:p>
      <w:pPr>
        <w:jc w:val="left"/>
        <w:spacing w:line="360" w:lineRule="auto"/>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begin"/>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instrText xml:space="preserve"> HYPERLINK \l "_Toc14506" </w:instrTex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separate"/>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十五</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t xml:space="preserve">、无重大违法记录声明格式</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end"/>
      </w:r>
      <w:r/>
    </w:p>
    <w:p>
      <w:pPr>
        <w:jc w:val="center"/>
        <w:spacing w:line="240" w:lineRule="atLeast"/>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r>
      <w:r/>
    </w:p>
    <w:p>
      <w:pPr>
        <w:jc w:val="center"/>
        <w:spacing w:line="240" w:lineRule="atLeast"/>
        <w:rPr>
          <w:rFonts w:eastAsia="仿宋"/>
          <w:color w:val="000000" w:themeColor="text1"/>
          <w:sz w:val="28"/>
          <w:szCs w:val="36"/>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无重大违法记录声明</w:t>
      </w:r>
      <w:r/>
    </w:p>
    <w:p>
      <w:pPr>
        <w:spacing w:line="360" w:lineRule="auto"/>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spacing w:line="360" w:lineRule="auto"/>
        <w:rPr>
          <w:rFonts w:eastAsia="仿宋"/>
          <w:color w:val="000000" w:themeColor="text1"/>
          <w:sz w:val="24"/>
          <w:highlight w:val="none"/>
          <w14:textFill>
            <w14:solidFill>
              <w14:schemeClr w14:val="tx1"/>
            </w14:solidFill>
          </w14:textFill>
        </w:rPr>
      </w:pPr>
      <w:r>
        <w:rPr>
          <w:rFonts w:hint="eastAsia" w:eastAsia="仿宋"/>
          <w:b/>
          <w:bCs/>
          <w:color w:val="000000" w:themeColor="text1"/>
          <w:sz w:val="24"/>
          <w:highlight w:val="none"/>
          <w:lang w:eastAsia="zh-CN"/>
          <w14:textFill>
            <w14:solidFill>
              <w14:schemeClr w14:val="tx1"/>
            </w14:solidFill>
          </w14:textFill>
        </w:rPr>
        <w:t xml:space="preserve">南京中华中等专业学校</w:t>
      </w:r>
      <w:r>
        <w:rPr>
          <w:rFonts w:eastAsia="仿宋"/>
          <w:color w:val="000000" w:themeColor="text1"/>
          <w:sz w:val="24"/>
          <w:highlight w:val="none"/>
          <w14:textFill>
            <w14:solidFill>
              <w14:schemeClr w14:val="tx1"/>
            </w14:solidFill>
          </w14:textFill>
        </w:rPr>
        <w:t xml:space="preserve">：</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 （供应商名称）郑重声明：</w:t>
      </w:r>
      <w:r/>
    </w:p>
    <w:p>
      <w:pPr>
        <w:ind w:firstLine="480"/>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我单位参加政府采购活动前3年内在经营活动中（</w:t>
      </w:r>
      <w:r>
        <w:rPr>
          <w:rFonts w:eastAsia="仿宋"/>
          <w:b/>
          <w:i/>
          <w:color w:val="000000" w:themeColor="text1"/>
          <w:sz w:val="24"/>
          <w:highlight w:val="none"/>
          <w:u w:val="single"/>
          <w14:textFill>
            <w14:solidFill>
              <w14:schemeClr w14:val="tx1"/>
            </w14:solidFill>
          </w14:textFill>
        </w:rPr>
        <w:t xml:space="preserve">在下划线上如实填写：有或没有</w:t>
      </w:r>
      <w:r>
        <w:rPr>
          <w:rFonts w:eastAsia="仿宋"/>
          <w:color w:val="000000" w:themeColor="text1"/>
          <w:sz w:val="24"/>
          <w:highlight w:val="none"/>
          <w14:textFill>
            <w14:solidFill>
              <w14:schemeClr w14:val="tx1"/>
            </w14:solidFill>
          </w14:textFill>
        </w:rPr>
        <w:t xml:space="preserve">）</w:t>
      </w:r>
      <w:r>
        <w:rPr>
          <w:rFonts w:eastAsia="仿宋"/>
          <w:b/>
          <w:color w:val="000000" w:themeColor="text1"/>
          <w:sz w:val="24"/>
          <w:highlight w:val="none"/>
          <w14:textFill>
            <w14:solidFill>
              <w14:schemeClr w14:val="tx1"/>
            </w14:solidFill>
          </w14:textFill>
        </w:rPr>
        <w:t xml:space="preserve">重大违法记录，且不是失信被执行人、重大税收违法案件当事人名单、政府采购严重违法失信行为记录名单的供应商。</w:t>
      </w:r>
      <w:r/>
    </w:p>
    <w:p>
      <w:pPr>
        <w:ind w:firstLine="42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315"/>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5103"/>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声明人：（加盖电子公章）</w:t>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日期：年</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lang w:val="zh-CN"/>
          <w14:textFill>
            <w14:solidFill>
              <w14:schemeClr w14:val="tx1"/>
            </w14:solidFill>
          </w14:textFill>
        </w:rPr>
        <w:t xml:space="preserve">月</w:t>
      </w:r>
      <w:r>
        <w:rPr>
          <w:rFonts w:eastAsia="仿宋"/>
          <w:color w:val="000000" w:themeColor="text1"/>
          <w:sz w:val="24"/>
          <w:highlight w:val="none"/>
          <w14:textFill>
            <w14:solidFill>
              <w14:schemeClr w14:val="tx1"/>
            </w14:solidFill>
          </w14:textFill>
        </w:rPr>
        <w:t xml:space="preserve">  日</w:t>
      </w:r>
      <w:r/>
    </w:p>
    <w:p>
      <w:pPr>
        <w:rPr>
          <w:rFonts w:hint="default" w:ascii="黑体" w:hAnsi="黑体" w:eastAsia="黑体" w:cs="Times New Roman"/>
          <w:color w:val="000000" w:themeColor="text1"/>
          <w:sz w:val="32"/>
          <w:szCs w:val="32"/>
          <w:highlight w:val="none"/>
          <w:lang w:val="en-US" w:eastAsia="zh-CN"/>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br w:type="page" w:clear="all"/>
      </w:r>
      <w:r/>
    </w:p>
    <w:p>
      <w:pPr>
        <w:jc w:val="left"/>
        <w:spacing w:line="360" w:lineRule="auto"/>
        <w:rPr>
          <w:rFonts w:hint="eastAsia" w:ascii="宋体" w:hAnsi="宋体" w:eastAsia="宋体"/>
          <w:b/>
          <w:color w:val="000000" w:themeColor="text1"/>
          <w:sz w:val="24"/>
          <w:szCs w:val="22"/>
          <w:highlight w:val="none"/>
          <w:lang w:val="en-US" w:eastAsia="zh-CN"/>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begin"/>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instrText xml:space="preserve"> HYPERLINK \l "_Toc5236" </w:instrTex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separate"/>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十六</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t xml:space="preserve">、具备履行合同所必需的设备和专业技术能力的声明格式</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end"/>
      </w:r>
      <w:bookmarkEnd w:id="191"/>
      <w:r/>
      <w:bookmarkEnd w:id="192"/>
      <w:r/>
      <w:bookmarkEnd w:id="203"/>
      <w:r/>
      <w:r/>
    </w:p>
    <w:p>
      <w:pPr>
        <w:jc w:val="center"/>
        <w:spacing w:line="360" w:lineRule="auto"/>
        <w:rPr>
          <w:rFonts w:eastAsia="仿宋"/>
          <w:b/>
          <w:bCs/>
          <w:color w:val="000000" w:themeColor="text1"/>
          <w:sz w:val="32"/>
          <w:szCs w:val="32"/>
          <w:highlight w:val="none"/>
          <w14:textFill>
            <w14:solidFill>
              <w14:schemeClr w14:val="tx1"/>
            </w14:solidFill>
          </w14:textFill>
        </w:rPr>
      </w:pPr>
      <w:r/>
      <w:bookmarkStart w:id="210" w:name="_Toc485"/>
      <w:r/>
      <w:r/>
    </w:p>
    <w:p>
      <w:pPr>
        <w:jc w:val="center"/>
        <w:spacing w:line="360" w:lineRule="auto"/>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具备履行合同所必需的设备和专业技术能力的声明</w:t>
      </w:r>
      <w:bookmarkEnd w:id="210"/>
      <w:r/>
      <w:r/>
    </w:p>
    <w:p>
      <w:pPr>
        <w:spacing w:line="360" w:lineRule="auto"/>
        <w:rPr>
          <w:rFonts w:eastAsia="仿宋"/>
          <w:b/>
          <w:color w:val="000000" w:themeColor="text1"/>
          <w:sz w:val="24"/>
          <w:szCs w:val="21"/>
          <w:highlight w:val="none"/>
          <w:lang w:val="zh-CN"/>
          <w14:textFill>
            <w14:solidFill>
              <w14:schemeClr w14:val="tx1"/>
            </w14:solidFill>
          </w14:textFill>
        </w:rPr>
      </w:pPr>
      <w:r>
        <w:rPr>
          <w:rFonts w:hint="eastAsia" w:eastAsia="仿宋"/>
          <w:b/>
          <w:bCs/>
          <w:color w:val="000000" w:themeColor="text1"/>
          <w:sz w:val="24"/>
          <w:highlight w:val="none"/>
          <w:lang w:eastAsia="zh-CN"/>
          <w14:textFill>
            <w14:solidFill>
              <w14:schemeClr w14:val="tx1"/>
            </w14:solidFill>
          </w14:textFill>
        </w:rPr>
        <w:t xml:space="preserve">南京中华中等专业学校</w:t>
      </w:r>
      <w:r>
        <w:rPr>
          <w:rFonts w:eastAsia="仿宋"/>
          <w:b/>
          <w:color w:val="000000" w:themeColor="text1"/>
          <w:sz w:val="24"/>
          <w:szCs w:val="21"/>
          <w:highlight w:val="none"/>
          <w:lang w:val="zh-CN"/>
          <w14:textFill>
            <w14:solidFill>
              <w14:schemeClr w14:val="tx1"/>
            </w14:solidFill>
          </w14:textFill>
        </w:rPr>
        <w:t xml:space="preserve">：</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主要设备有： </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 若有 )</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主要专业技术能力有：</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 若有 )</w:t>
      </w:r>
      <w:r/>
    </w:p>
    <w:p>
      <w:pPr>
        <w:spacing w:line="360" w:lineRule="auto"/>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spacing w:line="360" w:lineRule="auto"/>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jc w:val="righ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声明人：（加盖电子公章）</w:t>
      </w:r>
      <w:r/>
    </w:p>
    <w:p>
      <w:pPr>
        <w:jc w:val="righ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日期： 年   月   日</w:t>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s="Times New Roman"/>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br w:type="page" w:clear="all"/>
      </w:r>
      <w:r>
        <w:rPr>
          <w:rFonts w:hint="eastAsia" w:ascii="黑体" w:hAnsi="黑体" w:eastAsia="黑体" w:cs="Times New Roman"/>
          <w:color w:val="000000" w:themeColor="text1"/>
          <w:sz w:val="32"/>
          <w:szCs w:val="32"/>
          <w:highlight w:val="none"/>
          <w14:textFill>
            <w14:solidFill>
              <w14:schemeClr w14:val="tx1"/>
            </w14:solidFill>
          </w14:textFill>
        </w:rPr>
        <w:t xml:space="preserve">十</w:t>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七</w:t>
      </w:r>
      <w:r>
        <w:rPr>
          <w:rFonts w:hint="eastAsia" w:ascii="黑体" w:hAnsi="黑体" w:eastAsia="黑体" w:cs="Times New Roman"/>
          <w:color w:val="000000" w:themeColor="text1"/>
          <w:sz w:val="32"/>
          <w:szCs w:val="32"/>
          <w:highlight w:val="none"/>
          <w14:textFill>
            <w14:solidFill>
              <w14:schemeClr w14:val="tx1"/>
            </w14:solidFill>
          </w14:textFill>
        </w:rPr>
        <w:t xml:space="preserve">、服务方案</w:t>
      </w:r>
      <w:r/>
    </w:p>
    <w:p>
      <w:pPr>
        <w:pStyle w:val="1072"/>
        <w:ind w:firstLine="422"/>
        <w:spacing w:line="360" w:lineRule="auto"/>
        <w:rPr>
          <w:rFonts w:ascii="宋体" w:hAnsi="宋体"/>
          <w:b/>
          <w:color w:val="000000" w:themeColor="text1"/>
          <w:szCs w:val="24"/>
          <w:highlight w:val="none"/>
          <w14:textFill>
            <w14:solidFill>
              <w14:schemeClr w14:val="tx1"/>
            </w14:solidFill>
          </w14:textFill>
        </w:rPr>
      </w:pPr>
      <w:r>
        <w:rPr>
          <w:rFonts w:ascii="宋体" w:hAnsi="宋体"/>
          <w:b/>
          <w:color w:val="000000" w:themeColor="text1"/>
          <w:szCs w:val="24"/>
          <w:highlight w:val="none"/>
          <w14:textFill>
            <w14:solidFill>
              <w14:schemeClr w14:val="tx1"/>
            </w14:solidFill>
          </w14:textFill>
        </w:rPr>
      </w:r>
      <w:r/>
    </w:p>
    <w:p>
      <w:pPr>
        <w:pStyle w:val="1072"/>
        <w:ind w:firstLine="422"/>
        <w:spacing w:line="360" w:lineRule="auto"/>
        <w:rPr>
          <w:rFonts w:ascii="宋体" w:hAnsi="宋体"/>
          <w:b/>
          <w:color w:val="000000" w:themeColor="text1"/>
          <w:szCs w:val="24"/>
          <w:highlight w:val="none"/>
          <w14:textFill>
            <w14:solidFill>
              <w14:schemeClr w14:val="tx1"/>
            </w14:solidFill>
          </w14:textFill>
        </w:rPr>
        <w:outlineLvl w:val="0"/>
      </w:pPr>
      <w:r/>
      <w:bookmarkStart w:id="211" w:name="_Toc23828"/>
      <w:r>
        <w:rPr>
          <w:rFonts w:hint="eastAsia" w:ascii="宋体" w:hAnsi="宋体"/>
          <w:b/>
          <w:color w:val="000000" w:themeColor="text1"/>
          <w:sz w:val="24"/>
          <w:szCs w:val="32"/>
          <w:highlight w:val="none"/>
          <w14:textFill>
            <w14:solidFill>
              <w14:schemeClr w14:val="tx1"/>
            </w14:solidFill>
          </w14:textFill>
        </w:rPr>
        <w:t xml:space="preserve">（各投标人根据招标文件规定的服务方案打分细则内容，格式自拟）</w:t>
      </w:r>
      <w:bookmarkEnd w:id="211"/>
      <w:r/>
      <w:r/>
    </w:p>
    <w:p>
      <w:pPr>
        <w:ind w:firstLine="420"/>
        <w:spacing w:line="360" w:lineRule="auto"/>
        <w:rPr>
          <w:rFonts w:ascii="宋体" w:hAnsi="宋体"/>
          <w:b/>
          <w:color w:val="000000" w:themeColor="text1"/>
          <w:highlight w:val="none"/>
          <w:lang w:val="zh-CN"/>
          <w14:textFill>
            <w14:solidFill>
              <w14:schemeClr w14:val="tx1"/>
            </w14:solidFill>
          </w14:textFill>
        </w:rPr>
      </w:pPr>
      <w:r>
        <w:rPr>
          <w:rFonts w:ascii="宋体" w:hAnsi="宋体"/>
          <w:b/>
          <w:color w:val="000000" w:themeColor="text1"/>
          <w:highlight w:val="none"/>
          <w:lang w:val="zh-CN"/>
          <w14:textFill>
            <w14:solidFill>
              <w14:schemeClr w14:val="tx1"/>
            </w14:solidFill>
          </w14:textFill>
        </w:rPr>
      </w:r>
      <w:r/>
    </w:p>
    <w:p>
      <w:pPr>
        <w:pStyle w:val="107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2"/>
        <w:ind w:firstLine="422"/>
        <w:spacing w:line="360" w:lineRule="auto"/>
        <w:rPr>
          <w:rFonts w:ascii="宋体" w:hAnsi="宋体"/>
          <w:b/>
          <w:color w:val="000000" w:themeColor="text1"/>
          <w:szCs w:val="24"/>
          <w:highlight w:val="none"/>
          <w14:textFill>
            <w14:solidFill>
              <w14:schemeClr w14:val="tx1"/>
            </w14:solidFill>
          </w14:textFill>
        </w:rPr>
      </w:pPr>
      <w:r>
        <w:rPr>
          <w:rFonts w:ascii="宋体" w:hAnsi="宋体"/>
          <w:b/>
          <w:color w:val="000000" w:themeColor="text1"/>
          <w:szCs w:val="24"/>
          <w:highlight w:val="none"/>
          <w14:textFill>
            <w14:solidFill>
              <w14:schemeClr w14:val="tx1"/>
            </w14:solidFill>
          </w14:textFill>
        </w:rPr>
      </w:r>
      <w:r/>
    </w:p>
    <w:p>
      <w:pPr>
        <w:jc w:val="left"/>
        <w:spacing w:line="360" w:lineRule="auto"/>
        <w:rPr>
          <w:rFonts w:hint="eastAsia" w:ascii="黑体" w:hAnsi="黑体" w:eastAsia="黑体" w:cs="Times New Roman"/>
          <w:color w:val="000000" w:themeColor="text1"/>
          <w:sz w:val="32"/>
          <w:szCs w:val="32"/>
          <w:highlight w:val="none"/>
          <w:lang w:val="zh-CN"/>
          <w14:textFill>
            <w14:solidFill>
              <w14:schemeClr w14:val="tx1"/>
            </w14:solidFill>
          </w14:textFill>
        </w:rPr>
      </w:pPr>
      <w:r>
        <w:rPr>
          <w:rFonts w:hint="eastAsia" w:ascii="黑体" w:hAnsi="黑体" w:eastAsia="黑体" w:cs="Times New Roman"/>
          <w:color w:val="000000" w:themeColor="text1"/>
          <w:sz w:val="32"/>
          <w:szCs w:val="32"/>
          <w:highlight w:val="none"/>
          <w14:textFill>
            <w14:solidFill>
              <w14:schemeClr w14:val="tx1"/>
            </w14:solidFill>
          </w14:textFill>
        </w:rPr>
        <w:t xml:space="preserve">十</w:t>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八</w:t>
      </w:r>
      <w:r>
        <w:rPr>
          <w:rFonts w:hint="eastAsia" w:ascii="黑体" w:hAnsi="黑体" w:eastAsia="黑体" w:cs="Times New Roman"/>
          <w:color w:val="000000" w:themeColor="text1"/>
          <w:sz w:val="32"/>
          <w:szCs w:val="32"/>
          <w:highlight w:val="none"/>
          <w14:textFill>
            <w14:solidFill>
              <w14:schemeClr w14:val="tx1"/>
            </w14:solidFill>
          </w14:textFill>
        </w:rPr>
        <w:t xml:space="preserve">、</w:t>
      </w:r>
      <w:r>
        <w:rPr>
          <w:rFonts w:hint="eastAsia" w:ascii="黑体" w:hAnsi="黑体" w:eastAsia="黑体" w:cs="Times New Roman"/>
          <w:color w:val="000000" w:themeColor="text1"/>
          <w:sz w:val="32"/>
          <w:szCs w:val="32"/>
          <w:highlight w:val="none"/>
          <w:lang w:val="zh-CN"/>
          <w14:textFill>
            <w14:solidFill>
              <w14:schemeClr w14:val="tx1"/>
            </w14:solidFill>
          </w14:textFill>
        </w:rPr>
        <w:t xml:space="preserve">其他</w:t>
      </w:r>
      <w:r/>
    </w:p>
    <w:p>
      <w:pP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bookmarkStart w:id="212" w:name="_Toc13714"/>
      <w:r>
        <w:rPr>
          <w:rFonts w:ascii="宋体" w:hAnsi="宋体"/>
          <w:b/>
          <w:color w:val="000000" w:themeColor="text1"/>
          <w:sz w:val="24"/>
          <w:szCs w:val="22"/>
          <w:highlight w:val="none"/>
          <w:lang w:val="zh-CN"/>
          <w14:textFill>
            <w14:solidFill>
              <w14:schemeClr w14:val="tx1"/>
            </w14:solidFill>
          </w14:textFill>
        </w:rPr>
        <w:t xml:space="preserve">（各投标人根据采购文件规定的打分细则对应提供相关证明材料等，格式自拟）</w:t>
      </w:r>
      <w:bookmarkEnd w:id="212"/>
      <w:r/>
      <w:r/>
    </w:p>
    <w:p>
      <w:pP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br w:type="page" w:clear="all"/>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质疑函范本</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一、质疑供应商基本信息</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供应商名称：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采购包号：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四、质疑事项相关请求</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  字(签章)：                                 公  章：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w:t>
      </w:r>
      <w:r/>
    </w:p>
    <w:p>
      <w:pPr>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相关说明：</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1.供应商提出质疑，应提交《质疑函》和必要的证明材料。</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3.质疑供应商针对项目的某一采购包进行质疑的，《质疑函》中应明确采购包号。</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5.《质疑函》的质疑请求应与质疑事项相关。</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themeColor="text1"/>
          <w:sz w:val="24"/>
          <w:szCs w:val="24"/>
          <w:highlight w:val="none"/>
          <w:lang w:val="zh-CN"/>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7.质疑</w:t>
      </w:r>
      <w:r>
        <w:rPr>
          <w:rFonts w:hint="eastAsia" w:ascii="宋体" w:hAnsi="宋体" w:cs="仿宋"/>
          <w:color w:val="000000" w:themeColor="text1"/>
          <w:sz w:val="24"/>
          <w:szCs w:val="24"/>
          <w:highlight w:val="none"/>
          <w:lang w:val="zh-CN"/>
          <w14:textFill>
            <w14:solidFill>
              <w14:schemeClr w14:val="tx1"/>
            </w14:solidFill>
          </w14:textFill>
        </w:rPr>
        <w:t xml:space="preserve">供应商</w:t>
      </w:r>
      <w:r>
        <w:rPr>
          <w:rFonts w:hint="eastAsia" w:ascii="宋体" w:hAnsi="宋体" w:cs="仿宋"/>
          <w:color w:val="000000" w:themeColor="text1"/>
          <w:sz w:val="24"/>
          <w:szCs w:val="24"/>
          <w:highlight w:val="none"/>
          <w14:textFill>
            <w14:solidFill>
              <w14:schemeClr w14:val="tx1"/>
            </w14:solidFill>
          </w14:textFill>
        </w:rPr>
        <w:t xml:space="preserve">为</w:t>
      </w:r>
      <w:r>
        <w:rPr>
          <w:rFonts w:hint="eastAsia" w:ascii="宋体" w:hAnsi="宋体" w:cs="仿宋"/>
          <w:color w:val="000000" w:themeColor="text1"/>
          <w:sz w:val="24"/>
          <w:szCs w:val="24"/>
          <w:highlight w:val="none"/>
          <w:lang w:val="zh-CN"/>
          <w14:textFill>
            <w14:solidFill>
              <w14:schemeClr w14:val="tx1"/>
            </w14:solidFill>
          </w14:textFill>
        </w:rPr>
        <w:t xml:space="preserve">联合体</w:t>
      </w:r>
      <w:r>
        <w:rPr>
          <w:rFonts w:hint="eastAsia" w:ascii="宋体" w:hAnsi="宋体" w:cs="仿宋"/>
          <w:color w:val="000000" w:themeColor="text1"/>
          <w:sz w:val="24"/>
          <w:szCs w:val="24"/>
          <w:highlight w:val="none"/>
          <w14:textFill>
            <w14:solidFill>
              <w14:schemeClr w14:val="tx1"/>
            </w14:solidFill>
          </w14:textFill>
        </w:rPr>
        <w:t xml:space="preserve">的</w:t>
      </w:r>
      <w:r>
        <w:rPr>
          <w:rFonts w:hint="eastAsia" w:ascii="宋体" w:hAnsi="宋体" w:cs="仿宋"/>
          <w:color w:val="000000" w:themeColor="text1"/>
          <w:sz w:val="24"/>
          <w:szCs w:val="24"/>
          <w:highlight w:val="none"/>
          <w:lang w:val="zh-CN"/>
          <w14:textFill>
            <w14:solidFill>
              <w14:schemeClr w14:val="tx1"/>
            </w14:solidFill>
          </w14:textFill>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3"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魏碑_GBK">
    <w:panose1 w:val="020B050302020202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4"/>
      <w:isLgl w:val="false"/>
      <w:suff w:val="nothing"/>
      <w:lvlText w:val=""/>
      <w:lvlJc w:val="left"/>
      <w:pPr>
        <w:ind w:left="0" w:firstLine="0"/>
      </w:pPr>
      <w:rPr>
        <w:rFonts w:hint="eastAsia"/>
      </w:rPr>
    </w:lvl>
    <w:lvl w:ilvl="6">
      <w:start w:val="1"/>
      <w:numFmt w:val="decimal"/>
      <w:pStyle w:val="955"/>
      <w:isLgl w:val="false"/>
      <w:suff w:val="nothing"/>
      <w:lvlText w:val=""/>
      <w:lvlJc w:val="left"/>
      <w:pPr>
        <w:ind w:left="0" w:firstLine="0"/>
      </w:pPr>
      <w:rPr>
        <w:rFonts w:hint="eastAsia"/>
      </w:rPr>
    </w:lvl>
    <w:lvl w:ilvl="7">
      <w:start w:val="1"/>
      <w:numFmt w:val="decimal"/>
      <w:pStyle w:val="956"/>
      <w:isLgl w:val="false"/>
      <w:suff w:val="nothing"/>
      <w:lvlText w:val=""/>
      <w:lvlJc w:val="left"/>
      <w:pPr>
        <w:ind w:left="0" w:firstLine="0"/>
      </w:pPr>
      <w:rPr>
        <w:rFonts w:hint="eastAsia"/>
      </w:rPr>
    </w:lvl>
    <w:lvl w:ilvl="8">
      <w:start w:val="1"/>
      <w:numFmt w:val="decimal"/>
      <w:pStyle w:val="957"/>
      <w:isLgl w:val="false"/>
      <w:suff w:val="nothing"/>
      <w:lvlText w:val=""/>
      <w:lvlJc w:val="left"/>
      <w:pPr>
        <w:ind w:left="0" w:firstLine="0"/>
      </w:pPr>
      <w:rPr>
        <w:rFonts w:hint="eastAsia"/>
      </w:rPr>
    </w:lvl>
  </w:abstractNum>
  <w:abstractNum w:abstractNumId="4">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9">
    <w:name w:val="Heading 1"/>
    <w:basedOn w:val="708"/>
    <w:next w:val="708"/>
    <w:link w:val="800"/>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801"/>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802"/>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22"/>
    <w:link w:val="803"/>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804"/>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805"/>
    <w:uiPriority w:val="9"/>
    <w:unhideWhenUsed/>
    <w:qFormat/>
    <w:pPr>
      <w:keepLines/>
      <w:keepNext/>
      <w:spacing w:before="320" w:after="200"/>
      <w:outlineLvl w:val="5"/>
    </w:pPr>
    <w:rPr>
      <w:rFonts w:ascii="Arial" w:hAnsi="Arial" w:eastAsia="Arial" w:cs="Arial"/>
      <w:b/>
      <w:bCs/>
      <w:sz w:val="22"/>
    </w:rPr>
  </w:style>
  <w:style w:type="paragraph" w:styleId="715">
    <w:name w:val="Heading 7"/>
    <w:basedOn w:val="708"/>
    <w:next w:val="708"/>
    <w:link w:val="806"/>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807"/>
    <w:uiPriority w:val="9"/>
    <w:unhideWhenUsed/>
    <w:qFormat/>
    <w:pPr>
      <w:keepLines/>
      <w:keepNext/>
      <w:spacing w:before="320" w:after="200"/>
      <w:outlineLvl w:val="7"/>
    </w:pPr>
    <w:rPr>
      <w:rFonts w:ascii="Arial" w:hAnsi="Arial" w:eastAsia="Arial" w:cs="Arial"/>
      <w:i/>
      <w:iCs/>
      <w:sz w:val="22"/>
    </w:rPr>
  </w:style>
  <w:style w:type="paragraph" w:styleId="717">
    <w:name w:val="Heading 9"/>
    <w:basedOn w:val="708"/>
    <w:next w:val="708"/>
    <w:link w:val="808"/>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ody Text First Indent 2"/>
    <w:basedOn w:val="721"/>
    <w:uiPriority w:val="0"/>
    <w:qFormat/>
    <w:pPr>
      <w:ind w:left="0" w:firstLine="420"/>
      <w:spacing w:after="0" w:line="360" w:lineRule="auto"/>
    </w:pPr>
    <w:rPr>
      <w:rFonts w:ascii="宋体" w:hAnsi="宋体" w:eastAsia="宋体" w:cs="Times New Roman"/>
      <w:szCs w:val="20"/>
    </w:rPr>
  </w:style>
  <w:style w:type="paragraph" w:styleId="721">
    <w:name w:val="Body Text Indent"/>
    <w:basedOn w:val="708"/>
    <w:uiPriority w:val="0"/>
    <w:unhideWhenUsed/>
    <w:qFormat/>
    <w:pPr>
      <w:ind w:left="420"/>
      <w:spacing w:after="120"/>
    </w:pPr>
  </w:style>
  <w:style w:type="paragraph" w:styleId="722">
    <w:name w:val="Normal Indent"/>
    <w:basedOn w:val="708"/>
    <w:uiPriority w:val="0"/>
    <w:qFormat/>
    <w:pPr>
      <w:ind w:firstLine="420"/>
    </w:pPr>
    <w:rPr>
      <w:szCs w:val="21"/>
    </w:rPr>
  </w:style>
  <w:style w:type="paragraph" w:styleId="723">
    <w:name w:val="toc 7"/>
    <w:basedOn w:val="708"/>
    <w:next w:val="708"/>
    <w:uiPriority w:val="39"/>
    <w:unhideWhenUsed/>
    <w:qFormat/>
    <w:pPr>
      <w:ind w:left="1701"/>
      <w:spacing w:after="57"/>
    </w:pPr>
  </w:style>
  <w:style w:type="paragraph" w:styleId="724">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annotation text"/>
    <w:basedOn w:val="708"/>
    <w:uiPriority w:val="99"/>
    <w:semiHidden/>
    <w:unhideWhenUsed/>
    <w:qFormat/>
    <w:pPr>
      <w:jc w:val="left"/>
    </w:pPr>
  </w:style>
  <w:style w:type="paragraph" w:styleId="726">
    <w:name w:val="Body Text"/>
    <w:basedOn w:val="708"/>
    <w:next w:val="708"/>
    <w:uiPriority w:val="0"/>
    <w:semiHidden/>
    <w:qFormat/>
    <w:rPr>
      <w:rFonts w:ascii="Arial" w:hAnsi="Arial" w:eastAsia="Arial" w:cs="Arial"/>
      <w:szCs w:val="21"/>
      <w:lang w:eastAsia="en-US"/>
    </w:rPr>
  </w:style>
  <w:style w:type="paragraph" w:styleId="727">
    <w:name w:val="toc 5"/>
    <w:basedOn w:val="708"/>
    <w:next w:val="708"/>
    <w:uiPriority w:val="39"/>
    <w:unhideWhenUsed/>
    <w:qFormat/>
    <w:pPr>
      <w:ind w:left="1134"/>
      <w:spacing w:after="57"/>
    </w:pPr>
  </w:style>
  <w:style w:type="paragraph" w:styleId="728">
    <w:name w:val="toc 3"/>
    <w:basedOn w:val="708"/>
    <w:next w:val="708"/>
    <w:uiPriority w:val="39"/>
    <w:unhideWhenUsed/>
    <w:qFormat/>
    <w:pPr>
      <w:ind w:left="567"/>
      <w:spacing w:after="57"/>
    </w:pPr>
  </w:style>
  <w:style w:type="paragraph" w:styleId="729">
    <w:name w:val="toc 8"/>
    <w:basedOn w:val="708"/>
    <w:next w:val="708"/>
    <w:uiPriority w:val="39"/>
    <w:unhideWhenUsed/>
    <w:qFormat/>
    <w:pPr>
      <w:ind w:left="1984"/>
      <w:spacing w:after="57"/>
    </w:pPr>
  </w:style>
  <w:style w:type="paragraph" w:styleId="730">
    <w:name w:val="endnote text"/>
    <w:basedOn w:val="708"/>
    <w:link w:val="946"/>
    <w:uiPriority w:val="99"/>
    <w:semiHidden/>
    <w:unhideWhenUsed/>
    <w:qFormat/>
    <w:rPr>
      <w:sz w:val="20"/>
    </w:rPr>
  </w:style>
  <w:style w:type="paragraph" w:styleId="731">
    <w:name w:val="Footer"/>
    <w:basedOn w:val="708"/>
    <w:link w:val="819"/>
    <w:uiPriority w:val="99"/>
    <w:unhideWhenUsed/>
    <w:qFormat/>
    <w:pPr>
      <w:tabs>
        <w:tab w:val="center" w:pos="7143" w:leader="none"/>
        <w:tab w:val="right" w:pos="14287" w:leader="none"/>
      </w:tabs>
    </w:pPr>
  </w:style>
  <w:style w:type="paragraph" w:styleId="732">
    <w:name w:val="envelope return"/>
    <w:basedOn w:val="708"/>
    <w:uiPriority w:val="0"/>
    <w:qFormat/>
    <w:rPr>
      <w:rFonts w:ascii="Arial" w:hAnsi="Arial" w:eastAsia="宋体" w:cs="宋体"/>
    </w:rPr>
  </w:style>
  <w:style w:type="paragraph" w:styleId="733">
    <w:name w:val="Header"/>
    <w:basedOn w:val="708"/>
    <w:link w:val="817"/>
    <w:uiPriority w:val="99"/>
    <w:unhideWhenUsed/>
    <w:qFormat/>
    <w:pPr>
      <w:tabs>
        <w:tab w:val="center" w:pos="7143" w:leader="none"/>
        <w:tab w:val="right" w:pos="14287" w:leader="none"/>
      </w:tabs>
    </w:pPr>
  </w:style>
  <w:style w:type="paragraph" w:styleId="734">
    <w:name w:val="toc 1"/>
    <w:basedOn w:val="708"/>
    <w:next w:val="708"/>
    <w:uiPriority w:val="39"/>
    <w:unhideWhenUsed/>
    <w:qFormat/>
    <w:pPr>
      <w:spacing w:after="57"/>
    </w:pPr>
  </w:style>
  <w:style w:type="paragraph" w:styleId="735">
    <w:name w:val="toc 4"/>
    <w:basedOn w:val="708"/>
    <w:next w:val="708"/>
    <w:uiPriority w:val="39"/>
    <w:unhideWhenUsed/>
    <w:qFormat/>
    <w:pPr>
      <w:ind w:left="850"/>
      <w:spacing w:after="57"/>
    </w:pPr>
  </w:style>
  <w:style w:type="paragraph" w:styleId="736">
    <w:name w:val="Subtitle"/>
    <w:basedOn w:val="708"/>
    <w:next w:val="708"/>
    <w:link w:val="812"/>
    <w:uiPriority w:val="11"/>
    <w:qFormat/>
    <w:pPr>
      <w:spacing w:before="200" w:after="200"/>
    </w:pPr>
    <w:rPr>
      <w:sz w:val="24"/>
      <w:szCs w:val="24"/>
    </w:rPr>
  </w:style>
  <w:style w:type="paragraph" w:styleId="737">
    <w:name w:val="footnote text"/>
    <w:basedOn w:val="708"/>
    <w:link w:val="945"/>
    <w:uiPriority w:val="99"/>
    <w:semiHidden/>
    <w:unhideWhenUsed/>
    <w:qFormat/>
    <w:pPr>
      <w:spacing w:after="40"/>
    </w:pPr>
    <w:rPr>
      <w:sz w:val="18"/>
    </w:rPr>
  </w:style>
  <w:style w:type="paragraph" w:styleId="738">
    <w:name w:val="toc 6"/>
    <w:basedOn w:val="708"/>
    <w:next w:val="708"/>
    <w:uiPriority w:val="39"/>
    <w:unhideWhenUsed/>
    <w:qFormat/>
    <w:pPr>
      <w:ind w:left="1417"/>
      <w:spacing w:after="57"/>
    </w:pPr>
  </w:style>
  <w:style w:type="paragraph" w:styleId="739">
    <w:name w:val="table of figures"/>
    <w:basedOn w:val="708"/>
    <w:next w:val="708"/>
    <w:uiPriority w:val="99"/>
    <w:unhideWhenUsed/>
    <w:qFormat/>
  </w:style>
  <w:style w:type="paragraph" w:styleId="740">
    <w:name w:val="toc 2"/>
    <w:basedOn w:val="708"/>
    <w:next w:val="708"/>
    <w:uiPriority w:val="39"/>
    <w:unhideWhenUsed/>
    <w:qFormat/>
    <w:pPr>
      <w:ind w:left="283"/>
      <w:spacing w:after="57"/>
    </w:pPr>
  </w:style>
  <w:style w:type="paragraph" w:styleId="741">
    <w:name w:val="toc 9"/>
    <w:basedOn w:val="708"/>
    <w:next w:val="708"/>
    <w:uiPriority w:val="39"/>
    <w:unhideWhenUsed/>
    <w:qFormat/>
    <w:pPr>
      <w:ind w:left="2268"/>
      <w:spacing w:after="57"/>
    </w:pPr>
  </w:style>
  <w:style w:type="paragraph" w:styleId="742">
    <w:name w:val="Normal (Web)"/>
    <w:basedOn w:val="708"/>
    <w:uiPriority w:val="99"/>
    <w:qFormat/>
    <w:pPr>
      <w:jc w:val="left"/>
      <w:spacing w:before="100" w:beforeAutospacing="1" w:after="100" w:afterAutospacing="1"/>
      <w:widowControl/>
    </w:pPr>
    <w:rPr>
      <w:rFonts w:ascii="宋体" w:hAnsi="宋体" w:eastAsia="宋体" w:cs="宋体"/>
      <w:sz w:val="24"/>
      <w:szCs w:val="24"/>
    </w:rPr>
  </w:style>
  <w:style w:type="paragraph" w:styleId="743">
    <w:name w:val="Title"/>
    <w:basedOn w:val="708"/>
    <w:next w:val="708"/>
    <w:link w:val="811"/>
    <w:uiPriority w:val="10"/>
    <w:qFormat/>
    <w:pPr>
      <w:contextualSpacing/>
      <w:spacing w:before="300" w:after="200"/>
    </w:pPr>
    <w:rPr>
      <w:sz w:val="48"/>
      <w:szCs w:val="48"/>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uiPriority w:val="22"/>
    <w:qFormat/>
    <w:rPr>
      <w:b/>
      <w:bCs/>
    </w:rPr>
  </w:style>
  <w:style w:type="character" w:styleId="746">
    <w:name w:val="endnote reference"/>
    <w:uiPriority w:val="99"/>
    <w:semiHidden/>
    <w:unhideWhenUsed/>
    <w:qFormat/>
    <w:rPr>
      <w:vertAlign w:val="superscript"/>
    </w:rPr>
  </w:style>
  <w:style w:type="character" w:styleId="747">
    <w:name w:val="FollowedHyperlink"/>
    <w:basedOn w:val="718"/>
    <w:uiPriority w:val="99"/>
    <w:semiHidden/>
    <w:unhideWhenUsed/>
    <w:qFormat/>
    <w:rPr>
      <w:color w:val="800080"/>
      <w:u w:val="none"/>
    </w:rPr>
  </w:style>
  <w:style w:type="character" w:styleId="748">
    <w:name w:val="Emphasis"/>
    <w:uiPriority w:val="0"/>
    <w:qFormat/>
    <w:rPr>
      <w:i/>
    </w:rPr>
  </w:style>
  <w:style w:type="character" w:styleId="749">
    <w:name w:val="HTML Typewriter"/>
    <w:basedOn w:val="718"/>
    <w:uiPriority w:val="99"/>
    <w:semiHidden/>
    <w:unhideWhenUsed/>
    <w:qFormat/>
    <w:rPr>
      <w:rFonts w:hint="default" w:ascii="monospace" w:hAnsi="monospace" w:eastAsia="monospace" w:cs="monospace"/>
      <w:sz w:val="20"/>
    </w:rPr>
  </w:style>
  <w:style w:type="character" w:styleId="750">
    <w:name w:val="HTML Acronym"/>
    <w:basedOn w:val="718"/>
    <w:uiPriority w:val="99"/>
    <w:semiHidden/>
    <w:unhideWhenUsed/>
    <w:qFormat/>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HTML Code"/>
    <w:basedOn w:val="718"/>
    <w:uiPriority w:val="99"/>
    <w:semiHidden/>
    <w:unhideWhenUsed/>
    <w:qFormat/>
    <w:rPr>
      <w:rFonts w:hint="default" w:ascii="monospace" w:hAnsi="monospace" w:eastAsia="monospace" w:cs="monospace"/>
      <w:sz w:val="20"/>
    </w:rPr>
  </w:style>
  <w:style w:type="character" w:styleId="753">
    <w:name w:val="footnote reference"/>
    <w:uiPriority w:val="99"/>
    <w:unhideWhenUsed/>
    <w:qFormat/>
    <w:rPr>
      <w:vertAlign w:val="superscript"/>
    </w:rPr>
  </w:style>
  <w:style w:type="character" w:styleId="754">
    <w:name w:val="HTML Keyboard"/>
    <w:basedOn w:val="718"/>
    <w:uiPriority w:val="99"/>
    <w:semiHidden/>
    <w:unhideWhenUsed/>
    <w:qFormat/>
    <w:rPr>
      <w:rFonts w:ascii="monospace" w:hAnsi="monospace" w:eastAsia="monospace" w:cs="monospace"/>
      <w:sz w:val="20"/>
      <w:shd w:val="clear" w:color="auto" w:fill="fcf8f5"/>
    </w:rPr>
  </w:style>
  <w:style w:type="character" w:styleId="755">
    <w:name w:val="HTML Sample"/>
    <w:basedOn w:val="718"/>
    <w:uiPriority w:val="99"/>
    <w:semiHidden/>
    <w:unhideWhenUsed/>
    <w:qFormat/>
    <w:rPr>
      <w:rFonts w:hint="default" w:ascii="monospace" w:hAnsi="monospace" w:eastAsia="monospace" w:cs="monospace"/>
    </w:rPr>
  </w:style>
  <w:style w:type="character" w:styleId="756" w:customStyle="1">
    <w:name w:val="Heading 1 Char"/>
    <w:basedOn w:val="718"/>
    <w:uiPriority w:val="9"/>
    <w:qFormat/>
    <w:rPr>
      <w:rFonts w:ascii="Arial" w:hAnsi="Arial" w:eastAsia="Arial" w:cs="Arial"/>
      <w:sz w:val="40"/>
      <w:szCs w:val="40"/>
    </w:rPr>
  </w:style>
  <w:style w:type="character" w:styleId="757" w:customStyle="1">
    <w:name w:val="Heading 2 Char"/>
    <w:basedOn w:val="718"/>
    <w:uiPriority w:val="9"/>
    <w:qFormat/>
    <w:rPr>
      <w:rFonts w:ascii="Arial" w:hAnsi="Arial" w:eastAsia="Arial" w:cs="Arial"/>
      <w:sz w:val="34"/>
    </w:rPr>
  </w:style>
  <w:style w:type="character" w:styleId="758" w:customStyle="1">
    <w:name w:val="Heading 3 Char"/>
    <w:basedOn w:val="718"/>
    <w:uiPriority w:val="9"/>
    <w:qFormat/>
    <w:rPr>
      <w:rFonts w:ascii="Arial" w:hAnsi="Arial" w:eastAsia="Arial" w:cs="Arial"/>
      <w:sz w:val="30"/>
      <w:szCs w:val="30"/>
    </w:rPr>
  </w:style>
  <w:style w:type="character" w:styleId="759" w:customStyle="1">
    <w:name w:val="Heading 4 Char"/>
    <w:basedOn w:val="718"/>
    <w:uiPriority w:val="9"/>
    <w:qFormat/>
    <w:rPr>
      <w:rFonts w:ascii="Arial" w:hAnsi="Arial" w:eastAsia="Arial" w:cs="Arial"/>
      <w:b/>
      <w:bCs/>
      <w:sz w:val="26"/>
      <w:szCs w:val="26"/>
    </w:rPr>
  </w:style>
  <w:style w:type="character" w:styleId="760" w:customStyle="1">
    <w:name w:val="Heading 5 Char"/>
    <w:basedOn w:val="718"/>
    <w:uiPriority w:val="9"/>
    <w:qFormat/>
    <w:rPr>
      <w:rFonts w:ascii="Arial" w:hAnsi="Arial" w:eastAsia="Arial" w:cs="Arial"/>
      <w:b/>
      <w:bCs/>
      <w:sz w:val="24"/>
      <w:szCs w:val="24"/>
    </w:rPr>
  </w:style>
  <w:style w:type="character" w:styleId="761" w:customStyle="1">
    <w:name w:val="Heading 6 Char"/>
    <w:basedOn w:val="718"/>
    <w:uiPriority w:val="9"/>
    <w:qFormat/>
    <w:rPr>
      <w:rFonts w:ascii="Arial" w:hAnsi="Arial" w:eastAsia="Arial" w:cs="Arial"/>
      <w:b/>
      <w:bCs/>
      <w:sz w:val="22"/>
      <w:szCs w:val="22"/>
    </w:rPr>
  </w:style>
  <w:style w:type="character" w:styleId="762" w:customStyle="1">
    <w:name w:val="Heading 7 Char"/>
    <w:basedOn w:val="718"/>
    <w:uiPriority w:val="9"/>
    <w:qFormat/>
    <w:rPr>
      <w:rFonts w:ascii="Arial" w:hAnsi="Arial" w:eastAsia="Arial" w:cs="Arial"/>
      <w:b/>
      <w:bCs/>
      <w:i/>
      <w:iCs/>
      <w:sz w:val="22"/>
      <w:szCs w:val="22"/>
    </w:rPr>
  </w:style>
  <w:style w:type="character" w:styleId="763" w:customStyle="1">
    <w:name w:val="Heading 8 Char"/>
    <w:basedOn w:val="718"/>
    <w:uiPriority w:val="9"/>
    <w:qFormat/>
    <w:rPr>
      <w:rFonts w:ascii="Arial" w:hAnsi="Arial" w:eastAsia="Arial" w:cs="Arial"/>
      <w:i/>
      <w:iCs/>
      <w:sz w:val="22"/>
      <w:szCs w:val="22"/>
    </w:rPr>
  </w:style>
  <w:style w:type="character" w:styleId="764" w:customStyle="1">
    <w:name w:val="Heading 9 Char"/>
    <w:basedOn w:val="718"/>
    <w:uiPriority w:val="9"/>
    <w:qFormat/>
    <w:rPr>
      <w:rFonts w:ascii="Arial" w:hAnsi="Arial" w:eastAsia="Arial" w:cs="Arial"/>
      <w:i/>
      <w:iCs/>
      <w:sz w:val="21"/>
      <w:szCs w:val="21"/>
    </w:rPr>
  </w:style>
  <w:style w:type="character" w:styleId="765" w:customStyle="1">
    <w:name w:val="Title Char"/>
    <w:basedOn w:val="718"/>
    <w:uiPriority w:val="10"/>
    <w:qFormat/>
    <w:rPr>
      <w:sz w:val="48"/>
      <w:szCs w:val="48"/>
    </w:rPr>
  </w:style>
  <w:style w:type="character" w:styleId="766" w:customStyle="1">
    <w:name w:val="Subtitle Char"/>
    <w:basedOn w:val="718"/>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character" w:styleId="769" w:customStyle="1">
    <w:name w:val="Header Char"/>
    <w:basedOn w:val="718"/>
    <w:uiPriority w:val="99"/>
    <w:qFormat/>
  </w:style>
  <w:style w:type="character" w:styleId="770" w:customStyle="1">
    <w:name w:val="Caption Char"/>
    <w:uiPriority w:val="99"/>
    <w:qFormat/>
  </w:style>
  <w:style w:type="table" w:styleId="771"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0" w:customStyle="1">
    <w:name w:val="Footnote Text Char"/>
    <w:uiPriority w:val="99"/>
    <w:qFormat/>
    <w:rPr>
      <w:sz w:val="18"/>
    </w:rPr>
  </w:style>
  <w:style w:type="character" w:styleId="791" w:customStyle="1">
    <w:name w:val="Endnote Text Char"/>
    <w:uiPriority w:val="99"/>
    <w:qFormat/>
    <w:rPr>
      <w:sz w:val="20"/>
    </w:rPr>
  </w:style>
  <w:style w:type="paragraph" w:styleId="792" w:customStyle="1">
    <w:name w:val="TOC Heading"/>
    <w:uiPriority w:val="39"/>
    <w:unhideWhenUsed/>
    <w:qFormat/>
    <w:rPr>
      <w:rFonts w:hint="default" w:ascii="Times New Roman" w:hAnsi="Times New Roman" w:eastAsia="宋体" w:cs="Times New Roman"/>
    </w:rPr>
  </w:style>
  <w:style w:type="paragraph" w:styleId="793" w:customStyle="1">
    <w:name w:val="正文首行缩进 21"/>
    <w:basedOn w:val="794"/>
    <w:next w:val="708"/>
    <w:uiPriority w:val="0"/>
    <w:qFormat/>
    <w:pPr>
      <w:ind w:left="0" w:firstLine="420"/>
      <w:spacing w:after="0" w:line="360" w:lineRule="auto"/>
    </w:pPr>
    <w:rPr>
      <w:rFonts w:ascii="宋体" w:hAnsi="宋体"/>
      <w:sz w:val="20"/>
      <w:szCs w:val="20"/>
      <w:lang w:eastAsia="en-US"/>
    </w:rPr>
  </w:style>
  <w:style w:type="paragraph" w:styleId="794" w:customStyle="1">
    <w:name w:val="正文文本缩进11"/>
    <w:basedOn w:val="795"/>
    <w:next w:val="799"/>
    <w:uiPriority w:val="0"/>
    <w:unhideWhenUsed/>
    <w:qFormat/>
    <w:pPr>
      <w:ind w:left="420"/>
      <w:spacing w:after="120"/>
    </w:pPr>
  </w:style>
  <w:style w:type="paragraph" w:styleId="795" w:customStyle="1">
    <w:name w:val="正文112"/>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customStyle="1">
    <w:name w:val="正文首行缩进1"/>
    <w:basedOn w:val="797"/>
    <w:uiPriority w:val="0"/>
    <w:qFormat/>
    <w:pPr>
      <w:ind w:firstLine="200"/>
      <w:spacing w:line="360" w:lineRule="auto"/>
    </w:pPr>
    <w:rPr>
      <w:rFonts w:ascii="仿宋_GB2312" w:hAnsi="Times New Roman" w:eastAsia="仿宋_GB2312"/>
      <w:sz w:val="30"/>
      <w:szCs w:val="30"/>
    </w:rPr>
  </w:style>
  <w:style w:type="paragraph" w:styleId="797" w:customStyle="1">
    <w:name w:val="正文文本1"/>
    <w:basedOn w:val="798"/>
    <w:next w:val="708"/>
    <w:uiPriority w:val="0"/>
    <w:semiHidden/>
    <w:qFormat/>
    <w:rPr>
      <w:rFonts w:ascii="Arial" w:hAnsi="Arial" w:eastAsia="Arial" w:cs="Arial"/>
      <w:sz w:val="21"/>
      <w:szCs w:val="21"/>
      <w:lang w:eastAsia="en-US"/>
    </w:rPr>
  </w:style>
  <w:style w:type="paragraph" w:styleId="798" w:customStyle="1">
    <w:name w:val="正文1"/>
    <w:basedOn w:val="708"/>
    <w:next w:val="797"/>
    <w:uiPriority w:val="0"/>
    <w:qFormat/>
    <w:pPr>
      <w:jc w:val="left"/>
      <w:spacing w:line="360" w:lineRule="atLeast"/>
    </w:pPr>
    <w:rPr>
      <w:rFonts w:ascii="宋体" w:hAnsi="Calibri"/>
      <w:sz w:val="24"/>
      <w:szCs w:val="20"/>
    </w:rPr>
  </w:style>
  <w:style w:type="paragraph" w:styleId="799" w:customStyle="1">
    <w:name w:val="寄信人地址1"/>
    <w:basedOn w:val="708"/>
    <w:uiPriority w:val="0"/>
    <w:qFormat/>
    <w:rPr>
      <w:rFonts w:ascii="Arial" w:hAnsi="Arial" w:cs="宋体"/>
    </w:rPr>
  </w:style>
  <w:style w:type="character" w:styleId="800" w:customStyle="1">
    <w:name w:val="标题 1 字符"/>
    <w:link w:val="709"/>
    <w:uiPriority w:val="9"/>
    <w:qFormat/>
    <w:rPr>
      <w:rFonts w:ascii="Arial" w:hAnsi="Arial" w:eastAsia="Arial" w:cs="Arial"/>
      <w:sz w:val="40"/>
      <w:szCs w:val="40"/>
    </w:rPr>
  </w:style>
  <w:style w:type="character" w:styleId="801" w:customStyle="1">
    <w:name w:val="标题 2 字符"/>
    <w:link w:val="710"/>
    <w:uiPriority w:val="9"/>
    <w:qFormat/>
    <w:rPr>
      <w:rFonts w:ascii="Arial" w:hAnsi="Arial" w:eastAsia="Arial" w:cs="Arial"/>
      <w:sz w:val="34"/>
    </w:rPr>
  </w:style>
  <w:style w:type="character" w:styleId="802" w:customStyle="1">
    <w:name w:val="标题 3 字符"/>
    <w:link w:val="711"/>
    <w:uiPriority w:val="9"/>
    <w:qFormat/>
    <w:rPr>
      <w:rFonts w:ascii="Arial" w:hAnsi="Arial" w:eastAsia="Arial" w:cs="Arial"/>
      <w:sz w:val="30"/>
      <w:szCs w:val="30"/>
    </w:rPr>
  </w:style>
  <w:style w:type="character" w:styleId="803" w:customStyle="1">
    <w:name w:val="标题 4 字符"/>
    <w:link w:val="712"/>
    <w:uiPriority w:val="9"/>
    <w:qFormat/>
    <w:rPr>
      <w:rFonts w:ascii="Arial" w:hAnsi="Arial" w:eastAsia="Arial" w:cs="Arial"/>
      <w:b/>
      <w:bCs/>
      <w:sz w:val="26"/>
      <w:szCs w:val="26"/>
    </w:rPr>
  </w:style>
  <w:style w:type="character" w:styleId="804" w:customStyle="1">
    <w:name w:val="标题 5 字符"/>
    <w:link w:val="713"/>
    <w:uiPriority w:val="9"/>
    <w:qFormat/>
    <w:rPr>
      <w:rFonts w:ascii="Arial" w:hAnsi="Arial" w:eastAsia="Arial" w:cs="Arial"/>
      <w:b/>
      <w:bCs/>
      <w:sz w:val="24"/>
      <w:szCs w:val="24"/>
    </w:rPr>
  </w:style>
  <w:style w:type="character" w:styleId="805" w:customStyle="1">
    <w:name w:val="标题 6 字符"/>
    <w:link w:val="714"/>
    <w:uiPriority w:val="9"/>
    <w:qFormat/>
    <w:rPr>
      <w:rFonts w:ascii="Arial" w:hAnsi="Arial" w:eastAsia="Arial" w:cs="Arial"/>
      <w:b/>
      <w:bCs/>
      <w:sz w:val="22"/>
      <w:szCs w:val="22"/>
    </w:rPr>
  </w:style>
  <w:style w:type="character" w:styleId="806" w:customStyle="1">
    <w:name w:val="标题 7 字符"/>
    <w:link w:val="715"/>
    <w:uiPriority w:val="9"/>
    <w:qFormat/>
    <w:rPr>
      <w:rFonts w:ascii="Arial" w:hAnsi="Arial" w:eastAsia="Arial" w:cs="Arial"/>
      <w:b/>
      <w:bCs/>
      <w:i/>
      <w:iCs/>
      <w:sz w:val="22"/>
      <w:szCs w:val="22"/>
    </w:rPr>
  </w:style>
  <w:style w:type="character" w:styleId="807" w:customStyle="1">
    <w:name w:val="标题 8 字符"/>
    <w:link w:val="716"/>
    <w:uiPriority w:val="9"/>
    <w:qFormat/>
    <w:rPr>
      <w:rFonts w:ascii="Arial" w:hAnsi="Arial" w:eastAsia="Arial" w:cs="Arial"/>
      <w:i/>
      <w:iCs/>
      <w:sz w:val="22"/>
      <w:szCs w:val="22"/>
    </w:rPr>
  </w:style>
  <w:style w:type="character" w:styleId="808" w:customStyle="1">
    <w:name w:val="标题 9 字符"/>
    <w:link w:val="717"/>
    <w:uiPriority w:val="9"/>
    <w:qFormat/>
    <w:rPr>
      <w:rFonts w:ascii="Arial" w:hAnsi="Arial" w:eastAsia="Arial" w:cs="Arial"/>
      <w:i/>
      <w:iCs/>
      <w:sz w:val="21"/>
      <w:szCs w:val="21"/>
    </w:rPr>
  </w:style>
  <w:style w:type="paragraph" w:styleId="809">
    <w:name w:val="List Paragraph"/>
    <w:basedOn w:val="708"/>
    <w:uiPriority w:val="34"/>
    <w:qFormat/>
    <w:pPr>
      <w:contextualSpacing/>
      <w:ind w:left="720"/>
    </w:pPr>
  </w:style>
  <w:style w:type="paragraph" w:styleId="810">
    <w:name w:val="No Spacing"/>
    <w:uiPriority w:val="1"/>
    <w:qFormat/>
    <w:rPr>
      <w:rFonts w:hint="default" w:ascii="Times New Roman" w:hAnsi="Times New Roman" w:eastAsia="宋体" w:cs="Times New Roman"/>
      <w:lang w:val="en-US" w:eastAsia="zh-CN" w:bidi="ar-SA"/>
    </w:rPr>
  </w:style>
  <w:style w:type="character" w:styleId="811" w:customStyle="1">
    <w:name w:val="标题 字符"/>
    <w:link w:val="743"/>
    <w:uiPriority w:val="10"/>
    <w:qFormat/>
    <w:rPr>
      <w:sz w:val="48"/>
      <w:szCs w:val="48"/>
    </w:rPr>
  </w:style>
  <w:style w:type="character" w:styleId="812" w:customStyle="1">
    <w:name w:val="副标题 字符"/>
    <w:link w:val="736"/>
    <w:uiPriority w:val="11"/>
    <w:qFormat/>
    <w:rPr>
      <w:sz w:val="24"/>
      <w:szCs w:val="24"/>
    </w:rPr>
  </w:style>
  <w:style w:type="paragraph" w:styleId="813">
    <w:name w:val="Quote"/>
    <w:basedOn w:val="708"/>
    <w:next w:val="708"/>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08"/>
    <w:next w:val="708"/>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眉 字符"/>
    <w:link w:val="733"/>
    <w:uiPriority w:val="99"/>
    <w:qFormat/>
  </w:style>
  <w:style w:type="character" w:styleId="818" w:customStyle="1">
    <w:name w:val="Footer Char"/>
    <w:uiPriority w:val="99"/>
    <w:qFormat/>
  </w:style>
  <w:style w:type="character" w:styleId="819" w:customStyle="1">
    <w:name w:val="页脚 字符"/>
    <w:link w:val="731"/>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37"/>
    <w:uiPriority w:val="99"/>
    <w:qFormat/>
    <w:rPr>
      <w:sz w:val="18"/>
    </w:rPr>
  </w:style>
  <w:style w:type="character" w:styleId="946" w:customStyle="1">
    <w:name w:val="尾注文本 字符"/>
    <w:link w:val="730"/>
    <w:uiPriority w:val="99"/>
    <w:qFormat/>
    <w:rPr>
      <w:sz w:val="20"/>
    </w:rPr>
  </w:style>
  <w:style w:type="paragraph" w:styleId="947" w:customStyle="1">
    <w:name w:val="TOC 标题1"/>
    <w:uiPriority w:val="39"/>
    <w:unhideWhenUsed/>
    <w:qFormat/>
    <w:rPr>
      <w:rFonts w:hint="default" w:ascii="Times New Roman" w:hAnsi="Times New Roman" w:eastAsia="宋体" w:cs="Times New Roman"/>
      <w:lang w:val="en-US" w:eastAsia="zh-CN" w:bidi="ar-SA"/>
    </w:rPr>
  </w:style>
  <w:style w:type="paragraph" w:styleId="948" w:customStyle="1">
    <w:name w:val="标题 11"/>
    <w:basedOn w:val="708"/>
    <w:next w:val="708"/>
    <w:link w:val="960"/>
    <w:uiPriority w:val="0"/>
    <w:qFormat/>
    <w:pPr>
      <w:jc w:val="center"/>
      <w:keepNext/>
      <w:outlineLvl w:val="0"/>
    </w:pPr>
    <w:rPr>
      <w:rFonts w:ascii="楷体_GB2312" w:eastAsia="楷体_GB2312"/>
      <w:sz w:val="28"/>
      <w:szCs w:val="28"/>
    </w:rPr>
  </w:style>
  <w:style w:type="paragraph" w:styleId="949" w:customStyle="1">
    <w:name w:val="标题 21"/>
    <w:basedOn w:val="708"/>
    <w:next w:val="950"/>
    <w:link w:val="9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0" w:customStyle="1">
    <w:name w:val="正文缩进1"/>
    <w:basedOn w:val="708"/>
    <w:link w:val="962"/>
    <w:uiPriority w:val="0"/>
    <w:qFormat/>
    <w:pPr>
      <w:ind w:firstLine="420"/>
    </w:pPr>
    <w:rPr>
      <w:szCs w:val="21"/>
    </w:rPr>
  </w:style>
  <w:style w:type="paragraph" w:styleId="951" w:customStyle="1">
    <w:name w:val="标题 31"/>
    <w:basedOn w:val="708"/>
    <w:next w:val="950"/>
    <w:link w:val="963"/>
    <w:uiPriority w:val="0"/>
    <w:qFormat/>
    <w:pPr>
      <w:keepLines/>
      <w:keepNext/>
      <w:spacing w:before="260" w:after="260" w:line="416" w:lineRule="auto"/>
      <w:outlineLvl w:val="2"/>
    </w:pPr>
    <w:rPr>
      <w:b/>
      <w:bCs/>
      <w:sz w:val="32"/>
      <w:szCs w:val="32"/>
    </w:rPr>
  </w:style>
  <w:style w:type="paragraph" w:styleId="952" w:customStyle="1">
    <w:name w:val="标题 41"/>
    <w:basedOn w:val="708"/>
    <w:next w:val="950"/>
    <w:link w:val="964"/>
    <w:uiPriority w:val="0"/>
    <w:qFormat/>
    <w:pPr>
      <w:keepLines/>
      <w:keepNext/>
      <w:spacing w:before="280" w:after="290" w:line="376" w:lineRule="auto"/>
      <w:outlineLvl w:val="3"/>
    </w:pPr>
    <w:rPr>
      <w:rFonts w:ascii="Arial" w:hAnsi="Arial" w:eastAsia="黑体" w:cs="Arial"/>
      <w:b/>
      <w:bCs/>
      <w:sz w:val="28"/>
      <w:szCs w:val="28"/>
    </w:rPr>
  </w:style>
  <w:style w:type="paragraph" w:styleId="953" w:customStyle="1">
    <w:name w:val="标题 51"/>
    <w:basedOn w:val="708"/>
    <w:next w:val="950"/>
    <w:link w:val="965"/>
    <w:uiPriority w:val="0"/>
    <w:qFormat/>
    <w:pPr>
      <w:keepNext/>
      <w:outlineLvl w:val="4"/>
    </w:pPr>
    <w:rPr>
      <w:rFonts w:ascii="宋体"/>
      <w:color w:val="000000"/>
      <w:sz w:val="28"/>
      <w:szCs w:val="28"/>
    </w:rPr>
  </w:style>
  <w:style w:type="paragraph" w:styleId="954" w:customStyle="1">
    <w:name w:val="标题 61"/>
    <w:basedOn w:val="708"/>
    <w:next w:val="708"/>
    <w:link w:val="9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5" w:customStyle="1">
    <w:name w:val="标题 71"/>
    <w:basedOn w:val="708"/>
    <w:next w:val="708"/>
    <w:link w:val="967"/>
    <w:uiPriority w:val="0"/>
    <w:qFormat/>
    <w:pPr>
      <w:numPr>
        <w:ilvl w:val="6"/>
        <w:numId w:val="1"/>
      </w:numPr>
      <w:keepLines/>
      <w:keepNext/>
      <w:spacing w:before="240" w:after="64" w:line="320" w:lineRule="auto"/>
      <w:outlineLvl w:val="6"/>
    </w:pPr>
    <w:rPr>
      <w:b/>
      <w:bCs/>
      <w:sz w:val="24"/>
      <w:szCs w:val="24"/>
    </w:rPr>
  </w:style>
  <w:style w:type="paragraph" w:styleId="956" w:customStyle="1">
    <w:name w:val="标题 81"/>
    <w:basedOn w:val="708"/>
    <w:next w:val="708"/>
    <w:link w:val="96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7" w:customStyle="1">
    <w:name w:val="标题 91"/>
    <w:basedOn w:val="708"/>
    <w:next w:val="708"/>
    <w:link w:val="969"/>
    <w:uiPriority w:val="0"/>
    <w:qFormat/>
    <w:pPr>
      <w:numPr>
        <w:ilvl w:val="8"/>
        <w:numId w:val="1"/>
      </w:numPr>
      <w:keepLines/>
      <w:keepNext/>
      <w:spacing w:before="240" w:after="64" w:line="320" w:lineRule="auto"/>
      <w:outlineLvl w:val="8"/>
    </w:pPr>
    <w:rPr>
      <w:rFonts w:ascii="Arial" w:hAnsi="Arial" w:eastAsia="黑体"/>
      <w:szCs w:val="21"/>
    </w:rPr>
  </w:style>
  <w:style w:type="character" w:styleId="958" w:customStyle="1">
    <w:name w:val="默认段落字体1"/>
    <w:uiPriority w:val="1"/>
    <w:unhideWhenUsed/>
    <w:qFormat/>
  </w:style>
  <w:style w:type="table" w:styleId="959" w:customStyle="1">
    <w:name w:val="普通表格11"/>
    <w:uiPriority w:val="99"/>
    <w:unhideWhenUsed/>
    <w:qFormat/>
    <w:tblPr>
      <w:tblCellMar>
        <w:left w:w="0" w:type="dxa"/>
        <w:top w:w="0" w:type="dxa"/>
        <w:right w:w="0" w:type="dxa"/>
        <w:bottom w:w="0" w:type="dxa"/>
      </w:tblCellMar>
    </w:tblPr>
  </w:style>
  <w:style w:type="character" w:styleId="960" w:customStyle="1">
    <w:name w:val="标题 1 Char"/>
    <w:link w:val="948"/>
    <w:uiPriority w:val="0"/>
    <w:qFormat/>
    <w:rPr>
      <w:rFonts w:ascii="楷体_GB2312" w:hAnsi="Times New Roman" w:eastAsia="楷体_GB2312" w:cs="Times New Roman"/>
      <w:sz w:val="28"/>
      <w:szCs w:val="28"/>
    </w:rPr>
  </w:style>
  <w:style w:type="character" w:styleId="961" w:customStyle="1">
    <w:name w:val="标题 2 Char"/>
    <w:link w:val="949"/>
    <w:uiPriority w:val="0"/>
    <w:qFormat/>
    <w:rPr>
      <w:rFonts w:ascii="Arial" w:hAnsi="Arial" w:eastAsia="幼圆" w:cs="Arial"/>
      <w:b/>
      <w:bCs/>
      <w:sz w:val="44"/>
      <w:szCs w:val="44"/>
    </w:rPr>
  </w:style>
  <w:style w:type="character" w:styleId="962" w:customStyle="1">
    <w:name w:val="正文缩进 Char"/>
    <w:link w:val="950"/>
    <w:uiPriority w:val="0"/>
    <w:qFormat/>
    <w:rPr>
      <w:szCs w:val="21"/>
    </w:rPr>
  </w:style>
  <w:style w:type="character" w:styleId="963" w:customStyle="1">
    <w:name w:val="标题 3 Char"/>
    <w:link w:val="951"/>
    <w:uiPriority w:val="0"/>
    <w:qFormat/>
    <w:rPr>
      <w:rFonts w:ascii="Times New Roman" w:hAnsi="Times New Roman" w:eastAsia="宋体" w:cs="Times New Roman"/>
      <w:b/>
      <w:bCs/>
      <w:sz w:val="32"/>
      <w:szCs w:val="32"/>
    </w:rPr>
  </w:style>
  <w:style w:type="character" w:styleId="964" w:customStyle="1">
    <w:name w:val="标题 4 Char"/>
    <w:link w:val="952"/>
    <w:uiPriority w:val="0"/>
    <w:qFormat/>
    <w:rPr>
      <w:rFonts w:ascii="Arial" w:hAnsi="Arial" w:eastAsia="黑体" w:cs="Arial"/>
      <w:b/>
      <w:bCs/>
      <w:sz w:val="28"/>
      <w:szCs w:val="28"/>
    </w:rPr>
  </w:style>
  <w:style w:type="character" w:styleId="965" w:customStyle="1">
    <w:name w:val="标题 5 Char"/>
    <w:link w:val="953"/>
    <w:uiPriority w:val="0"/>
    <w:qFormat/>
    <w:rPr>
      <w:rFonts w:ascii="宋体" w:hAnsi="Times New Roman" w:eastAsia="宋体" w:cs="Times New Roman"/>
      <w:color w:val="000000"/>
      <w:sz w:val="28"/>
      <w:szCs w:val="28"/>
    </w:rPr>
  </w:style>
  <w:style w:type="character" w:styleId="966" w:customStyle="1">
    <w:name w:val="标题 6 Char"/>
    <w:link w:val="954"/>
    <w:uiPriority w:val="0"/>
    <w:qFormat/>
    <w:rPr>
      <w:rFonts w:ascii="Arial" w:hAnsi="Arial" w:eastAsia="黑体" w:cs="Times New Roman"/>
      <w:b/>
      <w:bCs/>
      <w:sz w:val="24"/>
      <w:szCs w:val="24"/>
    </w:rPr>
  </w:style>
  <w:style w:type="character" w:styleId="967" w:customStyle="1">
    <w:name w:val="标题 7 Char"/>
    <w:link w:val="955"/>
    <w:uiPriority w:val="0"/>
    <w:qFormat/>
    <w:rPr>
      <w:rFonts w:ascii="Times New Roman" w:hAnsi="Times New Roman" w:eastAsia="宋体" w:cs="Times New Roman"/>
      <w:b/>
      <w:bCs/>
      <w:sz w:val="24"/>
      <w:szCs w:val="24"/>
    </w:rPr>
  </w:style>
  <w:style w:type="character" w:styleId="968" w:customStyle="1">
    <w:name w:val="标题 8 Char"/>
    <w:link w:val="956"/>
    <w:uiPriority w:val="0"/>
    <w:qFormat/>
    <w:rPr>
      <w:rFonts w:ascii="Arial" w:hAnsi="Arial" w:eastAsia="黑体" w:cs="Times New Roman"/>
      <w:sz w:val="24"/>
      <w:szCs w:val="24"/>
    </w:rPr>
  </w:style>
  <w:style w:type="character" w:styleId="969" w:customStyle="1">
    <w:name w:val="标题 9 Char"/>
    <w:link w:val="957"/>
    <w:uiPriority w:val="0"/>
    <w:qFormat/>
    <w:rPr>
      <w:rFonts w:ascii="Arial" w:hAnsi="Arial" w:eastAsia="黑体" w:cs="Times New Roman"/>
      <w:szCs w:val="21"/>
    </w:rPr>
  </w:style>
  <w:style w:type="paragraph" w:styleId="970" w:customStyle="1">
    <w:name w:val="列表 31"/>
    <w:basedOn w:val="708"/>
    <w:uiPriority w:val="0"/>
    <w:qFormat/>
    <w:pPr>
      <w:ind w:left="100" w:hanging="200"/>
    </w:pPr>
    <w:rPr>
      <w:szCs w:val="21"/>
    </w:rPr>
  </w:style>
  <w:style w:type="paragraph" w:styleId="971" w:customStyle="1">
    <w:name w:val="目录 71"/>
    <w:basedOn w:val="708"/>
    <w:next w:val="708"/>
    <w:uiPriority w:val="0"/>
    <w:semiHidden/>
    <w:qFormat/>
    <w:pPr>
      <w:ind w:left="1260"/>
      <w:jc w:val="left"/>
    </w:pPr>
    <w:rPr>
      <w:szCs w:val="21"/>
    </w:rPr>
  </w:style>
  <w:style w:type="paragraph" w:styleId="972" w:customStyle="1">
    <w:name w:val="文档结构图1"/>
    <w:basedOn w:val="708"/>
    <w:link w:val="973"/>
    <w:uiPriority w:val="0"/>
    <w:semiHidden/>
    <w:qFormat/>
    <w:pPr>
      <w:shd w:val="clear" w:color="auto" w:fill="000080"/>
    </w:pPr>
    <w:rPr>
      <w:szCs w:val="21"/>
    </w:rPr>
  </w:style>
  <w:style w:type="character" w:styleId="973" w:customStyle="1">
    <w:name w:val="文档结构图 Char"/>
    <w:link w:val="972"/>
    <w:uiPriority w:val="0"/>
    <w:semiHidden/>
    <w:qFormat/>
    <w:rPr>
      <w:rFonts w:ascii="Times New Roman" w:hAnsi="Times New Roman" w:eastAsia="宋体" w:cs="Times New Roman"/>
      <w:szCs w:val="21"/>
      <w:shd w:val="clear" w:color="auto" w:fill="000080"/>
    </w:rPr>
  </w:style>
  <w:style w:type="paragraph" w:styleId="974" w:customStyle="1">
    <w:name w:val="批注文字1"/>
    <w:basedOn w:val="708"/>
    <w:link w:val="975"/>
    <w:uiPriority w:val="0"/>
    <w:unhideWhenUsed/>
    <w:qFormat/>
    <w:pPr>
      <w:jc w:val="left"/>
    </w:pPr>
  </w:style>
  <w:style w:type="character" w:styleId="975" w:customStyle="1">
    <w:name w:val="批注文字 Char"/>
    <w:basedOn w:val="958"/>
    <w:link w:val="974"/>
    <w:uiPriority w:val="99"/>
    <w:semiHidden/>
    <w:qFormat/>
  </w:style>
  <w:style w:type="paragraph" w:styleId="976" w:customStyle="1">
    <w:name w:val="正文文本 31"/>
    <w:basedOn w:val="708"/>
    <w:link w:val="977"/>
    <w:uiPriority w:val="0"/>
    <w:qFormat/>
    <w:rPr>
      <w:rFonts w:ascii="仿宋_GB2312" w:hAnsi="Arial" w:eastAsia="仿宋_GB2312"/>
      <w:sz w:val="32"/>
      <w:szCs w:val="32"/>
    </w:rPr>
  </w:style>
  <w:style w:type="character" w:styleId="977" w:customStyle="1">
    <w:name w:val="正文文本 3 Char"/>
    <w:link w:val="976"/>
    <w:uiPriority w:val="0"/>
    <w:qFormat/>
    <w:rPr>
      <w:rFonts w:ascii="仿宋_GB2312" w:hAnsi="Arial" w:eastAsia="仿宋_GB2312" w:cs="Times New Roman"/>
      <w:sz w:val="32"/>
      <w:szCs w:val="32"/>
    </w:rPr>
  </w:style>
  <w:style w:type="paragraph" w:styleId="978" w:customStyle="1">
    <w:name w:val="正文文本2"/>
    <w:basedOn w:val="708"/>
    <w:link w:val="979"/>
    <w:uiPriority w:val="0"/>
    <w:qFormat/>
    <w:rPr>
      <w:rFonts w:ascii="楷体_GB2312" w:hAnsi="Arial" w:eastAsia="楷体_GB2312"/>
      <w:sz w:val="28"/>
      <w:szCs w:val="28"/>
    </w:rPr>
  </w:style>
  <w:style w:type="character" w:styleId="979" w:customStyle="1">
    <w:name w:val="正文文本 Char"/>
    <w:link w:val="978"/>
    <w:uiPriority w:val="0"/>
    <w:qFormat/>
    <w:rPr>
      <w:rFonts w:ascii="楷体_GB2312" w:hAnsi="Arial" w:eastAsia="楷体_GB2312" w:cs="Times New Roman"/>
      <w:sz w:val="28"/>
      <w:szCs w:val="28"/>
    </w:rPr>
  </w:style>
  <w:style w:type="paragraph" w:styleId="980" w:customStyle="1">
    <w:name w:val="正文文本缩进12"/>
    <w:basedOn w:val="708"/>
    <w:next w:val="981"/>
    <w:link w:val="982"/>
    <w:uiPriority w:val="0"/>
    <w:unhideWhenUsed/>
    <w:qFormat/>
    <w:pPr>
      <w:ind w:left="420"/>
      <w:spacing w:after="120"/>
    </w:pPr>
  </w:style>
  <w:style w:type="paragraph" w:styleId="981" w:customStyle="1">
    <w:name w:val="正文首行缩进 22"/>
    <w:basedOn w:val="980"/>
    <w:link w:val="983"/>
    <w:uiPriority w:val="0"/>
    <w:qFormat/>
    <w:pPr>
      <w:ind w:left="0" w:firstLine="420"/>
      <w:spacing w:after="0" w:line="360" w:lineRule="auto"/>
    </w:pPr>
    <w:rPr>
      <w:rFonts w:ascii="宋体" w:hAnsi="宋体"/>
      <w:szCs w:val="20"/>
    </w:rPr>
  </w:style>
  <w:style w:type="character" w:styleId="982" w:customStyle="1">
    <w:name w:val="正文文本缩进 Char"/>
    <w:basedOn w:val="958"/>
    <w:link w:val="980"/>
    <w:uiPriority w:val="99"/>
    <w:semiHidden/>
    <w:qFormat/>
  </w:style>
  <w:style w:type="character" w:styleId="983" w:customStyle="1">
    <w:name w:val="正文首行缩进 2 Char"/>
    <w:link w:val="981"/>
    <w:uiPriority w:val="0"/>
    <w:qFormat/>
    <w:rPr>
      <w:rFonts w:ascii="宋体" w:hAnsi="宋体" w:eastAsia="宋体" w:cs="Times New Roman"/>
      <w:szCs w:val="20"/>
    </w:rPr>
  </w:style>
  <w:style w:type="paragraph" w:styleId="984" w:customStyle="1">
    <w:name w:val="列表 21"/>
    <w:basedOn w:val="708"/>
    <w:uiPriority w:val="0"/>
    <w:qFormat/>
    <w:pPr>
      <w:ind w:left="100" w:hanging="200"/>
    </w:pPr>
    <w:rPr>
      <w:szCs w:val="21"/>
    </w:rPr>
  </w:style>
  <w:style w:type="paragraph" w:styleId="985" w:customStyle="1">
    <w:name w:val="目录 51"/>
    <w:basedOn w:val="708"/>
    <w:next w:val="708"/>
    <w:uiPriority w:val="0"/>
    <w:semiHidden/>
    <w:qFormat/>
    <w:pPr>
      <w:ind w:left="840"/>
      <w:jc w:val="left"/>
    </w:pPr>
    <w:rPr>
      <w:szCs w:val="21"/>
    </w:rPr>
  </w:style>
  <w:style w:type="paragraph" w:styleId="986" w:customStyle="1">
    <w:name w:val="目录 31"/>
    <w:basedOn w:val="708"/>
    <w:next w:val="708"/>
    <w:uiPriority w:val="0"/>
    <w:semiHidden/>
    <w:qFormat/>
    <w:pPr>
      <w:ind w:left="420"/>
      <w:jc w:val="left"/>
    </w:pPr>
    <w:rPr>
      <w:i/>
      <w:iCs/>
      <w:szCs w:val="24"/>
    </w:rPr>
  </w:style>
  <w:style w:type="paragraph" w:styleId="987" w:customStyle="1">
    <w:name w:val="纯文本1"/>
    <w:basedOn w:val="708"/>
    <w:link w:val="988"/>
    <w:uiPriority w:val="0"/>
    <w:qFormat/>
    <w:rPr>
      <w:rFonts w:ascii="宋体" w:hAnsi="Courier New" w:cs="Courier New"/>
      <w:szCs w:val="21"/>
    </w:rPr>
  </w:style>
  <w:style w:type="character" w:styleId="988" w:customStyle="1">
    <w:name w:val="纯文本 Char"/>
    <w:link w:val="987"/>
    <w:uiPriority w:val="0"/>
    <w:qFormat/>
    <w:rPr>
      <w:rFonts w:ascii="宋体" w:hAnsi="Courier New" w:eastAsia="宋体" w:cs="Courier New"/>
      <w:szCs w:val="21"/>
    </w:rPr>
  </w:style>
  <w:style w:type="paragraph" w:styleId="989" w:customStyle="1">
    <w:name w:val="目录 81"/>
    <w:basedOn w:val="708"/>
    <w:next w:val="708"/>
    <w:uiPriority w:val="0"/>
    <w:semiHidden/>
    <w:qFormat/>
    <w:pPr>
      <w:ind w:left="1470"/>
      <w:jc w:val="left"/>
    </w:pPr>
    <w:rPr>
      <w:szCs w:val="21"/>
    </w:rPr>
  </w:style>
  <w:style w:type="paragraph" w:styleId="990" w:customStyle="1">
    <w:name w:val="日期1"/>
    <w:basedOn w:val="708"/>
    <w:next w:val="708"/>
    <w:link w:val="991"/>
    <w:uiPriority w:val="0"/>
    <w:qFormat/>
    <w:rPr>
      <w:sz w:val="24"/>
      <w:szCs w:val="24"/>
    </w:rPr>
  </w:style>
  <w:style w:type="character" w:styleId="991" w:customStyle="1">
    <w:name w:val="日期 Char"/>
    <w:link w:val="990"/>
    <w:uiPriority w:val="0"/>
    <w:qFormat/>
    <w:rPr>
      <w:rFonts w:ascii="Times New Roman" w:hAnsi="Times New Roman" w:eastAsia="宋体" w:cs="Times New Roman"/>
      <w:sz w:val="24"/>
      <w:szCs w:val="24"/>
    </w:rPr>
  </w:style>
  <w:style w:type="paragraph" w:styleId="992" w:customStyle="1">
    <w:name w:val="正文文本缩进 21"/>
    <w:basedOn w:val="708"/>
    <w:link w:val="993"/>
    <w:uiPriority w:val="0"/>
    <w:qFormat/>
    <w:pPr>
      <w:ind w:left="630" w:firstLine="645"/>
    </w:pPr>
    <w:rPr>
      <w:rFonts w:ascii="Arial" w:hAnsi="Arial" w:eastAsia="仿宋_GB2312" w:cs="Arial"/>
      <w:sz w:val="32"/>
      <w:szCs w:val="32"/>
    </w:rPr>
  </w:style>
  <w:style w:type="character" w:styleId="993" w:customStyle="1">
    <w:name w:val="正文文本缩进 2 Char"/>
    <w:link w:val="992"/>
    <w:uiPriority w:val="0"/>
    <w:qFormat/>
    <w:rPr>
      <w:rFonts w:ascii="Arial" w:hAnsi="Arial" w:eastAsia="仿宋_GB2312" w:cs="Arial"/>
      <w:sz w:val="32"/>
      <w:szCs w:val="32"/>
    </w:rPr>
  </w:style>
  <w:style w:type="paragraph" w:styleId="994" w:customStyle="1">
    <w:name w:val="批注框文本1"/>
    <w:basedOn w:val="708"/>
    <w:link w:val="995"/>
    <w:uiPriority w:val="0"/>
    <w:semiHidden/>
    <w:qFormat/>
    <w:rPr>
      <w:sz w:val="18"/>
      <w:szCs w:val="18"/>
    </w:rPr>
  </w:style>
  <w:style w:type="character" w:styleId="995" w:customStyle="1">
    <w:name w:val="批注框文本 Char"/>
    <w:link w:val="994"/>
    <w:uiPriority w:val="0"/>
    <w:semiHidden/>
    <w:qFormat/>
    <w:rPr>
      <w:rFonts w:ascii="Times New Roman" w:hAnsi="Times New Roman" w:eastAsia="宋体" w:cs="Times New Roman"/>
      <w:sz w:val="18"/>
      <w:szCs w:val="18"/>
    </w:rPr>
  </w:style>
  <w:style w:type="paragraph" w:styleId="996" w:customStyle="1">
    <w:name w:val="页脚1"/>
    <w:basedOn w:val="708"/>
    <w:link w:val="997"/>
    <w:uiPriority w:val="0"/>
    <w:qFormat/>
    <w:pPr>
      <w:jc w:val="left"/>
      <w:tabs>
        <w:tab w:val="center" w:pos="4153" w:leader="none"/>
        <w:tab w:val="right" w:pos="8306" w:leader="none"/>
      </w:tabs>
    </w:pPr>
    <w:rPr>
      <w:sz w:val="18"/>
      <w:szCs w:val="18"/>
    </w:rPr>
  </w:style>
  <w:style w:type="character" w:styleId="997" w:customStyle="1">
    <w:name w:val="页脚 Char"/>
    <w:link w:val="996"/>
    <w:uiPriority w:val="0"/>
    <w:qFormat/>
    <w:rPr>
      <w:rFonts w:ascii="Times New Roman" w:hAnsi="Times New Roman" w:eastAsia="宋体" w:cs="Times New Roman"/>
      <w:sz w:val="18"/>
      <w:szCs w:val="18"/>
    </w:rPr>
  </w:style>
  <w:style w:type="paragraph" w:styleId="998" w:customStyle="1">
    <w:name w:val="寄信人地址2"/>
    <w:basedOn w:val="708"/>
    <w:uiPriority w:val="0"/>
    <w:qFormat/>
    <w:rPr>
      <w:rFonts w:ascii="Arial" w:hAnsi="Arial" w:cs="宋体"/>
    </w:rPr>
  </w:style>
  <w:style w:type="paragraph" w:styleId="999" w:customStyle="1">
    <w:name w:val="页眉1"/>
    <w:basedOn w:val="708"/>
    <w:link w:val="1000"/>
    <w:uiPriority w:val="0"/>
    <w:qFormat/>
    <w:pPr>
      <w:jc w:val="center"/>
      <w:tabs>
        <w:tab w:val="center" w:pos="4153" w:leader="none"/>
        <w:tab w:val="right" w:pos="8306" w:leader="none"/>
      </w:tabs>
      <w:pBdr>
        <w:bottom w:val="single" w:color="000000" w:sz="6" w:space="1"/>
      </w:pBdr>
    </w:pPr>
    <w:rPr>
      <w:sz w:val="18"/>
      <w:szCs w:val="18"/>
    </w:rPr>
  </w:style>
  <w:style w:type="character" w:styleId="1000" w:customStyle="1">
    <w:name w:val="页眉 Char"/>
    <w:link w:val="999"/>
    <w:uiPriority w:val="0"/>
    <w:qFormat/>
    <w:rPr>
      <w:rFonts w:ascii="Times New Roman" w:hAnsi="Times New Roman" w:eastAsia="宋体" w:cs="Times New Roman"/>
      <w:sz w:val="18"/>
      <w:szCs w:val="18"/>
    </w:rPr>
  </w:style>
  <w:style w:type="paragraph" w:styleId="1001" w:customStyle="1">
    <w:name w:val="目录 11"/>
    <w:basedOn w:val="708"/>
    <w:next w:val="708"/>
    <w:uiPriority w:val="0"/>
    <w:semiHidden/>
    <w:qFormat/>
    <w:pPr>
      <w:jc w:val="left"/>
      <w:spacing w:before="120" w:after="120" w:line="400" w:lineRule="exact"/>
      <w:tabs>
        <w:tab w:val="right" w:pos="8720" w:leader="dot"/>
      </w:tabs>
    </w:pPr>
    <w:rPr>
      <w:rFonts w:ascii="宋体" w:hAnsi="宋体"/>
      <w:caps/>
      <w:sz w:val="24"/>
      <w:szCs w:val="24"/>
    </w:rPr>
  </w:style>
  <w:style w:type="paragraph" w:styleId="1002" w:customStyle="1">
    <w:name w:val="目录 41"/>
    <w:basedOn w:val="708"/>
    <w:next w:val="708"/>
    <w:uiPriority w:val="0"/>
    <w:semiHidden/>
    <w:qFormat/>
    <w:pPr>
      <w:ind w:left="630"/>
      <w:jc w:val="left"/>
    </w:pPr>
    <w:rPr>
      <w:szCs w:val="21"/>
    </w:rPr>
  </w:style>
  <w:style w:type="paragraph" w:styleId="1003" w:customStyle="1">
    <w:name w:val="列表1"/>
    <w:basedOn w:val="708"/>
    <w:uiPriority w:val="0"/>
    <w:qFormat/>
    <w:pPr>
      <w:ind w:left="200" w:hanging="200"/>
    </w:pPr>
    <w:rPr>
      <w:szCs w:val="21"/>
    </w:rPr>
  </w:style>
  <w:style w:type="paragraph" w:styleId="1004" w:customStyle="1">
    <w:name w:val="目录 61"/>
    <w:basedOn w:val="708"/>
    <w:next w:val="708"/>
    <w:uiPriority w:val="0"/>
    <w:semiHidden/>
    <w:qFormat/>
    <w:pPr>
      <w:ind w:left="1050"/>
      <w:jc w:val="left"/>
    </w:pPr>
    <w:rPr>
      <w:szCs w:val="21"/>
    </w:rPr>
  </w:style>
  <w:style w:type="paragraph" w:styleId="1005" w:customStyle="1">
    <w:name w:val="正文文本缩进 31"/>
    <w:basedOn w:val="708"/>
    <w:link w:val="1006"/>
    <w:uiPriority w:val="0"/>
    <w:qFormat/>
    <w:pPr>
      <w:ind w:left="645" w:firstLine="645"/>
    </w:pPr>
    <w:rPr>
      <w:rFonts w:ascii="Arial" w:hAnsi="Arial" w:eastAsia="仿宋_GB2312" w:cs="Arial"/>
      <w:color w:val="ffff00"/>
      <w:sz w:val="32"/>
      <w:szCs w:val="32"/>
    </w:rPr>
  </w:style>
  <w:style w:type="character" w:styleId="1006" w:customStyle="1">
    <w:name w:val="正文文本缩进 3 Char"/>
    <w:link w:val="1005"/>
    <w:uiPriority w:val="0"/>
    <w:qFormat/>
    <w:rPr>
      <w:rFonts w:ascii="Arial" w:hAnsi="Arial" w:eastAsia="仿宋_GB2312" w:cs="Arial"/>
      <w:color w:val="ffff00"/>
      <w:sz w:val="32"/>
      <w:szCs w:val="32"/>
    </w:rPr>
  </w:style>
  <w:style w:type="paragraph" w:styleId="1007" w:customStyle="1">
    <w:name w:val="图表目录1"/>
    <w:basedOn w:val="708"/>
    <w:next w:val="708"/>
    <w:uiPriority w:val="0"/>
    <w:semiHidden/>
    <w:qFormat/>
    <w:pPr>
      <w:ind w:left="840" w:hanging="420"/>
    </w:pPr>
    <w:rPr>
      <w:szCs w:val="21"/>
    </w:rPr>
  </w:style>
  <w:style w:type="paragraph" w:styleId="1008" w:customStyle="1">
    <w:name w:val="目录 21"/>
    <w:basedOn w:val="708"/>
    <w:next w:val="708"/>
    <w:uiPriority w:val="0"/>
    <w:semiHidden/>
    <w:qFormat/>
    <w:pPr>
      <w:ind w:left="210"/>
      <w:jc w:val="left"/>
    </w:pPr>
    <w:rPr>
      <w:smallCaps/>
      <w:szCs w:val="24"/>
    </w:rPr>
  </w:style>
  <w:style w:type="paragraph" w:styleId="1009" w:customStyle="1">
    <w:name w:val="目录 91"/>
    <w:basedOn w:val="708"/>
    <w:next w:val="708"/>
    <w:uiPriority w:val="0"/>
    <w:semiHidden/>
    <w:qFormat/>
    <w:pPr>
      <w:ind w:left="1680"/>
      <w:jc w:val="left"/>
    </w:pPr>
    <w:rPr>
      <w:szCs w:val="21"/>
    </w:rPr>
  </w:style>
  <w:style w:type="paragraph" w:styleId="1010" w:customStyle="1">
    <w:name w:val="正文文本 21"/>
    <w:basedOn w:val="708"/>
    <w:link w:val="1011"/>
    <w:uiPriority w:val="0"/>
    <w:qFormat/>
    <w:pPr>
      <w:jc w:val="center"/>
      <w:widowControl/>
    </w:pPr>
    <w:rPr>
      <w:rFonts w:ascii="楷体_GB2312" w:eastAsia="楷体_GB2312"/>
      <w:sz w:val="28"/>
      <w:szCs w:val="28"/>
    </w:rPr>
  </w:style>
  <w:style w:type="character" w:styleId="1011" w:customStyle="1">
    <w:name w:val="正文文本 2 Char"/>
    <w:link w:val="1010"/>
    <w:uiPriority w:val="0"/>
    <w:qFormat/>
    <w:rPr>
      <w:rFonts w:ascii="楷体_GB2312" w:hAnsi="Times New Roman" w:eastAsia="楷体_GB2312" w:cs="Times New Roman"/>
      <w:sz w:val="28"/>
      <w:szCs w:val="28"/>
    </w:rPr>
  </w:style>
  <w:style w:type="paragraph" w:styleId="1012" w:customStyle="1">
    <w:name w:val="普通(网站)1"/>
    <w:basedOn w:val="708"/>
    <w:uiPriority w:val="99"/>
    <w:qFormat/>
    <w:pPr>
      <w:jc w:val="left"/>
      <w:spacing w:before="100" w:beforeAutospacing="1" w:after="100" w:afterAutospacing="1"/>
      <w:widowControl/>
    </w:pPr>
    <w:rPr>
      <w:rFonts w:ascii="宋体" w:hAnsi="宋体" w:cs="宋体"/>
      <w:sz w:val="24"/>
      <w:szCs w:val="24"/>
    </w:rPr>
  </w:style>
  <w:style w:type="paragraph" w:styleId="1013" w:customStyle="1">
    <w:name w:val="索引 11"/>
    <w:basedOn w:val="708"/>
    <w:next w:val="708"/>
    <w:uiPriority w:val="0"/>
    <w:semiHidden/>
    <w:qFormat/>
    <w:pPr>
      <w:spacing w:line="240" w:lineRule="atLeast"/>
    </w:pPr>
    <w:rPr>
      <w:b/>
      <w:bCs/>
      <w:szCs w:val="21"/>
    </w:rPr>
  </w:style>
  <w:style w:type="paragraph" w:styleId="1014" w:customStyle="1">
    <w:name w:val="批注主题1"/>
    <w:basedOn w:val="974"/>
    <w:next w:val="974"/>
    <w:link w:val="1015"/>
    <w:uiPriority w:val="0"/>
    <w:semiHidden/>
    <w:qFormat/>
    <w:rPr>
      <w:b/>
      <w:bCs/>
      <w:szCs w:val="21"/>
    </w:rPr>
  </w:style>
  <w:style w:type="character" w:styleId="1015" w:customStyle="1">
    <w:name w:val="批注主题 Char"/>
    <w:link w:val="1014"/>
    <w:uiPriority w:val="0"/>
    <w:semiHidden/>
    <w:qFormat/>
    <w:rPr>
      <w:rFonts w:ascii="Times New Roman" w:hAnsi="Times New Roman" w:eastAsia="宋体" w:cs="Times New Roman"/>
      <w:b/>
      <w:bCs/>
      <w:szCs w:val="21"/>
    </w:rPr>
  </w:style>
  <w:style w:type="paragraph" w:styleId="1016" w:customStyle="1">
    <w:name w:val="正文首行缩进2"/>
    <w:basedOn w:val="708"/>
    <w:link w:val="1017"/>
    <w:uiPriority w:val="0"/>
    <w:qFormat/>
    <w:pPr>
      <w:ind w:firstLine="200"/>
      <w:spacing w:line="360" w:lineRule="auto"/>
    </w:pPr>
    <w:rPr>
      <w:rFonts w:ascii="仿宋_GB2312" w:eastAsia="仿宋_GB2312"/>
      <w:sz w:val="30"/>
      <w:szCs w:val="30"/>
    </w:rPr>
  </w:style>
  <w:style w:type="character" w:styleId="1017" w:customStyle="1">
    <w:name w:val="正文首行缩进 Char"/>
    <w:link w:val="1016"/>
    <w:uiPriority w:val="0"/>
    <w:qFormat/>
    <w:rPr>
      <w:rFonts w:ascii="仿宋_GB2312" w:hAnsi="Times New Roman" w:eastAsia="仿宋_GB2312" w:cs="Times New Roman"/>
      <w:sz w:val="30"/>
      <w:szCs w:val="30"/>
    </w:rPr>
  </w:style>
  <w:style w:type="table" w:styleId="1018" w:customStyle="1">
    <w:name w:val="网格型11"/>
    <w:basedOn w:val="959"/>
    <w:uiPriority w:val="0"/>
    <w:qFormat/>
    <w:pPr>
      <w:jc w:val="both"/>
      <w:widowControl w:val="off"/>
    </w:pPr>
    <w:tblPr/>
  </w:style>
  <w:style w:type="character" w:styleId="1019" w:customStyle="1">
    <w:name w:val="要点1"/>
    <w:basedOn w:val="958"/>
    <w:uiPriority w:val="0"/>
    <w:qFormat/>
    <w:rPr>
      <w:b/>
      <w:bCs/>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超链接1"/>
    <w:uiPriority w:val="0"/>
    <w:qFormat/>
    <w:rPr>
      <w:color w:val="0000ff"/>
      <w:u w:val="single"/>
    </w:rPr>
  </w:style>
  <w:style w:type="character" w:styleId="1023" w:customStyle="1">
    <w:name w:val="批注引用1"/>
    <w:uiPriority w:val="0"/>
    <w:semiHidden/>
    <w:qFormat/>
    <w:rPr>
      <w:sz w:val="21"/>
      <w:szCs w:val="21"/>
    </w:rPr>
  </w:style>
  <w:style w:type="paragraph" w:styleId="1024" w:customStyle="1">
    <w:name w:val="索引 41"/>
    <w:basedOn w:val="708"/>
    <w:next w:val="708"/>
    <w:uiPriority w:val="0"/>
    <w:semiHidden/>
    <w:qFormat/>
    <w:pPr>
      <w:ind w:left="1260"/>
    </w:pPr>
    <w:rPr>
      <w:rFonts w:ascii="Calibri" w:hAnsi="Calibri" w:eastAsia="Calibri" w:cs="宋体"/>
      <w:sz w:val="20"/>
      <w:lang w:val="zh-CN"/>
    </w:rPr>
  </w:style>
  <w:style w:type="paragraph" w:styleId="1025" w:customStyle="1">
    <w:name w:val="列出段落1"/>
    <w:basedOn w:val="708"/>
    <w:link w:val="1026"/>
    <w:uiPriority w:val="0"/>
    <w:qFormat/>
    <w:pPr>
      <w:contextualSpacing/>
      <w:ind w:left="720"/>
      <w:jc w:val="left"/>
      <w:widowControl/>
    </w:pPr>
    <w:rPr>
      <w:rFonts w:ascii="Calibri" w:hAnsi="Calibri"/>
      <w:sz w:val="24"/>
      <w:szCs w:val="24"/>
      <w:lang w:eastAsia="en-US" w:bidi="en-US"/>
    </w:rPr>
  </w:style>
  <w:style w:type="character" w:styleId="1026" w:customStyle="1">
    <w:name w:val="列出段落 Char"/>
    <w:link w:val="1025"/>
    <w:uiPriority w:val="0"/>
    <w:qFormat/>
    <w:rPr>
      <w:rFonts w:ascii="Calibri" w:hAnsi="Calibri"/>
      <w:sz w:val="24"/>
      <w:szCs w:val="24"/>
      <w:lang w:eastAsia="en-US" w:bidi="en-US"/>
    </w:rPr>
  </w:style>
  <w:style w:type="character" w:styleId="1027" w:customStyle="1">
    <w:name w:val="font5 Char"/>
    <w:uiPriority w:val="0"/>
    <w:qFormat/>
    <w:rPr>
      <w:rFonts w:ascii="宋体" w:hAnsi="宋体" w:eastAsia="宋体"/>
      <w:sz w:val="28"/>
      <w:szCs w:val="28"/>
      <w:lang w:val="en-US" w:eastAsia="zh-CN" w:bidi="ar-SA"/>
    </w:rPr>
  </w:style>
  <w:style w:type="character" w:styleId="1028" w:customStyle="1">
    <w:name w:val="二级目录 Char"/>
    <w:link w:val="1029"/>
    <w:uiPriority w:val="0"/>
    <w:qFormat/>
    <w:rPr>
      <w:b/>
      <w:sz w:val="30"/>
      <w:szCs w:val="28"/>
    </w:rPr>
  </w:style>
  <w:style w:type="paragraph" w:styleId="1029" w:customStyle="1">
    <w:name w:val="二级目录"/>
    <w:next w:val="708"/>
    <w:link w:val="102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30" w:customStyle="1">
    <w:name w:val="Body Text(ch)"/>
    <w:basedOn w:val="708"/>
    <w:next w:val="978"/>
    <w:uiPriority w:val="0"/>
    <w:qFormat/>
    <w:pPr>
      <w:spacing w:after="120"/>
    </w:pPr>
    <w:rPr>
      <w:rFonts w:ascii="宋体" w:hAnsi="Arial"/>
      <w:bCs/>
      <w:iCs/>
      <w:szCs w:val="24"/>
    </w:rPr>
  </w:style>
  <w:style w:type="paragraph" w:styleId="1031"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08"/>
    <w:uiPriority w:val="0"/>
    <w:qFormat/>
    <w:pPr>
      <w:ind w:firstLine="200"/>
      <w:tabs>
        <w:tab w:val="left" w:pos="360" w:leader="none"/>
      </w:tabs>
    </w:pPr>
    <w:rPr>
      <w:sz w:val="28"/>
      <w:szCs w:val="30"/>
    </w:rPr>
  </w:style>
  <w:style w:type="paragraph" w:styleId="1034" w:customStyle="1">
    <w:name w:val="Char1"/>
    <w:basedOn w:val="972"/>
    <w:uiPriority w:val="0"/>
    <w:qFormat/>
    <w:rPr>
      <w:rFonts w:ascii="Tahoma" w:hAnsi="Tahoma"/>
      <w:sz w:val="24"/>
      <w:szCs w:val="24"/>
    </w:rPr>
  </w:style>
  <w:style w:type="paragraph" w:styleId="1035"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1036" w:customStyle="1">
    <w:name w:val="table_lines"/>
    <w:basedOn w:val="708"/>
    <w:uiPriority w:val="0"/>
    <w:qFormat/>
    <w:pPr>
      <w:jc w:val="left"/>
      <w:widowControl/>
    </w:pPr>
    <w:rPr>
      <w:sz w:val="20"/>
      <w:szCs w:val="20"/>
      <w:lang w:val="de-DE" w:eastAsia="de-DE"/>
    </w:rPr>
  </w:style>
  <w:style w:type="paragraph" w:styleId="10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8"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2"/>
    <w:uiPriority w:val="0"/>
    <w:qFormat/>
    <w:pPr>
      <w:spacing w:line="360" w:lineRule="auto"/>
    </w:pPr>
    <w:rPr>
      <w:rFonts w:ascii="Tahoma" w:hAnsi="Tahoma"/>
      <w:sz w:val="24"/>
      <w:szCs w:val="24"/>
    </w:rPr>
  </w:style>
  <w:style w:type="paragraph" w:styleId="1040" w:customStyle="1">
    <w:name w:val="列出段落2"/>
    <w:basedOn w:val="708"/>
    <w:uiPriority w:val="0"/>
    <w:qFormat/>
    <w:pPr>
      <w:contextualSpacing/>
      <w:ind w:left="720"/>
      <w:jc w:val="left"/>
      <w:widowControl/>
    </w:pPr>
    <w:rPr>
      <w:rFonts w:ascii="Calibri" w:hAnsi="Calibri"/>
      <w:sz w:val="24"/>
      <w:szCs w:val="24"/>
      <w:lang w:eastAsia="en-US" w:bidi="en-US"/>
    </w:rPr>
  </w:style>
  <w:style w:type="paragraph" w:styleId="1041" w:customStyle="1">
    <w:name w:val="4"/>
    <w:basedOn w:val="708"/>
    <w:next w:val="1005"/>
    <w:uiPriority w:val="0"/>
    <w:qFormat/>
    <w:pPr>
      <w:ind w:firstLine="420"/>
      <w:spacing w:line="360" w:lineRule="auto"/>
    </w:pPr>
    <w:rPr>
      <w:color w:val="ff0000"/>
      <w:sz w:val="24"/>
      <w:szCs w:val="24"/>
    </w:rPr>
  </w:style>
  <w:style w:type="paragraph" w:styleId="1042"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08"/>
    <w:uiPriority w:val="0"/>
    <w:qFormat/>
    <w:pPr>
      <w:spacing w:line="360" w:lineRule="auto"/>
    </w:pPr>
    <w:rPr>
      <w:sz w:val="24"/>
      <w:szCs w:val="20"/>
    </w:rPr>
  </w:style>
  <w:style w:type="paragraph" w:styleId="1044" w:customStyle="1">
    <w:name w:val="样式1"/>
    <w:basedOn w:val="708"/>
    <w:uiPriority w:val="0"/>
    <w:qFormat/>
    <w:pPr>
      <w:numPr>
        <w:ilvl w:val="0"/>
        <w:numId w:val="3"/>
      </w:numPr>
    </w:pPr>
    <w:rPr>
      <w:rFonts w:ascii="宋体" w:hAnsi="宋体"/>
      <w:szCs w:val="21"/>
    </w:rPr>
  </w:style>
  <w:style w:type="paragraph" w:styleId="1045"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1049"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52"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1054"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972"/>
    <w:uiPriority w:val="0"/>
    <w:qFormat/>
    <w:pPr>
      <w:spacing w:line="360" w:lineRule="auto"/>
    </w:pPr>
    <w:rPr>
      <w:rFonts w:ascii="Tahoma" w:hAnsi="Tahoma"/>
      <w:sz w:val="24"/>
      <w:szCs w:val="24"/>
    </w:rPr>
  </w:style>
  <w:style w:type="paragraph" w:styleId="1056" w:customStyle="1">
    <w:name w:val="table_1stline"/>
    <w:basedOn w:val="708"/>
    <w:uiPriority w:val="0"/>
    <w:qFormat/>
    <w:pPr>
      <w:jc w:val="left"/>
      <w:spacing w:before="120"/>
      <w:widowControl/>
    </w:pPr>
    <w:rPr>
      <w:bCs/>
      <w:sz w:val="20"/>
      <w:szCs w:val="20"/>
      <w:lang w:val="de-DE" w:eastAsia="de-DE"/>
    </w:rPr>
  </w:style>
  <w:style w:type="paragraph" w:styleId="1057"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61" w:customStyle="1">
    <w:name w:val="Table Normal"/>
    <w:uiPriority w:val="0"/>
    <w:qFormat/>
    <w:tblPr>
      <w:tblCellMar>
        <w:left w:w="0" w:type="dxa"/>
        <w:top w:w="0" w:type="dxa"/>
        <w:right w:w="0" w:type="dxa"/>
        <w:bottom w:w="0" w:type="dxa"/>
      </w:tblCellMar>
    </w:tblPr>
  </w:style>
  <w:style w:type="paragraph" w:styleId="1062" w:customStyle="1">
    <w:name w:val="正文文本12"/>
    <w:basedOn w:val="708"/>
    <w:uiPriority w:val="1"/>
    <w:qFormat/>
    <w:pPr>
      <w:ind w:left="120"/>
    </w:pPr>
    <w:rPr>
      <w:rFonts w:ascii="宋体" w:hAnsi="宋体" w:cs="宋体"/>
      <w:szCs w:val="21"/>
      <w:lang w:val="zh-CN" w:bidi="zh-CN"/>
    </w:rPr>
  </w:style>
  <w:style w:type="paragraph" w:styleId="1063" w:customStyle="1">
    <w:name w:val="正文文本 211"/>
    <w:basedOn w:val="708"/>
    <w:uiPriority w:val="99"/>
    <w:qFormat/>
    <w:pPr>
      <w:jc w:val="center"/>
    </w:pPr>
    <w:rPr>
      <w:b/>
      <w:bCs/>
      <w:sz w:val="20"/>
      <w:szCs w:val="20"/>
    </w:rPr>
  </w:style>
  <w:style w:type="paragraph" w:styleId="1064" w:customStyle="1">
    <w:name w:val="Table Paragraph"/>
    <w:basedOn w:val="708"/>
    <w:uiPriority w:val="1"/>
    <w:qFormat/>
    <w:pPr>
      <w:jc w:val="left"/>
    </w:pPr>
    <w:rPr>
      <w:rFonts w:ascii="宋体" w:hAnsi="宋体" w:cs="宋体"/>
      <w:sz w:val="22"/>
      <w:lang w:val="zh-CN" w:bidi="zh-CN"/>
    </w:rPr>
  </w:style>
  <w:style w:type="table" w:styleId="1065" w:customStyle="1">
    <w:name w:val="网格型1"/>
    <w:basedOn w:val="1066"/>
    <w:uiPriority w:val="0"/>
    <w:qFormat/>
    <w:pPr>
      <w:jc w:val="both"/>
      <w:widowControl w:val="off"/>
    </w:pPr>
    <w:tblPr/>
  </w:style>
  <w:style w:type="table" w:styleId="1066" w:customStyle="1">
    <w:name w:val="普通表格1"/>
    <w:uiPriority w:val="99"/>
    <w:unhideWhenUsed/>
    <w:qFormat/>
    <w:tblPr>
      <w:tblCellMar>
        <w:left w:w="0" w:type="dxa"/>
        <w:top w:w="0" w:type="dxa"/>
        <w:right w:w="0" w:type="dxa"/>
        <w:bottom w:w="0" w:type="dxa"/>
      </w:tblCellMar>
    </w:tblPr>
  </w:style>
  <w:style w:type="paragraph" w:styleId="1067" w:customStyle="1">
    <w:name w:val="正文文本缩进1"/>
    <w:basedOn w:val="708"/>
    <w:next w:val="1068"/>
    <w:uiPriority w:val="0"/>
    <w:unhideWhenUsed/>
    <w:qFormat/>
    <w:pPr>
      <w:ind w:left="420"/>
      <w:spacing w:after="120"/>
    </w:pPr>
  </w:style>
  <w:style w:type="paragraph" w:styleId="1068" w:customStyle="1">
    <w:name w:val="正文文本首行缩进 21"/>
    <w:basedOn w:val="1067"/>
    <w:uiPriority w:val="0"/>
    <w:qFormat/>
    <w:pPr>
      <w:ind w:left="0" w:firstLine="420"/>
      <w:spacing w:after="0" w:line="360" w:lineRule="auto"/>
    </w:pPr>
    <w:rPr>
      <w:rFonts w:ascii="宋体" w:hAnsi="宋体"/>
      <w:sz w:val="20"/>
      <w:szCs w:val="20"/>
      <w:lang w:eastAsia="en-US"/>
    </w:rPr>
  </w:style>
  <w:style w:type="table" w:styleId="1069" w:customStyle="1">
    <w:name w:val="Table Normal_0"/>
    <w:uiPriority w:val="0"/>
    <w:qFormat/>
    <w:tblPr>
      <w:tblCellMar>
        <w:left w:w="0" w:type="dxa"/>
        <w:top w:w="0" w:type="dxa"/>
        <w:right w:w="0" w:type="dxa"/>
        <w:bottom w:w="0" w:type="dxa"/>
      </w:tblCellMar>
    </w:tblPr>
  </w:style>
  <w:style w:type="character" w:styleId="1070" w:customStyle="1">
    <w:name w:val="font01"/>
    <w:basedOn w:val="958"/>
    <w:uiPriority w:val="0"/>
    <w:qFormat/>
    <w:rPr>
      <w:rFonts w:hint="eastAsia" w:ascii="宋体" w:hAnsi="宋体" w:eastAsia="宋体" w:cs="宋体"/>
      <w:color w:val="000000"/>
      <w:sz w:val="22"/>
      <w:szCs w:val="22"/>
      <w:u w:val="none"/>
    </w:rPr>
  </w:style>
  <w:style w:type="paragraph" w:styleId="1071" w:customStyle="1">
    <w:name w:val="Table Text"/>
    <w:basedOn w:val="708"/>
    <w:uiPriority w:val="0"/>
    <w:semiHidden/>
    <w:qFormat/>
    <w:rPr>
      <w:rFonts w:ascii="微软雅黑" w:hAnsi="微软雅黑" w:eastAsia="微软雅黑" w:cs="微软雅黑"/>
      <w:sz w:val="18"/>
      <w:szCs w:val="18"/>
      <w:lang w:eastAsia="en-US"/>
    </w:rPr>
  </w:style>
  <w:style w:type="paragraph" w:styleId="1072" w:customStyle="1">
    <w:name w:val="首行缩进"/>
    <w:basedOn w:val="708"/>
    <w:uiPriority w:val="0"/>
    <w:qFormat/>
    <w:pPr>
      <w:ind w:firstLine="480"/>
    </w:pPr>
    <w:rPr>
      <w:szCs w:val="20"/>
      <w:lang w:val="zh-CN"/>
    </w:rPr>
  </w:style>
  <w:style w:type="character" w:styleId="1073" w:customStyle="1">
    <w:name w:val="15"/>
    <w:basedOn w:val="718"/>
    <w:uiPriority w:val="0"/>
    <w:qFormat/>
    <w:rPr>
      <w:rFonts w:hint="default" w:ascii="Calibri" w:hAnsi="Calibri" w:cs="Calibri"/>
      <w:i/>
      <w:iCs/>
    </w:rPr>
  </w:style>
  <w:style w:type="character" w:styleId="1074" w:customStyle="1">
    <w:name w:val="any Character"/>
    <w:uiPriority w:val="0"/>
    <w:qFormat/>
  </w:style>
  <w:style w:type="character" w:styleId="1075" w:customStyle="1">
    <w:name w:val="font21"/>
    <w:basedOn w:val="718"/>
    <w:uiPriority w:val="0"/>
    <w:qFormat/>
    <w:rPr>
      <w:rFonts w:hint="eastAsia" w:ascii="宋体" w:hAnsi="宋体" w:eastAsia="宋体" w:cs="宋体"/>
      <w:color w:val="000000"/>
      <w:sz w:val="18"/>
      <w:szCs w:val="18"/>
      <w:u w:val="none"/>
    </w:rPr>
  </w:style>
  <w:style w:type="character" w:styleId="1076" w:customStyle="1">
    <w:name w:val="font41"/>
    <w:basedOn w:val="718"/>
    <w:uiPriority w:val="0"/>
    <w:qFormat/>
    <w:rPr>
      <w:rFonts w:hint="eastAsia" w:ascii="宋体" w:hAnsi="宋体" w:eastAsia="宋体" w:cs="宋体"/>
      <w:color w:val="000000"/>
      <w:sz w:val="18"/>
      <w:szCs w:val="18"/>
      <w:u w:val="none"/>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万嘉钰</dc:creator>
  <cp:lastModifiedBy>明丽南京</cp:lastModifiedBy>
  <cp:revision>14</cp:revision>
  <dcterms:created xsi:type="dcterms:W3CDTF">2026-05-11T01:53:00Z</dcterms:created>
  <dcterms:modified xsi:type="dcterms:W3CDTF">2026-07-07T04:52:56Z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eyJoZGlkIjoiZTZhYzk5ZTBhODM5ZTQzNDQ1MTJkNGVkMjhmMTI4YWEiLCJ1c2VySWQiOiI2NDM1OTYzODYifQ==</vt:lpwstr>
  </property>
  <property fmtid="{D5CDD505-2E9C-101B-9397-08002B2CF9AE}" pid="3" name="KSOProductBuildVer">
    <vt:lpwstr>2052-12.1.0.26375</vt:lpwstr>
  </property>
  <property fmtid="{D5CDD505-2E9C-101B-9397-08002B2CF9AE}" pid="4" name="ICV">
    <vt:lpwstr>34D01B76CCB9457480F17E2B8D5DEC74_13</vt:lpwstr>
  </property>
</Properties>
</file>