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A5" w:rsidRDefault="00F20FEA">
      <w:pPr>
        <w:tabs>
          <w:tab w:val="left" w:pos="0"/>
          <w:tab w:val="left" w:pos="210"/>
        </w:tabs>
        <w:spacing w:line="300" w:lineRule="auto"/>
        <w:jc w:val="center"/>
        <w:rPr>
          <w:rFonts w:ascii="宋体" w:hAnsi="宋体" w:cs="宋体"/>
          <w:b/>
          <w:sz w:val="44"/>
          <w:szCs w:val="44"/>
        </w:rPr>
      </w:pPr>
      <w:bookmarkStart w:id="0" w:name="_GoBack"/>
      <w:r>
        <w:rPr>
          <w:rFonts w:ascii="宋体" w:hAnsi="宋体" w:cs="宋体" w:hint="eastAsia"/>
          <w:b/>
          <w:sz w:val="44"/>
          <w:szCs w:val="44"/>
        </w:rPr>
        <w:t>清单编制说明</w:t>
      </w:r>
    </w:p>
    <w:bookmarkEnd w:id="0"/>
    <w:p w:rsidR="00243BA5" w:rsidRDefault="00F20FEA" w:rsidP="00565AA2">
      <w:pPr>
        <w:spacing w:line="300" w:lineRule="auto"/>
        <w:ind w:firstLineChars="250" w:firstLine="602"/>
        <w:rPr>
          <w:rFonts w:ascii="宋体" w:hAnsi="宋体" w:cs="宋体"/>
          <w:sz w:val="24"/>
        </w:rPr>
      </w:pPr>
      <w:r w:rsidRPr="00565AA2">
        <w:rPr>
          <w:rFonts w:ascii="宋体" w:hAnsi="宋体" w:hint="eastAsia"/>
          <w:b/>
          <w:sz w:val="24"/>
        </w:rPr>
        <w:t>工程名称：</w:t>
      </w:r>
      <w:r w:rsidR="00692B77">
        <w:rPr>
          <w:rFonts w:ascii="宋体" w:hAnsi="宋体" w:hint="eastAsia"/>
          <w:b/>
          <w:sz w:val="24"/>
        </w:rPr>
        <w:t>石</w:t>
      </w:r>
      <w:proofErr w:type="gramStart"/>
      <w:r w:rsidR="00692B77">
        <w:rPr>
          <w:rFonts w:ascii="宋体" w:hAnsi="宋体" w:hint="eastAsia"/>
          <w:b/>
          <w:sz w:val="24"/>
        </w:rPr>
        <w:t>湫</w:t>
      </w:r>
      <w:proofErr w:type="gramEnd"/>
      <w:r w:rsidR="00692B77">
        <w:rPr>
          <w:rFonts w:ascii="宋体" w:hAnsi="宋体" w:hint="eastAsia"/>
          <w:b/>
          <w:sz w:val="24"/>
        </w:rPr>
        <w:t>街道</w:t>
      </w:r>
      <w:r w:rsidR="00565AA2">
        <w:rPr>
          <w:rFonts w:ascii="宋体" w:hAnsi="宋体" w:hint="eastAsia"/>
          <w:b/>
          <w:sz w:val="24"/>
        </w:rPr>
        <w:t>石山线东</w:t>
      </w:r>
      <w:proofErr w:type="gramStart"/>
      <w:r w:rsidR="00565AA2">
        <w:rPr>
          <w:rFonts w:ascii="宋体" w:hAnsi="宋体" w:hint="eastAsia"/>
          <w:b/>
          <w:sz w:val="24"/>
        </w:rPr>
        <w:t>延建设</w:t>
      </w:r>
      <w:proofErr w:type="gramEnd"/>
      <w:r w:rsidR="00565AA2">
        <w:rPr>
          <w:rFonts w:ascii="宋体" w:hAnsi="宋体" w:hint="eastAsia"/>
          <w:b/>
          <w:sz w:val="24"/>
        </w:rPr>
        <w:t>工程</w:t>
      </w:r>
    </w:p>
    <w:tbl>
      <w:tblPr>
        <w:tblW w:w="9218" w:type="dxa"/>
        <w:tblInd w:w="46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9218"/>
      </w:tblGrid>
      <w:tr w:rsidR="00243BA5">
        <w:trPr>
          <w:trHeight w:val="12368"/>
        </w:trPr>
        <w:tc>
          <w:tcPr>
            <w:tcW w:w="9218" w:type="dxa"/>
            <w:tcBorders>
              <w:top w:val="single" w:sz="4" w:space="0" w:color="auto"/>
              <w:left w:val="single" w:sz="4" w:space="0" w:color="auto"/>
              <w:bottom w:val="single" w:sz="4" w:space="0" w:color="auto"/>
              <w:right w:val="single" w:sz="4" w:space="0" w:color="auto"/>
            </w:tcBorders>
            <w:shd w:val="clear" w:color="auto" w:fill="auto"/>
          </w:tcPr>
          <w:p w:rsidR="006B429F" w:rsidRDefault="006B429F" w:rsidP="006B429F">
            <w:pPr>
              <w:spacing w:line="360" w:lineRule="auto"/>
              <w:rPr>
                <w:rFonts w:ascii="宋体" w:hAnsi="宋体"/>
                <w:b/>
                <w:bCs/>
                <w:szCs w:val="21"/>
              </w:rPr>
            </w:pPr>
            <w:r>
              <w:rPr>
                <w:rFonts w:ascii="宋体" w:hAnsi="宋体" w:hint="eastAsia"/>
                <w:b/>
                <w:bCs/>
                <w:szCs w:val="21"/>
              </w:rPr>
              <w:t>一、</w:t>
            </w:r>
            <w:r>
              <w:rPr>
                <w:rFonts w:ascii="宋体" w:hAnsi="宋体"/>
                <w:b/>
                <w:bCs/>
                <w:szCs w:val="21"/>
              </w:rPr>
              <w:t>工程概况：</w:t>
            </w:r>
          </w:p>
          <w:p w:rsidR="006B429F" w:rsidRDefault="006B429F" w:rsidP="006B429F">
            <w:pPr>
              <w:spacing w:line="360" w:lineRule="auto"/>
              <w:ind w:firstLineChars="200" w:firstLine="420"/>
              <w:rPr>
                <w:rFonts w:ascii="宋体" w:hAnsi="宋体"/>
                <w:bCs/>
                <w:szCs w:val="21"/>
              </w:rPr>
            </w:pPr>
            <w:r>
              <w:rPr>
                <w:rFonts w:hint="eastAsia"/>
                <w:szCs w:val="21"/>
              </w:rPr>
              <w:t>本项目为石山线东</w:t>
            </w:r>
            <w:proofErr w:type="gramStart"/>
            <w:r>
              <w:rPr>
                <w:rFonts w:hint="eastAsia"/>
                <w:szCs w:val="21"/>
              </w:rPr>
              <w:t>延建设</w:t>
            </w:r>
            <w:proofErr w:type="gramEnd"/>
            <w:r>
              <w:rPr>
                <w:rFonts w:hint="eastAsia"/>
                <w:szCs w:val="21"/>
              </w:rPr>
              <w:t>工程，起于与现状新河南路交叉口处，终点位于与规划中心河，路线全长</w:t>
            </w:r>
            <w:r>
              <w:rPr>
                <w:rFonts w:hint="eastAsia"/>
                <w:szCs w:val="21"/>
              </w:rPr>
              <w:t xml:space="preserve"> 0.187km</w:t>
            </w:r>
            <w:r>
              <w:rPr>
                <w:rFonts w:hint="eastAsia"/>
                <w:szCs w:val="21"/>
              </w:rPr>
              <w:t>，包括土</w:t>
            </w:r>
            <w:r w:rsidR="00505FAF">
              <w:rPr>
                <w:rFonts w:hint="eastAsia"/>
                <w:szCs w:val="21"/>
              </w:rPr>
              <w:t>石</w:t>
            </w:r>
            <w:r>
              <w:rPr>
                <w:rFonts w:hint="eastAsia"/>
                <w:szCs w:val="21"/>
              </w:rPr>
              <w:t>方工程、道路工程、交通工程、照明工程、绿化工程等。</w:t>
            </w:r>
            <w:r>
              <w:rPr>
                <w:rFonts w:ascii="宋体" w:hAnsi="宋体" w:hint="eastAsia"/>
                <w:bCs/>
                <w:szCs w:val="21"/>
              </w:rPr>
              <w:t>建设单位为南京市溧水区人民政府石</w:t>
            </w:r>
            <w:proofErr w:type="gramStart"/>
            <w:r>
              <w:rPr>
                <w:rFonts w:ascii="宋体" w:hAnsi="宋体" w:hint="eastAsia"/>
                <w:bCs/>
                <w:szCs w:val="21"/>
              </w:rPr>
              <w:t>湫</w:t>
            </w:r>
            <w:proofErr w:type="gramEnd"/>
            <w:r>
              <w:rPr>
                <w:rFonts w:ascii="宋体" w:hAnsi="宋体" w:hint="eastAsia"/>
                <w:bCs/>
                <w:szCs w:val="21"/>
              </w:rPr>
              <w:t>街道办事处，设计单位为江苏森尚设计有限公司。</w:t>
            </w:r>
          </w:p>
          <w:p w:rsidR="006B429F" w:rsidRDefault="006B429F" w:rsidP="006B429F">
            <w:pPr>
              <w:tabs>
                <w:tab w:val="left" w:pos="720"/>
              </w:tabs>
              <w:spacing w:line="360" w:lineRule="auto"/>
              <w:rPr>
                <w:rFonts w:ascii="宋体" w:hAnsi="宋体"/>
                <w:b/>
                <w:bCs/>
                <w:szCs w:val="21"/>
              </w:rPr>
            </w:pPr>
            <w:r>
              <w:rPr>
                <w:rFonts w:ascii="宋体" w:hAnsi="宋体" w:hint="eastAsia"/>
                <w:b/>
                <w:szCs w:val="21"/>
              </w:rPr>
              <w:t>二、工程量清单编制范围</w:t>
            </w:r>
            <w:r>
              <w:rPr>
                <w:rFonts w:ascii="宋体" w:hAnsi="宋体"/>
                <w:b/>
                <w:bCs/>
                <w:szCs w:val="21"/>
              </w:rPr>
              <w:t>：</w:t>
            </w:r>
          </w:p>
          <w:p w:rsidR="006B429F" w:rsidRPr="0018196D" w:rsidRDefault="006B429F" w:rsidP="006B429F">
            <w:pPr>
              <w:spacing w:line="360" w:lineRule="auto"/>
              <w:ind w:firstLineChars="200" w:firstLine="422"/>
              <w:rPr>
                <w:b/>
                <w:bCs/>
                <w:szCs w:val="21"/>
              </w:rPr>
            </w:pPr>
            <w:r w:rsidRPr="00E153D7">
              <w:rPr>
                <w:rFonts w:hint="eastAsia"/>
                <w:b/>
                <w:bCs/>
                <w:szCs w:val="21"/>
              </w:rPr>
              <w:t>土</w:t>
            </w:r>
            <w:r w:rsidR="00505FAF">
              <w:rPr>
                <w:rFonts w:hint="eastAsia"/>
                <w:b/>
                <w:bCs/>
                <w:szCs w:val="21"/>
              </w:rPr>
              <w:t>石</w:t>
            </w:r>
            <w:r w:rsidRPr="00E153D7">
              <w:rPr>
                <w:rFonts w:hint="eastAsia"/>
                <w:b/>
                <w:bCs/>
                <w:szCs w:val="21"/>
              </w:rPr>
              <w:t>方工程：</w:t>
            </w:r>
            <w:r w:rsidRPr="00E153D7">
              <w:rPr>
                <w:rFonts w:hint="eastAsia"/>
                <w:sz w:val="24"/>
              </w:rPr>
              <w:t>清表后原地面翻松</w:t>
            </w:r>
            <w:r w:rsidRPr="00E153D7">
              <w:rPr>
                <w:rFonts w:hint="eastAsia"/>
                <w:sz w:val="24"/>
              </w:rPr>
              <w:t>20cm</w:t>
            </w:r>
            <w:r w:rsidRPr="00E153D7">
              <w:rPr>
                <w:rFonts w:hint="eastAsia"/>
                <w:sz w:val="24"/>
              </w:rPr>
              <w:t>掺石灰</w:t>
            </w:r>
            <w:r w:rsidRPr="00E153D7">
              <w:rPr>
                <w:rFonts w:hint="eastAsia"/>
                <w:sz w:val="24"/>
              </w:rPr>
              <w:t>3%</w:t>
            </w:r>
            <w:r w:rsidRPr="00E153D7">
              <w:rPr>
                <w:rFonts w:hint="eastAsia"/>
                <w:sz w:val="24"/>
              </w:rPr>
              <w:t>碾压</w:t>
            </w:r>
            <w:r w:rsidRPr="00E153D7">
              <w:rPr>
                <w:rFonts w:hint="eastAsia"/>
                <w:sz w:val="24"/>
              </w:rPr>
              <w:t>,</w:t>
            </w:r>
            <w:r w:rsidRPr="00E153D7">
              <w:rPr>
                <w:rFonts w:hint="eastAsia"/>
                <w:sz w:val="24"/>
              </w:rPr>
              <w:t>路基中部回填</w:t>
            </w:r>
            <w:r w:rsidRPr="00E153D7">
              <w:rPr>
                <w:rFonts w:hint="eastAsia"/>
                <w:sz w:val="24"/>
              </w:rPr>
              <w:t>3%</w:t>
            </w:r>
            <w:r w:rsidRPr="00E153D7">
              <w:rPr>
                <w:rFonts w:hint="eastAsia"/>
                <w:sz w:val="24"/>
              </w:rPr>
              <w:t>石灰土</w:t>
            </w:r>
            <w:r w:rsidRPr="00E153D7">
              <w:rPr>
                <w:rFonts w:hint="eastAsia"/>
                <w:sz w:val="24"/>
              </w:rPr>
              <w:t>,20</w:t>
            </w:r>
            <w:r w:rsidRPr="00E153D7">
              <w:rPr>
                <w:rFonts w:hint="eastAsia"/>
                <w:sz w:val="24"/>
              </w:rPr>
              <w:t>厚</w:t>
            </w:r>
            <w:r w:rsidRPr="00E153D7">
              <w:rPr>
                <w:rFonts w:hint="eastAsia"/>
                <w:sz w:val="24"/>
              </w:rPr>
              <w:t>6%</w:t>
            </w:r>
            <w:r w:rsidRPr="00E153D7">
              <w:rPr>
                <w:rFonts w:hint="eastAsia"/>
                <w:sz w:val="24"/>
              </w:rPr>
              <w:t>回填结合层，</w:t>
            </w:r>
            <w:r w:rsidRPr="00E153D7">
              <w:rPr>
                <w:rFonts w:hint="eastAsia"/>
                <w:sz w:val="24"/>
              </w:rPr>
              <w:t>80cm6%</w:t>
            </w:r>
            <w:r w:rsidRPr="00E153D7">
              <w:rPr>
                <w:rFonts w:hint="eastAsia"/>
                <w:sz w:val="24"/>
              </w:rPr>
              <w:t>石灰土路床；两侧绿化带各宽</w:t>
            </w:r>
            <w:r w:rsidRPr="00E153D7">
              <w:rPr>
                <w:rFonts w:hint="eastAsia"/>
                <w:sz w:val="24"/>
              </w:rPr>
              <w:t xml:space="preserve"> 5.5m</w:t>
            </w:r>
            <w:proofErr w:type="gramStart"/>
            <w:r w:rsidRPr="00E153D7">
              <w:rPr>
                <w:rFonts w:hint="eastAsia"/>
                <w:sz w:val="24"/>
              </w:rPr>
              <w:t>回填素土</w:t>
            </w:r>
            <w:proofErr w:type="gramEnd"/>
            <w:r w:rsidRPr="00E153D7">
              <w:rPr>
                <w:rFonts w:hint="eastAsia"/>
                <w:sz w:val="24"/>
              </w:rPr>
              <w:t>,</w:t>
            </w:r>
            <w:r w:rsidRPr="00E153D7">
              <w:rPr>
                <w:rFonts w:hint="eastAsia"/>
                <w:sz w:val="24"/>
              </w:rPr>
              <w:t>挖出土方可利用率按</w:t>
            </w:r>
            <w:r w:rsidRPr="00E153D7">
              <w:rPr>
                <w:rFonts w:hint="eastAsia"/>
                <w:sz w:val="24"/>
              </w:rPr>
              <w:t>30%</w:t>
            </w:r>
            <w:r w:rsidRPr="00E153D7">
              <w:rPr>
                <w:rFonts w:hint="eastAsia"/>
                <w:sz w:val="24"/>
              </w:rPr>
              <w:t>计；</w:t>
            </w:r>
          </w:p>
          <w:p w:rsidR="006B429F" w:rsidRDefault="006B429F" w:rsidP="006B429F">
            <w:pPr>
              <w:spacing w:line="360" w:lineRule="auto"/>
              <w:ind w:firstLineChars="200" w:firstLine="422"/>
              <w:rPr>
                <w:szCs w:val="21"/>
              </w:rPr>
            </w:pPr>
            <w:r>
              <w:rPr>
                <w:rFonts w:hint="eastAsia"/>
                <w:b/>
                <w:bCs/>
                <w:szCs w:val="21"/>
              </w:rPr>
              <w:t>道路工程</w:t>
            </w:r>
            <w:r>
              <w:rPr>
                <w:rFonts w:hint="eastAsia"/>
                <w:szCs w:val="21"/>
              </w:rPr>
              <w:t>：沥青道路</w:t>
            </w:r>
            <w:r>
              <w:rPr>
                <w:rFonts w:hint="eastAsia"/>
                <w:szCs w:val="21"/>
              </w:rPr>
              <w:t>0.187km,</w:t>
            </w:r>
            <w:r>
              <w:rPr>
                <w:rFonts w:hint="eastAsia"/>
                <w:szCs w:val="21"/>
              </w:rPr>
              <w:t>，行车到路面宽</w:t>
            </w:r>
            <w:r>
              <w:rPr>
                <w:rFonts w:hint="eastAsia"/>
                <w:szCs w:val="21"/>
              </w:rPr>
              <w:t>7m</w:t>
            </w:r>
            <w:r>
              <w:rPr>
                <w:rFonts w:hint="eastAsia"/>
                <w:szCs w:val="21"/>
              </w:rPr>
              <w:t>，两侧绿化带各宽</w:t>
            </w:r>
            <w:r>
              <w:rPr>
                <w:rFonts w:hint="eastAsia"/>
                <w:szCs w:val="21"/>
              </w:rPr>
              <w:t xml:space="preserve"> 5.5m</w:t>
            </w:r>
            <w:r>
              <w:rPr>
                <w:rFonts w:hint="eastAsia"/>
                <w:szCs w:val="21"/>
              </w:rPr>
              <w:t>。路床采用</w:t>
            </w:r>
            <w:r>
              <w:rPr>
                <w:rFonts w:hint="eastAsia"/>
                <w:szCs w:val="21"/>
              </w:rPr>
              <w:t>20cm12%</w:t>
            </w:r>
            <w:r>
              <w:rPr>
                <w:rFonts w:hint="eastAsia"/>
                <w:szCs w:val="21"/>
              </w:rPr>
              <w:t>石灰土、</w:t>
            </w:r>
            <w:r>
              <w:rPr>
                <w:rFonts w:hint="eastAsia"/>
                <w:szCs w:val="21"/>
              </w:rPr>
              <w:t>36cm</w:t>
            </w:r>
            <w:r>
              <w:rPr>
                <w:rFonts w:hint="eastAsia"/>
                <w:szCs w:val="21"/>
              </w:rPr>
              <w:t>水泥稳定碎石、</w:t>
            </w:r>
            <w:r>
              <w:rPr>
                <w:szCs w:val="21"/>
              </w:rPr>
              <w:t>6cm</w:t>
            </w:r>
            <w:r>
              <w:rPr>
                <w:szCs w:val="21"/>
              </w:rPr>
              <w:t>中粒式沥青</w:t>
            </w:r>
            <w:proofErr w:type="gramStart"/>
            <w:r>
              <w:rPr>
                <w:szCs w:val="21"/>
              </w:rPr>
              <w:t>砼</w:t>
            </w:r>
            <w:proofErr w:type="gramEnd"/>
            <w:r>
              <w:rPr>
                <w:szCs w:val="21"/>
              </w:rPr>
              <w:t>(AC-20C)</w:t>
            </w:r>
            <w:r>
              <w:rPr>
                <w:rFonts w:hint="eastAsia"/>
                <w:szCs w:val="21"/>
              </w:rPr>
              <w:t>，</w:t>
            </w:r>
            <w:r>
              <w:rPr>
                <w:rFonts w:hint="eastAsia"/>
                <w:szCs w:val="21"/>
              </w:rPr>
              <w:t>4cm</w:t>
            </w:r>
            <w:r>
              <w:rPr>
                <w:rFonts w:hint="eastAsia"/>
                <w:szCs w:val="21"/>
              </w:rPr>
              <w:t>细粒式沥青</w:t>
            </w:r>
            <w:proofErr w:type="gramStart"/>
            <w:r>
              <w:rPr>
                <w:rFonts w:hint="eastAsia"/>
                <w:szCs w:val="21"/>
              </w:rPr>
              <w:t>砼</w:t>
            </w:r>
            <w:proofErr w:type="gramEnd"/>
            <w:r>
              <w:rPr>
                <w:rFonts w:hint="eastAsia"/>
                <w:szCs w:val="21"/>
              </w:rPr>
              <w:t>(AC-13C SBS</w:t>
            </w:r>
            <w:r>
              <w:rPr>
                <w:rFonts w:hint="eastAsia"/>
                <w:szCs w:val="21"/>
              </w:rPr>
              <w:t>改性</w:t>
            </w:r>
            <w:r>
              <w:rPr>
                <w:rFonts w:hint="eastAsia"/>
                <w:szCs w:val="21"/>
              </w:rPr>
              <w:t>)</w:t>
            </w:r>
            <w:r>
              <w:rPr>
                <w:rFonts w:hint="eastAsia"/>
                <w:szCs w:val="21"/>
              </w:rPr>
              <w:t>面层；</w:t>
            </w:r>
          </w:p>
          <w:p w:rsidR="006B429F" w:rsidRDefault="006B429F" w:rsidP="006B429F">
            <w:pPr>
              <w:spacing w:line="360" w:lineRule="auto"/>
              <w:ind w:firstLineChars="200" w:firstLine="422"/>
              <w:rPr>
                <w:szCs w:val="21"/>
              </w:rPr>
            </w:pPr>
            <w:r>
              <w:rPr>
                <w:rFonts w:hint="eastAsia"/>
                <w:b/>
                <w:bCs/>
                <w:szCs w:val="21"/>
              </w:rPr>
              <w:t>交通工程</w:t>
            </w:r>
            <w:r>
              <w:rPr>
                <w:rFonts w:hint="eastAsia"/>
                <w:szCs w:val="21"/>
              </w:rPr>
              <w:t>：警告标志牌</w:t>
            </w:r>
            <w:r>
              <w:rPr>
                <w:rFonts w:hint="eastAsia"/>
                <w:szCs w:val="21"/>
              </w:rPr>
              <w:t>3</w:t>
            </w:r>
            <w:r>
              <w:rPr>
                <w:rFonts w:hint="eastAsia"/>
                <w:szCs w:val="21"/>
              </w:rPr>
              <w:t>处，指示标志牌</w:t>
            </w:r>
            <w:r>
              <w:rPr>
                <w:rFonts w:hint="eastAsia"/>
                <w:szCs w:val="21"/>
              </w:rPr>
              <w:t>1</w:t>
            </w:r>
            <w:r>
              <w:rPr>
                <w:rFonts w:hint="eastAsia"/>
                <w:szCs w:val="21"/>
              </w:rPr>
              <w:t>处，禁令标志牌</w:t>
            </w:r>
            <w:r>
              <w:rPr>
                <w:rFonts w:hint="eastAsia"/>
                <w:szCs w:val="21"/>
              </w:rPr>
              <w:t>1</w:t>
            </w:r>
            <w:r>
              <w:rPr>
                <w:rFonts w:hint="eastAsia"/>
                <w:szCs w:val="21"/>
              </w:rPr>
              <w:t>处，标线</w:t>
            </w:r>
            <w:r>
              <w:rPr>
                <w:rFonts w:hint="eastAsia"/>
                <w:szCs w:val="21"/>
              </w:rPr>
              <w:t>167m2,</w:t>
            </w:r>
            <w:r>
              <w:rPr>
                <w:rFonts w:hint="eastAsia"/>
                <w:szCs w:val="21"/>
              </w:rPr>
              <w:t>警示柱</w:t>
            </w:r>
            <w:r>
              <w:rPr>
                <w:rFonts w:hint="eastAsia"/>
                <w:szCs w:val="21"/>
              </w:rPr>
              <w:t>4</w:t>
            </w:r>
            <w:r>
              <w:rPr>
                <w:rFonts w:hint="eastAsia"/>
                <w:szCs w:val="21"/>
              </w:rPr>
              <w:t>支；</w:t>
            </w:r>
          </w:p>
          <w:p w:rsidR="006B429F" w:rsidRDefault="006B429F" w:rsidP="006B429F">
            <w:pPr>
              <w:spacing w:line="360" w:lineRule="auto"/>
              <w:ind w:firstLineChars="200" w:firstLine="422"/>
              <w:rPr>
                <w:szCs w:val="21"/>
              </w:rPr>
            </w:pPr>
            <w:r>
              <w:rPr>
                <w:rFonts w:hint="eastAsia"/>
                <w:b/>
                <w:bCs/>
                <w:szCs w:val="21"/>
              </w:rPr>
              <w:t>照明工程</w:t>
            </w:r>
            <w:r>
              <w:rPr>
                <w:rFonts w:hint="eastAsia"/>
                <w:szCs w:val="21"/>
              </w:rPr>
              <w:t>：</w:t>
            </w:r>
            <w:r>
              <w:rPr>
                <w:rFonts w:hint="eastAsia"/>
                <w:szCs w:val="21"/>
              </w:rPr>
              <w:t>LED60W</w:t>
            </w:r>
            <w:r>
              <w:rPr>
                <w:rFonts w:hint="eastAsia"/>
                <w:szCs w:val="21"/>
              </w:rPr>
              <w:t>单臂路灯（灯高</w:t>
            </w:r>
            <w:r>
              <w:rPr>
                <w:rFonts w:hint="eastAsia"/>
                <w:szCs w:val="21"/>
              </w:rPr>
              <w:t>8m</w:t>
            </w:r>
            <w:r>
              <w:rPr>
                <w:rFonts w:hint="eastAsia"/>
                <w:szCs w:val="21"/>
              </w:rPr>
              <w:t>）</w:t>
            </w:r>
            <w:r>
              <w:rPr>
                <w:rFonts w:hint="eastAsia"/>
                <w:szCs w:val="21"/>
              </w:rPr>
              <w:t xml:space="preserve"> 6</w:t>
            </w:r>
            <w:r>
              <w:rPr>
                <w:rFonts w:hint="eastAsia"/>
                <w:szCs w:val="21"/>
              </w:rPr>
              <w:t>盏，</w:t>
            </w:r>
            <w:r>
              <w:rPr>
                <w:rFonts w:hint="eastAsia"/>
                <w:szCs w:val="21"/>
              </w:rPr>
              <w:t xml:space="preserve"> LED150W</w:t>
            </w:r>
            <w:r>
              <w:rPr>
                <w:rFonts w:hint="eastAsia"/>
                <w:szCs w:val="21"/>
              </w:rPr>
              <w:t>单臂路灯（灯高</w:t>
            </w:r>
            <w:r>
              <w:rPr>
                <w:rFonts w:hint="eastAsia"/>
                <w:szCs w:val="21"/>
              </w:rPr>
              <w:t>8m</w:t>
            </w:r>
            <w:r>
              <w:rPr>
                <w:rFonts w:hint="eastAsia"/>
                <w:szCs w:val="21"/>
              </w:rPr>
              <w:t>）</w:t>
            </w:r>
            <w:r>
              <w:rPr>
                <w:rFonts w:hint="eastAsia"/>
                <w:szCs w:val="21"/>
              </w:rPr>
              <w:t xml:space="preserve"> 1</w:t>
            </w:r>
            <w:r>
              <w:rPr>
                <w:rFonts w:hint="eastAsia"/>
                <w:szCs w:val="21"/>
              </w:rPr>
              <w:t>盏</w:t>
            </w:r>
            <w:r>
              <w:rPr>
                <w:rFonts w:hint="eastAsia"/>
                <w:szCs w:val="21"/>
              </w:rPr>
              <w:t>,</w:t>
            </w:r>
            <w:r>
              <w:rPr>
                <w:rFonts w:hint="eastAsia"/>
                <w:szCs w:val="21"/>
              </w:rPr>
              <w:t>，手孔井</w:t>
            </w:r>
            <w:r>
              <w:rPr>
                <w:rFonts w:hint="eastAsia"/>
                <w:szCs w:val="21"/>
              </w:rPr>
              <w:t>(</w:t>
            </w:r>
            <w:r>
              <w:rPr>
                <w:rFonts w:hint="eastAsia"/>
                <w:szCs w:val="21"/>
              </w:rPr>
              <w:t>单室</w:t>
            </w:r>
            <w:r>
              <w:rPr>
                <w:rFonts w:hint="eastAsia"/>
                <w:szCs w:val="21"/>
              </w:rPr>
              <w:t>)2</w:t>
            </w:r>
            <w:r>
              <w:rPr>
                <w:rFonts w:hint="eastAsia"/>
                <w:szCs w:val="21"/>
              </w:rPr>
              <w:t>座；</w:t>
            </w:r>
          </w:p>
          <w:p w:rsidR="006B429F" w:rsidRDefault="006B429F" w:rsidP="006B429F">
            <w:pPr>
              <w:spacing w:line="360" w:lineRule="auto"/>
              <w:ind w:firstLineChars="200" w:firstLine="422"/>
              <w:rPr>
                <w:szCs w:val="21"/>
              </w:rPr>
            </w:pPr>
            <w:r>
              <w:rPr>
                <w:rFonts w:hint="eastAsia"/>
                <w:b/>
                <w:bCs/>
                <w:szCs w:val="21"/>
              </w:rPr>
              <w:t>绿化工程：</w:t>
            </w:r>
            <w:r>
              <w:rPr>
                <w:rFonts w:hint="eastAsia"/>
                <w:szCs w:val="21"/>
              </w:rPr>
              <w:t>栽植胸径</w:t>
            </w:r>
            <w:r>
              <w:rPr>
                <w:rFonts w:hint="eastAsia"/>
                <w:szCs w:val="21"/>
              </w:rPr>
              <w:t>12cm</w:t>
            </w:r>
            <w:r>
              <w:rPr>
                <w:rFonts w:hint="eastAsia"/>
                <w:szCs w:val="21"/>
              </w:rPr>
              <w:t>的</w:t>
            </w:r>
            <w:r w:rsidR="00505FAF">
              <w:rPr>
                <w:rFonts w:hint="eastAsia"/>
                <w:szCs w:val="21"/>
              </w:rPr>
              <w:t>榉树</w:t>
            </w:r>
            <w:r w:rsidR="00505FAF">
              <w:rPr>
                <w:rFonts w:hint="eastAsia"/>
                <w:szCs w:val="21"/>
              </w:rPr>
              <w:t>48</w:t>
            </w:r>
            <w:r>
              <w:rPr>
                <w:rFonts w:hint="eastAsia"/>
                <w:szCs w:val="21"/>
              </w:rPr>
              <w:t>株，硫华菊、格桑花混播黑麦草</w:t>
            </w:r>
            <w:r>
              <w:rPr>
                <w:rFonts w:hint="eastAsia"/>
                <w:szCs w:val="21"/>
              </w:rPr>
              <w:t>2100m2</w:t>
            </w:r>
            <w:r>
              <w:rPr>
                <w:rFonts w:hint="eastAsia"/>
                <w:color w:val="363636"/>
              </w:rPr>
              <w:t>（具体以图纸、工程量清单范围内所有内容为准）。</w:t>
            </w:r>
          </w:p>
          <w:p w:rsidR="006B429F" w:rsidRDefault="006B429F" w:rsidP="006B429F">
            <w:pPr>
              <w:tabs>
                <w:tab w:val="left" w:pos="720"/>
              </w:tabs>
              <w:spacing w:line="360" w:lineRule="auto"/>
              <w:rPr>
                <w:rFonts w:ascii="宋体" w:hAnsi="宋体"/>
                <w:b/>
                <w:bCs/>
                <w:szCs w:val="21"/>
              </w:rPr>
            </w:pPr>
            <w:r>
              <w:rPr>
                <w:rFonts w:ascii="宋体" w:hAnsi="宋体"/>
                <w:b/>
                <w:bCs/>
                <w:szCs w:val="21"/>
              </w:rPr>
              <w:t>三、工程量清单编制依据：</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szCs w:val="21"/>
              </w:rPr>
              <w:t>1、</w:t>
            </w:r>
            <w:r>
              <w:rPr>
                <w:rFonts w:ascii="宋体" w:hAnsi="宋体" w:hint="eastAsia"/>
                <w:bCs/>
                <w:szCs w:val="21"/>
              </w:rPr>
              <w:t xml:space="preserve"> 建设单位提供由江苏森尚设计有限公司设计的图纸及相关图纸疑问的回复；</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2、《建设工程工程量清单计价规范》GB50500-2013。</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3、《市政工程工程量计算规范》GB50857-2013。</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4、《园林绿化工程工程量计算规范》GB50858-2013。</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5、《江苏省市政工程计价定额》（2014版）。</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6、《江苏省安装工程计价定额》（2014版）。</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7、《江苏省仿古建筑与园林工程计价表》（2007版）。</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8、《江苏省建设工程费用定额》（2014版）。</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9、《省住房城乡建设厅关于建筑业实施营改增后江苏省建设工程计价依据调整的通知》</w:t>
            </w:r>
            <w:proofErr w:type="gramStart"/>
            <w:r>
              <w:rPr>
                <w:rFonts w:ascii="宋体" w:hAnsi="宋体" w:hint="eastAsia"/>
                <w:bCs/>
                <w:szCs w:val="21"/>
              </w:rPr>
              <w:t>苏建价</w:t>
            </w:r>
            <w:proofErr w:type="gramEnd"/>
            <w:r>
              <w:rPr>
                <w:rFonts w:ascii="宋体" w:hAnsi="宋体" w:hint="eastAsia"/>
                <w:bCs/>
                <w:szCs w:val="21"/>
              </w:rPr>
              <w:t>[2016]154号。</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10、《省住房城乡建设厅关于调整建设工程计价增值税税率的通知》苏</w:t>
            </w:r>
            <w:proofErr w:type="gramStart"/>
            <w:r>
              <w:rPr>
                <w:rFonts w:ascii="宋体" w:hAnsi="宋体" w:hint="eastAsia"/>
                <w:bCs/>
                <w:szCs w:val="21"/>
              </w:rPr>
              <w:t>建函价</w:t>
            </w:r>
            <w:proofErr w:type="gramEnd"/>
            <w:r>
              <w:rPr>
                <w:rFonts w:ascii="宋体" w:hAnsi="宋体" w:hint="eastAsia"/>
                <w:bCs/>
                <w:szCs w:val="21"/>
              </w:rPr>
              <w:t>[2019]178号。</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lastRenderedPageBreak/>
              <w:t>11、《省住房城乡建设厅关于建筑工人实名制费用计取方法的公告》[2019]第19号。</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12、与建设项目相关的标准、规范、技术资料；</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13、施工现场情况、工程特点及常规施工方案；</w:t>
            </w:r>
          </w:p>
          <w:p w:rsidR="006B429F" w:rsidRDefault="006B429F" w:rsidP="006B429F">
            <w:pPr>
              <w:tabs>
                <w:tab w:val="left" w:pos="720"/>
              </w:tabs>
              <w:spacing w:line="360" w:lineRule="auto"/>
              <w:ind w:leftChars="200" w:left="420" w:firstLineChars="25" w:firstLine="53"/>
              <w:rPr>
                <w:rFonts w:ascii="宋体" w:hAnsi="宋体"/>
                <w:bCs/>
                <w:szCs w:val="21"/>
              </w:rPr>
            </w:pPr>
            <w:r>
              <w:rPr>
                <w:rFonts w:ascii="宋体" w:hAnsi="宋体" w:hint="eastAsia"/>
                <w:bCs/>
                <w:szCs w:val="21"/>
              </w:rPr>
              <w:t>14、其他相关资料。</w:t>
            </w:r>
          </w:p>
          <w:p w:rsidR="006B429F" w:rsidRDefault="006B429F" w:rsidP="006B429F">
            <w:pPr>
              <w:spacing w:line="360" w:lineRule="auto"/>
              <w:rPr>
                <w:rFonts w:ascii="宋体" w:hAnsi="宋体"/>
                <w:b/>
                <w:bCs/>
                <w:szCs w:val="21"/>
              </w:rPr>
            </w:pPr>
            <w:r>
              <w:rPr>
                <w:rFonts w:ascii="宋体" w:hAnsi="宋体" w:hint="eastAsia"/>
                <w:b/>
                <w:bCs/>
                <w:szCs w:val="21"/>
              </w:rPr>
              <w:t>四、</w:t>
            </w:r>
            <w:r>
              <w:rPr>
                <w:rFonts w:ascii="宋体" w:hAnsi="宋体"/>
                <w:b/>
                <w:bCs/>
                <w:szCs w:val="21"/>
              </w:rPr>
              <w:t>有关人工</w:t>
            </w:r>
            <w:r>
              <w:rPr>
                <w:rFonts w:ascii="宋体" w:hAnsi="宋体" w:hint="eastAsia"/>
                <w:b/>
                <w:bCs/>
                <w:szCs w:val="21"/>
              </w:rPr>
              <w:t>、</w:t>
            </w:r>
            <w:r>
              <w:rPr>
                <w:rFonts w:ascii="宋体" w:hAnsi="宋体"/>
                <w:b/>
                <w:bCs/>
                <w:szCs w:val="21"/>
              </w:rPr>
              <w:t>材料、设备、参数和费用的说明</w:t>
            </w:r>
            <w:r>
              <w:rPr>
                <w:rFonts w:ascii="宋体" w:hAnsi="宋体" w:hint="eastAsia"/>
                <w:b/>
                <w:bCs/>
                <w:szCs w:val="21"/>
              </w:rPr>
              <w:t>：</w:t>
            </w:r>
          </w:p>
          <w:p w:rsidR="006B429F" w:rsidRDefault="006B429F" w:rsidP="006B429F">
            <w:pPr>
              <w:spacing w:line="360" w:lineRule="auto"/>
              <w:ind w:firstLineChars="200" w:firstLine="420"/>
              <w:rPr>
                <w:rFonts w:ascii="宋体" w:hAnsi="宋体"/>
                <w:szCs w:val="21"/>
              </w:rPr>
            </w:pPr>
            <w:r>
              <w:rPr>
                <w:rFonts w:ascii="宋体" w:hAnsi="宋体" w:hint="eastAsia"/>
                <w:szCs w:val="21"/>
              </w:rPr>
              <w:t>1、专业工程暂估价：详见招标文件。</w:t>
            </w:r>
          </w:p>
          <w:p w:rsidR="006B429F" w:rsidRDefault="006B429F" w:rsidP="006B429F">
            <w:pPr>
              <w:spacing w:line="360" w:lineRule="auto"/>
              <w:ind w:firstLineChars="200" w:firstLine="420"/>
              <w:rPr>
                <w:rFonts w:ascii="宋体" w:hAnsi="宋体"/>
                <w:szCs w:val="21"/>
              </w:rPr>
            </w:pPr>
            <w:r>
              <w:rPr>
                <w:rFonts w:ascii="宋体" w:hAnsi="宋体" w:hint="eastAsia"/>
                <w:szCs w:val="21"/>
              </w:rPr>
              <w:t>2、本工程暂列金额：按分部分项的10%计入。</w:t>
            </w:r>
          </w:p>
          <w:p w:rsidR="006B429F" w:rsidRDefault="006B429F" w:rsidP="006B429F">
            <w:pPr>
              <w:spacing w:line="360" w:lineRule="auto"/>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甲供材料</w:t>
            </w:r>
            <w:proofErr w:type="gramEnd"/>
            <w:r>
              <w:rPr>
                <w:rFonts w:ascii="宋体" w:hAnsi="宋体" w:hint="eastAsia"/>
                <w:szCs w:val="21"/>
              </w:rPr>
              <w:t>：无。</w:t>
            </w:r>
          </w:p>
          <w:p w:rsidR="006B429F" w:rsidRDefault="006B429F" w:rsidP="006B429F">
            <w:pPr>
              <w:spacing w:line="360" w:lineRule="auto"/>
              <w:ind w:firstLineChars="200" w:firstLine="420"/>
              <w:rPr>
                <w:rFonts w:ascii="宋体" w:hAnsi="宋体"/>
                <w:bCs/>
                <w:szCs w:val="21"/>
              </w:rPr>
            </w:pPr>
            <w:r>
              <w:rPr>
                <w:rFonts w:ascii="宋体" w:hAnsi="宋体" w:hint="eastAsia"/>
                <w:szCs w:val="21"/>
              </w:rPr>
              <w:t>4、</w:t>
            </w:r>
            <w:r>
              <w:rPr>
                <w:rFonts w:ascii="宋体" w:hAnsi="宋体" w:hint="eastAsia"/>
                <w:bCs/>
                <w:szCs w:val="21"/>
              </w:rPr>
              <w:t>材料价格参照南京市2025年2月建设工程材料市场信息价，指导价中没有的，参考市场价计入；</w:t>
            </w:r>
          </w:p>
          <w:p w:rsidR="006B429F" w:rsidRDefault="006B429F" w:rsidP="006B429F">
            <w:pPr>
              <w:spacing w:line="360" w:lineRule="auto"/>
              <w:ind w:firstLineChars="200" w:firstLine="420"/>
              <w:rPr>
                <w:rFonts w:ascii="宋体" w:hAnsi="宋体"/>
                <w:bCs/>
                <w:szCs w:val="21"/>
              </w:rPr>
            </w:pPr>
            <w:r>
              <w:rPr>
                <w:rFonts w:ascii="宋体" w:hAnsi="宋体" w:hint="eastAsia"/>
                <w:szCs w:val="21"/>
              </w:rPr>
              <w:t>5、人工工资单价</w:t>
            </w:r>
            <w:proofErr w:type="gramStart"/>
            <w:r>
              <w:rPr>
                <w:rFonts w:ascii="宋体" w:hAnsi="宋体" w:hint="eastAsia"/>
                <w:szCs w:val="21"/>
              </w:rPr>
              <w:t>按苏建函价</w:t>
            </w:r>
            <w:proofErr w:type="gramEnd"/>
            <w:r>
              <w:rPr>
                <w:rFonts w:ascii="宋体" w:hAnsi="宋体" w:hint="eastAsia"/>
                <w:szCs w:val="21"/>
              </w:rPr>
              <w:t>【2025】066号-2025年上半年人工工资指导价要求执行。</w:t>
            </w:r>
          </w:p>
          <w:p w:rsidR="006B429F" w:rsidRDefault="006B429F" w:rsidP="006B429F">
            <w:pPr>
              <w:spacing w:line="360" w:lineRule="auto"/>
              <w:ind w:firstLineChars="200" w:firstLine="420"/>
              <w:rPr>
                <w:rFonts w:ascii="宋体" w:hAnsi="宋体"/>
                <w:szCs w:val="21"/>
              </w:rPr>
            </w:pPr>
            <w:r>
              <w:rPr>
                <w:rFonts w:ascii="宋体" w:hAnsi="宋体" w:hint="eastAsia"/>
                <w:szCs w:val="21"/>
              </w:rPr>
              <w:t>6、本工程安全文明施工标化增加费不考虑，冬雨季施工、临时设施、建筑工人实名制费用、建筑工人实名制费用按照中值计取费率；</w:t>
            </w:r>
          </w:p>
          <w:p w:rsidR="006B429F" w:rsidRDefault="006B429F" w:rsidP="006B429F">
            <w:pPr>
              <w:tabs>
                <w:tab w:val="left" w:pos="720"/>
              </w:tabs>
              <w:spacing w:line="360" w:lineRule="auto"/>
              <w:rPr>
                <w:rFonts w:ascii="宋体" w:hAnsi="宋体"/>
                <w:b/>
                <w:szCs w:val="21"/>
              </w:rPr>
            </w:pPr>
            <w:r>
              <w:rPr>
                <w:rFonts w:ascii="宋体" w:hAnsi="宋体" w:hint="eastAsia"/>
                <w:b/>
                <w:szCs w:val="21"/>
              </w:rPr>
              <w:t>五</w:t>
            </w:r>
            <w:r>
              <w:rPr>
                <w:rFonts w:ascii="宋体" w:hAnsi="宋体"/>
                <w:b/>
                <w:szCs w:val="21"/>
              </w:rPr>
              <w:t>、</w:t>
            </w:r>
            <w:r>
              <w:rPr>
                <w:rFonts w:ascii="宋体" w:hAnsi="宋体" w:hint="eastAsia"/>
                <w:b/>
                <w:szCs w:val="21"/>
              </w:rPr>
              <w:t>工程量清单编制中需说明的其他事项</w:t>
            </w:r>
            <w:r>
              <w:rPr>
                <w:rFonts w:ascii="宋体" w:hAnsi="宋体"/>
                <w:b/>
                <w:szCs w:val="21"/>
              </w:rPr>
              <w:t>：</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1、</w:t>
            </w:r>
            <w:r>
              <w:rPr>
                <w:rFonts w:ascii="宋体" w:hAnsi="宋体" w:hint="eastAsia"/>
                <w:szCs w:val="21"/>
              </w:rPr>
              <w:t>石山线东</w:t>
            </w:r>
            <w:proofErr w:type="gramStart"/>
            <w:r>
              <w:rPr>
                <w:rFonts w:ascii="宋体" w:hAnsi="宋体" w:hint="eastAsia"/>
                <w:szCs w:val="21"/>
              </w:rPr>
              <w:t>延建设工程—道路</w:t>
            </w:r>
            <w:proofErr w:type="gramEnd"/>
            <w:r>
              <w:rPr>
                <w:rFonts w:ascii="宋体" w:hAnsi="宋体" w:hint="eastAsia"/>
                <w:szCs w:val="21"/>
              </w:rPr>
              <w:t>工程按市政三类道路工程编制，石山线东</w:t>
            </w:r>
            <w:proofErr w:type="gramStart"/>
            <w:r>
              <w:rPr>
                <w:rFonts w:ascii="宋体" w:hAnsi="宋体" w:hint="eastAsia"/>
                <w:szCs w:val="21"/>
              </w:rPr>
              <w:t>延建设</w:t>
            </w:r>
            <w:proofErr w:type="gramEnd"/>
            <w:r>
              <w:rPr>
                <w:rFonts w:ascii="宋体" w:hAnsi="宋体" w:hint="eastAsia"/>
                <w:szCs w:val="21"/>
              </w:rPr>
              <w:t>工程石山线东</w:t>
            </w:r>
            <w:proofErr w:type="gramStart"/>
            <w:r>
              <w:rPr>
                <w:rFonts w:ascii="宋体" w:hAnsi="宋体" w:hint="eastAsia"/>
                <w:szCs w:val="21"/>
              </w:rPr>
              <w:t>延建设</w:t>
            </w:r>
            <w:proofErr w:type="gramEnd"/>
            <w:r>
              <w:rPr>
                <w:rFonts w:ascii="宋体" w:hAnsi="宋体" w:hint="eastAsia"/>
                <w:szCs w:val="21"/>
              </w:rPr>
              <w:t>工程—交通设施工程按市政路灯及交通设施工程编制，石山线东</w:t>
            </w:r>
            <w:proofErr w:type="gramStart"/>
            <w:r>
              <w:rPr>
                <w:rFonts w:ascii="宋体" w:hAnsi="宋体" w:hint="eastAsia"/>
                <w:szCs w:val="21"/>
              </w:rPr>
              <w:t>延建设</w:t>
            </w:r>
            <w:proofErr w:type="gramEnd"/>
            <w:r>
              <w:rPr>
                <w:rFonts w:ascii="宋体" w:hAnsi="宋体" w:hint="eastAsia"/>
                <w:szCs w:val="21"/>
              </w:rPr>
              <w:t>工程—照明工程按市政路灯及交通设施工程编制，石山线东</w:t>
            </w:r>
            <w:proofErr w:type="gramStart"/>
            <w:r>
              <w:rPr>
                <w:rFonts w:ascii="宋体" w:hAnsi="宋体" w:hint="eastAsia"/>
                <w:szCs w:val="21"/>
              </w:rPr>
              <w:t>延建设</w:t>
            </w:r>
            <w:proofErr w:type="gramEnd"/>
            <w:r>
              <w:rPr>
                <w:rFonts w:ascii="宋体" w:hAnsi="宋体" w:hint="eastAsia"/>
                <w:szCs w:val="21"/>
              </w:rPr>
              <w:t>工程—绿化工程按园林三类工程编制</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3、交通工程施工参照《道路交通标志和标线》(GB 5768-2009)，及道路实际情况参照国家有关规定与建设部门，交警部门协商确定。</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4、照明工程施工参照《城市道路照明工程施工及验收规程》(CJJ89-2012);相关专业的国家标准和规范。</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5、施工工程中需注意成品保护，避免损坏其他构件，应考虑对现状构件保护的费用，拆除工程施工前,对周边搭设支撑以作保护，以上由投标人综合考虑；</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6、建筑垃圾弃置含渣土费、消纳费，弃置距离自行考虑，实际弃置场地与运距由投标人自行考虑，结算不作调整；</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bCs/>
                <w:szCs w:val="21"/>
              </w:rPr>
              <w:t>7、本项目拆除工程无相关图纸，投标人需结合现场实际情况综合考虑</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bCs/>
                <w:szCs w:val="21"/>
              </w:rPr>
              <w:t>8、本工程为新建工程，</w:t>
            </w:r>
            <w:r>
              <w:rPr>
                <w:rFonts w:ascii="宋体" w:hAnsi="宋体" w:hint="eastAsia"/>
                <w:szCs w:val="21"/>
              </w:rPr>
              <w:t>分部分项工程量清单中“项目特征”内容描述不详的，必须参考施工图和相关规范。投标人具有核查工程量清单的义务，若踏勘现场、工程量清单项目、数量等与实际出现不一致，投标人在澄清答疑过程中未及时提出，即视为投标人对工程量清单已认可。</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9、工程量清单中每一个项目的综合单价及措施费中，应包括人工费、材料费、机械费、管理费、利润以及现行取费中的有关费用、有关文件规定的调价、场内外运输、机械进退场、临时设施、</w:t>
            </w:r>
            <w:r>
              <w:rPr>
                <w:rFonts w:ascii="宋体" w:hAnsi="宋体" w:hint="eastAsia"/>
                <w:szCs w:val="21"/>
              </w:rPr>
              <w:lastRenderedPageBreak/>
              <w:t>材料周转、二次倒运、赶工措施、机械停置、噪音排污、围挡、夜间施工费、管线调查与保护、交通协调以及根据本招标文件要求的风险金等全部费用。图纸要求及相关技术标准内的要求须考虑在投标报价中。</w:t>
            </w:r>
          </w:p>
          <w:p w:rsidR="006B429F" w:rsidRDefault="006B429F" w:rsidP="006B429F">
            <w:pPr>
              <w:spacing w:line="360" w:lineRule="auto"/>
              <w:ind w:firstLineChars="250" w:firstLine="525"/>
              <w:rPr>
                <w:rFonts w:ascii="宋体" w:hAnsi="宋体"/>
                <w:szCs w:val="21"/>
              </w:rPr>
            </w:pPr>
            <w:r>
              <w:rPr>
                <w:rFonts w:ascii="宋体" w:hAnsi="宋体" w:hint="eastAsia"/>
                <w:szCs w:val="21"/>
              </w:rPr>
              <w:t>10、措施费项目清单中，内容仅供参考，投标人可根据工程实际与施工组织设计进行增补，但不得更改已列措施项目，结算时除工程变更引起施工方案改变外，承包人不得以招标工程措施项目清单缺项为由要求新增措施项目。</w:t>
            </w:r>
          </w:p>
          <w:p w:rsidR="006B429F" w:rsidRDefault="006B429F" w:rsidP="006B429F">
            <w:pPr>
              <w:spacing w:line="360" w:lineRule="auto"/>
              <w:ind w:firstLineChars="250" w:firstLine="525"/>
              <w:rPr>
                <w:rFonts w:ascii="宋体" w:hAnsi="宋体"/>
                <w:szCs w:val="21"/>
              </w:rPr>
            </w:pPr>
            <w:r>
              <w:rPr>
                <w:rFonts w:ascii="宋体" w:hAnsi="宋体" w:hint="eastAsia"/>
                <w:szCs w:val="21"/>
              </w:rPr>
              <w:t>11、投标单位所报工程量清单综合单价应包括完成招标文件及其附件规定的工程量清单项目所需的全部费用，其内含：①包括分部分项工程费、措施费、其它项目费和</w:t>
            </w:r>
            <w:proofErr w:type="gramStart"/>
            <w:r>
              <w:rPr>
                <w:rFonts w:ascii="宋体" w:hAnsi="宋体" w:hint="eastAsia"/>
                <w:szCs w:val="21"/>
              </w:rPr>
              <w:t>规费</w:t>
            </w:r>
            <w:proofErr w:type="gramEnd"/>
            <w:r>
              <w:rPr>
                <w:rFonts w:ascii="宋体" w:hAnsi="宋体" w:hint="eastAsia"/>
                <w:szCs w:val="21"/>
              </w:rPr>
              <w:t>、税金；②包括完成每分部分项工程所含全部工程内容的费用；③包括完成每项工程内容所需的全部费用；④工程量清单项目中没有体现的，施工中又必须发生的工程内容所需的费用；⑤考虑风险因素而调整的费用；⑥因招标人在招标文件中的要求而发生的费用；⑦</w:t>
            </w:r>
            <w:proofErr w:type="gramStart"/>
            <w:r>
              <w:rPr>
                <w:rFonts w:ascii="宋体" w:hAnsi="宋体" w:hint="eastAsia"/>
                <w:szCs w:val="21"/>
              </w:rPr>
              <w:t>做为</w:t>
            </w:r>
            <w:proofErr w:type="gramEnd"/>
            <w:r>
              <w:rPr>
                <w:rFonts w:ascii="宋体" w:hAnsi="宋体" w:hint="eastAsia"/>
                <w:szCs w:val="21"/>
              </w:rPr>
              <w:t>有经验的承包商按照合同条款及相关规定判定交付竣工产品还应计列的其他费用；⑧按照技术方案要求交付竣工产品应该计列的相关费用；⑨其他应当计取的费用。</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12、</w:t>
            </w:r>
            <w:r>
              <w:rPr>
                <w:rFonts w:ascii="宋体" w:hAnsi="宋体"/>
                <w:szCs w:val="21"/>
              </w:rPr>
              <w:t>本工程量清单作为投标人报价的基础之一，投标人应结合招标文件、</w:t>
            </w:r>
            <w:r>
              <w:rPr>
                <w:rFonts w:ascii="宋体" w:hAnsi="宋体" w:hint="eastAsia"/>
                <w:szCs w:val="21"/>
              </w:rPr>
              <w:t>现场</w:t>
            </w:r>
            <w:r>
              <w:rPr>
                <w:rFonts w:ascii="宋体" w:hAnsi="宋体"/>
                <w:szCs w:val="21"/>
              </w:rPr>
              <w:t>、取费文件、技术规范等确定投标报价。</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13、 本工程招标控制价（</w:t>
            </w:r>
            <w:proofErr w:type="gramStart"/>
            <w:r>
              <w:rPr>
                <w:rFonts w:ascii="宋体" w:hAnsi="宋体" w:hint="eastAsia"/>
                <w:szCs w:val="21"/>
              </w:rPr>
              <w:t>含综合</w:t>
            </w:r>
            <w:proofErr w:type="gramEnd"/>
            <w:r>
              <w:rPr>
                <w:rFonts w:ascii="宋体" w:hAnsi="宋体" w:hint="eastAsia"/>
                <w:szCs w:val="21"/>
              </w:rPr>
              <w:t>单价）为招标人根据相关规定结合市场价编制，投标人未在约定时间内提出异议，视为对招标控制价（</w:t>
            </w:r>
            <w:proofErr w:type="gramStart"/>
            <w:r>
              <w:rPr>
                <w:rFonts w:ascii="宋体" w:hAnsi="宋体" w:hint="eastAsia"/>
                <w:szCs w:val="21"/>
              </w:rPr>
              <w:t>含综合</w:t>
            </w:r>
            <w:proofErr w:type="gramEnd"/>
            <w:r>
              <w:rPr>
                <w:rFonts w:ascii="宋体" w:hAnsi="宋体" w:hint="eastAsia"/>
                <w:szCs w:val="21"/>
              </w:rPr>
              <w:t>单价）完全理解并接受，中标后不作调整。</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14、投标人必须充分勘察现场实际情况，自行考虑材料运输及堆场、机械进退场所必须的临时道路、场地硬化费用。</w:t>
            </w:r>
          </w:p>
          <w:p w:rsidR="006B429F" w:rsidRDefault="006B429F" w:rsidP="006B429F">
            <w:pPr>
              <w:spacing w:line="360" w:lineRule="auto"/>
              <w:ind w:firstLineChars="250" w:firstLine="525"/>
              <w:rPr>
                <w:rFonts w:ascii="宋体" w:hAnsi="宋体"/>
                <w:szCs w:val="21"/>
              </w:rPr>
            </w:pPr>
            <w:r>
              <w:rPr>
                <w:rFonts w:ascii="宋体" w:hAnsi="宋体" w:hint="eastAsia"/>
                <w:szCs w:val="21"/>
              </w:rPr>
              <w:t>15、工程量清单特征描述不全时，应结合设计图纸，并应当综合考虑施工规范、地方规章等的要求，所产生的费用计入投标报价中；清单特征中未描述的，但20</w:t>
            </w:r>
            <w:r>
              <w:rPr>
                <w:rFonts w:ascii="宋体" w:hAnsi="宋体"/>
                <w:szCs w:val="21"/>
              </w:rPr>
              <w:t>14</w:t>
            </w:r>
            <w:r>
              <w:rPr>
                <w:rFonts w:ascii="宋体" w:hAnsi="宋体" w:hint="eastAsia"/>
                <w:szCs w:val="21"/>
              </w:rPr>
              <w:t>计价表中注明的工作内容，承包人在报价是应充分考虑“工作内容”而产生的费用，列入相应报价中。工程量清单中</w:t>
            </w:r>
            <w:proofErr w:type="gramStart"/>
            <w:r>
              <w:rPr>
                <w:rFonts w:ascii="宋体" w:hAnsi="宋体" w:hint="eastAsia"/>
                <w:szCs w:val="21"/>
              </w:rPr>
              <w:t>凡是说</w:t>
            </w:r>
            <w:proofErr w:type="gramEnd"/>
            <w:r>
              <w:rPr>
                <w:rFonts w:ascii="宋体" w:hAnsi="宋体" w:hint="eastAsia"/>
                <w:szCs w:val="21"/>
              </w:rPr>
              <w:t>明了的工作内容均应包括在投标报价中，清单中未描述但又是完成该分项工程必须有的工作内容，均应包括在投标报价中。</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16、本项目对于材料的运输、施工时间的限制、施工场地和临设场地的影响等，请投标人在报价中充分考虑，结算时不得增加与此有关的费用。</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17、对于江苏省、南京市相关部门对工程施工要求所发的文件规定，特别是对于工程围挡、扬尘控制等的要求，请投标人在报价中充分考虑，结算时不得增加与此有关的费用。</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18、请投标人自行查勘现场，对于现场是否满足所有临时设施、施工场地的搭设要求，请投标人在报价中充分考虑本项目施工的特殊性，结算时不得增加与此有关的费用。</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19、投标人对工程量清单有任何疑问，应于招标文件规定的疑问提交截止日前提出，如未提出，</w:t>
            </w:r>
            <w:r>
              <w:rPr>
                <w:rFonts w:ascii="宋体" w:hAnsi="宋体" w:hint="eastAsia"/>
                <w:szCs w:val="21"/>
              </w:rPr>
              <w:lastRenderedPageBreak/>
              <w:t>中标</w:t>
            </w:r>
            <w:proofErr w:type="gramStart"/>
            <w:r>
              <w:rPr>
                <w:rFonts w:ascii="宋体" w:hAnsi="宋体" w:hint="eastAsia"/>
                <w:szCs w:val="21"/>
              </w:rPr>
              <w:t>后相应</w:t>
            </w:r>
            <w:proofErr w:type="gramEnd"/>
            <w:r>
              <w:rPr>
                <w:rFonts w:ascii="宋体" w:hAnsi="宋体" w:hint="eastAsia"/>
                <w:szCs w:val="21"/>
              </w:rPr>
              <w:t>单价不再调整，且必须按业主要求完成所有工作内容。</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20、投标人在填写工程量清单的每一项综合单价和合价时均应结合招标文件、技术规范、设计施工图纸和现场勘察情况，谨慎仔细地进行报价。工程量清单特征描述不全时，应当综合考虑施工规范、地方规章等的要求，所产生的费用计入投标报价中；清单特征中未描述的，但计价规范中注明的工程内容，承包人在报价时应充分考虑“工程内容”而产生的费用，列入相应投标报价中，实施过程中费用不调整。</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21、工程量清单外的费用：工程量清单项目（包括实体性消耗和措施性消耗）中没有体现的，施工中又必须发生的工作内容所需的费用，如：包括但不限于临时设施费、脚手架费、垂直运输费、主要材料构件的二次包装防护费、原材料的二次搬运费、场外运输费、摊销费、吊装费、超高部位人工、机械降效补贴费、成品保护费等，由各投标人根据现场实际施工场地考察的情况并结合各自条件情况自行计入报价。</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22、本工程中施工的实际损耗，自行综合考虑在本次报价中，</w:t>
            </w:r>
            <w:proofErr w:type="gramStart"/>
            <w:r>
              <w:rPr>
                <w:rFonts w:ascii="宋体" w:hAnsi="宋体" w:hint="eastAsia"/>
                <w:szCs w:val="21"/>
              </w:rPr>
              <w:t>不</w:t>
            </w:r>
            <w:proofErr w:type="gramEnd"/>
            <w:r>
              <w:rPr>
                <w:rFonts w:ascii="宋体" w:hAnsi="宋体" w:hint="eastAsia"/>
                <w:szCs w:val="21"/>
              </w:rPr>
              <w:t>另增加费用。</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23、所有清单项目内涉及建筑垃圾的清理及外运，综合考虑在报价内，结算不予调整。</w:t>
            </w:r>
          </w:p>
          <w:p w:rsidR="006B429F" w:rsidRDefault="006B429F" w:rsidP="006B429F">
            <w:pPr>
              <w:tabs>
                <w:tab w:val="left" w:pos="720"/>
              </w:tabs>
              <w:spacing w:line="360" w:lineRule="auto"/>
              <w:ind w:firstLineChars="225" w:firstLine="473"/>
              <w:rPr>
                <w:rFonts w:ascii="宋体" w:hAnsi="宋体"/>
                <w:szCs w:val="21"/>
              </w:rPr>
            </w:pPr>
            <w:r>
              <w:rPr>
                <w:rFonts w:ascii="宋体" w:hAnsi="宋体" w:hint="eastAsia"/>
                <w:szCs w:val="21"/>
              </w:rPr>
              <w:t>24、投标人须自行考虑材料的采购、保管费，中标后不再调整。</w:t>
            </w:r>
          </w:p>
          <w:p w:rsidR="006B429F" w:rsidRDefault="006B429F" w:rsidP="006B429F">
            <w:pPr>
              <w:tabs>
                <w:tab w:val="left" w:pos="720"/>
              </w:tabs>
              <w:spacing w:line="360" w:lineRule="auto"/>
              <w:ind w:firstLineChars="225" w:firstLine="473"/>
              <w:rPr>
                <w:rFonts w:ascii="宋体" w:hAnsi="宋体"/>
                <w:bCs/>
                <w:szCs w:val="21"/>
              </w:rPr>
            </w:pPr>
            <w:r>
              <w:rPr>
                <w:rFonts w:ascii="宋体" w:hAnsi="宋体" w:hint="eastAsia"/>
                <w:szCs w:val="21"/>
              </w:rPr>
              <w:t>25、</w:t>
            </w:r>
            <w:r>
              <w:rPr>
                <w:rFonts w:ascii="宋体" w:hAnsi="宋体" w:hint="eastAsia"/>
                <w:bCs/>
                <w:szCs w:val="21"/>
              </w:rPr>
              <w:t>所有材料检测费均由承包人承担。材料质量应确保通过消防、节能、环保（包括室内环境、甲醇含量等）等第三方检测及消防、环保验收，由质量不合格引起的后果由施工单位承担。如环保、检测不合格，视为工程项目不合格。</w:t>
            </w:r>
          </w:p>
          <w:p w:rsidR="006B429F" w:rsidRDefault="006B429F" w:rsidP="006B429F">
            <w:pPr>
              <w:tabs>
                <w:tab w:val="left" w:pos="720"/>
              </w:tabs>
              <w:spacing w:line="360" w:lineRule="auto"/>
              <w:rPr>
                <w:rFonts w:ascii="宋体" w:hAnsi="宋体"/>
                <w:b/>
                <w:szCs w:val="21"/>
              </w:rPr>
            </w:pPr>
            <w:r>
              <w:rPr>
                <w:rFonts w:ascii="宋体" w:hAnsi="宋体" w:hint="eastAsia"/>
                <w:b/>
                <w:szCs w:val="21"/>
              </w:rPr>
              <w:t>六、工程质量、材料、施工等的特殊要求</w:t>
            </w:r>
          </w:p>
          <w:p w:rsidR="006B429F" w:rsidRDefault="006B429F" w:rsidP="006B429F">
            <w:pPr>
              <w:spacing w:line="360" w:lineRule="auto"/>
              <w:ind w:firstLineChars="200" w:firstLine="420"/>
              <w:rPr>
                <w:rFonts w:ascii="宋体" w:hAnsi="宋体"/>
                <w:szCs w:val="21"/>
              </w:rPr>
            </w:pPr>
            <w:r>
              <w:rPr>
                <w:rFonts w:ascii="宋体" w:hAnsi="宋体" w:cs="宋体" w:hint="eastAsia"/>
                <w:bCs/>
                <w:szCs w:val="21"/>
              </w:rPr>
              <w:t>1、工程质量须满足招标文件、设计文件及相关规范的要求，</w:t>
            </w:r>
            <w:bookmarkStart w:id="1" w:name="EBfdadcc0915ec49b2842c55e350118b46"/>
            <w:r>
              <w:rPr>
                <w:rFonts w:ascii="宋体" w:hAnsi="宋体" w:hint="eastAsia"/>
                <w:szCs w:val="21"/>
              </w:rPr>
              <w:t>符合国家质量验收标准</w:t>
            </w:r>
            <w:bookmarkEnd w:id="1"/>
            <w:r>
              <w:rPr>
                <w:rFonts w:ascii="宋体" w:hAnsi="宋体" w:cs="宋体" w:hint="eastAsia"/>
                <w:bCs/>
                <w:szCs w:val="21"/>
              </w:rPr>
              <w:t>；</w:t>
            </w:r>
          </w:p>
          <w:p w:rsidR="00243BA5" w:rsidRPr="004B5CFE" w:rsidRDefault="006B429F" w:rsidP="006B429F">
            <w:pPr>
              <w:spacing w:line="360" w:lineRule="auto"/>
              <w:ind w:firstLineChars="200" w:firstLine="420"/>
              <w:rPr>
                <w:sz w:val="24"/>
              </w:rPr>
            </w:pPr>
            <w:r>
              <w:rPr>
                <w:rFonts w:ascii="宋体" w:hAnsi="宋体" w:cs="宋体" w:hint="eastAsia"/>
                <w:bCs/>
                <w:szCs w:val="21"/>
              </w:rPr>
              <w:t>2、施工所使用的材料满足设计的要求，并为正规厂家合格的产品，使用前需经建设单位确认，投标人需综合考虑。</w:t>
            </w:r>
          </w:p>
        </w:tc>
      </w:tr>
    </w:tbl>
    <w:p w:rsidR="00243BA5" w:rsidRDefault="00243BA5"/>
    <w:sectPr w:rsidR="00243BA5" w:rsidSect="00243BA5">
      <w:pgSz w:w="11906" w:h="16838"/>
      <w:pgMar w:top="1134" w:right="1135"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21A" w:rsidRDefault="007F021A" w:rsidP="00E22E3E">
      <w:r>
        <w:separator/>
      </w:r>
    </w:p>
  </w:endnote>
  <w:endnote w:type="continuationSeparator" w:id="0">
    <w:p w:rsidR="007F021A" w:rsidRDefault="007F021A" w:rsidP="00E22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21A" w:rsidRDefault="007F021A" w:rsidP="00E22E3E">
      <w:r>
        <w:separator/>
      </w:r>
    </w:p>
  </w:footnote>
  <w:footnote w:type="continuationSeparator" w:id="0">
    <w:p w:rsidR="007F021A" w:rsidRDefault="007F021A" w:rsidP="00E22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k1ZDg4YmM2NWM3ZTdiNDY2YWZjN2QzYWE2YzY2ZWUifQ=="/>
  </w:docVars>
  <w:rsids>
    <w:rsidRoot w:val="0CA21056"/>
    <w:rsid w:val="00002536"/>
    <w:rsid w:val="00084036"/>
    <w:rsid w:val="00085BF9"/>
    <w:rsid w:val="000C2B76"/>
    <w:rsid w:val="000C4A47"/>
    <w:rsid w:val="000D3327"/>
    <w:rsid w:val="000E1651"/>
    <w:rsid w:val="000E2B7E"/>
    <w:rsid w:val="001159EE"/>
    <w:rsid w:val="00122A5A"/>
    <w:rsid w:val="001319AC"/>
    <w:rsid w:val="001636F5"/>
    <w:rsid w:val="001678B7"/>
    <w:rsid w:val="00171B84"/>
    <w:rsid w:val="00186CDE"/>
    <w:rsid w:val="00193C30"/>
    <w:rsid w:val="00196C3A"/>
    <w:rsid w:val="001B4505"/>
    <w:rsid w:val="001C15EE"/>
    <w:rsid w:val="001C5FD5"/>
    <w:rsid w:val="001D3727"/>
    <w:rsid w:val="001D5333"/>
    <w:rsid w:val="001E2978"/>
    <w:rsid w:val="001E2F7A"/>
    <w:rsid w:val="001E3C6F"/>
    <w:rsid w:val="001F4EE4"/>
    <w:rsid w:val="00211DDF"/>
    <w:rsid w:val="00221E72"/>
    <w:rsid w:val="00222E98"/>
    <w:rsid w:val="00243BA5"/>
    <w:rsid w:val="00284C3E"/>
    <w:rsid w:val="00292A91"/>
    <w:rsid w:val="002B089E"/>
    <w:rsid w:val="002B27CF"/>
    <w:rsid w:val="002B49A2"/>
    <w:rsid w:val="002D073F"/>
    <w:rsid w:val="0033614D"/>
    <w:rsid w:val="00352F4F"/>
    <w:rsid w:val="00361944"/>
    <w:rsid w:val="00370A88"/>
    <w:rsid w:val="00393980"/>
    <w:rsid w:val="003B062A"/>
    <w:rsid w:val="003B7B81"/>
    <w:rsid w:val="003C2185"/>
    <w:rsid w:val="003C6A7F"/>
    <w:rsid w:val="003E7DD4"/>
    <w:rsid w:val="003F3053"/>
    <w:rsid w:val="003F56A9"/>
    <w:rsid w:val="004119DB"/>
    <w:rsid w:val="00423C6D"/>
    <w:rsid w:val="00430A2F"/>
    <w:rsid w:val="004516E1"/>
    <w:rsid w:val="00464F54"/>
    <w:rsid w:val="004737DC"/>
    <w:rsid w:val="00475E95"/>
    <w:rsid w:val="00481892"/>
    <w:rsid w:val="004A6986"/>
    <w:rsid w:val="004B5CFE"/>
    <w:rsid w:val="004C2DD7"/>
    <w:rsid w:val="004C52A3"/>
    <w:rsid w:val="00505FAF"/>
    <w:rsid w:val="00533DC9"/>
    <w:rsid w:val="005340A0"/>
    <w:rsid w:val="00534FA3"/>
    <w:rsid w:val="005506FC"/>
    <w:rsid w:val="00565AA2"/>
    <w:rsid w:val="005B4AC5"/>
    <w:rsid w:val="005D4E50"/>
    <w:rsid w:val="005E1DF8"/>
    <w:rsid w:val="005F4FBE"/>
    <w:rsid w:val="00617046"/>
    <w:rsid w:val="006246CD"/>
    <w:rsid w:val="00625797"/>
    <w:rsid w:val="00692B77"/>
    <w:rsid w:val="00693B67"/>
    <w:rsid w:val="006A0807"/>
    <w:rsid w:val="006B429F"/>
    <w:rsid w:val="006C54EE"/>
    <w:rsid w:val="006D5968"/>
    <w:rsid w:val="00707560"/>
    <w:rsid w:val="007245CF"/>
    <w:rsid w:val="0075259C"/>
    <w:rsid w:val="007B2F2A"/>
    <w:rsid w:val="007B6AD2"/>
    <w:rsid w:val="007D39F5"/>
    <w:rsid w:val="007F021A"/>
    <w:rsid w:val="00885367"/>
    <w:rsid w:val="008A28CC"/>
    <w:rsid w:val="008A748C"/>
    <w:rsid w:val="008D1ED2"/>
    <w:rsid w:val="008E299E"/>
    <w:rsid w:val="008E3D7F"/>
    <w:rsid w:val="008F2935"/>
    <w:rsid w:val="00930757"/>
    <w:rsid w:val="0094095A"/>
    <w:rsid w:val="00994611"/>
    <w:rsid w:val="009D58F3"/>
    <w:rsid w:val="009F0A91"/>
    <w:rsid w:val="00A21758"/>
    <w:rsid w:val="00A430AE"/>
    <w:rsid w:val="00A50E19"/>
    <w:rsid w:val="00A675A4"/>
    <w:rsid w:val="00A74918"/>
    <w:rsid w:val="00AC4CA0"/>
    <w:rsid w:val="00AD1E00"/>
    <w:rsid w:val="00AF0E02"/>
    <w:rsid w:val="00AF6BD3"/>
    <w:rsid w:val="00B2407F"/>
    <w:rsid w:val="00B65621"/>
    <w:rsid w:val="00B7562A"/>
    <w:rsid w:val="00BA256F"/>
    <w:rsid w:val="00BC6AE1"/>
    <w:rsid w:val="00BC7952"/>
    <w:rsid w:val="00C000F3"/>
    <w:rsid w:val="00C06AA1"/>
    <w:rsid w:val="00C14886"/>
    <w:rsid w:val="00C20D00"/>
    <w:rsid w:val="00C22D1C"/>
    <w:rsid w:val="00C36463"/>
    <w:rsid w:val="00C77BFB"/>
    <w:rsid w:val="00CB32C3"/>
    <w:rsid w:val="00CB5700"/>
    <w:rsid w:val="00CD583A"/>
    <w:rsid w:val="00D108B8"/>
    <w:rsid w:val="00D1163D"/>
    <w:rsid w:val="00D14DAA"/>
    <w:rsid w:val="00D569D0"/>
    <w:rsid w:val="00D655D7"/>
    <w:rsid w:val="00D667FA"/>
    <w:rsid w:val="00D877DD"/>
    <w:rsid w:val="00D90639"/>
    <w:rsid w:val="00D91D23"/>
    <w:rsid w:val="00D92A94"/>
    <w:rsid w:val="00DB3E25"/>
    <w:rsid w:val="00DC1726"/>
    <w:rsid w:val="00DD450B"/>
    <w:rsid w:val="00DE01DE"/>
    <w:rsid w:val="00E12CBF"/>
    <w:rsid w:val="00E153D7"/>
    <w:rsid w:val="00E22E3E"/>
    <w:rsid w:val="00E42BCD"/>
    <w:rsid w:val="00E51C62"/>
    <w:rsid w:val="00E53127"/>
    <w:rsid w:val="00E83E2C"/>
    <w:rsid w:val="00E92C88"/>
    <w:rsid w:val="00EB4548"/>
    <w:rsid w:val="00EB4B8A"/>
    <w:rsid w:val="00EC4412"/>
    <w:rsid w:val="00ED28BF"/>
    <w:rsid w:val="00F02ACD"/>
    <w:rsid w:val="00F05062"/>
    <w:rsid w:val="00F20FEA"/>
    <w:rsid w:val="00F26798"/>
    <w:rsid w:val="00F378F4"/>
    <w:rsid w:val="00F41931"/>
    <w:rsid w:val="00F42A0E"/>
    <w:rsid w:val="00F53E6A"/>
    <w:rsid w:val="00F67A53"/>
    <w:rsid w:val="00F8706C"/>
    <w:rsid w:val="00FB1A07"/>
    <w:rsid w:val="00FB48A2"/>
    <w:rsid w:val="00FB7E0E"/>
    <w:rsid w:val="00FC546E"/>
    <w:rsid w:val="02F43E36"/>
    <w:rsid w:val="03192A63"/>
    <w:rsid w:val="035E44D3"/>
    <w:rsid w:val="043315A3"/>
    <w:rsid w:val="06917628"/>
    <w:rsid w:val="06935222"/>
    <w:rsid w:val="074B0E7F"/>
    <w:rsid w:val="07586A52"/>
    <w:rsid w:val="07B76CEE"/>
    <w:rsid w:val="09D06ECA"/>
    <w:rsid w:val="09EC35FE"/>
    <w:rsid w:val="09F47B7D"/>
    <w:rsid w:val="0B696551"/>
    <w:rsid w:val="0C4843B9"/>
    <w:rsid w:val="0CA21056"/>
    <w:rsid w:val="0CD67C16"/>
    <w:rsid w:val="0E490FB3"/>
    <w:rsid w:val="0E7C6B83"/>
    <w:rsid w:val="0E9E6512"/>
    <w:rsid w:val="0EDE70A3"/>
    <w:rsid w:val="0FDE7B56"/>
    <w:rsid w:val="10CA7A92"/>
    <w:rsid w:val="11773806"/>
    <w:rsid w:val="119325F3"/>
    <w:rsid w:val="120C672B"/>
    <w:rsid w:val="164C55E9"/>
    <w:rsid w:val="16B234A2"/>
    <w:rsid w:val="171B4C96"/>
    <w:rsid w:val="17B51228"/>
    <w:rsid w:val="1876464A"/>
    <w:rsid w:val="18DE7745"/>
    <w:rsid w:val="198100D9"/>
    <w:rsid w:val="199B021E"/>
    <w:rsid w:val="1A5A0A94"/>
    <w:rsid w:val="1BB27AA1"/>
    <w:rsid w:val="1C580648"/>
    <w:rsid w:val="1E7A7298"/>
    <w:rsid w:val="1F16064F"/>
    <w:rsid w:val="20FB037F"/>
    <w:rsid w:val="21367AE8"/>
    <w:rsid w:val="21AC38D5"/>
    <w:rsid w:val="21E40417"/>
    <w:rsid w:val="228F6446"/>
    <w:rsid w:val="22FE5379"/>
    <w:rsid w:val="2562198F"/>
    <w:rsid w:val="25DC4098"/>
    <w:rsid w:val="26C934C0"/>
    <w:rsid w:val="27DE661D"/>
    <w:rsid w:val="29023586"/>
    <w:rsid w:val="29100542"/>
    <w:rsid w:val="2A244762"/>
    <w:rsid w:val="2BA25784"/>
    <w:rsid w:val="2BE96596"/>
    <w:rsid w:val="2CD256E7"/>
    <w:rsid w:val="2CF851DC"/>
    <w:rsid w:val="2D2F0F51"/>
    <w:rsid w:val="2E255EB0"/>
    <w:rsid w:val="311A3CC6"/>
    <w:rsid w:val="315A0567"/>
    <w:rsid w:val="31972D77"/>
    <w:rsid w:val="319E66A5"/>
    <w:rsid w:val="32130E41"/>
    <w:rsid w:val="32EC51EE"/>
    <w:rsid w:val="339F0A8A"/>
    <w:rsid w:val="348D7B59"/>
    <w:rsid w:val="34D02CC7"/>
    <w:rsid w:val="363E2205"/>
    <w:rsid w:val="366C19BB"/>
    <w:rsid w:val="367E35BC"/>
    <w:rsid w:val="36BB37F1"/>
    <w:rsid w:val="37434218"/>
    <w:rsid w:val="387B75B6"/>
    <w:rsid w:val="38806B05"/>
    <w:rsid w:val="38995E18"/>
    <w:rsid w:val="38C52037"/>
    <w:rsid w:val="38D17A00"/>
    <w:rsid w:val="39216628"/>
    <w:rsid w:val="39C22F0B"/>
    <w:rsid w:val="39E11825"/>
    <w:rsid w:val="3BD3417B"/>
    <w:rsid w:val="3BEE0229"/>
    <w:rsid w:val="3C1F6635"/>
    <w:rsid w:val="3D7518CB"/>
    <w:rsid w:val="3EDC0B10"/>
    <w:rsid w:val="3F7D78FA"/>
    <w:rsid w:val="40327FD4"/>
    <w:rsid w:val="40C74241"/>
    <w:rsid w:val="419A7AA3"/>
    <w:rsid w:val="41EA4FEF"/>
    <w:rsid w:val="43827BD5"/>
    <w:rsid w:val="43D02ED8"/>
    <w:rsid w:val="45BE6EBE"/>
    <w:rsid w:val="47C3256A"/>
    <w:rsid w:val="47D129D6"/>
    <w:rsid w:val="4929025C"/>
    <w:rsid w:val="499248EA"/>
    <w:rsid w:val="4A477482"/>
    <w:rsid w:val="4D2B4E39"/>
    <w:rsid w:val="4E8D6300"/>
    <w:rsid w:val="4F670ABA"/>
    <w:rsid w:val="51865285"/>
    <w:rsid w:val="540017D9"/>
    <w:rsid w:val="54790692"/>
    <w:rsid w:val="54E044B8"/>
    <w:rsid w:val="54F93A6F"/>
    <w:rsid w:val="552655D2"/>
    <w:rsid w:val="5540169E"/>
    <w:rsid w:val="554747DA"/>
    <w:rsid w:val="55E77D6B"/>
    <w:rsid w:val="5652380B"/>
    <w:rsid w:val="566B4FA4"/>
    <w:rsid w:val="58AD1019"/>
    <w:rsid w:val="59244810"/>
    <w:rsid w:val="5980650D"/>
    <w:rsid w:val="5A22085E"/>
    <w:rsid w:val="5CE92481"/>
    <w:rsid w:val="5DBA0060"/>
    <w:rsid w:val="5E875E40"/>
    <w:rsid w:val="5EAA355F"/>
    <w:rsid w:val="5F2913F5"/>
    <w:rsid w:val="6033589D"/>
    <w:rsid w:val="6091091B"/>
    <w:rsid w:val="62101E8A"/>
    <w:rsid w:val="623F45F8"/>
    <w:rsid w:val="62D13935"/>
    <w:rsid w:val="6329551F"/>
    <w:rsid w:val="63F7386F"/>
    <w:rsid w:val="643F7A3F"/>
    <w:rsid w:val="64CA3934"/>
    <w:rsid w:val="65953340"/>
    <w:rsid w:val="670C5884"/>
    <w:rsid w:val="6744634E"/>
    <w:rsid w:val="68697A41"/>
    <w:rsid w:val="69891118"/>
    <w:rsid w:val="6BA9515F"/>
    <w:rsid w:val="6C061F00"/>
    <w:rsid w:val="6C63769A"/>
    <w:rsid w:val="6C8F3288"/>
    <w:rsid w:val="6D581AE6"/>
    <w:rsid w:val="6F9B389D"/>
    <w:rsid w:val="6FA9290C"/>
    <w:rsid w:val="71902C0D"/>
    <w:rsid w:val="737254F8"/>
    <w:rsid w:val="74213674"/>
    <w:rsid w:val="747548BF"/>
    <w:rsid w:val="749173C8"/>
    <w:rsid w:val="74C7103C"/>
    <w:rsid w:val="756D7EA7"/>
    <w:rsid w:val="76764AC8"/>
    <w:rsid w:val="76FF2D0F"/>
    <w:rsid w:val="77A85155"/>
    <w:rsid w:val="784205F2"/>
    <w:rsid w:val="791660EE"/>
    <w:rsid w:val="79702BA9"/>
    <w:rsid w:val="79733540"/>
    <w:rsid w:val="7B117CA4"/>
    <w:rsid w:val="7BE14791"/>
    <w:rsid w:val="7CB808C3"/>
    <w:rsid w:val="7D7C74FD"/>
    <w:rsid w:val="7E8E064F"/>
    <w:rsid w:val="7EB0669D"/>
    <w:rsid w:val="7EB10D93"/>
    <w:rsid w:val="7ED14F91"/>
    <w:rsid w:val="7ED5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43B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243BA5"/>
    <w:pPr>
      <w:ind w:firstLineChars="178" w:firstLine="489"/>
    </w:pPr>
    <w:rPr>
      <w:sz w:val="28"/>
      <w:szCs w:val="28"/>
    </w:rPr>
  </w:style>
  <w:style w:type="paragraph" w:styleId="a4">
    <w:name w:val="footer"/>
    <w:basedOn w:val="a"/>
    <w:link w:val="Char"/>
    <w:autoRedefine/>
    <w:qFormat/>
    <w:rsid w:val="00243BA5"/>
    <w:pPr>
      <w:tabs>
        <w:tab w:val="center" w:pos="4153"/>
        <w:tab w:val="right" w:pos="8306"/>
      </w:tabs>
      <w:snapToGrid w:val="0"/>
      <w:jc w:val="left"/>
    </w:pPr>
    <w:rPr>
      <w:sz w:val="18"/>
      <w:szCs w:val="18"/>
    </w:rPr>
  </w:style>
  <w:style w:type="paragraph" w:styleId="a5">
    <w:name w:val="header"/>
    <w:basedOn w:val="a"/>
    <w:link w:val="Char0"/>
    <w:autoRedefine/>
    <w:qFormat/>
    <w:rsid w:val="00243BA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43BA5"/>
    <w:pPr>
      <w:spacing w:before="100" w:beforeAutospacing="1" w:after="100" w:afterAutospacing="1"/>
      <w:jc w:val="left"/>
    </w:pPr>
    <w:rPr>
      <w:kern w:val="0"/>
      <w:sz w:val="24"/>
    </w:rPr>
  </w:style>
  <w:style w:type="paragraph" w:styleId="2">
    <w:name w:val="Body Text First Indent 2"/>
    <w:basedOn w:val="a3"/>
    <w:autoRedefine/>
    <w:qFormat/>
    <w:rsid w:val="00243BA5"/>
    <w:pPr>
      <w:ind w:firstLineChars="200" w:firstLine="420"/>
    </w:pPr>
  </w:style>
  <w:style w:type="character" w:styleId="a7">
    <w:name w:val="Emphasis"/>
    <w:basedOn w:val="a0"/>
    <w:autoRedefine/>
    <w:qFormat/>
    <w:rsid w:val="00243BA5"/>
    <w:rPr>
      <w:color w:val="CC0000"/>
    </w:rPr>
  </w:style>
  <w:style w:type="character" w:customStyle="1" w:styleId="Char0">
    <w:name w:val="页眉 Char"/>
    <w:basedOn w:val="a0"/>
    <w:link w:val="a5"/>
    <w:autoRedefine/>
    <w:qFormat/>
    <w:rsid w:val="00243BA5"/>
    <w:rPr>
      <w:rFonts w:ascii="Times New Roman" w:eastAsia="宋体" w:hAnsi="Times New Roman" w:cs="Times New Roman"/>
      <w:kern w:val="2"/>
      <w:sz w:val="18"/>
      <w:szCs w:val="18"/>
    </w:rPr>
  </w:style>
  <w:style w:type="character" w:customStyle="1" w:styleId="Char">
    <w:name w:val="页脚 Char"/>
    <w:basedOn w:val="a0"/>
    <w:link w:val="a4"/>
    <w:autoRedefine/>
    <w:qFormat/>
    <w:rsid w:val="00243BA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544</Words>
  <Characters>3104</Characters>
  <Application>Microsoft Office Word</Application>
  <DocSecurity>0</DocSecurity>
  <Lines>25</Lines>
  <Paragraphs>7</Paragraphs>
  <ScaleCrop>false</ScaleCrop>
  <Company>daohangxitong.com</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cp:lastPrinted>2024-05-15T02:37:00Z</cp:lastPrinted>
  <dcterms:created xsi:type="dcterms:W3CDTF">2016-09-05T00:27:00Z</dcterms:created>
  <dcterms:modified xsi:type="dcterms:W3CDTF">2025-04-24T08:05:00Z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08BAF79D1F9D49EDB6ADEA7CCE229D08_13</vt:lpwstr>
  </property>
  <property fmtid="{D5CDD505-2E9C-101B-9397-08002B2CF9AE}" pid="4" name="KSOTemplateDocerSaveRecord">
    <vt:lpwstr>eyJoZGlkIjoiOTQ5ZDMwMGJjOTg3NTRmOTQ3YjE0ODViODhkYmIxMjciLCJ1c2VySWQiOiI2MjUxNzE4NzgifQ==</vt:lpwstr>
  </property>
</Properties>
</file>