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666"/>
        <w:rPr>
          <w:rFonts w:hint="eastAsia"/>
          <w:color w:val="auto"/>
          <w:highlight w:val="none"/>
        </w:rPr>
      </w:pPr>
      <w:r>
        <w:rPr>
          <w:rFonts w:hint="eastAsia"/>
          <w:color w:val="auto"/>
          <w:highlight w:val="none"/>
        </w:rPr>
      </w:r>
      <w:r/>
    </w:p>
    <w:p>
      <w:pPr>
        <w:pStyle w:val="667"/>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rFonts w:hint="eastAsia" w:ascii="宋体" w:hAnsi="宋体" w:cs="宋体"/>
          <w:b/>
          <w:color w:val="auto"/>
          <w:sz w:val="30"/>
          <w:szCs w:val="30"/>
          <w:highlight w:val="none"/>
        </w:rPr>
      </w:pPr>
      <w:r>
        <w:rPr>
          <w:rFonts w:hint="eastAsia"/>
          <w:b/>
          <w:color w:val="auto"/>
          <w:sz w:val="30"/>
          <w:szCs w:val="30"/>
          <w:highlight w:val="none"/>
        </w:rPr>
        <w:t xml:space="preserve">项目名称：</w:t>
      </w:r>
      <w:r>
        <w:rPr>
          <w:rFonts w:hint="eastAsia" w:ascii="宋体" w:hAnsi="宋体" w:cs="宋体"/>
          <w:b/>
          <w:color w:val="auto"/>
          <w:sz w:val="30"/>
          <w:szCs w:val="30"/>
          <w:highlight w:val="none"/>
        </w:rPr>
        <w:t xml:space="preserve">江宁区2026年中小学学生课桌椅设备</w:t>
      </w:r>
      <w:r/>
    </w:p>
    <w:p>
      <w:pPr>
        <w:ind w:firstLine="1506"/>
        <w:rPr>
          <w:rFonts w:hint="eastAsia"/>
          <w:b/>
          <w:color w:val="auto"/>
          <w:sz w:val="30"/>
          <w:szCs w:val="30"/>
          <w:highlight w:val="none"/>
        </w:rPr>
      </w:pPr>
      <w:r>
        <w:rPr>
          <w:rFonts w:hint="eastAsia"/>
          <w:b/>
          <w:color w:val="auto"/>
          <w:sz w:val="30"/>
          <w:szCs w:val="30"/>
          <w:highlight w:val="none"/>
        </w:rPr>
        <w:t xml:space="preserve">项目编号：</w:t>
      </w:r>
      <w:r>
        <w:rPr>
          <w:rFonts w:hint="eastAsia" w:ascii="宋体" w:hAnsi="宋体" w:cs="宋体"/>
          <w:b/>
          <w:color w:val="auto"/>
          <w:sz w:val="30"/>
          <w:szCs w:val="30"/>
          <w:highlight w:val="none"/>
        </w:rPr>
        <w:t xml:space="preserve">JSZC-320115-JZCG-G2026-0023   </w:t>
      </w:r>
      <w:r>
        <w:rPr>
          <w:rFonts w:hint="eastAsia"/>
          <w:b/>
          <w:color w:val="auto"/>
          <w:sz w:val="30"/>
          <w:szCs w:val="30"/>
          <w:highlight w:val="none"/>
        </w:rPr>
        <w:t xml:space="preserve">            </w:t>
      </w:r>
      <w:r/>
    </w:p>
    <w:p>
      <w:pPr>
        <w:ind w:firstLine="3313"/>
        <w:rPr>
          <w:b/>
          <w:color w:val="auto"/>
          <w:sz w:val="30"/>
          <w:szCs w:val="30"/>
          <w:highlight w:val="none"/>
        </w:rPr>
      </w:pPr>
      <w:r>
        <w:rPr>
          <w:rFonts w:hint="eastAsia"/>
          <w:b/>
          <w:color w:val="auto"/>
          <w:sz w:val="30"/>
          <w:szCs w:val="30"/>
          <w:highlight w:val="none"/>
        </w:rPr>
        <w:t xml:space="preserve">（专门面向中小企业）  </w:t>
      </w:r>
      <w:bookmarkStart w:id="208" w:name="_GoBack"/>
      <w:r/>
      <w:bookmarkEnd w:id="208"/>
      <w:r/>
      <w:r/>
    </w:p>
    <w:p>
      <w:pPr>
        <w:jc w:val="center"/>
        <w:rPr>
          <w:rFonts w:hint="eastAsia"/>
          <w:b/>
          <w:color w:val="auto"/>
          <w:sz w:val="30"/>
          <w:szCs w:val="30"/>
          <w:highlight w:val="none"/>
        </w:rPr>
      </w:pPr>
      <w:r>
        <w:rPr>
          <w:rFonts w:hint="eastAsia"/>
          <w:b/>
          <w:color w:val="auto"/>
          <w:sz w:val="30"/>
          <w:szCs w:val="30"/>
          <w:highlight w:val="none"/>
        </w:rPr>
      </w:r>
      <w:r/>
    </w:p>
    <w:p>
      <w:pPr>
        <w:jc w:val="center"/>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667"/>
        <w:ind w:firstLine="0"/>
        <w:jc w:val="center"/>
        <w:rPr>
          <w:rFonts w:hint="eastAsia"/>
          <w:b/>
          <w:bCs/>
          <w:color w:val="auto"/>
          <w:sz w:val="32"/>
          <w:highlight w:val="none"/>
        </w:rPr>
      </w:pPr>
      <w:r>
        <w:rPr>
          <w:rFonts w:hint="eastAsia"/>
          <w:b/>
          <w:bCs/>
          <w:color w:val="auto"/>
          <w:sz w:val="32"/>
          <w:highlight w:val="none"/>
        </w:rPr>
        <w:t xml:space="preserve">南京市公共资源交易中心江宁分中心</w:t>
      </w:r>
      <w:r/>
    </w:p>
    <w:p>
      <w:pPr>
        <w:jc w:val="center"/>
        <w:rPr>
          <w:rFonts w:hint="eastAsia"/>
          <w:b/>
          <w:color w:val="auto"/>
          <w:sz w:val="32"/>
          <w:szCs w:val="32"/>
          <w:highlight w:val="none"/>
        </w:rPr>
      </w:pPr>
      <w:r>
        <w:rPr>
          <w:rFonts w:hint="eastAsia"/>
          <w:b/>
          <w:color w:val="auto"/>
          <w:sz w:val="32"/>
          <w:szCs w:val="32"/>
          <w:highlight w:val="none"/>
        </w:rPr>
        <w:t xml:space="preserve">2026年6月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p>
    <w:p>
      <w:pPr>
        <w:numPr>
          <w:ilvl w:val="0"/>
          <w:numId w:val="1"/>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s="宋体"/>
          <w:color w:val="auto"/>
          <w:sz w:val="24"/>
          <w:szCs w:val="24"/>
          <w:highlight w:val="none"/>
        </w:rPr>
        <w:t xml:space="preserve">南京市江宁区教育技术装备中心</w:t>
      </w:r>
      <w:r>
        <w:rPr>
          <w:rFonts w:hint="eastAsia" w:ascii="宋体" w:hAnsi="宋体"/>
          <w:color w:val="auto"/>
          <w:sz w:val="24"/>
          <w:szCs w:val="24"/>
          <w:highlight w:val="none"/>
        </w:rPr>
        <w:t xml:space="preserve">（采购单位）委托，南京市公共资源交易中心江宁分中心（以下简称“交易中心”）就</w:t>
      </w:r>
      <w:r>
        <w:rPr>
          <w:rFonts w:hint="eastAsia" w:ascii="宋体" w:hAnsi="宋体" w:cs="宋体"/>
          <w:color w:val="auto"/>
          <w:sz w:val="24"/>
          <w:szCs w:val="24"/>
          <w:highlight w:val="none"/>
        </w:rPr>
        <w:t xml:space="preserve">江宁区2026年中小学学生课桌椅设备</w:t>
      </w:r>
      <w:r>
        <w:rPr>
          <w:rFonts w:hint="eastAsia" w:ascii="宋体" w:hAnsi="宋体"/>
          <w:color w:val="auto"/>
          <w:sz w:val="24"/>
          <w:szCs w:val="24"/>
          <w:highlight w:val="none"/>
        </w:rPr>
        <w:t xml:space="preserve">（项目名称）项目进行公开招标采购，欢迎符合条件的供应商投标。</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s="宋体"/>
          <w:color w:val="auto"/>
          <w:sz w:val="24"/>
          <w:szCs w:val="24"/>
          <w:highlight w:val="none"/>
        </w:rPr>
        <w:t xml:space="preserve">JSZC-320115-JZCG-G2026-0023</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s="宋体"/>
          <w:color w:val="auto"/>
          <w:sz w:val="24"/>
          <w:szCs w:val="24"/>
          <w:highlight w:val="none"/>
        </w:rPr>
        <w:t xml:space="preserve">江宁区2026年中小学学生课桌椅设备</w:t>
      </w:r>
      <w:bookmarkEnd w:id="11"/>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3.预算金额：采购包1：73.5万元；采购包2：72.45万元；采购包3：71.75万元；采购包4：71.75万元；采购包5：71.05万元。</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4.最高限价：采购包1：71.4万元；采购包2：70.38万元；采购包3：69.7万元；采购包4：69.7万元；采购包5：69.02万元。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5.采购需求（简介）：根据多所中小学教学需求，配置相关课桌椅设备，满足学校的教育教学需要。（详细内容见本招标文件第四章）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rPr>
          <w:rFonts w:hint="eastAsia" w:ascii="宋体" w:hAnsi="宋体" w:cs="宋体"/>
          <w:color w:val="auto"/>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cs="宋体"/>
          <w:color w:val="auto"/>
          <w:sz w:val="24"/>
          <w:szCs w:val="24"/>
          <w:highlight w:val="none"/>
        </w:rPr>
        <w:t xml:space="preserve">（一）通用资格要求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w:t>
      </w:r>
      <w:r>
        <w:rPr>
          <w:rFonts w:hint="eastAsia" w:ascii="宋体" w:hAnsi="宋体"/>
          <w:sz w:val="24"/>
          <w:szCs w:val="24"/>
        </w:rPr>
        <w:t xml:space="preserve">落实政府采购政策需满足的资格要求：</w:t>
      </w:r>
      <w:r>
        <w:rPr>
          <w:rFonts w:hint="eastAsia" w:ascii="宋体" w:hAnsi="宋体"/>
          <w:b/>
          <w:bCs/>
          <w:color w:val="auto"/>
          <w:sz w:val="24"/>
          <w:szCs w:val="24"/>
          <w:highlight w:val="none"/>
          <w:lang w:val="zh-CN"/>
        </w:rPr>
        <w:t xml:space="preserve">本项目专门面向中小微企业采购，全部货物制造商应为中小微企业或监狱企业或残疾人福利性单位。（格式见第六章）</w:t>
      </w:r>
      <w:r/>
    </w:p>
    <w:p>
      <w:pPr>
        <w:ind w:firstLine="480"/>
        <w:jc w:val="left"/>
        <w:rPr>
          <w:rFonts w:hint="eastAsia" w:ascii="宋体" w:hAnsi="宋体" w:cs="宋体"/>
          <w:color w:val="auto"/>
          <w:sz w:val="24"/>
          <w:szCs w:val="24"/>
          <w:highlight w:val="none"/>
        </w:rPr>
      </w:pPr>
      <w:r>
        <w:rPr>
          <w:rFonts w:hint="eastAsia" w:ascii="宋体" w:hAnsi="宋体"/>
          <w:color w:val="auto"/>
          <w:sz w:val="24"/>
          <w:szCs w:val="24"/>
          <w:highlight w:val="none"/>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1.时间：自招标文件公告发布之日起。</w:t>
      </w:r>
      <w:r/>
    </w:p>
    <w:p>
      <w:pPr>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rPr>
          <w:rFonts w:hint="eastAsia" w:ascii="宋体" w:hAnsi="宋体"/>
          <w:bCs/>
          <w:color w:val="auto"/>
          <w:sz w:val="24"/>
          <w:szCs w:val="24"/>
          <w:highlight w:val="none"/>
          <w:u w:val="single"/>
        </w:rPr>
      </w:pPr>
      <w:r>
        <w:rPr>
          <w:rFonts w:hint="eastAsia" w:ascii="宋体" w:hAnsi="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9时30</w:t>
      </w:r>
      <w:r>
        <w:rPr>
          <w:rFonts w:hint="eastAsia" w:ascii="宋体" w:hAnsi="宋体" w:eastAsia="宋体" w:cs="宋体"/>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27" w:name="_Toc28359084"/>
      <w:r/>
      <w:bookmarkStart w:id="28" w:name="_Toc35393625"/>
      <w:r/>
      <w:bookmarkStart w:id="29" w:name="_Toc38985267"/>
      <w:r/>
      <w:bookmarkStart w:id="30" w:name="_Toc28359007"/>
      <w:r/>
      <w:bookmarkStart w:id="31" w:name="_Toc35393794"/>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tabs>
          <w:tab w:val="left" w:pos="900" w:leader="none"/>
        </w:tabs>
        <w:rPr>
          <w:rFonts w:hint="eastAsia" w:ascii="宋体" w:hAnsi="宋体"/>
          <w:bCs/>
          <w:color w:val="auto"/>
          <w:sz w:val="24"/>
          <w:szCs w:val="24"/>
          <w:highlight w:val="none"/>
        </w:rPr>
      </w:pPr>
      <w:r/>
      <w:bookmarkStart w:id="35" w:name="_Toc38985269"/>
      <w:r/>
      <w:bookmarkStart w:id="36" w:name="_Toc35393627"/>
      <w:r/>
      <w:bookmarkStart w:id="37" w:name="_Toc35393796"/>
      <w:r/>
      <w:bookmarkStart w:id="38" w:name="_Toc28359085"/>
      <w:r/>
      <w:bookmarkStart w:id="39" w:name="_Toc28359008"/>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w:t>
      </w:r>
      <w:r/>
    </w:p>
    <w:p>
      <w:pPr>
        <w:ind w:firstLine="480"/>
        <w:rPr>
          <w:color w:val="auto"/>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64"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color w:val="auto"/>
          <w:sz w:val="24"/>
          <w:highlight w:val="none"/>
        </w:rPr>
        <w:t xml:space="preserve">供应商对上述事项以外</w:t>
      </w:r>
      <w:r>
        <w:rPr>
          <w:rFonts w:hint="eastAsia" w:ascii="宋体" w:hAnsi="宋体"/>
          <w:color w:val="auto"/>
          <w:sz w:val="24"/>
          <w:highlight w:val="none"/>
          <w:lang w:val="zh-CN"/>
        </w:rPr>
        <w:t xml:space="preserve">的询问</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质疑向交易中心提出，由交易中心负责答复。</w:t>
      </w:r>
      <w:r/>
    </w:p>
    <w:p>
      <w:pPr>
        <w:ind w:firstLine="482"/>
        <w:spacing w:line="264" w:lineRule="auto"/>
        <w:rPr>
          <w:rFonts w:ascii="宋体" w:hAnsi="宋体"/>
          <w:color w:val="auto"/>
          <w:sz w:val="24"/>
          <w:highlight w:val="none"/>
        </w:rPr>
      </w:pPr>
      <w:r>
        <w:rPr>
          <w:rFonts w:hint="eastAsia" w:ascii="宋体" w:hAnsi="宋体"/>
          <w:b/>
          <w:bCs/>
          <w:color w:val="auto"/>
          <w:sz w:val="24"/>
          <w:highlight w:val="none"/>
        </w:rPr>
        <w:t xml:space="preserve">采购人《质疑函》接收人及联系方式为：南京市江宁区教育技术装备中心，联系地址：南京市江宁区东新北路16号，联系人：程月敏，联系电话：025-81036526。</w:t>
      </w:r>
      <w:r/>
    </w:p>
    <w:p>
      <w:pPr>
        <w:ind w:firstLine="48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rPr>
          <w:rFonts w:hint="eastAsia" w:ascii="宋体" w:hAnsi="宋体" w:cs="宋体"/>
          <w:b/>
          <w:bCs/>
          <w:color w:val="auto"/>
          <w:sz w:val="24"/>
          <w:szCs w:val="24"/>
          <w:highlight w:val="none"/>
          <w:lang w:bidi="zh-CN"/>
        </w:rPr>
      </w:pPr>
      <w:r>
        <w:rPr>
          <w:rFonts w:hint="eastAsia" w:ascii="宋体" w:hAnsi="宋体" w:cs="宋体"/>
          <w:b/>
          <w:bCs/>
          <w:color w:val="auto"/>
          <w:sz w:val="24"/>
          <w:szCs w:val="24"/>
          <w:highlight w:val="none"/>
          <w:lang w:bidi="zh-CN"/>
        </w:rPr>
        <w:t xml:space="preserve">供应商提出质疑应提交《质疑函》原件，且尽可能通过邮寄方式送达，交易中心和采购人不接受无运单的快件。</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名称：南京市江宁区教育技术装备中心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地址：南京市江宁区东新北路16号</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联系人：程月敏</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联系电话：025-81036526</w:t>
      </w:r>
      <w:r/>
    </w:p>
    <w:p>
      <w:pPr>
        <w:ind w:firstLine="480"/>
        <w:rPr>
          <w:rFonts w:hint="eastAsia" w:ascii="宋体" w:hAnsi="宋体"/>
          <w:color w:val="auto"/>
          <w:sz w:val="24"/>
          <w:szCs w:val="24"/>
          <w:highlight w:val="none"/>
        </w:rPr>
      </w:pPr>
      <w:r/>
      <w:bookmarkStart w:id="40" w:name="_Toc28359009"/>
      <w:r/>
      <w:bookmarkStart w:id="41" w:name="_Toc28359086"/>
      <w:r>
        <w:rPr>
          <w:rFonts w:hint="eastAsia" w:ascii="宋体" w:hAnsi="宋体"/>
          <w:color w:val="auto"/>
          <w:sz w:val="24"/>
          <w:szCs w:val="24"/>
          <w:highlight w:val="none"/>
        </w:rPr>
        <w:t xml:space="preserve">2.交易中心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址：南京市江宁区杨家圩路2号市民中心A区3楼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联系人：张舒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r>
        <w:rPr>
          <w:rFonts w:hint="eastAsia" w:ascii="宋体" w:hAnsi="宋体" w:cs="宋体"/>
          <w:color w:val="auto"/>
          <w:sz w:val="24"/>
          <w:szCs w:val="24"/>
          <w:highlight w:val="none"/>
        </w:rPr>
        <w:t xml:space="preserve">69613997</w:t>
      </w:r>
      <w:r>
        <w:rPr>
          <w:rFonts w:hint="eastAsia" w:ascii="宋体" w:hAnsi="宋体"/>
          <w:color w:val="auto"/>
          <w:sz w:val="24"/>
          <w:szCs w:val="24"/>
          <w:highlight w:val="none"/>
        </w:rPr>
        <w:t xml:space="preserve">  </w:t>
      </w:r>
      <w:bookmarkEnd w:id="40"/>
      <w:bookmarkEnd w:id="41"/>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ascii="宋体" w:hAnsi="宋体"/>
          <w:color w:val="auto"/>
          <w:sz w:val="24"/>
          <w:szCs w:val="24"/>
          <w:highlight w:val="none"/>
        </w:rPr>
        <w:br w:type="page" w:clear="all"/>
      </w:r>
      <w:bookmarkStart w:id="42" w:name="_Toc120614211"/>
      <w:r>
        <w:rPr>
          <w:rFonts w:hint="eastAsia" w:ascii="方正小标宋简体" w:hAnsi="方正小标宋简体" w:eastAsia="方正小标宋简体" w:cs="方正小标宋简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43"/>
      <w:r/>
      <w:bookmarkEnd w:id="44"/>
      <w:r/>
      <w:bookmarkEnd w:id="45"/>
      <w:r/>
      <w:bookmarkEnd w:id="46"/>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47" w:name="_Toc513029203"/>
      <w:r/>
      <w:bookmarkStart w:id="48" w:name="_Toc20823275"/>
      <w:r/>
      <w:bookmarkStart w:id="49" w:name="_Toc16938519"/>
      <w:r/>
      <w:bookmarkStart w:id="50" w:name="_Toc120614214"/>
      <w:r/>
      <w:bookmarkStart w:id="51" w:name="_Toc513029242"/>
      <w:r/>
      <w:bookmarkStart w:id="52" w:name="_Toc20823314"/>
      <w:r/>
      <w:bookmarkStart w:id="53" w:name="_Toc16938558"/>
      <w:r/>
      <w:bookmarkStart w:id="54" w:name="_Toc120614221"/>
      <w:r/>
      <w:bookmarkStart w:id="55" w:name="_Toc479757207"/>
      <w:r>
        <w:rPr>
          <w:rFonts w:hint="eastAsia" w:ascii="方正黑体_GBK" w:hAnsi="方正黑体_GBK" w:eastAsia="方正黑体_GBK" w:cs="方正黑体_GBK"/>
          <w:b w:val="0"/>
          <w:bCs w:val="0"/>
          <w:color w:val="auto"/>
          <w:sz w:val="30"/>
          <w:szCs w:val="30"/>
          <w:highlight w:val="none"/>
        </w:rPr>
        <w:t xml:space="preserve">一、总则</w:t>
      </w:r>
      <w:bookmarkEnd w:id="47"/>
      <w:r/>
      <w:bookmarkEnd w:id="48"/>
      <w:r/>
      <w:bookmarkEnd w:id="49"/>
      <w:r/>
      <w:bookmarkEnd w:id="50"/>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color w:val="auto"/>
          <w:highlight w:val="none"/>
        </w:rPr>
        <w:t xml:space="preserve">1</w:t>
      </w:r>
      <w:bookmarkEnd w:id="57"/>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招标方式</w:t>
      </w:r>
      <w:bookmarkEnd w:id="58"/>
      <w:r/>
      <w:bookmarkEnd w:id="59"/>
      <w:r/>
      <w:bookmarkEnd w:id="60"/>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61" w:name="_Toc20823277"/>
      <w:r/>
      <w:bookmarkStart w:id="62" w:name="_Toc16938521"/>
      <w:r/>
      <w:bookmarkStart w:id="63" w:name="_Toc513029205"/>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合格的投标人</w:t>
      </w:r>
      <w:bookmarkEnd w:id="61"/>
      <w:r/>
      <w:bookmarkEnd w:id="62"/>
      <w:r/>
      <w:bookmarkEnd w:id="63"/>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64" w:name="_Toc513029206"/>
      <w:r/>
      <w:bookmarkStart w:id="65" w:name="_Toc16938522"/>
      <w:r/>
      <w:bookmarkStart w:id="66" w:name="_Toc20823278"/>
      <w:r>
        <w:rPr>
          <w:rFonts w:hint="eastAsia" w:ascii="方正楷体_GBK" w:hAnsi="方正楷体_GBK" w:eastAsia="方正楷体_GBK" w:cs="方正楷体_GBK"/>
          <w:color w:val="auto"/>
          <w:highlight w:val="none"/>
        </w:rPr>
        <w:t xml:space="preserve">3</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适用法律</w:t>
      </w:r>
      <w:bookmarkEnd w:id="64"/>
      <w:r/>
      <w:bookmarkEnd w:id="65"/>
      <w:r/>
      <w:bookmarkEnd w:id="66"/>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67" w:name="_Toc20823279"/>
      <w:r/>
      <w:bookmarkStart w:id="68" w:name="_Toc16938523"/>
      <w:r/>
      <w:bookmarkStart w:id="69" w:name="_Toc513029207"/>
      <w:r/>
      <w:bookmarkStart w:id="70" w:name="_Toc462564067"/>
      <w:r>
        <w:rPr>
          <w:rFonts w:hint="eastAsia" w:ascii="方正楷体_GBK" w:hAnsi="方正楷体_GBK" w:eastAsia="方正楷体_GBK" w:cs="方正楷体_GBK"/>
          <w:color w:val="auto"/>
          <w:highlight w:val="none"/>
        </w:rPr>
        <w:t xml:space="preserve">4</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投标费用</w:t>
      </w:r>
      <w:bookmarkEnd w:id="67"/>
      <w:r/>
      <w:bookmarkEnd w:id="68"/>
      <w:r/>
      <w:bookmarkEnd w:id="69"/>
      <w:r/>
      <w:bookmarkEnd w:id="70"/>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1"/>
      <w:r/>
      <w:bookmarkEnd w:id="72"/>
      <w:r/>
      <w:bookmarkEnd w:id="73"/>
      <w:r/>
      <w:bookmarkEnd w:id="74"/>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color w:val="auto"/>
          <w:highlight w:val="none"/>
        </w:rPr>
        <w:t xml:space="preserve">6</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招标文件构成</w:t>
      </w:r>
      <w:bookmarkEnd w:id="75"/>
      <w:r/>
      <w:bookmarkEnd w:id="76"/>
      <w:r/>
      <w:bookmarkEnd w:id="77"/>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78" w:name="_Toc16938527"/>
      <w:r/>
      <w:bookmarkStart w:id="79" w:name="_Toc20823283"/>
      <w:r/>
      <w:bookmarkStart w:id="80" w:name="_Toc513029211"/>
      <w:r/>
      <w:bookmarkStart w:id="81" w:name="_Toc462564070"/>
      <w:r>
        <w:rPr>
          <w:rFonts w:hint="eastAsia" w:ascii="方正楷体_GBK" w:hAnsi="方正楷体_GBK" w:eastAsia="方正楷体_GBK" w:cs="方正楷体_GBK"/>
          <w:color w:val="auto"/>
          <w:highlight w:val="none"/>
        </w:rPr>
        <w:t xml:space="preserve">7</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招标文件的澄清</w:t>
      </w:r>
      <w:bookmarkEnd w:id="78"/>
      <w:r/>
      <w:bookmarkEnd w:id="79"/>
      <w:r/>
      <w:bookmarkEnd w:id="80"/>
      <w:r/>
      <w:bookmarkEnd w:id="81"/>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82" w:name="_Toc513029212"/>
      <w:r/>
      <w:bookmarkStart w:id="83" w:name="_Toc462564071"/>
      <w:r/>
      <w:bookmarkStart w:id="84" w:name="_Toc20823284"/>
      <w:r/>
      <w:bookmarkStart w:id="85" w:name="_Toc16938528"/>
      <w:r>
        <w:rPr>
          <w:rFonts w:hint="eastAsia" w:ascii="方正楷体_GBK" w:hAnsi="方正楷体_GBK" w:eastAsia="方正楷体_GBK" w:cs="方正楷体_GBK"/>
          <w:color w:val="auto"/>
          <w:highlight w:val="none"/>
        </w:rPr>
        <w:t xml:space="preserve">8</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招标文件的修改</w:t>
      </w:r>
      <w:bookmarkEnd w:id="82"/>
      <w:r/>
      <w:bookmarkEnd w:id="83"/>
      <w:r/>
      <w:bookmarkEnd w:id="84"/>
      <w:r/>
      <w:bookmarkEnd w:id="85"/>
      <w:r/>
      <w:r/>
    </w:p>
    <w:p>
      <w:pPr>
        <w:ind w:firstLine="420"/>
        <w:rPr>
          <w:rFonts w:hint="eastAsia" w:ascii="宋体" w:hAnsi="宋体"/>
          <w:color w:val="auto"/>
          <w:sz w:val="24"/>
          <w:highlight w:val="none"/>
        </w:rPr>
      </w:pPr>
      <w:r/>
      <w:bookmarkStart w:id="86" w:name="_Toc513029213"/>
      <w:r/>
      <w:bookmarkStart w:id="87" w:name="_Toc462564072"/>
      <w:r/>
      <w:bookmarkStart w:id="88" w:name="_Toc16938529"/>
      <w:r/>
      <w:bookmarkStart w:id="89" w:name="_Toc120614216"/>
      <w:r/>
      <w:bookmarkStart w:id="90" w:name="_Toc20823285"/>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6"/>
      <w:r/>
      <w:bookmarkEnd w:id="87"/>
      <w:r/>
      <w:bookmarkEnd w:id="88"/>
      <w:r/>
      <w:bookmarkEnd w:id="89"/>
      <w:r/>
      <w:bookmarkEnd w:id="90"/>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投标文件的语言及度量衡单位</w:t>
      </w:r>
      <w:bookmarkEnd w:id="91"/>
      <w:r/>
      <w:bookmarkEnd w:id="92"/>
      <w:r/>
      <w:bookmarkEnd w:id="93"/>
      <w:r/>
      <w:bookmarkEnd w:id="94"/>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color w:val="auto"/>
          <w:highlight w:val="none"/>
        </w:rPr>
        <w:t xml:space="preserve">10</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投标文件构成</w:t>
      </w:r>
      <w:bookmarkEnd w:id="95"/>
      <w:r/>
      <w:bookmarkEnd w:id="96"/>
      <w:r/>
      <w:bookmarkEnd w:id="97"/>
      <w:r/>
      <w:bookmarkEnd w:id="98"/>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99" w:name="_Hlt26954838"/>
      <w:r/>
      <w:bookmarkEnd w:id="99"/>
      <w:r/>
      <w:bookmarkStart w:id="100" w:name="_Hlt26670360"/>
      <w:r/>
      <w:bookmarkEnd w:id="100"/>
      <w:r/>
      <w:bookmarkStart w:id="101" w:name="_Hlt26668975"/>
      <w:r/>
      <w:bookmarkEnd w:id="101"/>
      <w:r/>
      <w:bookmarkStart w:id="102" w:name="_Toc14577357"/>
      <w:r/>
      <w:bookmarkStart w:id="103" w:name="_Toc49090509"/>
      <w:r/>
      <w:bookmarkStart w:id="104" w:name="_Toc513029219"/>
      <w:r/>
      <w:bookmarkStart w:id="105" w:name="_Toc49090507"/>
      <w:r/>
      <w:bookmarkStart w:id="106" w:name="_Toc14577354"/>
      <w:r/>
      <w:bookmarkStart w:id="107" w:name="_Toc513029216"/>
      <w:r>
        <w:rPr>
          <w:rFonts w:hint="eastAsia" w:ascii="方正楷体_GBK" w:hAnsi="方正楷体_GBK" w:eastAsia="方正楷体_GBK" w:cs="方正楷体_GBK"/>
          <w:color w:val="auto"/>
          <w:highlight w:val="none"/>
        </w:rPr>
        <w:t xml:space="preserve">11</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证明投标人及投标标的符合招标文件规定的文件</w:t>
      </w:r>
      <w:bookmarkEnd w:id="102"/>
      <w:r/>
      <w:bookmarkEnd w:id="103"/>
      <w:r/>
      <w:bookmarkEnd w:id="104"/>
      <w:r/>
      <w:bookmarkEnd w:id="105"/>
      <w:bookmarkEnd w:id="106"/>
      <w:bookmarkEnd w:id="107"/>
      <w:r/>
    </w:p>
    <w:p>
      <w:pPr>
        <w:ind w:firstLine="420"/>
        <w:rPr>
          <w:rFonts w:hint="eastAsia" w:ascii="宋体" w:hAnsi="宋体"/>
          <w:color w:val="auto"/>
          <w:sz w:val="24"/>
          <w:highlight w:val="none"/>
        </w:rPr>
      </w:pPr>
      <w:r/>
      <w:bookmarkStart w:id="108" w:name="_Toc14577355"/>
      <w:r/>
      <w:bookmarkStart w:id="109"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50"/>
        <w:ind w:firstLine="420"/>
        <w:spacing w:before="0" w:after="0" w:line="240" w:lineRule="auto"/>
        <w:rPr>
          <w:rFonts w:hint="eastAsia" w:ascii="方正楷体_GBK" w:hAnsi="方正楷体_GBK" w:eastAsia="方正楷体_GBK" w:cs="方正楷体_GBK"/>
          <w:color w:val="auto"/>
          <w:highlight w:val="none"/>
          <w:lang w:eastAsia="zh-CN"/>
        </w:rPr>
      </w:pPr>
      <w:r>
        <w:rPr>
          <w:rFonts w:hint="eastAsia" w:ascii="方正楷体_GBK" w:hAnsi="方正楷体_GBK" w:eastAsia="方正楷体_GBK" w:cs="方正楷体_GBK"/>
          <w:color w:val="auto"/>
          <w:highlight w:val="none"/>
        </w:rPr>
        <w:t xml:space="preserve">12</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投标分项报价</w:t>
      </w:r>
      <w:bookmarkEnd w:id="108"/>
      <w:r/>
      <w:bookmarkStart w:id="110" w:name="_Hlt26670373"/>
      <w:r/>
      <w:bookmarkEnd w:id="110"/>
      <w:r>
        <w:rPr>
          <w:rFonts w:hint="eastAsia" w:ascii="方正楷体_GBK" w:hAnsi="方正楷体_GBK" w:eastAsia="方正楷体_GBK" w:cs="方正楷体_GBK"/>
          <w:color w:val="auto"/>
          <w:highlight w:val="none"/>
        </w:rPr>
        <w:t xml:space="preserve">表</w:t>
      </w:r>
      <w:bookmarkEnd w:id="109"/>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1" w:name="_Hlt26954840"/>
      <w:r/>
      <w:bookmarkEnd w:id="111"/>
      <w:r>
        <w:rPr>
          <w:rFonts w:hint="eastAsia" w:ascii="宋体" w:hAnsi="宋体"/>
          <w:color w:val="auto"/>
          <w:sz w:val="24"/>
          <w:highlight w:val="none"/>
        </w:rPr>
        <w:t xml:space="preserve">标人应按照招标文件规定格式填报投标分项报价表</w:t>
      </w:r>
      <w:bookmarkStart w:id="112" w:name="_Hlt26670399"/>
      <w:r/>
      <w:bookmarkEnd w:id="112"/>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13" w:name="_Hlt26668983"/>
      <w:r/>
      <w:bookmarkEnd w:id="113"/>
      <w:r/>
      <w:bookmarkStart w:id="114" w:name="_Hlt26954846"/>
      <w:r/>
      <w:bookmarkEnd w:id="114"/>
      <w:r/>
      <w:bookmarkStart w:id="115" w:name="_Hlt26670425"/>
      <w:r/>
      <w:bookmarkEnd w:id="115"/>
      <w:r/>
      <w:bookmarkStart w:id="116" w:name="_Hlt26954731"/>
      <w:r/>
      <w:bookmarkEnd w:id="116"/>
      <w:r/>
      <w:bookmarkStart w:id="117" w:name="_Hlt26670482"/>
      <w:r/>
      <w:bookmarkEnd w:id="117"/>
      <w:r/>
      <w:bookmarkStart w:id="118" w:name="_Hlt26954842"/>
      <w:r/>
      <w:bookmarkEnd w:id="118"/>
      <w:r/>
      <w:bookmarkStart w:id="119" w:name="_Hlt26670403"/>
      <w:r/>
      <w:bookmarkEnd w:id="119"/>
      <w:r/>
      <w:bookmarkStart w:id="120" w:name="_Hlt26954848"/>
      <w:r/>
      <w:bookmarkEnd w:id="120"/>
      <w:r/>
      <w:bookmarkStart w:id="121" w:name="_Hlt26954844"/>
      <w:r/>
      <w:bookmarkEnd w:id="121"/>
      <w:r/>
      <w:bookmarkStart w:id="122" w:name="_Hlt26670486"/>
      <w:r/>
      <w:bookmarkEnd w:id="122"/>
      <w:r>
        <w:rPr>
          <w:rFonts w:hint="eastAsia" w:ascii="方正楷体_GBK" w:hAnsi="方正楷体_GBK" w:eastAsia="方正楷体_GBK" w:cs="方正楷体_GBK"/>
          <w:color w:val="auto"/>
          <w:highlight w:val="none"/>
        </w:rPr>
        <w:t xml:space="preserve">13</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23" w:name="_Toc14577359"/>
      <w:r/>
      <w:bookmarkStart w:id="124" w:name="_Toc49090510"/>
      <w:r>
        <w:rPr>
          <w:rFonts w:hint="eastAsia" w:ascii="方正楷体_GBK" w:hAnsi="方正楷体_GBK" w:eastAsia="方正楷体_GBK" w:cs="方正楷体_GBK"/>
          <w:color w:val="auto"/>
          <w:highlight w:val="none"/>
        </w:rPr>
        <w:t xml:space="preserve">14</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投标函和开标一览表</w:t>
      </w:r>
      <w:r>
        <w:rPr>
          <w:rFonts w:hint="eastAsia" w:ascii="方正楷体_GBK" w:hAnsi="方正楷体_GBK" w:eastAsia="方正楷体_GBK" w:cs="方正楷体_GBK"/>
          <w:color w:val="auto"/>
          <w:highlight w:val="none"/>
          <w:lang w:val="en-US" w:eastAsia="zh-CN"/>
        </w:rPr>
        <w:t xml:space="preserve">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3"/>
      <w:bookmarkEnd w:id="124"/>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auto"/>
          <w:highlight w:val="none"/>
        </w:rPr>
        <w:t xml:space="preserve">15</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投标有效期</w:t>
      </w:r>
      <w:bookmarkEnd w:id="128"/>
      <w:r/>
      <w:bookmarkEnd w:id="129"/>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30" w:name="_Hlt26954852"/>
      <w:r/>
      <w:bookmarkEnd w:id="130"/>
      <w:r/>
      <w:bookmarkStart w:id="131" w:name="_Hlt26954739"/>
      <w:r/>
      <w:bookmarkEnd w:id="131"/>
      <w:r/>
      <w:bookmarkStart w:id="132" w:name="_Toc120614217"/>
      <w:r/>
      <w:bookmarkStart w:id="133" w:name="_Toc513029224"/>
      <w:r/>
      <w:bookmarkStart w:id="134" w:name="_Toc20823296"/>
      <w:r/>
      <w:bookmarkStart w:id="135" w:name="_Toc16938540"/>
      <w:r>
        <w:rPr>
          <w:rFonts w:hint="eastAsia" w:ascii="方正黑体_GBK" w:hAnsi="方正黑体_GBK" w:eastAsia="方正黑体_GBK" w:cs="方正黑体_GBK"/>
          <w:b w:val="0"/>
          <w:bCs w:val="0"/>
          <w:color w:val="auto"/>
          <w:sz w:val="30"/>
          <w:szCs w:val="30"/>
          <w:highlight w:val="none"/>
        </w:rPr>
        <w:t xml:space="preserve">四、投标文件的递交</w:t>
      </w:r>
      <w:bookmarkEnd w:id="132"/>
      <w:r/>
      <w:bookmarkEnd w:id="133"/>
      <w:r/>
      <w:bookmarkEnd w:id="134"/>
      <w:r/>
      <w:bookmarkEnd w:id="135"/>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color w:val="auto"/>
          <w:highlight w:val="none"/>
        </w:rPr>
        <w:t xml:space="preserve">17</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投标文件</w:t>
      </w:r>
      <w:bookmarkEnd w:id="136"/>
      <w:r/>
      <w:bookmarkEnd w:id="137"/>
      <w:r/>
      <w:bookmarkEnd w:id="138"/>
      <w:r/>
      <w:bookmarkEnd w:id="139"/>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bookmarkEnd w:id="140"/>
      <w:bookmarkEnd w:id="141"/>
      <w:bookmarkEnd w:id="142"/>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43" w:name="_Toc16938543"/>
      <w:r/>
      <w:bookmarkStart w:id="144" w:name="_Toc513029227"/>
      <w:r/>
      <w:bookmarkStart w:id="145" w:name="_Toc20823299"/>
      <w:r>
        <w:rPr>
          <w:rFonts w:hint="eastAsia" w:ascii="方正楷体_GBK" w:hAnsi="方正楷体_GBK" w:eastAsia="方正楷体_GBK" w:cs="方正楷体_GBK"/>
          <w:color w:val="auto"/>
          <w:highlight w:val="none"/>
        </w:rPr>
        <w:t xml:space="preserve">1</w:t>
      </w:r>
      <w:r>
        <w:rPr>
          <w:rFonts w:hint="eastAsia" w:ascii="方正楷体_GBK" w:hAnsi="方正楷体_GBK" w:eastAsia="方正楷体_GBK" w:cs="方正楷体_GBK"/>
          <w:color w:val="auto"/>
          <w:highlight w:val="none"/>
          <w:lang w:eastAsia="zh-CN"/>
        </w:rPr>
        <w:t xml:space="preserve">8</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投标文件</w:t>
      </w:r>
      <w:bookmarkEnd w:id="143"/>
      <w:r/>
      <w:bookmarkEnd w:id="144"/>
      <w:r/>
      <w:bookmarkEnd w:id="145"/>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46" w:name="_Toc20823300"/>
      <w:r/>
      <w:bookmarkStart w:id="147" w:name="_Toc16938544"/>
      <w:r/>
      <w:bookmarkStart w:id="148" w:name="_Toc513029228"/>
      <w:r>
        <w:rPr>
          <w:rFonts w:hint="eastAsia" w:ascii="方正楷体_GBK" w:hAnsi="方正楷体_GBK" w:eastAsia="方正楷体_GBK" w:cs="方正楷体_GBK"/>
          <w:color w:val="auto"/>
          <w:highlight w:val="none"/>
          <w:lang w:eastAsia="zh-CN"/>
        </w:rPr>
        <w:t xml:space="preserve">1</w:t>
      </w:r>
      <w:r>
        <w:rPr>
          <w:rFonts w:hint="eastAsia" w:ascii="方正楷体_GBK" w:hAnsi="方正楷体_GBK" w:eastAsia="方正楷体_GBK" w:cs="方正楷体_GBK"/>
          <w:color w:val="auto"/>
          <w:highlight w:val="none"/>
          <w:lang w:val="en-US" w:eastAsia="zh-CN"/>
        </w:rPr>
        <w:t xml:space="preserve">9.</w:t>
      </w:r>
      <w:r>
        <w:rPr>
          <w:rFonts w:hint="eastAsia" w:ascii="方正楷体_GBK" w:hAnsi="方正楷体_GBK" w:eastAsia="方正楷体_GBK" w:cs="方正楷体_GBK"/>
          <w:color w:val="auto"/>
          <w:highlight w:val="none"/>
        </w:rPr>
        <w:t xml:space="preserve">投标文件的撤回和修改</w:t>
      </w:r>
      <w:bookmarkEnd w:id="146"/>
      <w:r/>
      <w:bookmarkEnd w:id="147"/>
      <w:r/>
      <w:bookmarkEnd w:id="148"/>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513029229"/>
      <w:r/>
      <w:bookmarkStart w:id="152" w:name="_Toc20823301"/>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9"/>
      <w:r/>
      <w:bookmarkEnd w:id="150"/>
      <w:r/>
      <w:bookmarkEnd w:id="151"/>
      <w:r/>
      <w:bookmarkEnd w:id="152"/>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53" w:name="_Toc20823302"/>
      <w:r/>
      <w:bookmarkStart w:id="154" w:name="_Toc513029230"/>
      <w:r/>
      <w:bookmarkStart w:id="155" w:name="_Toc16938546"/>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eastAsia="zh-CN"/>
        </w:rPr>
        <w:t xml:space="preserve">0</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开标</w:t>
      </w:r>
      <w:bookmarkEnd w:id="153"/>
      <w:r/>
      <w:bookmarkEnd w:id="154"/>
      <w:r/>
      <w:bookmarkEnd w:id="155"/>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56" w:name="_Toc16938547"/>
      <w:r/>
      <w:bookmarkStart w:id="157" w:name="_Toc513029231"/>
      <w:r/>
      <w:bookmarkStart w:id="158" w:name="_Toc20823303"/>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eastAsia="zh-CN"/>
        </w:rPr>
        <w:t xml:space="preserve">1</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eastAsia="zh-CN"/>
        </w:rPr>
        <w:t xml:space="preserve">2</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评标过程的保密与公正</w:t>
      </w:r>
      <w:bookmarkEnd w:id="156"/>
      <w:bookmarkEnd w:id="157"/>
      <w:bookmarkEnd w:id="158"/>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59" w:name="_Toc16938548"/>
      <w:r/>
      <w:bookmarkStart w:id="160" w:name="_Toc20823304"/>
      <w:r/>
      <w:bookmarkStart w:id="161" w:name="_Toc513029232"/>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eastAsia="zh-CN"/>
        </w:rPr>
        <w:t xml:space="preserve">3</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投标文件的澄清</w:t>
      </w:r>
      <w:bookmarkEnd w:id="159"/>
      <w:r/>
      <w:bookmarkEnd w:id="160"/>
      <w:r/>
      <w:bookmarkEnd w:id="16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50"/>
        <w:ind w:firstLine="420"/>
        <w:spacing w:before="0" w:after="0" w:line="240" w:lineRule="auto"/>
        <w:rPr>
          <w:rFonts w:hint="eastAsia" w:ascii="方正楷体_GBK" w:hAnsi="方正楷体_GBK" w:eastAsia="方正楷体_GBK" w:cs="方正楷体_GBK"/>
          <w:color w:val="auto"/>
          <w:highlight w:val="none"/>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val="en-US" w:eastAsia="zh-CN"/>
        </w:rPr>
        <w:t xml:space="preserve">4.</w:t>
      </w:r>
      <w:r>
        <w:rPr>
          <w:rFonts w:hint="eastAsia" w:ascii="方正楷体_GBK" w:hAnsi="方正楷体_GBK" w:eastAsia="方正楷体_GBK" w:cs="方正楷体_GBK"/>
          <w:color w:val="auto"/>
          <w:highlight w:val="none"/>
        </w:rPr>
        <w:t xml:space="preserve">投标文件的</w:t>
      </w:r>
      <w:bookmarkEnd w:id="162"/>
      <w:r/>
      <w:bookmarkEnd w:id="163"/>
      <w:r/>
      <w:bookmarkEnd w:id="164"/>
      <w:r>
        <w:rPr>
          <w:rFonts w:hint="eastAsia" w:ascii="方正楷体_GBK" w:hAnsi="方正楷体_GBK" w:eastAsia="方正楷体_GBK" w:cs="方正楷体_GBK"/>
          <w:color w:val="auto"/>
          <w:highlight w:val="none"/>
          <w:lang w:eastAsia="zh-CN"/>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5" w:name="_Toc16938550"/>
      <w:r/>
      <w:bookmarkStart w:id="166" w:name="_Toc513029234"/>
      <w:r/>
      <w:bookmarkStart w:id="167"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异常低价审查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u w:val="single"/>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45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45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auto"/>
          <w:sz w:val="24"/>
          <w:highlight w:val="none"/>
          <w:lang w:val="zh-CN"/>
        </w:rPr>
        <w:t xml:space="preserve">供应商已随投标文件一并提交相关书面说明及必要的证明材料的，在评标现场可不再重复提交</w:t>
      </w:r>
      <w:bookmarkEnd w:id="168"/>
      <w:r>
        <w:rPr>
          <w:rFonts w:hint="eastAsia" w:ascii="宋体" w:hAnsi="宋体"/>
          <w:color w:val="auto"/>
          <w:sz w:val="24"/>
          <w:highlight w:val="none"/>
          <w:lang w:val="zh-CN"/>
        </w:rPr>
        <w:t xml:space="preserve">。</w:t>
      </w:r>
      <w:r/>
    </w:p>
    <w:p>
      <w:pPr>
        <w:ind w:firstLine="420"/>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5"/>
      <w:r/>
      <w:bookmarkEnd w:id="166"/>
      <w:r/>
      <w:bookmarkEnd w:id="167"/>
      <w:r>
        <w:rPr>
          <w:rFonts w:hint="eastAsia" w:ascii="方正楷体_GBK" w:hAnsi="方正楷体_GBK" w:eastAsia="方正楷体_GBK" w:cs="方正楷体_GBK"/>
          <w:color w:val="auto"/>
          <w:highlight w:val="none"/>
          <w:lang w:eastAsia="zh-CN"/>
        </w:rPr>
        <w:t xml:space="preserve">5</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无效投标和废标</w:t>
      </w:r>
      <w:r/>
    </w:p>
    <w:p>
      <w:pPr>
        <w:ind w:firstLine="420"/>
        <w:rPr>
          <w:rFonts w:hint="eastAsia" w:ascii="宋体" w:hAnsi="宋体"/>
          <w:color w:val="auto"/>
          <w:sz w:val="24"/>
          <w:highlight w:val="none"/>
          <w:lang w:val="zh-CN"/>
        </w:rPr>
      </w:pPr>
      <w:r/>
      <w:bookmarkStart w:id="169" w:name="_Toc20823307"/>
      <w:r/>
      <w:bookmarkStart w:id="170" w:name="_Toc513029235"/>
      <w:r/>
      <w:bookmarkStart w:id="171" w:name="_Toc16938551"/>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iCs/>
          <w:color w:val="auto"/>
          <w:sz w:val="24"/>
          <w:highlight w:val="none"/>
          <w:lang w:val="zh-CN"/>
        </w:rPr>
        <w:t xml:space="preserve">本文件中斜体且有下划线部分，</w:t>
      </w:r>
      <w:r>
        <w:rPr>
          <w:rFonts w:hint="eastAsia" w:ascii="宋体" w:hAnsi="宋体"/>
          <w:b/>
          <w:bCs/>
          <w:color w:val="auto"/>
          <w:sz w:val="24"/>
          <w:highlight w:val="none"/>
          <w:lang w:val="zh-CN"/>
        </w:rPr>
        <w:t xml:space="preserve">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szCs w:val="21"/>
          <w:highlight w:val="none"/>
        </w:rPr>
        <w:t xml:space="preserve">按照本招标文件规定对投标人进行异常低价审查后，认为投标人不能证明其报价合理性的。</w:t>
      </w:r>
      <w:r/>
    </w:p>
    <w:p>
      <w:pPr>
        <w:ind w:firstLine="420"/>
        <w:rPr>
          <w:rFonts w:hint="eastAsia" w:ascii="宋体" w:hAnsi="宋体"/>
          <w:b/>
          <w:bCs/>
          <w:color w:val="auto"/>
          <w:sz w:val="24"/>
          <w:szCs w:val="21"/>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.1.11</w:t>
      </w:r>
      <w:r>
        <w:rPr>
          <w:rFonts w:hint="eastAsia" w:ascii="宋体" w:hAnsi="宋体"/>
          <w:color w:val="auto"/>
          <w:sz w:val="24"/>
          <w:highlight w:val="none"/>
        </w:rPr>
        <w:t xml:space="preserve"> </w:t>
      </w:r>
      <w:r>
        <w:rPr>
          <w:rFonts w:hint="eastAsia" w:ascii="宋体" w:hAnsi="宋体"/>
          <w:color w:val="auto"/>
          <w:sz w:val="24"/>
          <w:szCs w:val="21"/>
          <w:highlight w:val="none"/>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w:t>
      </w:r>
      <w:r>
        <w:rPr>
          <w:rFonts w:hint="eastAsia" w:ascii="宋体" w:hAnsi="宋体"/>
          <w:color w:val="auto"/>
          <w:sz w:val="24"/>
          <w:highlight w:val="none"/>
        </w:rPr>
        <w:t xml:space="preserve">资格</w:t>
      </w:r>
      <w:r>
        <w:rPr>
          <w:rFonts w:hint="eastAsia" w:ascii="宋体" w:hAnsi="宋体"/>
          <w:color w:val="auto"/>
          <w:sz w:val="24"/>
          <w:highlight w:val="none"/>
          <w:lang w:val="zh-CN"/>
        </w:rPr>
        <w:t xml:space="preserve">条件的供应商或者对招标文件作</w:t>
      </w:r>
      <w:r>
        <w:rPr>
          <w:rFonts w:hint="eastAsia" w:ascii="宋体" w:hAnsi="宋体"/>
          <w:color w:val="auto"/>
          <w:sz w:val="24"/>
          <w:highlight w:val="none"/>
        </w:rPr>
        <w:t xml:space="preserve">出</w:t>
      </w:r>
      <w:r>
        <w:rPr>
          <w:rFonts w:hint="eastAsia" w:ascii="宋体" w:hAnsi="宋体"/>
          <w:color w:val="auto"/>
          <w:sz w:val="24"/>
          <w:highlight w:val="none"/>
          <w:lang w:val="zh-CN"/>
        </w:rPr>
        <w:t xml:space="preserve">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应对</w:t>
      </w:r>
      <w:r>
        <w:rPr>
          <w:rFonts w:hint="eastAsia" w:ascii="宋体" w:hAnsi="宋体"/>
          <w:b/>
          <w:bCs/>
          <w:color w:val="auto"/>
          <w:sz w:val="24"/>
          <w:highlight w:val="none"/>
          <w:lang w:val="zh-CN"/>
        </w:rPr>
        <w:t xml:space="preserve">招标文件是否存在不合理条款</w:t>
      </w:r>
      <w:r>
        <w:rPr>
          <w:rFonts w:hint="eastAsia" w:ascii="宋体" w:hAnsi="宋体"/>
          <w:b/>
          <w:bCs/>
          <w:color w:val="auto"/>
          <w:sz w:val="24"/>
          <w:highlight w:val="none"/>
        </w:rPr>
        <w:t xml:space="preserve">进行论证，并在评审报告中写明</w:t>
      </w:r>
      <w:r>
        <w:rPr>
          <w:rFonts w:hint="eastAsia" w:ascii="宋体" w:hAnsi="宋体"/>
          <w:b/>
          <w:bCs/>
          <w:color w:val="auto"/>
          <w:sz w:val="24"/>
          <w:highlight w:val="none"/>
          <w:lang w:val="zh-CN"/>
        </w:rPr>
        <w:t xml:space="preserve">论证意见。</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2" w:name="_Toc120614219"/>
      <w:r>
        <w:rPr>
          <w:rFonts w:hint="eastAsia" w:ascii="方正黑体_GBK" w:hAnsi="方正黑体_GBK" w:eastAsia="方正黑体_GBK" w:cs="方正黑体_GBK"/>
          <w:b w:val="0"/>
          <w:bCs w:val="0"/>
          <w:color w:val="auto"/>
          <w:sz w:val="30"/>
          <w:szCs w:val="30"/>
          <w:highlight w:val="none"/>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highlight w:val="none"/>
        </w:rPr>
        <w:t xml:space="preserve">定标</w:t>
      </w:r>
      <w:bookmarkEnd w:id="172"/>
      <w:r/>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73" w:name="_Toc513029238"/>
      <w:r/>
      <w:bookmarkStart w:id="174" w:name="_Toc20823310"/>
      <w:r/>
      <w:bookmarkStart w:id="175" w:name="_Toc16938554"/>
      <w:r>
        <w:rPr>
          <w:rFonts w:hint="eastAsia" w:ascii="方正楷体_GBK" w:hAnsi="方正楷体_GBK" w:eastAsia="方正楷体_GBK" w:cs="方正楷体_GBK"/>
          <w:color w:val="auto"/>
          <w:highlight w:val="none"/>
        </w:rPr>
        <w:t xml:space="preserve">2</w:t>
      </w:r>
      <w:bookmarkEnd w:id="173"/>
      <w:r>
        <w:rPr>
          <w:rFonts w:hint="eastAsia" w:ascii="方正楷体_GBK" w:hAnsi="方正楷体_GBK" w:eastAsia="方正楷体_GBK" w:cs="方正楷体_GBK"/>
          <w:color w:val="auto"/>
          <w:highlight w:val="none"/>
          <w:lang w:eastAsia="zh-CN"/>
        </w:rPr>
        <w:t xml:space="preserve">6</w:t>
      </w:r>
      <w:r>
        <w:rPr>
          <w:rFonts w:hint="eastAsia" w:ascii="方正楷体_GBK" w:hAnsi="方正楷体_GBK" w:eastAsia="方正楷体_GBK" w:cs="方正楷体_GBK"/>
          <w:color w:val="auto"/>
          <w:highlight w:val="none"/>
          <w:lang w:val="en-US" w:eastAsia="zh-CN"/>
        </w:rPr>
        <w:t xml:space="preserve">.</w:t>
      </w:r>
      <w:r>
        <w:rPr>
          <w:rFonts w:hint="eastAsia" w:ascii="方正楷体_GBK" w:hAnsi="方正楷体_GBK" w:eastAsia="方正楷体_GBK" w:cs="方正楷体_GBK"/>
          <w:color w:val="auto"/>
          <w:highlight w:val="none"/>
        </w:rPr>
        <w:t xml:space="preserve">确定</w:t>
      </w:r>
      <w:bookmarkEnd w:id="174"/>
      <w:r/>
      <w:bookmarkEnd w:id="175"/>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26.2按以下（2）种方式确定中标人：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rPr>
          <w:rFonts w:hint="eastAsia" w:ascii="宋体" w:hAnsi="宋体"/>
          <w:b/>
          <w:bCs/>
          <w:color w:val="auto"/>
          <w:sz w:val="24"/>
          <w:highlight w:val="none"/>
          <w:lang w:val="zh-CN"/>
        </w:rPr>
      </w:pPr>
      <w:r/>
      <w:bookmarkStart w:id="176"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6"/>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r>
        <w:rPr>
          <w:rFonts w:hint="eastAsia" w:ascii="方正楷体_GBK" w:hAnsi="方正楷体_GBK" w:eastAsia="方正楷体_GBK" w:cs="方正楷体_GBK"/>
          <w:color w:val="auto"/>
          <w:highlight w:val="none"/>
          <w:lang w:val="en-US" w:eastAsia="zh-CN"/>
        </w:rPr>
        <w:t xml:space="preserve">7.</w:t>
      </w:r>
      <w:r>
        <w:rPr>
          <w:rFonts w:hint="eastAsia" w:ascii="方正楷体_GBK" w:hAnsi="方正楷体_GBK" w:eastAsia="方正楷体_GBK" w:cs="方正楷体_GBK"/>
          <w:color w:val="auto"/>
          <w:highlight w:val="none"/>
        </w:rPr>
        <w:t xml:space="preserve">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77"/>
      <w:r/>
      <w:bookmarkEnd w:id="178"/>
      <w:bookmarkEnd w:id="179"/>
      <w:bookmarkEnd w:id="180"/>
      <w:r/>
    </w:p>
    <w:p>
      <w:pPr>
        <w:pStyle w:val="650"/>
        <w:ind w:firstLine="420"/>
        <w:spacing w:before="0" w:after="0" w:line="240" w:lineRule="auto"/>
        <w:rPr>
          <w:rFonts w:hint="eastAsia" w:ascii="方正楷体_GBK" w:hAnsi="方正楷体_GBK" w:eastAsia="方正楷体_GBK" w:cs="方正楷体_GBK"/>
          <w:color w:val="auto"/>
          <w:highlight w:val="none"/>
        </w:rPr>
      </w:pPr>
      <w:r/>
      <w:bookmarkStart w:id="181" w:name="_Toc20823309"/>
      <w:r/>
      <w:bookmarkStart w:id="182" w:name="_Toc513029237"/>
      <w:r/>
      <w:bookmarkStart w:id="183" w:name="_Toc16938553"/>
      <w:r>
        <w:rPr>
          <w:rFonts w:hint="eastAsia" w:ascii="方正楷体_GBK" w:hAnsi="方正楷体_GBK" w:eastAsia="方正楷体_GBK" w:cs="方正楷体_GBK"/>
          <w:color w:val="auto"/>
          <w:highlight w:val="none"/>
          <w:lang w:eastAsia="zh-CN"/>
        </w:rPr>
        <w:t xml:space="preserve">2</w:t>
      </w:r>
      <w:r>
        <w:rPr>
          <w:rFonts w:hint="eastAsia" w:ascii="方正楷体_GBK" w:hAnsi="方正楷体_GBK" w:eastAsia="方正楷体_GBK" w:cs="方正楷体_GBK"/>
          <w:color w:val="auto"/>
          <w:highlight w:val="none"/>
          <w:lang w:val="en-US" w:eastAsia="zh-CN"/>
        </w:rPr>
        <w:t xml:space="preserve">8.</w:t>
      </w:r>
      <w:r>
        <w:rPr>
          <w:rFonts w:hint="eastAsia" w:ascii="方正楷体_GBK" w:hAnsi="方正楷体_GBK" w:eastAsia="方正楷体_GBK" w:cs="方正楷体_GBK"/>
          <w:color w:val="auto"/>
          <w:highlight w:val="none"/>
        </w:rPr>
        <w:t xml:space="preserve">签订合同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29.</w:t>
      </w:r>
      <w:r>
        <w:rPr>
          <w:rFonts w:hint="eastAsia" w:ascii="方正楷体_GBK" w:hAnsi="方正楷体_GBK" w:eastAsia="方正楷体_GBK" w:cs="方正楷体_GBK"/>
          <w:color w:val="auto"/>
          <w:highlight w:val="none"/>
          <w:lang w:eastAsia="zh-CN"/>
        </w:rPr>
        <w:t xml:space="preserve">标的物</w:t>
      </w:r>
      <w:r>
        <w:rPr>
          <w:rFonts w:hint="eastAsia" w:ascii="方正楷体_GBK" w:hAnsi="方正楷体_GBK" w:eastAsia="方正楷体_GBK" w:cs="方正楷体_GBK"/>
          <w:color w:val="auto"/>
          <w:highlight w:val="none"/>
        </w:rPr>
        <w:t xml:space="preserve">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1"/>
      <w:bookmarkEnd w:id="182"/>
      <w:bookmarkEnd w:id="183"/>
      <w:r/>
    </w:p>
    <w:p>
      <w:pPr>
        <w:pStyle w:val="650"/>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30.</w:t>
      </w:r>
      <w:r>
        <w:rPr>
          <w:rFonts w:hint="eastAsia" w:ascii="方正楷体_GBK" w:hAnsi="方正楷体_GBK" w:eastAsia="方正楷体_GBK" w:cs="方正楷体_GBK"/>
          <w:color w:val="auto"/>
          <w:highlight w:val="none"/>
        </w:rPr>
        <w:t xml:space="preserve">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rFonts w:hint="eastAsia"/>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49"/>
        <w:ind w:firstLine="465"/>
        <w:spacing w:before="145" w:after="145" w:line="240" w:lineRule="auto"/>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49"/>
        <w:ind w:firstLine="465"/>
        <w:spacing w:before="145" w:after="145" w:line="240" w:lineRule="auto"/>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50"/>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eastAsia="zh-CN"/>
        </w:rPr>
        <w:t xml:space="preserve">38.</w:t>
      </w:r>
      <w:r>
        <w:rPr>
          <w:rFonts w:hint="eastAsia" w:ascii="方正楷体_GBK" w:hAnsi="方正楷体_GBK" w:eastAsia="方正楷体_GBK" w:cs="方正楷体_GBK"/>
          <w:color w:val="auto"/>
          <w:highlight w:val="none"/>
          <w:lang w:val="zh-CN"/>
        </w:rPr>
        <w:t xml:space="preserve">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本项目中的货物全部由中小企业制造的，投标供应商享受中小企业扶持政策。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50"/>
        <w:ind w:firstLine="420"/>
        <w:spacing w:before="0" w:after="0" w:line="240" w:lineRule="auto"/>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zh-CN" w:eastAsia="zh-CN"/>
        </w:rPr>
        <w:t xml:space="preserve">3</w:t>
      </w:r>
      <w:r>
        <w:rPr>
          <w:rFonts w:hint="eastAsia" w:ascii="方正楷体_GBK" w:hAnsi="方正楷体_GBK" w:eastAsia="方正楷体_GBK" w:cs="方正楷体_GBK"/>
          <w:color w:val="auto"/>
          <w:highlight w:val="none"/>
          <w:lang w:val="en-US" w:eastAsia="zh-CN"/>
        </w:rPr>
        <w:t xml:space="preserve">9</w:t>
      </w:r>
      <w:r>
        <w:rPr>
          <w:rFonts w:hint="eastAsia" w:ascii="方正楷体_GBK" w:hAnsi="方正楷体_GBK" w:eastAsia="方正楷体_GBK" w:cs="方正楷体_GBK"/>
          <w:color w:val="auto"/>
          <w:highlight w:val="none"/>
          <w:lang w:val="zh-CN" w:eastAsia="zh-CN"/>
        </w:rPr>
        <w:t xml:space="preserve">.</w:t>
      </w:r>
      <w:r>
        <w:rPr>
          <w:rFonts w:hint="eastAsia" w:ascii="方正楷体_GBK" w:hAnsi="方正楷体_GBK" w:eastAsia="方正楷体_GBK" w:cs="方正楷体_GBK"/>
          <w:color w:val="auto"/>
          <w:highlight w:val="none"/>
          <w:lang w:val="en-US" w:eastAsia="zh-CN"/>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50"/>
        <w:ind w:firstLine="420"/>
        <w:spacing w:before="0" w:after="0" w:line="240" w:lineRule="auto"/>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 xml:space="preserve">40</w:t>
      </w:r>
      <w:r>
        <w:rPr>
          <w:rFonts w:hint="eastAsia" w:ascii="方正楷体_GBK" w:hAnsi="方正楷体_GBK" w:eastAsia="方正楷体_GBK" w:cs="方正楷体_GBK"/>
          <w:color w:val="auto"/>
          <w:highlight w:val="none"/>
          <w:lang w:val="zh-CN" w:eastAsia="zh-CN"/>
        </w:rPr>
        <w:t xml:space="preserve">.</w:t>
      </w:r>
      <w:r>
        <w:rPr>
          <w:rFonts w:hint="eastAsia" w:ascii="方正楷体_GBK" w:hAnsi="方正楷体_GBK" w:eastAsia="方正楷体_GBK" w:cs="方正楷体_GBK"/>
          <w:color w:val="auto"/>
          <w:highlight w:val="none"/>
          <w:lang w:val="en-US" w:eastAsia="zh-CN"/>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0"/>
        <w:ind w:firstLine="420"/>
        <w:spacing w:before="0" w:after="0" w:line="240" w:lineRule="auto"/>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 xml:space="preserve">41</w:t>
      </w:r>
      <w:r>
        <w:rPr>
          <w:rFonts w:hint="eastAsia" w:ascii="方正楷体_GBK" w:hAnsi="方正楷体_GBK" w:eastAsia="方正楷体_GBK" w:cs="方正楷体_GBK"/>
          <w:color w:val="auto"/>
          <w:highlight w:val="none"/>
          <w:lang w:val="zh-CN" w:eastAsia="zh-CN"/>
        </w:rPr>
        <w:t xml:space="preserve">.</w:t>
      </w:r>
      <w:r>
        <w:rPr>
          <w:rFonts w:hint="eastAsia" w:ascii="方正楷体_GBK" w:hAnsi="方正楷体_GBK" w:eastAsia="方正楷体_GBK" w:cs="方正楷体_GBK"/>
          <w:color w:val="auto"/>
          <w:highlight w:val="none"/>
          <w:lang w:val="en-US" w:eastAsia="zh-CN"/>
        </w:rPr>
        <w:t xml:space="preserve">创新产品采购</w:t>
      </w:r>
      <w:r/>
    </w:p>
    <w:p>
      <w:pPr>
        <w:ind w:firstLine="420"/>
        <w:widowControl/>
        <w:rPr>
          <w:rFonts w:hint="eastAsia" w:ascii="宋体" w:hAnsi="宋体"/>
          <w:color w:val="auto"/>
          <w:sz w:val="24"/>
          <w:highlight w:val="none"/>
          <w:lang w:val="zh-CN"/>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50"/>
        <w:ind w:firstLine="420"/>
        <w:spacing w:before="0" w:after="0" w:line="240" w:lineRule="auto"/>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 xml:space="preserve">42.</w:t>
      </w:r>
      <w:r>
        <w:rPr>
          <w:rFonts w:hint="eastAsia" w:ascii="方正楷体_GBK" w:hAnsi="方正楷体_GBK" w:eastAsia="方正楷体_GBK" w:cs="方正楷体_GBK"/>
          <w:color w:val="auto"/>
          <w:highlight w:val="none"/>
          <w:lang w:val="zh-CN" w:eastAsia="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0"/>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eastAsia="zh-CN"/>
        </w:rPr>
        <w:t xml:space="preserve">43.</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1"/>
        <w:ind w:firstLine="480"/>
        <w:rPr>
          <w:rFonts w:hint="eastAsia"/>
          <w:color w:val="auto"/>
          <w:sz w:val="24"/>
          <w:highlight w:val="none"/>
          <w:lang w:val="zh-CN" w:eastAsia="zh-CN"/>
        </w:rPr>
      </w:pPr>
      <w:r>
        <w:rPr>
          <w:rFonts w:hint="eastAsia"/>
          <w:color w:val="auto"/>
          <w:sz w:val="24"/>
          <w:highlight w:val="none"/>
          <w:lang w:val="zh-CN" w:eastAsia="zh-CN"/>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661"/>
        <w:ind w:firstLine="400"/>
        <w:rPr>
          <w:rFonts w:hint="eastAsia"/>
          <w:color w:val="auto"/>
          <w:highlight w:val="none"/>
          <w:lang w:val="zh-CN" w:eastAsia="zh-CN"/>
        </w:rPr>
      </w:pPr>
      <w:r>
        <w:rPr>
          <w:rFonts w:hint="eastAsia"/>
          <w:color w:val="auto"/>
          <w:highlight w:val="none"/>
          <w:lang w:val="zh-CN" w:eastAsia="zh-CN"/>
        </w:rPr>
      </w:r>
      <w:r/>
    </w:p>
    <w:p>
      <w:pPr>
        <w:rPr>
          <w:rFonts w:hint="eastAsia"/>
          <w:color w:val="auto"/>
          <w:highlight w:val="none"/>
          <w:lang w:val="zh-CN"/>
        </w:rPr>
      </w:pPr>
      <w:r>
        <w:rPr>
          <w:rFonts w:hint="eastAsia"/>
          <w:color w:val="auto"/>
          <w:highlight w:val="none"/>
          <w:lang w:val="zh-CN"/>
        </w:rPr>
      </w:r>
      <w:r/>
    </w:p>
    <w:p>
      <w:pPr>
        <w:jc w:val="center"/>
        <w:spacing w:line="252"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黑体" w:eastAsia="黑体"/>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highlight w:val="none"/>
        </w:rPr>
        <w:t xml:space="preserve">文本</w:t>
      </w:r>
      <w:r/>
    </w:p>
    <w:p>
      <w:pPr>
        <w:ind w:firstLine="480"/>
        <w:spacing w:line="264" w:lineRule="auto"/>
        <w:rPr>
          <w:rFonts w:hint="eastAsia" w:ascii="宋体" w:hAnsi="宋体"/>
          <w:bCs/>
          <w:color w:val="auto"/>
          <w:sz w:val="24"/>
          <w:szCs w:val="21"/>
          <w:highlight w:val="none"/>
        </w:rPr>
      </w:pPr>
      <w:r/>
      <w:bookmarkStart w:id="184" w:name="_Toc16938559"/>
      <w:r/>
      <w:bookmarkStart w:id="185" w:name="_Toc513029243"/>
      <w:r/>
      <w:bookmarkStart w:id="186" w:name="_Toc20823315"/>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657"/>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_____________________</w:t>
      </w:r>
      <w:r>
        <w:rPr>
          <w:rFonts w:hint="eastAsia" w:hAnsi="宋体"/>
          <w:color w:val="auto"/>
          <w:sz w:val="24"/>
          <w:szCs w:val="24"/>
          <w:highlight w:val="none"/>
          <w:lang w:eastAsia="zh-CN"/>
        </w:rPr>
        <w:t xml:space="preserve">）</w:t>
      </w:r>
      <w:r>
        <w:rPr>
          <w:rFonts w:hint="eastAsia" w:hAnsi="宋体" w:cs="Courier New"/>
          <w:color w:val="auto"/>
          <w:sz w:val="24"/>
          <w:szCs w:val="24"/>
          <w:highlight w:val="none"/>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cs="Courier New"/>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657"/>
        <w:spacing w:line="264" w:lineRule="auto"/>
        <w:rPr>
          <w:rFonts w:hint="eastAsia" w:hAnsi="宋体" w:cs="Courier New"/>
          <w:color w:val="auto"/>
          <w:sz w:val="24"/>
          <w:szCs w:val="24"/>
          <w:highlight w:val="none"/>
          <w:lang w:val="en-US" w:eastAsia="zh-CN"/>
        </w:rPr>
        <w:outlineLvl w:val="3"/>
      </w:pPr>
      <w:r>
        <w:rPr>
          <w:rFonts w:hint="eastAsia" w:hAnsi="宋体" w:cs="Courier New"/>
          <w:color w:val="auto"/>
          <w:sz w:val="24"/>
          <w:szCs w:val="24"/>
          <w:highlight w:val="none"/>
        </w:rPr>
        <w:t xml:space="preserve">8.1</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合同款项的支付方式及</w:t>
      </w:r>
      <w:r>
        <w:rPr>
          <w:rFonts w:hint="eastAsia" w:hAnsi="宋体" w:cs="Courier New"/>
          <w:color w:val="auto"/>
          <w:sz w:val="24"/>
          <w:szCs w:val="24"/>
          <w:highlight w:val="none"/>
          <w:lang w:val="en-US" w:eastAsia="zh-CN"/>
        </w:rPr>
        <w:t xml:space="preserve">时间</w:t>
      </w:r>
      <w:r/>
    </w:p>
    <w:p>
      <w:pPr>
        <w:pStyle w:val="668"/>
        <w:spacing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lang w:eastAsia="zh-CN"/>
        </w:rPr>
        <w:t xml:space="preserve">8.1.1 合同签订后，</w:t>
      </w:r>
      <w:r>
        <w:rPr>
          <w:rFonts w:hint="eastAsia" w:hAnsi="宋体" w:cs="宋体"/>
          <w:color w:val="auto"/>
          <w:sz w:val="24"/>
          <w:szCs w:val="24"/>
          <w:highlight w:val="none"/>
          <w:lang w:eastAsia="zh-CN"/>
        </w:rPr>
        <w:t xml:space="preserve">安装调试完毕且验收合格并提交所需单据后，支付合同总价款的50%</w:t>
      </w:r>
      <w:r>
        <w:rPr>
          <w:rFonts w:hint="eastAsia"/>
          <w:color w:val="auto"/>
          <w:highlight w:val="none"/>
          <w:lang w:eastAsia="zh-CN"/>
        </w:rPr>
        <w:t xml:space="preserve">。</w:t>
      </w:r>
      <w:r/>
    </w:p>
    <w:p>
      <w:pPr>
        <w:pStyle w:val="657"/>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w:t>
      </w:r>
      <w:r>
        <w:rPr>
          <w:rFonts w:hint="eastAsia" w:hAnsi="宋体" w:cs="宋体"/>
          <w:color w:val="auto"/>
          <w:sz w:val="24"/>
          <w:szCs w:val="24"/>
          <w:highlight w:val="none"/>
          <w:lang w:eastAsia="zh-CN"/>
        </w:rPr>
        <w:t xml:space="preserve">余款一年后支付。</w:t>
      </w:r>
      <w:r/>
    </w:p>
    <w:p>
      <w:pPr>
        <w:pStyle w:val="657"/>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657"/>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 xml:space="preserve">根据《保障中小企业款项支付条例》</w:t>
      </w:r>
      <w:r>
        <w:rPr>
          <w:rFonts w:hint="eastAsia" w:hAnsi="宋体" w:cs="Courier New"/>
          <w:color w:val="auto"/>
          <w:sz w:val="24"/>
          <w:szCs w:val="24"/>
          <w:highlight w:val="none"/>
          <w:lang w:val="en-US" w:eastAsia="zh-CN"/>
        </w:rPr>
        <w:t xml:space="preserve">规定</w:t>
      </w:r>
      <w:r>
        <w:rPr>
          <w:rFonts w:hint="eastAsia" w:hAnsi="宋体" w:cs="Courier New"/>
          <w:color w:val="auto"/>
          <w:sz w:val="24"/>
          <w:szCs w:val="24"/>
          <w:highlight w:val="none"/>
        </w:rPr>
        <w:t xml:space="preserve">，</w:t>
      </w:r>
      <w:r>
        <w:rPr>
          <w:rFonts w:hint="eastAsia" w:hAnsi="宋体" w:cs="Courier New"/>
          <w:color w:val="auto"/>
          <w:sz w:val="24"/>
          <w:szCs w:val="24"/>
          <w:highlight w:val="none"/>
          <w:lang w:val="en-US" w:eastAsia="zh-CN"/>
        </w:rPr>
        <w:t xml:space="preserve">甲方</w:t>
      </w:r>
      <w:r>
        <w:rPr>
          <w:rFonts w:hint="eastAsia" w:hAnsi="宋体" w:cs="Courier New"/>
          <w:color w:val="auto"/>
          <w:sz w:val="24"/>
          <w:szCs w:val="24"/>
          <w:highlight w:val="none"/>
        </w:rPr>
        <w:t xml:space="preserve">未按合同约定支付款项的，</w:t>
      </w:r>
      <w:r>
        <w:rPr>
          <w:rFonts w:hint="eastAsia" w:hAnsi="宋体" w:cs="Courier New"/>
          <w:color w:val="auto"/>
          <w:sz w:val="24"/>
          <w:szCs w:val="24"/>
          <w:highlight w:val="none"/>
          <w:lang w:val="en-US" w:eastAsia="zh-CN"/>
        </w:rPr>
        <w:t xml:space="preserve">乙方</w:t>
      </w:r>
      <w:r>
        <w:rPr>
          <w:rFonts w:hint="eastAsia" w:hAnsi="宋体" w:cs="Courier New"/>
          <w:color w:val="auto"/>
          <w:sz w:val="24"/>
          <w:szCs w:val="24"/>
          <w:highlight w:val="none"/>
        </w:rPr>
        <w:t xml:space="preserve">可以向有关部门投诉。</w:t>
      </w:r>
      <w:r/>
    </w:p>
    <w:p>
      <w:pPr>
        <w:pStyle w:val="657"/>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24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w:t>
      </w:r>
      <w:r>
        <w:rPr>
          <w:rFonts w:ascii="Arial" w:hAnsi="Arial" w:cs="Arial"/>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 </w:t>
      </w:r>
      <w:r>
        <w:rPr>
          <w:rFonts w:ascii="Arial" w:hAnsi="Arial" w:cs="Arial"/>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4"/>
      <w:bookmarkEnd w:id="185"/>
      <w:bookmarkEnd w:id="186"/>
      <w:r/>
    </w:p>
    <w:p>
      <w:pPr>
        <w:pStyle w:val="657"/>
        <w:spacing w:before="120" w:after="120" w:line="264" w:lineRule="auto"/>
        <w:rPr>
          <w:rFonts w:hint="eastAsia" w:hAnsi="宋体" w:cs="Courier New"/>
          <w:color w:val="auto"/>
          <w:sz w:val="24"/>
          <w:szCs w:val="24"/>
          <w:highlight w:val="none"/>
        </w:rPr>
      </w:pPr>
      <w:r/>
      <w:bookmarkStart w:id="187" w:name="_Hlt16619369"/>
      <w:r/>
      <w:bookmarkEnd w:id="187"/>
      <w:r/>
      <w:bookmarkStart w:id="188" w:name="_Hlt16619350"/>
      <w:r/>
      <w:bookmarkStart w:id="189" w:name="_Toc16938590"/>
      <w:r/>
      <w:bookmarkStart w:id="190" w:name="_Toc20823346"/>
      <w:r/>
      <w:bookmarkStart w:id="191" w:name="_Toc120614244"/>
      <w:r/>
      <w:bookmarkStart w:id="192" w:name="_Toc462564139"/>
      <w:r/>
      <w:bookmarkStart w:id="193" w:name="_Toc479757211"/>
      <w:r>
        <w:rPr>
          <w:rFonts w:hint="eastAsia" w:hAnsi="宋体" w:cs="Courier New"/>
          <w:color w:val="auto"/>
          <w:sz w:val="24"/>
          <w:szCs w:val="24"/>
          <w:highlight w:val="none"/>
        </w:rPr>
        <w:t xml:space="preserve">  </w:t>
      </w:r>
      <w:r/>
    </w:p>
    <w:p>
      <w:pPr>
        <w:pStyle w:val="657"/>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甲</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乙</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p>
    <w:p>
      <w:pPr>
        <w:pStyle w:val="657"/>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p>
    <w:p>
      <w:pPr>
        <w:pStyle w:val="657"/>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法定代表人或授权代表：</w:t>
      </w:r>
      <w:r/>
    </w:p>
    <w:p>
      <w:pPr>
        <w:pStyle w:val="657"/>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r/>
    </w:p>
    <w:p>
      <w:pPr>
        <w:pStyle w:val="657"/>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pStyle w:val="657"/>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657"/>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8"/>
      <w:r>
        <w:rPr>
          <w:rFonts w:hint="eastAsia" w:ascii="方正小标宋简体" w:hAnsi="方正小标宋简体" w:eastAsia="方正小标宋简体" w:cs="方正小标宋简体"/>
          <w:color w:val="auto"/>
          <w:sz w:val="36"/>
          <w:szCs w:val="36"/>
          <w:highlight w:val="none"/>
        </w:rPr>
        <w:t xml:space="preserve">四章  采购需求</w:t>
      </w:r>
      <w:bookmarkEnd w:id="189"/>
      <w:r/>
      <w:bookmarkEnd w:id="190"/>
      <w:r/>
      <w:bookmarkEnd w:id="191"/>
      <w:r/>
      <w:r/>
    </w:p>
    <w:p>
      <w:pPr>
        <w:jc w:val="center"/>
        <w:spacing w:before="120" w:after="120" w:line="0" w:lineRule="atLeast"/>
        <w:rPr>
          <w:rFonts w:hint="eastAsia" w:ascii="方正小标宋简体" w:hAnsi="方正小标宋简体" w:cs="方正小标宋简体"/>
          <w:color w:val="auto"/>
          <w:sz w:val="36"/>
          <w:szCs w:val="36"/>
          <w:highlight w:val="none"/>
        </w:rPr>
        <w:outlineLvl w:val="0"/>
      </w:pPr>
      <w:r>
        <w:rPr>
          <w:rFonts w:hint="eastAsia" w:ascii="宋体" w:hAnsi="宋体" w:cs="宋体"/>
          <w:bCs/>
          <w:color w:val="auto"/>
          <w:sz w:val="36"/>
          <w:szCs w:val="36"/>
          <w:highlight w:val="none"/>
        </w:rPr>
        <w:t xml:space="preserve">采购包一</w:t>
      </w:r>
      <w:r/>
    </w:p>
    <w:p>
      <w:pPr>
        <w:ind w:firstLine="480"/>
        <w:rPr>
          <w:rFonts w:hint="eastAsia" w:ascii="黑体" w:hAnsi="黑体" w:eastAsia="黑体" w:cs="黑体"/>
          <w:color w:val="auto"/>
          <w:sz w:val="24"/>
          <w:szCs w:val="24"/>
          <w:highlight w:val="none"/>
        </w:rPr>
      </w:pPr>
      <w:r/>
      <w:bookmarkStart w:id="194" w:name="_Toc26554093"/>
      <w:r/>
      <w:bookmarkStart w:id="195"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根据多所中小学教学需求，配置相关课桌椅设备，满足学校的教育教学需要。</w:t>
      </w:r>
      <w:r/>
    </w:p>
    <w:p>
      <w:pPr>
        <w:numPr>
          <w:ilvl w:val="0"/>
          <w:numId w:val="2"/>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项目建设遵循江苏省中小学教育技术装备（“十二五”版）-Ⅰ类，课桌椅尺寸与技术条件要求严格按照《学生课桌椅功能尺寸》（GB/T3976-2014）要求执行。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《家具结构安全技术规范》（GB 28008-2024）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《金属家具通用技术条件》（GB/T 3325-2024）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52"/>
        <w:tblW w:w="470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2"/>
        <w:gridCol w:w="1686"/>
        <w:gridCol w:w="963"/>
        <w:gridCol w:w="735"/>
        <w:gridCol w:w="1555"/>
        <w:gridCol w:w="1488"/>
        <w:gridCol w:w="1201"/>
        <w:gridCol w:w="1345"/>
      </w:tblGrid>
      <w:tr>
        <w:trPr>
          <w:trHeight w:val="711"/>
        </w:trPr>
        <w:tc>
          <w:tcPr>
            <w:tcW w:w="75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68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W w:w="96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3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55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单价上限（元）</w:t>
            </w:r>
            <w:r/>
          </w:p>
        </w:tc>
        <w:tc>
          <w:tcPr>
            <w:tcW w:w="14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9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p>
        </w:tc>
        <w:tc>
          <w:tcPr>
            <w:tcW w:w="134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r>
      <w:tr>
        <w:trPr>
          <w:trHeight w:val="614"/>
        </w:trPr>
        <w:tc>
          <w:tcPr>
            <w:tcW w:w="75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68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单人钢塑可调节课桌椅一</w:t>
            </w:r>
            <w:r/>
          </w:p>
        </w:tc>
        <w:tc>
          <w:tcPr>
            <w:tcW w:w="962"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color w:val="auto"/>
                <w:sz w:val="22"/>
                <w:highlight w:val="none"/>
                <w:lang w:bidi="ar"/>
              </w:rPr>
              <w:t xml:space="preserve">1250</w:t>
            </w:r>
            <w:r/>
          </w:p>
        </w:tc>
        <w:tc>
          <w:tcPr>
            <w:tcW w:w="734"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553"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4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119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34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r>
        <w:trPr>
          <w:trHeight w:val="629"/>
        </w:trPr>
        <w:tc>
          <w:tcPr>
            <w:tcW w:w="75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68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962"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color w:val="auto"/>
                <w:sz w:val="22"/>
                <w:highlight w:val="none"/>
                <w:lang w:bidi="ar"/>
              </w:rPr>
              <w:t xml:space="preserve">850</w:t>
            </w:r>
            <w:r/>
          </w:p>
        </w:tc>
        <w:tc>
          <w:tcPr>
            <w:tcW w:w="734"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553"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4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W w:w="119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34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2"/>
        <w:tblW w:w="8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855"/>
        <w:gridCol w:w="6932"/>
      </w:tblGrid>
      <w:tr>
        <w:trPr>
          <w:jc w:val="center"/>
          <w:trHeight w:val="23"/>
        </w:trPr>
        <w:tc>
          <w:tcPr>
            <w:tcW w:w="702"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855"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6932"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功能、性能、配置不低于以下要求：</w:t>
            </w:r>
            <w:r/>
          </w:p>
        </w:tc>
      </w:tr>
      <w:tr>
        <w:trPr>
          <w:jc w:val="center"/>
          <w:trHeight w:val="23"/>
        </w:trPr>
        <w:tc>
          <w:tcPr>
            <w:tcBorders>
              <w:bottom w:val="single" w:color="auto" w:sz="4" w:space="0"/>
            </w:tcBorders>
            <w:tcW w:w="702"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Borders>
              <w:bottom w:val="single" w:color="auto" w:sz="4" w:space="0"/>
            </w:tcBorders>
            <w:tcW w:w="8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单人钢塑可调节课桌椅一</w:t>
            </w:r>
            <w:r/>
          </w:p>
        </w:tc>
        <w:tc>
          <w:tcPr>
            <w:tcW w:w="6932"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 xml:space="preserve">椅子下</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rPr>
              <w:t xml:space="preserve">设有书包网,规格390mm×295mm×80mm，采用≥φ6mm钢筋及≥φ4mm钢筋焊接而成。横档≥6根，竖档≥6根。</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r>
        <w:trPr>
          <w:jc w:val="center"/>
          <w:trHeight w:val="2673"/>
        </w:trPr>
        <w:tc>
          <w:tcPr>
            <w:tcBorders>
              <w:top w:val="single" w:color="auto" w:sz="4" w:space="0"/>
            </w:tcBorders>
            <w:tcW w:w="702"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tcBorders>
            <w:tcW w:w="8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单人钢塑可调节课桌椅二</w:t>
            </w:r>
            <w:r/>
          </w:p>
        </w:tc>
        <w:tc>
          <w:tcPr>
            <w:tcW w:w="6932"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r/>
    </w:p>
    <w:p>
      <w:pPr>
        <w:ind w:firstLine="480"/>
        <w:rPr>
          <w:rFonts w:hint="eastAsia" w:ascii="宋体" w:hAnsi="宋体"/>
          <w:color w:val="auto"/>
          <w:sz w:val="24"/>
          <w:highlight w:val="none"/>
        </w:rPr>
      </w:pPr>
      <w:r>
        <w:rPr>
          <w:rFonts w:hint="eastAsia" w:ascii="宋体" w:hAnsi="宋体" w:cs="宋体"/>
          <w:color w:val="auto"/>
          <w:sz w:val="24"/>
          <w:szCs w:val="24"/>
          <w:highlight w:val="none"/>
        </w:rPr>
        <w:t xml:space="preserve">供应商中标后，应提供家具材质清单、原材料产地证明，需就拟投入本项目生产的原材料和主要辅材进行送检，原材料及辅材应符合国家规定的强制性环保指标。甲醛释放量指标符合E1级（≤0.124mg/m³）。</w:t>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r/>
    </w:p>
    <w:p>
      <w:pPr>
        <w:ind w:firstLine="48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④该项目为江宁区多所中小学等单位的学生课桌椅集中采购，中标公示日期满30天内必须全部送货、安装并调试到位，任务重，要求高。</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③南京酷腾科教仪器设备有限公司参与本项目技术咨询服务，参照相关法规执行。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1.供应商提供以下样品实物一</w:t>
      </w:r>
      <w:bookmarkStart w:id="196" w:name="OLE_LINK121"/>
      <w:r>
        <w:rPr>
          <w:rFonts w:hint="eastAsia" w:ascii="宋体" w:hAnsi="宋体" w:cs="宋体"/>
          <w:color w:val="auto"/>
          <w:sz w:val="24"/>
          <w:szCs w:val="24"/>
          <w:highlight w:val="none"/>
        </w:rPr>
        <w:t xml:space="preserve">套（</w:t>
      </w:r>
      <w:r>
        <w:rPr>
          <w:rFonts w:hint="eastAsia" w:ascii="宋体" w:hAnsi="宋体" w:cs="宋体"/>
          <w:b/>
          <w:bCs/>
          <w:color w:val="auto"/>
          <w:sz w:val="24"/>
          <w:szCs w:val="24"/>
          <w:highlight w:val="none"/>
        </w:rPr>
        <w:t xml:space="preserve">无论供应商选投一个包还是多个包，只需提供一套，</w:t>
      </w:r>
      <w:r>
        <w:rPr>
          <w:rFonts w:hint="eastAsia" w:ascii="宋体" w:hAnsi="宋体" w:cs="宋体"/>
          <w:color w:val="auto"/>
          <w:sz w:val="24"/>
          <w:szCs w:val="24"/>
          <w:highlight w:val="none"/>
        </w:rPr>
        <w:t xml:space="preserve">所有的制作标准和要求与本</w:t>
      </w:r>
      <w:bookmarkEnd w:id="196"/>
      <w:r>
        <w:rPr>
          <w:rFonts w:hint="eastAsia" w:ascii="宋体" w:hAnsi="宋体" w:cs="宋体"/>
          <w:color w:val="auto"/>
          <w:sz w:val="24"/>
          <w:szCs w:val="24"/>
          <w:highlight w:val="none"/>
        </w:rPr>
        <w:t xml:space="preserve">次采购对应产品的参数一致）：</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单人钢塑可调节课桌椅一</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采购包二</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根据多所中小学教学需求，</w:t>
      </w:r>
      <w:r>
        <w:rPr>
          <w:rFonts w:hint="eastAsia" w:ascii="黑体" w:hAnsi="黑体" w:eastAsia="黑体" w:cs="黑体"/>
          <w:color w:val="auto"/>
          <w:sz w:val="24"/>
          <w:szCs w:val="24"/>
          <w:highlight w:val="none"/>
        </w:rPr>
        <w:t xml:space="preserve">配置</w:t>
      </w:r>
      <w:r>
        <w:rPr>
          <w:rFonts w:hint="eastAsia" w:ascii="宋体" w:hAnsi="宋体" w:cs="宋体"/>
          <w:color w:val="auto"/>
          <w:sz w:val="24"/>
          <w:szCs w:val="24"/>
          <w:highlight w:val="none"/>
        </w:rPr>
        <w:t xml:space="preserve">相关课桌椅设备，满足学校的教育教学需要</w:t>
      </w:r>
      <w:r>
        <w:rPr>
          <w:rFonts w:hint="eastAsia" w:ascii="宋体" w:hAnsi="宋体" w:cs="宋体"/>
          <w:bCs/>
          <w:color w:val="auto"/>
          <w:sz w:val="24"/>
          <w:szCs w:val="24"/>
          <w:highlight w:val="none"/>
        </w:rPr>
        <w:t xml:space="preserve">。</w:t>
      </w:r>
      <w:r/>
    </w:p>
    <w:p>
      <w:pPr>
        <w:numPr>
          <w:ilvl w:val="0"/>
          <w:numId w:val="2"/>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项目建设遵循江苏省中小学教育技术装备（“十二五”版）-Ⅰ类，课桌椅尺寸与技术条件要求严格按照《学生课桌椅功能尺寸》（GB/T3976-2014）要求执行。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《家具结构安全技术规范》（GB 28008-2024）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《金属家具通用技术条件》（GB/T 3325-2024）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r/>
    </w:p>
    <w:tbl>
      <w:tblPr>
        <w:tblStyle w:val="652"/>
        <w:tblpPr w:horzAnchor="page" w:tblpX="949" w:vertAnchor="text" w:tblpY="335" w:leftFromText="180" w:topFromText="0" w:rightFromText="180" w:bottomFromText="0"/>
        <w:tblW w:w="515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6"/>
        <w:gridCol w:w="1666"/>
        <w:gridCol w:w="1036"/>
        <w:gridCol w:w="727"/>
        <w:gridCol w:w="1536"/>
        <w:gridCol w:w="1469"/>
        <w:gridCol w:w="1187"/>
        <w:gridCol w:w="1328"/>
        <w:gridCol w:w="953"/>
      </w:tblGrid>
      <w:tr>
        <w:trPr>
          <w:trHeight w:val="711"/>
        </w:trPr>
        <w:tc>
          <w:tcPr>
            <w:tcW w:w="70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57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7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45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单价报价上限（元）</w:t>
            </w:r>
            <w:r/>
          </w:p>
        </w:tc>
        <w:tc>
          <w:tcPr>
            <w:tcW w:w="138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2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5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c>
          <w:tcPr>
            <w:tcW w:w="89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14"/>
        </w:trPr>
        <w:tc>
          <w:tcPr>
            <w:tcW w:w="70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73"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单人钢塑可调节课桌椅一</w:t>
            </w:r>
            <w:r/>
          </w:p>
        </w:tc>
        <w:tc>
          <w:tcPr>
            <w:tcW w:w="978"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850</w:t>
            </w:r>
            <w:r/>
          </w:p>
        </w:tc>
        <w:tc>
          <w:tcPr>
            <w:tcW w:w="68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50"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112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899"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629"/>
        </w:trPr>
        <w:tc>
          <w:tcPr>
            <w:tcW w:w="70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tcW w:w="157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978"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1220</w:t>
            </w:r>
            <w:r/>
          </w:p>
        </w:tc>
        <w:tc>
          <w:tcPr>
            <w:tcW w:w="68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50"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W w:w="112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899"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p>
      <w:pPr>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2"/>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6"/>
        <w:gridCol w:w="1064"/>
        <w:gridCol w:w="7434"/>
      </w:tblGrid>
      <w:tr>
        <w:trPr>
          <w:jc w:val="center"/>
          <w:trHeight w:val="23"/>
        </w:trPr>
        <w:tc>
          <w:tcPr>
            <w:tcW w:w="1026"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06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743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功能、性能、配置不低于以下要求：</w:t>
            </w:r>
            <w:r/>
          </w:p>
        </w:tc>
      </w:tr>
      <w:tr>
        <w:trPr>
          <w:jc w:val="center"/>
          <w:trHeight w:val="23"/>
        </w:trPr>
        <w:tc>
          <w:tcPr>
            <w:tcBorders>
              <w:bottom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Borders>
              <w:bottom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单人钢塑可调节课桌椅一</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 xml:space="preserve">椅子下</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rPr>
              <w:t xml:space="preserve">设有书包网,规格390mm×295mm×80mm，采用≥φ6mm钢筋及≥φ4mm钢筋焊接而成。横档≥6根，竖档≥6根。</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p>
        </w:tc>
      </w:tr>
      <w:tr>
        <w:trPr>
          <w:jc w:val="center"/>
          <w:trHeight w:val="23"/>
        </w:trPr>
        <w:tc>
          <w:tcPr>
            <w:tcBorders>
              <w:top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单人钢塑可调节课桌椅二</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color w:val="auto"/>
                <w:highlight w:val="none"/>
              </w:rPr>
              <w:t xml:space="preserve">▲</w:t>
            </w:r>
            <w:r>
              <w:rPr>
                <w:rFonts w:hint="eastAsia" w:ascii="宋体" w:hAnsi="宋体" w:cs="宋体"/>
                <w:bCs/>
                <w:color w:val="auto"/>
                <w:szCs w:val="21"/>
                <w:highlight w:val="none"/>
              </w:rPr>
              <w:t xml:space="preserve">3、课桌为单斗结构。桌斗下沿距桌面高度不大于130mm。桌斗采用环保PP塑料加工制作。桌斗外径尺寸：550（±5）mm×385（±5）mm，内径尺寸：440（±5）mm×335（±5）mm。功能：桌斗底部有排水槽缝设计。桌斗前端的下方设置有一笔槽，笔槽有排水勾缝设计。</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Style w:val="673"/>
          <w:rFonts w:hint="eastAsia" w:ascii="宋体" w:hAnsi="宋体" w:cs="宋体"/>
          <w:sz w:val="24"/>
          <w:szCs w:val="24"/>
        </w:rPr>
        <w:t xml:space="preserve">原材料环保要求</w:t>
      </w:r>
      <w:r>
        <w:rPr>
          <w:rFonts w:hint="eastAsia" w:ascii="宋体" w:hAnsi="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cs="宋体"/>
          <w:sz w:val="24"/>
          <w:szCs w:val="24"/>
        </w:rPr>
        <w:t xml:space="preserve">供应商中标后，应提供家具材质清单、原材料产地证明，需就拟投入本项目生产的原材料和主要辅材进行送检，</w:t>
      </w:r>
      <w:r>
        <w:rPr>
          <w:rFonts w:hint="eastAsia" w:ascii="宋体" w:hAnsi="宋体" w:eastAsia="宋体" w:cs="宋体"/>
          <w:color w:val="auto"/>
          <w:sz w:val="24"/>
          <w:szCs w:val="24"/>
          <w:highlight w:val="none"/>
        </w:rPr>
        <w:t xml:space="preserve">原材料及辅材应符合国家规定的强制性环保指标。甲醛释放量指标符合E1级（≤0.124mg/m³）。</w:t>
      </w:r>
      <w:r/>
    </w:p>
    <w:p>
      <w:pPr>
        <w:ind w:firstLine="480"/>
        <w:rPr>
          <w:rFonts w:hint="eastAsia" w:ascii="宋体" w:hAnsi="宋体" w:eastAsia="宋体" w:cs="宋体"/>
          <w:bCs w:val="0"/>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bCs w:val="0"/>
          <w:color w:val="auto"/>
          <w:sz w:val="24"/>
          <w:szCs w:val="24"/>
          <w:highlight w:val="none"/>
        </w:rPr>
        <w:t xml:space="preserve">（二）商务要求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1.中标供应商确定规则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2</w:t>
      </w:r>
      <w:r>
        <w:rPr>
          <w:rFonts w:hint="eastAsia" w:ascii="宋体" w:hAnsi="宋体" w:eastAsia="宋体" w:cs="宋体"/>
          <w:color w:val="auto"/>
          <w:sz w:val="24"/>
          <w:szCs w:val="24"/>
          <w:highlight w:val="none"/>
        </w:rPr>
        <w:t xml:space="preserve">.报价要求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r/>
    </w:p>
    <w:p>
      <w:pPr>
        <w:ind w:firstLine="48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④该项目为江宁区多所中小学等单位的学生课桌椅集中采购，中标公示日期满30天内必须全部送货、安装并调试到位，任务重，要求高。</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rPr>
          <w:rFonts w:hint="eastAsia" w:ascii="宋体" w:hAnsi="宋体" w:cs="宋体"/>
          <w:bCs/>
          <w:color w:val="auto"/>
          <w:sz w:val="24"/>
          <w:szCs w:val="24"/>
          <w:highlight w:val="none"/>
        </w:rPr>
        <w:t xml:space="preserve">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③南京酷腾科教仪器设备有限公司参与本项目技术咨询服务，参照相关法规执行。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1.供应商提供以下样品实物一套（</w:t>
      </w:r>
      <w:r>
        <w:rPr>
          <w:rFonts w:hint="eastAsia" w:ascii="宋体" w:hAnsi="宋体" w:cs="宋体"/>
          <w:b/>
          <w:bCs/>
          <w:color w:val="auto"/>
          <w:sz w:val="24"/>
          <w:szCs w:val="24"/>
          <w:highlight w:val="none"/>
        </w:rPr>
        <w:t xml:space="preserve">无论供应商选投一个包还是多个包，只需提供一套，</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单人钢塑可调节课桌椅一</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采购包三</w:t>
      </w:r>
      <w:r/>
    </w:p>
    <w:p>
      <w:pPr>
        <w:jc w:val="center"/>
        <w:spacing w:before="120" w:after="120" w:line="0" w:lineRule="atLeast"/>
        <w:rPr>
          <w:rFonts w:hint="eastAsia" w:ascii="方正小标宋简体" w:hAnsi="方正小标宋简体" w:cs="方正小标宋简体"/>
          <w:color w:val="auto"/>
          <w:sz w:val="36"/>
          <w:szCs w:val="36"/>
          <w:highlight w:val="none"/>
        </w:rPr>
        <w:outlineLvl w:val="0"/>
      </w:pPr>
      <w:r>
        <w:rPr>
          <w:rFonts w:hint="eastAsia" w:ascii="方正小标宋简体" w:hAnsi="方正小标宋简体" w:cs="方正小标宋简体"/>
          <w:color w:val="auto"/>
          <w:sz w:val="36"/>
          <w:szCs w:val="36"/>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根据多所中小学教学需求，</w:t>
      </w:r>
      <w:r>
        <w:rPr>
          <w:rFonts w:hint="eastAsia" w:ascii="黑体" w:hAnsi="黑体" w:eastAsia="黑体" w:cs="黑体"/>
          <w:color w:val="auto"/>
          <w:sz w:val="24"/>
          <w:szCs w:val="24"/>
          <w:highlight w:val="none"/>
        </w:rPr>
        <w:t xml:space="preserve">配置</w:t>
      </w:r>
      <w:r>
        <w:rPr>
          <w:rFonts w:hint="eastAsia" w:ascii="宋体" w:hAnsi="宋体" w:cs="宋体"/>
          <w:color w:val="auto"/>
          <w:sz w:val="24"/>
          <w:szCs w:val="24"/>
          <w:highlight w:val="none"/>
        </w:rPr>
        <w:t xml:space="preserve">相关课桌椅设备，满足学校的教育教学需要</w:t>
      </w:r>
      <w:r>
        <w:rPr>
          <w:rFonts w:hint="eastAsia" w:ascii="宋体" w:hAnsi="宋体" w:cs="宋体"/>
          <w:bCs/>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项目建设遵循江苏省中小学教育技术装备（“十二五”版）-Ⅰ类，课桌椅尺寸与技术条件要求严格按照《学生课桌椅功能尺寸》（GB/T3976-2014）要求执行。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《家具结构安全技术规范》（GB 28008-2024）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《金属家具通用技术条件》（GB/T 3325-2024）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52"/>
        <w:tblW w:w="508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5"/>
        <w:gridCol w:w="1663"/>
        <w:gridCol w:w="1034"/>
        <w:gridCol w:w="726"/>
        <w:gridCol w:w="1534"/>
        <w:gridCol w:w="1467"/>
        <w:gridCol w:w="1184"/>
        <w:gridCol w:w="1326"/>
        <w:gridCol w:w="831"/>
      </w:tblGrid>
      <w:tr>
        <w:trPr>
          <w:trHeight w:val="711"/>
        </w:trPr>
        <w:tc>
          <w:tcPr>
            <w:tcW w:w="70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57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7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44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单价报价上限（元）</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c>
          <w:tcPr>
            <w:tcW w:w="78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14"/>
        </w:trPr>
        <w:tc>
          <w:tcPr>
            <w:tcW w:w="70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70"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单人钢塑可调节课桌椅一</w:t>
            </w:r>
            <w:r/>
          </w:p>
        </w:tc>
        <w:tc>
          <w:tcPr>
            <w:tcW w:w="97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1600</w:t>
            </w:r>
            <w:r/>
          </w:p>
        </w:tc>
        <w:tc>
          <w:tcPr>
            <w:tcW w:w="68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48"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83"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629"/>
        </w:trPr>
        <w:tc>
          <w:tcPr>
            <w:tcW w:w="70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tcW w:w="1570"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97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450</w:t>
            </w:r>
            <w:r/>
          </w:p>
        </w:tc>
        <w:tc>
          <w:tcPr>
            <w:tcW w:w="68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48"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83"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2"/>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6"/>
        <w:gridCol w:w="1064"/>
        <w:gridCol w:w="7434"/>
      </w:tblGrid>
      <w:tr>
        <w:trPr>
          <w:jc w:val="center"/>
          <w:trHeight w:val="23"/>
        </w:trPr>
        <w:tc>
          <w:tcPr>
            <w:tcW w:w="1026"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06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743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功能、性能、配置不低于以下要求</w:t>
            </w:r>
            <w:r/>
          </w:p>
        </w:tc>
      </w:tr>
      <w:tr>
        <w:trPr>
          <w:jc w:val="center"/>
          <w:trHeight w:val="23"/>
        </w:trPr>
        <w:tc>
          <w:tcPr>
            <w:tcBorders>
              <w:bottom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Borders>
              <w:bottom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单人钢塑可调节课桌椅一</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 xml:space="preserve">椅子下</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rPr>
              <w:t xml:space="preserve">设有书包网,规格390mm×295mm×80mm，采用≥φ6mm钢筋及≥φ4mm钢筋焊接而成。横档≥6根，竖档≥6根。</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r>
        <w:trPr>
          <w:jc w:val="center"/>
          <w:trHeight w:val="23"/>
        </w:trPr>
        <w:tc>
          <w:tcPr>
            <w:tcBorders>
              <w:top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单人钢塑可调节课桌椅二</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r/>
    </w:p>
    <w:p>
      <w:pPr>
        <w:ind w:firstLine="480"/>
        <w:rPr>
          <w:rFonts w:hint="eastAsia" w:ascii="宋体" w:hAnsi="宋体"/>
          <w:color w:val="auto"/>
          <w:sz w:val="24"/>
          <w:highlight w:val="none"/>
        </w:rPr>
      </w:pPr>
      <w:r>
        <w:rPr>
          <w:rFonts w:hint="eastAsia" w:ascii="宋体" w:hAnsi="宋体" w:cs="宋体"/>
          <w:color w:val="auto"/>
          <w:sz w:val="24"/>
          <w:szCs w:val="24"/>
          <w:highlight w:val="none"/>
        </w:rPr>
        <w:t xml:space="preserve">供应商中标后，应提供家具材质清单、原材料产地证明，需就拟投入本项目生产的原材料和主要辅材进行送检，原材料及辅材应符合国家规定的强制性环保指标。甲醛释放量指标符合E1级（≤0.124mg/m³）。</w:t>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r/>
    </w:p>
    <w:p>
      <w:pPr>
        <w:ind w:firstLine="48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④该项目为江宁区多所中小学等单位的学生课桌椅集中采购，中标公示日期满30天内必须全部送货、安装并调试到位，任务重，要求高。</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③南京酷腾科教仪器设备有限公司参与本项目技术咨询服务，参照相关法规执行。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1.供应商提供以下样品实物一套（</w:t>
      </w:r>
      <w:r>
        <w:rPr>
          <w:rFonts w:hint="eastAsia" w:ascii="宋体" w:hAnsi="宋体" w:cs="宋体"/>
          <w:b/>
          <w:bCs/>
          <w:color w:val="auto"/>
          <w:sz w:val="24"/>
          <w:szCs w:val="24"/>
          <w:highlight w:val="none"/>
        </w:rPr>
        <w:t xml:space="preserve">无论供应商选投一个包还是多个包，只需提供一套，</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单人钢塑可调节课桌椅一</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采购包四</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根据多所中小学教学需求，</w:t>
      </w:r>
      <w:r>
        <w:rPr>
          <w:rFonts w:hint="eastAsia" w:ascii="黑体" w:hAnsi="黑体" w:eastAsia="黑体" w:cs="黑体"/>
          <w:color w:val="auto"/>
          <w:sz w:val="24"/>
          <w:szCs w:val="24"/>
          <w:highlight w:val="none"/>
        </w:rPr>
        <w:t xml:space="preserve">配置</w:t>
      </w:r>
      <w:r>
        <w:rPr>
          <w:rFonts w:hint="eastAsia" w:ascii="宋体" w:hAnsi="宋体" w:cs="宋体"/>
          <w:color w:val="auto"/>
          <w:sz w:val="24"/>
          <w:szCs w:val="24"/>
          <w:highlight w:val="none"/>
        </w:rPr>
        <w:t xml:space="preserve">相关课桌椅设备，满足学校的教育教学需要</w:t>
      </w:r>
      <w:r>
        <w:rPr>
          <w:rFonts w:hint="eastAsia" w:ascii="宋体" w:hAnsi="宋体" w:cs="宋体"/>
          <w:bCs/>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项目建设遵循江苏省中小学教育技术装备（“十二五”版）-Ⅰ类，课桌椅尺寸与技术条件要求严格按照《学生课桌椅功能尺寸》（GB/T3976-2014）要求执行。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《家具结构安全技术规范》（GB 28008-2024）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《金属家具通用技术条件》（GB/T 3325-2024）</w:t>
      </w:r>
      <w:r/>
    </w:p>
    <w:p>
      <w:pPr>
        <w:ind w:firstLine="480"/>
        <w:spacing w:line="264"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52"/>
        <w:tblW w:w="5174"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9"/>
        <w:gridCol w:w="1676"/>
        <w:gridCol w:w="958"/>
        <w:gridCol w:w="731"/>
        <w:gridCol w:w="1547"/>
        <w:gridCol w:w="1479"/>
        <w:gridCol w:w="1193"/>
        <w:gridCol w:w="1336"/>
        <w:gridCol w:w="1016"/>
      </w:tblGrid>
      <w:tr>
        <w:trPr>
          <w:trHeight w:val="711"/>
        </w:trPr>
        <w:tc>
          <w:tcPr>
            <w:tcW w:w="70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58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0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46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单价报价上限（元）</w:t>
            </w:r>
            <w:r/>
          </w:p>
        </w:tc>
        <w:tc>
          <w:tcPr>
            <w:tcW w:w="139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2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c>
          <w:tcPr>
            <w:tcW w:w="9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14"/>
        </w:trPr>
        <w:tc>
          <w:tcPr>
            <w:tcW w:w="70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83"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单人钢塑可调节课桌椅一</w:t>
            </w:r>
            <w:r/>
          </w:p>
        </w:tc>
        <w:tc>
          <w:tcPr>
            <w:tcW w:w="904" w:type="dxa"/>
            <w:vAlign w:val="center"/>
            <w:textDirection w:val="lrTb"/>
            <w:noWrap w:val="false"/>
          </w:tcPr>
          <w:p>
            <w:pPr>
              <w:jc w:val="center"/>
              <w:widowControl/>
              <w:rPr>
                <w:rFonts w:hint="default" w:ascii="宋体" w:hAnsi="宋体" w:cs="宋体"/>
                <w:bCs/>
                <w:color w:val="auto"/>
                <w:sz w:val="24"/>
                <w:szCs w:val="24"/>
                <w:highlight w:val="none"/>
              </w:rPr>
            </w:pPr>
            <w:r>
              <w:rPr>
                <w:rFonts w:hint="eastAsia" w:ascii="宋体" w:hAnsi="宋体" w:cs="宋体"/>
                <w:color w:val="auto"/>
                <w:sz w:val="22"/>
                <w:highlight w:val="none"/>
                <w:lang w:bidi="ar"/>
              </w:rPr>
              <w:t xml:space="preserve">1350</w:t>
            </w:r>
            <w:r/>
          </w:p>
        </w:tc>
        <w:tc>
          <w:tcPr>
            <w:tcW w:w="690"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60"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9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112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959"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629"/>
        </w:trPr>
        <w:tc>
          <w:tcPr>
            <w:tcW w:w="708"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tcW w:w="158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904" w:type="dxa"/>
            <w:vAlign w:val="center"/>
            <w:textDirection w:val="lrTb"/>
            <w:noWrap w:val="false"/>
          </w:tcPr>
          <w:p>
            <w:pPr>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700</w:t>
            </w:r>
            <w:r/>
          </w:p>
        </w:tc>
        <w:tc>
          <w:tcPr>
            <w:tcW w:w="690"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60"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9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W w:w="112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959"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2"/>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6"/>
        <w:gridCol w:w="1064"/>
        <w:gridCol w:w="7434"/>
      </w:tblGrid>
      <w:tr>
        <w:trPr>
          <w:jc w:val="center"/>
          <w:trHeight w:val="23"/>
        </w:trPr>
        <w:tc>
          <w:tcPr>
            <w:tcW w:w="1026"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06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743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功能、性能、配置不低于以下要求</w:t>
            </w:r>
            <w:r/>
          </w:p>
        </w:tc>
      </w:tr>
      <w:tr>
        <w:trPr>
          <w:jc w:val="center"/>
          <w:trHeight w:val="23"/>
        </w:trPr>
        <w:tc>
          <w:tcPr>
            <w:tcBorders>
              <w:bottom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Borders>
              <w:bottom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单人钢塑可调节课桌椅一</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 xml:space="preserve">椅子下</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rPr>
              <w:t xml:space="preserve">设有书包网,规格390mm×295mm×80mm，采用≥φ6mm钢筋及≥φ4mm钢筋焊接而成。横档≥6根，竖档≥6根。</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r>
        <w:trPr>
          <w:jc w:val="center"/>
          <w:trHeight w:val="23"/>
        </w:trPr>
        <w:tc>
          <w:tcPr>
            <w:tcBorders>
              <w:top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单人钢塑可调节课桌椅二</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r/>
    </w:p>
    <w:p>
      <w:pPr>
        <w:ind w:firstLine="480"/>
        <w:rPr>
          <w:rFonts w:hint="eastAsia" w:ascii="宋体" w:hAnsi="宋体"/>
          <w:color w:val="auto"/>
          <w:sz w:val="24"/>
          <w:highlight w:val="none"/>
        </w:rPr>
      </w:pPr>
      <w:r>
        <w:rPr>
          <w:rFonts w:hint="eastAsia" w:ascii="宋体" w:hAnsi="宋体" w:cs="宋体"/>
          <w:color w:val="auto"/>
          <w:sz w:val="24"/>
          <w:szCs w:val="24"/>
          <w:highlight w:val="none"/>
        </w:rPr>
        <w:t xml:space="preserve">供应商中标后，应提供家具材质清单、原材料产地证明，需就拟投入本项目生产的原材料和主要辅材进行送检，原材料及辅材应符合国家规定的强制性环保指标。甲醛释放量指标符合E1级（≤0.124mg/m³）。</w:t>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r/>
    </w:p>
    <w:p>
      <w:pPr>
        <w:ind w:firstLine="48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④该项目为江宁区多所中小学等单位的学生课桌椅集中采购，中标公示日期满30天内必须全部送货、安装并调试到位，任务重，要求高。</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③南京酷腾科教仪器设备有限公司参与本项目技术咨询服务，参照相关法规执行。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1.供应商提供以下样品实物一套（</w:t>
      </w:r>
      <w:r>
        <w:rPr>
          <w:rFonts w:hint="eastAsia" w:ascii="宋体" w:hAnsi="宋体" w:cs="宋体"/>
          <w:b/>
          <w:bCs/>
          <w:color w:val="auto"/>
          <w:sz w:val="24"/>
          <w:szCs w:val="24"/>
          <w:highlight w:val="none"/>
        </w:rPr>
        <w:t xml:space="preserve">无论供应商选投一个包还是多个包，只需提供一套，</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单人钢塑可调节课桌椅一</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采购包五</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根据多所中小学教学需求，</w:t>
      </w:r>
      <w:r>
        <w:rPr>
          <w:rFonts w:hint="eastAsia" w:ascii="黑体" w:hAnsi="黑体" w:eastAsia="黑体" w:cs="黑体"/>
          <w:color w:val="auto"/>
          <w:sz w:val="24"/>
          <w:szCs w:val="24"/>
          <w:highlight w:val="none"/>
        </w:rPr>
        <w:t xml:space="preserve">配置</w:t>
      </w:r>
      <w:r>
        <w:rPr>
          <w:rFonts w:hint="eastAsia" w:ascii="宋体" w:hAnsi="宋体" w:cs="宋体"/>
          <w:color w:val="auto"/>
          <w:sz w:val="24"/>
          <w:szCs w:val="24"/>
          <w:highlight w:val="none"/>
        </w:rPr>
        <w:t xml:space="preserve">相关课桌椅设备，满足学校的教育教学需要</w:t>
      </w:r>
      <w:r>
        <w:rPr>
          <w:rFonts w:hint="eastAsia" w:ascii="宋体" w:hAnsi="宋体" w:cs="宋体"/>
          <w:bCs/>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项目建设遵循江苏省中小学教育技术装备（“十二五”版）-Ⅰ类，课桌椅尺寸与技术条件要求严格按照《学生课桌椅功能尺寸》（GB/T3976-2014）要求执行。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664"/>
          <w:rFonts w:hint="eastAsia" w:ascii="宋体" w:hAnsi="宋体" w:cs="宋体"/>
          <w:bCs/>
          <w:color w:val="auto"/>
          <w:sz w:val="24"/>
          <w:szCs w:val="24"/>
          <w:highlight w:val="none"/>
          <w:u w:val="none"/>
        </w:rPr>
        <w:t xml:space="preserve">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《家具结构安全技术规范》（GB 28008-2024）</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《金属家具通用技术条件》（GB/T 3325-2024）</w:t>
      </w:r>
      <w:r/>
    </w:p>
    <w:p>
      <w:pPr>
        <w:ind w:firstLine="480"/>
        <w:spacing w:line="264"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（三）资产配置标准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52"/>
        <w:tblW w:w="5100"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5"/>
        <w:gridCol w:w="1663"/>
        <w:gridCol w:w="1034"/>
        <w:gridCol w:w="726"/>
        <w:gridCol w:w="1534"/>
        <w:gridCol w:w="1467"/>
        <w:gridCol w:w="1185"/>
        <w:gridCol w:w="1327"/>
        <w:gridCol w:w="852"/>
      </w:tblGrid>
      <w:tr>
        <w:trPr>
          <w:trHeight w:val="711"/>
        </w:trPr>
        <w:tc>
          <w:tcPr>
            <w:tcW w:w="70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57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7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44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单价报价上限（元）</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c>
          <w:tcPr>
            <w:tcW w:w="804"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14"/>
        </w:trPr>
        <w:tc>
          <w:tcPr>
            <w:tcW w:w="70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70"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单人钢塑可调节课桌椅一</w:t>
            </w:r>
            <w:r/>
          </w:p>
        </w:tc>
        <w:tc>
          <w:tcPr>
            <w:tcW w:w="97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1400</w:t>
            </w:r>
            <w:r/>
          </w:p>
        </w:tc>
        <w:tc>
          <w:tcPr>
            <w:tcW w:w="68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48"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804"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629"/>
        </w:trPr>
        <w:tc>
          <w:tcPr>
            <w:tcW w:w="70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tcW w:w="1570"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97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630</w:t>
            </w:r>
            <w:r/>
          </w:p>
        </w:tc>
        <w:tc>
          <w:tcPr>
            <w:tcW w:w="68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color w:val="auto"/>
                <w:sz w:val="22"/>
                <w:highlight w:val="none"/>
                <w:lang w:bidi="ar"/>
              </w:rPr>
              <w:t xml:space="preserve">套</w:t>
            </w:r>
            <w:r/>
          </w:p>
        </w:tc>
        <w:tc>
          <w:tcPr>
            <w:tcW w:w="1448"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340</w:t>
            </w:r>
            <w:r/>
          </w:p>
        </w:tc>
        <w:tc>
          <w:tcPr>
            <w:tcW w:w="138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W w:w="111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5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804"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240"/>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652"/>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6"/>
        <w:gridCol w:w="1064"/>
        <w:gridCol w:w="7434"/>
      </w:tblGrid>
      <w:tr>
        <w:trPr>
          <w:jc w:val="center"/>
          <w:trHeight w:val="23"/>
        </w:trPr>
        <w:tc>
          <w:tcPr>
            <w:tcW w:w="1026"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06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7434" w:type="dxa"/>
            <w:vAlign w:val="center"/>
            <w:textDirection w:val="lrTb"/>
            <w:noWrap w:val="false"/>
          </w:tcPr>
          <w:p>
            <w:pPr>
              <w:jc w:val="center"/>
              <w:spacing w:line="264"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功能、性能、配置不低于以下要求</w:t>
            </w:r>
            <w:r/>
          </w:p>
        </w:tc>
      </w:tr>
      <w:tr>
        <w:trPr>
          <w:jc w:val="center"/>
          <w:trHeight w:val="23"/>
        </w:trPr>
        <w:tc>
          <w:tcPr>
            <w:tcBorders>
              <w:bottom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Borders>
              <w:bottom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单人钢塑可调节课桌椅一</w:t>
            </w:r>
            <w:r/>
          </w:p>
        </w:tc>
        <w:tc>
          <w:tcPr>
            <w:tcW w:w="7434" w:type="dxa"/>
            <w:vAlign w:val="center"/>
            <w:textDirection w:val="lrTb"/>
            <w:noWrap w:val="false"/>
          </w:tcPr>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 xml:space="preserve">椅子下</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rPr>
              <w:t xml:space="preserve">设有书包网,规格390mm×295mm×80mm，采用≥φ6mm钢筋及≥φ4mm钢筋焊接而成。横档≥6根，竖档≥6根。</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 xml:space="preserve">▲</w:t>
            </w:r>
            <w:r>
              <w:rPr>
                <w:rFonts w:hint="eastAsia" w:ascii="宋体" w:hAnsi="宋体" w:cs="宋体"/>
                <w:bCs/>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r>
        <w:trPr>
          <w:jc w:val="center"/>
          <w:trHeight w:val="23"/>
        </w:trPr>
        <w:tc>
          <w:tcPr>
            <w:tcBorders>
              <w:top w:val="single" w:color="auto" w:sz="4" w:space="0"/>
            </w:tcBorders>
            <w:tcW w:w="1026"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tcBorders>
            <w:tcW w:w="10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单人钢塑可调节课桌椅二</w:t>
            </w:r>
            <w:r/>
          </w:p>
        </w:tc>
        <w:tc>
          <w:tcPr>
            <w:tcW w:w="7434" w:type="dxa"/>
            <w:vAlign w:val="center"/>
            <w:textDirection w:val="lrTb"/>
            <w:noWrap w:val="false"/>
          </w:tcPr>
          <w:p>
            <w:pPr>
              <w:pStyle w:val="669"/>
              <w:ind w:left="0"/>
              <w:spacing w:after="0"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1、规格：桌：长（600-650mm）×宽（400-450mm）×H（高度）mm，椅：长（400-430mm）×宽（365-380mm）×H（高度）mm。</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桌面板：采用环保ABS塑料加工制作，桌面厚度25（±2）mm。桌面底部设有不少于3根承重钢管，规格30mm×15mm×壁厚1.2mm并与桌面底部平齐，由螺丝锁付于面板底部。桌面板前端设置一冂字型防滑落凸条，四周无毛刺，靠胸前处为内弧造型。</w:t>
            </w:r>
            <w:r/>
          </w:p>
          <w:p>
            <w:pPr>
              <w:spacing w:line="260" w:lineRule="exact"/>
              <w:rPr>
                <w:rFonts w:hint="eastAsia" w:ascii="宋体" w:hAnsi="宋体" w:cs="宋体"/>
                <w:bCs/>
                <w:color w:val="auto"/>
                <w:szCs w:val="21"/>
                <w:highlight w:val="none"/>
              </w:rPr>
            </w:pPr>
            <w:r>
              <w:rPr>
                <w:rFonts w:hint="eastAsia" w:ascii="宋体" w:hAnsi="宋体" w:cs="宋体"/>
                <w:color w:val="auto"/>
                <w:highlight w:val="none"/>
              </w:rPr>
              <w:t xml:space="preserve">▲</w:t>
            </w:r>
            <w:r>
              <w:rPr>
                <w:rFonts w:hint="eastAsia" w:ascii="宋体" w:hAnsi="宋体" w:cs="宋体"/>
                <w:bCs/>
                <w:color w:val="auto"/>
                <w:szCs w:val="21"/>
                <w:highlight w:val="none"/>
              </w:rPr>
              <w:t xml:space="preserve">3、课桌为单斗结构。</w:t>
            </w:r>
            <w:r>
              <w:rPr>
                <w:rFonts w:hint="eastAsia" w:ascii="宋体" w:hAnsi="宋体" w:cs="宋体"/>
                <w:color w:val="auto"/>
                <w:szCs w:val="21"/>
                <w:highlight w:val="none"/>
              </w:rPr>
              <w:t xml:space="preserve">桌斗下沿距桌面高度不大于130mm。</w:t>
            </w:r>
            <w:r>
              <w:rPr>
                <w:rFonts w:hint="eastAsia" w:ascii="宋体" w:hAnsi="宋体" w:cs="宋体"/>
                <w:bCs/>
                <w:color w:val="auto"/>
                <w:szCs w:val="21"/>
                <w:highlight w:val="none"/>
              </w:rPr>
              <w:t xml:space="preserve">桌斗采用环保PP塑料加工制作。桌斗外径尺寸：550（±5）mm×385（±5）mm，内径尺寸：440（±5）mm×335（±5）mm。功能：桌斗底部有排水槽缝设计。桌斗前端的下方设置有一笔槽，笔槽有排水勾缝设计。</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w:t>
            </w:r>
            <w:r>
              <w:rPr>
                <w:rFonts w:hint="eastAsia" w:ascii="宋体" w:hAnsi="宋体" w:cs="宋体"/>
                <w:bCs/>
                <w:color w:val="auto"/>
                <w:szCs w:val="21"/>
                <w:highlight w:val="none"/>
              </w:rPr>
              <w:t xml:space="preserve">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5、可调节课桌椅高度要求：桌高规格共5个档位，每档30mm，椅高规格：共5个档位，每档20mm，升降方式采用旋钮升降，升降管外侧根据实际高度附有永久性刻度标识，可实时观测升降高度情况。</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6、椅面板后倾0-2度，靠背点以上应向后倾斜，与垂直面之间呈6-12度。椅面、靠背均采用环保PP塑料加工制作。</w:t>
            </w:r>
            <w:r/>
          </w:p>
          <w:p>
            <w:pPr>
              <w:spacing w:line="260" w:lineRule="exact"/>
              <w:rPr>
                <w:rFonts w:hint="eastAsia" w:ascii="宋体" w:hAnsi="宋体" w:cs="宋体"/>
                <w:color w:val="auto"/>
                <w:szCs w:val="21"/>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7、金属桌腿的脚套使用聚乙烯或聚丙烯材料等环保塑料，厚度不小于3mm。桌椅腿脚套需打孔+铆钉固定或自攻螺丝加固，防止脱落。</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8、左右两侧各配有与桌斗同色的挂钩，与桌斗一体成型，挂钩挂重物的垂直静承载力不小于500N，钩端不超过桌侧缘之外。</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9、桌椅的所有结构不得留有棱角和锋利边缝；金属表面静电喷涂塑粉。</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10、产品涉及的各类辅材和配件均是合格正品。</w:t>
            </w:r>
            <w:r/>
          </w:p>
          <w:p>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11、安装要求：桌面、椅靠背、椅面等隐形安装，表面不得有铆钉或自攻螺丝等。</w:t>
            </w:r>
            <w:r/>
          </w:p>
          <w:p>
            <w:pPr>
              <w:pStyle w:val="671"/>
              <w:ind w:left="0"/>
              <w:spacing w:after="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szCs w:val="21"/>
                <w:highlight w:val="none"/>
              </w:rPr>
              <w:t xml:space="preserve">12、为便于学校日常管理需在课桌、课椅的腿上激光打印课桌椅生产日期及厂家简称</w:t>
            </w:r>
            <w:r>
              <w:rPr>
                <w:rFonts w:hint="eastAsia" w:ascii="宋体" w:hAnsi="宋体" w:cs="宋体"/>
                <w:b/>
                <w:bCs/>
                <w:color w:val="auto"/>
                <w:szCs w:val="21"/>
                <w:highlight w:val="none"/>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r/>
    </w:p>
    <w:p>
      <w:pPr>
        <w:ind w:firstLine="480"/>
        <w:rPr>
          <w:rFonts w:hint="eastAsia" w:ascii="宋体" w:hAnsi="宋体"/>
          <w:color w:val="auto"/>
          <w:sz w:val="24"/>
          <w:highlight w:val="none"/>
        </w:rPr>
      </w:pPr>
      <w:r>
        <w:rPr>
          <w:rFonts w:hint="eastAsia" w:ascii="宋体" w:hAnsi="宋体" w:cs="宋体"/>
          <w:color w:val="auto"/>
          <w:sz w:val="24"/>
          <w:szCs w:val="24"/>
          <w:highlight w:val="none"/>
        </w:rPr>
        <w:t xml:space="preserve">供应商中标后，应提供家具材质清单、原材料产地证明，需就拟投入本项目生产的原材料和主要辅材进行送检，原材料及辅材应符合国家规定的强制性环保指标。甲醛释放量指标符合E1级（≤0.124mg/m³）。</w:t>
      </w:r>
      <w:r/>
    </w:p>
    <w:p>
      <w:pPr>
        <w:ind w:firstLine="480"/>
        <w:rPr>
          <w:rFonts w:ascii="宋体" w:hAnsi="宋体" w:cs="宋体"/>
          <w:bCs/>
          <w:color w:val="auto"/>
          <w:sz w:val="24"/>
          <w:szCs w:val="24"/>
          <w:highlight w:val="none"/>
        </w:rPr>
        <w:outlineLvl w:val="2"/>
      </w:pPr>
      <w:r>
        <w:rPr>
          <w:rFonts w:ascii="宋体" w:hAnsi="宋体"/>
          <w:color w:val="auto"/>
          <w:sz w:val="24"/>
          <w:highlight w:val="none"/>
        </w:rPr>
        <w:t xml:space="preserve">★</w:t>
      </w:r>
      <w:r>
        <w:rPr>
          <w:rFonts w:ascii="宋体" w:hAnsi="宋体" w:cs="宋体"/>
          <w:bCs/>
          <w:color w:val="auto"/>
          <w:sz w:val="24"/>
          <w:szCs w:val="24"/>
          <w:highlight w:val="none"/>
        </w:rPr>
        <w:t xml:space="preserve">（二）商务要求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1.中标供应商确定规则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供应商应及时与采购人联系，对本项目所有产品的款式、颜色等要求进一步确认，必须得到采购人的签字盖章认可后方可生产，并确保产品质量。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r/>
    </w:p>
    <w:p>
      <w:pPr>
        <w:ind w:firstLine="48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④该项目为江宁区多所中小学等单位的学生课桌椅集中采购，中标公示日期满30天内必须全部送货、安装并调试到位，任务重，要求高。</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（3）安全要求</w:t>
      </w:r>
      <w:r/>
    </w:p>
    <w:p>
      <w:pPr>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供应商在学校的施工范围主要包含进校、运输、搬运、摆放、调试等。供应商应采取相应安全措施，确保施工安全。因本项目施工过程，导致施工人员和学校师生人身安全问题，由供应商承担全部责任。</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①本项目所有产品质保期限为六年（自验收报告签字确认日起，开始进入质保期）。质保期内，每年维护保养1次，维护保养及更换损坏件的费用包含在投标总价中。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（6）平台监管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①供应商必须接受“南京市教育装备项目管理平台”的信息化过程管理，在“南京市教育装备云服务平台”中公开投标文件、合同与合同清单，接受南京市教育、财政、审计等行政部门的网络在线监督。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②供应商必须在履约过程中，严格按照“南京市教育装备项目管理平台”的技术与管理规范，在规定的时间节点，提供相应的合同履约资料，包括照片。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④供应商必须对所有进入固定资产的设备，按南京市的统一要求，通过“南京市教育装备项目管理平台”(南京市教育装备项目管理平台网址http://nj.cneefix.com)制作二维码标签,并张贴到设备上。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（7）其它要求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①中标供应商在履约过程中须按照规范及采购人要求，完成质保期内相关履约事项。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②中标供应商在签订合同前须将投标文件内提供的“相关证书”和“检测报告”等原件供采购人查验，如不提供或提供不全，采购人可向监管部门举报供应商虚假响应招标要求。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③南京酷腾科教仪器设备有限公司参与本项目技术咨询服务，参照相关法规执行。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中标公示日期满30天内完成安装调试交付等相关工作。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7.其他要求</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1.供应商提供以下样品实物一套（</w:t>
      </w:r>
      <w:r>
        <w:rPr>
          <w:rFonts w:hint="eastAsia" w:ascii="宋体" w:hAnsi="宋体" w:cs="宋体"/>
          <w:b/>
          <w:bCs/>
          <w:color w:val="auto"/>
          <w:sz w:val="24"/>
          <w:szCs w:val="24"/>
          <w:highlight w:val="none"/>
        </w:rPr>
        <w:t xml:space="preserve">无论供应商选投一个包还是多个包，只需提供一套，</w:t>
      </w:r>
      <w:r>
        <w:rPr>
          <w:rFonts w:hint="eastAsia" w:ascii="宋体" w:hAnsi="宋体" w:cs="宋体"/>
          <w:color w:val="auto"/>
          <w:sz w:val="24"/>
          <w:szCs w:val="24"/>
          <w:highlight w:val="none"/>
        </w:rPr>
        <w:t xml:space="preserve">所有的制作标准和要求与本次采购对应产品的参数一致）：</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单人钢塑可调节课桌椅一</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 xml:space="preserve">（需写明所投采购包号）</w:t>
      </w:r>
      <w:r>
        <w:rPr>
          <w:rFonts w:hint="eastAsia" w:ascii="宋体" w:hAnsi="宋体" w:cs="宋体"/>
          <w:bCs/>
          <w:color w:val="auto"/>
          <w:sz w:val="24"/>
          <w:szCs w:val="24"/>
          <w:highlight w:val="none"/>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bookmarkStart w:id="197" w:name="_Toc120614281"/>
      <w:r>
        <w:rPr>
          <w:rFonts w:hint="eastAsia" w:ascii="宋体" w:hAnsi="宋体" w:cs="宋体"/>
          <w:color w:val="auto"/>
          <w:sz w:val="24"/>
          <w:szCs w:val="24"/>
          <w:highlight w:val="none"/>
        </w:rPr>
        <w:t xml:space="preserve">附件：</w:t>
      </w:r>
      <w:r/>
    </w:p>
    <w:p>
      <w:pPr>
        <w:ind w:firstLine="48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1.交货地点汇总表</w:t>
      </w:r>
      <w:r/>
    </w:p>
    <w:p>
      <w:pPr>
        <w:widowControl/>
        <w:rPr>
          <w:rFonts w:hint="eastAsia" w:ascii="宋体" w:hAnsi="宋体" w:cs="宋体"/>
          <w:color w:val="auto"/>
          <w:sz w:val="22"/>
          <w:highlight w:val="none"/>
          <w:lang w:bidi="ar"/>
        </w:rPr>
      </w:pPr>
      <w:r>
        <w:rPr>
          <w:rFonts w:hint="eastAsia" w:ascii="宋体" w:hAnsi="宋体" w:cs="宋体"/>
          <w:color w:val="auto"/>
          <w:sz w:val="22"/>
          <w:highlight w:val="none"/>
        </w:rPr>
        <w:t xml:space="preserve">采购</w:t>
      </w:r>
      <w:r>
        <w:rPr>
          <w:rFonts w:hint="eastAsia" w:ascii="宋体" w:hAnsi="宋体" w:cs="宋体"/>
          <w:color w:val="auto"/>
          <w:sz w:val="22"/>
          <w:highlight w:val="none"/>
          <w:lang w:bidi="ar"/>
        </w:rPr>
        <w:t xml:space="preserve">包一</w:t>
      </w:r>
      <w:r/>
    </w:p>
    <w:tbl>
      <w:tblPr>
        <w:tblStyle w:val="652"/>
        <w:tblW w:w="9586" w:type="dxa"/>
        <w:tblInd w:w="-10" w:type="dxa"/>
        <w:tblLayout w:type="autofit"/>
        <w:tblCellMar>
          <w:left w:w="108" w:type="dxa"/>
          <w:top w:w="0" w:type="dxa"/>
          <w:right w:w="108" w:type="dxa"/>
          <w:bottom w:w="0" w:type="dxa"/>
        </w:tblCellMar>
        <w:tblLook w:val="04A0" w:firstRow="1" w:lastRow="0" w:firstColumn="1" w:lastColumn="0" w:noHBand="0" w:noVBand="1"/>
      </w:tblPr>
      <w:tblGrid>
        <w:gridCol w:w="741"/>
        <w:gridCol w:w="3022"/>
        <w:gridCol w:w="3556"/>
        <w:gridCol w:w="1344"/>
        <w:gridCol w:w="923"/>
      </w:tblGrid>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南京市东山初级中学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江宁高级中学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南京市秦淮中学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南京市智康路小学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齐武路小学-文鸿校区</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南京市汇通路小学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widowControl/>
              <w:rPr>
                <w:rFonts w:hint="eastAsia" w:ascii="宋体" w:hAnsi="宋体" w:cs="宋体"/>
                <w:color w:val="auto"/>
                <w:sz w:val="22"/>
                <w:highlight w:val="none"/>
              </w:rPr>
            </w:pPr>
            <w:r>
              <w:rPr>
                <w:rFonts w:hint="eastAsia"/>
                <w:color w:val="auto"/>
                <w:highlight w:val="none"/>
              </w:rPr>
              <w:t xml:space="preserve">南京市上秦淮小学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bl>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t xml:space="preserve">采购包二</w:t>
      </w:r>
      <w:r/>
    </w:p>
    <w:tbl>
      <w:tblPr>
        <w:tblStyle w:val="652"/>
        <w:tblW w:w="9586" w:type="dxa"/>
        <w:tblInd w:w="-10" w:type="dxa"/>
        <w:tblLayout w:type="autofit"/>
        <w:tblCellMar>
          <w:left w:w="108" w:type="dxa"/>
          <w:top w:w="0" w:type="dxa"/>
          <w:right w:w="108" w:type="dxa"/>
          <w:bottom w:w="0" w:type="dxa"/>
        </w:tblCellMar>
        <w:tblLook w:val="04A0" w:firstRow="1" w:lastRow="0" w:firstColumn="1" w:lastColumn="0" w:noHBand="0" w:noVBand="1"/>
      </w:tblPr>
      <w:tblGrid>
        <w:gridCol w:w="741"/>
        <w:gridCol w:w="3022"/>
        <w:gridCol w:w="3556"/>
        <w:gridCol w:w="1344"/>
        <w:gridCol w:w="923"/>
      </w:tblGrid>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南京市天印高级中学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400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未来科技城中学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南京市礼尚路学校</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南京市东山小学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南京市江宁上坊新城小学</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400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南京市滨江新城学校</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550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南京市江宁特殊教育学校</w:t>
            </w:r>
            <w:r/>
          </w:p>
        </w:tc>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bCs/>
                <w:color w:val="auto"/>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套</w:t>
            </w:r>
            <w:r/>
          </w:p>
        </w:tc>
      </w:tr>
    </w:tbl>
    <w:p>
      <w:pPr>
        <w:ind w:firstLine="720"/>
        <w:spacing w:line="42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widowControl/>
        <w:rPr>
          <w:rFonts w:hint="eastAsia" w:ascii="宋体" w:hAnsi="宋体" w:cs="宋体"/>
          <w:color w:val="auto"/>
          <w:sz w:val="22"/>
          <w:highlight w:val="none"/>
          <w:lang w:bidi="ar"/>
        </w:rPr>
      </w:pPr>
      <w:r>
        <w:rPr>
          <w:rFonts w:hint="eastAsia" w:ascii="宋体" w:hAnsi="宋体" w:cs="宋体"/>
          <w:color w:val="auto"/>
          <w:sz w:val="22"/>
          <w:highlight w:val="none"/>
        </w:rPr>
        <w:t xml:space="preserve">采购</w:t>
      </w:r>
      <w:r>
        <w:rPr>
          <w:rFonts w:hint="eastAsia" w:ascii="宋体" w:hAnsi="宋体" w:cs="宋体"/>
          <w:color w:val="auto"/>
          <w:sz w:val="22"/>
          <w:highlight w:val="none"/>
          <w:lang w:bidi="ar"/>
        </w:rPr>
        <w:t xml:space="preserve">包三</w:t>
      </w:r>
      <w:r/>
    </w:p>
    <w:tbl>
      <w:tblPr>
        <w:tblStyle w:val="652"/>
        <w:tblW w:w="4543" w:type="pct"/>
        <w:tblInd w:w="0" w:type="dxa"/>
        <w:tblLayout w:type="fixed"/>
        <w:tblCellMar>
          <w:left w:w="108" w:type="dxa"/>
          <w:top w:w="0" w:type="dxa"/>
          <w:right w:w="108" w:type="dxa"/>
          <w:bottom w:w="0" w:type="dxa"/>
        </w:tblCellMar>
        <w:tblLook w:val="04A0" w:firstRow="1" w:lastRow="0" w:firstColumn="1" w:lastColumn="0" w:noHBand="0" w:noVBand="1"/>
      </w:tblPr>
      <w:tblGrid>
        <w:gridCol w:w="781"/>
        <w:gridCol w:w="2985"/>
        <w:gridCol w:w="3524"/>
        <w:gridCol w:w="1375"/>
        <w:gridCol w:w="899"/>
      </w:tblGrid>
      <w:tr>
        <w:trPr>
          <w:trHeight w:val="50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单位</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龙都初级中学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铜井初级中学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江宁开发区学校</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南京市宏运学校</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江宁区禄口初级中学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江宁区谷里初级中学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江宁区东善桥初级中学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南京市江宁高新区中学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竹山中学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竹山小学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江宁区麒麟科创园学校</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r>
        <w:trPr>
          <w:trHeight w:val="50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南京市永泰路小学</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单人钢塑可调节课桌椅二</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套</w:t>
            </w:r>
            <w:r/>
          </w:p>
        </w:tc>
      </w:tr>
    </w:tbl>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采购包四</w:t>
      </w:r>
      <w:r/>
    </w:p>
    <w:tbl>
      <w:tblPr>
        <w:tblStyle w:val="652"/>
        <w:tblW w:w="9586" w:type="dxa"/>
        <w:tblInd w:w="-10" w:type="dxa"/>
        <w:tblLayout w:type="fixed"/>
        <w:tblCellMar>
          <w:left w:w="108" w:type="dxa"/>
          <w:top w:w="0" w:type="dxa"/>
          <w:right w:w="108" w:type="dxa"/>
          <w:bottom w:w="0" w:type="dxa"/>
        </w:tblCellMar>
        <w:tblLook w:val="04A0" w:firstRow="1" w:lastRow="0" w:firstColumn="1" w:lastColumn="0" w:noHBand="0" w:noVBand="1"/>
      </w:tblPr>
      <w:tblGrid>
        <w:gridCol w:w="741"/>
        <w:gridCol w:w="3097"/>
        <w:gridCol w:w="3481"/>
        <w:gridCol w:w="1344"/>
        <w:gridCol w:w="923"/>
      </w:tblGrid>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学校名称</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南京紫东江宁学校</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200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37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将军山中学（将军大道）</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南京市天景山中学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南京市东山高级中学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color w:val="auto"/>
                <w:highlight w:val="none"/>
                <w:lang w:bidi="ar"/>
              </w:rPr>
            </w:pPr>
            <w:r>
              <w:rPr>
                <w:rFonts w:ascii="Arial" w:hAnsi="Arial" w:cs="Arial"/>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南京市礼尚路学校</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color w:val="auto"/>
                <w:highlight w:val="none"/>
                <w:lang w:bidi="ar"/>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color w:val="auto"/>
                <w:highlight w:val="none"/>
                <w:lang w:bidi="ar"/>
              </w:rPr>
            </w:pPr>
            <w:r>
              <w:rPr>
                <w:rFonts w:hint="eastAsia"/>
                <w:color w:val="auto"/>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color w:val="auto"/>
                <w:highlight w:val="none"/>
                <w:lang w:bidi="ar"/>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color w:val="auto"/>
                <w:highlight w:val="none"/>
                <w:lang w:bidi="ar"/>
              </w:rPr>
            </w:pPr>
            <w:r>
              <w:rPr>
                <w:rFonts w:ascii="Arial" w:hAnsi="Arial" w:cs="Arial"/>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南京市清水亭学校</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color w:val="auto"/>
                <w:highlight w:val="none"/>
                <w:lang w:bidi="ar"/>
              </w:rPr>
            </w:pPr>
            <w:r>
              <w:rPr>
                <w:rFonts w:hint="eastAsia" w:ascii="宋体" w:hAnsi="宋体" w:cs="宋体"/>
                <w:color w:val="auto"/>
                <w:sz w:val="20"/>
                <w:szCs w:val="20"/>
                <w:highlight w:val="none"/>
              </w:rPr>
              <w:t xml:space="preserve">单人钢塑可调节课桌椅一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color w:val="auto"/>
                <w:highlight w:val="none"/>
                <w:lang w:bidi="ar"/>
              </w:rPr>
            </w:pPr>
            <w:r>
              <w:rPr>
                <w:rFonts w:hint="eastAsia"/>
                <w:color w:val="auto"/>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color w:val="auto"/>
                <w:highlight w:val="none"/>
                <w:lang w:bidi="ar"/>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南京市东吉湖小学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w:t>
            </w:r>
            <w:r>
              <w:rPr>
                <w:rFonts w:hint="eastAsia" w:ascii="宋体" w:hAnsi="宋体" w:cs="宋体"/>
                <w:color w:val="auto"/>
                <w:sz w:val="20"/>
                <w:szCs w:val="20"/>
                <w:highlight w:val="none"/>
                <w:lang w:val="en-US" w:eastAsia="zh-CN"/>
              </w:rPr>
              <w:t xml:space="preserve">钢塑</w:t>
            </w:r>
            <w:r>
              <w:rPr>
                <w:rFonts w:hint="eastAsia" w:ascii="宋体" w:hAnsi="宋体" w:cs="宋体"/>
                <w:color w:val="auto"/>
                <w:sz w:val="20"/>
                <w:szCs w:val="20"/>
                <w:highlight w:val="none"/>
              </w:rPr>
              <w:t xml:space="preserve">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南京市芳园西路小学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w:t>
            </w:r>
            <w:r>
              <w:rPr>
                <w:rFonts w:hint="eastAsia" w:ascii="宋体" w:hAnsi="宋体" w:cs="宋体"/>
                <w:color w:val="auto"/>
                <w:sz w:val="20"/>
                <w:szCs w:val="20"/>
                <w:highlight w:val="none"/>
                <w:lang w:val="en-US" w:eastAsia="zh-CN"/>
              </w:rPr>
              <w:t xml:space="preserve">钢塑</w:t>
            </w:r>
            <w:r>
              <w:rPr>
                <w:rFonts w:hint="eastAsia" w:ascii="宋体" w:hAnsi="宋体" w:cs="宋体"/>
                <w:color w:val="auto"/>
                <w:sz w:val="20"/>
                <w:szCs w:val="20"/>
                <w:highlight w:val="none"/>
              </w:rPr>
              <w:t xml:space="preserve">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南京市天景山小学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w:t>
            </w:r>
            <w:r>
              <w:rPr>
                <w:rFonts w:hint="eastAsia" w:ascii="宋体" w:hAnsi="宋体" w:cs="宋体"/>
                <w:color w:val="auto"/>
                <w:sz w:val="20"/>
                <w:szCs w:val="20"/>
                <w:highlight w:val="none"/>
                <w:lang w:val="en-US" w:eastAsia="zh-CN"/>
              </w:rPr>
              <w:t xml:space="preserve">钢塑</w:t>
            </w:r>
            <w:r>
              <w:rPr>
                <w:rFonts w:hint="eastAsia" w:ascii="宋体" w:hAnsi="宋体" w:cs="宋体"/>
                <w:color w:val="auto"/>
                <w:sz w:val="20"/>
                <w:szCs w:val="20"/>
                <w:highlight w:val="none"/>
              </w:rPr>
              <w:t xml:space="preserve">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南京晓庄学院弘景实验小学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w:t>
            </w:r>
            <w:r>
              <w:rPr>
                <w:rFonts w:hint="eastAsia" w:ascii="宋体" w:hAnsi="宋体" w:cs="宋体"/>
                <w:color w:val="auto"/>
                <w:sz w:val="20"/>
                <w:szCs w:val="20"/>
                <w:highlight w:val="none"/>
                <w:lang w:val="en-US" w:eastAsia="zh-CN"/>
              </w:rPr>
              <w:t xml:space="preserve">钢塑</w:t>
            </w:r>
            <w:r>
              <w:rPr>
                <w:rFonts w:hint="eastAsia" w:ascii="宋体" w:hAnsi="宋体" w:cs="宋体"/>
                <w:color w:val="auto"/>
                <w:sz w:val="20"/>
                <w:szCs w:val="20"/>
                <w:highlight w:val="none"/>
              </w:rPr>
              <w:t xml:space="preserve">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150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cs="宋体"/>
                <w:color w:val="auto"/>
                <w:sz w:val="22"/>
                <w:highlight w:val="none"/>
              </w:rPr>
            </w:pPr>
            <w:r>
              <w:rPr>
                <w:rFonts w:ascii="Arial" w:hAnsi="Arial" w:cs="Arial"/>
                <w:color w:val="auto"/>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097" w:type="dxa"/>
            <w:vAlign w:val="center"/>
            <w:textDirection w:val="lrTb"/>
            <w:noWrap/>
          </w:tcPr>
          <w:p>
            <w:pPr>
              <w:jc w:val="left"/>
              <w:widowControl/>
              <w:rPr>
                <w:rFonts w:hint="eastAsia" w:ascii="宋体" w:hAnsi="宋体" w:cs="宋体"/>
                <w:color w:val="auto"/>
                <w:sz w:val="22"/>
                <w:highlight w:val="none"/>
              </w:rPr>
            </w:pPr>
            <w:r>
              <w:rPr>
                <w:rFonts w:hint="eastAsia"/>
                <w:color w:val="auto"/>
                <w:highlight w:val="none"/>
              </w:rPr>
              <w:t xml:space="preserve">南京市文靖东路小学</w:t>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单人</w:t>
            </w:r>
            <w:r>
              <w:rPr>
                <w:rFonts w:hint="eastAsia" w:ascii="宋体" w:hAnsi="宋体" w:cs="宋体"/>
                <w:color w:val="auto"/>
                <w:sz w:val="20"/>
                <w:szCs w:val="20"/>
                <w:highlight w:val="none"/>
                <w:lang w:val="en-US" w:eastAsia="zh-CN"/>
              </w:rPr>
              <w:t xml:space="preserve">钢塑</w:t>
            </w:r>
            <w:r>
              <w:rPr>
                <w:rFonts w:hint="eastAsia" w:ascii="宋体" w:hAnsi="宋体" w:cs="宋体"/>
                <w:color w:val="auto"/>
                <w:sz w:val="20"/>
                <w:szCs w:val="20"/>
                <w:highlight w:val="none"/>
              </w:rPr>
              <w:t xml:space="preserve">可调节课桌椅二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300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套</w:t>
            </w:r>
            <w:r/>
          </w:p>
        </w:tc>
      </w:tr>
    </w:tbl>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采购包五</w:t>
      </w:r>
      <w:r/>
    </w:p>
    <w:tbl>
      <w:tblPr>
        <w:tblStyle w:val="6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289"/>
        <w:gridCol w:w="3440"/>
        <w:gridCol w:w="1350"/>
        <w:gridCol w:w="887"/>
      </w:tblGrid>
      <w:tr>
        <w:trPr>
          <w:trHeight w:val="493"/>
        </w:trPr>
        <w:tc>
          <w:tcPr>
            <w:tcW w:w="69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3289"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学校名称</w:t>
            </w:r>
            <w:r/>
          </w:p>
        </w:tc>
        <w:tc>
          <w:tcPr>
            <w:tcW w:w="3440"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产品名称</w:t>
            </w:r>
            <w:r/>
          </w:p>
        </w:tc>
        <w:tc>
          <w:tcPr>
            <w:tcW w:w="1350"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W w:w="887"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r>
      <w:tr>
        <w:trPr>
          <w:trHeight w:val="493"/>
        </w:trPr>
        <w:tc>
          <w:tcPr>
            <w:tcW w:w="6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上元中学-福清街</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200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2</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齐武路初级中学</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3</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上峰初级中学</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4</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汤山初级中学</w:t>
            </w:r>
            <w:r/>
          </w:p>
        </w:tc>
        <w:tc>
          <w:tcPr>
            <w:tcW w:w="3440"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5</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梅龙湖学校</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6</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淳化初级中学</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color w:val="auto"/>
                <w:highlight w:val="none"/>
                <w:lang w:bidi="ar"/>
              </w:rPr>
            </w:pPr>
            <w:r>
              <w:rPr>
                <w:rFonts w:ascii="Arial" w:hAnsi="Arial" w:cs="Arial"/>
                <w:color w:val="auto"/>
                <w:sz w:val="20"/>
                <w:szCs w:val="20"/>
                <w:highlight w:val="none"/>
                <w:lang w:bidi="ar"/>
              </w:rPr>
              <w:t xml:space="preserve">7</w:t>
            </w:r>
            <w:r/>
          </w:p>
        </w:tc>
        <w:tc>
          <w:tcPr>
            <w:tcW w:w="3289" w:type="dxa"/>
            <w:vAlign w:val="center"/>
            <w:textDirection w:val="lrTb"/>
            <w:noWrap w:val="false"/>
          </w:tcPr>
          <w:p>
            <w:pPr>
              <w:jc w:val="left"/>
              <w:widowControl/>
              <w:rPr>
                <w:rFonts w:hint="eastAsia"/>
                <w:color w:val="auto"/>
                <w:highlight w:val="none"/>
                <w:lang w:bidi="ar"/>
              </w:rPr>
            </w:pPr>
            <w:r>
              <w:rPr>
                <w:rFonts w:hint="eastAsia"/>
                <w:color w:val="auto"/>
                <w:highlight w:val="none"/>
                <w:lang w:bidi="ar"/>
              </w:rPr>
              <w:t xml:space="preserve">湖熟初级中学</w:t>
            </w:r>
            <w:r/>
          </w:p>
        </w:tc>
        <w:tc>
          <w:tcPr>
            <w:tcW w:w="3440"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单人钢塑可调节课桌椅一</w:t>
            </w:r>
            <w:r/>
          </w:p>
        </w:tc>
        <w:tc>
          <w:tcPr>
            <w:tcW w:w="1350"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150</w:t>
            </w:r>
            <w:r/>
          </w:p>
        </w:tc>
        <w:tc>
          <w:tcPr>
            <w:tcW w:w="887"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套</w:t>
            </w:r>
            <w:r/>
          </w:p>
        </w:tc>
      </w:tr>
      <w:tr>
        <w:trPr>
          <w:trHeight w:val="493"/>
        </w:trPr>
        <w:tc>
          <w:tcPr>
            <w:tcW w:w="695" w:type="dxa"/>
            <w:vAlign w:val="center"/>
            <w:textDirection w:val="lrTb"/>
            <w:noWrap w:val="false"/>
          </w:tcPr>
          <w:p>
            <w:pPr>
              <w:jc w:val="center"/>
              <w:widowControl/>
              <w:rPr>
                <w:rFonts w:hint="eastAsia"/>
                <w:color w:val="auto"/>
                <w:highlight w:val="none"/>
                <w:lang w:bidi="ar"/>
              </w:rPr>
            </w:pPr>
            <w:r>
              <w:rPr>
                <w:rFonts w:ascii="Arial" w:hAnsi="Arial" w:cs="Arial"/>
                <w:color w:val="auto"/>
                <w:sz w:val="20"/>
                <w:szCs w:val="20"/>
                <w:highlight w:val="none"/>
                <w:lang w:bidi="ar"/>
              </w:rPr>
              <w:t xml:space="preserve">8</w:t>
            </w:r>
            <w:r/>
          </w:p>
        </w:tc>
        <w:tc>
          <w:tcPr>
            <w:tcW w:w="3289" w:type="dxa"/>
            <w:vAlign w:val="center"/>
            <w:textDirection w:val="lrTb"/>
            <w:noWrap w:val="false"/>
          </w:tcPr>
          <w:p>
            <w:pPr>
              <w:jc w:val="left"/>
              <w:widowControl/>
              <w:rPr>
                <w:rFonts w:hint="eastAsia"/>
                <w:color w:val="auto"/>
                <w:highlight w:val="none"/>
                <w:lang w:bidi="ar"/>
              </w:rPr>
            </w:pPr>
            <w:r>
              <w:rPr>
                <w:rFonts w:hint="eastAsia"/>
                <w:color w:val="auto"/>
                <w:highlight w:val="none"/>
                <w:lang w:bidi="ar"/>
              </w:rPr>
              <w:t xml:space="preserve">龙都初级中学</w:t>
            </w:r>
            <w:r/>
          </w:p>
        </w:tc>
        <w:tc>
          <w:tcPr>
            <w:tcW w:w="3440"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单人钢塑可调节课桌椅一</w:t>
            </w:r>
            <w:r/>
          </w:p>
        </w:tc>
        <w:tc>
          <w:tcPr>
            <w:tcW w:w="1350"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50</w:t>
            </w:r>
            <w:r/>
          </w:p>
        </w:tc>
        <w:tc>
          <w:tcPr>
            <w:tcW w:w="887" w:type="dxa"/>
            <w:vAlign w:val="center"/>
            <w:textDirection w:val="lrTb"/>
            <w:noWrap w:val="false"/>
          </w:tcPr>
          <w:p>
            <w:pPr>
              <w:jc w:val="center"/>
              <w:rPr>
                <w:rFonts w:hint="eastAsia"/>
                <w:color w:val="auto"/>
                <w:highlight w:val="none"/>
                <w:lang w:bidi="ar"/>
              </w:rPr>
            </w:pPr>
            <w:r>
              <w:rPr>
                <w:rFonts w:hint="eastAsia"/>
                <w:color w:val="auto"/>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9</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麒麟初级中学</w:t>
            </w:r>
            <w:r/>
          </w:p>
        </w:tc>
        <w:tc>
          <w:tcPr>
            <w:tcW w:w="3440"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500</w:t>
            </w:r>
            <w:r/>
          </w:p>
        </w:tc>
        <w:tc>
          <w:tcPr>
            <w:tcW w:w="887"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10</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秣陵初级中学</w:t>
            </w:r>
            <w:r/>
          </w:p>
        </w:tc>
        <w:tc>
          <w:tcPr>
            <w:tcW w:w="3440"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单人钢塑可调节课桌椅一</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887"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11</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谷里小学</w:t>
            </w:r>
            <w:r/>
          </w:p>
        </w:tc>
        <w:tc>
          <w:tcPr>
            <w:tcW w:w="3440"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425</w:t>
            </w:r>
            <w:r/>
          </w:p>
        </w:tc>
        <w:tc>
          <w:tcPr>
            <w:tcW w:w="887"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12</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思学街小学</w:t>
            </w:r>
            <w:r/>
          </w:p>
        </w:tc>
        <w:tc>
          <w:tcPr>
            <w:tcW w:w="3440"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单人钢塑可调节课桌椅二</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tcW w:w="887"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13</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上坊新城小学</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单人钢塑可调节课桌椅二</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493"/>
        </w:trPr>
        <w:tc>
          <w:tcPr>
            <w:tcW w:w="695"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 w:val="20"/>
                <w:szCs w:val="20"/>
                <w:highlight w:val="none"/>
                <w:lang w:bidi="ar"/>
              </w:rPr>
              <w:t xml:space="preserve">14</w:t>
            </w:r>
            <w:r/>
          </w:p>
        </w:tc>
        <w:tc>
          <w:tcPr>
            <w:tcW w:w="328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汤山中心小学</w:t>
            </w:r>
            <w:r/>
          </w:p>
        </w:tc>
        <w:tc>
          <w:tcPr>
            <w:tcW w:w="34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2"/>
                <w:highlight w:val="none"/>
                <w:lang w:bidi="ar"/>
              </w:rPr>
              <w:t xml:space="preserve">单人钢塑可调节课桌椅二</w:t>
            </w:r>
            <w:r/>
          </w:p>
        </w:tc>
        <w:tc>
          <w:tcPr>
            <w:tcW w:w="13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55</w:t>
            </w:r>
            <w:r/>
          </w:p>
        </w:tc>
        <w:tc>
          <w:tcPr>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r>
    </w:tbl>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right="840"/>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 xml:space="preserve">2.技术项</w:t>
      </w:r>
      <w:r>
        <w:rPr>
          <w:rFonts w:hint="eastAsia" w:ascii="宋体" w:hAnsi="宋体" w:cs="宋体"/>
          <w:color w:val="auto"/>
          <w:sz w:val="24"/>
          <w:szCs w:val="24"/>
          <w:highlight w:val="none"/>
        </w:rPr>
        <w:t xml:space="preserve">”总得分由高到低顺序排列。在投标文件满足招标文件全部实质性要求的供应商中，按照评审得分由高到低推荐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供应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color w:val="auto"/>
          <w:sz w:val="24"/>
          <w:szCs w:val="24"/>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且供应商在投标（响应）文件中对此作出承诺的（按照采购文件要求在《投标分项报价表》中作出承诺），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auto"/>
          <w:sz w:val="24"/>
          <w:szCs w:val="24"/>
          <w:highlight w:val="none"/>
        </w:rPr>
      </w:pP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三、政府采购政策功能落实</w:t>
      </w:r>
      <w:r/>
    </w:p>
    <w:p>
      <w:pPr>
        <w:ind w:firstLine="480"/>
        <w:spacing w:line="264" w:lineRule="auto"/>
        <w:rPr>
          <w:rFonts w:hint="eastAsia" w:ascii="黑体" w:hAnsi="黑体" w:eastAsia="黑体" w:cs="黑体"/>
          <w:color w:val="auto"/>
          <w:sz w:val="24"/>
          <w:szCs w:val="24"/>
          <w:highlight w:val="none"/>
        </w:rPr>
      </w:pPr>
      <w:r>
        <w:rPr>
          <w:rFonts w:hint="eastAsia" w:ascii="宋体" w:hAnsi="宋体"/>
          <w:color w:val="auto"/>
          <w:sz w:val="24"/>
          <w:szCs w:val="24"/>
          <w:highlight w:val="none"/>
        </w:rPr>
        <w:t xml:space="preserve">本项目专门面向中小微企业采购，不执行价格扣除政策，</w:t>
      </w:r>
      <w:r>
        <w:rPr>
          <w:rFonts w:hint="eastAsia" w:ascii="宋体" w:hAnsi="宋体"/>
          <w:color w:val="auto"/>
          <w:sz w:val="24"/>
          <w:szCs w:val="24"/>
          <w:highlight w:val="none"/>
          <w:lang w:val="zh-CN"/>
        </w:rPr>
        <w:t xml:space="preserve">全部货物制造商</w:t>
      </w:r>
      <w:r>
        <w:rPr>
          <w:rFonts w:hint="eastAsia" w:ascii="宋体" w:hAnsi="宋体"/>
          <w:color w:val="auto"/>
          <w:sz w:val="24"/>
          <w:szCs w:val="24"/>
          <w:highlight w:val="none"/>
        </w:rPr>
        <w:t xml:space="preserve">应为中小微企业或监狱企业或残疾人福利性单位。</w:t>
      </w:r>
      <w:r/>
    </w:p>
    <w:p>
      <w:pPr>
        <w:ind w:firstLine="480"/>
        <w:spacing w:line="264" w:lineRule="auto"/>
        <w:rPr>
          <w:rFonts w:hint="eastAsia"/>
          <w:color w:val="auto"/>
          <w:highlight w:val="none"/>
        </w:rPr>
      </w:pPr>
      <w:r>
        <w:rPr>
          <w:rFonts w:hint="eastAsia" w:ascii="黑体" w:hAnsi="黑体" w:eastAsia="黑体" w:cs="黑体"/>
          <w:color w:val="auto"/>
          <w:sz w:val="24"/>
          <w:szCs w:val="24"/>
          <w:highlight w:val="none"/>
        </w:rPr>
        <w:t xml:space="preserve">四、评标标准（采购包1、采购包2、采购包3、采购包4、采购包5）</w:t>
      </w:r>
      <w:r/>
    </w:p>
    <w:tbl>
      <w:tblPr>
        <w:tblStyle w:val="65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54"/>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rPr>
                <w:rFonts w:ascii="宋体" w:hAnsi="宋体" w:cs="宋体"/>
                <w:color w:val="auto"/>
                <w:highlight w:val="none"/>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法计算，即满足招标文件要求且投标价格最低的投标</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价，其价格分为满分。其他投标人的价格分统一按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式计算：投标报价得分=(评标基准价/投标报价)×</w:t>
            </w:r>
            <w:r>
              <w:rPr>
                <w:rFonts w:hint="eastAsia" w:ascii="宋体" w:hAnsi="宋体" w:cs="宋体"/>
                <w:color w:val="auto"/>
                <w:highlight w:val="none"/>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color w:val="auto"/>
                <w:highlight w:val="none"/>
              </w:rPr>
            </w:pPr>
            <w:r>
              <w:rPr>
                <w:rFonts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color w:val="auto"/>
                <w:spacing w:val="-2"/>
                <w:highlight w:val="none"/>
              </w:rPr>
            </w:pPr>
            <w:r>
              <w:rPr>
                <w:rFonts w:ascii="宋体" w:hAnsi="宋体" w:cs="宋体"/>
                <w:color w:val="auto"/>
                <w:spacing w:val="-2"/>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hint="eastAsia" w:ascii="宋体" w:hAnsi="宋体" w:cs="宋体"/>
                <w:color w:val="auto"/>
                <w:highlight w:val="none"/>
              </w:rPr>
            </w:pPr>
            <w:r>
              <w:rPr>
                <w:rFonts w:hint="eastAsia" w:ascii="宋体" w:hAnsi="宋体" w:cs="宋体"/>
                <w:color w:val="auto"/>
                <w:highlight w:val="none"/>
              </w:rPr>
              <w:t xml:space="preserve">投标人提供《技术要求响应及偏离表》（具体格式见第六章），评委根据供应商所投产品对招标文件具体需求的响应程度进行评分：</w:t>
            </w:r>
            <w:r/>
          </w:p>
          <w:p>
            <w:pPr>
              <w:rPr>
                <w:rFonts w:hint="eastAsia" w:ascii="宋体" w:hAnsi="宋体" w:cs="宋体"/>
                <w:color w:val="auto"/>
                <w:spacing w:val="1"/>
                <w:highlight w:val="none"/>
              </w:rPr>
            </w:pPr>
            <w:r>
              <w:rPr>
                <w:rFonts w:hint="eastAsia" w:ascii="宋体" w:hAnsi="宋体" w:cs="宋体"/>
                <w:color w:val="auto"/>
                <w:highlight w:val="none"/>
              </w:rPr>
              <w:t xml:space="preserve">全部响应即产品技术参数全部满足招标文件第四章采购需求“四（一）技术要求”中非实质性要求的</w:t>
            </w:r>
            <w:r>
              <w:rPr>
                <w:rFonts w:hint="eastAsia" w:ascii="宋体" w:hAnsi="宋体" w:cs="宋体"/>
                <w:color w:val="auto"/>
                <w:szCs w:val="21"/>
                <w:highlight w:val="none"/>
              </w:rPr>
              <w:t xml:space="preserve">得满分</w:t>
            </w:r>
            <w:r>
              <w:rPr>
                <w:rFonts w:hint="eastAsia" w:ascii="宋体" w:hAnsi="宋体" w:cs="宋体"/>
                <w:color w:val="auto"/>
                <w:highlight w:val="none"/>
              </w:rPr>
              <w:t xml:space="preserve">30分；打★指标为必须满足项，如有负偏离将作为无效投标；打▲指标为重要指标，有1项负偏离扣2分；其余指标，有1项负偏离扣1分。</w:t>
            </w:r>
            <w:r>
              <w:rPr>
                <w:rFonts w:hint="eastAsia" w:ascii="宋体" w:hAnsi="宋体" w:cs="宋体"/>
                <w:color w:val="auto"/>
                <w:szCs w:val="21"/>
                <w:highlight w:val="none"/>
              </w:rPr>
              <w:t xml:space="preserve">本</w:t>
            </w:r>
            <w:r>
              <w:rPr>
                <w:rFonts w:hint="eastAsia" w:ascii="宋体" w:hAnsi="宋体" w:cs="宋体"/>
                <w:color w:val="auto"/>
                <w:highlight w:val="none"/>
              </w:rPr>
              <w:t xml:space="preserve">评分项最低分值为 0 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color w:val="auto"/>
                <w:spacing w:val="-2"/>
                <w:highlight w:val="none"/>
              </w:rPr>
            </w:pPr>
            <w:r>
              <w:rPr>
                <w:rFonts w:ascii="宋体" w:hAnsi="宋体" w:cs="宋体"/>
                <w:color w:val="auto"/>
                <w:spacing w:val="-2"/>
                <w:highlight w:val="none"/>
              </w:rPr>
              <w:t xml:space="preserve">原材料检测报告</w:t>
            </w:r>
            <w:r/>
          </w:p>
          <w:p>
            <w:pPr>
              <w:jc w:val="left"/>
              <w:spacing w:before="68"/>
              <w:rPr>
                <w:rFonts w:ascii="宋体" w:hAnsi="宋体" w:cs="宋体"/>
                <w:color w:val="auto"/>
                <w:spacing w:val="-2"/>
                <w:highlight w:val="none"/>
              </w:rPr>
            </w:pPr>
            <w:r>
              <w:rPr>
                <w:rFonts w:ascii="宋体" w:hAnsi="宋体" w:cs="宋体"/>
                <w:color w:val="auto"/>
                <w:spacing w:val="-2"/>
                <w:highlight w:val="none"/>
              </w:rPr>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投标人提供具有CMA标识的</w:t>
            </w:r>
            <w:r>
              <w:rPr>
                <w:rFonts w:hint="eastAsia" w:ascii="宋体" w:hAnsi="宋体" w:cs="宋体"/>
                <w:color w:val="auto"/>
                <w:szCs w:val="21"/>
                <w:highlight w:val="none"/>
              </w:rPr>
              <w:t xml:space="preserve">所投</w:t>
            </w:r>
            <w:r>
              <w:rPr>
                <w:rFonts w:hint="eastAsia" w:ascii="宋体" w:hAnsi="宋体" w:cs="宋体"/>
                <w:color w:val="auto"/>
                <w:sz w:val="22"/>
                <w:highlight w:val="none"/>
                <w:lang w:bidi="ar"/>
              </w:rPr>
              <w:t xml:space="preserve">单人钢塑可调节课桌椅一</w:t>
            </w:r>
            <w:r>
              <w:rPr>
                <w:rFonts w:hint="eastAsia" w:ascii="宋体" w:hAnsi="宋体" w:cs="宋体"/>
                <w:color w:val="auto"/>
                <w:szCs w:val="21"/>
                <w:highlight w:val="none"/>
              </w:rPr>
              <w:t xml:space="preserve">产品的部件</w:t>
            </w:r>
            <w:r>
              <w:rPr>
                <w:rFonts w:hint="eastAsia" w:ascii="宋体" w:hAnsi="宋体" w:cs="宋体"/>
                <w:color w:val="auto"/>
                <w:highlight w:val="none"/>
              </w:rPr>
              <w:t xml:space="preserve">ABS桌面板和PP座靠板以及钢管原材料检测报告，检测内容包括：</w:t>
            </w:r>
            <w:r/>
          </w:p>
          <w:p>
            <w:pPr>
              <w:rPr>
                <w:rFonts w:hint="eastAsia" w:ascii="宋体" w:hAnsi="宋体" w:cs="宋体"/>
                <w:color w:val="auto"/>
                <w:highlight w:val="none"/>
              </w:rPr>
            </w:pPr>
            <w:r>
              <w:rPr>
                <w:rFonts w:hint="eastAsia" w:ascii="宋体" w:hAnsi="宋体" w:cs="宋体"/>
                <w:color w:val="auto"/>
                <w:highlight w:val="none"/>
              </w:rPr>
              <w:t xml:space="preserve">（1）ABS桌面板，检测依据：GB/T1043.1-2008塑料简支梁冲击性能的测定第1部分：非仪器化冲击试验</w:t>
            </w:r>
            <w:r>
              <w:rPr>
                <w:rFonts w:hint="eastAsia" w:ascii="宋体" w:hAnsi="宋体" w:cs="宋体"/>
                <w:color w:val="auto"/>
                <w:szCs w:val="21"/>
                <w:highlight w:val="none"/>
                <w:lang w:bidi="ar"/>
              </w:rPr>
              <w:t xml:space="preserve">、</w:t>
            </w:r>
            <w:r>
              <w:rPr>
                <w:rFonts w:hint="eastAsia" w:ascii="宋体" w:hAnsi="宋体" w:cs="宋体"/>
                <w:color w:val="auto"/>
                <w:highlight w:val="none"/>
              </w:rPr>
              <w:t xml:space="preserve">GB/T16422.2-2022塑料实验室光源暴露试验方法第2部分:氙弧灯；检测项目需包含：经不少于500小时氙弧灯照射，老化后冲击能量不少于5J不破坏，检测结果：合格或符合要求；</w:t>
            </w:r>
            <w:r/>
          </w:p>
          <w:p>
            <w:pPr>
              <w:rPr>
                <w:rFonts w:hint="eastAsia" w:ascii="宋体" w:hAnsi="宋体" w:cs="宋体"/>
                <w:color w:val="auto"/>
                <w:highlight w:val="none"/>
              </w:rPr>
            </w:pPr>
            <w:r>
              <w:rPr>
                <w:rFonts w:hint="eastAsia" w:ascii="宋体" w:hAnsi="宋体" w:cs="宋体"/>
                <w:color w:val="auto"/>
                <w:highlight w:val="none"/>
              </w:rPr>
              <w:t xml:space="preserve">（2）PP座靠板，检测依据：GB/T1043.1-2008塑料简支梁冲击性能的测定第1部分：非仪器化冲击试验</w:t>
            </w:r>
            <w:r>
              <w:rPr>
                <w:rFonts w:hint="eastAsia" w:ascii="宋体" w:hAnsi="宋体" w:cs="宋体"/>
                <w:color w:val="auto"/>
                <w:szCs w:val="21"/>
                <w:highlight w:val="none"/>
                <w:lang w:bidi="ar"/>
              </w:rPr>
              <w:t xml:space="preserve">、</w:t>
            </w:r>
            <w:r>
              <w:rPr>
                <w:rFonts w:hint="eastAsia" w:ascii="宋体" w:hAnsi="宋体" w:cs="宋体"/>
                <w:color w:val="auto"/>
                <w:highlight w:val="none"/>
              </w:rPr>
              <w:t xml:space="preserve">GB/T16422.2-2022塑</w:t>
            </w:r>
            <w:r>
              <w:rPr>
                <w:rFonts w:hint="eastAsia" w:ascii="宋体" w:hAnsi="宋体" w:cs="宋体"/>
                <w:color w:val="auto"/>
                <w:highlight w:val="none"/>
                <w:lang w:val="en-US" w:eastAsia="zh-CN"/>
              </w:rPr>
              <w:t xml:space="preserve">料</w:t>
            </w:r>
            <w:r>
              <w:rPr>
                <w:rFonts w:hint="eastAsia" w:ascii="宋体" w:hAnsi="宋体" w:cs="宋体"/>
                <w:color w:val="auto"/>
                <w:highlight w:val="none"/>
              </w:rPr>
              <w:t xml:space="preserve">实验室光源暴露试验方法第2部分:氙弧灯，检测项目需包含：经不少于500小时氙弧灯照射，老化后冲击能量不少于5J不破坏，检测结果：合格或符合要求；</w:t>
            </w:r>
            <w:r/>
          </w:p>
          <w:p>
            <w:pPr>
              <w:rPr>
                <w:rFonts w:hint="eastAsia" w:ascii="宋体" w:hAnsi="宋体" w:cs="宋体"/>
                <w:color w:val="auto"/>
                <w:highlight w:val="none"/>
              </w:rPr>
            </w:pPr>
            <w:r>
              <w:rPr>
                <w:rFonts w:hint="eastAsia" w:ascii="宋体" w:hAnsi="宋体" w:cs="宋体"/>
                <w:color w:val="auto"/>
                <w:highlight w:val="none"/>
              </w:rPr>
              <w:t xml:space="preserve">（3）钢管，检测依据：GB/T3325-2024《金属家具通用技术条件》</w:t>
            </w:r>
            <w:r>
              <w:rPr>
                <w:rFonts w:hint="eastAsia" w:ascii="宋体" w:hAnsi="宋体" w:cs="宋体"/>
                <w:color w:val="auto"/>
                <w:szCs w:val="21"/>
                <w:highlight w:val="none"/>
                <w:lang w:bidi="ar"/>
              </w:rPr>
              <w:t xml:space="preserve">、</w:t>
            </w:r>
            <w:r>
              <w:rPr>
                <w:rFonts w:hint="eastAsia" w:ascii="宋体" w:hAnsi="宋体" w:cs="宋体"/>
                <w:color w:val="auto"/>
                <w:highlight w:val="none"/>
              </w:rPr>
              <w:t xml:space="preserve">GB/T700-2006《碳素结构钢》，检测项目需包含：金属喷漆(塑)涂层；力学性能。检测结果：合格或符合要求。</w:t>
            </w:r>
            <w:r/>
          </w:p>
          <w:p>
            <w:pPr>
              <w:rPr>
                <w:rFonts w:hint="eastAsia" w:ascii="宋体" w:hAnsi="宋体" w:cs="宋体"/>
                <w:color w:val="auto"/>
                <w:highlight w:val="none"/>
              </w:rPr>
            </w:pPr>
            <w:r>
              <w:rPr>
                <w:rFonts w:hint="eastAsia" w:ascii="宋体" w:hAnsi="宋体" w:cs="宋体"/>
                <w:color w:val="auto"/>
                <w:highlight w:val="none"/>
              </w:rPr>
              <w:t xml:space="preserve">每提供符合要求的1项得0.5分，最多得1.5分。</w:t>
            </w:r>
            <w:r/>
          </w:p>
          <w:p>
            <w:pPr>
              <w:rPr>
                <w:rFonts w:hint="eastAsia" w:ascii="宋体" w:hAnsi="宋体" w:cs="宋体"/>
                <w:color w:val="auto"/>
                <w:highlight w:val="none"/>
              </w:rPr>
            </w:pPr>
            <w:r>
              <w:rPr>
                <w:rFonts w:hint="eastAsia" w:ascii="宋体" w:hAnsi="宋体" w:cs="宋体"/>
                <w:color w:val="auto"/>
                <w:highlight w:val="none"/>
              </w:rPr>
              <w:t xml:space="preserve">备注：（1）所提供检测报告中“</w:t>
            </w:r>
            <w:r>
              <w:rPr>
                <w:rFonts w:hint="eastAsia" w:ascii="宋体" w:hAnsi="宋体" w:cs="宋体"/>
                <w:color w:val="auto"/>
                <w:szCs w:val="21"/>
                <w:highlight w:val="none"/>
              </w:rPr>
              <w:t xml:space="preserve">产品名称和</w:t>
            </w:r>
            <w:r>
              <w:rPr>
                <w:rFonts w:hint="eastAsia" w:ascii="宋体" w:hAnsi="宋体" w:cs="宋体"/>
                <w:color w:val="auto"/>
                <w:highlight w:val="none"/>
              </w:rPr>
              <w:t xml:space="preserve">检测内容”与</w:t>
            </w:r>
            <w:r>
              <w:rPr>
                <w:rFonts w:hint="eastAsia" w:ascii="宋体" w:hAnsi="宋体" w:cs="宋体"/>
                <w:color w:val="auto"/>
                <w:szCs w:val="21"/>
                <w:highlight w:val="none"/>
              </w:rPr>
              <w:t xml:space="preserve">评分细则规定</w:t>
            </w:r>
            <w:r>
              <w:rPr>
                <w:rFonts w:hint="eastAsia" w:ascii="宋体" w:hAnsi="宋体" w:cs="宋体"/>
                <w:color w:val="auto"/>
                <w:highlight w:val="none"/>
              </w:rPr>
              <w:t xml:space="preserve">不同时，应提供符合上述要求的内容（功能）说明及关键信息，否则不予认可。为方便评委评审，功能参数可用箭头、标红或下划线等进行明显标注。</w:t>
            </w:r>
            <w:r>
              <w:rPr>
                <w:rFonts w:hint="eastAsia"/>
                <w:color w:val="auto"/>
                <w:highlight w:val="none"/>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highlight w:val="none"/>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color w:val="auto"/>
                <w:spacing w:val="-2"/>
                <w:highlight w:val="none"/>
              </w:rPr>
            </w:pPr>
            <w:r>
              <w:rPr>
                <w:rFonts w:ascii="宋体" w:hAnsi="宋体" w:cs="宋体"/>
                <w:color w:val="auto"/>
                <w:spacing w:val="-2"/>
                <w:highlight w:val="none"/>
              </w:rPr>
              <w:t xml:space="preserve">成品检测报告</w:t>
            </w:r>
            <w:r/>
          </w:p>
          <w:p>
            <w:pPr>
              <w:jc w:val="left"/>
              <w:spacing w:before="68"/>
              <w:rPr>
                <w:rFonts w:hint="eastAsia" w:ascii="宋体" w:hAnsi="宋体" w:cs="宋体"/>
                <w:color w:val="auto"/>
                <w:spacing w:val="-2"/>
                <w:highlight w:val="none"/>
              </w:rPr>
            </w:pPr>
            <w:r>
              <w:rPr>
                <w:rFonts w:hint="eastAsia" w:ascii="宋体" w:hAnsi="宋体" w:cs="宋体"/>
                <w:color w:val="auto"/>
                <w:spacing w:val="-2"/>
                <w:highlight w:val="none"/>
              </w:rPr>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highlight w:val="none"/>
              </w:rPr>
              <w:t xml:space="preserve">投标人提供具有CMA标识</w:t>
            </w:r>
            <w:r>
              <w:rPr>
                <w:rFonts w:hint="eastAsia" w:ascii="宋体" w:hAnsi="宋体" w:cs="宋体"/>
                <w:color w:val="auto"/>
                <w:szCs w:val="21"/>
                <w:highlight w:val="none"/>
                <w:lang w:bidi="ar"/>
              </w:rPr>
              <w:t xml:space="preserve">的所投</w:t>
            </w:r>
            <w:r>
              <w:rPr>
                <w:rFonts w:hint="eastAsia" w:ascii="宋体" w:hAnsi="宋体" w:cs="宋体"/>
                <w:color w:val="auto"/>
                <w:sz w:val="22"/>
                <w:highlight w:val="none"/>
                <w:lang w:bidi="ar"/>
              </w:rPr>
              <w:t xml:space="preserve">单人钢塑可调节课桌椅一</w:t>
            </w:r>
            <w:r>
              <w:rPr>
                <w:rFonts w:hint="eastAsia" w:ascii="宋体" w:hAnsi="宋体" w:cs="宋体"/>
                <w:color w:val="auto"/>
                <w:szCs w:val="21"/>
                <w:highlight w:val="none"/>
                <w:lang w:bidi="ar"/>
              </w:rPr>
              <w:t xml:space="preserve">产品检测报告，检测内容：</w:t>
            </w:r>
            <w:r/>
          </w:p>
          <w:p>
            <w:pPr>
              <w:rPr>
                <w:rFonts w:hint="eastAsia" w:ascii="宋体" w:hAnsi="宋体" w:cs="宋体"/>
                <w:color w:val="auto"/>
                <w:szCs w:val="21"/>
                <w:highlight w:val="none"/>
                <w:lang w:bidi="ar"/>
              </w:rPr>
            </w:pPr>
            <w:r>
              <w:rPr>
                <w:rFonts w:hint="eastAsia" w:ascii="宋体" w:hAnsi="宋体" w:cs="宋体"/>
                <w:color w:val="auto"/>
                <w:sz w:val="22"/>
                <w:highlight w:val="none"/>
                <w:lang w:bidi="ar"/>
              </w:rPr>
              <w:t xml:space="preserve">钢塑</w:t>
            </w:r>
            <w:r>
              <w:rPr>
                <w:rFonts w:hint="eastAsia" w:ascii="宋体" w:hAnsi="宋体" w:cs="宋体"/>
                <w:color w:val="auto"/>
                <w:szCs w:val="21"/>
                <w:highlight w:val="none"/>
                <w:lang w:bidi="ar"/>
              </w:rPr>
              <w:t xml:space="preserve">课桌椅，检测依据：QB/T4071-2021《课桌椅》，检验需包含：①金属件外观要求（焊接件、喷涂层）；②塑料件外观要求；③安全性；④表面</w:t>
            </w:r>
            <w:r>
              <w:rPr>
                <w:rFonts w:hint="eastAsia" w:ascii="宋体" w:hAnsi="宋体" w:cs="宋体"/>
                <w:color w:val="auto"/>
                <w:szCs w:val="21"/>
                <w:highlight w:val="none"/>
                <w:lang w:bidi="ar"/>
              </w:rPr>
              <w:t xml:space="preserve">理化性能要求（耐盐浴、抗冲击、附着力）；⑤课椅力学性能【椅子向前、侧向、向后无倾翻；座面、椅背联合静载荷；座面、椅背联合耐久性（座面加力1250N，椅背加力300N，10万次）；座面侧向静载荷；椅腿侧向静载荷；座面冲击；椅背冲击；椅腿跌落】；⑥课桌力学性能【桌面垂直静载荷；桌面垂直耐久性（600N，15000次）；桌面垂直冲击；桌腿跌落；桌面水平静载荷】；⑦耐老化性（经500h试验后，拉伸强度、断裂伸长率的保持率应不小于60%；外观颜色变化色评级应不小于3级）；⑧有害物质限量（重金属、邻苯二甲酸酯）等项目。</w:t>
            </w:r>
            <w:r>
              <w:rPr>
                <w:rFonts w:hint="eastAsia" w:ascii="宋体" w:hAnsi="宋体" w:cs="宋体"/>
                <w:color w:val="auto"/>
                <w:highlight w:val="none"/>
              </w:rPr>
              <w:t xml:space="preserve">检测结果：合格或符合要求</w:t>
            </w:r>
            <w:r>
              <w:rPr>
                <w:rFonts w:hint="eastAsia" w:ascii="宋体" w:hAnsi="宋体" w:cs="宋体"/>
                <w:color w:val="auto"/>
                <w:szCs w:val="21"/>
                <w:highlight w:val="none"/>
                <w:lang w:bidi="ar"/>
              </w:rPr>
              <w:t xml:space="preserve">。</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以上检测内容全部满足或符合要求得2.5分，检验内容缺一项或有一项不合格扣0.5分，</w:t>
            </w:r>
            <w:r>
              <w:rPr>
                <w:rFonts w:hint="eastAsia" w:ascii="宋体" w:hAnsi="宋体" w:cs="宋体"/>
                <w:color w:val="auto"/>
                <w:szCs w:val="21"/>
                <w:highlight w:val="none"/>
              </w:rPr>
              <w:t xml:space="preserve">本</w:t>
            </w:r>
            <w:r>
              <w:rPr>
                <w:rFonts w:hint="eastAsia" w:ascii="宋体" w:hAnsi="宋体" w:cs="宋体"/>
                <w:color w:val="auto"/>
                <w:highlight w:val="none"/>
              </w:rPr>
              <w:t xml:space="preserve">评分项最低分值为 0 分</w:t>
            </w:r>
            <w:r/>
          </w:p>
          <w:p>
            <w:pPr>
              <w:rPr>
                <w:rFonts w:hint="eastAsia" w:ascii="宋体" w:hAnsi="宋体" w:cs="宋体"/>
                <w:color w:val="auto"/>
                <w:highlight w:val="none"/>
              </w:rPr>
            </w:pPr>
            <w:r>
              <w:rPr>
                <w:rFonts w:hint="eastAsia" w:ascii="宋体" w:hAnsi="宋体" w:cs="宋体"/>
                <w:color w:val="auto"/>
                <w:highlight w:val="none"/>
              </w:rPr>
              <w:t xml:space="preserve">备注：（1）所提供检测报告中“</w:t>
            </w:r>
            <w:r>
              <w:rPr>
                <w:rFonts w:hint="eastAsia" w:ascii="宋体" w:hAnsi="宋体" w:cs="宋体"/>
                <w:color w:val="auto"/>
                <w:szCs w:val="21"/>
                <w:highlight w:val="none"/>
              </w:rPr>
              <w:t xml:space="preserve">产品名称和</w:t>
            </w:r>
            <w:r>
              <w:rPr>
                <w:rFonts w:hint="eastAsia" w:ascii="宋体" w:hAnsi="宋体" w:cs="宋体"/>
                <w:color w:val="auto"/>
                <w:highlight w:val="none"/>
              </w:rPr>
              <w:t xml:space="preserve">检测内容”与</w:t>
            </w:r>
            <w:r>
              <w:rPr>
                <w:rFonts w:hint="eastAsia" w:ascii="宋体" w:hAnsi="宋体" w:cs="宋体"/>
                <w:color w:val="auto"/>
                <w:szCs w:val="21"/>
                <w:highlight w:val="none"/>
              </w:rPr>
              <w:t xml:space="preserve">评分细则规定</w:t>
            </w:r>
            <w:r>
              <w:rPr>
                <w:rFonts w:hint="eastAsia" w:ascii="宋体" w:hAnsi="宋体" w:cs="宋体"/>
                <w:color w:val="auto"/>
                <w:highlight w:val="none"/>
              </w:rPr>
              <w:t xml:space="preserve">不同时，应提供符合上述要求的内容（功能）说明及关键信息，否则不予认可。为方便评委评审，功能参数可用箭头、标红或下划线等进行明显标注。</w:t>
            </w:r>
            <w:r>
              <w:rPr>
                <w:rFonts w:hint="eastAsia"/>
                <w:color w:val="auto"/>
                <w:highlight w:val="none"/>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highlight w:val="none"/>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2.5</w:t>
            </w:r>
            <w:r/>
          </w:p>
        </w:tc>
        <w:tc>
          <w:tcPr>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2.4</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成品样品</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评委根据投标人提供的成品样品（“单人钢塑可调节课桌椅一”，1套）综合评分：</w:t>
            </w:r>
            <w:r/>
          </w:p>
          <w:p>
            <w:pPr>
              <w:rPr>
                <w:rFonts w:hint="eastAsia" w:ascii="宋体" w:hAnsi="宋体" w:cs="宋体"/>
                <w:color w:val="auto"/>
                <w:highlight w:val="none"/>
              </w:rPr>
            </w:pPr>
            <w:r>
              <w:rPr>
                <w:rFonts w:hint="eastAsia" w:ascii="宋体" w:hAnsi="宋体" w:cs="宋体"/>
                <w:color w:val="auto"/>
                <w:highlight w:val="none"/>
              </w:rPr>
              <w:t xml:space="preserve">（1）塑料件</w:t>
            </w:r>
            <w:r>
              <w:rPr>
                <w:rFonts w:hint="eastAsia" w:ascii="宋体" w:hAnsi="宋体" w:cs="宋体"/>
                <w:color w:val="auto"/>
                <w:szCs w:val="21"/>
                <w:highlight w:val="none"/>
              </w:rPr>
              <w:t xml:space="preserve">外观要求：</w:t>
            </w:r>
            <w:r>
              <w:rPr>
                <w:rFonts w:hint="eastAsia" w:ascii="宋体" w:hAnsi="宋体" w:cs="宋体"/>
                <w:color w:val="auto"/>
                <w:highlight w:val="none"/>
              </w:rPr>
              <w:t xml:space="preserve">表面平整度及光泽度高，边缘处理完善</w:t>
            </w:r>
            <w:r>
              <w:rPr>
                <w:rFonts w:hint="eastAsia" w:ascii="宋体" w:hAnsi="宋体" w:cs="宋体"/>
                <w:color w:val="auto"/>
                <w:szCs w:val="21"/>
                <w:highlight w:val="none"/>
              </w:rPr>
              <w:t xml:space="preserve">、无色差、无杂质、无异味。完全满足要求的得2分；基本满足要求的得1分；不能满足要求的不得分。</w:t>
            </w:r>
            <w:r/>
          </w:p>
          <w:p>
            <w:pPr>
              <w:rPr>
                <w:rFonts w:hint="eastAsia" w:ascii="宋体" w:hAnsi="宋体" w:cs="宋体"/>
                <w:color w:val="auto"/>
                <w:highlight w:val="none"/>
              </w:rPr>
            </w:pPr>
            <w:r>
              <w:rPr>
                <w:rFonts w:hint="eastAsia" w:ascii="宋体" w:hAnsi="宋体" w:cs="宋体"/>
                <w:color w:val="auto"/>
                <w:highlight w:val="none"/>
              </w:rPr>
              <w:t xml:space="preserve">（2）金属件</w:t>
            </w:r>
            <w:r>
              <w:rPr>
                <w:rFonts w:hint="eastAsia" w:ascii="宋体" w:hAnsi="宋体" w:cs="宋体"/>
                <w:color w:val="auto"/>
                <w:szCs w:val="21"/>
                <w:highlight w:val="none"/>
              </w:rPr>
              <w:t xml:space="preserve">外观要求：</w:t>
            </w:r>
            <w:r>
              <w:rPr>
                <w:rFonts w:hint="eastAsia" w:ascii="宋体" w:hAnsi="宋体" w:cs="宋体"/>
                <w:color w:val="auto"/>
                <w:highlight w:val="none"/>
              </w:rPr>
              <w:t xml:space="preserve">涂饰与漆膜平滑、连接或焊接无瑕疵、</w:t>
            </w:r>
            <w:r>
              <w:rPr>
                <w:rFonts w:hint="eastAsia" w:ascii="宋体" w:hAnsi="宋体" w:cs="宋体"/>
                <w:color w:val="auto"/>
                <w:szCs w:val="21"/>
                <w:highlight w:val="none"/>
              </w:rPr>
              <w:t xml:space="preserve">无色差、无杂质、无异味。完全满足要求的得2分；基本满足要求的得1分；不能满足要求的不得分。</w:t>
            </w:r>
            <w:r/>
          </w:p>
          <w:p>
            <w:pPr>
              <w:pStyle w:val="674"/>
              <w:rPr>
                <w:rFonts w:hint="eastAsia" w:ascii="宋体" w:hAnsi="宋体" w:cs="宋体"/>
                <w:color w:val="auto"/>
                <w:highlight w:val="none"/>
              </w:rPr>
            </w:pPr>
            <w:r>
              <w:rPr>
                <w:rFonts w:hint="eastAsia" w:ascii="宋体" w:hAnsi="宋体" w:cs="宋体"/>
                <w:color w:val="auto"/>
                <w:szCs w:val="21"/>
                <w:highlight w:val="none"/>
              </w:rPr>
              <w:t xml:space="preserve">（3）安全要求‌：符合安全要求，边缘无锐利棱角</w:t>
            </w:r>
            <w:r>
              <w:rPr>
                <w:rFonts w:hint="eastAsia" w:ascii="宋体" w:hAnsi="宋体" w:cs="宋体"/>
                <w:color w:val="auto"/>
                <w:highlight w:val="none"/>
              </w:rPr>
              <w:t xml:space="preserve">、支撑零件的组合部件配合严密、样品稳定、功能齐全</w:t>
            </w:r>
            <w:r>
              <w:rPr>
                <w:rFonts w:hint="eastAsia" w:ascii="宋体" w:hAnsi="宋体" w:cs="宋体"/>
                <w:color w:val="auto"/>
                <w:szCs w:val="21"/>
                <w:highlight w:val="none"/>
              </w:rPr>
              <w:t xml:space="preserve">。完全满足要求的得2分；基本满足要求的得1分；不能满足要求的不得分。</w:t>
            </w:r>
            <w:r/>
          </w:p>
          <w:p>
            <w:pPr>
              <w:rPr>
                <w:rFonts w:hint="eastAsia" w:ascii="宋体" w:hAnsi="宋体" w:cs="宋体"/>
                <w:color w:val="auto"/>
                <w:highlight w:val="none"/>
              </w:rPr>
            </w:pPr>
            <w:r>
              <w:rPr>
                <w:rFonts w:hint="eastAsia" w:ascii="宋体" w:hAnsi="宋体" w:cs="宋体"/>
                <w:color w:val="auto"/>
                <w:highlight w:val="none"/>
              </w:rPr>
              <w:t xml:space="preserve">（4）功能要求：挡位调节顺畅，卡位精准无卡顿，无噪音。完全满足要求的得2分；基本满足要求的得1分；不能满足要求的不得分。</w:t>
            </w:r>
            <w:r/>
          </w:p>
          <w:p>
            <w:pPr>
              <w:rPr>
                <w:rFonts w:hint="eastAsia" w:ascii="宋体" w:hAnsi="宋体" w:cs="宋体"/>
                <w:color w:val="auto"/>
                <w:highlight w:val="none"/>
              </w:rPr>
            </w:pPr>
            <w:r>
              <w:rPr>
                <w:rFonts w:hint="eastAsia" w:ascii="宋体" w:hAnsi="宋体" w:cs="宋体"/>
                <w:color w:val="auto"/>
                <w:highlight w:val="none"/>
              </w:rPr>
              <w:t xml:space="preserve">备注：本项最多得8分，投标人提供的样品不全或不符合本项目评审要求的不得分；未在截止时间前及规定地点提交样品的不得分</w:t>
            </w:r>
            <w:r>
              <w:rPr>
                <w:rFonts w:hint="eastAsia" w:ascii="宋体" w:hAnsi="宋体" w:cs="宋体"/>
                <w:color w:val="auto"/>
                <w:szCs w:val="21"/>
                <w:highlight w:val="none"/>
                <w:lang w:bidi="zh-CN"/>
              </w:rPr>
              <w:t xml:space="preserve">。</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90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color w:val="auto"/>
                <w:highlight w:val="none"/>
              </w:rPr>
            </w:pPr>
            <w:r>
              <w:rPr>
                <w:rFonts w:hint="eastAsia" w:ascii="宋体" w:hAnsi="宋体" w:cs="宋体"/>
                <w:color w:val="auto"/>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根据本项目采购需求中“实施要求”编制方案，内容包含：1.</w:t>
            </w:r>
            <w:r>
              <w:rPr>
                <w:rFonts w:hint="eastAsia"/>
                <w:color w:val="auto"/>
                <w:highlight w:val="none"/>
              </w:rPr>
              <w:t xml:space="preserve">项目管理措施</w:t>
            </w:r>
            <w:r>
              <w:rPr>
                <w:rFonts w:hint="eastAsia" w:ascii="宋体" w:hAnsi="宋体" w:cs="宋体"/>
                <w:color w:val="auto"/>
                <w:highlight w:val="none"/>
              </w:rPr>
              <w:t xml:space="preserve">；2.</w:t>
            </w:r>
            <w:r>
              <w:rPr>
                <w:rFonts w:hint="eastAsia"/>
                <w:color w:val="auto"/>
                <w:highlight w:val="none"/>
              </w:rPr>
              <w:t xml:space="preserve">组织保障与人员投入</w:t>
            </w:r>
            <w:r>
              <w:rPr>
                <w:rFonts w:hint="eastAsia" w:ascii="宋体" w:hAnsi="宋体" w:cs="宋体"/>
                <w:color w:val="auto"/>
                <w:highlight w:val="none"/>
              </w:rPr>
              <w:t xml:space="preserve">；3.</w:t>
            </w:r>
            <w:r>
              <w:rPr>
                <w:rFonts w:hint="eastAsia"/>
                <w:color w:val="auto"/>
                <w:highlight w:val="none"/>
              </w:rPr>
              <w:t xml:space="preserve">供货进度保证措施</w:t>
            </w:r>
            <w:r>
              <w:rPr>
                <w:rFonts w:hint="eastAsia" w:ascii="宋体" w:hAnsi="宋体" w:cs="宋体"/>
                <w:color w:val="auto"/>
                <w:highlight w:val="none"/>
              </w:rPr>
              <w:t xml:space="preserve">；4.</w:t>
            </w:r>
            <w:r>
              <w:rPr>
                <w:rFonts w:hint="eastAsia"/>
                <w:color w:val="auto"/>
                <w:highlight w:val="none"/>
              </w:rPr>
              <w:t xml:space="preserve">质量保证措施；5.控制措施；6.应急措施。</w:t>
            </w:r>
            <w:r>
              <w:rPr>
                <w:rFonts w:hint="eastAsia" w:ascii="宋体" w:hAnsi="宋体" w:cs="宋体"/>
                <w:color w:val="auto"/>
                <w:highlight w:val="none"/>
              </w:rPr>
              <w:t xml:space="preserve">以上每项内容逐项评分：</w:t>
            </w:r>
            <w:r/>
          </w:p>
          <w:p>
            <w:pPr>
              <w:rPr>
                <w:rFonts w:hint="eastAsia" w:ascii="宋体" w:hAnsi="宋体" w:cs="宋体"/>
                <w:color w:val="auto"/>
                <w:highlight w:val="none"/>
              </w:rPr>
            </w:pPr>
            <w:r>
              <w:rPr>
                <w:rFonts w:hint="eastAsia" w:ascii="宋体" w:hAnsi="宋体" w:cs="宋体"/>
                <w:color w:val="auto"/>
                <w:highlight w:val="none"/>
              </w:rPr>
              <w:t xml:space="preserve">方案内容</w:t>
            </w:r>
            <w:r>
              <w:rPr>
                <w:rFonts w:hint="eastAsia"/>
                <w:color w:val="auto"/>
                <w:highlight w:val="none"/>
              </w:rPr>
              <w:t xml:space="preserve">工作思路清晰，组织科学合理，可执行性强，符合江宁区实际情况</w:t>
            </w:r>
            <w:r>
              <w:rPr>
                <w:rFonts w:hint="eastAsia" w:ascii="宋体" w:hAnsi="宋体" w:cs="宋体"/>
                <w:color w:val="auto"/>
                <w:highlight w:val="none"/>
              </w:rPr>
              <w:t xml:space="preserve">，且专门针对本项目，契合采购需求视为符合；方案内容属于通用类，非专门针对本项目，部分契合采购需求视为部分符合；方案内容非专门针对本项目，脱离采购需求视为不符合。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color w:val="auto"/>
                <w:highlight w:val="none"/>
                <w:lang w:val="zh-CN"/>
              </w:rPr>
            </w:pPr>
            <w:r>
              <w:rPr>
                <w:rFonts w:hint="eastAsia" w:ascii="宋体" w:hAnsi="宋体" w:cs="宋体"/>
                <w:color w:val="auto"/>
                <w:highlight w:val="none"/>
              </w:rPr>
              <w:t xml:space="preserve">以上每项内容逐项评分：上述每项内容符合得1分；部分符合得0.5分；不符合或不提供不得分。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color w:val="auto"/>
                <w:spacing w:val="-6"/>
                <w:highlight w:val="none"/>
              </w:rPr>
            </w:pPr>
            <w:r>
              <w:rPr>
                <w:rFonts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color w:val="auto"/>
                <w:highlight w:val="none"/>
              </w:rPr>
            </w:pPr>
            <w:r>
              <w:rPr>
                <w:rFonts w:hint="eastAsia" w:ascii="宋体" w:hAnsi="宋体" w:cs="宋体"/>
                <w:color w:val="auto"/>
                <w:highlight w:val="none"/>
              </w:rPr>
              <w:t xml:space="preserve">售后服务</w:t>
            </w:r>
            <w:r/>
          </w:p>
          <w:p>
            <w:pPr>
              <w:jc w:val="left"/>
              <w:spacing w:before="68"/>
              <w:rPr>
                <w:rFonts w:hint="eastAsia" w:ascii="宋体" w:hAnsi="宋体" w:cs="宋体"/>
                <w:color w:val="auto"/>
                <w:highlight w:val="none"/>
              </w:rPr>
            </w:pPr>
            <w:r>
              <w:rPr>
                <w:rFonts w:hint="eastAsia" w:ascii="宋体" w:hAnsi="宋体" w:cs="宋体"/>
                <w:color w:val="auto"/>
                <w:highlight w:val="none"/>
              </w:rPr>
              <w:t xml:space="preserve">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根据本项目采购需求中“质保（维保）及售后要求”编制方案，内容包含：1.</w:t>
            </w:r>
            <w:r>
              <w:rPr>
                <w:rFonts w:hint="eastAsia"/>
                <w:color w:val="auto"/>
                <w:highlight w:val="none"/>
              </w:rPr>
              <w:t xml:space="preserve">服务渠道</w:t>
            </w:r>
            <w:r>
              <w:rPr>
                <w:rFonts w:hint="eastAsia" w:ascii="宋体" w:hAnsi="宋体" w:cs="宋体"/>
                <w:color w:val="auto"/>
                <w:highlight w:val="none"/>
              </w:rPr>
              <w:t xml:space="preserve">；2.</w:t>
            </w:r>
            <w:r>
              <w:rPr>
                <w:rFonts w:hint="eastAsia"/>
                <w:color w:val="auto"/>
                <w:highlight w:val="none"/>
              </w:rPr>
              <w:t xml:space="preserve">服务内容</w:t>
            </w:r>
            <w:r>
              <w:rPr>
                <w:rFonts w:hint="eastAsia" w:ascii="宋体" w:hAnsi="宋体" w:cs="宋体"/>
                <w:color w:val="auto"/>
                <w:highlight w:val="none"/>
              </w:rPr>
              <w:t xml:space="preserve">；3.</w:t>
            </w:r>
            <w:r>
              <w:rPr>
                <w:rFonts w:hint="eastAsia"/>
                <w:color w:val="auto"/>
                <w:highlight w:val="none"/>
              </w:rPr>
              <w:t xml:space="preserve">故障解决方案</w:t>
            </w:r>
            <w:r>
              <w:rPr>
                <w:rFonts w:hint="eastAsia" w:ascii="宋体" w:hAnsi="宋体" w:cs="宋体"/>
                <w:color w:val="auto"/>
                <w:highlight w:val="none"/>
              </w:rPr>
              <w:t xml:space="preserve">；4.</w:t>
            </w:r>
            <w:r>
              <w:rPr>
                <w:rFonts w:hint="eastAsia"/>
                <w:color w:val="auto"/>
                <w:highlight w:val="none"/>
              </w:rPr>
              <w:t xml:space="preserve">响应时间；5.技术人员保障；6.质量保证与保修等内容。</w:t>
            </w:r>
            <w:r>
              <w:rPr>
                <w:rFonts w:hint="eastAsia" w:ascii="宋体" w:hAnsi="宋体" w:cs="宋体"/>
                <w:color w:val="auto"/>
                <w:highlight w:val="none"/>
              </w:rPr>
              <w:t xml:space="preserve">以上每项内容逐项评分：</w:t>
            </w:r>
            <w:r/>
          </w:p>
          <w:p>
            <w:pPr>
              <w:rPr>
                <w:rFonts w:hint="eastAsia" w:ascii="宋体" w:hAnsi="宋体" w:cs="宋体"/>
                <w:color w:val="auto"/>
                <w:highlight w:val="none"/>
              </w:rPr>
            </w:pPr>
            <w:r>
              <w:rPr>
                <w:rFonts w:hint="eastAsia" w:ascii="宋体" w:hAnsi="宋体" w:cs="宋体"/>
                <w:color w:val="auto"/>
                <w:highlight w:val="none"/>
              </w:rPr>
              <w:t xml:space="preserve">方案内容</w:t>
            </w:r>
            <w:r>
              <w:rPr>
                <w:rFonts w:hint="eastAsia"/>
                <w:color w:val="auto"/>
                <w:highlight w:val="none"/>
              </w:rPr>
              <w:t xml:space="preserve">工作思路清晰，组织科学合理，可执行性强，符合江宁区实际情况</w:t>
            </w:r>
            <w:r>
              <w:rPr>
                <w:rFonts w:hint="eastAsia" w:ascii="宋体" w:hAnsi="宋体" w:cs="宋体"/>
                <w:color w:val="auto"/>
                <w:highlight w:val="none"/>
              </w:rPr>
              <w:t xml:space="preserve">，且专门针对本项目，契合采购需求视为符合；方案内容属于通用类，非专门针对本项目，部分契合采购需求视为部分符合；方案内容非专门针对本项目，脱离采购需求视为不符合。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color w:val="auto"/>
                <w:highlight w:val="none"/>
              </w:rPr>
            </w:pPr>
            <w:r>
              <w:rPr>
                <w:rFonts w:hint="eastAsia" w:ascii="宋体" w:hAnsi="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color w:val="auto"/>
                <w:spacing w:val="-6"/>
                <w:highlight w:val="none"/>
              </w:rPr>
            </w:pPr>
            <w:r>
              <w:rPr>
                <w:rFonts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color w:val="auto"/>
                <w:highlight w:val="none"/>
              </w:rPr>
            </w:pPr>
            <w:r>
              <w:rPr>
                <w:rFonts w:hint="eastAsia" w:ascii="宋体" w:hAnsi="宋体" w:cs="宋体"/>
                <w:color w:val="auto"/>
                <w:spacing w:val="-2"/>
                <w:highlight w:val="none"/>
              </w:rPr>
              <w:t xml:space="preserve">质保年限</w:t>
            </w:r>
            <w:r/>
          </w:p>
        </w:tc>
        <w:tc>
          <w:tcPr>
            <w:tcBorders>
              <w:top w:val="single" w:color="000000" w:sz="2" w:space="0"/>
              <w:bottom w:val="single" w:color="000000" w:sz="2" w:space="0"/>
            </w:tcBorders>
            <w:tcW w:w="6330" w:type="dxa"/>
            <w:vAlign w:val="center"/>
            <w:textDirection w:val="lrTb"/>
            <w:noWrap w:val="false"/>
          </w:tcPr>
          <w:p>
            <w:pPr>
              <w:pStyle w:val="675"/>
              <w:rPr>
                <w:rFonts w:hint="eastAsia"/>
                <w:color w:val="auto"/>
                <w:sz w:val="21"/>
                <w:highlight w:val="none"/>
                <w:lang w:bidi="ar-SA"/>
              </w:rPr>
            </w:pPr>
            <w:r>
              <w:rPr>
                <w:rFonts w:hint="eastAsia"/>
                <w:color w:val="auto"/>
                <w:sz w:val="21"/>
                <w:szCs w:val="21"/>
                <w:highlight w:val="none"/>
                <w:lang w:val="en-US"/>
              </w:rPr>
              <w:t xml:space="preserve">投标人承诺所有产品在</w:t>
            </w:r>
            <w:r>
              <w:rPr>
                <w:rFonts w:hint="eastAsia"/>
                <w:color w:val="auto"/>
                <w:sz w:val="21"/>
                <w:highlight w:val="none"/>
                <w:lang w:val="en-US" w:bidi="ar-SA"/>
              </w:rPr>
              <w:t xml:space="preserve">招标文件规定的6年质保期基础上</w:t>
            </w:r>
            <w:r>
              <w:rPr>
                <w:rFonts w:hint="eastAsia"/>
                <w:color w:val="auto"/>
                <w:sz w:val="21"/>
                <w:szCs w:val="21"/>
                <w:highlight w:val="none"/>
                <w:lang w:val="en-US"/>
              </w:rPr>
              <w:t xml:space="preserve">每增加</w:t>
            </w:r>
            <w:r>
              <w:rPr>
                <w:rFonts w:hint="eastAsia" w:ascii="Times New Roman" w:hAnsi="Times New Roman" w:cs="Times New Roman"/>
                <w:color w:val="auto"/>
                <w:sz w:val="21"/>
                <w:highlight w:val="none"/>
                <w:lang w:val="en-US" w:bidi="ar-SA"/>
              </w:rPr>
              <w:t xml:space="preserve">一年质保服务（相关费用包含在本次报价中）得1分，最多得3分（</w:t>
            </w:r>
            <w:r>
              <w:rPr>
                <w:rFonts w:hint="eastAsia"/>
                <w:color w:val="auto"/>
                <w:sz w:val="21"/>
                <w:highlight w:val="none"/>
                <w:lang w:val="en-US" w:bidi="ar-SA"/>
              </w:rPr>
              <w:t xml:space="preserve">上传承诺书扫描件至投标系统。</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51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color w:val="auto"/>
                <w:spacing w:val="-2"/>
                <w:highlight w:val="none"/>
              </w:rPr>
            </w:pPr>
            <w:r>
              <w:rPr>
                <w:rFonts w:hint="eastAsia" w:ascii="宋体" w:hAnsi="宋体" w:cs="宋体"/>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auto"/>
                <w:szCs w:val="21"/>
                <w:highlight w:val="none"/>
                <w:lang w:bidi="zh-CN"/>
              </w:rPr>
            </w:pPr>
            <w:r>
              <w:rPr>
                <w:rFonts w:hint="eastAsia" w:ascii="宋体" w:hAnsi="宋体" w:cs="宋体"/>
                <w:color w:val="auto"/>
                <w:highlight w:val="none"/>
              </w:rPr>
              <w:t xml:space="preserve">投标人提供2021年1月1日（含）以来完成的类似项目案例（需包含课桌椅），每提供1个得2分，最多得6分。（时间以合同签订时间为准，提供有效合同，合同页须清晰可见相应内容）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rPr>
                <w:color w:val="auto"/>
                <w:szCs w:val="21"/>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rPr>
                <w:rFonts w:ascii="宋体" w:hAnsi="宋体" w:cs="宋体"/>
                <w:color w:val="auto"/>
                <w:highlight w:val="none"/>
              </w:rPr>
            </w:pPr>
            <w:r>
              <w:rPr>
                <w:rFonts w:hint="eastAsia" w:ascii="宋体" w:hAnsi="宋体" w:cs="宋体"/>
                <w:b/>
                <w:bCs/>
                <w:color w:val="auto"/>
                <w:spacing w:val="-3"/>
                <w:highlight w:val="none"/>
              </w:rPr>
              <w:t xml:space="preserve">5.履约能力</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rPr>
              <w:t xml:space="preserve">履约能力</w:t>
            </w:r>
            <w:r>
              <w:rPr>
                <w:rFonts w:hint="eastAsia" w:ascii="宋体" w:hAnsi="宋体" w:cs="宋体"/>
                <w:color w:val="auto"/>
                <w:spacing w:val="-1"/>
                <w:highlight w:val="none"/>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pStyle w:val="654"/>
              <w:rPr>
                <w:rFonts w:hint="eastAsia"/>
                <w:color w:val="auto"/>
                <w:highlight w:val="none"/>
              </w:rPr>
            </w:pPr>
            <w:r>
              <w:rPr>
                <w:rFonts w:hint="eastAsia" w:ascii="宋体" w:hAnsi="宋体" w:cs="宋体"/>
                <w:color w:val="auto"/>
                <w:highlight w:val="none"/>
              </w:rPr>
              <w:t xml:space="preserve">投标人或所投产品制造商，具有“</w:t>
            </w:r>
            <w:r>
              <w:rPr>
                <w:rFonts w:hint="eastAsia" w:ascii="宋体" w:hAnsi="宋体"/>
                <w:color w:val="auto"/>
                <w:sz w:val="22"/>
                <w:highlight w:val="none"/>
              </w:rPr>
              <w:t xml:space="preserve">家具中有害物质限量认证证书</w:t>
            </w:r>
            <w:r/>
          </w:p>
          <w:p>
            <w:pPr>
              <w:rPr>
                <w:rFonts w:hint="eastAsia" w:ascii="宋体" w:hAnsi="宋体" w:cs="宋体"/>
                <w:color w:val="auto"/>
                <w:highlight w:val="none"/>
              </w:rPr>
            </w:pPr>
            <w:r>
              <w:rPr>
                <w:rFonts w:hint="eastAsia" w:ascii="宋体" w:hAnsi="宋体" w:cs="宋体"/>
                <w:color w:val="auto"/>
                <w:highlight w:val="none"/>
              </w:rPr>
              <w:t xml:space="preserve"> ”（产品名称</w:t>
            </w:r>
            <w:r>
              <w:rPr>
                <w:rFonts w:hint="eastAsia" w:ascii="宋体" w:hAnsi="宋体" w:cs="宋体"/>
                <w:color w:val="auto"/>
                <w:highlight w:val="none"/>
                <w:lang w:val="zh-CN"/>
              </w:rPr>
              <w:t xml:space="preserve">包含</w:t>
            </w:r>
            <w:r>
              <w:rPr>
                <w:rFonts w:hint="eastAsia" w:ascii="宋体" w:hAnsi="宋体" w:cs="宋体"/>
                <w:color w:val="auto"/>
                <w:highlight w:val="none"/>
              </w:rPr>
              <w:t xml:space="preserve">钢塑</w:t>
            </w:r>
            <w:r>
              <w:rPr>
                <w:rFonts w:hint="eastAsia" w:ascii="宋体" w:hAnsi="宋体" w:cs="宋体"/>
                <w:color w:val="auto"/>
                <w:sz w:val="22"/>
                <w:szCs w:val="21"/>
                <w:highlight w:val="none"/>
                <w:lang w:bidi="zh-CN"/>
              </w:rPr>
              <w:t xml:space="preserve">课桌、钢塑课椅</w:t>
            </w:r>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分。(上传证书原件扫描件至系统，认证范围不全本项不得分)</w:t>
            </w:r>
            <w:r/>
          </w:p>
          <w:p>
            <w:pPr>
              <w:rPr>
                <w:rFonts w:hint="eastAsia" w:ascii="宋体" w:hAnsi="宋体" w:cs="宋体"/>
                <w:color w:val="auto"/>
                <w:highlight w:val="none"/>
              </w:rPr>
            </w:pPr>
            <w:r>
              <w:rPr>
                <w:rFonts w:hint="eastAsia" w:ascii="宋体" w:hAnsi="宋体" w:cs="宋体"/>
                <w:color w:val="auto"/>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pacing w:val="-2"/>
                <w:highlight w:val="none"/>
                <w:lang w:eastAsia="zh-CN"/>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rPr>
              <w:t xml:space="preserve">履约能力</w:t>
            </w:r>
            <w:r>
              <w:rPr>
                <w:rFonts w:hint="eastAsia" w:ascii="宋体" w:hAnsi="宋体" w:cs="宋体"/>
                <w:color w:val="auto"/>
                <w:spacing w:val="-1"/>
                <w:highlight w:val="none"/>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pStyle w:val="675"/>
              <w:rPr>
                <w:rFonts w:hint="eastAsia"/>
                <w:color w:val="auto"/>
                <w:highlight w:val="none"/>
                <w:lang w:val="en-US"/>
              </w:rPr>
            </w:pPr>
            <w:r>
              <w:rPr>
                <w:rFonts w:hint="eastAsia"/>
                <w:color w:val="auto"/>
                <w:highlight w:val="none"/>
                <w:lang w:val="en-US"/>
              </w:rPr>
              <w:t xml:space="preserve">投标人或所投产品制造商具有有效期内的“中国绿色产品认证证书”（产品名称包含钢塑</w:t>
            </w:r>
            <w:r>
              <w:rPr>
                <w:rFonts w:hint="eastAsia"/>
                <w:color w:val="auto"/>
                <w:szCs w:val="21"/>
                <w:highlight w:val="none"/>
                <w:lang w:val="en-US"/>
              </w:rPr>
              <w:t xml:space="preserve">课桌、钢塑课椅</w:t>
            </w:r>
            <w:r>
              <w:rPr>
                <w:rFonts w:hint="eastAsia"/>
                <w:color w:val="auto"/>
                <w:highlight w:val="none"/>
                <w:lang w:val="en-US"/>
              </w:rPr>
              <w:t xml:space="preserve">），得</w:t>
            </w:r>
            <w:r>
              <w:rPr>
                <w:rFonts w:hint="eastAsia"/>
                <w:color w:val="auto"/>
                <w:highlight w:val="none"/>
                <w:lang w:val="en-US" w:eastAsia="zh-CN"/>
              </w:rPr>
              <w:t xml:space="preserve">3</w:t>
            </w:r>
            <w:r>
              <w:rPr>
                <w:rFonts w:hint="eastAsia"/>
                <w:color w:val="auto"/>
                <w:highlight w:val="none"/>
                <w:lang w:val="en-US"/>
              </w:rPr>
              <w:t xml:space="preserve">分。(上传证书原件扫描件至系统，认证范围不全本项不得分)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备注：所提供证书“认证产品”与评标标准给定名称不同时，应提供符合上述要求的内容（功能）说明及关键信息，否则不予认可。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33"/>
        </w:trPr>
        <w:tc>
          <w:tcPr>
            <w:gridSpan w:val="5"/>
            <w:tcBorders>
              <w:top w:val="single" w:color="000000" w:sz="2" w:space="0"/>
              <w:bottom w:val="single" w:color="000000" w:sz="2" w:space="0"/>
            </w:tcBorders>
            <w:tcW w:w="9575" w:type="dxa"/>
            <w:vAlign w:val="center"/>
            <w:textDirection w:val="lrTb"/>
            <w:noWrap w:val="false"/>
          </w:tcPr>
          <w:p>
            <w:pPr>
              <w:spacing w:before="68"/>
              <w:rPr>
                <w:rFonts w:hint="eastAsia" w:ascii="宋体" w:hAnsi="宋体" w:cs="宋体"/>
                <w:color w:val="auto"/>
                <w:spacing w:val="-6"/>
                <w:highlight w:val="none"/>
              </w:rPr>
            </w:pPr>
            <w:r>
              <w:rPr>
                <w:rFonts w:hint="eastAsia" w:ascii="宋体" w:hAnsi="宋体" w:cs="宋体"/>
                <w:b/>
                <w:bCs/>
                <w:color w:val="auto"/>
                <w:spacing w:val="-3"/>
                <w:highlight w:val="none"/>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color w:val="auto"/>
                <w:spacing w:val="-1"/>
                <w:highlight w:val="none"/>
              </w:rPr>
            </w:pPr>
            <w:r>
              <w:rPr>
                <w:rFonts w:hint="eastAsia" w:ascii="宋体" w:hAnsi="宋体" w:cs="宋体"/>
                <w:color w:val="auto"/>
                <w:spacing w:val="-1"/>
                <w:highlight w:val="none"/>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color w:val="auto"/>
                <w:highlight w:val="none"/>
              </w:rPr>
            </w:pPr>
            <w:r>
              <w:rPr>
                <w:rFonts w:hint="eastAsia" w:ascii="宋体" w:hAnsi="宋体" w:cs="宋体"/>
                <w:color w:val="auto"/>
                <w:highlight w:val="none"/>
              </w:rPr>
              <w:t xml:space="preserve">投标产品属于财政部、生态环境部公布的《</w:t>
            </w:r>
            <w:r>
              <w:rPr>
                <w:rFonts w:ascii="宋体" w:hAnsi="宋体" w:cs="宋体"/>
                <w:color w:val="auto"/>
                <w:highlight w:val="none"/>
              </w:rPr>
              <w:t xml:space="preserve">环境标志产品品目清单</w:t>
            </w:r>
            <w:r>
              <w:rPr>
                <w:rFonts w:hint="eastAsia" w:ascii="宋体" w:hAnsi="宋体" w:cs="宋体"/>
                <w:color w:val="auto"/>
                <w:highlight w:val="none"/>
              </w:rPr>
              <w:t xml:space="preserve">》</w:t>
            </w:r>
            <w:r>
              <w:rPr>
                <w:rFonts w:ascii="宋体" w:hAnsi="宋体" w:cs="宋体"/>
                <w:color w:val="auto"/>
                <w:highlight w:val="none"/>
              </w:rPr>
              <w:t xml:space="preserve">（财库〔2019〕1</w:t>
            </w:r>
            <w:r>
              <w:rPr>
                <w:rFonts w:hint="eastAsia" w:ascii="宋体" w:hAnsi="宋体" w:cs="宋体"/>
                <w:color w:val="auto"/>
                <w:highlight w:val="none"/>
              </w:rPr>
              <w:t xml:space="preserve">8</w:t>
            </w:r>
            <w:r>
              <w:rPr>
                <w:rFonts w:ascii="宋体" w:hAnsi="宋体" w:cs="宋体"/>
                <w:color w:val="auto"/>
                <w:highlight w:val="none"/>
              </w:rPr>
              <w:t xml:space="preserve">号）</w:t>
            </w:r>
            <w:r>
              <w:rPr>
                <w:rFonts w:hint="eastAsia" w:ascii="宋体" w:hAnsi="宋体" w:cs="宋体"/>
                <w:color w:val="auto"/>
                <w:highlight w:val="none"/>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rPr>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rPr>
                <w:rFonts w:ascii="宋体" w:hAnsi="宋体" w:cs="宋体"/>
                <w:color w:val="auto"/>
                <w:spacing w:val="-2"/>
                <w:highlight w:val="none"/>
              </w:rPr>
            </w:pPr>
            <w:r>
              <w:rPr>
                <w:rFonts w:ascii="宋体" w:hAnsi="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rPr>
                <w:color w:val="auto"/>
                <w:highlight w:val="none"/>
              </w:rPr>
            </w:pPr>
            <w:r>
              <w:rPr>
                <w:rFonts w:ascii="宋体" w:hAnsi="宋体" w:cs="宋体"/>
                <w:color w:val="auto"/>
                <w:spacing w:val="-11"/>
                <w:highlight w:val="none"/>
              </w:rPr>
              <w:t xml:space="preserve">100分</w:t>
            </w:r>
            <w:r/>
          </w:p>
        </w:tc>
      </w:tr>
    </w:tbl>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宋体" w:hAnsi="宋体" w:cs="宋体"/>
          <w:color w:val="auto"/>
          <w:sz w:val="22"/>
          <w:szCs w:val="21"/>
          <w:highlight w:val="none"/>
          <w:lang w:bidi="zh-CN"/>
        </w:rPr>
        <w:t xml:space="preserve">、</w:t>
      </w:r>
      <w:r/>
    </w:p>
    <w:p>
      <w:pP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66"/>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194"/>
      <w:r/>
      <w:bookmarkEnd w:id="195"/>
      <w:r/>
      <w:bookmarkEnd w:id="197"/>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bookmarkEnd w:id="200"/>
      <w:bookmarkEnd w:id="201"/>
      <w:bookmarkEnd w:id="202"/>
      <w:r/>
    </w:p>
    <w:p>
      <w:pPr>
        <w:ind w:firstLine="560"/>
        <w:spacing w:line="600" w:lineRule="exact"/>
        <w:rPr>
          <w:rFonts w:hint="eastAsia" w:ascii="宋体" w:hAnsi="宋体" w:cs="宋体"/>
          <w:color w:val="auto"/>
          <w:sz w:val="28"/>
          <w:szCs w:val="28"/>
          <w:highlight w:val="none"/>
        </w:rPr>
      </w:pPr>
      <w:r/>
      <w:bookmarkStart w:id="203"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十二、关于符合本国产品标准的声明函（如有）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676"/>
        <w:rPr>
          <w:color w:val="auto"/>
          <w:sz w:val="24"/>
          <w:highlight w:val="none"/>
        </w:rPr>
      </w:pPr>
      <w:r>
        <w:rPr>
          <w:color w:val="auto"/>
          <w:sz w:val="24"/>
          <w:highlight w:val="none"/>
        </w:rPr>
      </w:r>
      <w:r/>
    </w:p>
    <w:p>
      <w:pPr>
        <w:pStyle w:val="676"/>
        <w:rPr>
          <w:color w:val="auto"/>
          <w:sz w:val="24"/>
          <w:highlight w:val="none"/>
        </w:rPr>
      </w:pPr>
      <w:r>
        <w:rPr>
          <w:color w:val="auto"/>
          <w:sz w:val="24"/>
          <w:highlight w:val="none"/>
        </w:rPr>
      </w:r>
      <w:r/>
    </w:p>
    <w:p>
      <w:pPr>
        <w:pStyle w:val="676"/>
        <w:rPr>
          <w:color w:val="auto"/>
          <w:sz w:val="24"/>
          <w:highlight w:val="none"/>
        </w:rPr>
      </w:pPr>
      <w:r>
        <w:rPr>
          <w:color w:val="auto"/>
          <w:sz w:val="24"/>
          <w:highlight w:val="none"/>
        </w:rPr>
      </w:r>
      <w:r/>
    </w:p>
    <w:p>
      <w:pPr>
        <w:pStyle w:val="676"/>
        <w:rPr>
          <w:color w:val="auto"/>
          <w:sz w:val="24"/>
          <w:highlight w:val="none"/>
        </w:rPr>
      </w:pPr>
      <w:r>
        <w:rPr>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61"/>
        <w:ind w:firstLine="400"/>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南京市公共资源交易中心江宁分中心：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677"/>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96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678"/>
        <w:ind w:firstLine="480"/>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79"/>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678"/>
        <w:ind w:firstLine="480"/>
        <w:spacing w:line="420" w:lineRule="exact"/>
        <w:rPr>
          <w:rFonts w:hint="eastAsia"/>
          <w:color w:val="auto"/>
          <w:sz w:val="24"/>
          <w:szCs w:val="24"/>
          <w:highlight w:val="none"/>
        </w:rPr>
      </w:pPr>
      <w:r>
        <w:rPr>
          <w:rFonts w:hint="eastAsia"/>
          <w:color w:val="auto"/>
          <w:sz w:val="24"/>
          <w:szCs w:val="24"/>
          <w:highlight w:val="none"/>
        </w:rPr>
      </w:r>
      <w:r/>
    </w:p>
    <w:p>
      <w:pPr>
        <w:pStyle w:val="678"/>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678"/>
        <w:ind w:firstLine="480"/>
        <w:spacing w:line="480" w:lineRule="exact"/>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p>
    <w:p>
      <w:pPr>
        <w:pStyle w:val="678"/>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678"/>
        <w:ind w:firstLine="480"/>
        <w:spacing w:line="480" w:lineRule="exact"/>
        <w:rPr>
          <w:rFonts w:hint="eastAsia"/>
          <w:color w:val="auto"/>
          <w:sz w:val="24"/>
          <w:szCs w:val="24"/>
          <w:highlight w:val="none"/>
          <w:u w:val="single"/>
        </w:rPr>
      </w:pPr>
      <w:r>
        <w:rPr>
          <w:rFonts w:hint="eastAsia"/>
          <w:color w:val="auto"/>
          <w:sz w:val="24"/>
          <w:szCs w:val="24"/>
          <w:highlight w:val="none"/>
        </w:rPr>
        <w:t xml:space="preserve">被授权人联系电话：（手机）</w:t>
      </w:r>
      <w:r/>
    </w:p>
    <w:p>
      <w:pPr>
        <w:pStyle w:val="678"/>
        <w:ind w:firstLine="480"/>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678"/>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678"/>
        <w:ind w:firstLine="480"/>
        <w:spacing w:line="480" w:lineRule="exact"/>
        <w:rPr>
          <w:rFonts w:hint="eastAsia"/>
          <w:color w:val="auto"/>
          <w:sz w:val="24"/>
          <w:szCs w:val="24"/>
          <w:highlight w:val="none"/>
        </w:rPr>
      </w:pPr>
      <w:r>
        <w:rPr>
          <w:rFonts w:hint="eastAsia"/>
          <w:color w:val="auto"/>
          <w:sz w:val="24"/>
          <w:szCs w:val="24"/>
          <w:highlight w:val="none"/>
        </w:rPr>
        <w:t xml:space="preserve">日    期：</w:t>
      </w:r>
      <w:bookmarkStart w:id="204" w:name="_格式3__银行出具的资信证明"/>
      <w:r/>
      <w:bookmarkEnd w:id="204"/>
      <w:r/>
      <w:bookmarkStart w:id="205" w:name="_Hlt26671380"/>
      <w:r/>
      <w:bookmarkEnd w:id="205"/>
      <w:r/>
      <w:bookmarkStart w:id="206" w:name="_Hlt26955070"/>
      <w:r/>
      <w:bookmarkEnd w:id="206"/>
      <w:r/>
      <w:r/>
    </w:p>
    <w:p>
      <w:pPr>
        <w:pStyle w:val="653"/>
        <w:rPr>
          <w:rFonts w:hint="eastAsia"/>
          <w:i/>
          <w:color w:val="auto"/>
          <w:sz w:val="24"/>
          <w:szCs w:val="24"/>
          <w:highlight w:val="none"/>
          <w:u w:val="single"/>
        </w:rPr>
      </w:pPr>
      <w:r>
        <w:rPr>
          <w:rFonts w:hint="eastAsia"/>
          <w:i/>
          <w:color w:val="auto"/>
          <w:sz w:val="24"/>
          <w:szCs w:val="24"/>
          <w:highlight w:val="none"/>
          <w:u w:val="single"/>
        </w:rPr>
      </w:r>
      <w:r/>
    </w:p>
    <w:p>
      <w:pPr>
        <w:pStyle w:val="653"/>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w:t>
      </w:r>
      <w:r>
        <w:rPr>
          <w:rFonts w:hint="eastAsia" w:ascii="宋体" w:hAnsi="宋体"/>
          <w:color w:val="auto"/>
          <w:highlight w:val="none"/>
        </w:rPr>
        <w:t xml:space="preserve">江宁分中心</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667"/>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667"/>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661"/>
        <w:ind w:firstLine="480"/>
        <w:rPr>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其他</w:t>
      </w:r>
      <w:r>
        <w:rPr>
          <w:rFonts w:hint="eastAsia"/>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9.我方与本次投标有关信息</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66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66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66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66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6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6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667"/>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66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61"/>
        <w:ind w:firstLine="400"/>
        <w:rPr>
          <w:rFonts w:hint="eastAsia"/>
          <w:color w:val="auto"/>
          <w:highlight w:val="none"/>
        </w:rPr>
      </w:pPr>
      <w:r>
        <w:rPr>
          <w:rFonts w:hint="eastAsia"/>
          <w:color w:val="auto"/>
          <w:highlight w:val="none"/>
        </w:rPr>
      </w:r>
      <w:r/>
    </w:p>
    <w:p>
      <w:pPr>
        <w:jc w:val="cente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rPr>
      </w:r>
      <w:r/>
    </w:p>
    <w:p>
      <w:pPr>
        <w:jc w:val="cente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1"/>
        <w:ind w:firstLine="640"/>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1"/>
        <w:ind w:firstLine="400"/>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6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olor w:val="auto"/>
                <w:sz w:val="24"/>
                <w:szCs w:val="24"/>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auto" w:sz="4" w:space="0"/>
              <w:right w:val="single" w:color="auto" w:sz="4" w:space="0"/>
            </w:tcBorders>
            <w:tcW w:w="2158" w:type="dxa"/>
            <w:vAlign w:val="top"/>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auto" w:sz="4" w:space="0"/>
              <w:right w:val="single" w:color="auto" w:sz="4" w:space="0"/>
            </w:tcBorders>
            <w:tcW w:w="2391" w:type="dxa"/>
            <w:vAlign w:val="top"/>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widowControl/>
        <w:rPr>
          <w:rFonts w:ascii="宋体" w:cs="宋体"/>
          <w:color w:val="auto"/>
          <w:szCs w:val="21"/>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szCs w:val="21"/>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652"/>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660"/>
        <w:ind w:firstLine="480"/>
        <w:jc w:val="both"/>
        <w:spacing w:before="0" w:beforeAutospacing="0" w:after="0" w:afterAutospacing="0" w:line="360" w:lineRule="auto"/>
        <w:rPr>
          <w:color w:val="auto"/>
          <w:highlight w:val="none"/>
        </w:rPr>
      </w:pPr>
      <w:r>
        <w:rPr>
          <w:color w:val="auto"/>
          <w:highlight w:val="none"/>
        </w:rPr>
        <w:t xml:space="preserve">备注： </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1.“投标报价”应包括为完成整个项目所产生的所有费用，招标文件另有规定的除外。</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66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3.供应商所投产品须与“第四章-项目清单”中的产品一一对应，如有缺项、漏项或者超出单价上限，视为无效投标。</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pStyle w:val="66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660"/>
        <w:ind w:firstLine="480"/>
        <w:jc w:val="both"/>
        <w:spacing w:before="0" w:beforeAutospacing="0" w:after="0" w:afterAutospacing="0" w:line="360" w:lineRule="auto"/>
        <w:rPr>
          <w:color w:val="auto"/>
          <w:highlight w:val="none"/>
        </w:rPr>
      </w:pPr>
      <w:r>
        <w:rPr>
          <w:color w:val="auto"/>
          <w:highlight w:val="none"/>
        </w:rPr>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color w:val="auto"/>
                <w:highlight w:val="none"/>
              </w:rPr>
            </w:pPr>
            <w:r>
              <w:rPr>
                <w:color w:val="auto"/>
                <w:highlight w:val="none"/>
              </w:rPr>
            </w:r>
            <w:r/>
          </w:p>
          <w:p>
            <w:pPr>
              <w:pStyle w:val="666"/>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660"/>
        <w:ind w:firstLine="480"/>
        <w:jc w:val="both"/>
        <w:spacing w:before="0" w:beforeAutospacing="0" w:after="0" w:afterAutospacing="0"/>
        <w:rPr>
          <w:color w:val="auto"/>
          <w:highlight w:val="none"/>
        </w:rPr>
      </w:pPr>
      <w:r>
        <w:rPr>
          <w:color w:val="auto"/>
          <w:highlight w:val="none"/>
        </w:rPr>
      </w:r>
      <w:r/>
    </w:p>
    <w:p>
      <w:pPr>
        <w:pStyle w:val="660"/>
        <w:ind w:firstLine="482"/>
        <w:jc w:val="both"/>
        <w:spacing w:before="0" w:beforeAutospacing="0" w:after="0" w:afterAutospacing="0" w:line="360" w:lineRule="auto"/>
        <w:rPr>
          <w:rFonts w:hint="eastAsia"/>
          <w:color w:val="auto"/>
          <w:highlight w:val="none"/>
        </w:rPr>
      </w:pPr>
      <w:r>
        <w:rPr>
          <w:rFonts w:hint="eastAsia"/>
          <w:b/>
          <w:bCs/>
          <w:color w:val="auto"/>
          <w:highlight w:val="none"/>
        </w:rPr>
        <w:t xml:space="preserve">1.供应商应当对招标文件技术要求作出明确响应。</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66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3.供应商未对实质性要求作出明确响应的，或未按采购文件实质性要求提供证明材料的，作无效投标处理。</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jc w:val="left"/>
        <w:spacing w:line="360" w:lineRule="auto"/>
        <w:rPr>
          <w:rFonts w:hint="eastAsia" w:ascii="黑体" w:hAnsi="黑体" w:eastAsia="黑体"/>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1"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color w:val="auto"/>
                <w:highlight w:val="none"/>
              </w:rPr>
            </w:pPr>
            <w:r>
              <w:rPr>
                <w:color w:val="auto"/>
                <w:highlight w:val="none"/>
              </w:rPr>
            </w:r>
            <w:r/>
          </w:p>
          <w:p>
            <w:pPr>
              <w:pStyle w:val="666"/>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660"/>
        <w:ind w:firstLine="480"/>
        <w:jc w:val="both"/>
        <w:spacing w:before="0" w:beforeAutospacing="0" w:after="0" w:afterAutospacing="0" w:line="360" w:lineRule="auto"/>
        <w:rPr>
          <w:color w:val="auto"/>
          <w:highlight w:val="none"/>
        </w:rPr>
      </w:pPr>
      <w:r>
        <w:rPr>
          <w:rFonts w:hint="eastAsia"/>
          <w:color w:val="auto"/>
          <w:highlight w:val="none"/>
        </w:rPr>
        <w:t xml:space="preserve">1.供应商须对采购文件商务要求中的实质性要求（斜体下划线内容或打“★”内容）做出明确响应，否则视为无效投标。</w:t>
      </w:r>
      <w:r/>
    </w:p>
    <w:p>
      <w:pPr>
        <w:pStyle w:val="66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6"/>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6"/>
        <w:rPr>
          <w:rFonts w:hint="eastAsia"/>
          <w:color w:val="auto"/>
          <w:highlight w:val="none"/>
          <w:lang w:val="en-US"/>
        </w:rPr>
      </w:pPr>
      <w:r>
        <w:rPr>
          <w:rFonts w:hint="eastAsia"/>
          <w:color w:val="auto"/>
          <w:highlight w:val="none"/>
          <w:lang w:val="en-US"/>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行业（采购文件中明确的所属行业）；制造商为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行业（采购文件中明确的所属行业）；制造商为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rPr>
          <w:rFonts w:hint="eastAsia"/>
          <w:color w:val="auto"/>
          <w:highlight w:val="none"/>
        </w:rPr>
      </w:pPr>
      <w:r>
        <w:rPr>
          <w:rFonts w:hint="eastAsia"/>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w:t>
      </w:r>
      <w:r>
        <w:rPr>
          <w:rFonts w:hint="eastAsia" w:ascii="宋体" w:hAnsi="宋体"/>
          <w:b/>
          <w:bCs/>
          <w:color w:val="auto"/>
          <w:sz w:val="24"/>
          <w:szCs w:val="24"/>
          <w:highlight w:val="none"/>
        </w:rPr>
        <w:t xml:space="preserve">项目清单中列示的所有货物，投标人须在声明函中逐项列示并明确制造商的企业类型，如有缺失将按“不提供声明函”处理。</w:t>
      </w:r>
      <w:r>
        <w:rPr>
          <w:rFonts w:hint="eastAsia" w:ascii="宋体" w:hAnsi="宋体"/>
          <w:color w:val="auto"/>
          <w:sz w:val="24"/>
          <w:szCs w:val="24"/>
          <w:highlight w:val="none"/>
        </w:rPr>
        <w:t xml:space="preserve">此声明函将随中标结果同时公告，接受社会监督。4.货物采购项目中，货物的制造商应当为中小企业</w:t>
      </w:r>
      <w:r>
        <w:rPr>
          <w:rFonts w:hint="eastAsia" w:ascii="宋体" w:hAnsi="宋体"/>
          <w:b/>
          <w:bCs/>
          <w:color w:val="auto"/>
          <w:sz w:val="24"/>
          <w:szCs w:val="24"/>
          <w:highlight w:val="none"/>
        </w:rPr>
        <w:t xml:space="preserve">（货物由中小企业制造，即货物由中小企业生产且使用该中小企业商号或者注册商标）</w:t>
      </w:r>
      <w:r>
        <w:rPr>
          <w:rFonts w:hint="eastAsia" w:ascii="宋体" w:hAnsi="宋体"/>
          <w:color w:val="auto"/>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666"/>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color w:val="auto"/>
          <w:highlight w:val="none"/>
        </w:rPr>
      </w:pPr>
      <w:r>
        <w:rPr>
          <w:rFonts w:hint="eastAsia"/>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676"/>
        <w:rPr>
          <w:color w:val="auto"/>
          <w:highlight w:val="none"/>
        </w:rPr>
      </w:pPr>
      <w:r>
        <w:rPr>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6"/>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6"/>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6"/>
        <w:rPr>
          <w:rFonts w:hint="eastAsia"/>
          <w:color w:val="auto"/>
          <w:highlight w:val="none"/>
          <w:lang w:val="en-US"/>
        </w:rPr>
      </w:pPr>
      <w:r>
        <w:rPr>
          <w:rFonts w:hint="eastAsia"/>
          <w:color w:val="auto"/>
          <w:highlight w:val="none"/>
          <w:lang w:val="en-US"/>
        </w:rPr>
      </w:r>
      <w:r/>
    </w:p>
    <w:p>
      <w:pPr>
        <w:jc w:val="left"/>
        <w:spacing w:line="360" w:lineRule="auto"/>
        <w:rPr>
          <w:rFonts w:hint="eastAsia" w:ascii="宋体" w:hAnsi="宋体"/>
          <w:color w:val="auto"/>
          <w:sz w:val="24"/>
          <w:highlight w:val="none"/>
        </w:rPr>
      </w:pPr>
      <w:r>
        <w:rPr>
          <w:rFonts w:hint="eastAsia" w:ascii="黑体" w:hAnsi="黑体" w:eastAsia="黑体"/>
          <w:color w:val="auto"/>
          <w:sz w:val="32"/>
          <w:szCs w:val="32"/>
          <w:highlight w:val="none"/>
        </w:rPr>
        <w:t xml:space="preserve">十二、关于符合本国产品标准的声明函</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66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6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663"/>
          <w:rFonts w:hint="eastAsia"/>
          <w:i/>
          <w:color w:val="auto"/>
          <w:highlight w:val="none"/>
          <w:u w:val="single"/>
          <w:shd w:val="clear" w:color="auto" w:fill="ffffff"/>
        </w:rPr>
        <w:t xml:space="preserve">（产品名称1）</w:t>
      </w:r>
      <w:r>
        <w:rPr>
          <w:rStyle w:val="663"/>
          <w:rFonts w:hint="eastAsia"/>
          <w:i/>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663"/>
          <w:rFonts w:hint="eastAsia"/>
          <w:i/>
          <w:color w:val="auto"/>
          <w:highlight w:val="none"/>
          <w:u w:val="single"/>
          <w:shd w:val="clear" w:color="auto" w:fill="ffffff"/>
        </w:rPr>
        <w:t xml:space="preserve">（厂名）</w:t>
      </w:r>
      <w:r>
        <w:rPr>
          <w:rStyle w:val="663"/>
          <w:rFonts w:hint="eastAsia"/>
          <w:i/>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663"/>
          <w:rFonts w:hint="eastAsia"/>
          <w:i/>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66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663"/>
          <w:rFonts w:hint="eastAsia"/>
          <w:color w:val="auto"/>
          <w:highlight w:val="none"/>
          <w:u w:val="single"/>
          <w:shd w:val="clear" w:color="auto" w:fill="ffffff"/>
        </w:rPr>
        <w:t xml:space="preserve">（规定比例）</w:t>
      </w:r>
      <w:r>
        <w:rPr>
          <w:rStyle w:val="663"/>
          <w:rFonts w:hint="eastAsia"/>
          <w:i/>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66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663"/>
          <w:rFonts w:hint="eastAsia"/>
          <w:color w:val="auto"/>
          <w:highlight w:val="none"/>
          <w:u w:val="single"/>
          <w:shd w:val="clear" w:color="auto" w:fill="ffffff"/>
        </w:rPr>
        <w:t xml:space="preserve">（关键组件）</w:t>
      </w:r>
      <w:r>
        <w:rPr>
          <w:rStyle w:val="663"/>
          <w:rFonts w:hint="eastAsia"/>
          <w:i/>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66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663"/>
          <w:rFonts w:hint="eastAsia"/>
          <w:color w:val="auto"/>
          <w:highlight w:val="none"/>
          <w:u w:val="single"/>
          <w:shd w:val="clear" w:color="auto" w:fill="ffffff"/>
        </w:rPr>
        <w:t xml:space="preserve">（关键工序）</w:t>
      </w:r>
      <w:r>
        <w:rPr>
          <w:rStyle w:val="663"/>
          <w:rFonts w:hint="eastAsia"/>
          <w:i/>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66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663"/>
          <w:rFonts w:hint="eastAsia"/>
          <w:i/>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663"/>
          <w:rFonts w:hint="eastAsia"/>
          <w:i/>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663"/>
          <w:rFonts w:hint="eastAsia"/>
          <w:i/>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66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663"/>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66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663"/>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66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663"/>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660"/>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660"/>
        <w:ind w:firstLine="420"/>
        <w:spacing w:before="24" w:beforeAutospacing="0" w:after="24" w:afterAutospacing="0" w:line="360" w:lineRule="auto"/>
        <w:shd w:val="clear" w:color="auto" w:fill="ffffff"/>
        <w:rPr>
          <w:rFonts w:hint="eastAsia"/>
          <w:color w:val="auto"/>
          <w:highlight w:val="none"/>
        </w:rPr>
      </w:pPr>
      <w:r/>
      <w:bookmarkStart w:id="207" w:name="OLE_LINK6"/>
      <w:r>
        <w:rPr>
          <w:rFonts w:hint="eastAsia"/>
          <w:color w:val="auto"/>
          <w:highlight w:val="none"/>
          <w:shd w:val="clear" w:color="auto" w:fill="ffffff"/>
        </w:rPr>
        <w:t xml:space="preserve">本公司（单位）</w:t>
      </w:r>
      <w:bookmarkEnd w:id="207"/>
      <w:r>
        <w:rPr>
          <w:rFonts w:hint="eastAsia"/>
          <w:color w:val="auto"/>
          <w:highlight w:val="none"/>
          <w:shd w:val="clear" w:color="auto" w:fill="ffffff"/>
        </w:rPr>
        <w:t xml:space="preserve">对上述声明内容的真实性负责。如有虚假，愿承担相应法律责任。</w:t>
      </w:r>
      <w:r/>
    </w:p>
    <w:p>
      <w:pPr>
        <w:pStyle w:val="660"/>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660"/>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660"/>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66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66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66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660"/>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660"/>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auto"/>
          <w:sz w:val="32"/>
          <w:szCs w:val="32"/>
          <w:highlight w:val="none"/>
        </w:rPr>
      </w:pPr>
      <w:r>
        <w:rPr>
          <w:color w:val="auto"/>
          <w:highlight w:val="none"/>
        </w:rPr>
        <w:br w:type="page" w:clear="all"/>
      </w:r>
      <w:bookmarkEnd w:id="192"/>
      <w:r/>
      <w:bookmarkEnd w:id="193"/>
      <w:r/>
      <w:bookmarkEnd w:id="203"/>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仿宋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2"/>
        <w:rFonts w:ascii="宋体" w:hAnsi="宋体"/>
      </w:rPr>
      <w:framePr w:wrap="around" w:vAnchor="text" w:hAnchor="margin" w:xAlign="center" w:y="1"/>
    </w:pPr>
    <w:r>
      <w:rPr>
        <w:rFonts w:ascii="宋体" w:hAnsi="宋体"/>
      </w:rPr>
      <w:fldChar w:fldCharType="begin"/>
    </w:r>
    <w:r>
      <w:rPr>
        <w:rStyle w:val="662"/>
        <w:rFonts w:ascii="宋体" w:hAnsi="宋体"/>
      </w:rPr>
      <w:instrText xml:space="preserve">PAGE  </w:instrText>
    </w:r>
    <w:r>
      <w:rPr>
        <w:rFonts w:ascii="宋体" w:hAnsi="宋体"/>
      </w:rPr>
      <w:fldChar w:fldCharType="separate"/>
    </w:r>
    <w:r>
      <w:rPr>
        <w:rStyle w:val="662"/>
        <w:rFonts w:ascii="宋体" w:hAnsi="宋体"/>
      </w:rPr>
      <w:t xml:space="preserve">３１</w:t>
    </w:r>
    <w:r>
      <w:rPr>
        <w:rFonts w:ascii="宋体" w:hAnsi="宋体"/>
      </w:rPr>
      <w:fldChar w:fldCharType="end"/>
    </w:r>
    <w:r/>
  </w:p>
  <w:p>
    <w:pPr>
      <w:pStyle w:val="65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2"/>
      </w:rPr>
      <w:framePr w:wrap="around" w:vAnchor="text" w:hAnchor="margin" w:xAlign="center" w:y="1"/>
    </w:pPr>
    <w:r>
      <w:fldChar w:fldCharType="begin"/>
    </w:r>
    <w:r>
      <w:rPr>
        <w:rStyle w:val="662"/>
      </w:rPr>
      <w:instrText xml:space="preserve">PAGE  </w:instrText>
    </w:r>
    <w:r>
      <w:fldChar w:fldCharType="separate"/>
    </w:r>
    <w:r>
      <w:rPr>
        <w:rStyle w:val="662"/>
      </w:rPr>
      <w:t xml:space="preserve">1</w: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1"/>
    <w:link w:val="12"/>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1"/>
    <w:link w:val="14"/>
    <w:uiPriority w:val="9"/>
    <w:rPr>
      <w:rFonts w:ascii="Arial" w:hAnsi="Arial" w:eastAsia="Arial" w:cs="Arial"/>
      <w:sz w:val="34"/>
    </w:rPr>
  </w:style>
  <w:style w:type="character" w:styleId="17">
    <w:name w:val="Heading 3 Char"/>
    <w:basedOn w:val="651"/>
    <w:link w:val="649"/>
    <w:uiPriority w:val="9"/>
    <w:rPr>
      <w:rFonts w:ascii="Arial" w:hAnsi="Arial" w:eastAsia="Arial" w:cs="Arial"/>
      <w:sz w:val="30"/>
      <w:szCs w:val="30"/>
    </w:rPr>
  </w:style>
  <w:style w:type="character" w:styleId="19">
    <w:name w:val="Heading 4 Char"/>
    <w:basedOn w:val="651"/>
    <w:link w:val="650"/>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9"/>
    <w:uiPriority w:val="99"/>
  </w:style>
  <w:style w:type="character" w:styleId="44">
    <w:name w:val="Footer Char"/>
    <w:basedOn w:val="651"/>
    <w:link w:val="658"/>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9">
    <w:name w:val="Heading 3"/>
    <w:basedOn w:val="648"/>
    <w:next w:val="653"/>
    <w:uiPriority w:val="0"/>
    <w:qFormat/>
    <w:pPr>
      <w:keepLines/>
      <w:keepNext/>
      <w:spacing w:before="260" w:after="260" w:line="416" w:lineRule="auto"/>
      <w:outlineLvl w:val="2"/>
    </w:pPr>
    <w:rPr>
      <w:b/>
      <w:bCs/>
      <w:sz w:val="32"/>
      <w:szCs w:val="32"/>
    </w:rPr>
  </w:style>
  <w:style w:type="paragraph" w:styleId="650">
    <w:name w:val="Heading 4"/>
    <w:basedOn w:val="648"/>
    <w:next w:val="653"/>
    <w:uiPriority w:val="0"/>
    <w:qFormat/>
    <w:pPr>
      <w:keepLines/>
      <w:keepNext/>
      <w:spacing w:before="280" w:after="290" w:line="376" w:lineRule="auto"/>
      <w:outlineLvl w:val="3"/>
    </w:pPr>
    <w:rPr>
      <w:rFonts w:ascii="Arial" w:hAnsi="Arial" w:eastAsia="黑体"/>
      <w:b/>
      <w:bCs/>
      <w:sz w:val="28"/>
      <w:szCs w:val="28"/>
    </w:rPr>
  </w:style>
  <w:style w:type="character" w:styleId="651" w:default="1">
    <w:name w:val="Default Paragraph Font"/>
    <w:uiPriority w:val="0"/>
    <w:semiHidden/>
    <w:qFormat/>
  </w:style>
  <w:style w:type="table" w:styleId="652" w:default="1">
    <w:name w:val="Normal Table"/>
    <w:uiPriority w:val="0"/>
    <w:semiHidden/>
    <w:qFormat/>
    <w:tblPr>
      <w:tblCellMar>
        <w:left w:w="108" w:type="dxa"/>
        <w:top w:w="0" w:type="dxa"/>
        <w:right w:w="108" w:type="dxa"/>
        <w:bottom w:w="0" w:type="dxa"/>
      </w:tblCellMar>
    </w:tblPr>
  </w:style>
  <w:style w:type="paragraph" w:styleId="653">
    <w:name w:val="Normal Indent"/>
    <w:basedOn w:val="648"/>
    <w:uiPriority w:val="0"/>
    <w:qFormat/>
    <w:pPr>
      <w:ind w:firstLine="420"/>
    </w:pPr>
    <w:rPr>
      <w:sz w:val="20"/>
      <w:szCs w:val="21"/>
    </w:rPr>
  </w:style>
  <w:style w:type="paragraph" w:styleId="654">
    <w:name w:val="annotation text"/>
    <w:basedOn w:val="648"/>
    <w:link w:val="673"/>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655">
    <w:name w:val="Body Text Indent"/>
    <w:basedOn w:val="648"/>
    <w:next w:val="656"/>
    <w:uiPriority w:val="0"/>
    <w:unhideWhenUsed/>
    <w:qFormat/>
    <w:pPr>
      <w:ind w:left="420"/>
      <w:spacing w:after="120"/>
    </w:pPr>
  </w:style>
  <w:style w:type="paragraph" w:styleId="656">
    <w:name w:val="envelope return"/>
    <w:basedOn w:val="648"/>
    <w:uiPriority w:val="0"/>
    <w:qFormat/>
    <w:rPr>
      <w:rFonts w:ascii="Arial" w:hAnsi="Arial" w:eastAsia="宋体" w:cs="宋体"/>
    </w:rPr>
  </w:style>
  <w:style w:type="paragraph" w:styleId="657">
    <w:name w:val="Plain Text"/>
    <w:basedOn w:val="648"/>
    <w:uiPriority w:val="0"/>
    <w:qFormat/>
    <w:rPr>
      <w:rFonts w:ascii="宋体" w:hAnsi="Courier New"/>
      <w:sz w:val="20"/>
      <w:szCs w:val="21"/>
    </w:rPr>
  </w:style>
  <w:style w:type="paragraph" w:styleId="658">
    <w:name w:val="Footer"/>
    <w:basedOn w:val="648"/>
    <w:uiPriority w:val="0"/>
    <w:qFormat/>
    <w:pPr>
      <w:jc w:val="left"/>
      <w:tabs>
        <w:tab w:val="center" w:pos="4153" w:leader="none"/>
        <w:tab w:val="right" w:pos="8306" w:leader="none"/>
      </w:tabs>
    </w:pPr>
    <w:rPr>
      <w:sz w:val="18"/>
      <w:szCs w:val="18"/>
    </w:rPr>
  </w:style>
  <w:style w:type="paragraph" w:styleId="659">
    <w:name w:val="Header"/>
    <w:basedOn w:val="648"/>
    <w:uiPriority w:val="0"/>
    <w:qFormat/>
    <w:pPr>
      <w:jc w:val="center"/>
      <w:tabs>
        <w:tab w:val="center" w:pos="4153" w:leader="none"/>
        <w:tab w:val="right" w:pos="8306" w:leader="none"/>
      </w:tabs>
      <w:pBdr>
        <w:bottom w:val="single" w:color="auto" w:sz="6" w:space="1"/>
      </w:pBdr>
    </w:pPr>
    <w:rPr>
      <w:sz w:val="18"/>
      <w:szCs w:val="18"/>
    </w:rPr>
  </w:style>
  <w:style w:type="paragraph" w:styleId="660">
    <w:name w:val="Normal (Web)"/>
    <w:basedOn w:val="648"/>
    <w:uiPriority w:val="99"/>
    <w:qFormat/>
    <w:pPr>
      <w:jc w:val="left"/>
      <w:spacing w:before="100" w:beforeAutospacing="1" w:after="100" w:afterAutospacing="1"/>
      <w:widowControl/>
    </w:pPr>
    <w:rPr>
      <w:rFonts w:ascii="宋体" w:hAnsi="宋体" w:eastAsia="宋体" w:cs="宋体"/>
      <w:sz w:val="24"/>
      <w:szCs w:val="24"/>
    </w:rPr>
  </w:style>
  <w:style w:type="paragraph" w:styleId="661">
    <w:name w:val="Body Text First Indent 2"/>
    <w:basedOn w:val="655"/>
    <w:next w:val="648"/>
    <w:uiPriority w:val="0"/>
    <w:qFormat/>
    <w:pPr>
      <w:ind w:left="0" w:firstLine="420"/>
      <w:spacing w:after="0" w:line="360" w:lineRule="auto"/>
    </w:pPr>
    <w:rPr>
      <w:rFonts w:ascii="宋体" w:hAnsi="宋体"/>
      <w:sz w:val="20"/>
      <w:szCs w:val="20"/>
    </w:rPr>
  </w:style>
  <w:style w:type="character" w:styleId="662">
    <w:name w:val="page number"/>
    <w:uiPriority w:val="0"/>
    <w:qFormat/>
  </w:style>
  <w:style w:type="character" w:styleId="663">
    <w:name w:val="Emphasis"/>
    <w:uiPriority w:val="0"/>
    <w:qFormat/>
    <w:rPr>
      <w:i/>
    </w:rPr>
  </w:style>
  <w:style w:type="character" w:styleId="664">
    <w:name w:val="Hyperlink"/>
    <w:uiPriority w:val="0"/>
    <w:qFormat/>
    <w:rPr>
      <w:color w:val="0000ff"/>
      <w:u w:val="single"/>
    </w:rPr>
  </w:style>
  <w:style w:type="character" w:styleId="665">
    <w:name w:val="annotation reference"/>
    <w:uiPriority w:val="0"/>
    <w:semiHidden/>
    <w:qFormat/>
    <w:rPr>
      <w:sz w:val="21"/>
      <w:szCs w:val="21"/>
    </w:rPr>
  </w:style>
  <w:style w:type="paragraph" w:styleId="666" w:customStyle="1">
    <w:name w:val="索引 41"/>
    <w:basedOn w:val="648"/>
    <w:next w:val="648"/>
    <w:uiPriority w:val="0"/>
    <w:semiHidden/>
    <w:qFormat/>
    <w:pPr>
      <w:ind w:left="1260"/>
    </w:pPr>
    <w:rPr>
      <w:rFonts w:ascii="Calibri" w:hAnsi="Calibri" w:eastAsia="Calibri" w:cs="宋体"/>
      <w:sz w:val="20"/>
      <w:lang w:val="zh-CN"/>
    </w:rPr>
  </w:style>
  <w:style w:type="paragraph" w:styleId="667" w:customStyle="1">
    <w:name w:val="普通正文"/>
    <w:basedOn w:val="648"/>
    <w:uiPriority w:val="0"/>
    <w:qFormat/>
    <w:pPr>
      <w:ind w:firstLine="480"/>
      <w:jc w:val="left"/>
      <w:spacing w:before="120" w:after="120" w:line="360" w:lineRule="auto"/>
    </w:pPr>
    <w:rPr>
      <w:rFonts w:ascii="Arial" w:hAnsi="Arial" w:eastAsia="宋体" w:cs="Times New Roman"/>
      <w:sz w:val="24"/>
      <w:szCs w:val="24"/>
    </w:rPr>
  </w:style>
  <w:style w:type="paragraph" w:styleId="668" w:customStyle="1">
    <w:name w:val="纯文本11"/>
    <w:basedOn w:val="648"/>
    <w:uiPriority w:val="0"/>
    <w:qFormat/>
    <w:rPr>
      <w:rFonts w:ascii="宋体" w:hAnsi="Courier New"/>
      <w:sz w:val="20"/>
      <w:szCs w:val="21"/>
      <w:lang w:val="en-US" w:eastAsia="en-US"/>
    </w:rPr>
  </w:style>
  <w:style w:type="paragraph" w:styleId="669" w:customStyle="1">
    <w:name w:val="正文文本缩进1"/>
    <w:basedOn w:val="648"/>
    <w:next w:val="670"/>
    <w:uiPriority w:val="0"/>
    <w:unhideWhenUsed/>
    <w:qFormat/>
    <w:pPr>
      <w:ind w:left="420"/>
      <w:spacing w:after="120"/>
    </w:pPr>
  </w:style>
  <w:style w:type="paragraph" w:styleId="670" w:customStyle="1">
    <w:name w:val="正文首行缩进 21"/>
    <w:basedOn w:val="669"/>
    <w:uiPriority w:val="0"/>
    <w:qFormat/>
    <w:pPr>
      <w:ind w:left="0" w:firstLine="420"/>
      <w:spacing w:after="0" w:line="360" w:lineRule="auto"/>
    </w:pPr>
    <w:rPr>
      <w:rFonts w:ascii="宋体" w:hAnsi="宋体" w:eastAsia="宋体" w:cs="Times New Roman"/>
      <w:szCs w:val="20"/>
    </w:rPr>
  </w:style>
  <w:style w:type="paragraph" w:styleId="671" w:customStyle="1">
    <w:name w:val="正文文本缩进11"/>
    <w:basedOn w:val="648"/>
    <w:next w:val="672"/>
    <w:uiPriority w:val="0"/>
    <w:unhideWhenUsed/>
    <w:qFormat/>
    <w:pPr>
      <w:ind w:left="420"/>
      <w:spacing w:after="120"/>
    </w:pPr>
  </w:style>
  <w:style w:type="paragraph" w:styleId="672" w:customStyle="1">
    <w:name w:val="正文首行缩进 211"/>
    <w:basedOn w:val="671"/>
    <w:uiPriority w:val="0"/>
    <w:qFormat/>
    <w:pPr>
      <w:ind w:left="0" w:firstLine="420"/>
      <w:spacing w:after="0" w:line="360" w:lineRule="auto"/>
    </w:pPr>
    <w:rPr>
      <w:rFonts w:ascii="宋体" w:hAnsi="宋体" w:eastAsia="宋体" w:cs="Times New Roman"/>
      <w:szCs w:val="20"/>
    </w:rPr>
  </w:style>
  <w:style w:type="character" w:styleId="673" w:customStyle="1">
    <w:name w:val="批注文字 Char"/>
    <w:basedOn w:val="651"/>
    <w:link w:val="654"/>
    <w:uiPriority w:val="99"/>
    <w:semiHidden/>
    <w:qFormat/>
    <w:rPr>
      <w:rFonts w:hint="default" w:ascii="Times New Roman" w:hAnsi="Times New Roman" w:cs="Times New Roman"/>
      <w:sz w:val="21"/>
      <w:szCs w:val="21"/>
      <w:lang w:val="en-US" w:eastAsia="zh-CN" w:bidi="ar"/>
    </w:rPr>
  </w:style>
  <w:style w:type="paragraph" w:styleId="674" w:customStyle="1">
    <w:name w:val="批注文字1"/>
    <w:basedOn w:val="648"/>
    <w:uiPriority w:val="99"/>
    <w:unhideWhenUsed/>
    <w:qFormat/>
    <w:pPr>
      <w:jc w:val="left"/>
    </w:pPr>
  </w:style>
  <w:style w:type="paragraph" w:styleId="675" w:customStyle="1">
    <w:name w:val="Table Paragraph"/>
    <w:basedOn w:val="648"/>
    <w:uiPriority w:val="1"/>
    <w:qFormat/>
    <w:pPr>
      <w:jc w:val="left"/>
    </w:pPr>
    <w:rPr>
      <w:rFonts w:ascii="宋体" w:hAnsi="宋体" w:eastAsia="宋体" w:cs="宋体"/>
      <w:sz w:val="22"/>
      <w:szCs w:val="22"/>
      <w:lang w:val="zh-CN" w:bidi="zh-CN"/>
    </w:rPr>
  </w:style>
  <w:style w:type="paragraph" w:styleId="676" w:customStyle="1">
    <w:name w:val="正文文本12"/>
    <w:basedOn w:val="648"/>
    <w:uiPriority w:val="1"/>
    <w:qFormat/>
    <w:pPr>
      <w:ind w:left="120"/>
    </w:pPr>
    <w:rPr>
      <w:rFonts w:ascii="宋体" w:hAnsi="宋体" w:eastAsia="宋体" w:cs="宋体"/>
      <w:sz w:val="21"/>
      <w:szCs w:val="21"/>
      <w:lang w:val="zh-CN" w:eastAsia="zh-CN" w:bidi="zh-CN"/>
    </w:rPr>
  </w:style>
  <w:style w:type="paragraph" w:styleId="677" w:customStyle="1">
    <w:name w:val="正文文本 211"/>
    <w:basedOn w:val="648"/>
    <w:uiPriority w:val="99"/>
    <w:qFormat/>
    <w:pPr>
      <w:jc w:val="center"/>
    </w:pPr>
    <w:rPr>
      <w:b/>
      <w:bCs/>
      <w:sz w:val="20"/>
      <w:szCs w:val="20"/>
    </w:rPr>
  </w:style>
  <w:style w:type="paragraph" w:styleId="678" w:customStyle="1">
    <w:name w:val="Char"/>
    <w:basedOn w:val="648"/>
    <w:uiPriority w:val="0"/>
    <w:qFormat/>
    <w:pPr>
      <w:ind w:firstLine="200"/>
      <w:tabs>
        <w:tab w:val="left" w:pos="360" w:leader="none"/>
      </w:tabs>
    </w:pPr>
    <w:rPr>
      <w:rFonts w:ascii="Times New Roman" w:hAnsi="Times New Roman" w:eastAsia="宋体" w:cs="Times New Roman"/>
      <w:sz w:val="28"/>
      <w:szCs w:val="30"/>
    </w:rPr>
  </w:style>
  <w:style w:type="paragraph" w:styleId="679" w:customStyle="1">
    <w:name w:val="正文文本1"/>
    <w:basedOn w:val="648"/>
    <w:next w:val="648"/>
    <w:uiPriority w:val="0"/>
    <w:semiHidden/>
    <w:qFormat/>
    <w:rPr>
      <w:rFonts w:ascii="Arial" w:hAnsi="Arial" w:eastAsia="Arial" w:cs="Arial"/>
      <w:sz w:val="21"/>
      <w:szCs w:val="21"/>
      <w:lang w:val="en-US" w:eastAsia="en-US" w:bidi="ar-SA"/>
    </w:rPr>
  </w:style>
  <w:style w:type="numbering" w:styleId="14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程月敏</dc:creator>
  <cp:lastModifiedBy>张舒</cp:lastModifiedBy>
  <cp:revision>2</cp:revision>
  <dcterms:created xsi:type="dcterms:W3CDTF">2026-06-05T02:30:00Z</dcterms:created>
  <dcterms:modified xsi:type="dcterms:W3CDTF">2026-06-09T01:58:54Z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8A64863EE2A34C43BF838147B765F46C_13</vt:lpwstr>
  </property>
  <property fmtid="{D5CDD505-2E9C-101B-9397-08002B2CF9AE}" pid="4" name="KSOTemplateDocerSaveRecord">
    <vt:lpwstr>eyJoZGlkIjoiMjI2Njg1ZWMzNTcwZDc4MDI1YmE3MjQ0ODY3ZTI2OTUiLCJ1c2VySWQiOiIxNTUyNjk1MzkwIn0=</vt:lpwstr>
  </property>
</Properties>
</file>