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rFonts w:ascii="Times New Roman" w:hAnsi="Times New Roman" w:eastAsia="隶书" w:cs="Times New Roman"/>
          <w:b/>
          <w:color w:val="000000"/>
          <w:sz w:val="52"/>
          <w:szCs w:val="52"/>
          <w:lang w:val="en-US" w:eastAsia="zh-CN" w:bidi="ar-SA"/>
        </w:rPr>
      </w:pPr>
      <w:r>
        <w:rPr>
          <w:rFonts w:ascii="Times New Roman" w:hAnsi="Times New Roman" w:eastAsia="隶书" w:cs="Times New Roman"/>
          <w:b/>
          <w:color w:val="000000"/>
          <w:sz w:val="52"/>
          <w:szCs w:val="52"/>
          <w:lang w:val="en-US" w:eastAsia="zh-CN" w:bidi="ar-SA"/>
        </w:rPr>
      </w:r>
      <w:r/>
    </w:p>
    <w:p>
      <w:pPr>
        <w:jc w:val="both"/>
        <w:widowControl w:val="off"/>
        <w:rPr>
          <w:rFonts w:ascii="Times New Roman" w:hAnsi="Times New Roman" w:eastAsia="隶书" w:cs="Times New Roman"/>
          <w:b/>
          <w:color w:val="000000"/>
          <w:sz w:val="52"/>
          <w:szCs w:val="52"/>
          <w:lang w:val="en-US" w:eastAsia="zh-CN" w:bidi="ar-SA"/>
        </w:rPr>
      </w:pPr>
      <w:r>
        <w:rPr>
          <w:rFonts w:ascii="Times New Roman" w:hAnsi="Times New Roman" w:eastAsia="隶书" w:cs="Times New Roman"/>
          <w:b/>
          <w:color w:val="000000"/>
          <w:sz w:val="52"/>
          <w:szCs w:val="52"/>
          <w:lang w:val="en-US" w:eastAsia="zh-CN" w:bidi="ar-SA"/>
        </w:rPr>
      </w:r>
      <w:r/>
    </w:p>
    <w:p>
      <w:pPr>
        <w:jc w:val="both"/>
        <w:widowControl w:val="off"/>
        <w:rPr>
          <w:rFonts w:ascii="Times New Roman" w:hAnsi="Times New Roman" w:eastAsia="隶书" w:cs="Times New Roman"/>
          <w:b/>
          <w:color w:val="000000"/>
          <w:sz w:val="52"/>
          <w:szCs w:val="52"/>
          <w:lang w:val="en-US" w:eastAsia="zh-CN" w:bidi="ar-SA"/>
        </w:rPr>
      </w:pPr>
      <w:r>
        <w:rPr>
          <w:rFonts w:ascii="Times New Roman" w:hAnsi="Times New Roman" w:eastAsia="隶书" w:cs="Times New Roman"/>
          <w:b/>
          <w:color w:val="000000"/>
          <w:sz w:val="52"/>
          <w:szCs w:val="52"/>
          <w:lang w:val="en-US" w:eastAsia="zh-CN" w:bidi="ar-SA"/>
        </w:rPr>
      </w:r>
      <w:r/>
    </w:p>
    <w:p>
      <w:pPr>
        <w:jc w:val="both"/>
        <w:widowControl w:val="off"/>
        <w:rPr>
          <w:rFonts w:ascii="Times New Roman" w:hAnsi="Times New Roman" w:eastAsia="隶书" w:cs="Times New Roman"/>
          <w:b/>
          <w:color w:val="000000"/>
          <w:sz w:val="52"/>
          <w:szCs w:val="52"/>
          <w:lang w:val="en-US" w:eastAsia="zh-CN" w:bidi="ar-SA"/>
        </w:rPr>
      </w:pPr>
      <w:r>
        <w:rPr>
          <w:rFonts w:ascii="Times New Roman" w:hAnsi="Times New Roman" w:eastAsia="隶书" w:cs="Times New Roman"/>
          <w:b/>
          <w:color w:val="000000"/>
          <w:sz w:val="52"/>
          <w:szCs w:val="52"/>
          <w:lang w:val="en-US" w:eastAsia="zh-CN" w:bidi="ar-SA"/>
        </w:rPr>
      </w:r>
      <w:r/>
    </w:p>
    <w:p>
      <w:pPr>
        <w:ind w:firstLine="0"/>
        <w:jc w:val="center"/>
        <w:spacing w:line="360" w:lineRule="auto"/>
        <w:widowControl w:val="off"/>
        <w:rPr>
          <w:rFonts w:ascii="Times New Roman" w:hAnsi="Times New Roman" w:eastAsia="楷体" w:cs="Times New Roman"/>
          <w:b/>
          <w:color w:val="000000"/>
          <w:sz w:val="64"/>
          <w:szCs w:val="64"/>
          <w:lang w:val="en-US" w:eastAsia="zh-CN" w:bidi="ar-SA"/>
        </w:rPr>
      </w:pPr>
      <w:r>
        <w:rPr>
          <w:rFonts w:hint="eastAsia" w:eastAsia="楷体" w:cs="Times New Roman"/>
          <w:b/>
          <w:color w:val="000000"/>
          <w:sz w:val="64"/>
          <w:szCs w:val="64"/>
          <w:lang w:val="en-US" w:eastAsia="zh-CN" w:bidi="ar-SA"/>
        </w:rPr>
        <w:t xml:space="preserve">2026年程桥街道60周岁(含)以上意外伤害保险采购</w:t>
      </w:r>
      <w:r/>
    </w:p>
    <w:p>
      <w:pPr>
        <w:jc w:val="both"/>
        <w:widowControl w:val="off"/>
        <w:rPr>
          <w:rFonts w:ascii="Times New Roman" w:hAnsi="Times New Roman" w:eastAsia="楷体" w:cs="Times New Roman"/>
          <w:b/>
          <w:color w:val="000000"/>
          <w:sz w:val="52"/>
          <w:szCs w:val="52"/>
          <w:lang w:val="en-US" w:eastAsia="zh-CN" w:bidi="ar-SA"/>
        </w:rPr>
      </w:pPr>
      <w:r>
        <w:rPr>
          <w:rFonts w:ascii="Times New Roman" w:hAnsi="Times New Roman" w:eastAsia="楷体" w:cs="Times New Roman"/>
          <w:b/>
          <w:color w:val="000000"/>
          <w:sz w:val="52"/>
          <w:szCs w:val="52"/>
          <w:lang w:val="en-US" w:eastAsia="zh-CN" w:bidi="ar-SA"/>
        </w:rPr>
      </w:r>
      <w:r/>
    </w:p>
    <w:p>
      <w:pPr>
        <w:jc w:val="both"/>
        <w:widowControl w:val="off"/>
        <w:rPr>
          <w:rFonts w:ascii="Times New Roman" w:hAnsi="Times New Roman" w:eastAsia="楷体" w:cs="Times New Roman"/>
          <w:b/>
          <w:color w:val="000000"/>
          <w:sz w:val="52"/>
          <w:szCs w:val="52"/>
          <w:lang w:val="en-US" w:eastAsia="zh-CN" w:bidi="ar-SA"/>
        </w:rPr>
      </w:pPr>
      <w:r>
        <w:rPr>
          <w:rFonts w:ascii="Times New Roman" w:hAnsi="Times New Roman" w:eastAsia="楷体" w:cs="Times New Roman"/>
          <w:b/>
          <w:color w:val="000000"/>
          <w:sz w:val="52"/>
          <w:szCs w:val="52"/>
          <w:lang w:val="en-US" w:eastAsia="zh-CN" w:bidi="ar-SA"/>
        </w:rPr>
      </w:r>
      <w:r/>
    </w:p>
    <w:p>
      <w:pPr>
        <w:jc w:val="both"/>
        <w:widowControl w:val="off"/>
        <w:rPr>
          <w:rFonts w:ascii="Times New Roman" w:hAnsi="Times New Roman" w:eastAsia="楷体" w:cs="Times New Roman"/>
          <w:b/>
          <w:color w:val="000000"/>
          <w:sz w:val="52"/>
          <w:szCs w:val="52"/>
          <w:lang w:val="en-US" w:eastAsia="zh-CN" w:bidi="ar-SA"/>
        </w:rPr>
      </w:pPr>
      <w:r>
        <w:rPr>
          <w:rFonts w:ascii="Times New Roman" w:hAnsi="Times New Roman" w:eastAsia="楷体" w:cs="Times New Roman"/>
          <w:b/>
          <w:color w:val="000000"/>
          <w:sz w:val="52"/>
          <w:szCs w:val="52"/>
          <w:lang w:val="en-US" w:eastAsia="zh-CN" w:bidi="ar-SA"/>
        </w:rPr>
      </w:r>
      <w:r/>
    </w:p>
    <w:p>
      <w:pPr>
        <w:ind w:firstLine="0"/>
        <w:jc w:val="center"/>
        <w:spacing w:line="360" w:lineRule="auto"/>
        <w:widowControl w:val="off"/>
        <w:rPr>
          <w:rFonts w:ascii="Times New Roman" w:hAnsi="Times New Roman" w:eastAsia="楷体" w:cs="Times New Roman"/>
          <w:b/>
          <w:color w:val="000000"/>
          <w:sz w:val="86"/>
          <w:szCs w:val="24"/>
          <w:lang w:val="en-US" w:eastAsia="zh-CN" w:bidi="ar-SA"/>
        </w:rPr>
      </w:pPr>
      <w:r>
        <w:rPr>
          <w:rFonts w:ascii="Times New Roman" w:hAnsi="Times New Roman" w:eastAsia="楷体" w:cs="Times New Roman"/>
          <w:b/>
          <w:color w:val="000000"/>
          <w:sz w:val="86"/>
          <w:szCs w:val="24"/>
          <w:lang w:val="en-US" w:eastAsia="zh-CN" w:bidi="ar-SA"/>
        </w:rPr>
        <w:t xml:space="preserve">竞争性磋商文件</w:t>
      </w:r>
      <w:r/>
    </w:p>
    <w:p>
      <w:pPr>
        <w:ind w:firstLine="0"/>
        <w:jc w:val="center"/>
        <w:spacing w:line="360" w:lineRule="auto"/>
        <w:widowControl w:val="off"/>
        <w:rPr>
          <w:rFonts w:ascii="Times New Roman" w:hAnsi="Times New Roman" w:eastAsia="楷体" w:cs="Times New Roman"/>
          <w:b/>
          <w:color w:val="000000"/>
          <w:sz w:val="32"/>
          <w:szCs w:val="24"/>
          <w:lang w:val="en-US" w:eastAsia="zh-CN" w:bidi="ar-SA"/>
        </w:rPr>
      </w:pPr>
      <w:r>
        <w:rPr>
          <w:rFonts w:ascii="Times New Roman" w:hAnsi="Times New Roman" w:eastAsia="楷体" w:cs="Times New Roman"/>
          <w:b/>
          <w:color w:val="000000"/>
          <w:sz w:val="32"/>
          <w:szCs w:val="24"/>
          <w:lang w:val="en-US" w:eastAsia="zh-CN" w:bidi="ar-SA"/>
        </w:rPr>
        <w:t xml:space="preserve">项目编号：</w:t>
      </w:r>
      <w:bookmarkStart w:id="67" w:name="_GoBack"/>
      <w:r/>
      <w:bookmarkEnd w:id="67"/>
      <w:r>
        <w:rPr>
          <w:rFonts w:hint="eastAsia" w:eastAsia="楷体" w:cs="Times New Roman"/>
          <w:b/>
          <w:color w:val="000000"/>
          <w:sz w:val="32"/>
          <w:szCs w:val="24"/>
          <w:lang w:val="en-US" w:eastAsia="zh-CN" w:bidi="ar-SA"/>
        </w:rPr>
        <w:t xml:space="preserve">JSZC-320116-HTBX-C2026-0003</w:t>
      </w:r>
      <w:r/>
    </w:p>
    <w:p>
      <w:pPr>
        <w:jc w:val="center"/>
        <w:widowControl w:val="off"/>
        <w:rPr>
          <w:rFonts w:ascii="Times New Roman" w:hAnsi="Times New Roman" w:eastAsia="楷体" w:cs="Times New Roman"/>
          <w:b/>
          <w:color w:val="000000"/>
          <w:sz w:val="52"/>
          <w:szCs w:val="52"/>
          <w:lang w:val="en-US" w:eastAsia="zh-CN" w:bidi="ar-SA"/>
        </w:rPr>
      </w:pPr>
      <w:r>
        <w:rPr>
          <w:rFonts w:ascii="Times New Roman" w:hAnsi="Times New Roman" w:eastAsia="楷体" w:cs="Times New Roman"/>
          <w:b/>
          <w:color w:val="000000"/>
          <w:sz w:val="52"/>
          <w:szCs w:val="52"/>
          <w:lang w:val="en-US" w:eastAsia="zh-CN" w:bidi="ar-SA"/>
        </w:rPr>
      </w:r>
      <w:r/>
    </w:p>
    <w:p>
      <w:pPr>
        <w:jc w:val="both"/>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jc w:val="center"/>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jc w:val="both"/>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jc w:val="center"/>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jc w:val="center"/>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jc w:val="both"/>
        <w:widowControl w:val="off"/>
        <w:rPr>
          <w:rFonts w:ascii="Times New Roman" w:hAnsi="Times New Roman" w:eastAsia="楷体" w:cs="Times New Roman"/>
          <w:color w:val="000000"/>
          <w:sz w:val="21"/>
          <w:szCs w:val="24"/>
          <w:lang w:val="en-US" w:eastAsia="zh-CN" w:bidi="ar-SA"/>
        </w:rPr>
      </w:pPr>
      <w:r>
        <w:rPr>
          <w:rFonts w:ascii="Times New Roman" w:hAnsi="Times New Roman" w:eastAsia="楷体" w:cs="Times New Roman"/>
          <w:color w:val="000000"/>
          <w:sz w:val="21"/>
          <w:szCs w:val="24"/>
          <w:lang w:val="en-US" w:eastAsia="zh-CN" w:bidi="ar-SA"/>
        </w:rPr>
      </w:r>
      <w:r/>
    </w:p>
    <w:p>
      <w:pPr>
        <w:jc w:val="center"/>
        <w:spacing w:line="360" w:lineRule="auto"/>
        <w:widowControl w:val="off"/>
        <w:rPr>
          <w:rFonts w:ascii="Times New Roman" w:hAnsi="Times New Roman" w:eastAsia="楷体" w:cs="Times New Roman"/>
          <w:b/>
          <w:color w:val="000000"/>
          <w:sz w:val="32"/>
          <w:szCs w:val="24"/>
          <w:lang w:val="en-US" w:eastAsia="zh-CN" w:bidi="ar-SA"/>
        </w:rPr>
      </w:pPr>
      <w:r>
        <w:rPr>
          <w:rFonts w:ascii="Times New Roman" w:hAnsi="Times New Roman" w:eastAsia="楷体" w:cs="Times New Roman"/>
          <w:b/>
          <w:color w:val="000000"/>
          <w:sz w:val="32"/>
          <w:szCs w:val="24"/>
          <w:lang w:val="en-US" w:eastAsia="zh-CN" w:bidi="ar-SA"/>
        </w:rPr>
        <w:t xml:space="preserve">采购人：</w:t>
      </w:r>
      <w:r>
        <w:rPr>
          <w:rFonts w:hint="eastAsia" w:eastAsia="楷体" w:cs="Times New Roman"/>
          <w:b/>
          <w:color w:val="000000"/>
          <w:sz w:val="32"/>
          <w:szCs w:val="24"/>
          <w:lang w:val="en-US" w:eastAsia="zh-CN" w:bidi="ar-SA"/>
        </w:rPr>
        <w:t xml:space="preserve">南京市六合区人民政府程桥街道办事处</w:t>
      </w:r>
      <w:r/>
    </w:p>
    <w:p>
      <w:pPr>
        <w:ind w:firstLine="0"/>
        <w:jc w:val="center"/>
        <w:spacing w:line="360" w:lineRule="auto"/>
        <w:widowControl w:val="off"/>
        <w:rPr>
          <w:rFonts w:ascii="Times New Roman" w:hAnsi="Times New Roman" w:eastAsia="楷体" w:cs="Times New Roman"/>
          <w:b/>
          <w:color w:val="000000"/>
          <w:sz w:val="32"/>
          <w:szCs w:val="24"/>
          <w:lang w:val="en-US" w:eastAsia="zh-CN" w:bidi="ar-SA"/>
        </w:rPr>
      </w:pPr>
      <w:r>
        <w:rPr>
          <w:rFonts w:ascii="Times New Roman" w:hAnsi="Times New Roman" w:eastAsia="楷体" w:cs="Times New Roman"/>
          <w:b/>
          <w:color w:val="000000"/>
          <w:sz w:val="32"/>
          <w:szCs w:val="24"/>
          <w:lang w:val="en-US" w:eastAsia="zh-CN" w:bidi="ar-SA"/>
        </w:rPr>
        <w:t xml:space="preserve">采购代理机构：恒泰保险经纪有限公司</w:t>
      </w:r>
      <w:r/>
    </w:p>
    <w:p>
      <w:pPr>
        <w:ind w:firstLine="0"/>
        <w:jc w:val="center"/>
        <w:spacing w:line="360" w:lineRule="auto"/>
        <w:widowControl w:val="off"/>
        <w:rPr>
          <w:rFonts w:ascii="Times New Roman" w:hAnsi="Times New Roman" w:eastAsia="楷体" w:cs="Times New Roman"/>
          <w:b/>
          <w:color w:val="000000"/>
          <w:sz w:val="32"/>
          <w:szCs w:val="24"/>
          <w:lang w:val="en-US" w:eastAsia="zh-CN" w:bidi="ar-SA"/>
        </w:rPr>
      </w:pPr>
      <w:r>
        <w:rPr>
          <w:rFonts w:ascii="Times New Roman" w:hAnsi="Times New Roman" w:eastAsia="楷体" w:cs="Times New Roman"/>
          <w:b/>
          <w:color w:val="000000"/>
          <w:sz w:val="32"/>
          <w:szCs w:val="24"/>
          <w:lang w:val="en-US" w:eastAsia="zh-CN" w:bidi="ar-SA"/>
        </w:rPr>
        <w:t xml:space="preserve">二〇二</w:t>
      </w:r>
      <w:r>
        <w:rPr>
          <w:rFonts w:hint="eastAsia" w:eastAsia="楷体" w:cs="Times New Roman"/>
          <w:b/>
          <w:color w:val="000000"/>
          <w:sz w:val="32"/>
          <w:szCs w:val="24"/>
          <w:lang w:val="en-US" w:eastAsia="zh-CN" w:bidi="ar-SA"/>
        </w:rPr>
        <w:t xml:space="preserve">六</w:t>
      </w:r>
      <w:r>
        <w:rPr>
          <w:rFonts w:ascii="Times New Roman" w:hAnsi="Times New Roman" w:eastAsia="楷体" w:cs="Times New Roman"/>
          <w:b/>
          <w:color w:val="000000"/>
          <w:sz w:val="32"/>
          <w:szCs w:val="24"/>
          <w:lang w:val="en-US" w:eastAsia="zh-CN" w:bidi="ar-SA"/>
        </w:rPr>
        <w:t xml:space="preserve">年</w:t>
      </w:r>
      <w:r>
        <w:rPr>
          <w:rFonts w:hint="eastAsia" w:eastAsia="楷体" w:cs="Times New Roman"/>
          <w:b/>
          <w:color w:val="000000"/>
          <w:sz w:val="32"/>
          <w:szCs w:val="24"/>
          <w:lang w:val="en-US" w:eastAsia="zh-CN" w:bidi="ar-SA"/>
        </w:rPr>
        <w:t xml:space="preserve">二</w:t>
      </w:r>
      <w:r>
        <w:rPr>
          <w:rFonts w:ascii="Times New Roman" w:hAnsi="Times New Roman" w:eastAsia="楷体" w:cs="Times New Roman"/>
          <w:b/>
          <w:color w:val="000000"/>
          <w:sz w:val="32"/>
          <w:szCs w:val="24"/>
          <w:lang w:val="en-US" w:eastAsia="zh-CN" w:bidi="ar-SA"/>
        </w:rPr>
        <w:t xml:space="preserve">月</w:t>
      </w:r>
      <w:r/>
    </w:p>
    <w:p>
      <w:pPr>
        <w:jc w:val="left"/>
        <w:widowControl/>
        <w:rPr>
          <w:rFonts w:ascii="Times New Roman" w:hAnsi="Times New Roman"/>
          <w:color w:val="000000"/>
          <w:sz w:val="32"/>
          <w:szCs w:val="32"/>
        </w:rPr>
        <w:sectPr>
          <w:headerReference w:type="default" r:id="rId9"/>
          <w:footerReference w:type="default" r:id="rId12"/>
          <w:footnotePr/>
          <w:endnotePr/>
          <w:type w:val="nextPage"/>
          <w:pgSz w:w="11906" w:h="16838" w:orient="portrait"/>
          <w:pgMar w:top="1440" w:right="1800" w:bottom="1440" w:left="1800" w:header="851" w:footer="992" w:gutter="0"/>
          <w:rtlGutter/>
          <w:cols w:num="1" w:sep="0" w:space="1701" w:equalWidth="1"/>
          <w:docGrid w:linePitch="360"/>
        </w:sectPr>
      </w:pPr>
      <w:r>
        <w:rPr>
          <w:rFonts w:ascii="Times New Roman" w:hAnsi="Times New Roman"/>
          <w:color w:val="000000"/>
          <w:sz w:val="32"/>
          <w:szCs w:val="32"/>
        </w:rPr>
      </w:r>
      <w:r/>
    </w:p>
    <w:p>
      <w:pPr>
        <w:ind w:left="0" w:firstLine="0"/>
        <w:jc w:val="center"/>
        <w:keepLines w:val="0"/>
        <w:keepNext w:val="0"/>
        <w:pageBreakBefore w:val="0"/>
        <w:spacing w:line="480" w:lineRule="auto"/>
        <w:widowControl w:val="off"/>
        <w:rPr>
          <w:rFonts w:ascii="Times New Roman" w:hAnsi="Times New Roman" w:eastAsia="仿宋" w:cs="Times New Roman"/>
          <w:b/>
          <w:bCs/>
          <w:color w:val="000000"/>
          <w:sz w:val="44"/>
          <w:szCs w:val="24"/>
          <w:lang w:val="en-US" w:eastAsia="zh-CN" w:bidi="ar-SA"/>
        </w:rPr>
        <w:outlineLvl w:val="9"/>
      </w:pPr>
      <w:r>
        <w:rPr>
          <w:rFonts w:ascii="Times New Roman" w:hAnsi="Times New Roman" w:eastAsia="仿宋" w:cs="Times New Roman"/>
          <w:b/>
          <w:bCs/>
          <w:color w:val="000000"/>
          <w:sz w:val="44"/>
          <w:szCs w:val="24"/>
          <w:lang w:val="en-US" w:eastAsia="zh-CN" w:bidi="ar-SA"/>
        </w:rPr>
        <w:t xml:space="preserve">目录</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第一章  磋商邀请</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第二章  供应商须知</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第三章  拟签订的合同文本</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第四章  采购需求</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第五章  评审方法与评审标准</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第六章  响应文件相关格式</w:t>
      </w:r>
      <w:r/>
    </w:p>
    <w:p>
      <w:pPr>
        <w:jc w:val="both"/>
        <w:widowControl w:val="off"/>
        <w:rPr>
          <w:rFonts w:ascii="Times New Roman" w:hAnsi="Times New Roman" w:eastAsia="仿宋_GB2312" w:cs="Times New Roman"/>
          <w:color w:val="000000"/>
          <w:sz w:val="30"/>
          <w:szCs w:val="30"/>
          <w:lang w:val="en-US" w:eastAsia="zh-CN" w:bidi="ar-SA"/>
        </w:rPr>
      </w:pPr>
      <w:r>
        <w:rPr>
          <w:rFonts w:ascii="Times New Roman" w:hAnsi="Times New Roman" w:eastAsia="仿宋_GB2312" w:cs="Times New Roman"/>
          <w:color w:val="000000"/>
          <w:sz w:val="30"/>
          <w:szCs w:val="30"/>
          <w:lang w:val="en-US" w:eastAsia="zh-CN" w:bidi="ar-SA"/>
        </w:rPr>
      </w:r>
      <w:r/>
    </w:p>
    <w:p>
      <w:pPr>
        <w:jc w:val="both"/>
        <w:widowControl w:val="off"/>
        <w:rPr>
          <w:rFonts w:ascii="Times New Roman" w:hAnsi="Times New Roman" w:eastAsia="仿宋_GB2312" w:cs="Times New Roman"/>
          <w:color w:val="000000"/>
          <w:sz w:val="30"/>
          <w:szCs w:val="30"/>
          <w:lang w:val="en-US" w:eastAsia="zh-CN" w:bidi="ar-SA"/>
        </w:rPr>
      </w:pPr>
      <w:r>
        <w:rPr>
          <w:rFonts w:ascii="Times New Roman" w:hAnsi="Times New Roman" w:eastAsia="仿宋_GB2312" w:cs="Times New Roman"/>
          <w:color w:val="000000"/>
          <w:sz w:val="30"/>
          <w:szCs w:val="30"/>
          <w:lang w:val="en-US" w:eastAsia="zh-CN" w:bidi="ar-SA"/>
        </w:rPr>
      </w:r>
      <w:r/>
    </w:p>
    <w:p>
      <w:pPr>
        <w:jc w:val="both"/>
        <w:widowControl w:val="off"/>
        <w:rPr>
          <w:rFonts w:ascii="Times New Roman" w:hAnsi="Times New Roman" w:eastAsia="仿宋_GB2312" w:cs="Times New Roman"/>
          <w:color w:val="000000"/>
          <w:sz w:val="30"/>
          <w:szCs w:val="30"/>
          <w:lang w:val="en-US" w:eastAsia="zh-CN" w:bidi="ar-SA"/>
        </w:rPr>
      </w:pPr>
      <w:r>
        <w:rPr>
          <w:rFonts w:ascii="Times New Roman" w:hAnsi="Times New Roman" w:eastAsia="仿宋_GB2312" w:cs="Times New Roman"/>
          <w:color w:val="000000"/>
          <w:sz w:val="30"/>
          <w:szCs w:val="30"/>
          <w:lang w:val="en-US" w:eastAsia="zh-CN" w:bidi="ar-SA"/>
        </w:rPr>
      </w:r>
      <w:r/>
    </w:p>
    <w:p>
      <w:pPr>
        <w:pageBreakBefore w:val="0"/>
        <w:rPr>
          <w:color w:val="000000"/>
        </w:rPr>
        <w:sectPr>
          <w:headerReference w:type="default" r:id="rId10"/>
          <w:footerReference w:type="default" r:id="rId13"/>
          <w:footnotePr/>
          <w:endnotePr/>
          <w:type w:val="nextPage"/>
          <w:pgSz w:w="11906" w:h="16838" w:orient="portrait"/>
          <w:pgMar w:top="1440" w:right="1800" w:bottom="1440" w:left="1800" w:header="851" w:footer="992" w:gutter="0"/>
          <w:pgNumType w:start="1"/>
          <w:rtlGutter/>
          <w:cols w:num="1" w:sep="0" w:space="1701" w:equalWidth="1"/>
          <w:docGrid w:linePitch="360"/>
        </w:sectPr>
      </w:pPr>
      <w:r/>
      <w:bookmarkStart w:id="0" w:name="_Toc4420"/>
      <w:r/>
      <w:bookmarkStart w:id="1" w:name="_Toc21111"/>
      <w:r/>
      <w:bookmarkStart w:id="2" w:name="_Toc22519"/>
      <w:r/>
      <w:bookmarkStart w:id="3" w:name="_Toc11760"/>
      <w:r/>
      <w:r/>
    </w:p>
    <w:p>
      <w:pPr>
        <w:jc w:val="center"/>
        <w:keepLines/>
        <w:keepNext/>
        <w:pageBreakBefore w:val="0"/>
        <w:spacing w:before="120" w:line="579" w:lineRule="auto"/>
        <w:widowControl w:val="off"/>
        <w:rPr>
          <w:rFonts w:ascii="Times New Roman" w:hAnsi="Times New Roman" w:eastAsia="仿宋" w:cs="Times New Roman"/>
          <w:b/>
          <w:bCs/>
          <w:color w:val="000000"/>
          <w:sz w:val="30"/>
          <w:szCs w:val="30"/>
          <w:lang w:val="en-US" w:eastAsia="zh-CN" w:bidi="ar-SA"/>
        </w:rPr>
        <w:outlineLvl w:val="0"/>
      </w:pPr>
      <w:r/>
      <w:bookmarkStart w:id="4" w:name="_Toc30293_WPSOffice_Level1"/>
      <w:r>
        <w:rPr>
          <w:rFonts w:ascii="Times New Roman" w:hAnsi="Times New Roman" w:eastAsia="仿宋" w:cs="Times New Roman"/>
          <w:b/>
          <w:bCs/>
          <w:color w:val="000000"/>
          <w:sz w:val="30"/>
          <w:szCs w:val="30"/>
          <w:lang w:val="en-US" w:eastAsia="zh-CN" w:bidi="ar-SA"/>
        </w:rPr>
        <w:t xml:space="preserve">第一</w:t>
      </w:r>
      <w:r>
        <w:rPr>
          <w:rFonts w:hint="eastAsia" w:eastAsia="仿宋" w:cs="Times New Roman"/>
          <w:b/>
          <w:bCs/>
          <w:color w:val="000000"/>
          <w:sz w:val="30"/>
          <w:szCs w:val="30"/>
          <w:lang w:val="en-US" w:eastAsia="zh-CN" w:bidi="ar-SA"/>
        </w:rPr>
        <w:t xml:space="preserve">章 </w:t>
      </w:r>
      <w:r>
        <w:rPr>
          <w:rFonts w:ascii="Times New Roman" w:hAnsi="Times New Roman" w:eastAsia="仿宋" w:cs="Times New Roman"/>
          <w:b/>
          <w:bCs/>
          <w:color w:val="000000"/>
          <w:sz w:val="30"/>
          <w:szCs w:val="30"/>
          <w:lang w:val="en-US" w:eastAsia="zh-CN" w:bidi="ar-SA"/>
        </w:rPr>
        <w:t xml:space="preserve">磋商邀请</w:t>
      </w:r>
      <w:bookmarkEnd w:id="0"/>
      <w:r/>
      <w:bookmarkEnd w:id="1"/>
      <w:r/>
      <w:bookmarkEnd w:id="2"/>
      <w:r/>
      <w:bookmarkEnd w:id="3"/>
      <w:r/>
      <w:bookmarkEnd w:id="4"/>
      <w:r/>
      <w:r/>
    </w:p>
    <w:p>
      <w:pPr>
        <w:ind w:firstLine="480"/>
        <w:jc w:val="both"/>
        <w:keepLines w:val="0"/>
        <w:keepNext w:val="0"/>
        <w:pageBreakBefore w:val="0"/>
        <w:spacing w:line="360" w:lineRule="auto"/>
        <w:widowControl w:val="off"/>
        <w:rPr>
          <w:rFonts w:ascii="仿宋" w:hAnsi="仿宋" w:eastAsia="仿宋" w:cs="仿宋"/>
          <w:bCs/>
          <w:iCs/>
          <w:color w:val="000000"/>
          <w:sz w:val="24"/>
          <w:szCs w:val="24"/>
          <w:highlight w:val="none"/>
          <w:lang w:val="en-US" w:eastAsia="zh-CN" w:bidi="ar-SA"/>
        </w:rPr>
      </w:pPr>
      <w:r>
        <w:rPr>
          <w:rFonts w:ascii="仿宋" w:hAnsi="仿宋" w:eastAsia="仿宋" w:cs="仿宋"/>
          <w:bCs/>
          <w:iCs/>
          <w:color w:val="000000"/>
          <w:sz w:val="24"/>
          <w:szCs w:val="24"/>
          <w:highlight w:val="none"/>
          <w:lang w:val="en-US" w:eastAsia="zh-CN" w:bidi="ar-SA"/>
        </w:rPr>
        <w:t xml:space="preserve">恒泰保险经纪有限公司受</w:t>
      </w:r>
      <w:r>
        <w:rPr>
          <w:rFonts w:hint="eastAsia" w:ascii="仿宋" w:hAnsi="仿宋" w:eastAsia="仿宋" w:cs="仿宋"/>
          <w:bCs/>
          <w:iCs/>
          <w:color w:val="000000"/>
          <w:sz w:val="24"/>
          <w:szCs w:val="24"/>
          <w:highlight w:val="none"/>
          <w:lang w:val="en-US" w:eastAsia="zh-CN" w:bidi="ar-SA"/>
        </w:rPr>
        <w:t xml:space="preserve">南京市六合区人民政府程桥街道办事处</w:t>
      </w:r>
      <w:r>
        <w:rPr>
          <w:rFonts w:ascii="仿宋" w:hAnsi="仿宋" w:eastAsia="仿宋" w:cs="仿宋"/>
          <w:bCs/>
          <w:iCs/>
          <w:color w:val="000000"/>
          <w:sz w:val="24"/>
          <w:szCs w:val="24"/>
          <w:highlight w:val="none"/>
          <w:lang w:val="en-US" w:eastAsia="zh-CN" w:bidi="ar-SA"/>
        </w:rPr>
        <w:t xml:space="preserve">委托对</w:t>
      </w:r>
      <w:r>
        <w:rPr>
          <w:rFonts w:hint="eastAsia" w:ascii="仿宋" w:hAnsi="仿宋" w:eastAsia="仿宋" w:cs="仿宋"/>
          <w:bCs/>
          <w:iCs/>
          <w:color w:val="000000"/>
          <w:sz w:val="24"/>
          <w:szCs w:val="24"/>
          <w:highlight w:val="none"/>
          <w:lang w:val="en-US" w:eastAsia="zh-CN" w:bidi="ar-SA"/>
        </w:rPr>
        <w:t xml:space="preserve">2026年程桥街道60周岁(含)以上意外伤害保险采购项目采取竞争性磋商采购方式进行采购</w:t>
      </w:r>
      <w:r>
        <w:rPr>
          <w:rFonts w:ascii="仿宋" w:hAnsi="仿宋" w:eastAsia="仿宋" w:cs="仿宋"/>
          <w:bCs/>
          <w:iCs/>
          <w:color w:val="000000"/>
          <w:sz w:val="24"/>
          <w:szCs w:val="24"/>
          <w:highlight w:val="none"/>
          <w:lang w:val="en-US" w:eastAsia="zh-CN" w:bidi="ar-SA"/>
        </w:rPr>
        <w:t xml:space="preserve">。竞争性磋商文件（以下简称</w:t>
      </w:r>
      <w:r>
        <w:rPr>
          <w:rFonts w:hint="eastAsia" w:ascii="仿宋" w:hAnsi="仿宋" w:eastAsia="仿宋" w:cs="仿宋"/>
          <w:bCs/>
          <w:iCs/>
          <w:color w:val="000000"/>
          <w:sz w:val="24"/>
          <w:szCs w:val="24"/>
          <w:highlight w:val="none"/>
          <w:lang w:val="en-US" w:eastAsia="zh-CN" w:bidi="ar-SA"/>
        </w:rPr>
        <w:t xml:space="preserve">“</w:t>
      </w:r>
      <w:r>
        <w:rPr>
          <w:rFonts w:ascii="仿宋" w:hAnsi="仿宋" w:eastAsia="仿宋" w:cs="仿宋"/>
          <w:bCs/>
          <w:iCs/>
          <w:color w:val="000000"/>
          <w:sz w:val="24"/>
          <w:szCs w:val="24"/>
          <w:highlight w:val="none"/>
          <w:lang w:val="en-US" w:eastAsia="zh-CN" w:bidi="ar-SA"/>
        </w:rPr>
        <w:t xml:space="preserve">磋商文件</w:t>
      </w:r>
      <w:r>
        <w:rPr>
          <w:rFonts w:hint="eastAsia" w:ascii="仿宋" w:hAnsi="仿宋" w:eastAsia="仿宋" w:cs="仿宋"/>
          <w:bCs/>
          <w:iCs/>
          <w:color w:val="000000"/>
          <w:sz w:val="24"/>
          <w:szCs w:val="24"/>
          <w:highlight w:val="none"/>
          <w:lang w:val="en-US" w:eastAsia="zh-CN" w:bidi="ar-SA"/>
        </w:rPr>
        <w:t xml:space="preserve">”</w:t>
      </w:r>
      <w:r>
        <w:rPr>
          <w:rFonts w:ascii="仿宋" w:hAnsi="仿宋" w:eastAsia="仿宋" w:cs="仿宋"/>
          <w:bCs/>
          <w:iCs/>
          <w:color w:val="000000"/>
          <w:sz w:val="24"/>
          <w:szCs w:val="24"/>
          <w:highlight w:val="none"/>
          <w:lang w:val="en-US" w:eastAsia="zh-CN" w:bidi="ar-SA"/>
        </w:rPr>
        <w:t xml:space="preserve">）内容如下：</w:t>
      </w:r>
      <w:r/>
    </w:p>
    <w:p>
      <w:pPr>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一、项目基本情况</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（一）项目编号：JSZC-320116-HTBX-C2026-0003</w:t>
      </w:r>
      <w:r/>
    </w:p>
    <w:p>
      <w:pPr>
        <w:ind w:firstLine="480"/>
        <w:jc w:val="both"/>
        <w:keepLines w:val="0"/>
        <w:keepNext w:val="0"/>
        <w:pageBreakBefore w:val="0"/>
        <w:spacing w:line="360" w:lineRule="auto"/>
        <w:widowControl w:val="off"/>
        <w:rPr>
          <w:rFonts w:ascii="仿宋" w:hAnsi="仿宋" w:eastAsia="仿宋" w:cs="仿宋"/>
          <w:bCs/>
          <w:i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（二）项目名称：</w:t>
      </w:r>
      <w:bookmarkStart w:id="5" w:name="OLE_LINK1"/>
      <w:r>
        <w:rPr>
          <w:rFonts w:hint="eastAsia" w:ascii="仿宋" w:hAnsi="仿宋" w:eastAsia="仿宋" w:cs="仿宋"/>
          <w:bCs/>
          <w:iCs/>
          <w:color w:val="000000"/>
          <w:sz w:val="24"/>
          <w:szCs w:val="24"/>
          <w:highlight w:val="none"/>
          <w:lang w:val="en-US" w:eastAsia="zh-CN" w:bidi="ar-SA"/>
        </w:rPr>
        <w:t xml:space="preserve">2026年程桥街道60周岁(含)以上意外伤害保险采购</w:t>
      </w:r>
      <w:bookmarkEnd w:id="5"/>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（三）预算金额：</w:t>
      </w:r>
      <w:bookmarkStart w:id="6" w:name="EB839e973c1f9b45a6b4f805f81d6f9994"/>
      <w:r/>
      <w:bookmarkEnd w:id="6"/>
      <w:r>
        <w:rPr>
          <w:rFonts w:hint="eastAsia" w:ascii="仿宋" w:hAnsi="仿宋" w:eastAsia="仿宋" w:cs="仿宋"/>
          <w:color w:val="000000"/>
          <w:sz w:val="24"/>
          <w:szCs w:val="24"/>
          <w:highlight w:val="none"/>
          <w:lang w:val="en-US" w:eastAsia="zh-CN" w:bidi="ar-SA"/>
        </w:rPr>
        <w:t xml:space="preserve">52.92万元 人民币</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（四）最高限价：52.92万元 人民币，超过最高限价做无效标处理。</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（五）采购需求：</w:t>
      </w:r>
      <w:r>
        <w:rPr>
          <w:rFonts w:hint="eastAsia" w:ascii="仿宋" w:hAnsi="仿宋" w:eastAsia="仿宋" w:cs="仿宋"/>
          <w:bCs/>
          <w:iCs/>
          <w:color w:val="000000"/>
          <w:sz w:val="24"/>
          <w:szCs w:val="24"/>
          <w:highlight w:val="none"/>
          <w:lang w:val="en-US" w:eastAsia="zh-CN" w:bidi="ar-SA"/>
        </w:rPr>
        <w:t xml:space="preserve">老年人意外伤害保险，详细内容见本磋商文件。</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（六）合同履行期限：自合同生效之日起，服务期一年。</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（七）本项目不接受联合体参加磋商。</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二、申请人的资格要求</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（一）满足《中华人民共和国政府采购法》第二十二条规定：</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1.供应商</w:t>
      </w:r>
      <w:r>
        <w:rPr>
          <w:rFonts w:ascii="仿宋" w:hAnsi="仿宋" w:eastAsia="仿宋" w:cs="仿宋"/>
          <w:color w:val="000000"/>
          <w:sz w:val="24"/>
          <w:szCs w:val="24"/>
          <w:highlight w:val="none"/>
          <w:lang w:val="en-US" w:eastAsia="zh-CN" w:bidi="ar-SA"/>
        </w:rPr>
        <w:t xml:space="preserve">合法有效的营业执照及保险许可证</w:t>
      </w:r>
      <w:r>
        <w:rPr>
          <w:rFonts w:hint="eastAsia" w:ascii="仿宋" w:hAnsi="仿宋" w:eastAsia="仿宋" w:cs="仿宋"/>
          <w:color w:val="000000"/>
          <w:sz w:val="24"/>
          <w:szCs w:val="24"/>
          <w:highlight w:val="none"/>
          <w:lang w:val="en-US" w:eastAsia="zh-CN" w:bidi="ar-SA"/>
        </w:rPr>
        <w:t xml:space="preserve">（原件的扫描件）</w:t>
      </w:r>
      <w:r>
        <w:rPr>
          <w:rFonts w:ascii="仿宋" w:hAnsi="仿宋" w:eastAsia="仿宋" w:cs="仿宋"/>
          <w:color w:val="000000"/>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bookmarkStart w:id="7" w:name="OLE_LINK12"/>
      <w:r>
        <w:rPr>
          <w:rFonts w:hint="eastAsia" w:ascii="仿宋" w:hAnsi="仿宋" w:eastAsia="仿宋" w:cs="仿宋"/>
          <w:color w:val="000000"/>
          <w:sz w:val="24"/>
          <w:szCs w:val="24"/>
          <w:highlight w:val="none"/>
          <w:lang w:val="en-US" w:eastAsia="zh-CN" w:bidi="ar-SA"/>
        </w:rPr>
        <w:t xml:space="preserve">财务状况报告，至少提供： 供应商的提交首次响应文件时间前6个月内任何日期的资产负债表和利润表月报表扫描件各一份；或供应商基本开户银行出具的有效的资信证明扫描件；或财政部门认可的政府采购专业担保机构出具的有效的投标担保函扫描件；或其2024年度经审计的财务报告扫描件一份；或《南京市政府采购供应商信用记录表暨信用承诺书》。</w:t>
      </w:r>
      <w:bookmarkEnd w:id="7"/>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bookmarkStart w:id="8" w:name="OLE_LINK13"/>
      <w:r>
        <w:rPr>
          <w:rFonts w:hint="eastAsia" w:ascii="仿宋" w:hAnsi="仿宋" w:eastAsia="仿宋" w:cs="仿宋"/>
          <w:color w:val="000000"/>
          <w:sz w:val="24"/>
          <w:szCs w:val="24"/>
          <w:highlight w:val="none"/>
          <w:lang w:val="en-US" w:eastAsia="zh-CN" w:bidi="ar-SA"/>
        </w:rPr>
        <w:t xml:space="preserve">供应商的提交首次响应文件时间前6个月内任何1月的依法缴纳税收和社会保障资金的相关材料扫描件各一份；或依法免税或不需要缴纳社会保障资金的供应商应提供相应其依法免税或不需要缴纳社会保障资金的证明文件扫描件；或《南京市政府采购供应商信用记录表暨信用承诺书》。</w:t>
      </w:r>
      <w:bookmarkEnd w:id="8"/>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w:t>
      </w:r>
      <w:bookmarkStart w:id="9" w:name="OLE_LINK14"/>
      <w:r>
        <w:rPr>
          <w:rFonts w:hint="eastAsia" w:ascii="仿宋" w:hAnsi="仿宋" w:eastAsia="仿宋" w:cs="仿宋"/>
          <w:color w:val="000000"/>
          <w:sz w:val="24"/>
          <w:szCs w:val="24"/>
          <w:highlight w:val="none"/>
          <w:lang w:val="en-US" w:eastAsia="zh-CN" w:bidi="ar-SA"/>
        </w:rPr>
        <w:t xml:space="preserve">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或《南京市政府采购供应商信用记录表暨信用承诺书》。</w:t>
      </w:r>
      <w:bookmarkEnd w:id="9"/>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w:t>
      </w:r>
      <w:bookmarkStart w:id="10" w:name="OLE_LINK2"/>
      <w:r/>
      <w:bookmarkStart w:id="11" w:name="OLE_LINK15"/>
      <w:r>
        <w:rPr>
          <w:rFonts w:hint="eastAsia" w:ascii="仿宋" w:hAnsi="仿宋" w:eastAsia="仿宋" w:cs="仿宋"/>
          <w:color w:val="000000"/>
          <w:sz w:val="24"/>
          <w:szCs w:val="24"/>
          <w:highlight w:val="none"/>
          <w:lang w:val="en-US" w:eastAsia="zh-CN" w:bidi="ar-SA"/>
        </w:rPr>
        <w:t xml:space="preserve">供应商参加政府采购活动前3年内在经营活动中没有重大违法记录的书面声明(原件，格式见《磋商文件》附件)。或《南京市政府采购供应商信用记录表暨信用承诺书》。</w:t>
      </w:r>
      <w:bookmarkEnd w:id="10"/>
      <w:r/>
      <w:bookmarkEnd w:id="11"/>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（二）落实政府采购政策需满足的资格要求：本项目不属于专门面向中小微企业采购的项目</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（三）本项目的特定资格要求：无</w:t>
      </w:r>
      <w:r/>
    </w:p>
    <w:p>
      <w:pPr>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三、获取磋商文件</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（一）时间：自竞争性磋商公告发布之日起5个工作日</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（二）地点：“苏采云”系统内免费下载（供应商必须在苏采云系统中获取磋商文件，方能参与政府采购项目）</w:t>
      </w:r>
      <w:r/>
    </w:p>
    <w:p>
      <w:pPr>
        <w:ind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三）方式：供应商登陆“江苏政府采购网”，在网站首页点击“苏采云”→使用CA锁登录系统(新用户需进行“平台用户注册”)→“项目参与”进行登记，在“可参与项目”中选择“我要参与”，参与成功后到“已参与项目”界面中找到该项目下载文件并进</w:t>
      </w:r>
      <w:r>
        <w:rPr>
          <w:rFonts w:hint="eastAsia" w:ascii="仿宋" w:hAnsi="仿宋" w:eastAsia="仿宋" w:cs="仿宋"/>
          <w:bCs/>
          <w:color w:val="000000"/>
          <w:sz w:val="24"/>
          <w:szCs w:val="24"/>
          <w:highlight w:val="none"/>
          <w:lang w:val="en-US" w:eastAsia="zh-CN" w:bidi="ar-SA"/>
        </w:rPr>
        <w:t xml:space="preserve">行操作。</w:t>
      </w:r>
      <w:r/>
    </w:p>
    <w:p>
      <w:pPr>
        <w:ind w:firstLine="480"/>
        <w:jc w:val="both"/>
        <w:keepLines w:val="0"/>
        <w:keepNext w:val="0"/>
        <w:pageBreakBefore w:val="0"/>
        <w:spacing w:line="360" w:lineRule="auto"/>
        <w:widowControl w:val="off"/>
        <w:rPr>
          <w:rFonts w:hint="eastAsia" w:ascii="仿宋" w:hAnsi="仿宋" w:eastAsia="仿宋" w:cs="仿宋"/>
          <w:bCs/>
          <w:color w:val="000000"/>
          <w:sz w:val="24"/>
          <w:szCs w:val="24"/>
          <w:highlight w:val="none"/>
          <w:lang w:val="en-US" w:eastAsia="zh-CN" w:bidi="ar-SA"/>
        </w:rPr>
      </w:pPr>
      <w:r>
        <w:rPr>
          <w:rFonts w:hint="eastAsia" w:ascii="仿宋" w:hAnsi="仿宋" w:eastAsia="仿宋" w:cs="仿宋"/>
          <w:bCs/>
          <w:color w:val="000000"/>
          <w:sz w:val="24"/>
          <w:szCs w:val="24"/>
          <w:highlight w:val="none"/>
          <w:lang w:val="en-US" w:eastAsia="zh-CN" w:bidi="ar-SA"/>
        </w:rPr>
        <w:t xml:space="preserve">（四）售</w:t>
      </w:r>
      <w:r>
        <w:rPr>
          <w:rFonts w:hint="eastAsia" w:ascii="仿宋" w:hAnsi="仿宋" w:eastAsia="仿宋" w:cs="仿宋"/>
          <w:color w:val="000000"/>
          <w:sz w:val="24"/>
          <w:szCs w:val="24"/>
          <w:highlight w:val="none"/>
          <w:lang w:val="en-US" w:eastAsia="zh-CN" w:bidi="ar-SA"/>
        </w:rPr>
        <w:t xml:space="preserve">价：0.00元</w:t>
      </w:r>
      <w:r>
        <w:rPr>
          <w:rFonts w:hint="eastAsia" w:ascii="仿宋" w:hAnsi="仿宋" w:eastAsia="仿宋" w:cs="仿宋"/>
          <w:bCs/>
          <w:color w:val="000000"/>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四、提交响应文件截止时间、开标时间和地点</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（一）时间：</w:t>
      </w:r>
      <w:bookmarkStart w:id="12" w:name="EB32f26f7a56ea4234ac2c058c48587799"/>
      <w:r/>
      <w:bookmarkEnd w:id="12"/>
      <w:r>
        <w:rPr>
          <w:rFonts w:hint="eastAsia" w:ascii="仿宋" w:hAnsi="仿宋" w:eastAsia="仿宋" w:cs="仿宋"/>
          <w:bCs/>
          <w:iCs/>
          <w:color w:val="000000"/>
          <w:sz w:val="24"/>
          <w:szCs w:val="24"/>
          <w:highlight w:val="none"/>
          <w:lang w:val="en-US" w:eastAsia="zh-CN" w:bidi="ar-SA"/>
        </w:rPr>
        <w:t xml:space="preserve">2026年2月25日14:30（北京时间）。</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（二）地点：</w:t>
      </w:r>
      <w:bookmarkStart w:id="13" w:name="EB5915918a541e40afa5d8d4e64ad5179a"/>
      <w:r>
        <w:rPr>
          <w:rFonts w:hint="eastAsia" w:ascii="仿宋" w:hAnsi="仿宋" w:eastAsia="仿宋" w:cs="仿宋"/>
          <w:color w:val="000000"/>
          <w:sz w:val="24"/>
          <w:szCs w:val="24"/>
          <w:highlight w:val="none"/>
          <w:lang w:val="en-US" w:eastAsia="zh-CN" w:bidi="ar-SA"/>
        </w:rPr>
        <w:t xml:space="preserve">江苏省政府采购交易系统(苏采云系统)网上开标大厅。</w:t>
      </w:r>
      <w:bookmarkEnd w:id="13"/>
      <w:r/>
      <w:r/>
    </w:p>
    <w:p>
      <w:pPr>
        <w:ind w:firstLine="482"/>
        <w:jc w:val="both"/>
        <w:keepLines w:val="0"/>
        <w:keepNext w:val="0"/>
        <w:pageBreakBefore w:val="0"/>
        <w:spacing w:line="360" w:lineRule="auto"/>
        <w:widowControl w:val="off"/>
        <w:rPr>
          <w:rFonts w:hint="eastAsia" w:ascii="仿宋" w:hAnsi="仿宋" w:eastAsia="仿宋" w:cs="仿宋"/>
          <w:b/>
          <w:bCs/>
          <w:iCs/>
          <w:color w:val="000000"/>
          <w:sz w:val="24"/>
          <w:szCs w:val="24"/>
          <w:highlight w:val="none"/>
          <w:lang w:val="en-US" w:eastAsia="zh-CN" w:bidi="ar-SA"/>
        </w:rPr>
      </w:pPr>
      <w:r>
        <w:rPr>
          <w:rFonts w:hint="eastAsia" w:ascii="仿宋" w:hAnsi="仿宋" w:eastAsia="仿宋" w:cs="仿宋"/>
          <w:b/>
          <w:bCs/>
          <w:iCs/>
          <w:color w:val="000000"/>
          <w:sz w:val="24"/>
          <w:szCs w:val="24"/>
          <w:highlight w:val="none"/>
          <w:lang w:val="en-US" w:eastAsia="zh-CN" w:bidi="ar-SA"/>
        </w:rPr>
        <w:t xml:space="preserve">五、公告期限</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自公告发布之日起3个工作日。</w:t>
      </w:r>
      <w:r/>
    </w:p>
    <w:p>
      <w:pPr>
        <w:ind w:firstLine="482"/>
        <w:jc w:val="both"/>
        <w:keepLines w:val="0"/>
        <w:keepNext w:val="0"/>
        <w:pageBreakBefore w:val="0"/>
        <w:spacing w:line="360" w:lineRule="auto"/>
        <w:widowControl w:val="off"/>
        <w:rPr>
          <w:rFonts w:hint="eastAsia" w:ascii="仿宋" w:hAnsi="仿宋" w:eastAsia="仿宋" w:cs="仿宋"/>
          <w:b/>
          <w:bCs/>
          <w:iCs/>
          <w:color w:val="000000"/>
          <w:sz w:val="24"/>
          <w:szCs w:val="24"/>
          <w:highlight w:val="none"/>
          <w:lang w:val="en-US" w:eastAsia="zh-CN" w:bidi="ar-SA"/>
        </w:rPr>
      </w:pPr>
      <w:r>
        <w:rPr>
          <w:rFonts w:hint="eastAsia" w:ascii="仿宋" w:hAnsi="仿宋" w:eastAsia="仿宋" w:cs="仿宋"/>
          <w:b/>
          <w:bCs/>
          <w:iCs/>
          <w:color w:val="000000"/>
          <w:sz w:val="24"/>
          <w:szCs w:val="24"/>
          <w:highlight w:val="none"/>
          <w:lang w:val="en-US" w:eastAsia="zh-CN" w:bidi="ar-SA"/>
        </w:rPr>
        <w:t xml:space="preserve">六、其他补充事宜</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（一）获取采购文件</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文件提供期限届满后仍可以</w:t>
      </w:r>
      <w:r>
        <w:rPr>
          <w:rFonts w:hint="eastAsia" w:ascii="仿宋" w:hAnsi="仿宋" w:eastAsia="仿宋" w:cs="仿宋"/>
          <w:color w:val="000000"/>
          <w:sz w:val="24"/>
          <w:szCs w:val="24"/>
          <w:highlight w:val="none"/>
          <w:lang w:val="en-US" w:eastAsia="zh-CN" w:bidi="ar-SA"/>
        </w:rPr>
        <w:t xml:space="preserve">领取</w:t>
      </w:r>
      <w:r>
        <w:rPr>
          <w:rFonts w:ascii="仿宋" w:hAnsi="仿宋" w:eastAsia="仿宋" w:cs="仿宋"/>
          <w:color w:val="000000"/>
          <w:sz w:val="24"/>
          <w:szCs w:val="24"/>
          <w:highlight w:val="none"/>
          <w:lang w:val="en-US" w:eastAsia="zh-CN" w:bidi="ar-SA"/>
        </w:rPr>
        <w:t xml:space="preserve">，期限届满后</w:t>
      </w:r>
      <w:r>
        <w:rPr>
          <w:rFonts w:hint="eastAsia" w:ascii="仿宋" w:hAnsi="仿宋" w:eastAsia="仿宋" w:cs="仿宋"/>
          <w:color w:val="000000"/>
          <w:sz w:val="24"/>
          <w:szCs w:val="24"/>
          <w:highlight w:val="none"/>
          <w:lang w:val="en-US" w:eastAsia="zh-CN" w:bidi="ar-SA"/>
        </w:rPr>
        <w:t xml:space="preserve">领取</w:t>
      </w:r>
      <w:r>
        <w:rPr>
          <w:rFonts w:ascii="仿宋" w:hAnsi="仿宋" w:eastAsia="仿宋" w:cs="仿宋"/>
          <w:color w:val="000000"/>
          <w:sz w:val="24"/>
          <w:szCs w:val="24"/>
          <w:highlight w:val="none"/>
          <w:lang w:val="en-US" w:eastAsia="zh-CN" w:bidi="ar-SA"/>
        </w:rPr>
        <w:t xml:space="preserve">的</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文件，视为非有效方式且不作为供应商权益受到损害的证明材料和依据。</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（二）</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文件的澄清或者修改</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采购代理机构可以对已发出的</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文件进行必要的澄清或者修改。澄清或者修改的内容以所发布的本项目的“更正（澄清）公告”的形式通知所有获取</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文件的潜在</w:t>
      </w:r>
      <w:r>
        <w:rPr>
          <w:rFonts w:hint="eastAsia" w:ascii="仿宋" w:hAnsi="仿宋" w:eastAsia="仿宋" w:cs="仿宋"/>
          <w:color w:val="000000"/>
          <w:sz w:val="24"/>
          <w:szCs w:val="24"/>
          <w:highlight w:val="none"/>
          <w:lang w:val="en-US" w:eastAsia="zh-CN" w:bidi="ar-SA"/>
        </w:rPr>
        <w:t xml:space="preserve">供应商</w:t>
      </w:r>
      <w:r>
        <w:rPr>
          <w:rFonts w:ascii="仿宋" w:hAnsi="仿宋" w:eastAsia="仿宋" w:cs="仿宋"/>
          <w:color w:val="000000"/>
          <w:sz w:val="24"/>
          <w:szCs w:val="24"/>
          <w:highlight w:val="none"/>
          <w:lang w:val="en-US" w:eastAsia="zh-CN" w:bidi="ar-SA"/>
        </w:rPr>
        <w:t xml:space="preserve">。发布本项目的“更正（澄清）公告”后采购代理机构已尽通知义务。敬请各潜在</w:t>
      </w:r>
      <w:r>
        <w:rPr>
          <w:rFonts w:hint="eastAsia" w:ascii="仿宋" w:hAnsi="仿宋" w:eastAsia="仿宋" w:cs="仿宋"/>
          <w:color w:val="000000"/>
          <w:sz w:val="24"/>
          <w:szCs w:val="24"/>
          <w:highlight w:val="none"/>
          <w:lang w:val="en-US" w:eastAsia="zh-CN" w:bidi="ar-SA"/>
        </w:rPr>
        <w:t xml:space="preserve">供应商</w:t>
      </w:r>
      <w:r>
        <w:rPr>
          <w:rFonts w:ascii="仿宋" w:hAnsi="仿宋" w:eastAsia="仿宋" w:cs="仿宋"/>
          <w:color w:val="000000"/>
          <w:sz w:val="24"/>
          <w:szCs w:val="24"/>
          <w:highlight w:val="none"/>
          <w:lang w:val="en-US" w:eastAsia="zh-CN" w:bidi="ar-SA"/>
        </w:rPr>
        <w:t xml:space="preserve">关注本项目的“更正（澄清）公告”，并与代理机构联系重新领取更正（澄清）后的采购文件，否则，将自行承担相应的风险。</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（三）终止</w:t>
      </w:r>
      <w:r>
        <w:rPr>
          <w:rFonts w:hint="eastAsia" w:ascii="仿宋" w:hAnsi="仿宋" w:eastAsia="仿宋" w:cs="仿宋"/>
          <w:color w:val="000000"/>
          <w:sz w:val="24"/>
          <w:szCs w:val="24"/>
          <w:highlight w:val="none"/>
          <w:lang w:val="en-US" w:eastAsia="zh-CN" w:bidi="ar-SA"/>
        </w:rPr>
        <w:t xml:space="preserve">磋商</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终止</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的，采购代理机构应当及时在原公告发布媒体上发布终止公告，以“终止公告”的形式通知已经获取</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文件的潜在</w:t>
      </w:r>
      <w:r>
        <w:rPr>
          <w:rFonts w:hint="eastAsia" w:ascii="仿宋" w:hAnsi="仿宋" w:eastAsia="仿宋" w:cs="仿宋"/>
          <w:color w:val="000000"/>
          <w:sz w:val="24"/>
          <w:szCs w:val="24"/>
          <w:highlight w:val="none"/>
          <w:lang w:val="en-US" w:eastAsia="zh-CN" w:bidi="ar-SA"/>
        </w:rPr>
        <w:t xml:space="preserve">供应商</w:t>
      </w:r>
      <w:r>
        <w:rPr>
          <w:rFonts w:ascii="仿宋" w:hAnsi="仿宋" w:eastAsia="仿宋" w:cs="仿宋"/>
          <w:color w:val="000000"/>
          <w:sz w:val="24"/>
          <w:szCs w:val="24"/>
          <w:highlight w:val="none"/>
          <w:lang w:val="en-US" w:eastAsia="zh-CN" w:bidi="ar-SA"/>
        </w:rPr>
        <w:t xml:space="preserve">，发布本项目的“终止公告”后采购代理机构已尽通知义务。敬请各潜在</w:t>
      </w:r>
      <w:r>
        <w:rPr>
          <w:rFonts w:hint="eastAsia" w:ascii="仿宋" w:hAnsi="仿宋" w:eastAsia="仿宋" w:cs="仿宋"/>
          <w:color w:val="000000"/>
          <w:sz w:val="24"/>
          <w:szCs w:val="24"/>
          <w:highlight w:val="none"/>
          <w:lang w:val="en-US" w:eastAsia="zh-CN" w:bidi="ar-SA"/>
        </w:rPr>
        <w:t xml:space="preserve">供应商</w:t>
      </w:r>
      <w:r>
        <w:rPr>
          <w:rFonts w:ascii="仿宋" w:hAnsi="仿宋" w:eastAsia="仿宋" w:cs="仿宋"/>
          <w:color w:val="000000"/>
          <w:sz w:val="24"/>
          <w:szCs w:val="24"/>
          <w:highlight w:val="none"/>
          <w:lang w:val="en-US" w:eastAsia="zh-CN" w:bidi="ar-SA"/>
        </w:rPr>
        <w:t xml:space="preserve">关注本项目的“终止公告”，否则，将自行承担相应的风险。</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（四）说明</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1.本项目不接受联合体参与采购活动，成交后不得转包或分包。</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t xml:space="preserve">2.单位负责人为同一人或者存在直接控股、管理关系的不同供应商，不得参加同一合同项下的</w:t>
      </w:r>
      <w:r>
        <w:rPr>
          <w:rFonts w:hint="eastAsia" w:ascii="仿宋" w:hAnsi="仿宋" w:eastAsia="仿宋" w:cs="仿宋"/>
          <w:color w:val="000000"/>
          <w:sz w:val="24"/>
          <w:szCs w:val="24"/>
          <w:highlight w:val="none"/>
          <w:lang w:val="en-US" w:eastAsia="zh-CN" w:bidi="ar-SA"/>
        </w:rPr>
        <w:t xml:space="preserve">采购</w:t>
      </w:r>
      <w:r>
        <w:rPr>
          <w:rFonts w:ascii="仿宋" w:hAnsi="仿宋" w:eastAsia="仿宋" w:cs="仿宋"/>
          <w:color w:val="000000"/>
          <w:sz w:val="24"/>
          <w:szCs w:val="24"/>
          <w:highlight w:val="none"/>
          <w:lang w:val="en-US" w:eastAsia="zh-CN" w:bidi="ar-SA"/>
        </w:rPr>
        <w:t xml:space="preserve">活动。</w:t>
      </w:r>
      <w:r/>
    </w:p>
    <w:p>
      <w:p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3.供应商通过苏采云系统参与政府采购项目，需要办理江苏省政府采购数字证书及电子公章，具体详见苏采云系统登录页“新CA办理指南”。《苏采云系统供应商操作手册》（以下简称《操作手册》）可至江苏政府采购网―办事指南-资料下载中心下载，供应商按《操作手册》进行注册、制作、上传电子响应文件。</w:t>
      </w:r>
      <w:r/>
    </w:p>
    <w:p>
      <w:p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4.潜在供应商访问政府采购管理交易系统（苏采云）的网络地址和方法：</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（2）“CA数字证书”的获取：供应商需办理CA锁，“苏采云”系统目前仅支持“苏采云”系统下的政务CA，省内各地区办理的“苏采云”系统下的政务CA全省通用。</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（3）“CA数字证书”的办理材料以及供应商操作手册详见：http://jsxcmm.com/help/gys.html。</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（4）潜在供应商访问“苏采云”系统的网络地址和方法：“苏采云”系统的网址：http://jszfcg.jsczt.cn/jszc/login。</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（5）采购文件（后缀名为“.kedt”）、供应商操作手册及政府采购客户端工具也可通过“苏采云”系统--已报名项目--报名详情页面内相应链接进行下载。</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（6）采购代理机构将数据电文形式的采购文件加载至“苏采云”系统，供潜在供应商下载或者查阅。</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（7）苏采云系统使用谷歌浏览器参与不见面开标。</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（8）“苏采云”南京地区客服热线025-83633744、025-83633743。</w:t>
      </w:r>
      <w:r/>
    </w:p>
    <w:p>
      <w:p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5.响应文件的解密：</w:t>
      </w:r>
      <w:r>
        <w:rPr>
          <w:rFonts w:hint="eastAsia" w:ascii="仿宋" w:hAnsi="仿宋" w:eastAsia="仿宋" w:cs="仿宋"/>
          <w:color w:val="000000"/>
          <w:sz w:val="24"/>
          <w:szCs w:val="24"/>
          <w:highlight w:val="none"/>
          <w:lang w:val="en-US" w:eastAsia="zh-CN" w:bidi="ar-SA"/>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仿宋" w:hAnsi="仿宋" w:eastAsia="仿宋" w:cs="仿宋"/>
          <w:b/>
          <w:bCs/>
          <w:color w:val="000000"/>
          <w:sz w:val="24"/>
          <w:szCs w:val="24"/>
          <w:highlight w:val="none"/>
          <w:lang w:val="en-US" w:eastAsia="zh-CN" w:bidi="ar-SA"/>
        </w:rPr>
        <w:t xml:space="preserve">供应商解密限定在开标后30分钟之内完成</w:t>
      </w:r>
      <w:r>
        <w:rPr>
          <w:rFonts w:hint="eastAsia" w:ascii="仿宋" w:hAnsi="仿宋" w:eastAsia="仿宋" w:cs="仿宋"/>
          <w:color w:val="000000"/>
          <w:sz w:val="24"/>
          <w:szCs w:val="24"/>
          <w:highlight w:val="none"/>
          <w:lang w:val="en-US" w:eastAsia="zh-CN" w:bidi="ar-SA"/>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采购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6.政府采购信用承诺：</w:t>
      </w:r>
      <w:r>
        <w:rPr>
          <w:rFonts w:hint="eastAsia" w:ascii="仿宋" w:hAnsi="仿宋" w:eastAsia="仿宋" w:cs="仿宋"/>
          <w:color w:val="000000"/>
          <w:sz w:val="24"/>
          <w:szCs w:val="24"/>
          <w:highlight w:val="none"/>
          <w:lang w:val="en-US" w:eastAsia="zh-CN" w:bidi="ar-SA"/>
        </w:rPr>
        <w:t xml:space="preserve">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w:t>
      </w:r>
      <w:r>
        <w:rPr>
          <w:rFonts w:hint="eastAsia" w:ascii="仿宋" w:hAnsi="仿宋" w:eastAsia="仿宋" w:cs="仿宋"/>
          <w:color w:val="000000"/>
          <w:sz w:val="24"/>
          <w:szCs w:val="24"/>
          <w:highlight w:val="none"/>
          <w:lang w:val="en-US" w:eastAsia="zh-CN" w:bidi="ar-SA"/>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在政府采购资格审查环节，供应商只需提供书面《南京市政府采购供应商信用记录表暨信用承诺书》，即可替代以下证明材料：</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（1）符合国家相关规定的财务状况报告；</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（2）依法缴纳税收的证明材料；</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（3）依法缴纳社会保障资金的证明材料；</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（4）具备履行政府采购合同所必需的设备和专业技术能力的证明材料；</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（5）参加政府采购活动前三年内在经营活动中没有重大违法记录的证明材料；</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（6）未被列入失信被执行人、重大税收违法失信主体、政府采购严重违法失信行为记录名单的证明材料。</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供应商在中标（成交）后，应上述由信用承诺书替代的证明材料，加盖公章提交采购人或采购代理机构核验。经核验无误后，由采购人或采购代理机构发出中标（成交）通知书。</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供应商涉及以下情形的，不适用信用承诺，仍须提供上述证明材料：</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（1）供应商被列入严重失信主体名单；</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（2）被相关监管部门作出行政处罚且尚在处罚有效期内；</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（3）其他法律、行政法规规定的不适用信用承诺的情形。</w:t>
      </w:r>
      <w:r/>
    </w:p>
    <w:p>
      <w:pPr>
        <w:ind w:firstLine="480"/>
        <w:jc w:val="lef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供应商对信用承诺内容的真实性、合法性、有效性负责。如作出虚假信用承诺，视同为“提供虚假材料谋取中标、成交”的违法行为。</w:t>
      </w:r>
      <w:r/>
    </w:p>
    <w:p>
      <w:pPr>
        <w:ind w:firstLine="482"/>
        <w:jc w:val="both"/>
        <w:keepLines w:val="0"/>
        <w:keepNext w:val="0"/>
        <w:pageBreakBefore w:val="0"/>
        <w:spacing w:line="360" w:lineRule="auto"/>
        <w:widowControl w:val="off"/>
        <w:rPr>
          <w:rFonts w:hint="eastAsia" w:ascii="仿宋" w:hAnsi="仿宋" w:eastAsia="仿宋" w:cs="仿宋"/>
          <w:b/>
          <w:bCs/>
          <w:iCs/>
          <w:color w:val="000000"/>
          <w:sz w:val="24"/>
          <w:szCs w:val="24"/>
          <w:highlight w:val="none"/>
          <w:lang w:val="en-US" w:eastAsia="zh-CN" w:bidi="ar-SA"/>
        </w:rPr>
      </w:pPr>
      <w:r>
        <w:rPr>
          <w:rFonts w:hint="eastAsia" w:ascii="仿宋" w:hAnsi="仿宋" w:eastAsia="仿宋" w:cs="仿宋"/>
          <w:b/>
          <w:bCs/>
          <w:iCs/>
          <w:color w:val="000000"/>
          <w:sz w:val="24"/>
          <w:szCs w:val="24"/>
          <w:highlight w:val="none"/>
          <w:lang w:val="en-US" w:eastAsia="zh-CN" w:bidi="ar-SA"/>
        </w:rPr>
        <w:t xml:space="preserve">七、对本次采购提出询问，请按以下方式联系。</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1.采购人信息 </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单位名称：南京市六合区人民政府程桥街道办事处</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单位地址：南京市六合区程桥街道编钟路88号</w:t>
      </w:r>
      <w:r/>
    </w:p>
    <w:p>
      <w:pPr>
        <w:ind w:firstLine="480"/>
        <w:jc w:val="both"/>
        <w:keepLines w:val="0"/>
        <w:keepNext w:val="0"/>
        <w:pageBreakBefore w:val="0"/>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联系人：陆云霞</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联系电话：025-57659839</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2.采购代理机构信息</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单位名称：恒泰保险经纪有限公司</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单位地址：南京市中山北路30号益来国际广场12层</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联系人：郭晓</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联系电话：18005203016</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3.项目联系方式</w:t>
      </w:r>
      <w:r/>
    </w:p>
    <w:p>
      <w:p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项目联系人：郭晓</w:t>
      </w:r>
      <w:r/>
    </w:p>
    <w:p>
      <w:pPr>
        <w:ind w:firstLine="480"/>
        <w:jc w:val="both"/>
        <w:keepLines w:val="0"/>
        <w:keepNext w:val="0"/>
        <w:pageBreakBefore w:val="0"/>
        <w:spacing w:line="360" w:lineRule="auto"/>
        <w:widowControl w:val="off"/>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4"/>
          <w:szCs w:val="24"/>
          <w:highlight w:val="none"/>
          <w:lang w:val="en-US" w:eastAsia="zh-CN" w:bidi="ar-SA"/>
        </w:rPr>
        <w:t xml:space="preserve">电话：18005203016</w:t>
      </w:r>
      <w:r/>
    </w:p>
    <w:p>
      <w:pPr>
        <w:jc w:val="center"/>
        <w:keepLines/>
        <w:keepNext/>
        <w:pageBreakBefore/>
        <w:spacing w:before="120" w:line="579" w:lineRule="auto"/>
        <w:widowControl w:val="off"/>
        <w:rPr>
          <w:rFonts w:ascii="Times New Roman" w:hAnsi="Times New Roman" w:eastAsia="仿宋" w:cs="Times New Roman"/>
          <w:b/>
          <w:bCs/>
          <w:color w:val="000000"/>
          <w:sz w:val="30"/>
          <w:szCs w:val="30"/>
          <w:lang w:val="en-US" w:eastAsia="zh-CN" w:bidi="ar-SA"/>
        </w:rPr>
        <w:outlineLvl w:val="0"/>
      </w:pPr>
      <w:r/>
      <w:bookmarkStart w:id="14" w:name="_Toc28899_WPSOffice_Level1"/>
      <w:r/>
      <w:bookmarkStart w:id="15" w:name="_Toc14081"/>
      <w:r/>
      <w:bookmarkStart w:id="16" w:name="_Toc15221"/>
      <w:r/>
      <w:bookmarkStart w:id="17" w:name="_Toc5438"/>
      <w:r/>
      <w:bookmarkStart w:id="18" w:name="_Toc8965"/>
      <w:r>
        <w:rPr>
          <w:rFonts w:ascii="Times New Roman" w:hAnsi="Times New Roman" w:eastAsia="仿宋" w:cs="Times New Roman"/>
          <w:b/>
          <w:bCs/>
          <w:color w:val="000000"/>
          <w:sz w:val="30"/>
          <w:szCs w:val="30"/>
          <w:lang w:val="en-US" w:eastAsia="zh-CN" w:bidi="ar-SA"/>
        </w:rPr>
        <w:t xml:space="preserve">第二</w:t>
      </w:r>
      <w:r>
        <w:rPr>
          <w:rFonts w:hint="eastAsia" w:eastAsia="仿宋" w:cs="Times New Roman"/>
          <w:b/>
          <w:bCs/>
          <w:color w:val="000000"/>
          <w:sz w:val="30"/>
          <w:szCs w:val="30"/>
          <w:lang w:val="en-US" w:eastAsia="zh-CN" w:bidi="ar-SA"/>
        </w:rPr>
        <w:t xml:space="preserve">章 供应商</w:t>
      </w:r>
      <w:r>
        <w:rPr>
          <w:rFonts w:ascii="Times New Roman" w:hAnsi="Times New Roman" w:eastAsia="仿宋" w:cs="Times New Roman"/>
          <w:b/>
          <w:bCs/>
          <w:color w:val="000000"/>
          <w:sz w:val="30"/>
          <w:szCs w:val="30"/>
          <w:lang w:val="en-US" w:eastAsia="zh-CN" w:bidi="ar-SA"/>
        </w:rPr>
        <w:t xml:space="preserve">须知</w:t>
      </w:r>
      <w:bookmarkEnd w:id="14"/>
      <w:r/>
      <w:bookmarkEnd w:id="15"/>
      <w:r/>
      <w:bookmarkEnd w:id="16"/>
      <w:r/>
      <w:bookmarkEnd w:id="17"/>
      <w:r/>
      <w:bookmarkEnd w:id="18"/>
      <w:r/>
      <w:r/>
    </w:p>
    <w:p>
      <w:pPr>
        <w:jc w:val="both"/>
        <w:keepLines/>
        <w:keepNext/>
        <w:spacing w:before="0" w:after="0" w:line="240" w:lineRule="auto"/>
        <w:widowControl w:val="off"/>
        <w:rPr>
          <w:rFonts w:ascii="Arial" w:hAnsi="Arial" w:eastAsia="黑体" w:cs="Times New Roman"/>
          <w:b/>
          <w:color w:val="000000"/>
          <w:sz w:val="32"/>
          <w:szCs w:val="20"/>
          <w:highlight w:val="none"/>
          <w:lang w:val="en-US" w:eastAsia="zh-CN" w:bidi="ar-SA"/>
        </w:rPr>
        <w:outlineLvl w:val="1"/>
      </w:pPr>
      <w:r/>
      <w:bookmarkStart w:id="19" w:name="_Toc921"/>
      <w:r/>
      <w:bookmarkStart w:id="20" w:name="_Toc11692"/>
      <w:r/>
      <w:bookmarkStart w:id="21" w:name="_Toc20377"/>
      <w:r/>
      <w:bookmarkStart w:id="22" w:name="_Toc30782"/>
      <w:r>
        <w:rPr>
          <w:rFonts w:hint="eastAsia" w:ascii="Arial" w:hAnsi="Arial" w:eastAsia="黑体" w:cs="Times New Roman"/>
          <w:b/>
          <w:color w:val="000000"/>
          <w:sz w:val="32"/>
          <w:szCs w:val="20"/>
          <w:highlight w:val="none"/>
          <w:lang w:val="en-US" w:eastAsia="zh-CN" w:bidi="ar-SA"/>
        </w:rPr>
        <w:t xml:space="preserve">供应商须知前附表：</w:t>
      </w:r>
      <w:bookmarkEnd w:id="19"/>
      <w:r/>
      <w:r/>
    </w:p>
    <w:tbl>
      <w:tblPr>
        <w:tblStyle w:val="745"/>
        <w:tblW w:w="96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b/>
                <w:bCs/>
                <w:color w:val="000000"/>
                <w:sz w:val="24"/>
                <w:szCs w:val="24"/>
                <w:highlight w:val="none"/>
                <w:lang w:val="en-US" w:eastAsia="zh-CN" w:bidi="ar-SA"/>
              </w:rPr>
            </w:pPr>
            <w:r/>
            <w:bookmarkStart w:id="23" w:name="EBc9d8a0a6c333409599b28034cbc893d2"/>
            <w:r>
              <w:rPr>
                <w:rFonts w:hint="eastAsia" w:ascii="仿宋" w:hAnsi="仿宋" w:eastAsia="仿宋" w:cs="仿宋"/>
                <w:b/>
                <w:bCs/>
                <w:color w:val="000000"/>
                <w:sz w:val="24"/>
                <w:szCs w:val="24"/>
                <w:highlight w:val="none"/>
                <w:lang w:val="en-US" w:eastAsia="zh-CN" w:bidi="ar-SA"/>
              </w:rPr>
              <w:t xml:space="preserve">序号</w:t>
            </w:r>
            <w:r/>
          </w:p>
        </w:tc>
        <w:tc>
          <w:tcPr>
            <w:tcW w:w="2013" w:type="dxa"/>
            <w:vAlign w:val="center"/>
            <w:textDirection w:val="lrTb"/>
            <w:noWrap w:val="false"/>
          </w:tcPr>
          <w:p>
            <w:pPr>
              <w:ind w:firstLine="0"/>
              <w:jc w:val="center"/>
              <w:keepLines w:val="0"/>
              <w:keepNext w:val="0"/>
              <w:pageBreakBefore w:val="0"/>
              <w:spacing w:line="560" w:lineRule="exact"/>
              <w:widowControl w:val="off"/>
              <w:rPr>
                <w:rFonts w:ascii="仿宋" w:hAnsi="仿宋" w:eastAsia="仿宋" w:cs="仿宋"/>
                <w:b/>
                <w:color w:val="000000"/>
                <w:sz w:val="24"/>
                <w:szCs w:val="24"/>
                <w:highlight w:val="none"/>
                <w:lang w:val="en-US" w:eastAsia="zh-CN" w:bidi="ar-SA"/>
              </w:rPr>
              <w:outlineLvl w:val="9"/>
            </w:pPr>
            <w:r>
              <w:rPr>
                <w:rFonts w:hint="eastAsia" w:ascii="仿宋" w:hAnsi="仿宋" w:eastAsia="仿宋" w:cs="仿宋"/>
                <w:b/>
                <w:color w:val="000000"/>
                <w:sz w:val="24"/>
                <w:szCs w:val="24"/>
                <w:highlight w:val="none"/>
                <w:lang w:val="en-US" w:eastAsia="zh-CN" w:bidi="ar-SA"/>
              </w:rPr>
              <w:t xml:space="preserve">内容</w:t>
            </w:r>
            <w:r/>
          </w:p>
        </w:tc>
        <w:tc>
          <w:tcPr>
            <w:tcW w:w="6859" w:type="dxa"/>
            <w:vAlign w:val="center"/>
            <w:textDirection w:val="lrTb"/>
            <w:noWrap w:val="false"/>
          </w:tcPr>
          <w:p>
            <w:pPr>
              <w:jc w:val="center"/>
              <w:spacing w:line="560" w:lineRule="exact"/>
              <w:widowControl w:val="off"/>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说明及要求</w:t>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p>
        </w:tc>
        <w:tc>
          <w:tcPr>
            <w:tcW w:w="2013" w:type="dxa"/>
            <w:vAlign w:val="center"/>
            <w:textDirection w:val="lrTb"/>
            <w:noWrap w:val="false"/>
          </w:tcPr>
          <w:p>
            <w:pPr>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特别说明</w:t>
            </w:r>
            <w:r/>
          </w:p>
        </w:tc>
        <w:tc>
          <w:tcPr>
            <w:tcW w:w="6859" w:type="dxa"/>
            <w:vAlign w:val="center"/>
            <w:textDirection w:val="lrTb"/>
            <w:noWrap w:val="false"/>
          </w:tcPr>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若有内容与供应商须知前附表内容不一致时，以供应商须知前附表为准。</w:t>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r/>
          </w:p>
        </w:tc>
        <w:tc>
          <w:tcPr>
            <w:tcW w:w="2013" w:type="dxa"/>
            <w:vAlign w:val="center"/>
            <w:textDirection w:val="lrTb"/>
            <w:noWrap w:val="false"/>
          </w:tcPr>
          <w:p>
            <w:pPr>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磋商保证金</w:t>
            </w:r>
            <w:r/>
          </w:p>
        </w:tc>
        <w:tc>
          <w:tcPr>
            <w:tcW w:w="6859" w:type="dxa"/>
            <w:vAlign w:val="center"/>
            <w:textDirection w:val="lrTb"/>
            <w:noWrap w:val="false"/>
          </w:tcPr>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本项目不收取磋商保证金。</w:t>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r/>
          </w:p>
        </w:tc>
        <w:tc>
          <w:tcPr>
            <w:tcW w:w="2013" w:type="dxa"/>
            <w:vAlign w:val="center"/>
            <w:textDirection w:val="lrTb"/>
            <w:noWrap w:val="false"/>
          </w:tcPr>
          <w:p>
            <w:pPr>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磋商有效期</w:t>
            </w:r>
            <w:r/>
          </w:p>
        </w:tc>
        <w:tc>
          <w:tcPr>
            <w:tcW w:w="6859" w:type="dxa"/>
            <w:vAlign w:val="center"/>
            <w:textDirection w:val="lrTb"/>
            <w:noWrap w:val="false"/>
          </w:tcPr>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90日（从提交响应文件截止之日起算）</w:t>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w:t>
            </w:r>
            <w:r/>
          </w:p>
        </w:tc>
        <w:tc>
          <w:tcPr>
            <w:tcW w:w="2013" w:type="dxa"/>
            <w:vAlign w:val="center"/>
            <w:textDirection w:val="lrTb"/>
            <w:noWrap w:val="false"/>
          </w:tcPr>
          <w:p>
            <w:pPr>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评标办法</w:t>
            </w:r>
            <w:r/>
          </w:p>
        </w:tc>
        <w:tc>
          <w:tcPr>
            <w:tcW w:w="6859" w:type="dxa"/>
            <w:vAlign w:val="center"/>
            <w:textDirection w:val="lrTb"/>
            <w:noWrap w:val="false"/>
          </w:tcPr>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bookmarkStart w:id="24" w:name="EBf2540e281f614ac8b4efc83b6e64d4d2"/>
            <w:r/>
            <w:bookmarkEnd w:id="24"/>
            <w:r>
              <w:rPr>
                <w:rFonts w:hint="eastAsia" w:ascii="仿宋" w:hAnsi="仿宋" w:eastAsia="仿宋" w:cs="Times New Roman"/>
                <w:color w:val="000000"/>
                <w:sz w:val="24"/>
                <w:szCs w:val="24"/>
                <w:highlight w:val="none"/>
                <w:lang w:val="en-US" w:eastAsia="zh-CN" w:bidi="ar-SA"/>
              </w:rPr>
              <w:t xml:space="preserve">综合评分法。具体细则详见磋商文件评标办法部分。</w:t>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w:t>
            </w:r>
            <w:r/>
          </w:p>
        </w:tc>
        <w:tc>
          <w:tcPr>
            <w:tcW w:w="2013" w:type="dxa"/>
            <w:vAlign w:val="center"/>
            <w:textDirection w:val="lrTb"/>
            <w:noWrap w:val="false"/>
          </w:tcPr>
          <w:p>
            <w:pPr>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分包、转包要求</w:t>
            </w:r>
            <w:r/>
          </w:p>
        </w:tc>
        <w:tc>
          <w:tcPr>
            <w:tcW w:w="6859" w:type="dxa"/>
            <w:vAlign w:val="center"/>
            <w:textDirection w:val="lrTb"/>
            <w:noWrap w:val="false"/>
          </w:tcPr>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本项目不允许分包、转包。</w:t>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w:t>
            </w:r>
            <w:r/>
          </w:p>
        </w:tc>
        <w:tc>
          <w:tcPr>
            <w:tcW w:w="2013" w:type="dxa"/>
            <w:vAlign w:val="center"/>
            <w:textDirection w:val="lrTb"/>
            <w:noWrap w:val="false"/>
          </w:tcPr>
          <w:p>
            <w:pPr>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代理费用收取方式及标准</w:t>
            </w:r>
            <w:r/>
          </w:p>
        </w:tc>
        <w:tc>
          <w:tcPr>
            <w:tcW w:w="6859" w:type="dxa"/>
            <w:vAlign w:val="center"/>
            <w:textDirection w:val="lrTb"/>
            <w:noWrap w:val="false"/>
          </w:tcPr>
          <w:p>
            <w:pPr>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ascii="仿宋" w:hAnsi="仿宋" w:eastAsia="仿宋" w:cs="Times New Roman"/>
                <w:color w:val="000000"/>
                <w:sz w:val="24"/>
                <w:szCs w:val="24"/>
                <w:highlight w:val="none"/>
                <w:lang w:val="en-US" w:eastAsia="zh-CN" w:bidi="ar-SA"/>
              </w:rPr>
              <w:t xml:space="preserve">采购代理机构代理费用由</w:t>
            </w:r>
            <w:r>
              <w:rPr>
                <w:rFonts w:hint="eastAsia" w:ascii="仿宋" w:hAnsi="仿宋" w:eastAsia="仿宋" w:cs="Times New Roman"/>
                <w:color w:val="000000"/>
                <w:sz w:val="24"/>
                <w:szCs w:val="24"/>
                <w:highlight w:val="none"/>
                <w:lang w:val="en-US" w:eastAsia="zh-CN" w:bidi="ar-SA"/>
              </w:rPr>
              <w:t xml:space="preserve">成交供应商收到中标通知书后10日内</w:t>
            </w:r>
            <w:r>
              <w:rPr>
                <w:rFonts w:ascii="仿宋" w:hAnsi="仿宋" w:eastAsia="仿宋" w:cs="Times New Roman"/>
                <w:color w:val="000000"/>
                <w:sz w:val="24"/>
                <w:szCs w:val="24"/>
                <w:highlight w:val="none"/>
                <w:lang w:val="en-US" w:eastAsia="zh-CN" w:bidi="ar-SA"/>
              </w:rPr>
              <w:t xml:space="preserve">支付，标准见《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代理服务收费标准》（见附件）。</w:t>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w:t>
            </w:r>
            <w:r/>
          </w:p>
        </w:tc>
        <w:tc>
          <w:tcPr>
            <w:tcW w:w="2013" w:type="dxa"/>
            <w:vAlign w:val="center"/>
            <w:textDirection w:val="lrTb"/>
            <w:noWrap w:val="false"/>
          </w:tcPr>
          <w:p>
            <w:pPr>
              <w:ind w:right="0" w:firstLine="0"/>
              <w:jc w:val="center"/>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响应文件</w:t>
            </w:r>
            <w:r/>
          </w:p>
          <w:p>
            <w:pPr>
              <w:ind w:right="0" w:firstLine="0"/>
              <w:jc w:val="center"/>
              <w:keepLines w:val="0"/>
              <w:keepNext w:val="0"/>
              <w:pageBreakBefore w:val="0"/>
              <w:spacing w:line="440" w:lineRule="exact"/>
              <w:widowControl w:val="off"/>
              <w:rPr>
                <w:rFonts w:ascii="仿宋" w:hAnsi="仿宋" w:eastAsia="仿宋" w:cs="仿宋"/>
                <w:color w:val="000000"/>
                <w:sz w:val="24"/>
                <w:szCs w:val="24"/>
                <w:highlight w:val="none"/>
                <w:lang w:val="en-US" w:eastAsia="zh-CN" w:bidi="ar-SA"/>
              </w:rPr>
              <w:outlineLvl w:val="9"/>
            </w:pPr>
            <w:r>
              <w:rPr>
                <w:rFonts w:ascii="仿宋" w:hAnsi="仿宋" w:eastAsia="仿宋" w:cs="仿宋"/>
                <w:color w:val="000000"/>
                <w:sz w:val="24"/>
                <w:szCs w:val="24"/>
                <w:highlight w:val="none"/>
                <w:lang w:val="en-US" w:eastAsia="zh-CN" w:bidi="ar-SA"/>
              </w:rPr>
              <w:t xml:space="preserve">编制要求</w:t>
            </w:r>
            <w:r/>
          </w:p>
        </w:tc>
        <w:tc>
          <w:tcPr>
            <w:tcW w:w="6859" w:type="dxa"/>
            <w:vAlign w:val="center"/>
            <w:textDirection w:val="lrTb"/>
            <w:noWrap w:val="false"/>
          </w:tcPr>
          <w:p>
            <w:pPr>
              <w:ind w:right="0" w:firstLine="480"/>
              <w:jc w:val="both"/>
              <w:keepLines w:val="0"/>
              <w:keepNext w:val="0"/>
              <w:pageBreakBefore w:val="0"/>
              <w:spacing w:line="440" w:lineRule="exact"/>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请按照以下要求（包括但不限于以下要求）制作：</w:t>
            </w:r>
            <w:r/>
          </w:p>
          <w:p>
            <w:pPr>
              <w:ind w:right="0" w:firstLine="482"/>
              <w:jc w:val="both"/>
              <w:keepLines w:val="0"/>
              <w:keepNext w:val="0"/>
              <w:pageBreakBefore w:val="0"/>
              <w:spacing w:line="440" w:lineRule="exact"/>
              <w:widowControl w:val="off"/>
              <w:rPr>
                <w:rFonts w:ascii="仿宋" w:hAnsi="仿宋" w:eastAsia="仿宋" w:cs="Times New Roman"/>
                <w:b/>
                <w:color w:val="000000"/>
                <w:sz w:val="24"/>
                <w:szCs w:val="24"/>
                <w:highlight w:val="none"/>
                <w:lang w:val="en-US" w:eastAsia="zh-CN" w:bidi="ar-SA"/>
              </w:rPr>
              <w:outlineLvl w:val="9"/>
            </w:pPr>
            <w:r>
              <w:rPr>
                <w:rFonts w:ascii="仿宋" w:hAnsi="仿宋" w:eastAsia="仿宋" w:cs="Times New Roman"/>
                <w:b/>
                <w:color w:val="000000"/>
                <w:sz w:val="24"/>
                <w:szCs w:val="24"/>
                <w:highlight w:val="none"/>
                <w:lang w:val="en-US" w:eastAsia="zh-CN" w:bidi="ar-SA"/>
              </w:rPr>
              <w:t xml:space="preserve">一、基本</w:t>
            </w:r>
            <w:r>
              <w:rPr>
                <w:rFonts w:hint="eastAsia" w:ascii="仿宋" w:hAnsi="仿宋" w:eastAsia="仿宋" w:cs="Times New Roman"/>
                <w:b/>
                <w:color w:val="000000"/>
                <w:sz w:val="24"/>
                <w:szCs w:val="24"/>
                <w:highlight w:val="none"/>
                <w:lang w:val="en-US" w:eastAsia="zh-CN" w:bidi="ar-SA"/>
              </w:rPr>
              <w:t xml:space="preserve">内容</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ascii="仿宋" w:hAnsi="仿宋" w:eastAsia="仿宋" w:cs="Times New Roman"/>
                <w:color w:val="000000"/>
                <w:sz w:val="24"/>
                <w:szCs w:val="24"/>
                <w:highlight w:val="none"/>
                <w:lang w:val="en-US" w:eastAsia="zh-CN" w:bidi="ar-SA"/>
              </w:rPr>
              <w:t xml:space="preserve">目录；</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1</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磋商报价表</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2.</w:t>
            </w:r>
            <w:r>
              <w:rPr>
                <w:rFonts w:ascii="仿宋" w:hAnsi="仿宋" w:eastAsia="仿宋" w:cs="Times New Roman"/>
                <w:color w:val="000000"/>
                <w:sz w:val="24"/>
                <w:szCs w:val="24"/>
                <w:highlight w:val="none"/>
                <w:lang w:val="en-US" w:eastAsia="zh-CN" w:bidi="ar-SA"/>
              </w:rPr>
              <w:t xml:space="preserve">《</w:t>
            </w:r>
            <w:bookmarkStart w:id="25" w:name="OLE_LINK10"/>
            <w:r>
              <w:rPr>
                <w:rFonts w:ascii="仿宋" w:hAnsi="仿宋" w:eastAsia="仿宋" w:cs="Times New Roman"/>
                <w:color w:val="000000"/>
                <w:sz w:val="24"/>
                <w:szCs w:val="24"/>
                <w:lang w:val="en-US" w:eastAsia="zh-CN" w:bidi="ar-SA"/>
              </w:rPr>
              <w:t xml:space="preserve">分项价格表</w:t>
            </w:r>
            <w:bookmarkEnd w:id="25"/>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p>
          <w:p>
            <w:pPr>
              <w:ind w:right="0" w:firstLine="480"/>
              <w:jc w:val="both"/>
              <w:keepLines w:val="0"/>
              <w:keepNext w:val="0"/>
              <w:pageBreakBefore w:val="0"/>
              <w:spacing w:line="440" w:lineRule="exact"/>
              <w:widowControl w:val="off"/>
              <w:rPr>
                <w:rFonts w:hint="eastAsia" w:ascii="Times New Roman" w:hAnsi="Times New Roman" w:eastAsia="仿宋" w:cs="Times New Roman"/>
                <w:color w:val="000000"/>
                <w:sz w:val="21"/>
                <w:szCs w:val="24"/>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3</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磋商申请及声明</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4</w:t>
            </w:r>
            <w:r>
              <w:rPr>
                <w:rFonts w:ascii="仿宋" w:hAnsi="仿宋" w:eastAsia="仿宋" w:cs="Times New Roman"/>
                <w:color w:val="000000"/>
                <w:sz w:val="24"/>
                <w:szCs w:val="24"/>
                <w:highlight w:val="none"/>
                <w:lang w:val="en-US" w:eastAsia="zh-CN" w:bidi="ar-SA"/>
              </w:rPr>
              <w:t xml:space="preserve">.《授权委托书》（提供原件的扫描件，格式见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p>
          <w:p>
            <w:pPr>
              <w:ind w:right="0" w:firstLine="480"/>
              <w:jc w:val="both"/>
              <w:keepLines w:val="0"/>
              <w:keepNext w:val="0"/>
              <w:pageBreakBefore w:val="0"/>
              <w:spacing w:line="440" w:lineRule="exact"/>
              <w:widowControl/>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5</w:t>
            </w:r>
            <w:r>
              <w:rPr>
                <w:rFonts w:ascii="仿宋" w:hAnsi="仿宋" w:eastAsia="仿宋" w:cs="Times New Roman"/>
                <w:color w:val="000000"/>
                <w:sz w:val="24"/>
                <w:szCs w:val="24"/>
                <w:highlight w:val="none"/>
                <w:lang w:val="en-US" w:eastAsia="zh-CN" w:bidi="ar-SA"/>
              </w:rPr>
              <w:t xml:space="preserve">.《</w:t>
            </w:r>
            <w:bookmarkStart w:id="26" w:name="OLE_LINK11"/>
            <w:r>
              <w:rPr>
                <w:rFonts w:hint="eastAsia" w:ascii="仿宋" w:hAnsi="仿宋" w:eastAsia="仿宋" w:cs="Times New Roman"/>
                <w:color w:val="000000"/>
                <w:sz w:val="24"/>
                <w:szCs w:val="24"/>
                <w:highlight w:val="none"/>
                <w:lang w:val="en-US" w:eastAsia="zh-CN" w:bidi="ar-SA"/>
              </w:rPr>
              <w:t xml:space="preserve">供应商</w:t>
            </w:r>
            <w:r>
              <w:rPr>
                <w:rFonts w:ascii="仿宋" w:hAnsi="仿宋" w:eastAsia="仿宋" w:cs="Times New Roman"/>
                <w:color w:val="000000"/>
                <w:sz w:val="24"/>
                <w:szCs w:val="24"/>
                <w:highlight w:val="none"/>
                <w:lang w:val="en-US" w:eastAsia="zh-CN" w:bidi="ar-SA"/>
              </w:rPr>
              <w:t xml:space="preserve">基本信息</w:t>
            </w:r>
            <w:bookmarkEnd w:id="26"/>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p>
          <w:p>
            <w:pPr>
              <w:ind w:right="0" w:firstLine="482"/>
              <w:jc w:val="both"/>
              <w:keepLines w:val="0"/>
              <w:keepNext w:val="0"/>
              <w:pageBreakBefore w:val="0"/>
              <w:spacing w:line="440" w:lineRule="exact"/>
              <w:widowControl w:val="off"/>
              <w:rPr>
                <w:rFonts w:ascii="仿宋" w:hAnsi="仿宋" w:eastAsia="仿宋" w:cs="Times New Roman"/>
                <w:b/>
                <w:color w:val="000000"/>
                <w:sz w:val="24"/>
                <w:szCs w:val="24"/>
                <w:highlight w:val="none"/>
                <w:lang w:val="en-US" w:eastAsia="zh-CN" w:bidi="ar-SA"/>
              </w:rPr>
              <w:outlineLvl w:val="9"/>
            </w:pPr>
            <w:r>
              <w:rPr>
                <w:rFonts w:hint="eastAsia" w:ascii="宋体" w:hAnsi="宋体" w:eastAsia="宋体" w:cs="Times New Roman"/>
                <w:b/>
                <w:bCs/>
                <w:i w:val="0"/>
                <w:iCs w:val="0"/>
                <w:color w:val="000000"/>
                <w:sz w:val="24"/>
                <w:szCs w:val="21"/>
                <w:u w:val="none"/>
                <w:lang w:val="en-US" w:eastAsia="zh-CN"/>
              </w:rPr>
              <w:t xml:space="preserve">★</w:t>
            </w:r>
            <w:r>
              <w:rPr>
                <w:rFonts w:ascii="仿宋" w:hAnsi="仿宋" w:eastAsia="仿宋" w:cs="Times New Roman"/>
                <w:b/>
                <w:color w:val="000000"/>
                <w:sz w:val="24"/>
                <w:szCs w:val="24"/>
                <w:highlight w:val="none"/>
                <w:lang w:val="en-US" w:eastAsia="zh-CN" w:bidi="ar-SA"/>
              </w:rPr>
              <w:t xml:space="preserve">二、资格条件（必须提供，否则</w:t>
            </w:r>
            <w:r>
              <w:rPr>
                <w:rFonts w:hint="eastAsia" w:ascii="仿宋" w:hAnsi="仿宋" w:eastAsia="仿宋" w:cs="Times New Roman"/>
                <w:b/>
                <w:color w:val="000000"/>
                <w:sz w:val="24"/>
                <w:szCs w:val="24"/>
                <w:highlight w:val="none"/>
                <w:lang w:val="en-US" w:eastAsia="zh-CN" w:bidi="ar-SA"/>
              </w:rPr>
              <w:t xml:space="preserve">响应</w:t>
            </w:r>
            <w:r>
              <w:rPr>
                <w:rFonts w:ascii="仿宋" w:hAnsi="仿宋" w:eastAsia="仿宋" w:cs="Times New Roman"/>
                <w:b/>
                <w:color w:val="000000"/>
                <w:sz w:val="24"/>
                <w:szCs w:val="24"/>
                <w:highlight w:val="none"/>
                <w:lang w:val="en-US" w:eastAsia="zh-CN" w:bidi="ar-SA"/>
              </w:rPr>
              <w:t xml:space="preserve">无效）</w:t>
            </w:r>
            <w:r/>
          </w:p>
          <w:p>
            <w:pPr>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1.供应商</w:t>
            </w:r>
            <w:r>
              <w:rPr>
                <w:rFonts w:ascii="仿宋" w:hAnsi="仿宋" w:eastAsia="仿宋" w:cs="Times New Roman"/>
                <w:color w:val="000000"/>
                <w:sz w:val="24"/>
                <w:szCs w:val="24"/>
                <w:highlight w:val="none"/>
                <w:lang w:val="en-US" w:eastAsia="zh-CN" w:bidi="ar-SA"/>
              </w:rPr>
              <w:t xml:space="preserve">合法有效的营业执照及保险许可证</w:t>
            </w:r>
            <w:r>
              <w:rPr>
                <w:rFonts w:hint="eastAsia" w:ascii="仿宋" w:hAnsi="仿宋" w:eastAsia="仿宋" w:cs="Times New Roman"/>
                <w:color w:val="000000"/>
                <w:sz w:val="24"/>
                <w:szCs w:val="24"/>
                <w:highlight w:val="none"/>
                <w:lang w:val="en-US" w:eastAsia="zh-CN" w:bidi="ar-SA"/>
              </w:rPr>
              <w:t xml:space="preserve">（原件的扫描件）</w:t>
            </w:r>
            <w:r>
              <w:rPr>
                <w:rFonts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2.财务状况报告，至少提供： 供应商的提交首次响应文件时间前6个月内任何日期的资产负债表和利润表月报表扫描件各一份；或供应商基本开户银行出具的有效的资信证明扫描件；或财政部门认可的政府采购专业担保机构出具的有效的投标担保函扫描件；或其2024年度经审计的财务报告扫描件一份；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p>
          <w:p>
            <w:pPr>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3.供应商的提交首次响应文件时间前6个月内任何1月的依法缴纳税收和社会保障资金的相关材料扫描件各一份；或依法免税或不需要缴纳社会保障资金的供应商应提供相应其依法免税或不需要缴纳社会保障资金的证明文件扫描件；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p>
          <w:p>
            <w:pPr>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4.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5.供应商参加政府采购活动前3年内在经营活动中没有重大违法记录的书面声明(原件，格式见《磋商文件》附件)。或</w:t>
            </w:r>
            <w:r>
              <w:rPr>
                <w:rFonts w:hint="eastAsia" w:ascii="仿宋" w:hAnsi="仿宋" w:eastAsia="仿宋" w:cs="仿宋"/>
                <w:color w:val="000000"/>
                <w:sz w:val="24"/>
                <w:szCs w:val="24"/>
                <w:highlight w:val="none"/>
                <w:lang w:val="en-US" w:eastAsia="zh-CN" w:bidi="ar-SA"/>
              </w:rPr>
              <w:t xml:space="preserve">《南京市政府采购供应商信用记录表暨信用承诺书》。</w:t>
            </w:r>
            <w:r/>
          </w:p>
          <w:p>
            <w:pPr>
              <w:ind w:right="0" w:firstLine="482"/>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宋体" w:hAnsi="宋体" w:eastAsia="宋体" w:cs="Times New Roman"/>
                <w:b/>
                <w:bCs/>
                <w:i w:val="0"/>
                <w:iCs w:val="0"/>
                <w:color w:val="000000"/>
                <w:sz w:val="24"/>
                <w:szCs w:val="21"/>
                <w:u w:val="none"/>
                <w:lang w:val="en-US" w:eastAsia="zh-CN"/>
              </w:rPr>
              <w:t xml:space="preserve">★</w:t>
            </w:r>
            <w:r>
              <w:rPr>
                <w:rFonts w:ascii="仿宋" w:hAnsi="仿宋" w:eastAsia="仿宋" w:cs="Times New Roman"/>
                <w:b/>
                <w:color w:val="000000"/>
                <w:sz w:val="24"/>
                <w:szCs w:val="24"/>
                <w:highlight w:val="none"/>
                <w:lang w:val="en-US" w:eastAsia="zh-CN" w:bidi="ar-SA"/>
              </w:rPr>
              <w:t xml:space="preserve">三、符合条件</w:t>
            </w:r>
            <w:r>
              <w:rPr>
                <w:rFonts w:ascii="仿宋" w:hAnsi="仿宋" w:eastAsia="仿宋" w:cs="Times New Roman"/>
                <w:color w:val="000000"/>
                <w:sz w:val="24"/>
                <w:szCs w:val="24"/>
                <w:highlight w:val="none"/>
                <w:lang w:val="en-US" w:eastAsia="zh-CN" w:bidi="ar-SA"/>
              </w:rPr>
              <w:t xml:space="preserve">（</w:t>
            </w:r>
            <w:r>
              <w:rPr>
                <w:rFonts w:ascii="仿宋" w:hAnsi="仿宋" w:eastAsia="仿宋" w:cs="Times New Roman"/>
                <w:b/>
                <w:color w:val="000000"/>
                <w:sz w:val="24"/>
                <w:szCs w:val="24"/>
                <w:highlight w:val="none"/>
                <w:lang w:val="en-US" w:eastAsia="zh-CN" w:bidi="ar-SA"/>
              </w:rPr>
              <w:t xml:space="preserve">必须提供，否则</w:t>
            </w:r>
            <w:r>
              <w:rPr>
                <w:rFonts w:hint="eastAsia" w:ascii="仿宋" w:hAnsi="仿宋" w:eastAsia="仿宋" w:cs="Times New Roman"/>
                <w:b/>
                <w:color w:val="000000"/>
                <w:sz w:val="24"/>
                <w:szCs w:val="24"/>
                <w:highlight w:val="none"/>
                <w:lang w:val="en-US" w:eastAsia="zh-CN" w:bidi="ar-SA"/>
              </w:rPr>
              <w:t xml:space="preserve">响应</w:t>
            </w:r>
            <w:r>
              <w:rPr>
                <w:rFonts w:ascii="仿宋" w:hAnsi="仿宋" w:eastAsia="仿宋" w:cs="Times New Roman"/>
                <w:b/>
                <w:color w:val="000000"/>
                <w:sz w:val="24"/>
                <w:szCs w:val="24"/>
                <w:highlight w:val="none"/>
                <w:lang w:val="en-US" w:eastAsia="zh-CN" w:bidi="ar-SA"/>
              </w:rPr>
              <w:t xml:space="preserve">无效</w:t>
            </w:r>
            <w:r>
              <w:rPr>
                <w:rFonts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1</w:t>
            </w:r>
            <w:r>
              <w:rPr>
                <w:rFonts w:ascii="仿宋" w:hAnsi="仿宋" w:eastAsia="仿宋" w:cs="Times New Roman"/>
                <w:color w:val="000000"/>
                <w:sz w:val="24"/>
                <w:szCs w:val="24"/>
                <w:highlight w:val="none"/>
                <w:lang w:val="en-US" w:eastAsia="zh-CN" w:bidi="ar-SA"/>
              </w:rPr>
              <w:t xml:space="preserve">.《偏离表》（</w:t>
            </w:r>
            <w:r>
              <w:rPr>
                <w:rFonts w:hint="eastAsia" w:ascii="仿宋" w:hAnsi="仿宋" w:eastAsia="仿宋" w:cs="Times New Roman"/>
                <w:color w:val="000000"/>
                <w:sz w:val="24"/>
                <w:szCs w:val="24"/>
                <w:highlight w:val="none"/>
                <w:lang w:val="en-US" w:eastAsia="zh-CN" w:bidi="ar-SA"/>
              </w:rPr>
              <w:t xml:space="preserve">加盖公章</w:t>
            </w:r>
            <w:r>
              <w:rPr>
                <w:rFonts w:ascii="仿宋" w:hAnsi="仿宋" w:eastAsia="仿宋" w:cs="Times New Roman"/>
                <w:color w:val="000000"/>
                <w:sz w:val="24"/>
                <w:szCs w:val="24"/>
                <w:highlight w:val="none"/>
                <w:lang w:val="en-US" w:eastAsia="zh-CN" w:bidi="ar-SA"/>
              </w:rPr>
              <w:t xml:space="preserve">，格式见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第六章</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相关格式》）</w:t>
            </w:r>
            <w:r>
              <w:rPr>
                <w:rFonts w:hint="eastAsia" w:ascii="仿宋" w:hAnsi="仿宋" w:eastAsia="仿宋" w:cs="Times New Roman"/>
                <w:color w:val="000000"/>
                <w:sz w:val="24"/>
                <w:szCs w:val="24"/>
                <w:highlight w:val="none"/>
                <w:lang w:val="en-US" w:eastAsia="zh-CN" w:bidi="ar-SA"/>
              </w:rPr>
              <w:t xml:space="preserve">。</w:t>
            </w:r>
            <w:r/>
          </w:p>
          <w:p>
            <w:pPr>
              <w:ind w:right="0" w:firstLine="480"/>
              <w:jc w:val="left"/>
              <w:keepLines w:val="0"/>
              <w:keepNext w:val="0"/>
              <w:pageBreakBefore w:val="0"/>
              <w:spacing w:line="440" w:lineRule="exact"/>
              <w:widowControl/>
              <w:rPr>
                <w:rFonts w:ascii="仿宋" w:hAnsi="仿宋" w:eastAsia="仿宋" w:cs="Times New Roman"/>
                <w:bCs/>
                <w:color w:val="000000"/>
                <w:sz w:val="21"/>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2</w:t>
            </w:r>
            <w:r>
              <w:rPr>
                <w:rFonts w:ascii="仿宋" w:hAnsi="仿宋" w:eastAsia="仿宋" w:cs="Times New Roman"/>
                <w:color w:val="000000"/>
                <w:sz w:val="24"/>
                <w:szCs w:val="24"/>
                <w:highlight w:val="none"/>
                <w:lang w:val="en-US" w:eastAsia="zh-CN" w:bidi="ar-SA"/>
              </w:rPr>
              <w:t xml:space="preserve">.</w:t>
            </w:r>
            <w:bookmarkStart w:id="27" w:name="OLE_LINK3"/>
            <w:r>
              <w:rPr>
                <w:rFonts w:hint="eastAsia" w:ascii="仿宋" w:hAnsi="仿宋" w:eastAsia="仿宋" w:cs="Times New Roman"/>
                <w:color w:val="000000"/>
                <w:sz w:val="24"/>
                <w:szCs w:val="24"/>
                <w:highlight w:val="none"/>
                <w:lang w:val="en-US" w:eastAsia="zh-CN" w:bidi="ar-SA"/>
              </w:rPr>
              <w:t xml:space="preserve">供应商</w:t>
            </w:r>
            <w:r>
              <w:rPr>
                <w:rFonts w:ascii="仿宋" w:hAnsi="仿宋" w:eastAsia="仿宋" w:cs="Times New Roman"/>
                <w:color w:val="000000"/>
                <w:sz w:val="24"/>
                <w:szCs w:val="24"/>
                <w:highlight w:val="none"/>
                <w:lang w:val="en-US" w:eastAsia="zh-CN" w:bidi="ar-SA"/>
              </w:rPr>
              <w:t xml:space="preserve">提供保险条款</w:t>
            </w:r>
            <w:r>
              <w:rPr>
                <w:rFonts w:hint="eastAsia" w:ascii="仿宋" w:hAnsi="仿宋" w:eastAsia="仿宋" w:cs="Times New Roman"/>
                <w:color w:val="000000"/>
                <w:sz w:val="24"/>
                <w:szCs w:val="24"/>
                <w:highlight w:val="none"/>
                <w:lang w:val="en-US" w:eastAsia="zh-CN" w:bidi="ar-SA"/>
              </w:rPr>
              <w:t xml:space="preserve">（含保险方案中的附加条款）</w:t>
            </w:r>
            <w:r>
              <w:rPr>
                <w:rFonts w:ascii="仿宋" w:hAnsi="仿宋" w:eastAsia="仿宋" w:cs="Times New Roman"/>
                <w:color w:val="000000"/>
                <w:sz w:val="24"/>
                <w:szCs w:val="24"/>
                <w:highlight w:val="none"/>
                <w:lang w:val="en-US" w:eastAsia="zh-CN" w:bidi="ar-SA"/>
              </w:rPr>
              <w:t xml:space="preserve">。</w:t>
            </w:r>
            <w:bookmarkEnd w:id="27"/>
            <w:r/>
            <w:r/>
          </w:p>
          <w:p>
            <w:pPr>
              <w:ind w:right="0" w:firstLine="482"/>
              <w:jc w:val="both"/>
              <w:keepLines w:val="0"/>
              <w:keepNext w:val="0"/>
              <w:pageBreakBefore w:val="0"/>
              <w:spacing w:line="440" w:lineRule="exact"/>
              <w:widowControl w:val="off"/>
              <w:rPr>
                <w:rFonts w:ascii="仿宋" w:hAnsi="仿宋" w:eastAsia="仿宋" w:cs="Times New Roman"/>
                <w:b/>
                <w:color w:val="000000"/>
                <w:sz w:val="24"/>
                <w:szCs w:val="24"/>
                <w:highlight w:val="none"/>
                <w:lang w:val="en-US" w:eastAsia="zh-CN" w:bidi="ar-SA"/>
              </w:rPr>
              <w:outlineLvl w:val="9"/>
            </w:pPr>
            <w:r>
              <w:rPr>
                <w:rFonts w:hint="eastAsia" w:ascii="宋体" w:hAnsi="宋体" w:eastAsia="宋体" w:cs="Times New Roman"/>
                <w:b/>
                <w:bCs/>
                <w:i w:val="0"/>
                <w:iCs w:val="0"/>
                <w:color w:val="000000"/>
                <w:sz w:val="24"/>
                <w:szCs w:val="21"/>
                <w:u w:val="none"/>
                <w:lang w:val="en-US" w:eastAsia="zh-CN"/>
              </w:rPr>
              <w:t xml:space="preserve">★</w:t>
            </w:r>
            <w:r>
              <w:rPr>
                <w:rFonts w:ascii="仿宋" w:hAnsi="仿宋" w:eastAsia="仿宋" w:cs="Times New Roman"/>
                <w:b/>
                <w:color w:val="000000"/>
                <w:sz w:val="24"/>
                <w:szCs w:val="24"/>
                <w:highlight w:val="none"/>
                <w:lang w:val="en-US" w:eastAsia="zh-CN" w:bidi="ar-SA"/>
              </w:rPr>
              <w:t xml:space="preserve">四、综合评审评分项</w:t>
            </w:r>
            <w:r/>
          </w:p>
          <w:p>
            <w:pPr>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lang w:val="en-US" w:eastAsia="zh-CN" w:bidi="ar-SA"/>
              </w:rPr>
              <w:t xml:space="preserve">1.</w:t>
            </w:r>
            <w:r>
              <w:rPr>
                <w:rFonts w:hint="eastAsia" w:ascii="仿宋" w:hAnsi="仿宋" w:eastAsia="仿宋" w:cs="Times New Roman"/>
                <w:color w:val="000000"/>
                <w:sz w:val="24"/>
                <w:szCs w:val="24"/>
                <w:highlight w:val="none"/>
                <w:lang w:val="en-US" w:eastAsia="zh-CN" w:bidi="ar-SA"/>
              </w:rPr>
              <w:t xml:space="preserve">承保服务方案</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第四章《采购需求》</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zh" w:eastAsia="zh-CN" w:bidi="ar-SA"/>
              </w:rPr>
              <w:outlineLvl w:val="9"/>
            </w:pPr>
            <w:r>
              <w:rPr>
                <w:rFonts w:hint="eastAsia" w:ascii="仿宋" w:hAnsi="仿宋" w:eastAsia="仿宋" w:cs="Times New Roman"/>
                <w:color w:val="000000"/>
                <w:sz w:val="24"/>
                <w:szCs w:val="24"/>
                <w:highlight w:val="none"/>
                <w:lang w:val="en-US" w:eastAsia="zh-CN" w:bidi="ar-SA"/>
              </w:rPr>
              <w:t xml:space="preserve">2.理赔服务方案</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第四章《采购需求》</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3.宣传培训服务方案</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第四章《采购需求》</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4.优惠服务</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5.</w:t>
            </w:r>
            <w:r>
              <w:rPr>
                <w:rFonts w:hint="eastAsia" w:ascii="仿宋" w:hAnsi="仿宋" w:eastAsia="仿宋" w:cs="Times New Roman"/>
                <w:color w:val="000000"/>
                <w:sz w:val="24"/>
                <w:szCs w:val="24"/>
                <w:lang w:val="en-US" w:eastAsia="zh-CN" w:bidi="ar-SA"/>
              </w:rPr>
              <w:t xml:space="preserve">业务制度</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6.履约能力</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7.保险方案</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第四章</w:t>
            </w:r>
            <w:r>
              <w:rPr>
                <w:rFonts w:ascii="仿宋" w:hAnsi="仿宋" w:eastAsia="仿宋" w:cs="Times New Roman"/>
                <w:color w:val="000000"/>
                <w:sz w:val="24"/>
                <w:szCs w:val="24"/>
                <w:highlight w:val="none"/>
                <w:lang w:val="en-US" w:eastAsia="zh-CN" w:bidi="ar-SA"/>
              </w:rPr>
              <w:t xml:space="preserve">《采购需求》</w:t>
            </w:r>
            <w:r>
              <w:rPr>
                <w:rFonts w:hint="eastAsia" w:ascii="仿宋" w:hAnsi="仿宋" w:eastAsia="仿宋" w:cs="Times New Roman"/>
                <w:color w:val="000000"/>
                <w:sz w:val="24"/>
                <w:szCs w:val="24"/>
                <w:highlight w:val="none"/>
                <w:lang w:val="en-US" w:eastAsia="zh-CN" w:bidi="ar-SA"/>
              </w:rPr>
              <w:t xml:space="preserve">，格式见磋商文件第六章《响应文件相关格式》的《</w:t>
            </w:r>
            <w:r>
              <w:rPr>
                <w:rFonts w:hint="eastAsia" w:ascii="仿宋" w:hAnsi="仿宋" w:eastAsia="仿宋" w:cs="Times New Roman"/>
                <w:b w:val="0"/>
                <w:bCs w:val="0"/>
                <w:color w:val="000000"/>
                <w:sz w:val="24"/>
                <w:szCs w:val="20"/>
                <w:lang w:val="en-US" w:eastAsia="zh-CN"/>
              </w:rPr>
              <w:t xml:space="preserve">分项价格表</w:t>
            </w:r>
            <w:r>
              <w:rPr>
                <w:rFonts w:hint="eastAsia" w:ascii="仿宋" w:hAnsi="仿宋" w:eastAsia="仿宋" w:cs="Times New Roman"/>
                <w:color w:val="000000"/>
                <w:sz w:val="24"/>
                <w:szCs w:val="24"/>
                <w:highlight w:val="none"/>
                <w:lang w:val="en-US" w:eastAsia="zh-CN" w:bidi="ar-SA"/>
              </w:rPr>
              <w:t xml:space="preserve">》</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8.服务专员</w:t>
            </w:r>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第四章《采购需求》</w:t>
            </w:r>
            <w:r>
              <w:rPr>
                <w:rFonts w:ascii="仿宋" w:hAnsi="仿宋" w:eastAsia="仿宋" w:cs="Times New Roman"/>
                <w:color w:val="000000"/>
                <w:sz w:val="24"/>
                <w:szCs w:val="24"/>
                <w:highlight w:val="none"/>
                <w:lang w:val="en-US" w:eastAsia="zh-CN" w:bidi="ar-SA"/>
              </w:rPr>
              <w:t xml:space="preserve">和</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9.业绩</w:t>
            </w:r>
            <w:bookmarkStart w:id="28" w:name="OLE_LINK4"/>
            <w:r>
              <w:rPr>
                <w:rFonts w:ascii="仿宋" w:hAnsi="仿宋" w:eastAsia="仿宋" w:cs="Times New Roman"/>
                <w:color w:val="000000"/>
                <w:sz w:val="24"/>
                <w:szCs w:val="24"/>
                <w:highlight w:val="none"/>
                <w:lang w:val="en-US" w:eastAsia="zh-CN" w:bidi="ar-SA"/>
              </w:rPr>
              <w:t xml:space="preserve">（要求见</w:t>
            </w:r>
            <w:r>
              <w:rPr>
                <w:rFonts w:hint="eastAsia" w:ascii="仿宋" w:hAnsi="仿宋" w:eastAsia="仿宋" w:cs="Times New Roman"/>
                <w:color w:val="000000"/>
                <w:sz w:val="24"/>
                <w:szCs w:val="24"/>
                <w:highlight w:val="none"/>
                <w:lang w:val="en-US" w:eastAsia="zh-CN" w:bidi="ar-SA"/>
              </w:rPr>
              <w:t xml:space="preserve">磋商</w:t>
            </w:r>
            <w:r>
              <w:rPr>
                <w:rFonts w:ascii="仿宋" w:hAnsi="仿宋" w:eastAsia="仿宋" w:cs="Times New Roman"/>
                <w:color w:val="000000"/>
                <w:sz w:val="24"/>
                <w:szCs w:val="24"/>
                <w:highlight w:val="none"/>
                <w:lang w:val="en-US" w:eastAsia="zh-CN" w:bidi="ar-SA"/>
              </w:rPr>
              <w:t xml:space="preserve">文件</w:t>
            </w:r>
            <w:r>
              <w:rPr>
                <w:rFonts w:hint="eastAsia" w:ascii="仿宋" w:hAnsi="仿宋" w:eastAsia="仿宋" w:cs="Times New Roman"/>
                <w:color w:val="000000"/>
                <w:sz w:val="24"/>
                <w:szCs w:val="24"/>
                <w:highlight w:val="none"/>
                <w:lang w:val="en-US" w:eastAsia="zh-CN" w:bidi="ar-SA"/>
              </w:rPr>
              <w:t xml:space="preserve">第五章《评审标准》</w:t>
            </w:r>
            <w:r>
              <w:rPr>
                <w:rFonts w:ascii="仿宋" w:hAnsi="仿宋" w:eastAsia="仿宋" w:cs="Times New Roman"/>
                <w:color w:val="000000"/>
                <w:sz w:val="24"/>
                <w:szCs w:val="24"/>
                <w:highlight w:val="none"/>
                <w:lang w:val="en-US" w:eastAsia="zh-CN" w:bidi="ar-SA"/>
              </w:rPr>
              <w:t xml:space="preserve">）</w:t>
            </w:r>
            <w:bookmarkEnd w:id="28"/>
            <w:r>
              <w:rPr>
                <w:rFonts w:hint="eastAsia" w:ascii="仿宋" w:hAnsi="仿宋" w:eastAsia="仿宋" w:cs="Times New Roman"/>
                <w:color w:val="000000"/>
                <w:sz w:val="24"/>
                <w:szCs w:val="24"/>
                <w:highlight w:val="none"/>
                <w:lang w:val="en-US" w:eastAsia="zh-CN" w:bidi="ar-SA"/>
              </w:rPr>
              <w:t xml:space="preserve">。</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注：</w:t>
            </w:r>
            <w:r/>
          </w:p>
          <w:p>
            <w:pPr>
              <w:ind w:right="0" w:firstLine="480"/>
              <w:jc w:val="both"/>
              <w:keepLines w:val="0"/>
              <w:keepNext w:val="0"/>
              <w:pageBreakBefore w:val="0"/>
              <w:spacing w:line="440" w:lineRule="exact"/>
              <w:widowControl w:val="off"/>
              <w:rPr>
                <w:rFonts w:ascii="仿宋" w:hAnsi="仿宋" w:eastAsia="仿宋" w:cs="Times New Roman"/>
                <w:color w:val="000000"/>
                <w:sz w:val="24"/>
                <w:szCs w:val="24"/>
                <w:highlight w:val="none"/>
                <w:lang w:val="en-US" w:eastAsia="zh-CN" w:bidi="ar-SA"/>
              </w:rPr>
              <w:outlineLvl w:val="9"/>
            </w:pPr>
            <w:r>
              <w:rPr>
                <w:rFonts w:ascii="仿宋" w:hAnsi="仿宋" w:eastAsia="仿宋" w:cs="Times New Roman"/>
                <w:color w:val="000000"/>
                <w:sz w:val="24"/>
                <w:szCs w:val="24"/>
                <w:highlight w:val="none"/>
                <w:lang w:val="en-US" w:eastAsia="zh-CN" w:bidi="ar-SA"/>
              </w:rPr>
              <w:t xml:space="preserve">1.</w:t>
            </w:r>
            <w:r>
              <w:rPr>
                <w:rFonts w:hint="eastAsia" w:ascii="仿宋" w:hAnsi="仿宋" w:eastAsia="仿宋" w:cs="Times New Roman"/>
                <w:color w:val="000000"/>
                <w:sz w:val="24"/>
                <w:szCs w:val="24"/>
                <w:highlight w:val="none"/>
                <w:lang w:val="en-US" w:eastAsia="zh-CN" w:bidi="ar-SA"/>
              </w:rPr>
              <w:t xml:space="preserve">供应商</w:t>
            </w:r>
            <w:r>
              <w:rPr>
                <w:rFonts w:ascii="仿宋" w:hAnsi="仿宋" w:eastAsia="仿宋" w:cs="Times New Roman"/>
                <w:color w:val="000000"/>
                <w:sz w:val="24"/>
                <w:szCs w:val="24"/>
                <w:highlight w:val="none"/>
                <w:lang w:val="en-US" w:eastAsia="zh-CN" w:bidi="ar-SA"/>
              </w:rPr>
              <w:t xml:space="preserve">应对以上文件的合法性、真实性负责。</w:t>
            </w:r>
            <w:r/>
          </w:p>
          <w:p>
            <w:pPr>
              <w:ind w:right="0" w:firstLine="480"/>
              <w:jc w:val="both"/>
              <w:keepLines w:val="0"/>
              <w:keepNext w:val="0"/>
              <w:pageBreakBefore w:val="0"/>
              <w:spacing w:line="440" w:lineRule="exact"/>
              <w:widowControl w:val="off"/>
              <w:rPr>
                <w:rFonts w:hint="eastAsia" w:ascii="仿宋" w:hAnsi="仿宋" w:eastAsia="仿宋" w:cs="仿宋"/>
                <w:color w:val="000000"/>
                <w:sz w:val="24"/>
                <w:szCs w:val="24"/>
                <w:highlight w:val="none"/>
                <w:lang w:val="en-US" w:eastAsia="zh-CN" w:bidi="ar-SA"/>
              </w:rPr>
              <w:outlineLvl w:val="9"/>
            </w:pPr>
            <w:r>
              <w:rPr>
                <w:rFonts w:ascii="仿宋" w:hAnsi="仿宋" w:eastAsia="仿宋" w:cs="Times New Roman"/>
                <w:color w:val="000000"/>
                <w:sz w:val="24"/>
                <w:szCs w:val="24"/>
                <w:highlight w:val="none"/>
                <w:lang w:val="en-US" w:eastAsia="zh-CN" w:bidi="ar-SA"/>
              </w:rPr>
              <w:t xml:space="preserve">2.签订合同前，</w:t>
            </w:r>
            <w:r>
              <w:rPr>
                <w:rFonts w:hint="eastAsia" w:ascii="仿宋" w:hAnsi="仿宋" w:eastAsia="仿宋" w:cs="Times New Roman"/>
                <w:color w:val="000000"/>
                <w:sz w:val="24"/>
                <w:szCs w:val="24"/>
                <w:highlight w:val="none"/>
                <w:lang w:val="en-US" w:eastAsia="zh-CN" w:bidi="ar-SA"/>
              </w:rPr>
              <w:t xml:space="preserve">成交供应商</w:t>
            </w:r>
            <w:r>
              <w:rPr>
                <w:rFonts w:ascii="仿宋" w:hAnsi="仿宋" w:eastAsia="仿宋" w:cs="Times New Roman"/>
                <w:color w:val="000000"/>
                <w:sz w:val="24"/>
                <w:szCs w:val="24"/>
                <w:highlight w:val="none"/>
                <w:lang w:val="en-US" w:eastAsia="zh-CN" w:bidi="ar-SA"/>
              </w:rPr>
              <w:t xml:space="preserve">必须向采购人提交其</w:t>
            </w:r>
            <w:r>
              <w:rPr>
                <w:rFonts w:hint="eastAsia" w:ascii="仿宋" w:hAnsi="仿宋" w:eastAsia="仿宋" w:cs="Times New Roman"/>
                <w:color w:val="000000"/>
                <w:sz w:val="24"/>
                <w:szCs w:val="24"/>
                <w:highlight w:val="none"/>
                <w:lang w:val="en-US" w:eastAsia="zh-CN" w:bidi="ar-SA"/>
              </w:rPr>
              <w:t xml:space="preserve">响应文件</w:t>
            </w:r>
            <w:r>
              <w:rPr>
                <w:rFonts w:ascii="仿宋" w:hAnsi="仿宋" w:eastAsia="仿宋" w:cs="Times New Roman"/>
                <w:color w:val="000000"/>
                <w:sz w:val="24"/>
                <w:szCs w:val="24"/>
                <w:highlight w:val="none"/>
                <w:lang w:val="en-US" w:eastAsia="zh-CN" w:bidi="ar-SA"/>
              </w:rPr>
              <w:t xml:space="preserve">中所有扫描件的原件，采购人核查无误后，签订合同。如</w:t>
            </w:r>
            <w:r>
              <w:rPr>
                <w:rFonts w:hint="eastAsia" w:ascii="仿宋" w:hAnsi="仿宋" w:eastAsia="仿宋" w:cs="Times New Roman"/>
                <w:color w:val="000000"/>
                <w:sz w:val="24"/>
                <w:szCs w:val="24"/>
                <w:highlight w:val="none"/>
                <w:lang w:val="en-US" w:eastAsia="zh-CN" w:bidi="ar-SA"/>
              </w:rPr>
              <w:t xml:space="preserve">成交供应商</w:t>
            </w:r>
            <w:r>
              <w:rPr>
                <w:rFonts w:ascii="仿宋" w:hAnsi="仿宋" w:eastAsia="仿宋" w:cs="Times New Roman"/>
                <w:color w:val="000000"/>
                <w:sz w:val="24"/>
                <w:szCs w:val="24"/>
                <w:highlight w:val="none"/>
                <w:lang w:val="en-US" w:eastAsia="zh-CN" w:bidi="ar-SA"/>
              </w:rPr>
              <w:t xml:space="preserve">不能在采购人规定的时间内向采购人提供原件，将被采购人视为放弃中标资格。特别要求的除外。</w:t>
            </w:r>
            <w:bookmarkEnd w:id="23"/>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w:t>
            </w:r>
            <w:r/>
          </w:p>
        </w:tc>
        <w:tc>
          <w:tcPr>
            <w:gridSpan w:val="2"/>
            <w:tcW w:w="8872" w:type="dxa"/>
            <w:vAlign w:val="center"/>
            <w:textDirection w:val="lrTb"/>
            <w:noWrap w:val="false"/>
          </w:tcPr>
          <w:p>
            <w:pPr>
              <w:ind w:right="0" w:firstLine="480"/>
              <w:jc w:val="left"/>
              <w:keepLines w:val="0"/>
              <w:keepNext w:val="0"/>
              <w:pageBreakBefore w:val="0"/>
              <w:spacing w:line="440" w:lineRule="exact"/>
              <w:widowControl/>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本项目属于服务类采购。</w:t>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w:t>
            </w:r>
            <w:r/>
          </w:p>
        </w:tc>
        <w:tc>
          <w:tcPr>
            <w:gridSpan w:val="2"/>
            <w:tcW w:w="8872" w:type="dxa"/>
            <w:vAlign w:val="center"/>
            <w:textDirection w:val="lrTb"/>
            <w:noWrap w:val="false"/>
          </w:tcPr>
          <w:p>
            <w:pPr>
              <w:ind w:right="0" w:firstLine="480"/>
              <w:jc w:val="left"/>
              <w:keepLines w:val="0"/>
              <w:keepNext w:val="0"/>
              <w:pageBreakBefore w:val="0"/>
              <w:spacing w:line="440" w:lineRule="exact"/>
              <w:widowControl/>
              <w:rPr>
                <w:rFonts w:hint="eastAsia" w:ascii="仿宋" w:hAnsi="仿宋" w:eastAsia="仿宋" w:cs="Times New Roman"/>
                <w:color w:val="000000"/>
                <w:sz w:val="24"/>
                <w:szCs w:val="24"/>
                <w:highlight w:val="none"/>
                <w:lang w:val="en-US" w:eastAsia="zh-CN" w:bidi="ar-SA"/>
              </w:rPr>
              <w:outlineLvl w:val="9"/>
            </w:pPr>
            <w:r>
              <w:rPr>
                <w:rFonts w:hint="eastAsia" w:ascii="仿宋" w:hAnsi="仿宋" w:eastAsia="仿宋" w:cs="Times New Roman"/>
                <w:color w:val="000000"/>
                <w:sz w:val="24"/>
                <w:szCs w:val="24"/>
                <w:highlight w:val="none"/>
                <w:lang w:val="en-US" w:eastAsia="zh-CN" w:bidi="ar-SA"/>
              </w:rPr>
              <w:t xml:space="preserve">供应商中标后需提供与电子响应文件一致的纸质打印响应文件2份。（归档使用）</w:t>
            </w:r>
            <w:r/>
          </w:p>
        </w:tc>
      </w:tr>
      <w:tr>
        <w:trPr>
          <w:jc w:val="center"/>
          <w:trHeight w:val="454"/>
        </w:trPr>
        <w:tc>
          <w:tcPr>
            <w:tcW w:w="760" w:type="dxa"/>
            <w:vAlign w:val="center"/>
            <w:textDirection w:val="lrTb"/>
            <w:noWrap w:val="false"/>
          </w:tcPr>
          <w:p>
            <w:pPr>
              <w:jc w:val="center"/>
              <w:spacing w:line="56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w:t>
            </w:r>
            <w:r/>
          </w:p>
        </w:tc>
        <w:tc>
          <w:tcPr>
            <w:gridSpan w:val="2"/>
            <w:tcW w:w="8872" w:type="dxa"/>
            <w:vAlign w:val="center"/>
            <w:textDirection w:val="lrTb"/>
            <w:noWrap w:val="false"/>
          </w:tcPr>
          <w:p>
            <w:pPr>
              <w:ind w:right="0" w:firstLine="480"/>
              <w:jc w:val="left"/>
              <w:keepLines w:val="0"/>
              <w:keepNext w:val="0"/>
              <w:pageBreakBefore w:val="0"/>
              <w:spacing w:line="440" w:lineRule="exact"/>
              <w:widowControl/>
              <w:rPr>
                <w:rFonts w:ascii="仿宋" w:hAnsi="仿宋" w:eastAsia="仿宋" w:cs="Times New Roman"/>
                <w:color w:val="000000"/>
                <w:sz w:val="24"/>
                <w:szCs w:val="24"/>
                <w:highlight w:val="none"/>
                <w:lang w:val="en-US" w:eastAsia="zh-CN" w:bidi="ar-SA"/>
              </w:rPr>
              <w:outlineLvl w:val="9"/>
            </w:pPr>
            <w:r/>
            <w:bookmarkStart w:id="29" w:name="OLE_LINK9"/>
            <w:r>
              <w:rPr>
                <w:rFonts w:hint="eastAsia" w:ascii="仿宋" w:hAnsi="仿宋" w:eastAsia="仿宋" w:cs="Times New Roman"/>
                <w:color w:val="000000"/>
                <w:sz w:val="24"/>
                <w:szCs w:val="24"/>
                <w:highlight w:val="none"/>
                <w:lang w:val="en-US" w:eastAsia="zh-CN" w:bidi="ar-SA"/>
              </w:rPr>
              <w:t xml:space="preserve">本项目采用固定单价40元/人/年，不计分数。</w:t>
            </w:r>
            <w:bookmarkEnd w:id="29"/>
            <w:r/>
            <w:r/>
          </w:p>
        </w:tc>
      </w:tr>
    </w:tbl>
    <w:p>
      <w:pPr>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rPr>
          <w:rFonts w:hint="eastAsia" w:ascii="仿宋" w:hAnsi="仿宋" w:eastAsia="仿宋" w:cs="仿宋"/>
          <w:color w:val="000000"/>
          <w:sz w:val="24"/>
          <w:szCs w:val="24"/>
          <w:highlight w:val="none"/>
          <w:lang w:val="en-US" w:eastAsia="zh-CN" w:bidi="ar-SA"/>
        </w:rPr>
      </w:r>
      <w:r/>
    </w:p>
    <w:p>
      <w:pPr>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rPr>
          <w:rFonts w:hint="eastAsia" w:ascii="仿宋" w:hAnsi="仿宋" w:eastAsia="仿宋" w:cs="仿宋"/>
          <w:color w:val="000000"/>
          <w:sz w:val="24"/>
          <w:szCs w:val="24"/>
          <w:highlight w:val="none"/>
          <w:lang w:val="en-US" w:eastAsia="zh-CN" w:bidi="ar-SA"/>
        </w:rPr>
      </w:r>
      <w:r/>
    </w:p>
    <w:p>
      <w:pPr>
        <w:jc w:val="both"/>
        <w:keepLines/>
        <w:keepNext/>
        <w:pageBreakBefore w:val="0"/>
        <w:spacing w:before="0" w:after="0" w:line="360" w:lineRule="auto"/>
        <w:widowControl w:val="off"/>
        <w:rPr>
          <w:rFonts w:hint="eastAsia" w:ascii="仿宋" w:hAnsi="仿宋" w:eastAsia="仿宋" w:cs="仿宋"/>
          <w:b/>
          <w:bCs/>
          <w:color w:val="000000"/>
          <w:sz w:val="28"/>
          <w:szCs w:val="28"/>
          <w:highlight w:val="none"/>
          <w:lang w:val="en-US" w:eastAsia="zh-CN" w:bidi="ar-SA"/>
        </w:rPr>
        <w:outlineLvl w:val="1"/>
      </w:pPr>
      <w:r>
        <w:rPr>
          <w:rFonts w:hint="eastAsia" w:ascii="仿宋" w:hAnsi="仿宋" w:eastAsia="仿宋" w:cs="仿宋"/>
          <w:color w:val="000000"/>
          <w:sz w:val="24"/>
          <w:szCs w:val="24"/>
          <w:highlight w:val="none"/>
          <w:lang w:val="en-US" w:eastAsia="zh-CN" w:bidi="ar-SA"/>
        </w:rPr>
        <w:br w:type="page" w:clear="all"/>
      </w:r>
      <w:r>
        <w:rPr>
          <w:rFonts w:hint="eastAsia" w:ascii="仿宋" w:hAnsi="仿宋" w:eastAsia="仿宋" w:cs="仿宋"/>
          <w:b/>
          <w:bCs/>
          <w:color w:val="000000"/>
          <w:sz w:val="28"/>
          <w:szCs w:val="28"/>
          <w:highlight w:val="none"/>
          <w:lang w:val="en-US" w:eastAsia="zh-CN" w:bidi="ar-SA"/>
        </w:rPr>
        <w:t xml:space="preserve">一、总则</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1.采购方式</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1.1本次政府采购活动采取竞争性磋商（以下简称“磋商”）方式，本文件仅适用于采购公告中所述项目。</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2.合格的供应商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2.1 满足磋商公告对供应商资格要求的规定。</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 满足磋商文件规定的实质性要求和条件。</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3.适用法律</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3.1 本次采购及由此产生的合同受中华人民共和国有关的法律法规制约和保护。</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4.磋商费用</w:t>
      </w:r>
      <w:r/>
    </w:p>
    <w:p>
      <w:pPr>
        <w:ind w:left="0" w:firstLine="480"/>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4.1供应商应自行承担所有与参加采购有关的费用，无论采购过程中的做法和结果如何，采购人及采购代理机构在任何情况下均无义务和责任承担这些费用。</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5.磋商文件的约束力</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5.1供应商一旦参加本项目采购活动，即被认为接受了本磋商文件的规定和约束。</w:t>
      </w:r>
      <w:r/>
    </w:p>
    <w:p>
      <w:pPr>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0" w:name="_Toc194308486"/>
      <w:r>
        <w:rPr>
          <w:rFonts w:hint="eastAsia" w:ascii="仿宋" w:hAnsi="仿宋" w:eastAsia="仿宋" w:cs="仿宋"/>
          <w:b/>
          <w:bCs/>
          <w:color w:val="000000"/>
          <w:sz w:val="28"/>
          <w:szCs w:val="28"/>
          <w:highlight w:val="none"/>
          <w:lang w:val="en-US" w:eastAsia="zh-CN" w:bidi="ar-SA"/>
        </w:rPr>
        <w:t xml:space="preserve">二、磋商文件</w:t>
      </w:r>
      <w:bookmarkEnd w:id="30"/>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6.磋商文件构成</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6.1 磋商文件由以下部分组成：</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（1）磋商邀请</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（2）供应商须知</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（3）拟签订的合同文本</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（4）采购需求</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（5）评审方法与评审标准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（6）响应文件相关格式</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供应商应仔细检查磋商文件是否齐全，如有缺漏请立即与采购代理机构联系。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7.磋商文件的澄清</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7.1 任何要求对磋商文件进行澄清的供应商，应在磋商截止期5日前按磋商公告中的通讯地址，以书面形式通知采购代理机构。</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8.磋商文件的澄清和修改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8.2在响应文件提交截止时间前，采购代理机构可以对磋商文件进行修改。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8.3采购代理机构有权按照法定的要求推迟响应文件递交截止日期和磋商日期。</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8.4磋商文件的修改将在原公告媒体上发布更正公告，更正公告内容将作为磋商文件的组成部分，并对供应商具有约束力，发布的更正公告视同为以书面形式通知所有获取磋商文件的潜在供应商。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8.5供应商应及时登录“苏采云”系统获取澄清答疑文件（修改后磋商文件），如因供应商原因未能及时下载澄清和修改后的磋商文件，由此造成的相关责任，由供应商承担。</w:t>
      </w:r>
      <w:bookmarkStart w:id="31" w:name="_Toc194308487"/>
      <w:r/>
      <w:r/>
    </w:p>
    <w:p>
      <w:pPr>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三、响应文件的编制</w:t>
      </w:r>
      <w:bookmarkEnd w:id="31"/>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9.响应文件的语言及度量衡单位</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9.1供应商提交的响应文件以及供应商与采购代理机构就有关磋商的所有来往通知、函件和文件均应使用</w:t>
      </w:r>
      <w:r>
        <w:rPr>
          <w:rFonts w:hint="eastAsia" w:ascii="仿宋" w:hAnsi="仿宋" w:eastAsia="仿宋" w:cs="仿宋"/>
          <w:b/>
          <w:bCs/>
          <w:color w:val="000000"/>
          <w:sz w:val="24"/>
          <w:szCs w:val="24"/>
          <w:highlight w:val="none"/>
          <w:lang w:val="en-US" w:eastAsia="zh-CN" w:bidi="ar-SA"/>
        </w:rPr>
        <w:t xml:space="preserve">简体中文</w:t>
      </w:r>
      <w:r>
        <w:rPr>
          <w:rFonts w:hint="eastAsia"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9.2 除技术性能另有规定外，响应文件所使用的度量衡单位，均须采用国家法定计量单位。</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10.响应文件构成</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10.1供应商编写的响应文件应包括资格证明文件、符合性证明文件、分项报价表、响应及偏离表、其他证明文件、磋商响应函等部分。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10.2 如标书制作工具中格式和内容与“江苏政府采购网、南京公共采购信息网”发布的磋商文件不一致，以“江苏政府采购网、南京公共采购信息网”发布的磋商文件为准。</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11.证明磋商响应标的符合磋商文件规定的文件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11.1供应商应按照法律、法规、规章和规范性文件以及磋商文件要求提交证明文件，证明其响应标的符合磋商文件规定。</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11.2磋商文件对证明文件无明确形式要求的，证明文件可以以文字资料、图纸和数据等形式提交。</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12.分项报价表（如有）</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12.1供应商应按照磋商文件规定格式填报分项报价表。</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12.2磋商货币。响应文件中的单价和总价无特殊规定的采用人民币报价，以元为单位标注。磋商文件中另有规定的按规定执行。</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12.3本项目不接受备选的方案或有选择的报价，只允许有一个报价。供应商响应文件中的报价作为首次报价，不公开；以最后报价作为评审价。报价内容包括：设备本身、安装调试费、人工费、服务费、税金以及交付使用过程中涉及到的其他一切费用等完成本项目所涉及到的一切相关费用。</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13.技术要求响应及偏离表、商务要求响应及偏离表</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13.1</w:t>
      </w:r>
      <w:r>
        <w:rPr>
          <w:rFonts w:hint="eastAsia" w:ascii="仿宋" w:hAnsi="仿宋" w:eastAsia="仿宋" w:cs="仿宋"/>
          <w:color w:val="000000"/>
          <w:sz w:val="24"/>
          <w:szCs w:val="24"/>
          <w:highlight w:val="none"/>
          <w:lang w:val="zh-CN" w:eastAsia="zh-CN" w:bidi="ar-SA"/>
        </w:rPr>
        <w:t xml:space="preserve">供应商需对磋商文件中的技术要求与商务要求逐项作出响应或偏离，并说明原因</w:t>
      </w:r>
      <w:r>
        <w:rPr>
          <w:rFonts w:hint="eastAsia"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13.2供应商可在响应文件中提供认为需要的其他技术文件或说明。</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14服务承诺、培训计划、人员安排及其他</w:t>
      </w:r>
      <w:r/>
    </w:p>
    <w:p>
      <w:pPr>
        <w:ind w:left="0" w:firstLine="480"/>
        <w:jc w:val="both"/>
        <w:pageBreakBefore w:val="0"/>
        <w:spacing w:line="360" w:lineRule="auto"/>
        <w:widowControl w:val="off"/>
        <w:rPr>
          <w:rFonts w:ascii="仿宋" w:hAnsi="仿宋" w:eastAsia="仿宋" w:cs="仿宋"/>
          <w:b w:val="0"/>
          <w:bCs/>
          <w:color w:val="000000"/>
          <w:sz w:val="24"/>
          <w:szCs w:val="24"/>
          <w:highlight w:val="none"/>
          <w:lang w:val="en-US" w:eastAsia="zh-CN" w:bidi="ar-SA"/>
        </w:rPr>
      </w:pPr>
      <w:r>
        <w:rPr>
          <w:rFonts w:ascii="仿宋" w:hAnsi="仿宋" w:eastAsia="仿宋" w:cs="仿宋"/>
          <w:b w:val="0"/>
          <w:bCs/>
          <w:color w:val="000000"/>
          <w:sz w:val="24"/>
          <w:szCs w:val="24"/>
          <w:highlight w:val="none"/>
          <w:lang w:val="en-US" w:eastAsia="zh-CN" w:bidi="ar-SA"/>
        </w:rPr>
        <w:t xml:space="preserve">14.1供应商需根据磋商文件要求提供有关售后服务的管理制度，售后服务机构的分布情况，售后服务人员的数量、素质、技术水平及售后服务的反应能力等。</w:t>
      </w:r>
      <w:r/>
    </w:p>
    <w:p>
      <w:pPr>
        <w:ind w:left="0" w:firstLine="480"/>
        <w:jc w:val="both"/>
        <w:pageBreakBefore w:val="0"/>
        <w:spacing w:line="360" w:lineRule="auto"/>
        <w:widowControl w:val="off"/>
        <w:rPr>
          <w:rFonts w:ascii="仿宋" w:hAnsi="仿宋" w:eastAsia="仿宋" w:cs="仿宋"/>
          <w:b w:val="0"/>
          <w:bCs/>
          <w:color w:val="000000"/>
          <w:sz w:val="24"/>
          <w:szCs w:val="24"/>
          <w:highlight w:val="none"/>
          <w:lang w:val="en-US" w:eastAsia="zh-CN" w:bidi="ar-SA"/>
        </w:rPr>
      </w:pPr>
      <w:r>
        <w:rPr>
          <w:rFonts w:ascii="仿宋" w:hAnsi="仿宋" w:eastAsia="仿宋" w:cs="仿宋"/>
          <w:b w:val="0"/>
          <w:bCs/>
          <w:color w:val="000000"/>
          <w:sz w:val="24"/>
          <w:szCs w:val="24"/>
          <w:highlight w:val="none"/>
          <w:lang w:val="en-US" w:eastAsia="zh-CN" w:bidi="ar-SA"/>
        </w:rPr>
        <w:t xml:space="preserve">14.2供应商需根据磋商文件要求提供培训计划。</w:t>
      </w:r>
      <w:r/>
    </w:p>
    <w:p>
      <w:pPr>
        <w:ind w:left="0" w:firstLine="480"/>
        <w:jc w:val="both"/>
        <w:pageBreakBefore w:val="0"/>
        <w:spacing w:line="360" w:lineRule="auto"/>
        <w:widowControl w:val="off"/>
        <w:rPr>
          <w:rFonts w:ascii="仿宋" w:hAnsi="仿宋" w:eastAsia="仿宋" w:cs="仿宋"/>
          <w:b w:val="0"/>
          <w:bCs/>
          <w:color w:val="000000"/>
          <w:sz w:val="24"/>
          <w:szCs w:val="24"/>
          <w:highlight w:val="none"/>
          <w:lang w:val="en-US" w:eastAsia="zh-CN" w:bidi="ar-SA"/>
        </w:rPr>
      </w:pPr>
      <w:r>
        <w:rPr>
          <w:rFonts w:ascii="仿宋" w:hAnsi="仿宋" w:eastAsia="仿宋" w:cs="仿宋"/>
          <w:b w:val="0"/>
          <w:bCs/>
          <w:color w:val="000000"/>
          <w:sz w:val="24"/>
          <w:szCs w:val="24"/>
          <w:highlight w:val="none"/>
          <w:lang w:val="en-US" w:eastAsia="zh-CN" w:bidi="ar-SA"/>
        </w:rPr>
        <w:t xml:space="preserve">14.3供应商需根据磋商文件要求提供磋商响应标的的主要组成部分、功能设计、实现思路及关键技术等。</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15.磋商响应函</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15.1供应商应按照磋商文件规定格式完整、正确填报磋商响应函。</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16.磋商有效期</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16.1磋商有效期为采购代理机构规定的提交响应文件截止之日后九十（90）天。磋商有效期比规定短的将被视为非实质性响应磋商文件而予以拒绝。</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17.磋商有效期的延长</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2" w:name="_Toc194308488"/>
      <w:r>
        <w:rPr>
          <w:rFonts w:hint="eastAsia" w:ascii="仿宋" w:hAnsi="仿宋" w:eastAsia="仿宋" w:cs="仿宋"/>
          <w:b/>
          <w:bCs/>
          <w:color w:val="000000"/>
          <w:sz w:val="28"/>
          <w:szCs w:val="28"/>
          <w:highlight w:val="none"/>
          <w:lang w:val="en-US" w:eastAsia="zh-CN" w:bidi="ar-SA"/>
        </w:rPr>
        <w:t xml:space="preserve">四、响应文件的递交</w:t>
      </w:r>
      <w:bookmarkEnd w:id="32"/>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18.响应文件的递交</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18.1 供应商应当按照《操作手册》规定，在采购公告规定的提交响应文件截止时间前制作并上传电子响应文件。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18.2供应商应充分考虑网络环境、网络带宽等因素可能产生的影响，如因供应商自身原因造成的电子响应文件上传不成功的，按照本磋商文件第二章第25.3条规定做无效响应处理。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18.3 采购代理机构可以按照规定，通过修改磋商文件酌情延长提交响应文件截止日期，在此情况下，供应商的所有权利和义务均以延长后新的截止日期为准。</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19.响应文件的拒收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19.1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报价或其他实质性内容修正的函件和增加的任何优惠条件，一律拒绝接收。</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20.响应文件的撤回和修改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20.1 响应文件的撤回</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20.1.1供应商可在提交响应文件截止时间前，撤回其电子响应文件，具体操作方法见《操作手册》。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20.1.2 供应商撤回电子响应文件，则认为其不再参与本项目磋商活动。</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20.2 响应文件的修改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20.2.1供应商可在提交响应文件截止时间前，对其电子响应文件进行修改，具体操作方法见《操作手册》。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20.2.2提交响应文件截止时间之后，供应商不得对其电子响应文件做任何修改。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20.3 在提交响应文件截止时间至磋商文件中规定的磋商有效期满之间的这段时间内，供应商不得撤回其响应文件。</w:t>
      </w:r>
      <w:r/>
    </w:p>
    <w:p>
      <w:pPr>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3" w:name="_Toc194308489"/>
      <w:r>
        <w:rPr>
          <w:rFonts w:hint="eastAsia" w:ascii="仿宋" w:hAnsi="仿宋" w:eastAsia="仿宋" w:cs="仿宋"/>
          <w:b/>
          <w:bCs/>
          <w:color w:val="000000"/>
          <w:sz w:val="28"/>
          <w:szCs w:val="28"/>
          <w:highlight w:val="none"/>
          <w:lang w:val="en-US" w:eastAsia="zh-CN" w:bidi="ar-SA"/>
        </w:rPr>
        <w:t xml:space="preserve">五、响应文件的解密与评审</w:t>
      </w:r>
      <w:bookmarkEnd w:id="33"/>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21.响应文件解密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21.1供应商应当按照《操作手册》规定，在苏采云系统规定的时间内对响应文件进行解密。</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22.磋商小组</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22.1采购代理机构将组织磋商小组对响应文件进行评审。磋商小组由采购人代表和有关技术、经济等方面的专家组成，且人员构成符合政府采购有关规定。</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22.2磋商小组独立工作，负责评审所有响应文件并确定成交侯选人。</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23.评审过程的保密与公正</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23.1 磋商小组、采购人和采购代理机构工作人员、相关监督人员等与评审工作有关的人员，对评审情况以及在评审过程中获悉的国家秘密、商业秘密负有保密责任。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23.2在评审过程中，供应商不得以任何行为影响磋商评审过程，否则其响应文件将被作为无效响应文件。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23.3采购代理机构和磋商小组不向未成交的供应商解释未成交原因，也不公布评审过程中的相关细节。</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23.4在项目评审期间，采购代理机构将设专门人员与供应商联系。</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24.评审过程中的澄清</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24.1项目评审期间，磋商小组有权要求供应商对响应文件中含义不明确、同类问题表述不一致或者有明显文字和计算错误的内容等作出必要的澄清、说明或者补正。</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供应商的澄清、说明或者补正不得超出响应文件的范围或者改变响应文件的实质性内容。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磋商小组并非对每个供应商都做澄清要求。</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24.2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24.3接到磋商小组澄清、说明和补正要求的供应商如未按规定作出澄清、说明和补正，其风险由供应商自行承担。</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25.对响应文件的审查</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25.1响应文件审查分为资格审查和符合性审查。</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25.1.1资格审查。依据法律法规和磋商文件的规定，磋商小组对响应文件中的资格证明文件进行审查，以确定供应商是否具备参加磋商的资格。</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磋商小组进行资格审查时，将在“信用中国”网站（www.creditchina.gov.cn）查询供应商的信用记录，以确定供应商是否具备磋商资格，查询结果留存并归档。</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接受联合体的项目，联合体成员存在不良信用记录的，视同联合体存在不良信用记录。</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25.1.2符合性审查。依据磋商文件的规定，由磋商小组从有效性、完整性和对磋商文件的响应程度等方面对响应文件进行审查，以确定是否对磋商文件的实质性要求作出响应。</w:t>
      </w:r>
      <w:r/>
    </w:p>
    <w:p>
      <w:pPr>
        <w:ind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25.1.3未通过资格审查或符合性审查的供应商，磋商小组将通过苏采云系统告知具体原因，评审结束后将不再接受有关询问。</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响应文件有下列情况之一的，在资格性审查时按照无效响应处理：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4" w:name="_Hlk81314966"/>
      <w:r>
        <w:rPr>
          <w:rFonts w:hint="eastAsia" w:ascii="仿宋" w:hAnsi="仿宋" w:eastAsia="仿宋" w:cs="仿宋"/>
          <w:color w:val="000000"/>
          <w:sz w:val="24"/>
          <w:szCs w:val="24"/>
          <w:highlight w:val="none"/>
          <w:lang w:val="en-US" w:eastAsia="zh-CN" w:bidi="ar-SA"/>
        </w:rPr>
        <w:t xml:space="preserve">（1）不具备磋商文件中规定资格条件的；</w:t>
      </w:r>
      <w:bookmarkEnd w:id="34"/>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5" w:name="_Hlk77845984"/>
      <w:r>
        <w:rPr>
          <w:rFonts w:hint="eastAsia" w:ascii="仿宋" w:hAnsi="仿宋" w:eastAsia="仿宋" w:cs="仿宋"/>
          <w:color w:val="000000"/>
          <w:sz w:val="24"/>
          <w:szCs w:val="24"/>
          <w:highlight w:val="none"/>
          <w:lang w:val="en-US" w:eastAsia="zh-CN" w:bidi="ar-SA"/>
        </w:rPr>
        <w:t xml:space="preserve">（2）未提供</w:t>
      </w:r>
      <w:bookmarkEnd w:id="35"/>
      <w:r>
        <w:rPr>
          <w:rFonts w:hint="eastAsia" w:ascii="仿宋" w:hAnsi="仿宋" w:eastAsia="仿宋" w:cs="仿宋"/>
          <w:color w:val="000000"/>
          <w:sz w:val="24"/>
          <w:szCs w:val="24"/>
          <w:highlight w:val="none"/>
          <w:lang w:val="en-US" w:eastAsia="zh-CN" w:bidi="ar-SA"/>
        </w:rPr>
        <w:t xml:space="preserve">磋商文件中规定资格条件的证明材料。</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25.2在详细评审之前，磋商小组将首先审查每份响应文件是否实质性响应了磋商文件的要求。实质性响应的响应文件应该是与磋商文件要求的条款、条件和规格相符，没有重大偏离或保留的文件。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25.3未实质性响应磋商文件的情形</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25.3.1供应商在苏采云系统规定的时间内未成功解密电子响应文件。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25.3.2供应商未按照磋商文件要求上传电子响应文件。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25.3.3同一供应商提交两个（含两个）以上不同的响应文件或者最后报价。</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25.3.4供应商不具备磋商文件中规定的资格要求。</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25.3.5供应商的最后报价超过了采购预算或最高限价。</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25.3.6不符合磋商文件中规定的实质性要求和条件（</w:t>
      </w:r>
      <w:r>
        <w:rPr>
          <w:rFonts w:hint="eastAsia" w:ascii="仿宋" w:hAnsi="仿宋" w:eastAsia="仿宋" w:cs="仿宋"/>
          <w:b/>
          <w:color w:val="000000"/>
          <w:sz w:val="24"/>
          <w:szCs w:val="24"/>
          <w:highlight w:val="none"/>
          <w:lang w:val="en-US" w:eastAsia="zh-CN" w:bidi="ar-SA"/>
        </w:rPr>
        <w:t xml:space="preserve">打“★”内容为实质性要求和条件</w:t>
      </w:r>
      <w:r>
        <w:rPr>
          <w:rFonts w:hint="eastAsia"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25.3.8响应文件含有采购人不能接受的附加条件。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25.3.9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25.3.10采购产品被财政部、国家发改委、生态环境部等列入“节能产品品目清单”强制采购范围，而供应商提供的产品不在强制采购范围内。</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25.3.11响应文件未按照磋商文件要求加盖电子公章。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25.3.12法律法规及本磋商文件规定的其他无效响应的情形。</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25.4未实质性响应磋商文件的响应文件按无效响应处理。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25.5如果响应文件实质上没有响应磋商文件的要求，磋商小组将予以拒绝，供应商不得通过修改或撤销不合要求的偏离或保留而使其成为实质性响应的文件。</w:t>
      </w:r>
      <w:r/>
    </w:p>
    <w:p>
      <w:pPr>
        <w:ind w:left="0" w:firstLine="482"/>
        <w:jc w:val="both"/>
        <w:pageBreakBefore w:val="0"/>
        <w:spacing w:line="360" w:lineRule="auto"/>
        <w:widowControl w:val="off"/>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25.6供应商在项目评审全过程中应保持通讯畅通，及时登录苏采云系统查阅、答复相关信息，并安排专人与采购代理机构及磋商小组联系。</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26.磋商程序及评审方法与评审标准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26.1磋商程序</w:t>
      </w:r>
      <w:r/>
    </w:p>
    <w:p>
      <w:pPr>
        <w:ind w:left="0" w:firstLine="480"/>
        <w:jc w:val="both"/>
        <w:pageBreakBefore w:val="0"/>
        <w:spacing w:line="360" w:lineRule="auto"/>
        <w:widowControl w:val="off"/>
        <w:rPr>
          <w:rFonts w:hint="eastAsia" w:ascii="仿宋" w:hAnsi="仿宋" w:eastAsia="仿宋" w:cs="仿宋"/>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26.1.1磋商小组将与通过资格审查和符合性审查的供应商分别进行磋商。</w:t>
      </w:r>
      <w:r>
        <w:rPr>
          <w:rFonts w:hint="eastAsia" w:ascii="仿宋" w:hAnsi="仿宋" w:eastAsia="仿宋" w:cs="仿宋"/>
          <w:b/>
          <w:bCs/>
          <w:color w:val="000000"/>
          <w:sz w:val="24"/>
          <w:szCs w:val="24"/>
          <w:highlight w:val="none"/>
          <w:lang w:val="en-US" w:eastAsia="zh-CN" w:bidi="ar-SA"/>
        </w:rPr>
        <w:t xml:space="preserve">磋商小组通过苏采云系统向供应商发出《磋商函》，供应商应当按照要求在苏采云系统提交《磋商响应函》并加盖电子公章。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26.1.2磋商文件能够详细列明采购标的的技术、服务要求的，磋商结束后，</w:t>
      </w:r>
      <w:r>
        <w:rPr>
          <w:rFonts w:hint="eastAsia" w:ascii="仿宋" w:hAnsi="仿宋" w:eastAsia="仿宋" w:cs="仿宋"/>
          <w:b/>
          <w:bCs/>
          <w:color w:val="000000"/>
          <w:sz w:val="24"/>
          <w:szCs w:val="24"/>
          <w:highlight w:val="none"/>
          <w:lang w:val="en-US" w:eastAsia="zh-CN" w:bidi="ar-SA"/>
        </w:rPr>
        <w:t xml:space="preserve">磋商小组将在苏采云系统向所有实质性响应的供应商发出《最后报价要求函》要求所有实质性响应的供应商在规定时间内提交最后报价。</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firstLine="482"/>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lang w:val="en-US" w:eastAsia="zh-CN" w:bidi="ar-SA"/>
        </w:rPr>
        <w:t xml:space="preserve">26.1.3</w:t>
      </w:r>
      <w:r>
        <w:rPr>
          <w:rFonts w:hint="eastAsia" w:ascii="仿宋" w:hAnsi="仿宋" w:eastAsia="仿宋" w:cs="仿宋"/>
          <w:b/>
          <w:color w:val="000000"/>
          <w:sz w:val="24"/>
          <w:szCs w:val="24"/>
          <w:highlight w:val="none"/>
          <w:lang w:val="en-US" w:eastAsia="zh-CN" w:bidi="ar-SA"/>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26.2评审方法与评审标准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26.2.1评审方法。见磋商文件第五章。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26.2.2评审标准。见磋商文件第五章。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26.3采购活动终止</w:t>
      </w:r>
      <w:r/>
    </w:p>
    <w:p>
      <w:pPr>
        <w:ind w:left="0" w:firstLine="482"/>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val="en-US" w:eastAsia="zh-CN" w:bidi="ar-SA"/>
        </w:rPr>
        <w:t xml:space="preserve">出现下列情形之一的，本次采购活动终止：</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26.3.1因情况变化，不再符合竞争性磋商采购方式适用情形。</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26.3.2出现影响采购公正的违法、违规行为。</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26.3.3在苏采云系统规定时间内成功解密电子响应文件的供应商不足三家。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26.3.4除本磋商文件第二章第25.1.2条第三款规定的情形外，磋商过程中符合要求的供应商或者提交最后报价且未超过采购预算或最高限价的供应商不足三家。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26.3.5 法律法规规定的其他应当终止情形。</w:t>
      </w:r>
      <w:r/>
    </w:p>
    <w:p>
      <w:pPr>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6" w:name="_Toc194308490"/>
      <w:r>
        <w:rPr>
          <w:rFonts w:hint="eastAsia" w:ascii="仿宋" w:hAnsi="仿宋" w:eastAsia="仿宋" w:cs="仿宋"/>
          <w:b/>
          <w:bCs/>
          <w:color w:val="000000"/>
          <w:sz w:val="28"/>
          <w:szCs w:val="28"/>
          <w:highlight w:val="none"/>
          <w:lang w:val="en-US" w:eastAsia="zh-CN" w:bidi="ar-SA"/>
        </w:rPr>
        <w:t xml:space="preserve">六、成交</w:t>
      </w:r>
      <w:bookmarkEnd w:id="36"/>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27.确定成交单位</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27.1成交候选供应商的确定原则和数量见磋商文件第五章。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27.2按以下第（2）种方式确定成交供应商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（1）磋商小组直接确定排名第一的成交候选供应商为成交供应商；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（2）采购人在磋商小组推荐的成交候选供应商中按顺序确定成交供应商。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按第二种方式确定成交供应商的，采购代理机构自评审结束之日起两个工作日内将评审报告送交采购人，采购人自收到评审报告之日起五个工作日内，在评审报告推荐的成交候选供应商中按顺序确定成交供应商。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27.3采购代理机构将在“江苏政府采购网、南京公共采购信息网”发布成交结果公告，公告期限为1个工作日。</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w:t>
      </w:r>
      <w:r>
        <w:rPr>
          <w:rFonts w:hint="eastAsia" w:ascii="仿宋" w:hAnsi="仿宋" w:eastAsia="仿宋" w:cs="仿宋"/>
          <w:b/>
          <w:color w:val="000000"/>
          <w:sz w:val="24"/>
          <w:szCs w:val="24"/>
          <w:highlight w:val="none"/>
          <w:lang w:val="en-US" w:eastAsia="zh-CN" w:bidi="ar-SA"/>
        </w:rPr>
        <w:t xml:space="preserve">若有充分证据证明成交供应商有下列情况之一的，一经查实将被取消成交资格：</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27.4.1提供虚假材料谋取成交。</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27.4.2向评审专家、采购人或采购代理机构工作人员行贿或者提供其他不正当利益。</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27.4.3与其他供应商、评审专家、采购人或采购代理机构工作人员恶意串通。</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27.4.4不满足本磋商文件规定的实质性要求，但在评审过程中未被磋商小组发现。</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27.4.5采取不正当手段诋毁、排挤其他供应商。</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28.成交通知书</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28.1成交结果在指定信息媒体上发布后，采购代理机构将向成交供应商发出成交通知书，成交通知书是签订合同的依据和组成部分。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28.2 《成交通知书》是合同的一个组成部分，对采购人和成交供应商均具有法律效力。《成交通知书》发出后，采购人改变成交结果的，或者成交供应商放弃成交项目的，应当依法承担法律责任。</w:t>
      </w:r>
      <w:r/>
    </w:p>
    <w:p>
      <w:pPr>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7" w:name="_Toc194308491"/>
      <w:r>
        <w:rPr>
          <w:rFonts w:hint="eastAsia" w:ascii="仿宋" w:hAnsi="仿宋" w:eastAsia="仿宋" w:cs="仿宋"/>
          <w:b/>
          <w:bCs/>
          <w:color w:val="000000"/>
          <w:sz w:val="28"/>
          <w:szCs w:val="28"/>
          <w:highlight w:val="none"/>
          <w:lang w:val="en-US" w:eastAsia="zh-CN" w:bidi="ar-SA"/>
        </w:rPr>
        <w:t xml:space="preserve">七、授予合同</w:t>
      </w:r>
      <w:bookmarkEnd w:id="37"/>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29.签订合同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29.l成交供应商应当在《成交通知书》发出之日起三十日内，按照磋商文件确定的事项与采购人签订政府采购合同。采购人于合同签订后2个工作日内通过苏采云系统进行公示。</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29.2磋商文件、成交供应商的响应文件及磋商过程中有关澄清、承诺文件均作为合同附件。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29.3签订合同后，成交供应商不得将合同标的进行转包。未经采购人同意，成交供应商也不得采用分包形式履行合同，否则采购人有权终止合同。转包或分包造成采购人损失的，成交供应商应承担相应赔偿责任。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29.4成交供应商因自身原因拒绝与采购人签订合同的，不得参加采购人重新组织的采购活动，且将可能被拒绝参加该采购人一年内的其他政府采购活动。</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30.标的物的追加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30.1政府采购合同履行中，采购人需追加与合同标的相同的服务（包含与服务相关的货物），在不改变合同其他条款的前提下，可以与成交供应商协商签订补充合同，但所有补充合同的金额不超过原合同金额10%。</w:t>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31.政府采购履约资金扶持政策</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31.1根据江苏省财政厅 中国人民银行南京分行《关于深入推进政府采购线上合同信用融资工作的通知》（苏财购〔2021〕82号）</w:t>
      </w:r>
      <w:r>
        <w:rPr>
          <w:rFonts w:hint="eastAsia" w:ascii="仿宋" w:hAnsi="仿宋" w:eastAsia="仿宋" w:cs="仿宋"/>
          <w:color w:val="000000"/>
          <w:sz w:val="24"/>
          <w:szCs w:val="24"/>
          <w:highlight w:val="none"/>
          <w:lang w:val="zh-CN" w:eastAsia="zh-CN" w:bidi="ar-SA"/>
        </w:rPr>
        <w:t xml:space="preserve">，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rPr>
          <w:rFonts w:hint="eastAsia"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31.2依据《关于在全省政府采购领域推行电子履约保函（保险）的通知》（苏财购〔2023〕150号），需要缴纳履约保证金的，成交供应商可通过江苏政府采购网“政府采购电子履约保函（保险）综合服务平台”线上办理履约保函（保险）。</w:t>
      </w:r>
      <w:r/>
    </w:p>
    <w:p>
      <w:pPr>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8" w:name="_Toc194308492"/>
      <w:r>
        <w:rPr>
          <w:rFonts w:hint="eastAsia" w:ascii="仿宋" w:hAnsi="仿宋" w:eastAsia="仿宋" w:cs="仿宋"/>
          <w:b/>
          <w:bCs/>
          <w:color w:val="000000"/>
          <w:sz w:val="28"/>
          <w:szCs w:val="28"/>
          <w:highlight w:val="none"/>
          <w:lang w:val="en-US" w:eastAsia="zh-CN" w:bidi="ar-SA"/>
        </w:rPr>
        <w:t xml:space="preserve">八、</w:t>
      </w:r>
      <w:bookmarkEnd w:id="38"/>
      <w:r>
        <w:rPr>
          <w:rFonts w:hint="eastAsia" w:ascii="仿宋" w:hAnsi="仿宋" w:eastAsia="仿宋" w:cs="仿宋"/>
          <w:b/>
          <w:bCs/>
          <w:color w:val="000000"/>
          <w:sz w:val="28"/>
          <w:szCs w:val="28"/>
          <w:highlight w:val="none"/>
          <w:lang w:val="en-US" w:eastAsia="zh-CN" w:bidi="ar-SA"/>
        </w:rPr>
        <w:t xml:space="preserve">质疑处理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32.提出质疑的供应商应当是参与所质疑项目采购活动的供应商。潜在供应商依法获取其可质疑的采购文件的，可以对采购文件提出质疑。</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供应商认为采购文件、采购过程和采购结果使自己的权益受到损害的，可以在知道或应知其权益受到损害之日起七个工作日内，以书面形式根据下述35条款的规定向采购代理机构或采购人提出质疑。上述应知其权益受到损害之日，是指：</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33.1对可以质疑的采购文件提出质疑的，为收到采购文件之日或者采购文件公告期限届满之日。</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33.2对采购过程提出质疑的，为各采购程序环节结束之日。</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33.3对成交结果提出质疑的，为成交结果公告期限届满之日。</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34.质疑函必须按照本磋商文件中《质疑函范本》要求的格式和内容进行填写。供应商如组成联合体参加磋商，则《质疑函范本》中要求签字、盖章、加盖公章之处，联合体各方均须按要求签字、盖章、加盖公章。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35.供应商应以书面形式向采购人或者其委托的采购代理机构提出质疑。质疑超出采购机构代理范围的，供应商应当向采购人提出。</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接收质疑函的方式：现场接收或邮寄接收。</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采购代理机构：恒泰保险经纪有限公司</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联系人：杜元</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联系电话：025-83123201</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联系地址：南京市中山北路30号益来国际广场12层</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36.以下情形的质疑不予受理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36.1 内容不符合《政府采购质疑和投诉办法》第十二条规定的质疑。</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36.2 超出政府采购法定期限的质疑。</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36.3 以传真、电子邮件等方式递交的非原件形式的质疑。</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36.4 未参加磋商活动的供应商或在磋商活动中自身权益未受到损害的供应商所提出的质疑。</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36.5供应商组成联合体参加磋商，联合体中任何一方或多方未按要求签字、盖章、加盖公章的质疑。</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37.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质疑供应商对采购人、采购代理机构的答复不满意，或者采购人、采购代理机构未在规定时间内作出答复的，可以在答复期满后15个工作日内向同级财政部门提起投诉。</w:t>
      </w:r>
      <w:r/>
    </w:p>
    <w:p>
      <w:pPr>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outlineLvl w:val="1"/>
      </w:pPr>
      <w:r/>
      <w:bookmarkStart w:id="39" w:name="_Toc194308493"/>
      <w:r>
        <w:rPr>
          <w:rFonts w:hint="eastAsia" w:ascii="仿宋" w:hAnsi="仿宋" w:eastAsia="仿宋" w:cs="仿宋"/>
          <w:b/>
          <w:bCs/>
          <w:color w:val="000000"/>
          <w:sz w:val="28"/>
          <w:szCs w:val="28"/>
          <w:highlight w:val="none"/>
          <w:lang w:val="en-US" w:eastAsia="zh-CN" w:bidi="ar-SA"/>
        </w:rPr>
        <w:t xml:space="preserve">九、政策功能落实</w:t>
      </w:r>
      <w:bookmarkEnd w:id="39"/>
      <w:r/>
      <w:r/>
    </w:p>
    <w:p>
      <w:pPr>
        <w:ind w:left="0" w:firstLine="482"/>
        <w:jc w:val="both"/>
        <w:pageBreakBefore w:val="0"/>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 xml:space="preserve">38.促进中小企业发展</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38.1参与磋商的供应商享受中小企业扶持政策。</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38.3中小企业参加政府采购活动，应当出具《中小企业声明函》，否则不享受相关中小企业支持政策。</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38.4以联合体形式参加政府采购活动，联合体各方均为中小企业的，联合体视同中小企业。其中，联合体各方均为小微企业的，联合体视同小微企业。</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firstLine="480"/>
        <w:jc w:val="both"/>
        <w:pageBreakBefore w:val="0"/>
        <w:spacing w:line="36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38.6残疾人福利性单位视同小型、微型企业。按照《关于促进残疾人就业政府采购政策的通知》（财库〔2017〕141号）规定，残疾人福利单位需提供《残疾人福利性单位声明函》。</w:t>
      </w:r>
      <w:r/>
    </w:p>
    <w:p>
      <w:pPr>
        <w:ind w:firstLine="480"/>
        <w:jc w:val="both"/>
        <w:widowControl w:val="off"/>
        <w:rPr>
          <w:rFonts w:ascii="Times New Roman" w:hAnsi="Times New Roman" w:eastAsia="仿宋" w:cs="Times New Roman"/>
          <w:color w:val="000000"/>
          <w:sz w:val="24"/>
          <w:szCs w:val="24"/>
          <w:lang w:val="en-US" w:eastAsia="zh-CN" w:bidi="ar-SA"/>
        </w:rPr>
      </w:pPr>
      <w:r>
        <w:rPr>
          <w:rFonts w:ascii="Times New Roman" w:hAnsi="Times New Roman" w:eastAsia="仿宋" w:cs="Times New Roman"/>
          <w:color w:val="000000"/>
          <w:sz w:val="24"/>
          <w:szCs w:val="24"/>
          <w:lang w:val="en-US" w:eastAsia="zh-CN" w:bidi="ar-SA"/>
        </w:rPr>
      </w:r>
      <w:bookmarkEnd w:id="20"/>
      <w:r/>
      <w:bookmarkEnd w:id="21"/>
      <w:r/>
      <w:bookmarkEnd w:id="22"/>
      <w:r/>
      <w:r/>
    </w:p>
    <w:p>
      <w:pPr>
        <w:ind w:left="0" w:right="0" w:firstLine="0"/>
        <w:jc w:val="left"/>
        <w:keepLines w:val="0"/>
        <w:keepNext w:val="0"/>
        <w:pageBreakBefore/>
        <w:spacing w:line="360" w:lineRule="auto"/>
        <w:widowControl w:val="off"/>
        <w:rPr>
          <w:rFonts w:ascii="仿宋" w:hAnsi="仿宋" w:eastAsia="仿宋" w:cs="Times New Roman"/>
          <w:b w:val="0"/>
          <w:bCs w:val="0"/>
          <w:color w:val="000000"/>
          <w:sz w:val="32"/>
          <w:szCs w:val="32"/>
          <w:lang w:val="en-US" w:eastAsia="zh-CN" w:bidi="ar-SA"/>
        </w:rPr>
        <w:outlineLvl w:val="9"/>
      </w:pPr>
      <w:r/>
      <w:bookmarkStart w:id="40" w:name="_Toc1500"/>
      <w:r/>
      <w:bookmarkStart w:id="41" w:name="_Toc4554"/>
      <w:r/>
      <w:bookmarkStart w:id="42" w:name="_Toc10035"/>
      <w:r/>
      <w:bookmarkStart w:id="43" w:name="_Toc3724"/>
      <w:r/>
      <w:bookmarkStart w:id="44" w:name="_Toc29938_WPSOffice_Level1"/>
      <w:r>
        <w:rPr>
          <w:rFonts w:ascii="仿宋" w:hAnsi="仿宋" w:eastAsia="仿宋" w:cs="Times New Roman"/>
          <w:b w:val="0"/>
          <w:bCs w:val="0"/>
          <w:color w:val="000000"/>
          <w:sz w:val="32"/>
          <w:szCs w:val="32"/>
          <w:lang w:val="en-US" w:eastAsia="zh-CN" w:bidi="ar-SA"/>
        </w:rPr>
        <w:t xml:space="preserve">附件</w:t>
      </w:r>
      <w:r/>
    </w:p>
    <w:p>
      <w:pPr>
        <w:jc w:val="center"/>
        <w:widowControl w:val="off"/>
        <w:rPr>
          <w:rFonts w:ascii="仿宋" w:hAnsi="仿宋" w:eastAsia="仿宋" w:cs="Times New Roman"/>
          <w:b/>
          <w:bCs/>
          <w:color w:val="000000"/>
          <w:sz w:val="30"/>
          <w:szCs w:val="30"/>
          <w:lang w:val="en-US" w:eastAsia="zh-CN" w:bidi="ar-SA"/>
        </w:rPr>
      </w:pPr>
      <w:r>
        <w:rPr>
          <w:rFonts w:hint="eastAsia" w:ascii="仿宋" w:hAnsi="仿宋" w:eastAsia="仿宋" w:cs="Times New Roman"/>
          <w:b/>
          <w:bCs/>
          <w:color w:val="000000"/>
          <w:sz w:val="30"/>
          <w:szCs w:val="30"/>
          <w:lang w:val="en-US" w:eastAsia="zh-CN" w:bidi="ar-SA"/>
        </w:rPr>
        <w:t xml:space="preserve">磋商</w:t>
      </w:r>
      <w:r>
        <w:rPr>
          <w:rFonts w:ascii="仿宋" w:hAnsi="仿宋" w:eastAsia="仿宋" w:cs="Times New Roman"/>
          <w:b/>
          <w:bCs/>
          <w:color w:val="000000"/>
          <w:sz w:val="30"/>
          <w:szCs w:val="30"/>
          <w:lang w:val="en-US" w:eastAsia="zh-CN" w:bidi="ar-SA"/>
        </w:rPr>
        <w:t xml:space="preserve">代理服务收费标准</w:t>
      </w:r>
      <w:r/>
    </w:p>
    <w:p>
      <w:pPr>
        <w:jc w:val="center"/>
        <w:widowControl w:val="off"/>
        <w:rPr>
          <w:rFonts w:ascii="仿宋" w:hAnsi="仿宋" w:eastAsia="仿宋" w:cs="仿宋"/>
          <w:b w:val="0"/>
          <w:bCs w:val="0"/>
          <w:color w:val="000000"/>
          <w:sz w:val="24"/>
          <w:szCs w:val="24"/>
          <w:lang w:val="en-US" w:eastAsia="zh-CN" w:bidi="ar-SA"/>
        </w:rPr>
      </w:pPr>
      <w:r>
        <w:rPr>
          <w:rFonts w:ascii="仿宋" w:hAnsi="仿宋" w:eastAsia="仿宋" w:cs="仿宋"/>
          <w:b w:val="0"/>
          <w:bCs w:val="0"/>
          <w:color w:val="000000"/>
          <w:sz w:val="24"/>
          <w:szCs w:val="24"/>
          <w:lang w:val="en-US" w:eastAsia="zh-CN" w:bidi="ar-SA"/>
        </w:rPr>
      </w:r>
      <w:r/>
    </w:p>
    <w:tbl>
      <w:tblPr>
        <w:tblStyle w:val="964"/>
        <w:tblW w:w="9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中标或者成交金额</w:t>
            </w:r>
            <w:r/>
          </w:p>
        </w:tc>
        <w:tc>
          <w:tcPr>
            <w:tcW w:w="2569" w:type="dxa"/>
            <w:vAlign w:val="center"/>
            <w:textDirection w:val="lrTb"/>
            <w:noWrap w:val="false"/>
          </w:tcPr>
          <w:p>
            <w:pPr>
              <w:jc w:val="center"/>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费率</w:t>
            </w:r>
            <w:r/>
          </w:p>
        </w:tc>
      </w:tr>
      <w:tr>
        <w:trPr>
          <w:jc w:val="center"/>
          <w:trHeight w:val="475"/>
        </w:trPr>
        <w:tc>
          <w:tcPr>
            <w:tcW w:w="6790"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最低收费金额（每个委托项目）</w:t>
            </w:r>
            <w:r/>
          </w:p>
        </w:tc>
        <w:tc>
          <w:tcPr>
            <w:tcW w:w="2569"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5000元</w:t>
            </w:r>
            <w:r/>
          </w:p>
        </w:tc>
      </w:tr>
      <w:tr>
        <w:trPr>
          <w:jc w:val="center"/>
          <w:trHeight w:val="475"/>
        </w:trPr>
        <w:tc>
          <w:tcPr>
            <w:tcW w:w="6790"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50万元以下（含50万元）</w:t>
            </w:r>
            <w:r/>
          </w:p>
        </w:tc>
        <w:tc>
          <w:tcPr>
            <w:tcW w:w="2569"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1.6%</w:t>
            </w:r>
            <w:r/>
          </w:p>
        </w:tc>
      </w:tr>
      <w:tr>
        <w:trPr>
          <w:jc w:val="center"/>
          <w:trHeight w:val="475"/>
        </w:trPr>
        <w:tc>
          <w:tcPr>
            <w:tcW w:w="6790"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50-400万元（含400万元）</w:t>
            </w:r>
            <w:r/>
          </w:p>
        </w:tc>
        <w:tc>
          <w:tcPr>
            <w:tcW w:w="2569"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1.5%</w:t>
            </w:r>
            <w:r/>
          </w:p>
        </w:tc>
      </w:tr>
      <w:tr>
        <w:trPr>
          <w:jc w:val="center"/>
          <w:trHeight w:val="475"/>
        </w:trPr>
        <w:tc>
          <w:tcPr>
            <w:tcW w:w="6790"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400-1000万元（含1000万元）</w:t>
            </w:r>
            <w:r/>
          </w:p>
        </w:tc>
        <w:tc>
          <w:tcPr>
            <w:tcW w:w="2569"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1.1%</w:t>
            </w:r>
            <w:r/>
          </w:p>
        </w:tc>
      </w:tr>
      <w:tr>
        <w:trPr>
          <w:jc w:val="center"/>
          <w:trHeight w:val="475"/>
        </w:trPr>
        <w:tc>
          <w:tcPr>
            <w:tcW w:w="6790"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1000-5000万元（含5000万元）</w:t>
            </w:r>
            <w:r/>
          </w:p>
        </w:tc>
        <w:tc>
          <w:tcPr>
            <w:tcW w:w="2569"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0.8%</w:t>
            </w:r>
            <w:r/>
          </w:p>
        </w:tc>
      </w:tr>
      <w:tr>
        <w:trPr>
          <w:jc w:val="center"/>
          <w:trHeight w:val="475"/>
        </w:trPr>
        <w:tc>
          <w:tcPr>
            <w:tcW w:w="6790"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5000-1亿元（含1亿元）</w:t>
            </w:r>
            <w:r/>
          </w:p>
        </w:tc>
        <w:tc>
          <w:tcPr>
            <w:tcW w:w="2569"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0.25%</w:t>
            </w:r>
            <w:r/>
          </w:p>
        </w:tc>
      </w:tr>
      <w:tr>
        <w:trPr>
          <w:jc w:val="center"/>
          <w:trHeight w:val="475"/>
        </w:trPr>
        <w:tc>
          <w:tcPr>
            <w:tcW w:w="6790"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1-10亿元（含10亿元）</w:t>
            </w:r>
            <w:r/>
          </w:p>
        </w:tc>
        <w:tc>
          <w:tcPr>
            <w:tcW w:w="2569"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0.05%</w:t>
            </w:r>
            <w:r/>
          </w:p>
        </w:tc>
      </w:tr>
      <w:tr>
        <w:trPr>
          <w:jc w:val="center"/>
          <w:trHeight w:val="475"/>
        </w:trPr>
        <w:tc>
          <w:tcPr>
            <w:tcW w:w="6790"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10-50亿元（含50亿元）</w:t>
            </w:r>
            <w:r/>
          </w:p>
        </w:tc>
        <w:tc>
          <w:tcPr>
            <w:tcW w:w="2569"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0.01%</w:t>
            </w:r>
            <w:r/>
          </w:p>
        </w:tc>
      </w:tr>
      <w:tr>
        <w:trPr>
          <w:jc w:val="center"/>
          <w:trHeight w:val="487"/>
        </w:trPr>
        <w:tc>
          <w:tcPr>
            <w:tcW w:w="6790"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50亿元以上</w:t>
            </w:r>
            <w:r/>
          </w:p>
        </w:tc>
        <w:tc>
          <w:tcPr>
            <w:tcW w:w="2569" w:type="dxa"/>
            <w:vAlign w:val="center"/>
            <w:textDirection w:val="lrTb"/>
            <w:noWrap w:val="false"/>
          </w:tcPr>
          <w:p>
            <w:pPr>
              <w:jc w:val="center"/>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0.005%</w:t>
            </w:r>
            <w:r/>
          </w:p>
        </w:tc>
      </w:tr>
    </w:tbl>
    <w:p>
      <w:pPr>
        <w:jc w:val="both"/>
        <w:widowControl w:val="off"/>
        <w:rPr>
          <w:rFonts w:ascii="Times New Roman" w:hAnsi="Times New Roman" w:eastAsia="宋体" w:cs="Times New Roman"/>
          <w:color w:val="000000"/>
          <w:sz w:val="21"/>
          <w:szCs w:val="24"/>
          <w:lang w:val="en-US" w:eastAsia="zh-CN" w:bidi="ar-SA"/>
        </w:rPr>
      </w:pPr>
      <w:r>
        <w:rPr>
          <w:rFonts w:ascii="Times New Roman" w:hAnsi="Times New Roman" w:eastAsia="宋体" w:cs="Times New Roman"/>
          <w:color w:val="000000"/>
          <w:sz w:val="21"/>
          <w:szCs w:val="24"/>
          <w:lang w:val="en-US" w:eastAsia="zh-CN" w:bidi="ar-SA"/>
        </w:rPr>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说明：</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1.按上表计算的收费为代理服务全过程的收费金额。代理机构不再收取采购文件制作售卖费用。</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2.代理服务费按差额定率累进法计算。</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3.代理服务费基准金额（按差额定率累进法计算的）=中标金额（按差额定率累进法计算的） * 费率（%）。</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4.代理服务费应收取金额=代理服务费基准金额（按差额定率累进法计算的）的合计数。</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5.定点类等无金额或事先不能计算出价格总额的项目，按中标（成交）金额100万元计算。</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6.有分包（分标段）的按一个项目计算。</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7.账户信息：</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收款人：恒泰保险经纪有限公司 </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开户银行：中国工商银行南京城北支行   </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账号：4301010919100529942</w:t>
      </w:r>
      <w:r/>
    </w:p>
    <w:p>
      <w:pPr>
        <w:jc w:val="both"/>
        <w:widowControl w:val="off"/>
        <w:rPr>
          <w:rFonts w:ascii="仿宋" w:hAnsi="仿宋" w:eastAsia="宋体" w:cs="Times New Roman"/>
          <w:color w:val="000000"/>
          <w:sz w:val="21"/>
          <w:szCs w:val="24"/>
          <w:lang w:val="en-US" w:eastAsia="zh-CN" w:bidi="ar-SA"/>
        </w:rPr>
      </w:pPr>
      <w:r>
        <w:rPr>
          <w:rFonts w:ascii="仿宋" w:hAnsi="仿宋" w:eastAsia="宋体" w:cs="Times New Roman"/>
          <w:color w:val="000000"/>
          <w:sz w:val="21"/>
          <w:szCs w:val="24"/>
          <w:lang w:val="en-US" w:eastAsia="zh-CN" w:bidi="ar-SA"/>
        </w:rPr>
      </w:r>
      <w:r/>
    </w:p>
    <w:p>
      <w:pPr>
        <w:ind w:right="0"/>
        <w:jc w:val="center"/>
        <w:keepLines w:val="0"/>
        <w:keepNext w:val="0"/>
        <w:spacing w:before="120" w:beforeAutospacing="0" w:after="120" w:afterAutospacing="0" w:line="360" w:lineRule="auto"/>
        <w:widowControl w:val="off"/>
        <w:rPr>
          <w:rFonts w:ascii="仿宋" w:hAnsi="仿宋" w:eastAsia="仿宋" w:cs="Times New Roman"/>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Times New Roman"/>
          <w:b/>
          <w:bCs/>
          <w:color w:val="000000"/>
          <w:sz w:val="30"/>
          <w:szCs w:val="30"/>
          <w:lang w:val="en-US" w:eastAsia="zh-CN" w:bidi="ar-SA"/>
        </w:rPr>
      </w:r>
      <w:r/>
    </w:p>
    <w:p>
      <w:pPr>
        <w:ind w:right="0"/>
        <w:jc w:val="center"/>
        <w:keepLines w:val="0"/>
        <w:keepNext w:val="0"/>
        <w:spacing w:before="120" w:beforeAutospacing="0" w:after="120" w:afterAutospacing="0" w:line="360" w:lineRule="auto"/>
        <w:widowControl w:val="off"/>
        <w:rPr>
          <w:rFonts w:ascii="仿宋" w:hAnsi="仿宋" w:eastAsia="仿宋" w:cs="Times New Roman"/>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Times New Roman"/>
          <w:b/>
          <w:bCs/>
          <w:color w:val="000000"/>
          <w:sz w:val="30"/>
          <w:szCs w:val="30"/>
          <w:lang w:val="en-US" w:eastAsia="zh-CN" w:bidi="ar-SA"/>
        </w:rPr>
      </w:r>
      <w:bookmarkEnd w:id="40"/>
      <w:r/>
      <w:bookmarkEnd w:id="41"/>
      <w:r/>
      <w:bookmarkEnd w:id="42"/>
      <w:r/>
      <w:bookmarkEnd w:id="43"/>
      <w:r/>
      <w:bookmarkEnd w:id="44"/>
      <w:r/>
      <w:r/>
    </w:p>
    <w:p>
      <w:pPr>
        <w:jc w:val="center"/>
        <w:keepLines/>
        <w:keepNext/>
        <w:pageBreakBefore/>
        <w:spacing w:before="120" w:after="0" w:line="360" w:lineRule="auto"/>
        <w:widowControl w:val="off"/>
        <w:rPr>
          <w:rFonts w:ascii="宋体" w:hAnsi="宋体" w:eastAsia="仿宋" w:cs="Times New Roman"/>
          <w:b/>
          <w:bCs/>
          <w:color w:val="000000"/>
          <w:sz w:val="28"/>
          <w:szCs w:val="28"/>
          <w:lang w:val="en-US" w:eastAsia="zh-CN" w:bidi="ar-SA"/>
        </w:rPr>
        <w:outlineLvl w:val="0"/>
        <w:suppressLineNumbers w:val="0"/>
      </w:pPr>
      <w:r/>
      <w:bookmarkStart w:id="45" w:name="_Toc7855"/>
      <w:r/>
      <w:bookmarkStart w:id="46" w:name="_Toc6453"/>
      <w:r/>
      <w:bookmarkStart w:id="47" w:name="_Toc721"/>
      <w:r/>
      <w:bookmarkStart w:id="48" w:name="_Toc10407"/>
      <w:r/>
      <w:bookmarkStart w:id="49" w:name="_Toc15025_WPSOffice_Level1"/>
      <w:r>
        <w:rPr>
          <w:rFonts w:ascii="仿宋" w:hAnsi="仿宋" w:eastAsia="仿宋" w:cs="仿宋"/>
          <w:b/>
          <w:color w:val="000000"/>
          <w:sz w:val="44"/>
          <w:szCs w:val="20"/>
          <w:highlight w:val="none"/>
          <w:lang w:val="en-US" w:eastAsia="zh-CN" w:bidi="ar-SA"/>
        </w:rPr>
        <w:t xml:space="preserve">第</w:t>
      </w:r>
      <w:r>
        <w:rPr>
          <w:rFonts w:hint="eastAsia" w:ascii="仿宋" w:hAnsi="仿宋" w:eastAsia="仿宋" w:cs="仿宋"/>
          <w:b/>
          <w:color w:val="000000"/>
          <w:sz w:val="44"/>
          <w:szCs w:val="20"/>
          <w:highlight w:val="none"/>
          <w:lang w:val="en-US" w:eastAsia="zh-CN" w:bidi="ar-SA"/>
        </w:rPr>
        <w:t xml:space="preserve">三</w:t>
      </w:r>
      <w:r>
        <w:rPr>
          <w:rFonts w:ascii="仿宋" w:hAnsi="仿宋" w:eastAsia="仿宋" w:cs="仿宋"/>
          <w:b/>
          <w:color w:val="000000"/>
          <w:sz w:val="44"/>
          <w:szCs w:val="20"/>
          <w:highlight w:val="none"/>
          <w:lang w:val="en-US" w:eastAsia="zh-CN" w:bidi="ar-SA"/>
        </w:rPr>
        <w:t xml:space="preserve">章</w:t>
      </w:r>
      <w:r>
        <w:rPr>
          <w:rFonts w:hint="eastAsia" w:ascii="仿宋" w:hAnsi="仿宋" w:eastAsia="仿宋" w:cs="仿宋"/>
          <w:b/>
          <w:color w:val="000000"/>
          <w:sz w:val="44"/>
          <w:szCs w:val="20"/>
          <w:highlight w:val="none"/>
          <w:lang w:val="en-US" w:eastAsia="zh-CN" w:bidi="ar-SA"/>
        </w:rPr>
        <w:t xml:space="preserve"> 拟签订的合同文本</w:t>
      </w:r>
      <w:r>
        <w:rPr>
          <w:rFonts w:ascii="仿宋" w:hAnsi="仿宋" w:eastAsia="仿宋" w:cs="Times New Roman"/>
          <w:b/>
          <w:bCs/>
          <w:color w:val="000000"/>
          <w:sz w:val="30"/>
          <w:szCs w:val="30"/>
          <w:lang w:val="en-US" w:eastAsia="zh-CN" w:bidi="ar-SA"/>
        </w:rPr>
        <w:br w:type="textWrapping" w:clear="all"/>
      </w:r>
      <w:r/>
    </w:p>
    <w:p>
      <w:pPr>
        <w:jc w:val="center"/>
        <w:spacing w:line="360" w:lineRule="auto"/>
        <w:widowControl/>
        <w:rPr>
          <w:rFonts w:hint="eastAsia" w:ascii="宋体" w:hAnsi="宋体" w:eastAsia="宋体" w:cs="Times New Roman"/>
          <w:color w:val="000000"/>
          <w:sz w:val="24"/>
          <w:szCs w:val="20"/>
          <w:lang w:eastAsia="zh-CN"/>
        </w:rPr>
      </w:pPr>
      <w:r>
        <w:rPr>
          <w:rFonts w:hint="eastAsia" w:ascii="宋体" w:hAnsi="宋体" w:eastAsia="宋体" w:cs="Times New Roman"/>
          <w:color w:val="000000"/>
          <w:sz w:val="24"/>
          <w:szCs w:val="20"/>
          <w:lang w:eastAsia="zh-CN"/>
        </w:rPr>
      </w:r>
      <w:r/>
    </w:p>
    <w:p>
      <w:pPr>
        <w:jc w:val="center"/>
        <w:widowControl/>
        <w:rPr>
          <w:rFonts w:ascii="仿宋" w:hAnsi="仿宋" w:eastAsia="仿宋" w:cs="Times New Roman"/>
          <w:b/>
          <w:bCs/>
          <w:color w:val="000000"/>
          <w:sz w:val="30"/>
          <w:szCs w:val="30"/>
        </w:rPr>
      </w:pPr>
      <w:r>
        <w:rPr>
          <w:rFonts w:hint="eastAsia" w:ascii="仿宋" w:hAnsi="仿宋" w:eastAsia="仿宋" w:cs="Times New Roman"/>
          <w:b/>
          <w:bCs/>
          <w:color w:val="000000"/>
          <w:sz w:val="30"/>
          <w:szCs w:val="30"/>
          <w:lang w:eastAsia="zh-CN"/>
        </w:rPr>
        <w:t xml:space="preserve">采购</w:t>
      </w:r>
      <w:r>
        <w:rPr>
          <w:rFonts w:ascii="仿宋" w:hAnsi="仿宋" w:eastAsia="仿宋" w:cs="Times New Roman"/>
          <w:b/>
          <w:bCs/>
          <w:color w:val="000000"/>
          <w:sz w:val="30"/>
          <w:szCs w:val="30"/>
        </w:rPr>
        <w:t xml:space="preserve">合同</w:t>
      </w:r>
      <w:r/>
    </w:p>
    <w:p>
      <w:pPr>
        <w:jc w:val="center"/>
        <w:spacing w:line="360" w:lineRule="auto"/>
        <w:widowControl/>
        <w:rPr>
          <w:rFonts w:ascii="宋体" w:hAnsi="宋体" w:eastAsia="宋体" w:cs="Times New Roman"/>
          <w:color w:val="000000"/>
          <w:sz w:val="24"/>
          <w:szCs w:val="20"/>
        </w:rPr>
      </w:pPr>
      <w:r>
        <w:rPr>
          <w:rFonts w:ascii="宋体" w:hAnsi="宋体" w:eastAsia="宋体" w:cs="Times New Roman"/>
          <w:color w:val="000000"/>
          <w:sz w:val="24"/>
          <w:szCs w:val="20"/>
        </w:rPr>
      </w:r>
      <w:r/>
    </w:p>
    <w:p>
      <w:pPr>
        <w:jc w:val="center"/>
        <w:spacing w:line="360" w:lineRule="auto"/>
        <w:widowControl/>
        <w:rPr>
          <w:rFonts w:ascii="宋体" w:hAnsi="宋体" w:eastAsia="宋体" w:cs="Times New Roman"/>
          <w:color w:val="000000"/>
          <w:sz w:val="24"/>
          <w:szCs w:val="20"/>
        </w:rPr>
      </w:pPr>
      <w:r>
        <w:rPr>
          <w:rFonts w:ascii="宋体" w:hAnsi="宋体" w:eastAsia="宋体" w:cs="Times New Roman"/>
          <w:color w:val="000000"/>
          <w:sz w:val="24"/>
          <w:szCs w:val="20"/>
        </w:rPr>
      </w:r>
      <w:r/>
    </w:p>
    <w:p>
      <w:pPr>
        <w:ind w:firstLine="560"/>
        <w:jc w:val="both"/>
        <w:spacing w:line="720" w:lineRule="auto"/>
        <w:widowControl/>
        <w:rPr>
          <w:rFonts w:hint="eastAsia" w:ascii="仿宋" w:hAnsi="仿宋" w:eastAsia="仿宋" w:cs="Times New Roman"/>
          <w:color w:val="000000"/>
          <w:sz w:val="28"/>
          <w:szCs w:val="28"/>
          <w:lang w:eastAsia="zh-CN"/>
        </w:rPr>
      </w:pPr>
      <w:r>
        <w:rPr>
          <w:rFonts w:ascii="仿宋" w:hAnsi="仿宋" w:eastAsia="仿宋" w:cs="Times New Roman"/>
          <w:color w:val="000000"/>
          <w:sz w:val="28"/>
          <w:szCs w:val="28"/>
        </w:rPr>
        <w:t xml:space="preserve">项目编号：</w:t>
      </w:r>
      <w:r>
        <w:rPr>
          <w:rFonts w:hint="eastAsia" w:ascii="仿宋" w:hAnsi="仿宋" w:eastAsia="仿宋" w:cs="Times New Roman"/>
          <w:color w:val="000000"/>
          <w:sz w:val="28"/>
          <w:szCs w:val="28"/>
          <w:lang w:eastAsia="zh-CN"/>
        </w:rPr>
        <w:t xml:space="preserve">JSZC-320116-HTBX-C2026-0003</w:t>
      </w:r>
      <w:r/>
    </w:p>
    <w:p>
      <w:pPr>
        <w:jc w:val="center"/>
        <w:spacing w:line="720" w:lineRule="auto"/>
        <w:widowControl/>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项目名称：</w:t>
      </w:r>
      <w:r>
        <w:rPr>
          <w:rFonts w:hint="eastAsia" w:ascii="仿宋" w:hAnsi="仿宋" w:eastAsia="仿宋" w:cs="Times New Roman"/>
          <w:color w:val="000000"/>
          <w:sz w:val="28"/>
          <w:szCs w:val="28"/>
          <w:lang w:eastAsia="zh-CN"/>
        </w:rPr>
        <w:t xml:space="preserve">2026年程桥街道60周岁(含)以上意外伤害保险采购</w:t>
      </w:r>
      <w:r/>
    </w:p>
    <w:p>
      <w:pPr>
        <w:jc w:val="left"/>
        <w:spacing w:line="720" w:lineRule="auto"/>
        <w:widowControl/>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eastAsia="zh-CN"/>
        </w:rPr>
      </w:r>
      <w:r/>
    </w:p>
    <w:p>
      <w:pPr>
        <w:ind w:firstLine="840"/>
        <w:jc w:val="left"/>
        <w:spacing w:line="720" w:lineRule="auto"/>
        <w:widowControl/>
        <w:rPr>
          <w:rFonts w:hint="eastAsia" w:ascii="仿宋" w:hAnsi="仿宋" w:eastAsia="仿宋" w:cs="Times New Roman"/>
          <w:color w:val="000000"/>
          <w:sz w:val="28"/>
          <w:szCs w:val="28"/>
          <w:lang w:eastAsia="zh-CN"/>
        </w:rPr>
      </w:pPr>
      <w:r>
        <w:rPr>
          <w:rFonts w:ascii="仿宋" w:hAnsi="仿宋" w:eastAsia="仿宋" w:cs="Times New Roman"/>
          <w:color w:val="000000"/>
          <w:sz w:val="28"/>
          <w:szCs w:val="28"/>
        </w:rPr>
        <w:t xml:space="preserve">采购人：</w:t>
      </w:r>
      <w:r>
        <w:rPr>
          <w:rFonts w:hint="eastAsia" w:ascii="仿宋" w:hAnsi="仿宋" w:eastAsia="仿宋" w:cs="Times New Roman"/>
          <w:color w:val="000000"/>
          <w:sz w:val="28"/>
          <w:szCs w:val="28"/>
          <w:lang w:eastAsia="zh-CN"/>
        </w:rPr>
        <w:t xml:space="preserve">南京市六合区人民政府程桥街道办事处</w:t>
      </w:r>
      <w:r/>
    </w:p>
    <w:p>
      <w:pPr>
        <w:ind w:firstLine="840"/>
        <w:jc w:val="left"/>
        <w:spacing w:line="720" w:lineRule="auto"/>
        <w:widowControl/>
        <w:rPr>
          <w:rFonts w:ascii="仿宋" w:hAnsi="仿宋" w:eastAsia="仿宋" w:cs="Times New Roman"/>
          <w:color w:val="000000"/>
          <w:sz w:val="28"/>
          <w:szCs w:val="28"/>
        </w:rPr>
      </w:pPr>
      <w:r>
        <w:rPr>
          <w:rFonts w:hint="eastAsia" w:ascii="仿宋" w:hAnsi="仿宋" w:eastAsia="仿宋" w:cs="Times New Roman"/>
          <w:color w:val="000000"/>
          <w:sz w:val="28"/>
          <w:szCs w:val="28"/>
          <w:lang w:eastAsia="zh-CN"/>
        </w:rPr>
        <w:t xml:space="preserve">成交供应商</w:t>
      </w:r>
      <w:r>
        <w:rPr>
          <w:rFonts w:ascii="仿宋" w:hAnsi="仿宋" w:eastAsia="仿宋" w:cs="Times New Roman"/>
          <w:color w:val="000000"/>
          <w:sz w:val="28"/>
          <w:szCs w:val="28"/>
        </w:rPr>
        <w:t xml:space="preserve">：</w:t>
      </w:r>
      <w:r/>
    </w:p>
    <w:p>
      <w:pPr>
        <w:ind w:firstLine="840"/>
        <w:jc w:val="left"/>
        <w:spacing w:line="720" w:lineRule="auto"/>
        <w:widowControl/>
        <w:rPr>
          <w:rFonts w:ascii="仿宋" w:hAnsi="仿宋" w:eastAsia="仿宋" w:cs="Times New Roman"/>
          <w:color w:val="000000"/>
          <w:sz w:val="32"/>
          <w:szCs w:val="32"/>
        </w:rPr>
      </w:pPr>
      <w:r>
        <w:rPr>
          <w:rFonts w:ascii="仿宋" w:hAnsi="仿宋" w:eastAsia="仿宋" w:cs="Times New Roman"/>
          <w:color w:val="000000"/>
          <w:sz w:val="28"/>
          <w:szCs w:val="28"/>
        </w:rPr>
        <w:t xml:space="preserve">签订日期：</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年</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月</w:t>
      </w:r>
      <w:r>
        <w:rPr>
          <w:rFonts w:hint="eastAsia" w:ascii="仿宋" w:hAnsi="仿宋" w:eastAsia="仿宋" w:cs="Times New Roman"/>
          <w:color w:val="000000"/>
          <w:sz w:val="28"/>
          <w:szCs w:val="28"/>
          <w:lang w:val="en-US" w:eastAsia="zh-CN"/>
        </w:rPr>
        <w:t xml:space="preserve">   </w:t>
      </w:r>
      <w:r>
        <w:rPr>
          <w:rFonts w:ascii="仿宋" w:hAnsi="仿宋" w:eastAsia="仿宋" w:cs="Times New Roman"/>
          <w:color w:val="000000"/>
          <w:sz w:val="28"/>
          <w:szCs w:val="28"/>
        </w:rPr>
        <w:t xml:space="preserve">日</w:t>
      </w:r>
      <w:r/>
    </w:p>
    <w:p>
      <w:pPr>
        <w:jc w:val="left"/>
        <w:spacing w:line="360" w:lineRule="auto"/>
        <w:widowControl/>
        <w:rPr>
          <w:rFonts w:ascii="仿宋" w:hAnsi="仿宋" w:eastAsia="仿宋" w:cs="Times New Roman"/>
          <w:color w:val="000000"/>
          <w:sz w:val="28"/>
          <w:szCs w:val="28"/>
        </w:rPr>
      </w:pPr>
      <w:r>
        <w:rPr>
          <w:rFonts w:ascii="仿宋" w:hAnsi="仿宋" w:eastAsia="仿宋" w:cs="Times New Roman"/>
          <w:color w:val="000000"/>
          <w:sz w:val="28"/>
          <w:szCs w:val="28"/>
        </w:rPr>
      </w:r>
      <w:r/>
    </w:p>
    <w:p>
      <w:pPr>
        <w:ind w:firstLine="480"/>
        <w:jc w:val="left"/>
        <w:keepLines w:val="0"/>
        <w:keepNext w:val="0"/>
        <w:pageBreakBefore w:val="0"/>
        <w:spacing w:line="360" w:lineRule="auto"/>
        <w:widowControl/>
        <w:rPr>
          <w:rFonts w:ascii="仿宋" w:hAnsi="仿宋" w:eastAsia="仿宋" w:cs="Times New Roman"/>
          <w:color w:val="000000"/>
          <w:sz w:val="24"/>
          <w:szCs w:val="20"/>
        </w:rPr>
        <w:outlineLvl w:val="9"/>
      </w:pPr>
      <w:r>
        <w:rPr>
          <w:rFonts w:ascii="仿宋" w:hAnsi="仿宋" w:eastAsia="仿宋" w:cs="Times New Roman"/>
          <w:color w:val="000000"/>
          <w:sz w:val="24"/>
          <w:szCs w:val="20"/>
        </w:rPr>
        <w:t xml:space="preserve">友情提醒：采购人与成交供应商应当在成交通知书发出之日起三十日内，按照采购文件确定的事项签订</w:t>
      </w:r>
      <w:r>
        <w:rPr>
          <w:rFonts w:hint="eastAsia" w:ascii="仿宋" w:hAnsi="仿宋" w:eastAsia="仿宋" w:cs="Times New Roman"/>
          <w:color w:val="000000"/>
          <w:sz w:val="24"/>
          <w:szCs w:val="20"/>
          <w:lang w:eastAsia="zh-CN"/>
        </w:rPr>
        <w:t xml:space="preserve">采购合同</w:t>
      </w:r>
      <w:r>
        <w:rPr>
          <w:rFonts w:ascii="仿宋" w:hAnsi="仿宋" w:eastAsia="仿宋" w:cs="Times New Roman"/>
          <w:color w:val="000000"/>
          <w:sz w:val="24"/>
          <w:szCs w:val="20"/>
        </w:rPr>
        <w:t xml:space="preserve">。</w:t>
      </w:r>
      <w:r/>
    </w:p>
    <w:p>
      <w:pPr>
        <w:jc w:val="left"/>
        <w:spacing w:line="360" w:lineRule="auto"/>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jc w:val="left"/>
        <w:spacing w:line="360" w:lineRule="auto"/>
        <w:widowControl/>
        <w:rPr>
          <w:rFonts w:ascii="宋体" w:hAnsi="宋体" w:eastAsia="宋体" w:cs="Times New Roman"/>
          <w:color w:val="000000"/>
          <w:sz w:val="28"/>
          <w:szCs w:val="28"/>
        </w:rPr>
      </w:pPr>
      <w:r>
        <w:rPr>
          <w:rFonts w:ascii="宋体" w:hAnsi="宋体" w:eastAsia="宋体" w:cs="Times New Roman"/>
          <w:color w:val="000000"/>
          <w:sz w:val="28"/>
          <w:szCs w:val="28"/>
        </w:rPr>
      </w:r>
      <w:r/>
    </w:p>
    <w:p>
      <w:pPr>
        <w:jc w:val="center"/>
        <w:pageBreakBefore/>
        <w:spacing w:line="400" w:lineRule="exact"/>
        <w:widowControl/>
        <w:rPr>
          <w:rFonts w:ascii="仿宋" w:hAnsi="仿宋" w:eastAsia="仿宋" w:cs="Times New Roman"/>
          <w:color w:val="000000"/>
          <w:sz w:val="24"/>
          <w:szCs w:val="20"/>
        </w:rPr>
      </w:pPr>
      <w:r>
        <w:rPr>
          <w:rFonts w:hint="eastAsia" w:ascii="仿宋" w:hAnsi="仿宋" w:eastAsia="仿宋" w:cs="Times New Roman"/>
          <w:color w:val="000000"/>
          <w:sz w:val="28"/>
          <w:szCs w:val="28"/>
          <w:lang w:eastAsia="zh-CN"/>
        </w:rPr>
        <w:t xml:space="preserve">采购合同</w:t>
      </w:r>
      <w:r>
        <w:rPr>
          <w:rFonts w:ascii="仿宋" w:hAnsi="仿宋" w:eastAsia="仿宋" w:cs="Times New Roman"/>
          <w:color w:val="000000"/>
          <w:sz w:val="28"/>
          <w:szCs w:val="28"/>
        </w:rPr>
        <w:br w:type="textWrapping" w:clear="all"/>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甲方：南京市六合区人民政府程桥街道办事处</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乙方：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一、合同基本信息</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1.标的名称：2026年程桥街道60周岁(含)以上意外伤害保险采购。</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2.保险质量：按行业通行标准和乙方响应文件的承诺执行（详见本项目采购文件附件载明的标准，并不低于国家相关标准）。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3.保费标准：40元/人/年。</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4.参保人数：</w:t>
      </w:r>
      <w:r>
        <w:rPr>
          <w:rFonts w:hint="eastAsia" w:ascii="仿宋" w:hAnsi="仿宋" w:eastAsia="仿宋" w:cs="仿宋"/>
          <w:color w:val="000000"/>
          <w:sz w:val="24"/>
          <w:szCs w:val="24"/>
          <w:highlight w:val="none"/>
          <w:u w:val="single"/>
          <w:lang w:val="en-US" w:eastAsia="zh-CN" w:bidi="ar-SA"/>
        </w:rPr>
        <w:t xml:space="preserve">    </w:t>
      </w:r>
      <w:r>
        <w:rPr>
          <w:rFonts w:hint="eastAsia" w:ascii="仿宋" w:hAnsi="仿宋" w:eastAsia="仿宋" w:cs="仿宋"/>
          <w:color w:val="000000"/>
          <w:sz w:val="24"/>
          <w:szCs w:val="24"/>
          <w:highlight w:val="none"/>
          <w:lang w:val="en-US" w:eastAsia="zh-CN" w:bidi="ar-SA"/>
        </w:rPr>
        <w:t xml:space="preserve">人。</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5.保险期限：</w:t>
      </w:r>
      <w:r>
        <w:rPr>
          <w:rFonts w:ascii="仿宋" w:hAnsi="仿宋" w:eastAsia="仿宋" w:cs="仿宋"/>
          <w:color w:val="000000"/>
          <w:sz w:val="24"/>
          <w:szCs w:val="24"/>
          <w:highlight w:val="none"/>
          <w:lang w:val="en-US" w:eastAsia="zh-CN" w:bidi="ar-SA"/>
        </w:rPr>
        <w:t xml:space="preserve">202</w:t>
      </w: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t xml:space="preserve">年1</w:t>
      </w: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1日零时起至202</w:t>
      </w:r>
      <w:r>
        <w:rPr>
          <w:rFonts w:hint="eastAsia" w:ascii="仿宋" w:hAnsi="仿宋" w:eastAsia="仿宋" w:cs="仿宋"/>
          <w:color w:val="000000"/>
          <w:sz w:val="24"/>
          <w:szCs w:val="24"/>
          <w:highlight w:val="none"/>
          <w:lang w:val="en-US" w:eastAsia="zh-CN" w:bidi="ar-SA"/>
        </w:rPr>
        <w:t xml:space="preserve">6</w:t>
      </w:r>
      <w:r>
        <w:rPr>
          <w:rFonts w:ascii="仿宋" w:hAnsi="仿宋" w:eastAsia="仿宋" w:cs="仿宋"/>
          <w:color w:val="000000"/>
          <w:sz w:val="24"/>
          <w:szCs w:val="24"/>
          <w:highlight w:val="none"/>
          <w:lang w:val="en-US" w:eastAsia="zh-CN" w:bidi="ar-SA"/>
        </w:rPr>
        <w:t xml:space="preserve">年12月3</w:t>
      </w:r>
      <w:r>
        <w:rPr>
          <w:rFonts w:hint="eastAsia" w:ascii="仿宋" w:hAnsi="仿宋" w:eastAsia="仿宋" w:cs="仿宋"/>
          <w:color w:val="000000"/>
          <w:sz w:val="24"/>
          <w:szCs w:val="24"/>
          <w:highlight w:val="none"/>
          <w:lang w:val="en-US" w:eastAsia="zh-CN" w:bidi="ar-SA"/>
        </w:rPr>
        <w:t xml:space="preserve">0</w:t>
      </w:r>
      <w:r>
        <w:rPr>
          <w:rFonts w:ascii="仿宋" w:hAnsi="仿宋" w:eastAsia="仿宋" w:cs="仿宋"/>
          <w:color w:val="000000"/>
          <w:sz w:val="24"/>
          <w:szCs w:val="24"/>
          <w:highlight w:val="none"/>
          <w:lang w:val="en-US" w:eastAsia="zh-CN" w:bidi="ar-SA"/>
        </w:rPr>
        <w:t xml:space="preserve">日二十四时止</w:t>
      </w:r>
      <w:r>
        <w:rPr>
          <w:rFonts w:hint="eastAsia"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6.履行地点：程桥街道。</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7.履行方式：磋商文件有要求的按相关要求执行。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二、合同金额与支付</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1.合同金额：本合同总价款为人民币[填写大写金额]元（小写：¥[填写小写金额].00元）。</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2.本合同金额已包含税费、风险评估、出具保单、理赔服务、宣传培训等履行本合同所需全部费用。合同总价款在履行期间不变，不因市场变化或赔付情况调整（除非合同另有规定）。</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3.甲方在合同签订后30日内一次性支付合同价款至乙方账户。</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4.乙方收到合同价款后10个工作日内，向甲方开具全额正式发票并交付保单。</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三、甲方权利义务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1.协助提供老年人意外伤害保险参保人员的投保资料。</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2.协助乙方进行老年人意外伤害保险的宣传。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3.指定联系人配合乙方服务工作，为项目实施提供必要支持。</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4.有权对乙方履行本合同的情况进行监督和检查。</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5.有权对乙方不合理服务行为、违法、违规、违约行为要求限期整改。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四、乙方权利义务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1.接受甲方委托，在服务期限内完成合同约定的服务内容。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2.保证服务质量，及时出具保单，履行响应承诺。</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3.确保理赔服务质量，按主合同约定时限完成理赔处理，按季度汇总报送甲方备案。</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4.定期向甲方反馈项目实施进度，及时报告重大事项并配合整改。</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5.提供意外伤害保险基本运行和管理必需的设备、政策宣传、业务培训等服务。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6.按照响应文件承诺事项开展宣传，印制保险宣传手册，普及赔付事宜。</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7.项目负责人及成员需常驻南京六合区，定期反馈工作情况。</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8.对甲方提供的参保人信息及相关资料承担保密责任，未经同意不得用于其他用途或向第三方泄露。</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9.保密条款长期有效，合同变更、终止或解除均不影响其效力。</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五、共同责任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1.甲乙双方合同履行情况及保险赔付情况需接受财政、审计等部门的监督。</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2.乙方在保险期间内出现新情况或遭遇突发事件，需及时通报甲方并配合协调处置。</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六、履约管理与监管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1.按年度向甲方提交运营报告，内容包括但不限于承保机构清单及变动情况、保费收取情况、理赔案件数量、类型、金额及处理进度、服务投诉及处理情况等。</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2.重大事件报告：发生重大保险事故（如造成3人以上重伤或1人死亡）、群体性理赔纠纷或可能引发社会广泛关注的事件时，乙方须立即（1小时内）向甲方进行初次报告，并在24小时内提交书面初步情况说明。</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3.资金管理要求：乙方应确保本项目理赔准备金充足，具备足够的赔付能力。</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4.定期抽查：甲方在保险周期内或项目结束后，组织对本项目运营情况的全面检查，包括查阅服务记录、理赔档案、服务团队工作情况等资料。</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5.数据核查：有权对乙方报送的运营数据、报告进行核查，并要求提供原始凭证或系统记录印证。</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6.考核评估：有权邀请第三方专业机构组成考核小组，对合同履行情况、理赔时限、服务质量、群众满意度等进行评价，乙方须积极配合。</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七、违约责任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1.一般违约责任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任何一方违反本合同约定，均应承担继续履行、采取补救措施或赔偿损失等违约责任。因一方违约导致合同目的无法实现或本合同无法继续履行的，守约方有权单方解除合同。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2.乙方的特定违约情形及责任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乙方发生下列任一违约情形，甲方有权根据违约情节选择采取要求继续履行、支付违约金、赔偿损失、解除合同、取消乙方服务资格等一项或多项救济措施：</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2.1服务瑕疵违约：乙方无正当理由未按约定提供服务、满意度低于90%或服务标准不符合合同及采购文件规定的，甲方有权要求乙方按合同总价款的5% 支付违约金，并有权拒绝接受服务、要求限期履行或解除合同。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根本性违约：乙方存在虚假承保、虚假理赔、套取财政资金、在采购或履行过程中提供虚假材料、隐瞒重大事故隐患、非项目组成员代替检查签字等欺诈或重大过错行为，或因其他乙方原因导致合同目的无法实现的，应向甲方支付合同总价款30% 的违约金。若该违约金不足以弥补甲方因此遭受的全部损失（包括但不限于直接经济损失、甲方另请第三方履约的费用、重新采购的费用、律师费、诉讼费、公证费等合理维权开支），乙方应予以补足。甲方同时有权立即解除合同，并取消乙方服务资格。</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2.3损害权益与合规违约：</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乙方损害参保人（特别是老年人）权益，存在拖赔、惜赔、无正当理由拒保等行为，或因违规经营被有效投诉、被行政主管机关处罚、或经权威媒体曝光造成负面舆情的，甲方有权视情节采取约谈、通报批评、要求限期整改等措施。</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（2）乙方出现前项行为，经甲方指出后未有效整改或再次发生的，甲方有权要求乙方支付合同总价款10% 的违约金，并有权解除合同。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（3）发生重大行政处罚、3人（含）以上群体性上访或省级以上负面舆情的，甲方有权直接取消乙方服务资格并解除合同。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3.索赔与权利保留</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甲方向乙方主张违约责任的时效，依照相关法律法规的规定执行。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甲方未及时主张或追究乙方某项违约责任，不构成对该项权利的放弃，亦不视为对乙方其他违约责任追究权的放弃。</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八、不可抗力</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定义：不可抗力指在本合同签订后发生的、本合同双方不能预见、不能避免且不能克服的客观情况，包括但不限于地震、台风、洪水、海啸等自然灾害，战争、武装冲突、罢工、骚乱等社会异常事件，以及法律法规或政策变化、征收、征用等政府行为。</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2.任何一方因不可抗力不能或不能完全履行本合同的，应在不可抗力事件发生后三日内书面通知对方，并提供有权机构出具的证明文件。该方应尽其合理努力减轻不可抗力的影响。</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双方应积极寻求合理方式履行合同，取得不可抗力证明或谅解后，允许延期履行或修订合同，若不可抗力无法消除导致合同目的无法实现，双方有权解除合同且不互相索赔。合同解除后，双方应依据公平原则协商处理善后事宜。</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九、保密条款</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1.甲乙双方对合同履行过程中知悉的商业秘密、工作秘密、技术信息、经营信息等负有保密责任。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2.未经对方书面同意，不得擅自使用、复制对方的商标、标志、商业信息、技术及其他资料。</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3.本保密条款长期有效，合同变更、终止或解除不影响其效力。</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十、合同禁止性条款</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乙方不得将合同标的转包或分包给他人履行，若发生转包或未经甲方同意的分包行为，甲方有权解除合同。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十一、争议解决</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合同履行中发生的争议，双方应优先协商解决；协商不成的，提交甲方所在地人民法院诉讼。争议解决期间，除争议事项外，双方应继续履行本合同项下无争议的其他义务。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十二、合同生效及其它</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1.本合同组成部分：本项目磋商文件、乙方响应文件及采购相关文件均为合同不可分割的有效组成部分，与合同具有同等法律效力和履约义务。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2.合同正本一式肆份，甲方执叁份、乙方执壹份，具有同等法律效力，经双方加盖单位公章后生效。</w:t>
      </w:r>
      <w:r>
        <w:rPr>
          <w:rFonts w:hint="eastAsia" w:ascii="仿宋" w:hAnsi="仿宋" w:eastAsia="仿宋" w:cs="仿宋"/>
          <w:color w:val="000000"/>
          <w:sz w:val="24"/>
          <w:szCs w:val="24"/>
          <w:highlight w:val="none"/>
          <w:lang w:val="en-US" w:eastAsia="zh-CN" w:bidi="ar-SA"/>
        </w:rPr>
        <w:br w:type="textWrapping" w:clear="all"/>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甲方（盖章）：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代表：</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组织机构代码：</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联系人：</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电话：</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地址：</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日期：    年   月   日</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乙方（盖章）：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代表：</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联系人：</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电话：</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地址：</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开户名称：</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银行帐号：</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开户行：</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日期：    年   月   日</w:t>
      </w:r>
      <w:r/>
    </w:p>
    <w:p>
      <w:pPr>
        <w:jc w:val="center"/>
        <w:keepLines/>
        <w:keepNext/>
        <w:spacing w:before="340" w:after="330" w:line="240" w:lineRule="auto"/>
        <w:widowControl w:val="off"/>
        <w:rPr>
          <w:rFonts w:ascii="仿宋" w:hAnsi="仿宋" w:eastAsia="仿宋" w:cs="仿宋"/>
          <w:b/>
          <w:color w:val="000000"/>
          <w:sz w:val="44"/>
          <w:szCs w:val="20"/>
          <w:highlight w:val="none"/>
          <w:lang w:val="en-US" w:eastAsia="zh-CN" w:bidi="ar-SA"/>
        </w:rPr>
        <w:outlineLvl w:val="0"/>
      </w:pPr>
      <w:r>
        <w:rPr>
          <w:rFonts w:ascii="仿宋" w:hAnsi="仿宋" w:eastAsia="仿宋" w:cs="仿宋"/>
          <w:b/>
          <w:color w:val="000000"/>
          <w:sz w:val="44"/>
          <w:szCs w:val="20"/>
          <w:highlight w:val="none"/>
          <w:lang w:val="en-US" w:eastAsia="zh-CN" w:bidi="ar-SA"/>
        </w:rPr>
        <w:t xml:space="preserve">第</w:t>
      </w:r>
      <w:r>
        <w:rPr>
          <w:rFonts w:hint="eastAsia" w:ascii="仿宋" w:hAnsi="仿宋" w:eastAsia="仿宋" w:cs="仿宋"/>
          <w:b/>
          <w:color w:val="000000"/>
          <w:sz w:val="44"/>
          <w:szCs w:val="20"/>
          <w:highlight w:val="none"/>
          <w:lang w:val="en-US" w:eastAsia="zh-CN" w:bidi="ar-SA"/>
        </w:rPr>
        <w:t xml:space="preserve">四章 </w:t>
      </w:r>
      <w:r>
        <w:rPr>
          <w:rFonts w:ascii="仿宋" w:hAnsi="仿宋" w:eastAsia="仿宋" w:cs="仿宋"/>
          <w:b/>
          <w:color w:val="000000"/>
          <w:sz w:val="44"/>
          <w:szCs w:val="20"/>
          <w:highlight w:val="none"/>
          <w:lang w:val="en-US" w:eastAsia="zh-CN" w:bidi="ar-SA"/>
        </w:rPr>
        <w:t xml:space="preserve">采购需求</w:t>
      </w:r>
      <w:bookmarkEnd w:id="45"/>
      <w:r/>
      <w:bookmarkEnd w:id="46"/>
      <w:r/>
      <w:bookmarkEnd w:id="47"/>
      <w:r/>
      <w:bookmarkEnd w:id="48"/>
      <w:r/>
      <w:bookmarkEnd w:id="49"/>
      <w:r/>
      <w:r/>
    </w:p>
    <w:p>
      <w:pPr>
        <w:ind w:firstLine="480"/>
        <w:jc w:val="left"/>
        <w:widowControl/>
        <w:rPr>
          <w:rFonts w:ascii="仿宋" w:hAnsi="仿宋" w:eastAsia="仿宋" w:cs="Times New Roman"/>
          <w:color w:val="000000"/>
          <w:sz w:val="24"/>
          <w:szCs w:val="20"/>
          <w:lang w:val="en-US" w:eastAsia="zh-CN"/>
        </w:rPr>
      </w:pPr>
      <w:r>
        <w:rPr>
          <w:rFonts w:ascii="仿宋" w:hAnsi="仿宋" w:eastAsia="仿宋" w:cs="Times New Roman"/>
          <w:color w:val="000000"/>
          <w:sz w:val="24"/>
          <w:szCs w:val="20"/>
          <w:lang w:val="en-US" w:eastAsia="zh-CN"/>
        </w:rPr>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一、项目属性：服务类项目。</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二、项目</w:t>
      </w:r>
      <w:r>
        <w:rPr>
          <w:rFonts w:hint="eastAsia" w:ascii="仿宋" w:hAnsi="仿宋" w:eastAsia="仿宋" w:cs="仿宋"/>
          <w:color w:val="000000"/>
          <w:sz w:val="24"/>
          <w:szCs w:val="24"/>
          <w:highlight w:val="none"/>
          <w:lang w:val="en-US" w:eastAsia="zh-CN" w:bidi="ar-SA"/>
        </w:rPr>
        <w:t xml:space="preserve">基本情况</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1.项目介绍</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为年满</w:t>
      </w:r>
      <w:r>
        <w:rPr>
          <w:rFonts w:hint="eastAsia" w:ascii="仿宋" w:hAnsi="仿宋" w:eastAsia="仿宋" w:cs="仿宋"/>
          <w:color w:val="000000"/>
          <w:sz w:val="24"/>
          <w:szCs w:val="24"/>
          <w:highlight w:val="none"/>
          <w:lang w:val="en-US" w:eastAsia="zh-CN" w:bidi="ar-SA"/>
        </w:rPr>
        <w:t xml:space="preserve">60</w:t>
      </w:r>
      <w:r>
        <w:rPr>
          <w:rFonts w:ascii="仿宋" w:hAnsi="仿宋" w:eastAsia="仿宋" w:cs="仿宋"/>
          <w:color w:val="000000"/>
          <w:sz w:val="24"/>
          <w:szCs w:val="24"/>
          <w:highlight w:val="none"/>
          <w:lang w:val="en-US" w:eastAsia="zh-CN" w:bidi="ar-SA"/>
        </w:rPr>
        <w:t xml:space="preserve">周岁（含）及以上老人办理“安康关爱”意外伤害综合保险，实现承保地区承保人群全覆盖，切实提高老年人及其家庭抵御意外伤害风险能力。</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2.政策文件</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南京市六合区民政局、南京市六合区财政局印发《</w:t>
      </w:r>
      <w:r>
        <w:rPr>
          <w:rFonts w:ascii="仿宋" w:hAnsi="仿宋" w:eastAsia="仿宋" w:cs="仿宋"/>
          <w:color w:val="000000"/>
          <w:sz w:val="24"/>
          <w:szCs w:val="24"/>
          <w:highlight w:val="none"/>
          <w:lang w:val="en-US" w:eastAsia="zh-CN" w:bidi="ar-SA"/>
        </w:rPr>
        <w:t xml:space="preserve">关于深人推进</w:t>
      </w: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安康关爱行动</w:t>
      </w: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老年人意外伤害保险有关事项的通知</w:t>
      </w:r>
      <w:r>
        <w:rPr>
          <w:rFonts w:hint="eastAsia" w:ascii="仿宋" w:hAnsi="仿宋" w:eastAsia="仿宋" w:cs="仿宋"/>
          <w:color w:val="000000"/>
          <w:sz w:val="24"/>
          <w:szCs w:val="24"/>
          <w:highlight w:val="none"/>
          <w:lang w:val="en-US" w:eastAsia="zh-CN" w:bidi="ar-SA"/>
        </w:rPr>
        <w:t xml:space="preserve">》，详见附件</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项目实施要求：做好</w:t>
      </w:r>
      <w:r>
        <w:rPr>
          <w:rFonts w:hint="eastAsia" w:ascii="仿宋" w:hAnsi="仿宋" w:eastAsia="仿宋" w:cs="仿宋"/>
          <w:color w:val="000000"/>
          <w:sz w:val="24"/>
          <w:szCs w:val="24"/>
          <w:highlight w:val="none"/>
          <w:lang w:val="en-US" w:eastAsia="zh-CN" w:bidi="ar-SA"/>
        </w:rPr>
        <w:t xml:space="preserve">2026年程桥街道60周岁(含)以上意外伤害保险采购</w:t>
      </w:r>
      <w:r>
        <w:rPr>
          <w:rFonts w:ascii="仿宋" w:hAnsi="仿宋" w:eastAsia="仿宋" w:cs="仿宋"/>
          <w:color w:val="000000"/>
          <w:sz w:val="24"/>
          <w:szCs w:val="24"/>
          <w:highlight w:val="none"/>
          <w:lang w:val="en-US" w:eastAsia="zh-CN" w:bidi="ar-SA"/>
        </w:rPr>
        <w:t xml:space="preserve">项目的宣传引导、沟通协调和理赔服务，为老年人提供人性化、专业化、便民化服务。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t xml:space="preserve">采购预算</w:t>
      </w:r>
      <w:r>
        <w:rPr>
          <w:rFonts w:hint="eastAsia" w:ascii="仿宋" w:hAnsi="仿宋" w:eastAsia="仿宋" w:cs="仿宋"/>
          <w:color w:val="000000"/>
          <w:sz w:val="24"/>
          <w:szCs w:val="24"/>
          <w:highlight w:val="none"/>
          <w:lang w:val="en-US" w:eastAsia="zh-CN" w:bidi="ar-SA"/>
        </w:rPr>
        <w:t xml:space="preserve">：52.92万元</w:t>
      </w:r>
      <w:r>
        <w:rPr>
          <w:rFonts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三</w:t>
      </w:r>
      <w:r>
        <w:rPr>
          <w:rFonts w:ascii="仿宋" w:hAnsi="仿宋" w:eastAsia="仿宋" w:cs="仿宋"/>
          <w:color w:val="000000"/>
          <w:sz w:val="24"/>
          <w:szCs w:val="24"/>
          <w:highlight w:val="none"/>
          <w:lang w:val="en-US" w:eastAsia="zh-CN" w:bidi="ar-SA"/>
        </w:rPr>
        <w:t xml:space="preserve">、采购需求</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w:t>
      </w:r>
      <w:r>
        <w:rPr>
          <w:rFonts w:ascii="仿宋" w:hAnsi="仿宋" w:eastAsia="仿宋" w:cs="仿宋"/>
          <w:color w:val="000000"/>
          <w:sz w:val="24"/>
          <w:szCs w:val="24"/>
          <w:highlight w:val="none"/>
          <w:lang w:val="en-US" w:eastAsia="zh-CN" w:bidi="ar-SA"/>
        </w:rPr>
        <w:t xml:space="preserve">承保方式：</w:t>
      </w:r>
      <w:r>
        <w:rPr>
          <w:rFonts w:hint="eastAsia" w:ascii="仿宋" w:hAnsi="仿宋" w:eastAsia="仿宋" w:cs="仿宋"/>
          <w:color w:val="000000"/>
          <w:sz w:val="24"/>
          <w:szCs w:val="24"/>
          <w:highlight w:val="none"/>
          <w:lang w:val="en-US" w:eastAsia="zh-CN" w:bidi="ar-SA"/>
        </w:rPr>
        <w:t xml:space="preserve">独家承保。</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2.保费40元/人/年</w:t>
      </w:r>
      <w:r>
        <w:rPr>
          <w:rFonts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被保险人</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截止至2025年12月31日</w:t>
      </w:r>
      <w:r>
        <w:rPr>
          <w:rFonts w:ascii="仿宋" w:hAnsi="仿宋" w:eastAsia="仿宋" w:cs="仿宋"/>
          <w:color w:val="000000"/>
          <w:sz w:val="24"/>
          <w:szCs w:val="24"/>
          <w:highlight w:val="none"/>
          <w:lang w:val="en-US" w:eastAsia="zh-CN" w:bidi="ar-SA"/>
        </w:rPr>
        <w:t xml:space="preserve">年满60周岁及以上的老年人</w:t>
      </w:r>
      <w:r>
        <w:rPr>
          <w:rFonts w:hint="eastAsia" w:ascii="仿宋" w:hAnsi="仿宋" w:eastAsia="仿宋" w:cs="仿宋"/>
          <w:color w:val="000000"/>
          <w:sz w:val="24"/>
          <w:szCs w:val="24"/>
          <w:highlight w:val="none"/>
          <w:lang w:val="en-US" w:eastAsia="zh-CN" w:bidi="ar-SA"/>
        </w:rPr>
        <w:t xml:space="preserve">为参保对象，具体人数以实际参保人数为准，无年龄限制。</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50" w:name="OLE_LINK76"/>
      <w:r/>
      <w:bookmarkStart w:id="51" w:name="OLE_LINK94"/>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t xml:space="preserve">保险期限：1年，合同履行指定生效日</w:t>
      </w:r>
      <w:r>
        <w:rPr>
          <w:rFonts w:hint="eastAsia" w:ascii="仿宋" w:hAnsi="仿宋" w:eastAsia="仿宋" w:cs="仿宋"/>
          <w:color w:val="000000"/>
          <w:sz w:val="24"/>
          <w:szCs w:val="24"/>
          <w:highlight w:val="none"/>
          <w:lang w:val="en-US" w:eastAsia="zh-CN" w:bidi="ar-SA"/>
        </w:rPr>
        <w:t xml:space="preserve">为</w:t>
      </w:r>
      <w:r>
        <w:rPr>
          <w:rFonts w:ascii="仿宋" w:hAnsi="仿宋" w:eastAsia="仿宋" w:cs="仿宋"/>
          <w:color w:val="000000"/>
          <w:sz w:val="24"/>
          <w:szCs w:val="24"/>
          <w:highlight w:val="none"/>
          <w:lang w:val="en-US" w:eastAsia="zh-CN" w:bidi="ar-SA"/>
        </w:rPr>
        <w:t xml:space="preserve">202</w:t>
      </w: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t xml:space="preserve">年1</w:t>
      </w: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t xml:space="preserve">月</w:t>
      </w: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1日零时起至202</w:t>
      </w:r>
      <w:r>
        <w:rPr>
          <w:rFonts w:hint="eastAsia" w:ascii="仿宋" w:hAnsi="仿宋" w:eastAsia="仿宋" w:cs="仿宋"/>
          <w:color w:val="000000"/>
          <w:sz w:val="24"/>
          <w:szCs w:val="24"/>
          <w:highlight w:val="none"/>
          <w:lang w:val="en-US" w:eastAsia="zh-CN" w:bidi="ar-SA"/>
        </w:rPr>
        <w:t xml:space="preserve">6</w:t>
      </w:r>
      <w:r>
        <w:rPr>
          <w:rFonts w:ascii="仿宋" w:hAnsi="仿宋" w:eastAsia="仿宋" w:cs="仿宋"/>
          <w:color w:val="000000"/>
          <w:sz w:val="24"/>
          <w:szCs w:val="24"/>
          <w:highlight w:val="none"/>
          <w:lang w:val="en-US" w:eastAsia="zh-CN" w:bidi="ar-SA"/>
        </w:rPr>
        <w:t xml:space="preserve">年12月3</w:t>
      </w:r>
      <w:r>
        <w:rPr>
          <w:rFonts w:hint="eastAsia" w:ascii="仿宋" w:hAnsi="仿宋" w:eastAsia="仿宋" w:cs="仿宋"/>
          <w:color w:val="000000"/>
          <w:sz w:val="24"/>
          <w:szCs w:val="24"/>
          <w:highlight w:val="none"/>
          <w:lang w:val="en-US" w:eastAsia="zh-CN" w:bidi="ar-SA"/>
        </w:rPr>
        <w:t xml:space="preserve">0</w:t>
      </w:r>
      <w:r>
        <w:rPr>
          <w:rFonts w:ascii="仿宋" w:hAnsi="仿宋" w:eastAsia="仿宋" w:cs="仿宋"/>
          <w:color w:val="000000"/>
          <w:sz w:val="24"/>
          <w:szCs w:val="24"/>
          <w:highlight w:val="none"/>
          <w:lang w:val="en-US" w:eastAsia="zh-CN" w:bidi="ar-SA"/>
        </w:rPr>
        <w:t xml:space="preserve">日二十四时止。</w:t>
      </w:r>
      <w:bookmarkEnd w:id="50"/>
      <w:r/>
      <w:bookmarkEnd w:id="51"/>
      <w:r>
        <w:rPr>
          <w:rFonts w:ascii="仿宋" w:hAnsi="仿宋" w:eastAsia="仿宋" w:cs="仿宋"/>
          <w:color w:val="000000"/>
          <w:sz w:val="24"/>
          <w:szCs w:val="24"/>
          <w:highlight w:val="none"/>
          <w:lang w:val="en-US" w:eastAsia="zh-CN" w:bidi="ar-SA"/>
        </w:rPr>
        <w:t xml:space="preserve">采购人保留特殊情况下与</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协商保险起止时间的权利。</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5.保险方案</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保险方案详见第六章《分项价格表》，供应商需充分响应并不得低于本磋商文件的分项价格表方案，各供应商的保险责任范围、赔偿金额、赔付比例不得低于分项价格表标准。</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分项价格表的基础条款为基本要求，不作为评分标准中计算分数。</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6.保险条款</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保险条款名称应以保险人向监管机构报备的条款名称为准，所用条款须充分响应本采购文件要求的保险责任；若有差异，需在差异表中体现，并自行履行条款报备手续。</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7.保险合同</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1</w:t>
      </w:r>
      <w:r>
        <w:rPr>
          <w:rFonts w:ascii="仿宋" w:hAnsi="仿宋" w:eastAsia="仿宋" w:cs="仿宋"/>
          <w:color w:val="000000"/>
          <w:sz w:val="24"/>
          <w:szCs w:val="24"/>
          <w:highlight w:val="none"/>
          <w:lang w:val="en-US" w:eastAsia="zh-CN" w:bidi="ar-SA"/>
        </w:rPr>
        <w:t xml:space="preserve">本采购文件与保险单、批单、书面询问/答疑文件、双方往来函电等共同构成保险合同。</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t xml:space="preserve">合同文件视为一个整体，相互说明、互为补充。条文含义不明确时，按《中华人民共和国保险法》有关规定办理；文件间矛盾时，以本采购合同为准。</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t xml:space="preserve">保险人对条款的解释仅为单方理解，争议或歧义的裁决应按保险法规定做出有利于被保险人的解释；若仍有争议，以法院裁决为准。但本条约定并不排斥双方平等协商解决争议的原则。</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四</w:t>
      </w:r>
      <w:r>
        <w:rPr>
          <w:rFonts w:ascii="仿宋" w:hAnsi="仿宋" w:eastAsia="仿宋" w:cs="仿宋"/>
          <w:color w:val="000000"/>
          <w:sz w:val="24"/>
          <w:szCs w:val="24"/>
          <w:highlight w:val="none"/>
          <w:lang w:val="en-US" w:eastAsia="zh-CN" w:bidi="ar-SA"/>
        </w:rPr>
        <w:t xml:space="preserve">、项目要求</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1.专项服务团队</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必须在签订合同前建立</w:t>
      </w:r>
      <w:r>
        <w:rPr>
          <w:rFonts w:hint="eastAsia" w:ascii="仿宋" w:hAnsi="仿宋" w:eastAsia="仿宋" w:cs="仿宋"/>
          <w:color w:val="000000"/>
          <w:sz w:val="24"/>
          <w:szCs w:val="24"/>
          <w:highlight w:val="none"/>
          <w:lang w:val="en-US" w:eastAsia="zh-CN" w:bidi="ar-SA"/>
        </w:rPr>
        <w:t xml:space="preserve">专职服务专员</w:t>
      </w:r>
      <w:r>
        <w:rPr>
          <w:rFonts w:ascii="仿宋" w:hAnsi="仿宋" w:eastAsia="仿宋" w:cs="仿宋"/>
          <w:color w:val="000000"/>
          <w:sz w:val="24"/>
          <w:szCs w:val="24"/>
          <w:highlight w:val="none"/>
          <w:lang w:val="en-US" w:eastAsia="zh-CN" w:bidi="ar-SA"/>
        </w:rPr>
        <w:t xml:space="preserve">，指定专人负责，形成完善的规章制度和服务体系，以便为服务对象办理承保、理赔、保费结算、投保信息汇总等业务。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除承保服务专员外，其余服务专员及其联系方式皆放入宣传彩页中，不接受中标后修改，如有改动，修改人员不得低于响应文件服务专员的工作年限，以盖章劳动合同为准，未提供不得修改。</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若服务专员被投诉3次及以上，中标供应商需及时更换人员，更换人员不得低于响应文件服务专员的工作年限，以盖章劳动合同为准。</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2.承保服务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2.1投保单位提供投保清单（含：老年人姓名、身份证号码、地址、电话）。</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2.2为确保项目的高效的正常运行，成交供应商尽量让投保单位一次性盖章，避免多次盖章或后补资料盖章。</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3.理赔服务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3.1基本原则：保险人不得以任何理由推卸、拖延和拒绝被保险人索赔要求，除非有合理和足够的证据证明，否则其行为构成违约并须承担违约责任；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3.2保险人在开展理赔调查时，应指导被保险人提供理赔所需相关佐证材料，对于虽经被保险人努力仍无法完成的证据/证明材料提交工作，保险人须予以帮助并不得以此为由推卸、拖延和拒绝履行合同责任。</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3.3保险公司接到保险对象的理赔申请后，对材料齐全、事实清楚，确属保险责任范围的，应在30天内赔付保险金；</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3.4对不属于保险责任范围理赔案件，下发拒赔通知书时应对被保险人做好解释及安抚工作，避免投诉闹访事件。</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3.5死亡、伤残、医疗费用等原始凭证在社会医疗保险机构处理赔偿时已经留档不能分割的，该原始凭证复印件在本项目理赔时可用作依据凭证。</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3.6中标供应商应在六合区设立理赔地址，不允许中标后修改，直接纳入宣传彩页中。</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3.7中标供应商每季度10日前将每笔理赔案件的详细理赔清单发送至采购人邮箱备查（至少包括：地区、保险名称、年度、保单号、保额、投保人、被保险人、参保人姓名、身份证号码、家庭地址、申请人、手机号、报案日期、出险日期、结案日期、赔付金额、出险经过[出险经过字段要求对应保障名称，例如意外住院、疾病住院、意外住院津贴]、出险地点）。调取理赔资料为采购人的权利，成交供应商不得要求采购人在调取理赔资料时另外向成交供应商签章。若成交供应商不配合提供或提供资料不全或提供虚假理赔，其行为构成违约并承担相应的法律责任。</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t xml:space="preserve">宣传</w:t>
      </w:r>
      <w:r>
        <w:rPr>
          <w:rFonts w:hint="eastAsia" w:ascii="仿宋" w:hAnsi="仿宋" w:eastAsia="仿宋" w:cs="仿宋"/>
          <w:color w:val="000000"/>
          <w:sz w:val="24"/>
          <w:szCs w:val="24"/>
          <w:highlight w:val="none"/>
          <w:lang w:val="en-US" w:eastAsia="zh-CN" w:bidi="ar-SA"/>
        </w:rPr>
        <w:t xml:space="preserve">培训</w:t>
      </w:r>
      <w:r>
        <w:rPr>
          <w:rFonts w:ascii="仿宋" w:hAnsi="仿宋" w:eastAsia="仿宋" w:cs="仿宋"/>
          <w:color w:val="000000"/>
          <w:sz w:val="24"/>
          <w:szCs w:val="24"/>
          <w:highlight w:val="none"/>
          <w:lang w:val="en-US" w:eastAsia="zh-CN" w:bidi="ar-SA"/>
        </w:rPr>
        <w:t xml:space="preserve">服务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4.1供应商充分运用各类媒体手段和宣传平台，面向全社会开展宣传活动，引导全社会正确认识老年人意外伤害保险。通过广泛宣传，持续提升老年人意外保险赔付率，惠及更多的老年群体。并定期整理典型案例，扩大宣传力度，使被保险人对投保事项知情率达100%</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4.2印制足够数量的《老年人意外伤害宣传彩页和保险告知书》（包括保险方案、保险责任、赔付流程及所需材料、理赔地址、咨询电话等），实现宣传全覆盖。</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4.3成交供应商要积极开展其他形式的宣传工作，一是在每个街道每年现场宣传不少于2次；二是积极做好典型理赔案例的宣传工作。</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4.4根据采购人要求，开展相关宣传活动。</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4.5成交供应商应对自己的服务专员、投保单位及被保险人进行保险专项培训。</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5.合</w:t>
      </w:r>
      <w:r>
        <w:rPr>
          <w:rFonts w:ascii="仿宋" w:hAnsi="仿宋" w:eastAsia="仿宋" w:cs="仿宋"/>
          <w:color w:val="000000"/>
          <w:sz w:val="24"/>
          <w:szCs w:val="24"/>
          <w:highlight w:val="none"/>
          <w:lang w:val="en-US" w:eastAsia="zh-CN" w:bidi="ar-SA"/>
        </w:rPr>
        <w:t xml:space="preserve">同终止后的递补与重新</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机制</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5.1</w:t>
      </w:r>
      <w:r>
        <w:rPr>
          <w:rFonts w:ascii="仿宋" w:hAnsi="仿宋" w:eastAsia="仿宋" w:cs="仿宋"/>
          <w:color w:val="000000"/>
          <w:sz w:val="24"/>
          <w:szCs w:val="24"/>
          <w:highlight w:val="none"/>
          <w:lang w:val="en-US" w:eastAsia="zh-CN" w:bidi="ar-SA"/>
        </w:rPr>
        <w:t xml:space="preserve">合同终止条件</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若</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违反合同约定或发生严重损害被保险人权益的行为，且合同的继续履行将损害国家利益或社会公共利益，采购人有权提前终止或解除合同，并依法追究其违约责任。</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5.2</w:t>
      </w:r>
      <w:r>
        <w:rPr>
          <w:rFonts w:ascii="仿宋" w:hAnsi="仿宋" w:eastAsia="仿宋" w:cs="仿宋"/>
          <w:color w:val="000000"/>
          <w:sz w:val="24"/>
          <w:szCs w:val="24"/>
          <w:highlight w:val="none"/>
          <w:lang w:val="en-US" w:eastAsia="zh-CN" w:bidi="ar-SA"/>
        </w:rPr>
        <w:t xml:space="preserve">递补机制</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合同终止后，若第二名候选单位符合资质，采购人可决定由其递补服务</w:t>
      </w: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递补单位需与</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办理相关交接手续，确保服务无缝衔接。</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5.3</w:t>
      </w:r>
      <w:r>
        <w:rPr>
          <w:rFonts w:ascii="仿宋" w:hAnsi="仿宋" w:eastAsia="仿宋" w:cs="仿宋"/>
          <w:color w:val="000000"/>
          <w:sz w:val="24"/>
          <w:szCs w:val="24"/>
          <w:highlight w:val="none"/>
          <w:lang w:val="en-US" w:eastAsia="zh-CN" w:bidi="ar-SA"/>
        </w:rPr>
        <w:t xml:space="preserve">重新</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条件</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若</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及递补单位均因严重违约行为导致合同终止，采购人有权重新启动</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程序。</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五</w:t>
      </w:r>
      <w:r>
        <w:rPr>
          <w:rFonts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t xml:space="preserve">其他</w:t>
      </w:r>
      <w:r>
        <w:rPr>
          <w:rFonts w:ascii="仿宋" w:hAnsi="仿宋" w:eastAsia="仿宋" w:cs="仿宋"/>
          <w:color w:val="000000"/>
          <w:sz w:val="24"/>
          <w:szCs w:val="24"/>
          <w:highlight w:val="none"/>
          <w:lang w:val="en-US" w:eastAsia="zh-CN" w:bidi="ar-SA"/>
        </w:rPr>
        <w:t xml:space="preserve">要求</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lang w:val="en-US" w:eastAsia="zh-CN" w:bidi="ar-SA"/>
        </w:rPr>
        <w:t xml:space="preserve">成交供应商</w:t>
      </w:r>
      <w:r>
        <w:rPr>
          <w:rFonts w:ascii="仿宋" w:hAnsi="仿宋" w:eastAsia="仿宋" w:cs="仿宋"/>
          <w:color w:val="000000"/>
          <w:sz w:val="24"/>
          <w:szCs w:val="24"/>
          <w:highlight w:val="none"/>
          <w:lang w:val="en-US" w:eastAsia="zh-CN" w:bidi="ar-SA"/>
        </w:rPr>
        <w:t xml:space="preserve">须严格执行国家相关</w:t>
      </w:r>
      <w:r>
        <w:rPr>
          <w:rFonts w:hint="eastAsia" w:ascii="仿宋" w:hAnsi="仿宋" w:eastAsia="仿宋" w:cs="仿宋"/>
          <w:color w:val="000000"/>
          <w:sz w:val="24"/>
          <w:szCs w:val="24"/>
          <w:highlight w:val="none"/>
          <w:lang w:val="en-US" w:eastAsia="zh-CN" w:bidi="ar-SA"/>
        </w:rPr>
        <w:t xml:space="preserve">法律法规、监管规定、行业准则以及公司章程、相关规章制度等</w:t>
      </w:r>
      <w:r>
        <w:rPr>
          <w:rFonts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2.服务响应义务：在有效期限内，按</w:t>
      </w:r>
      <w:r>
        <w:rPr>
          <w:rFonts w:hint="eastAsia" w:ascii="仿宋" w:hAnsi="仿宋" w:eastAsia="仿宋" w:cs="仿宋"/>
          <w:color w:val="000000"/>
          <w:sz w:val="24"/>
          <w:szCs w:val="24"/>
          <w:highlight w:val="none"/>
          <w:lang w:val="en-US" w:eastAsia="zh-CN" w:bidi="ar-SA"/>
        </w:rPr>
        <w:t xml:space="preserve">响应文件</w:t>
      </w:r>
      <w:r>
        <w:rPr>
          <w:rFonts w:ascii="仿宋" w:hAnsi="仿宋" w:eastAsia="仿宋" w:cs="仿宋"/>
          <w:color w:val="000000"/>
          <w:sz w:val="24"/>
          <w:szCs w:val="24"/>
          <w:highlight w:val="none"/>
          <w:lang w:val="en-US" w:eastAsia="zh-CN" w:bidi="ar-SA"/>
        </w:rPr>
        <w:t xml:space="preserve">承诺提供服务，除不可抗力外，不得拒绝服务响应。</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3.优先服务与程序合规：保证被保险人获得优先服务的权利，并严格按照</w:t>
      </w:r>
      <w:r>
        <w:rPr>
          <w:rFonts w:hint="eastAsia" w:ascii="仿宋" w:hAnsi="仿宋" w:eastAsia="仿宋" w:cs="仿宋"/>
          <w:color w:val="000000"/>
          <w:sz w:val="24"/>
          <w:szCs w:val="24"/>
          <w:highlight w:val="none"/>
          <w:lang w:val="en-US" w:eastAsia="zh-CN" w:bidi="ar-SA"/>
        </w:rPr>
        <w:t xml:space="preserve">监管</w:t>
      </w:r>
      <w:r>
        <w:rPr>
          <w:rFonts w:ascii="仿宋" w:hAnsi="仿宋" w:eastAsia="仿宋" w:cs="仿宋"/>
          <w:color w:val="000000"/>
          <w:sz w:val="24"/>
          <w:szCs w:val="24"/>
          <w:highlight w:val="none"/>
          <w:lang w:val="en-US" w:eastAsia="zh-CN" w:bidi="ar-SA"/>
        </w:rPr>
        <w:t xml:space="preserve">部门规定的投保程序、许可范围及必需手续完成保险服务。</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4.财务与发票：为采购人开具合法发票，实行支票结算，并按规范核算要求进行财务核算。</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t xml:space="preserve">.服务态度与效率：以优良服务态度提供便利、快捷的上门服务，尽快响应投保、索赔要求。</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lang w:val="en-US" w:eastAsia="zh-CN" w:bidi="ar-SA"/>
        </w:rPr>
        <w:t xml:space="preserve">6.特殊情况处理：在理赔过程中遇特殊情况，应尽力与被保险人协商，妥善处理，维护其利益。</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7</w:t>
      </w:r>
      <w:r>
        <w:rPr>
          <w:rFonts w:ascii="仿宋" w:hAnsi="仿宋" w:eastAsia="仿宋" w:cs="仿宋"/>
          <w:color w:val="000000"/>
          <w:sz w:val="24"/>
          <w:szCs w:val="24"/>
          <w:highlight w:val="none"/>
          <w:lang w:val="en-US" w:eastAsia="zh-CN" w:bidi="ar-SA"/>
        </w:rPr>
        <w:t xml:space="preserve">.服务质量改进：及时处理承保、理赔过程中出现的服务质量及其他问题。</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8</w:t>
      </w:r>
      <w:r>
        <w:rPr>
          <w:rFonts w:ascii="仿宋" w:hAnsi="仿宋" w:eastAsia="仿宋" w:cs="仿宋"/>
          <w:color w:val="000000"/>
          <w:sz w:val="24"/>
          <w:szCs w:val="24"/>
          <w:highlight w:val="none"/>
          <w:lang w:val="en-US" w:eastAsia="zh-CN" w:bidi="ar-SA"/>
        </w:rPr>
        <w:t xml:space="preserve">.廉政教育支持：协助有关部门做好经办人员的廉政教育工作，防止腐败现象。</w:t>
      </w:r>
      <w:r/>
    </w:p>
    <w:p>
      <w:pPr>
        <w:ind w:left="0" w:firstLine="480"/>
        <w:jc w:val="both"/>
        <w:pageBreakBefore w:val="0"/>
        <w:spacing w:line="360" w:lineRule="auto"/>
        <w:widowControl w:val="off"/>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9</w:t>
      </w:r>
      <w:r>
        <w:rPr>
          <w:rFonts w:ascii="仿宋" w:hAnsi="仿宋" w:eastAsia="仿宋" w:cs="仿宋"/>
          <w:color w:val="000000"/>
          <w:sz w:val="24"/>
          <w:szCs w:val="24"/>
          <w:highlight w:val="none"/>
          <w:lang w:val="en-US" w:eastAsia="zh-CN" w:bidi="ar-SA"/>
        </w:rPr>
        <w:t xml:space="preserve">.接受监督检查：主动配合有关部门的专项检查和抽查</w:t>
      </w:r>
      <w:r>
        <w:rPr>
          <w:rFonts w:hint="eastAsia" w:ascii="仿宋" w:hAnsi="仿宋" w:eastAsia="仿宋" w:cs="仿宋"/>
          <w:color w:val="000000"/>
          <w:sz w:val="24"/>
          <w:szCs w:val="24"/>
          <w:highlight w:val="none"/>
          <w:lang w:val="en-US" w:eastAsia="zh-CN" w:bidi="ar-SA"/>
        </w:rPr>
        <w:t xml:space="preserve">。</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10.</w:t>
      </w:r>
      <w:r>
        <w:rPr>
          <w:rFonts w:ascii="仿宋" w:hAnsi="仿宋" w:eastAsia="仿宋" w:cs="仿宋"/>
          <w:color w:val="000000"/>
          <w:sz w:val="24"/>
          <w:szCs w:val="24"/>
          <w:highlight w:val="none"/>
          <w:lang w:val="en-US" w:eastAsia="zh-CN" w:bidi="ar-SA"/>
        </w:rPr>
        <w:t xml:space="preserve">见</w:t>
      </w:r>
      <w:r>
        <w:rPr>
          <w:rFonts w:hint="eastAsia" w:ascii="仿宋" w:hAnsi="仿宋" w:eastAsia="仿宋" w:cs="仿宋"/>
          <w:color w:val="000000"/>
          <w:sz w:val="24"/>
          <w:szCs w:val="24"/>
          <w:highlight w:val="none"/>
          <w:lang w:val="en-US" w:eastAsia="zh-CN" w:bidi="ar-SA"/>
        </w:rPr>
        <w:t xml:space="preserve">磋商</w:t>
      </w:r>
      <w:r>
        <w:rPr>
          <w:rFonts w:ascii="仿宋" w:hAnsi="仿宋" w:eastAsia="仿宋" w:cs="仿宋"/>
          <w:color w:val="000000"/>
          <w:sz w:val="24"/>
          <w:szCs w:val="24"/>
          <w:highlight w:val="none"/>
          <w:lang w:val="en-US" w:eastAsia="zh-CN" w:bidi="ar-SA"/>
        </w:rPr>
        <w:t xml:space="preserve">文件</w:t>
      </w:r>
      <w:r>
        <w:rPr>
          <w:rFonts w:hint="eastAsia" w:ascii="仿宋" w:hAnsi="仿宋" w:eastAsia="仿宋" w:cs="仿宋"/>
          <w:color w:val="000000"/>
          <w:sz w:val="24"/>
          <w:szCs w:val="24"/>
          <w:highlight w:val="none"/>
          <w:lang w:val="en-US" w:eastAsia="zh-CN" w:bidi="ar-SA"/>
        </w:rPr>
        <w:t xml:space="preserve">第三章</w:t>
      </w:r>
      <w:r>
        <w:rPr>
          <w:rFonts w:ascii="仿宋" w:hAnsi="仿宋" w:eastAsia="仿宋" w:cs="仿宋"/>
          <w:color w:val="000000"/>
          <w:sz w:val="24"/>
          <w:szCs w:val="24"/>
          <w:highlight w:val="none"/>
          <w:lang w:val="en-US" w:eastAsia="zh-CN" w:bidi="ar-SA"/>
        </w:rPr>
        <w:t xml:space="preserve">《拟签订的合同文本》。</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t xml:space="preserve">本项目要求为不允许偏离的实质性要求和条件，如有偏离，在符合性审查时按照无效处理。</w:t>
      </w:r>
      <w:r/>
    </w:p>
    <w:p>
      <w:pPr>
        <w:ind w:left="0" w:firstLine="480"/>
        <w:jc w:val="both"/>
        <w:pageBreakBefore w:val="0"/>
        <w:spacing w:line="360" w:lineRule="auto"/>
        <w:widowControl w:val="off"/>
        <w:rPr>
          <w:rFonts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bidi="ar-SA"/>
        </w:rPr>
        <w:t xml:space="preserve">附件</w:t>
      </w:r>
      <w:r/>
    </w:p>
    <w:p>
      <w:pPr>
        <w:ind w:right="0"/>
        <w:jc w:val="left"/>
        <w:keepLines w:val="0"/>
        <w:keepNext w:val="0"/>
        <w:spacing w:before="120" w:beforeAutospacing="0" w:after="120" w:afterAutospacing="0" w:line="360" w:lineRule="auto"/>
        <w:widowControl w:val="off"/>
        <w:rPr>
          <w:rFonts w:ascii="仿宋" w:hAnsi="仿宋" w:eastAsia="仿宋" w:cs="Times New Roman"/>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2" w:name="_Toc16492_WPSOffice_Level1"/>
      <w:r/>
      <w:bookmarkStart w:id="53" w:name="_Toc5230"/>
      <w:r/>
      <w:bookmarkStart w:id="54" w:name="_Toc32645"/>
      <w:r/>
      <w:bookmarkStart w:id="55" w:name="_Toc27472"/>
      <w:r/>
      <w:bookmarkStart w:id="56" w:name="_Toc13480"/>
      <w:r>
        <w:rPr>
          <w:rFonts w:ascii="仿宋" w:hAnsi="仿宋" w:eastAsia="仿宋" w:cs="Times New Roman"/>
          <w:b/>
          <w:bCs/>
          <w:color w:val="000000"/>
          <w:sz w:val="30"/>
          <w:szCs w:val="3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2662555</wp:posOffset>
                </wp:positionH>
                <wp:positionV relativeFrom="paragraph">
                  <wp:posOffset>59055</wp:posOffset>
                </wp:positionV>
                <wp:extent cx="3056255" cy="4319905"/>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6"/>
                        <a:stretch/>
                      </pic:blipFill>
                      <pic:spPr bwMode="auto">
                        <a:xfrm>
                          <a:off x="0" y="0"/>
                          <a:ext cx="3056255" cy="431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09.6pt;mso-position-horizontal:absolute;mso-position-vertical-relative:text;margin-top:4.6pt;mso-position-vertical:absolute;width:240.6pt;height:340.1pt;mso-wrap-distance-left:9.0pt;mso-wrap-distance-top:0.0pt;mso-wrap-distance-right:9.0pt;mso-wrap-distance-bottom:0.0pt;" stroked="f">
                <v:path textboxrect="0,0,0,0"/>
                <v:imagedata r:id="rId16" o:title=""/>
              </v:shape>
            </w:pict>
          </mc:Fallback>
        </mc:AlternateContent>
      </w:r>
      <w:r>
        <w:rPr>
          <w:rFonts w:ascii="仿宋" w:hAnsi="仿宋" w:eastAsia="仿宋" w:cs="Times New Roman"/>
          <w:b/>
          <w:bCs/>
          <w:color w:val="000000"/>
          <w:sz w:val="30"/>
          <w:szCs w:val="3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-19685</wp:posOffset>
                </wp:positionH>
                <wp:positionV relativeFrom="paragraph">
                  <wp:posOffset>76200</wp:posOffset>
                </wp:positionV>
                <wp:extent cx="3056255" cy="4319905"/>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7"/>
                        <a:stretch/>
                      </pic:blipFill>
                      <pic:spPr bwMode="auto">
                        <a:xfrm>
                          <a:off x="0" y="0"/>
                          <a:ext cx="3056255" cy="431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0;o:allowoverlap:true;o:allowincell:true;mso-position-horizontal-relative:text;margin-left:-1.5pt;mso-position-horizontal:absolute;mso-position-vertical-relative:text;margin-top:6.0pt;mso-position-vertical:absolute;width:240.6pt;height:340.1pt;mso-wrap-distance-left:9.0pt;mso-wrap-distance-top:0.0pt;mso-wrap-distance-right:9.0pt;mso-wrap-distance-bottom:0.0pt;" stroked="f">
                <v:path textboxrect="0,0,0,0"/>
                <v:imagedata r:id="rId17" o:title=""/>
              </v:shape>
            </w:pict>
          </mc:Fallback>
        </mc:AlternateContent>
      </w:r>
      <w:r/>
    </w:p>
    <w:p>
      <w:pPr>
        <w:ind w:right="0"/>
        <w:jc w:val="center"/>
        <w:keepLines w:val="0"/>
        <w:keepNext w:val="0"/>
        <w:spacing w:before="120" w:beforeAutospacing="0" w:after="120" w:afterAutospacing="0" w:line="360" w:lineRule="auto"/>
        <w:widowControl w:val="off"/>
        <w:rPr>
          <w:rFonts w:ascii="仿宋" w:hAnsi="仿宋" w:eastAsia="仿宋" w:cs="Times New Roman"/>
          <w:b/>
          <w:bCs/>
          <w:color w:val="000000"/>
          <w:sz w:val="30"/>
          <w:szCs w:val="30"/>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Times New Roman"/>
          <w:b/>
          <w:bCs/>
          <w:color w:val="000000"/>
          <w:sz w:val="30"/>
          <w:szCs w:val="30"/>
          <w:lang w:val="en-US" w:eastAsia="zh-CN" w:bidi="ar-SA"/>
        </w:rPr>
      </w:r>
      <w:r/>
    </w:p>
    <w:p>
      <w:pPr>
        <w:numPr>
          <w:ilvl w:val="0"/>
          <w:numId w:val="0"/>
        </w:numPr>
        <w:ind w:right="0"/>
        <w:jc w:val="center"/>
        <w:keepLines w:val="0"/>
        <w:keepNext w:val="0"/>
        <w:pageBreakBefore/>
        <w:spacing w:before="340" w:after="330" w:line="240" w:lineRule="auto"/>
        <w:widowControl w:val="off"/>
        <w:rPr>
          <w:rFonts w:ascii="仿宋" w:hAnsi="仿宋" w:eastAsia="仿宋" w:cs="仿宋"/>
          <w:b/>
          <w:color w:val="000000"/>
          <w:sz w:val="44"/>
          <w:szCs w:val="20"/>
          <w:highlight w:val="none"/>
          <w:lang w:val="en-US" w:eastAsia="zh-CN" w:bidi="ar-SA"/>
        </w:rPr>
        <w:outlineLvl w:val="0"/>
      </w:pPr>
      <w:r>
        <w:rPr>
          <w:rFonts w:ascii="仿宋" w:hAnsi="仿宋" w:eastAsia="仿宋" w:cs="仿宋"/>
          <w:b/>
          <w:color w:val="000000"/>
          <w:sz w:val="44"/>
          <w:szCs w:val="20"/>
          <w:highlight w:val="none"/>
          <w:lang w:val="en-US" w:eastAsia="zh-CN" w:bidi="ar-SA"/>
        </w:rPr>
        <w:t xml:space="preserve">第五</w:t>
      </w:r>
      <w:r>
        <w:rPr>
          <w:rFonts w:hint="eastAsia" w:ascii="仿宋" w:hAnsi="仿宋" w:eastAsia="仿宋" w:cs="仿宋"/>
          <w:b/>
          <w:color w:val="000000"/>
          <w:sz w:val="44"/>
          <w:szCs w:val="20"/>
          <w:highlight w:val="none"/>
          <w:lang w:val="en-US" w:eastAsia="zh-CN" w:bidi="ar-SA"/>
        </w:rPr>
        <w:t xml:space="preserve">章</w:t>
      </w:r>
      <w:r>
        <w:rPr>
          <w:rFonts w:ascii="仿宋" w:hAnsi="仿宋" w:eastAsia="仿宋" w:cs="仿宋"/>
          <w:b/>
          <w:color w:val="000000"/>
          <w:sz w:val="44"/>
          <w:szCs w:val="20"/>
          <w:highlight w:val="none"/>
          <w:lang w:val="en-US" w:eastAsia="zh-CN" w:bidi="ar-SA"/>
        </w:rPr>
        <w:t xml:space="preserve"> 评审方法与评审标准</w:t>
      </w:r>
      <w:r/>
    </w:p>
    <w:p>
      <w:pPr>
        <w:numPr>
          <w:ilvl w:val="0"/>
          <w:numId w:val="0"/>
        </w:numPr>
        <w:ind w:left="200" w:firstLine="482"/>
        <w:jc w:val="both"/>
        <w:keepLines w:val="0"/>
        <w:keepNext w:val="0"/>
        <w:pageBreakBefore w:val="0"/>
        <w:spacing w:after="0"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一、评审方法</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采用综合评分法，对满足磋商文件全部实质性要求的响应文件按评审因素的量化指标评审总分对供应商进行排序。</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应采购人要求，本项目为固定采购金额，不计得分。磋商小组成员采用综合评分法独立对提交报价的供应商的响应文件进行综合评分。</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磋商小组按照评审总分由高到低顺序推荐3名成交候选供应商，并编写评审报告。</w:t>
      </w:r>
      <w:r>
        <w:rPr>
          <w:rFonts w:hint="eastAsia" w:ascii="仿宋" w:hAnsi="仿宋" w:eastAsia="仿宋" w:cs="仿宋"/>
          <w:b w:val="0"/>
          <w:bCs w:val="0"/>
          <w:color w:val="000000"/>
          <w:sz w:val="24"/>
          <w:szCs w:val="24"/>
          <w:highlight w:val="none"/>
          <w:lang w:val="en-US" w:eastAsia="zh-CN" w:bidi="ar-SA"/>
        </w:rPr>
        <w:t xml:space="preserve">评审得分相同的，按照“技术、商务部分”得分由高到低顺序推荐。</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rPr>
          <w:rFonts w:hint="eastAsia" w:ascii="仿宋" w:hAnsi="仿宋" w:eastAsia="仿宋" w:cs="仿宋"/>
          <w:b w:val="0"/>
          <w:bCs w:val="0"/>
          <w:color w:val="000000"/>
          <w:sz w:val="24"/>
          <w:szCs w:val="24"/>
          <w:highlight w:val="none"/>
          <w:lang w:val="en-US" w:eastAsia="zh-CN" w:bidi="ar-SA"/>
        </w:rPr>
        <w:t xml:space="preserve">综合评分保留至小数点后两位。</w:t>
      </w:r>
      <w:r/>
    </w:p>
    <w:p>
      <w:pPr>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二、详细评审</w:t>
      </w:r>
      <w:r/>
    </w:p>
    <w:p>
      <w:pPr>
        <w:numPr>
          <w:ilvl w:val="0"/>
          <w:numId w:val="0"/>
        </w:numPr>
        <w:ind w:firstLine="480"/>
        <w:jc w:val="both"/>
        <w:keepLines w:val="0"/>
        <w:keepNext w:val="0"/>
        <w:pageBreakBefore w:val="0"/>
        <w:spacing w:line="360" w:lineRule="auto"/>
        <w:widowControl w:val="off"/>
        <w:rPr>
          <w:color w:val="000000"/>
          <w:lang w:val="en-US" w:eastAsia="zh-CN"/>
        </w:rPr>
      </w:pPr>
      <w:r>
        <w:rPr>
          <w:rFonts w:hint="eastAsia" w:ascii="仿宋" w:hAnsi="仿宋" w:eastAsia="仿宋" w:cs="仿宋"/>
          <w:color w:val="000000"/>
          <w:sz w:val="24"/>
          <w:szCs w:val="24"/>
          <w:lang w:val="en-US" w:eastAsia="zh-CN" w:bidi="ar-SA"/>
        </w:rPr>
        <w:t xml:space="preserve">磋商小组按照竞争性磋商文件规定的评分标准，对各响应文件进行详细评审打分。磋商小组组长对各评审专家的打分情况进行复核无误后汇总。</w:t>
      </w:r>
      <w:r/>
    </w:p>
    <w:tbl>
      <w:tblPr>
        <w:tblStyle w:val="745"/>
        <w:tblpPr w:horzAnchor="text" w:tblpXSpec="center" w:vertAnchor="text" w:tblpY="1" w:leftFromText="180" w:topFromText="0" w:rightFromText="180" w:bottomFromText="0"/>
        <w:tblW w:w="8736"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3"/>
        <w:gridCol w:w="1478"/>
        <w:gridCol w:w="5424"/>
        <w:gridCol w:w="931"/>
      </w:tblGrid>
      <w:tr>
        <w:trPr>
          <w:jc w:val="center"/>
          <w:trHeight w:val="717"/>
        </w:trPr>
        <w:tc>
          <w:tcPr>
            <w:tcW w:w="903" w:type="dxa"/>
            <w:vAlign w:val="center"/>
            <w:textDirection w:val="lrTb"/>
            <w:noWrap w:val="false"/>
          </w:tcPr>
          <w:p>
            <w:pPr>
              <w:jc w:val="center"/>
              <w:widowControl/>
              <w:rPr>
                <w:rFonts w:ascii="仿宋" w:hAnsi="仿宋" w:eastAsia="仿宋" w:cs="Times New Roman"/>
                <w:color w:val="000000"/>
                <w:sz w:val="24"/>
                <w:szCs w:val="24"/>
                <w:lang w:val="en-US" w:eastAsia="zh-CN" w:bidi="ar-SA"/>
              </w:rPr>
            </w:pPr>
            <w:r/>
            <w:bookmarkStart w:id="57" w:name="_Toc30342_WPSOffice_Level1"/>
            <w:r/>
            <w:bookmarkStart w:id="58" w:name="_Toc726"/>
            <w:r/>
            <w:bookmarkStart w:id="59" w:name="_Toc13930"/>
            <w:r/>
            <w:bookmarkStart w:id="60" w:name="_Toc12181"/>
            <w:r/>
            <w:bookmarkStart w:id="61" w:name="_Toc16222"/>
            <w:r>
              <w:rPr>
                <w:rFonts w:hint="eastAsia" w:ascii="仿宋" w:hAnsi="仿宋" w:eastAsia="仿宋" w:cs="Times New Roman"/>
                <w:color w:val="000000"/>
                <w:sz w:val="24"/>
                <w:szCs w:val="24"/>
                <w:lang w:val="en-US" w:eastAsia="zh-CN" w:bidi="ar-SA"/>
              </w:rPr>
              <w:t xml:space="preserve">编号</w:t>
            </w:r>
            <w:r/>
          </w:p>
        </w:tc>
        <w:tc>
          <w:tcPr>
            <w:tcW w:w="1478" w:type="dxa"/>
            <w:vAlign w:val="center"/>
            <w:textDirection w:val="lrTb"/>
            <w:noWrap w:val="false"/>
          </w:tcPr>
          <w:p>
            <w:pPr>
              <w:jc w:val="center"/>
              <w:widowControl/>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评审因素</w:t>
            </w:r>
            <w:r/>
          </w:p>
        </w:tc>
        <w:tc>
          <w:tcPr>
            <w:tcW w:w="5424"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评审细则</w:t>
            </w:r>
            <w:r/>
          </w:p>
        </w:tc>
        <w:tc>
          <w:tcPr>
            <w:tcW w:w="931"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分值</w:t>
            </w:r>
            <w:r/>
          </w:p>
        </w:tc>
      </w:tr>
      <w:tr>
        <w:trPr>
          <w:jc w:val="center"/>
          <w:trHeight w:val="2094"/>
        </w:trPr>
        <w:tc>
          <w:tcPr>
            <w:tcW w:w="903" w:type="dxa"/>
            <w:vAlign w:val="center"/>
            <w:textDirection w:val="lrTb"/>
            <w:noWrap w:val="false"/>
          </w:tcPr>
          <w:p>
            <w:pPr>
              <w:jc w:val="center"/>
              <w:widowControl/>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w:t>
            </w:r>
            <w:r/>
          </w:p>
        </w:tc>
        <w:tc>
          <w:tcPr>
            <w:tcW w:w="1478" w:type="dxa"/>
            <w:vAlign w:val="center"/>
            <w:textDirection w:val="lrTb"/>
            <w:noWrap w:val="false"/>
          </w:tcPr>
          <w:p>
            <w:pPr>
              <w:jc w:val="center"/>
              <w:widowControl w:val="off"/>
              <w:rPr>
                <w:rFonts w:ascii="仿宋" w:hAnsi="仿宋" w:eastAsia="仿宋" w:cs="Times New Roman"/>
                <w:b w:val="0"/>
                <w:bCs w:val="0"/>
                <w:color w:val="000000"/>
                <w:sz w:val="24"/>
                <w:szCs w:val="24"/>
                <w:lang w:val="en-US" w:eastAsia="zh-CN" w:bidi="ar-SA"/>
              </w:rPr>
            </w:pPr>
            <w:r>
              <w:rPr>
                <w:rFonts w:ascii="仿宋" w:hAnsi="仿宋" w:eastAsia="仿宋" w:cs="Times New Roman"/>
                <w:b w:val="0"/>
                <w:bCs w:val="0"/>
                <w:color w:val="000000"/>
                <w:sz w:val="24"/>
                <w:szCs w:val="24"/>
                <w:lang w:val="en-US" w:eastAsia="zh-CN" w:bidi="ar-SA"/>
              </w:rPr>
              <w:t xml:space="preserve">承保服务方案</w:t>
            </w:r>
            <w:r/>
          </w:p>
        </w:tc>
        <w:tc>
          <w:tcPr>
            <w:tcW w:w="5424" w:type="dxa"/>
            <w:vAlign w:val="center"/>
            <w:textDirection w:val="lrTb"/>
            <w:noWrap w:val="false"/>
          </w:tcPr>
          <w:p>
            <w:pPr>
              <w:jc w:val="left"/>
              <w:widowControl w:val="off"/>
              <w:rPr>
                <w:rFonts w:hint="eastAsia" w:ascii="仿宋" w:hAnsi="仿宋" w:eastAsia="仿宋" w:cs="仿宋"/>
                <w:b w:val="0"/>
                <w:bCs w:val="0"/>
                <w:color w:val="000000"/>
                <w:sz w:val="24"/>
                <w:szCs w:val="24"/>
                <w:lang w:val="en-US" w:eastAsia="zh-CN" w:bidi="ar-SA"/>
              </w:rPr>
            </w:pPr>
            <w:r/>
            <w:bookmarkStart w:id="62" w:name="OLE_LINK5"/>
            <w:r>
              <w:rPr>
                <w:rFonts w:hint="eastAsia" w:ascii="仿宋" w:hAnsi="仿宋" w:eastAsia="仿宋" w:cs="仿宋"/>
                <w:b w:val="0"/>
                <w:bCs w:val="0"/>
                <w:color w:val="000000"/>
                <w:sz w:val="24"/>
                <w:szCs w:val="24"/>
                <w:lang w:val="en-US" w:eastAsia="zh-CN" w:bidi="ar-SA"/>
              </w:rPr>
              <w:t xml:space="preserve">（1）根据投保单位保单实际生效时间和保费缴纳手续，方案包括不限于承保流程、承保业务管理、投保时效、完成时间（以出具保单和发票时间为准）。对内容的全面性、针对性、可行性进行评价。</w:t>
            </w:r>
            <w:r/>
          </w:p>
          <w:p>
            <w:pPr>
              <w:jc w:val="lef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p>
          <w:p>
            <w:pPr>
              <w:jc w:val="lef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p>
          <w:p>
            <w:pPr>
              <w:jc w:val="lef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可行性（4分）：符合实际切实可行得4分；较切实可行得3分;可行性欠缺得2分；不具有可行性得0分。</w:t>
            </w:r>
            <w:r/>
          </w:p>
          <w:p>
            <w:pPr>
              <w:jc w:val="lef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未提供的不得分。本项最高得12分，最低不得分。</w:t>
            </w:r>
            <w:r/>
          </w:p>
          <w:p>
            <w:pPr>
              <w:jc w:val="lef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（2）出单之前投保资料明确并附上投保资料，对内容的全面性、针对性进行评价。</w:t>
            </w:r>
            <w:r/>
          </w:p>
          <w:p>
            <w:pPr>
              <w:jc w:val="lef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p>
          <w:p>
            <w:pPr>
              <w:jc w:val="lef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p>
          <w:p>
            <w:pPr>
              <w:jc w:val="lef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未提供的不得分。本项最高得8分，最低不得分。</w:t>
            </w:r>
            <w:bookmarkEnd w:id="62"/>
            <w:r/>
            <w:r/>
          </w:p>
        </w:tc>
        <w:tc>
          <w:tcPr>
            <w:tcW w:w="931" w:type="dxa"/>
            <w:vAlign w:val="center"/>
            <w:textDirection w:val="lrTb"/>
            <w:noWrap w:val="false"/>
          </w:tcPr>
          <w:p>
            <w:pPr>
              <w:jc w:val="center"/>
              <w:widowControl w:val="off"/>
              <w:rPr>
                <w:rFonts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20</w:t>
            </w:r>
            <w:r/>
          </w:p>
        </w:tc>
      </w:tr>
      <w:tr>
        <w:trPr>
          <w:jc w:val="center"/>
          <w:trHeight w:val="2316"/>
        </w:trPr>
        <w:tc>
          <w:tcPr>
            <w:tcW w:w="903" w:type="dxa"/>
            <w:vAlign w:val="center"/>
            <w:textDirection w:val="lrTb"/>
            <w:noWrap w:val="false"/>
          </w:tcPr>
          <w:p>
            <w:pPr>
              <w:jc w:val="center"/>
              <w:widowControl/>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w:t>
            </w:r>
            <w:r/>
          </w:p>
        </w:tc>
        <w:tc>
          <w:tcPr>
            <w:tcW w:w="1478" w:type="dxa"/>
            <w:vAlign w:val="center"/>
            <w:textDirection w:val="lrTb"/>
            <w:noWrap w:val="false"/>
          </w:tcPr>
          <w:p>
            <w:pPr>
              <w:jc w:val="center"/>
              <w:widowControl w:val="off"/>
              <w:rPr>
                <w:rFonts w:hint="eastAsia" w:ascii="仿宋" w:hAnsi="仿宋" w:eastAsia="仿宋" w:cs="Times New Roman"/>
                <w:b w:val="0"/>
                <w:bCs w:val="0"/>
                <w:color w:val="000000"/>
                <w:sz w:val="24"/>
                <w:szCs w:val="24"/>
                <w:lang w:val="en-US" w:eastAsia="zh-CN" w:bidi="ar-SA"/>
              </w:rPr>
            </w:pPr>
            <w:r>
              <w:rPr>
                <w:rFonts w:ascii="仿宋" w:hAnsi="仿宋" w:eastAsia="仿宋" w:cs="Times New Roman"/>
                <w:b w:val="0"/>
                <w:bCs w:val="0"/>
                <w:color w:val="000000"/>
                <w:sz w:val="24"/>
                <w:szCs w:val="24"/>
                <w:lang w:val="en-US" w:eastAsia="zh-CN" w:bidi="ar-SA"/>
              </w:rPr>
              <w:t xml:space="preserve">理赔服务方案</w:t>
            </w:r>
            <w:r/>
          </w:p>
        </w:tc>
        <w:tc>
          <w:tcPr>
            <w:tcW w:w="5424" w:type="dxa"/>
            <w:vAlign w:val="center"/>
            <w:textDirection w:val="lrTb"/>
            <w:noWrap w:val="false"/>
          </w:tcPr>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（1）明确表述</w:t>
            </w:r>
            <w:r>
              <w:rPr>
                <w:rFonts w:hint="eastAsia" w:ascii="仿宋" w:hAnsi="仿宋" w:eastAsia="仿宋" w:cs="仿宋"/>
                <w:b w:val="0"/>
                <w:bCs w:val="0"/>
                <w:color w:val="000000"/>
                <w:sz w:val="24"/>
                <w:szCs w:val="24"/>
                <w:lang w:val="zh-CN" w:eastAsia="zh-CN" w:bidi="ar-SA"/>
              </w:rPr>
              <w:t xml:space="preserve">线上、线下的</w:t>
            </w:r>
            <w:r>
              <w:rPr>
                <w:rFonts w:hint="eastAsia" w:ascii="仿宋" w:hAnsi="仿宋" w:eastAsia="仿宋" w:cs="仿宋"/>
                <w:b w:val="0"/>
                <w:bCs w:val="0"/>
                <w:color w:val="000000"/>
                <w:sz w:val="24"/>
                <w:szCs w:val="24"/>
                <w:lang w:val="en-US" w:eastAsia="zh-CN" w:bidi="ar-SA"/>
              </w:rPr>
              <w:t xml:space="preserve">理赔流程、理赔资料（根据理赔事故不同设置分类）、理赔时效（根据理赔案件金额）等服务方案。对内容的全面性、针对性进行评价。</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未提供的不得分。本项最高得8分，最低不得分。</w:t>
            </w:r>
            <w:r/>
          </w:p>
          <w:p>
            <w:pPr>
              <w:jc w:val="both"/>
              <w:widowControl w:val="off"/>
              <w:rPr>
                <w:rFonts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（2）理赔系统能提供便于老人操作的界面（提供相应的系统截图）得1分，未提供不得分。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（3）提供理赔附加服务方案，对内容的针对性进行评价。</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未提供的不得分，本项最高得4分，最低不得分。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（4）对于不易确定为意外伤害的案例有具体处置方案。对内容的全面性、针对性进行评价。</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全面性（2分）：全面具体详实得2分；较全面得1分；存在较大漏项或缺陷得0分。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针对性（2分）：针对性强得2分；针对性较强得1分；欠缺针对性的得0分。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未提供的不得分。本项最高得4分，最低不得分。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（5）为便于老年人申请理赔，配备不少于4人专人在程桥街道各社区所在地协助老年人进行现场理赔（含联系人、电话）得2分，未提供不得分。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（6）承诺所有户籍在程桥街道的老年人在保险责任范围内。（提供承诺书），本项最高得2分，最低不得分。</w:t>
            </w:r>
            <w:r/>
          </w:p>
          <w:p>
            <w:pPr>
              <w:jc w:val="both"/>
              <w:widowControl w:val="off"/>
              <w:rPr>
                <w:rFonts w:hint="eastAsia" w:ascii="仿宋" w:hAnsi="仿宋" w:eastAsia="仿宋" w:cs="仿宋"/>
                <w:color w:val="000000"/>
                <w:sz w:val="24"/>
                <w:szCs w:val="24"/>
                <w:lang w:val="en-US" w:eastAsia="zh-CN"/>
              </w:rPr>
            </w:pPr>
            <w:r>
              <w:rPr>
                <w:rFonts w:hint="eastAsia" w:ascii="仿宋" w:hAnsi="仿宋" w:eastAsia="仿宋" w:cs="仿宋"/>
                <w:b w:val="0"/>
                <w:bCs w:val="0"/>
                <w:color w:val="000000"/>
                <w:sz w:val="24"/>
                <w:szCs w:val="24"/>
                <w:lang w:val="en-US" w:eastAsia="zh-CN" w:bidi="ar-SA"/>
              </w:rPr>
              <w:t xml:space="preserve">（7）按照项目要求提供理赔清单并为本项目专门建立理赔档案供随时调取得2分，未提供不得分。</w:t>
            </w:r>
            <w:r/>
          </w:p>
        </w:tc>
        <w:tc>
          <w:tcPr>
            <w:tcW w:w="931" w:type="dxa"/>
            <w:vAlign w:val="center"/>
            <w:textDirection w:val="lrTb"/>
            <w:noWrap w:val="false"/>
          </w:tcPr>
          <w:p>
            <w:pPr>
              <w:jc w:val="center"/>
              <w:widowControl w:val="off"/>
              <w:rPr>
                <w:rFonts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23</w:t>
            </w:r>
            <w:r/>
          </w:p>
        </w:tc>
      </w:tr>
      <w:tr>
        <w:trPr>
          <w:jc w:val="center"/>
          <w:trHeight w:val="1500"/>
        </w:trPr>
        <w:tc>
          <w:tcPr>
            <w:tcW w:w="903" w:type="dxa"/>
            <w:vAlign w:val="center"/>
            <w:textDirection w:val="lrTb"/>
            <w:noWrap w:val="false"/>
          </w:tcPr>
          <w:p>
            <w:pPr>
              <w:jc w:val="center"/>
              <w:widowControl/>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w:t>
            </w:r>
            <w:r/>
          </w:p>
        </w:tc>
        <w:tc>
          <w:tcPr>
            <w:tcW w:w="1478" w:type="dxa"/>
            <w:vAlign w:val="center"/>
            <w:textDirection w:val="lrTb"/>
            <w:noWrap w:val="false"/>
          </w:tcPr>
          <w:p>
            <w:pPr>
              <w:jc w:val="center"/>
              <w:widowControl w:val="off"/>
              <w:rPr>
                <w:rFonts w:ascii="仿宋" w:hAnsi="仿宋" w:eastAsia="仿宋" w:cs="Times New Roman"/>
                <w:b w:val="0"/>
                <w:bCs w:val="0"/>
                <w:color w:val="000000"/>
                <w:sz w:val="24"/>
                <w:szCs w:val="24"/>
                <w:lang w:val="en-US" w:eastAsia="zh-CN" w:bidi="ar-SA"/>
              </w:rPr>
            </w:pPr>
            <w:r>
              <w:rPr>
                <w:rFonts w:ascii="仿宋" w:hAnsi="仿宋" w:eastAsia="仿宋" w:cs="Times New Roman"/>
                <w:b w:val="0"/>
                <w:bCs w:val="0"/>
                <w:color w:val="000000"/>
                <w:sz w:val="24"/>
                <w:szCs w:val="24"/>
                <w:lang w:val="en-US" w:eastAsia="zh-CN" w:bidi="ar-SA"/>
              </w:rPr>
              <w:t xml:space="preserve">宣传培训服务方案</w:t>
            </w:r>
            <w:r/>
          </w:p>
        </w:tc>
        <w:tc>
          <w:tcPr>
            <w:tcW w:w="5424" w:type="dxa"/>
            <w:vAlign w:val="center"/>
            <w:textDirection w:val="lrTb"/>
            <w:noWrap w:val="false"/>
          </w:tcPr>
          <w:p>
            <w:pPr>
              <w:jc w:val="both"/>
              <w:widowControl w:val="off"/>
              <w:rPr>
                <w:rFonts w:hint="eastAsia" w:ascii="仿宋" w:hAnsi="仿宋" w:eastAsia="仿宋" w:cs="仿宋"/>
                <w:b w:val="0"/>
                <w:bCs w:val="0"/>
                <w:color w:val="000000"/>
                <w:sz w:val="24"/>
                <w:szCs w:val="24"/>
                <w:lang w:val="en-US" w:eastAsia="zh-CN" w:bidi="ar-SA"/>
              </w:rPr>
            </w:pPr>
            <w:r/>
            <w:bookmarkStart w:id="63" w:name="OLE_LINK6"/>
            <w:r>
              <w:rPr>
                <w:rFonts w:hint="eastAsia" w:ascii="仿宋" w:hAnsi="仿宋" w:eastAsia="仿宋" w:cs="仿宋"/>
                <w:b w:val="0"/>
                <w:bCs w:val="0"/>
                <w:color w:val="000000"/>
                <w:sz w:val="24"/>
                <w:szCs w:val="24"/>
                <w:lang w:val="en-US" w:eastAsia="zh-CN" w:bidi="ar-SA"/>
              </w:rPr>
              <w:t xml:space="preserve">针对投保人和被保险人分别设计不同宣传方式、宣传计划、宣传内容、保险专业培训方案等，对内容的全面性、针对性、可行性进行评价。</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可行性（4分）：符合实际切实可行得4分；较切实可行得3分;可行性欠缺得2分；不具有可行性得0分。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未提供的不得分。本项最高得12分，最低不得分。</w:t>
            </w:r>
            <w:bookmarkEnd w:id="63"/>
            <w:r/>
            <w:r/>
          </w:p>
        </w:tc>
        <w:tc>
          <w:tcPr>
            <w:tcW w:w="931" w:type="dxa"/>
            <w:vAlign w:val="center"/>
            <w:textDirection w:val="lrTb"/>
            <w:noWrap w:val="false"/>
          </w:tcPr>
          <w:p>
            <w:pPr>
              <w:jc w:val="center"/>
              <w:widowControl w:val="off"/>
              <w:rPr>
                <w:rFonts w:ascii="仿宋" w:hAnsi="仿宋" w:eastAsia="仿宋" w:cs="Times New Roman"/>
                <w:b w:val="0"/>
                <w:bCs w:val="0"/>
                <w:color w:val="000000"/>
                <w:sz w:val="24"/>
                <w:szCs w:val="24"/>
                <w:lang w:val="en-US" w:eastAsia="zh-CN" w:bidi="ar-SA"/>
              </w:rPr>
            </w:pPr>
            <w:r>
              <w:rPr>
                <w:rFonts w:hint="eastAsia" w:ascii="仿宋" w:hAnsi="仿宋" w:eastAsia="仿宋" w:cs="Times New Roman"/>
                <w:b w:val="0"/>
                <w:bCs w:val="0"/>
                <w:color w:val="000000"/>
                <w:sz w:val="24"/>
                <w:szCs w:val="24"/>
                <w:lang w:val="en-US" w:eastAsia="zh-CN" w:bidi="ar-SA"/>
              </w:rPr>
              <w:t xml:space="preserve">12</w:t>
            </w:r>
            <w:r/>
          </w:p>
        </w:tc>
      </w:tr>
      <w:tr>
        <w:trPr>
          <w:jc w:val="center"/>
          <w:trHeight w:val="727"/>
        </w:trPr>
        <w:tc>
          <w:tcPr>
            <w:tcW w:w="903" w:type="dxa"/>
            <w:vAlign w:val="center"/>
            <w:textDirection w:val="lrTb"/>
            <w:noWrap w:val="false"/>
          </w:tcPr>
          <w:p>
            <w:pPr>
              <w:jc w:val="center"/>
              <w:widowControl/>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4</w:t>
            </w:r>
            <w:r/>
          </w:p>
        </w:tc>
        <w:tc>
          <w:tcPr>
            <w:tcW w:w="1478" w:type="dxa"/>
            <w:vAlign w:val="center"/>
            <w:textDirection w:val="lrTb"/>
            <w:noWrap w:val="false"/>
          </w:tcPr>
          <w:p>
            <w:pPr>
              <w:jc w:val="center"/>
              <w:widowControl w:val="off"/>
              <w:rPr>
                <w:rFonts w:hint="eastAsia" w:ascii="仿宋" w:hAnsi="仿宋" w:eastAsia="仿宋" w:cs="Times New Roman"/>
                <w:b w:val="0"/>
                <w:bCs w:val="0"/>
                <w:color w:val="000000"/>
                <w:sz w:val="24"/>
                <w:szCs w:val="24"/>
                <w:lang w:val="en-US" w:eastAsia="zh-CN" w:bidi="ar-SA"/>
              </w:rPr>
            </w:pPr>
            <w:r/>
            <w:bookmarkStart w:id="64" w:name="OLE_LINK7"/>
            <w:r>
              <w:rPr>
                <w:rFonts w:ascii="仿宋" w:hAnsi="仿宋" w:eastAsia="仿宋" w:cs="Times New Roman"/>
                <w:b w:val="0"/>
                <w:bCs w:val="0"/>
                <w:color w:val="000000"/>
                <w:sz w:val="24"/>
                <w:szCs w:val="24"/>
                <w:lang w:val="en-US" w:eastAsia="zh-CN" w:bidi="ar-SA"/>
              </w:rPr>
              <w:t xml:space="preserve">优惠服务</w:t>
            </w:r>
            <w:bookmarkEnd w:id="64"/>
            <w:r/>
            <w:r/>
          </w:p>
        </w:tc>
        <w:tc>
          <w:tcPr>
            <w:tcW w:w="5424" w:type="dxa"/>
            <w:vAlign w:val="center"/>
            <w:textDirection w:val="lrTb"/>
            <w:noWrap w:val="false"/>
          </w:tcPr>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针对本项目提供增值服务或个性化服务内容，对内容的全面性、针对性进行评价。</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全面性（4分）：全面具体详实得4分；较全面得3分；基本具备的得2分；存在较大漏项或缺陷得0分。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针对性（4分）：针对性强得4分；针对性较强得3分；针对性一般的得2分；欠缺针对性的得0分。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未提供的不得分。本项最高得8分，最低不得分。</w:t>
            </w:r>
            <w:r/>
          </w:p>
        </w:tc>
        <w:tc>
          <w:tcPr>
            <w:tcW w:w="931" w:type="dxa"/>
            <w:vAlign w:val="center"/>
            <w:textDirection w:val="lrTb"/>
            <w:noWrap w:val="false"/>
          </w:tcPr>
          <w:p>
            <w:pPr>
              <w:jc w:val="center"/>
              <w:widowControl w:val="off"/>
              <w:rPr>
                <w:rFonts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8</w:t>
            </w:r>
            <w:r/>
          </w:p>
        </w:tc>
      </w:tr>
      <w:tr>
        <w:trPr>
          <w:jc w:val="center"/>
          <w:trHeight w:val="421"/>
        </w:trPr>
        <w:tc>
          <w:tcPr>
            <w:tcW w:w="903" w:type="dxa"/>
            <w:vAlign w:val="center"/>
            <w:textDirection w:val="lrTb"/>
            <w:noWrap w:val="false"/>
          </w:tcPr>
          <w:p>
            <w:pPr>
              <w:jc w:val="center"/>
              <w:widowControl/>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5</w:t>
            </w:r>
            <w:r/>
          </w:p>
        </w:tc>
        <w:tc>
          <w:tcPr>
            <w:tcW w:w="1478" w:type="dxa"/>
            <w:vAlign w:val="center"/>
            <w:textDirection w:val="lrTb"/>
            <w:noWrap w:val="false"/>
          </w:tcPr>
          <w:p>
            <w:pPr>
              <w:jc w:val="center"/>
              <w:widowControl w:val="off"/>
              <w:rPr>
                <w:rFonts w:ascii="仿宋" w:hAnsi="仿宋" w:eastAsia="仿宋" w:cs="Times New Roman"/>
                <w:b w:val="0"/>
                <w:bCs w:val="0"/>
                <w:color w:val="000000"/>
                <w:sz w:val="24"/>
                <w:szCs w:val="24"/>
                <w:lang w:val="en-US" w:eastAsia="zh-CN" w:bidi="ar-SA"/>
              </w:rPr>
            </w:pPr>
            <w:r>
              <w:rPr>
                <w:rFonts w:hint="eastAsia" w:ascii="仿宋" w:hAnsi="仿宋" w:eastAsia="仿宋" w:cs="Times New Roman"/>
                <w:b w:val="0"/>
                <w:bCs w:val="0"/>
                <w:color w:val="000000"/>
                <w:sz w:val="24"/>
                <w:szCs w:val="24"/>
                <w:lang w:val="en-US" w:eastAsia="zh-CN" w:bidi="ar-SA"/>
              </w:rPr>
              <w:t xml:space="preserve">业务制度</w:t>
            </w:r>
            <w:r/>
          </w:p>
        </w:tc>
        <w:tc>
          <w:tcPr>
            <w:tcW w:w="5424" w:type="dxa"/>
            <w:vAlign w:val="center"/>
            <w:textDirection w:val="lrTb"/>
            <w:noWrap w:val="false"/>
          </w:tcPr>
          <w:p>
            <w:pPr>
              <w:jc w:val="both"/>
              <w:widowControl w:val="off"/>
              <w:rPr>
                <w:rFonts w:hint="eastAsia" w:ascii="仿宋" w:hAnsi="仿宋" w:eastAsia="仿宋" w:cs="仿宋"/>
                <w:b w:val="0"/>
                <w:bCs w:val="0"/>
                <w:color w:val="000000"/>
                <w:sz w:val="24"/>
                <w:szCs w:val="24"/>
                <w:lang w:val="en-US" w:eastAsia="zh-CN" w:bidi="ar-SA"/>
              </w:rPr>
            </w:pPr>
            <w:r/>
            <w:bookmarkStart w:id="65" w:name="OLE_LINK8"/>
            <w:r>
              <w:rPr>
                <w:rFonts w:hint="eastAsia" w:ascii="仿宋" w:hAnsi="仿宋" w:eastAsia="仿宋" w:cs="仿宋"/>
                <w:b w:val="0"/>
                <w:bCs w:val="0"/>
                <w:color w:val="000000"/>
                <w:sz w:val="24"/>
                <w:szCs w:val="24"/>
                <w:lang w:val="en-US" w:eastAsia="zh-CN" w:bidi="ar-SA"/>
              </w:rPr>
              <w:t xml:space="preserve">为本项目制定投诉管理制度、回访制度、争议调解制度、应急处理预案。对内容的全面性、针对性、可行性进行评价。</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全面性（3分）：全面具体详实得3分；较全面得2分；基本具备的得1分；存在较大漏项或缺陷得0分。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针对性（3分）：针对性强得3分；针对性较强得2分；针对性一般的得1分；欠缺针对性的得0分。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可行性（3分）：符合实际切实可行得3分；较切实可行得2分;可行性欠缺得1分；不具有可行性得0分。</w:t>
            </w:r>
            <w:r/>
          </w:p>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未提供的不得分。本项最高得9分，最低不得分。</w:t>
            </w:r>
            <w:bookmarkEnd w:id="65"/>
            <w:r/>
            <w:r/>
          </w:p>
        </w:tc>
        <w:tc>
          <w:tcPr>
            <w:tcW w:w="931" w:type="dxa"/>
            <w:vAlign w:val="center"/>
            <w:textDirection w:val="lrTb"/>
            <w:noWrap w:val="false"/>
          </w:tcPr>
          <w:p>
            <w:pPr>
              <w:jc w:val="center"/>
              <w:widowControl w:val="off"/>
              <w:rPr>
                <w:rFonts w:ascii="仿宋" w:hAnsi="仿宋" w:eastAsia="仿宋" w:cs="Times New Roman"/>
                <w:b w:val="0"/>
                <w:bCs w:val="0"/>
                <w:color w:val="000000"/>
                <w:sz w:val="24"/>
                <w:szCs w:val="24"/>
                <w:lang w:val="en-US" w:eastAsia="zh-CN" w:bidi="ar-SA"/>
              </w:rPr>
            </w:pPr>
            <w:r>
              <w:rPr>
                <w:rFonts w:hint="eastAsia" w:ascii="仿宋" w:hAnsi="仿宋" w:eastAsia="仿宋" w:cs="Times New Roman"/>
                <w:b w:val="0"/>
                <w:bCs w:val="0"/>
                <w:color w:val="000000"/>
                <w:sz w:val="24"/>
                <w:szCs w:val="24"/>
                <w:lang w:val="en-US" w:eastAsia="zh-CN" w:bidi="ar-SA"/>
              </w:rPr>
              <w:t xml:space="preserve">9</w:t>
            </w:r>
            <w:r/>
          </w:p>
        </w:tc>
      </w:tr>
      <w:tr>
        <w:trPr>
          <w:jc w:val="center"/>
          <w:trHeight w:val="421"/>
        </w:trPr>
        <w:tc>
          <w:tcPr>
            <w:tcW w:w="903" w:type="dxa"/>
            <w:vAlign w:val="center"/>
            <w:vMerge w:val="restart"/>
            <w:textDirection w:val="lrTb"/>
            <w:noWrap w:val="false"/>
          </w:tcPr>
          <w:p>
            <w:pPr>
              <w:jc w:val="center"/>
              <w:widowControl/>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6</w:t>
            </w:r>
            <w:r/>
          </w:p>
        </w:tc>
        <w:tc>
          <w:tcPr>
            <w:tcW w:w="1478" w:type="dxa"/>
            <w:vAlign w:val="center"/>
            <w:vMerge w:val="restart"/>
            <w:textDirection w:val="lrTb"/>
            <w:noWrap w:val="false"/>
          </w:tcPr>
          <w:p>
            <w:pPr>
              <w:jc w:val="center"/>
              <w:rPr>
                <w:rFonts w:hint="eastAsia" w:ascii="仿宋" w:hAnsi="仿宋" w:eastAsia="仿宋" w:cs="Times New Roman"/>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履约能力</w:t>
            </w:r>
            <w:r/>
          </w:p>
        </w:tc>
        <w:tc>
          <w:tcPr>
            <w:tcW w:w="5424" w:type="dxa"/>
            <w:vAlign w:val="center"/>
            <w:textDirection w:val="lrTb"/>
            <w:noWrap w:val="false"/>
          </w:tcPr>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color w:val="000000"/>
                <w:sz w:val="24"/>
                <w:szCs w:val="24"/>
                <w:lang w:val="en-US" w:eastAsia="zh-CN"/>
              </w:rPr>
              <w:t xml:space="preserve">投标人或投标人所属总公司四个季度（2024年4季度、2025年1季度、2季度、3季度）综合偿付能力充足率均在150%（含）以上得2分；综合偿付能力充足率均在120%（含）以上得1分；综合偿付能力充足率中任一季度低于120%不得分。（投标文件中提供中国保险行业信息披露系统披露的偿付能力季度报告摘要复印件加盖投标人公章）</w:t>
            </w:r>
            <w:r/>
          </w:p>
        </w:tc>
        <w:tc>
          <w:tcPr>
            <w:tcW w:w="931" w:type="dxa"/>
            <w:vAlign w:val="center"/>
            <w:textDirection w:val="lrTb"/>
            <w:noWrap w:val="false"/>
          </w:tcPr>
          <w:p>
            <w:pPr>
              <w:jc w:val="center"/>
              <w:widowControl w:val="off"/>
              <w:rPr>
                <w:rFonts w:hint="eastAsia" w:ascii="仿宋" w:hAnsi="仿宋" w:eastAsia="仿宋" w:cs="Times New Roman"/>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2</w:t>
            </w:r>
            <w:r/>
          </w:p>
        </w:tc>
      </w:tr>
      <w:tr>
        <w:trPr>
          <w:jc w:val="center"/>
          <w:trHeight w:val="421"/>
        </w:trPr>
        <w:tc>
          <w:tcPr>
            <w:tcW w:w="903" w:type="dxa"/>
            <w:vAlign w:val="center"/>
            <w:vMerge w:val="continue"/>
            <w:textDirection w:val="lrTb"/>
            <w:noWrap w:val="false"/>
          </w:tcPr>
          <w:p>
            <w:pPr>
              <w:jc w:val="center"/>
              <w:widowControl/>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tc>
        <w:tc>
          <w:tcPr>
            <w:tcW w:w="1478" w:type="dxa"/>
            <w:vAlign w:val="center"/>
            <w:vMerge w:val="continue"/>
            <w:textDirection w:val="lrTb"/>
            <w:noWrap w:val="false"/>
          </w:tcPr>
          <w:p>
            <w:pPr>
              <w:jc w:val="center"/>
              <w:rPr>
                <w:rFonts w:hint="eastAsia" w:ascii="仿宋" w:hAnsi="仿宋" w:eastAsia="仿宋" w:cs="Times New Roman"/>
                <w:b w:val="0"/>
                <w:bCs w:val="0"/>
                <w:color w:val="000000"/>
                <w:sz w:val="24"/>
                <w:szCs w:val="24"/>
                <w:lang w:val="en-US" w:eastAsia="zh-CN" w:bidi="ar-SA"/>
              </w:rPr>
            </w:pPr>
            <w:r>
              <w:rPr>
                <w:rFonts w:hint="eastAsia" w:ascii="仿宋" w:hAnsi="仿宋" w:eastAsia="仿宋" w:cs="Times New Roman"/>
                <w:b w:val="0"/>
                <w:bCs w:val="0"/>
                <w:color w:val="000000"/>
                <w:sz w:val="24"/>
                <w:szCs w:val="24"/>
                <w:lang w:val="en-US" w:eastAsia="zh-CN" w:bidi="ar-SA"/>
              </w:rPr>
            </w:r>
            <w:r/>
          </w:p>
        </w:tc>
        <w:tc>
          <w:tcPr>
            <w:tcW w:w="5424" w:type="dxa"/>
            <w:vAlign w:val="center"/>
            <w:textDirection w:val="lrTb"/>
            <w:noWrap w:val="false"/>
          </w:tcPr>
          <w:p>
            <w:pPr>
              <w:jc w:val="both"/>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风险综合评级：投标人或投标人所属总公司四个季度（2024年4季度、2025年1季度、2季度、3季度）风险综合评级结果：每有一个A级（包括AA及AAA）得1分，一个B级（包括BB、BBB）得0.5分，其它不得分。本项最高得4分。</w:t>
            </w:r>
            <w:r/>
          </w:p>
          <w:p>
            <w:pPr>
              <w:rPr>
                <w:rFonts w:hint="eastAsia" w:ascii="仿宋" w:hAnsi="仿宋" w:eastAsia="仿宋" w:cs="仿宋"/>
                <w:b w:val="0"/>
                <w:bCs w:val="0"/>
                <w:color w:val="000000"/>
                <w:sz w:val="24"/>
                <w:szCs w:val="24"/>
                <w:lang w:val="en-US" w:eastAsia="zh-CN" w:bidi="ar-SA"/>
              </w:rPr>
            </w:pPr>
            <w:r>
              <w:rPr>
                <w:rFonts w:hint="eastAsia" w:ascii="仿宋" w:hAnsi="仿宋" w:eastAsia="仿宋" w:cs="仿宋"/>
                <w:color w:val="000000"/>
                <w:sz w:val="24"/>
                <w:szCs w:val="24"/>
                <w:lang w:val="en-US" w:eastAsia="zh-CN"/>
              </w:rPr>
              <w:t xml:space="preserve">（提供国家金融监督管理总局第二代监管信息系统加盖投标人公章或中国保险行业协会网站披露的季度风险综合评级报告复印件加盖投标人公章，并列表说明）</w:t>
            </w:r>
            <w:r/>
          </w:p>
        </w:tc>
        <w:tc>
          <w:tcPr>
            <w:tcW w:w="931" w:type="dxa"/>
            <w:vAlign w:val="center"/>
            <w:textDirection w:val="lrTb"/>
            <w:noWrap w:val="false"/>
          </w:tcPr>
          <w:p>
            <w:pPr>
              <w:jc w:val="center"/>
              <w:widowControl w:val="off"/>
              <w:rPr>
                <w:rFonts w:hint="eastAsia" w:ascii="仿宋" w:hAnsi="仿宋" w:eastAsia="仿宋" w:cs="Times New Roman"/>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4</w:t>
            </w:r>
            <w:r/>
          </w:p>
        </w:tc>
      </w:tr>
      <w:tr>
        <w:trPr>
          <w:jc w:val="center"/>
          <w:trHeight w:val="421"/>
        </w:trPr>
        <w:tc>
          <w:tcPr>
            <w:tcW w:w="903" w:type="dxa"/>
            <w:vAlign w:val="center"/>
            <w:textDirection w:val="lrTb"/>
            <w:noWrap w:val="false"/>
          </w:tcPr>
          <w:p>
            <w:pPr>
              <w:jc w:val="center"/>
              <w:widowControl/>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7</w:t>
            </w:r>
            <w:r/>
          </w:p>
        </w:tc>
        <w:tc>
          <w:tcPr>
            <w:tcW w:w="1478" w:type="dxa"/>
            <w:vAlign w:val="center"/>
            <w:textDirection w:val="lrTb"/>
            <w:noWrap w:val="false"/>
          </w:tcPr>
          <w:p>
            <w:pPr>
              <w:jc w:val="center"/>
              <w:widowControl w:val="off"/>
              <w:rPr>
                <w:rFonts w:hint="eastAsia" w:ascii="仿宋" w:hAnsi="仿宋" w:eastAsia="仿宋" w:cs="Times New Roman"/>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保险方案</w:t>
            </w:r>
            <w:r/>
          </w:p>
        </w:tc>
        <w:tc>
          <w:tcPr>
            <w:tcW w:w="5424" w:type="dxa"/>
            <w:vAlign w:val="center"/>
            <w:textDirection w:val="lrTb"/>
            <w:noWrap w:val="false"/>
          </w:tcPr>
          <w:p>
            <w:pPr>
              <w:jc w:val="left"/>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从保险责任、责任免除、被保险人义务、赔偿处理等角度有利于被保险人的附加条款或特别约定内容，每增加1个附加条款或特别约定加2分，最高得10分。</w:t>
            </w:r>
            <w:r/>
          </w:p>
        </w:tc>
        <w:tc>
          <w:tcPr>
            <w:tcW w:w="931" w:type="dxa"/>
            <w:vAlign w:val="center"/>
            <w:textDirection w:val="lrTb"/>
            <w:noWrap w:val="false"/>
          </w:tcPr>
          <w:p>
            <w:pPr>
              <w:jc w:val="center"/>
              <w:widowControl w:val="off"/>
              <w:rPr>
                <w:rFonts w:hint="eastAsia" w:ascii="仿宋" w:hAnsi="仿宋" w:eastAsia="仿宋" w:cs="Times New Roman"/>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10</w:t>
            </w:r>
            <w:r/>
          </w:p>
        </w:tc>
      </w:tr>
      <w:tr>
        <w:trPr>
          <w:jc w:val="center"/>
          <w:trHeight w:val="421"/>
        </w:trPr>
        <w:tc>
          <w:tcPr>
            <w:tcW w:w="903" w:type="dxa"/>
            <w:vAlign w:val="center"/>
            <w:textDirection w:val="lrTb"/>
            <w:noWrap w:val="false"/>
          </w:tcPr>
          <w:p>
            <w:pPr>
              <w:jc w:val="center"/>
              <w:widowControl/>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8</w:t>
            </w:r>
            <w:r/>
          </w:p>
        </w:tc>
        <w:tc>
          <w:tcPr>
            <w:tcW w:w="1478" w:type="dxa"/>
            <w:vAlign w:val="center"/>
            <w:textDirection w:val="lrTb"/>
            <w:noWrap w:val="false"/>
          </w:tcPr>
          <w:p>
            <w:pPr>
              <w:jc w:val="center"/>
              <w:widowControl w:val="off"/>
              <w:rPr>
                <w:rFonts w:hint="eastAsia" w:ascii="仿宋" w:hAnsi="仿宋" w:eastAsia="仿宋" w:cs="Times New Roman"/>
                <w:b w:val="0"/>
                <w:bCs w:val="0"/>
                <w:color w:val="000000"/>
                <w:sz w:val="24"/>
                <w:szCs w:val="24"/>
                <w:lang w:val="en-US" w:eastAsia="zh-CN" w:bidi="ar-SA"/>
              </w:rPr>
            </w:pPr>
            <w:r>
              <w:rPr>
                <w:rFonts w:hint="eastAsia" w:ascii="仿宋" w:hAnsi="仿宋" w:eastAsia="仿宋" w:cs="Times New Roman"/>
                <w:b w:val="0"/>
                <w:bCs w:val="0"/>
                <w:color w:val="000000"/>
                <w:sz w:val="24"/>
                <w:szCs w:val="24"/>
                <w:lang w:val="en-US" w:eastAsia="zh-CN" w:bidi="ar-SA"/>
              </w:rPr>
              <w:t xml:space="preserve">服务专员</w:t>
            </w:r>
            <w:r/>
          </w:p>
        </w:tc>
        <w:tc>
          <w:tcPr>
            <w:tcW w:w="5424" w:type="dxa"/>
            <w:vAlign w:val="center"/>
            <w:textDirection w:val="lrTb"/>
            <w:noWrap w:val="false"/>
          </w:tcPr>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供应商需为本项目配备不少于4名专职服务专员（明确列出姓名、职务、联系方式及职责分工），用于承保、咨询、理赔、投诉服务。满足4人要求得8分，每少1人扣2分，未提供名单或职责分工不得分。本项最高得8分，最低不得分。</w:t>
            </w:r>
            <w:r/>
          </w:p>
        </w:tc>
        <w:tc>
          <w:tcPr>
            <w:tcW w:w="931" w:type="dxa"/>
            <w:vAlign w:val="center"/>
            <w:textDirection w:val="lrTb"/>
            <w:noWrap w:val="false"/>
          </w:tcPr>
          <w:p>
            <w:pPr>
              <w:jc w:val="center"/>
              <w:widowControl w:val="off"/>
              <w:rPr>
                <w:rFonts w:hint="eastAsia" w:ascii="仿宋" w:hAnsi="仿宋" w:eastAsia="仿宋" w:cs="Times New Roman"/>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8</w:t>
            </w:r>
            <w:r/>
          </w:p>
        </w:tc>
      </w:tr>
      <w:tr>
        <w:trPr>
          <w:jc w:val="center"/>
          <w:trHeight w:val="421"/>
        </w:trPr>
        <w:tc>
          <w:tcPr>
            <w:tcW w:w="903" w:type="dxa"/>
            <w:vAlign w:val="center"/>
            <w:textDirection w:val="lrTb"/>
            <w:noWrap w:val="false"/>
          </w:tcPr>
          <w:p>
            <w:pPr>
              <w:jc w:val="center"/>
              <w:widowControl/>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9</w:t>
            </w:r>
            <w:r/>
          </w:p>
        </w:tc>
        <w:tc>
          <w:tcPr>
            <w:tcW w:w="1478" w:type="dxa"/>
            <w:vAlign w:val="center"/>
            <w:textDirection w:val="lrTb"/>
            <w:noWrap w:val="false"/>
          </w:tcPr>
          <w:p>
            <w:pPr>
              <w:jc w:val="center"/>
              <w:widowControl w:val="off"/>
              <w:rPr>
                <w:rFonts w:ascii="仿宋" w:hAnsi="仿宋" w:eastAsia="仿宋" w:cs="Times New Roman"/>
                <w:b w:val="0"/>
                <w:bCs w:val="0"/>
                <w:color w:val="000000"/>
                <w:sz w:val="24"/>
                <w:szCs w:val="24"/>
                <w:lang w:val="en-US" w:eastAsia="zh-CN" w:bidi="ar-SA"/>
              </w:rPr>
            </w:pPr>
            <w:r>
              <w:rPr>
                <w:rFonts w:hint="eastAsia" w:ascii="仿宋" w:hAnsi="仿宋" w:eastAsia="仿宋" w:cs="Times New Roman"/>
                <w:b w:val="0"/>
                <w:bCs w:val="0"/>
                <w:color w:val="000000"/>
                <w:sz w:val="24"/>
                <w:szCs w:val="24"/>
                <w:lang w:val="en-US" w:eastAsia="zh-CN" w:bidi="ar-SA"/>
              </w:rPr>
              <w:t xml:space="preserve">业绩</w:t>
            </w:r>
            <w:r/>
          </w:p>
        </w:tc>
        <w:tc>
          <w:tcPr>
            <w:tcW w:w="5424" w:type="dxa"/>
            <w:vAlign w:val="center"/>
            <w:textDirection w:val="lrTb"/>
            <w:noWrap w:val="false"/>
          </w:tcPr>
          <w:p>
            <w:pPr>
              <w:jc w:val="both"/>
              <w:widowControl w:val="off"/>
              <w:rPr>
                <w:rFonts w:hint="eastAsia" w:ascii="仿宋" w:hAnsi="仿宋" w:eastAsia="仿宋" w:cs="仿宋"/>
                <w:b w:val="0"/>
                <w:bCs w:val="0"/>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根据供应商提供的近3年以来，承保的与本项目类似社会保险项目的理赔案例经验，每提供1个得2分，本项最多4分（提供保单和已决赔案卷宗复印件或其他证明资料，未提供不得分，同一项目不得重复得分）</w:t>
            </w:r>
            <w:r/>
          </w:p>
        </w:tc>
        <w:tc>
          <w:tcPr>
            <w:tcW w:w="931" w:type="dxa"/>
            <w:vAlign w:val="center"/>
            <w:textDirection w:val="lrTb"/>
            <w:noWrap w:val="false"/>
          </w:tcPr>
          <w:p>
            <w:pPr>
              <w:jc w:val="center"/>
              <w:widowControl w:val="off"/>
              <w:rPr>
                <w:rFonts w:ascii="仿宋" w:hAnsi="仿宋" w:eastAsia="仿宋" w:cs="Times New Roman"/>
                <w:b w:val="0"/>
                <w:bCs w:val="0"/>
                <w:color w:val="000000"/>
                <w:sz w:val="24"/>
                <w:szCs w:val="24"/>
                <w:lang w:val="en-US" w:eastAsia="zh-CN" w:bidi="ar-SA"/>
              </w:rPr>
            </w:pPr>
            <w:r>
              <w:rPr>
                <w:rFonts w:hint="eastAsia" w:ascii="仿宋" w:hAnsi="仿宋" w:eastAsia="仿宋" w:cs="Times New Roman"/>
                <w:b w:val="0"/>
                <w:bCs w:val="0"/>
                <w:color w:val="000000"/>
                <w:sz w:val="24"/>
                <w:szCs w:val="24"/>
                <w:lang w:val="en-US" w:eastAsia="zh-CN" w:bidi="ar-SA"/>
              </w:rPr>
              <w:t xml:space="preserve">4</w:t>
            </w:r>
            <w:bookmarkEnd w:id="57"/>
            <w:r/>
            <w:bookmarkEnd w:id="58"/>
            <w:r/>
            <w:bookmarkEnd w:id="59"/>
            <w:r/>
            <w:bookmarkEnd w:id="60"/>
            <w:r/>
            <w:bookmarkEnd w:id="61"/>
            <w:r/>
            <w:r/>
          </w:p>
        </w:tc>
      </w:tr>
    </w:tbl>
    <w:p>
      <w:pPr>
        <w:numPr>
          <w:ilvl w:val="0"/>
          <w:numId w:val="0"/>
        </w:numPr>
        <w:keepLines w:val="0"/>
        <w:keepNext w:val="0"/>
        <w:pageBreakBefore w:val="0"/>
        <w:spacing w:afterAutospacing="0" w:line="360" w:lineRule="auto"/>
        <w:widowControl w:val="off"/>
        <w:rPr>
          <w:rFonts w:hint="eastAsia" w:ascii="仿宋" w:hAnsi="仿宋" w:eastAsia="仿宋" w:cs="仿宋"/>
          <w:color w:val="000000"/>
          <w:sz w:val="24"/>
          <w:szCs w:val="24"/>
        </w:rPr>
      </w:pPr>
      <w:r>
        <w:rPr>
          <w:rFonts w:hint="eastAsia" w:ascii="仿宋" w:hAnsi="仿宋" w:eastAsia="仿宋" w:cs="仿宋"/>
          <w:b/>
          <w:color w:val="000000"/>
          <w:sz w:val="24"/>
          <w:szCs w:val="24"/>
          <w:highlight w:val="white"/>
          <w:lang w:eastAsia="zh-CN"/>
        </w:rPr>
        <w:t xml:space="preserve">（</w:t>
      </w:r>
      <w:r>
        <w:rPr>
          <w:rFonts w:hint="eastAsia" w:ascii="仿宋" w:hAnsi="仿宋" w:eastAsia="仿宋" w:cs="仿宋"/>
          <w:b/>
          <w:color w:val="000000"/>
          <w:sz w:val="24"/>
          <w:szCs w:val="24"/>
          <w:highlight w:val="white"/>
          <w:lang w:val="en-US" w:eastAsia="zh-CN"/>
        </w:rPr>
        <w:t xml:space="preserve">三</w:t>
      </w:r>
      <w:r>
        <w:rPr>
          <w:rFonts w:hint="eastAsia" w:ascii="仿宋" w:hAnsi="仿宋" w:eastAsia="仿宋" w:cs="仿宋"/>
          <w:b/>
          <w:color w:val="000000"/>
          <w:sz w:val="24"/>
          <w:szCs w:val="24"/>
          <w:highlight w:val="white"/>
          <w:lang w:eastAsia="zh-CN"/>
        </w:rPr>
        <w:t xml:space="preserve">）</w:t>
      </w:r>
      <w:r>
        <w:rPr>
          <w:rFonts w:hint="eastAsia" w:ascii="仿宋" w:hAnsi="仿宋" w:eastAsia="仿宋" w:cs="仿宋"/>
          <w:b/>
          <w:color w:val="000000"/>
          <w:sz w:val="24"/>
          <w:szCs w:val="24"/>
          <w:highlight w:val="white"/>
        </w:rPr>
        <w:t xml:space="preserve">评标结果。</w:t>
      </w:r>
      <w:r>
        <w:rPr>
          <w:rFonts w:hint="eastAsia" w:ascii="仿宋" w:hAnsi="仿宋" w:eastAsia="仿宋" w:cs="仿宋"/>
          <w:color w:val="000000"/>
          <w:sz w:val="24"/>
          <w:szCs w:val="24"/>
        </w:rPr>
        <w:t xml:space="preserve">磋商小组按照本办法规定推荐成交候选人，并形成评标报告。</w:t>
      </w:r>
      <w:r/>
    </w:p>
    <w:p>
      <w:pPr>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keepLines w:val="0"/>
        <w:keepNext w:val="0"/>
        <w:pageBreakBefore/>
        <w:spacing w:before="340" w:after="330" w:line="240" w:lineRule="auto"/>
        <w:widowControl w:val="off"/>
        <w:rPr>
          <w:rFonts w:ascii="仿宋" w:hAnsi="仿宋" w:eastAsia="仿宋" w:cs="仿宋"/>
          <w:b/>
          <w:color w:val="000000"/>
          <w:sz w:val="44"/>
          <w:szCs w:val="20"/>
          <w:highlight w:val="none"/>
          <w:lang w:val="en-US" w:eastAsia="zh-CN" w:bidi="ar-SA"/>
        </w:rPr>
        <w:outlineLvl w:val="0"/>
      </w:pPr>
      <w:r>
        <w:rPr>
          <w:rFonts w:ascii="仿宋" w:hAnsi="仿宋" w:eastAsia="仿宋" w:cs="仿宋"/>
          <w:b/>
          <w:color w:val="000000"/>
          <w:sz w:val="44"/>
          <w:szCs w:val="20"/>
          <w:highlight w:val="none"/>
          <w:lang w:val="en-US" w:eastAsia="zh-CN" w:bidi="ar-SA"/>
        </w:rPr>
        <w:t xml:space="preserve">第</w:t>
      </w:r>
      <w:r>
        <w:rPr>
          <w:rFonts w:hint="eastAsia" w:ascii="仿宋" w:hAnsi="仿宋" w:eastAsia="仿宋" w:cs="仿宋"/>
          <w:b/>
          <w:color w:val="000000"/>
          <w:sz w:val="44"/>
          <w:szCs w:val="20"/>
          <w:highlight w:val="none"/>
          <w:lang w:val="en-US" w:eastAsia="zh-CN" w:bidi="ar-SA"/>
        </w:rPr>
        <w:t xml:space="preserve">六章 响应文件</w:t>
      </w:r>
      <w:r>
        <w:rPr>
          <w:rFonts w:ascii="仿宋" w:hAnsi="仿宋" w:eastAsia="仿宋" w:cs="仿宋"/>
          <w:b/>
          <w:color w:val="000000"/>
          <w:sz w:val="44"/>
          <w:szCs w:val="20"/>
          <w:highlight w:val="none"/>
          <w:lang w:val="en-US" w:eastAsia="zh-CN" w:bidi="ar-SA"/>
        </w:rPr>
        <w:t xml:space="preserve">相关格式</w:t>
      </w:r>
      <w:bookmarkEnd w:id="52"/>
      <w:r/>
      <w:bookmarkEnd w:id="53"/>
      <w:r/>
      <w:bookmarkEnd w:id="54"/>
      <w:r/>
      <w:bookmarkEnd w:id="55"/>
      <w:r/>
      <w:bookmarkEnd w:id="56"/>
      <w:r/>
      <w:r/>
    </w:p>
    <w:p>
      <w:pPr>
        <w:jc w:val="center"/>
        <w:spacing w:line="276"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96"/>
          <w:szCs w:val="28"/>
          <w:highlight w:val="none"/>
          <w:lang w:val="en-US" w:eastAsia="zh-CN" w:bidi="ar-SA"/>
        </w:rPr>
        <w:t xml:space="preserve"> </w:t>
      </w:r>
      <w:r/>
    </w:p>
    <w:p>
      <w:pPr>
        <w:ind w:firstLine="0"/>
        <w:jc w:val="center"/>
        <w:spacing w:line="360" w:lineRule="auto"/>
        <w:widowControl w:val="off"/>
        <w:rPr>
          <w:rFonts w:hint="eastAsia" w:ascii="Times New Roman" w:hAnsi="Times New Roman" w:eastAsia="楷体" w:cs="Times New Roman"/>
          <w:b/>
          <w:color w:val="000000"/>
          <w:sz w:val="86"/>
          <w:szCs w:val="24"/>
          <w:lang w:val="en-US" w:eastAsia="zh-CN" w:bidi="ar-SA"/>
        </w:rPr>
      </w:pPr>
      <w:r>
        <w:rPr>
          <w:rFonts w:hint="eastAsia" w:ascii="Times New Roman" w:hAnsi="Times New Roman" w:eastAsia="楷体" w:cs="Times New Roman"/>
          <w:b/>
          <w:color w:val="000000"/>
          <w:sz w:val="86"/>
          <w:szCs w:val="24"/>
          <w:lang w:val="en-US" w:eastAsia="zh-CN" w:bidi="ar-SA"/>
        </w:rPr>
        <w:t xml:space="preserve">响 应 文 件</w:t>
      </w:r>
      <w:r/>
    </w:p>
    <w:p>
      <w:pPr>
        <w:jc w:val="center"/>
        <w:spacing w:line="276"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96"/>
          <w:szCs w:val="28"/>
          <w:highlight w:val="none"/>
          <w:lang w:val="en-US" w:eastAsia="zh-CN" w:bidi="ar-SA"/>
        </w:rPr>
        <w:t xml:space="preserve"> </w:t>
      </w:r>
      <w:r/>
    </w:p>
    <w:p>
      <w:pPr>
        <w:jc w:val="center"/>
        <w:spacing w:line="276"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96"/>
          <w:szCs w:val="28"/>
          <w:highlight w:val="none"/>
          <w:lang w:val="en-US" w:eastAsia="zh-CN" w:bidi="ar-SA"/>
        </w:rPr>
        <w:t xml:space="preserve"> </w:t>
      </w:r>
      <w:r/>
    </w:p>
    <w:p>
      <w:pPr>
        <w:jc w:val="both"/>
        <w:spacing w:line="240" w:lineRule="auto"/>
        <w:widowControl w:val="off"/>
        <w:rPr>
          <w:rFonts w:hint="eastAsia" w:ascii="仿宋" w:hAnsi="仿宋" w:eastAsia="仿宋" w:cs="仿宋"/>
          <w:b/>
          <w:bCs/>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 </w:t>
      </w:r>
      <w:r/>
    </w:p>
    <w:p>
      <w:pPr>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u w:val="single"/>
          <w:lang w:val="en-US" w:eastAsia="zh-CN" w:bidi="ar-SA"/>
        </w:rPr>
      </w:pPr>
      <w:r>
        <w:rPr>
          <w:rFonts w:hint="eastAsia" w:ascii="仿宋" w:hAnsi="仿宋" w:eastAsia="仿宋" w:cs="仿宋"/>
          <w:b/>
          <w:bCs/>
          <w:color w:val="000000"/>
          <w:sz w:val="32"/>
          <w:szCs w:val="32"/>
          <w:highlight w:val="none"/>
          <w:lang w:val="en-US" w:eastAsia="zh-CN" w:bidi="ar-SA"/>
        </w:rPr>
        <w:tab/>
      </w:r>
      <w:r>
        <w:rPr>
          <w:rFonts w:hint="eastAsia" w:ascii="仿宋" w:hAnsi="仿宋" w:eastAsia="仿宋" w:cs="仿宋"/>
          <w:b/>
          <w:bCs/>
          <w:color w:val="000000"/>
          <w:spacing w:val="53"/>
          <w:sz w:val="36"/>
          <w:szCs w:val="36"/>
          <w:highlight w:val="none"/>
          <w:lang w:val="en-US" w:eastAsia="zh-CN" w:bidi="ar-SA"/>
        </w:rPr>
        <w:t xml:space="preserve">项目名</w:t>
      </w:r>
      <w:r>
        <w:rPr>
          <w:rFonts w:hint="eastAsia" w:ascii="仿宋" w:hAnsi="仿宋" w:eastAsia="仿宋" w:cs="仿宋"/>
          <w:b/>
          <w:bCs/>
          <w:color w:val="000000"/>
          <w:spacing w:val="1"/>
          <w:sz w:val="36"/>
          <w:szCs w:val="36"/>
          <w:highlight w:val="none"/>
          <w:lang w:val="en-US" w:eastAsia="zh-CN" w:bidi="ar-SA"/>
        </w:rPr>
        <w:t xml:space="preserve">称</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p>
    <w:p>
      <w:pPr>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53"/>
          <w:sz w:val="36"/>
          <w:szCs w:val="36"/>
          <w:highlight w:val="none"/>
          <w:lang w:val="en-US" w:eastAsia="zh-CN" w:bidi="ar-SA"/>
        </w:rPr>
        <w:t xml:space="preserve">项目编</w:t>
      </w:r>
      <w:r>
        <w:rPr>
          <w:rFonts w:hint="eastAsia" w:ascii="仿宋" w:hAnsi="仿宋" w:eastAsia="仿宋" w:cs="仿宋"/>
          <w:b/>
          <w:bCs/>
          <w:color w:val="000000"/>
          <w:spacing w:val="1"/>
          <w:sz w:val="36"/>
          <w:szCs w:val="36"/>
          <w:highlight w:val="none"/>
          <w:lang w:val="en-US" w:eastAsia="zh-CN" w:bidi="ar-SA"/>
        </w:rPr>
        <w:t xml:space="preserve">号</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z w:val="36"/>
          <w:szCs w:val="36"/>
          <w:highlight w:val="none"/>
          <w:lang w:val="en-US" w:eastAsia="zh-CN" w:bidi="ar-SA"/>
        </w:rPr>
        <w:tab/>
      </w:r>
      <w:r/>
    </w:p>
    <w:p>
      <w:pPr>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1"/>
          <w:sz w:val="36"/>
          <w:szCs w:val="36"/>
          <w:highlight w:val="none"/>
          <w:lang w:val="en-US" w:eastAsia="zh-CN" w:bidi="ar-SA"/>
        </w:rPr>
        <w:t xml:space="preserve">供应商名</w:t>
      </w:r>
      <w:r>
        <w:rPr>
          <w:rFonts w:hint="eastAsia" w:ascii="仿宋" w:hAnsi="仿宋" w:eastAsia="仿宋" w:cs="仿宋"/>
          <w:b/>
          <w:bCs/>
          <w:color w:val="000000"/>
          <w:spacing w:val="5"/>
          <w:sz w:val="36"/>
          <w:szCs w:val="36"/>
          <w:highlight w:val="none"/>
          <w:lang w:val="en-US" w:eastAsia="zh-CN" w:bidi="ar-SA"/>
        </w:rPr>
        <w:t xml:space="preserve">称</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 xml:space="preserve">（加盖电子公章）</w:t>
      </w:r>
      <w:r/>
    </w:p>
    <w:p>
      <w:pPr>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u w:val="singl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260"/>
          <w:sz w:val="36"/>
          <w:szCs w:val="36"/>
          <w:highlight w:val="none"/>
          <w:lang w:val="en-US" w:eastAsia="zh-CN" w:bidi="ar-SA"/>
        </w:rPr>
        <w:t xml:space="preserve">联系</w:t>
      </w:r>
      <w:r>
        <w:rPr>
          <w:rFonts w:hint="eastAsia" w:ascii="仿宋" w:hAnsi="仿宋" w:eastAsia="仿宋" w:cs="仿宋"/>
          <w:b/>
          <w:bCs/>
          <w:color w:val="000000"/>
          <w:spacing w:val="0"/>
          <w:sz w:val="36"/>
          <w:szCs w:val="36"/>
          <w:highlight w:val="none"/>
          <w:lang w:val="en-US" w:eastAsia="zh-CN" w:bidi="ar-SA"/>
        </w:rPr>
        <w:t xml:space="preserve">人</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p>
    <w:p>
      <w:pPr>
        <w:ind w:right="1000"/>
        <w:jc w:val="left"/>
        <w:keepLines w:val="0"/>
        <w:keepNext w:val="0"/>
        <w:pageBreakBefore w:val="0"/>
        <w:spacing w:line="360" w:lineRule="auto"/>
        <w:widowControl w:val="off"/>
        <w:tabs>
          <w:tab w:val="left" w:pos="1050" w:leader="none"/>
        </w:tabs>
        <w:rPr>
          <w:rFonts w:hint="eastAsia" w:ascii="仿宋" w:hAnsi="仿宋" w:eastAsia="仿宋" w:cs="仿宋"/>
          <w:b/>
          <w:bCs/>
          <w:color w:val="000000"/>
          <w:sz w:val="36"/>
          <w:szCs w:val="36"/>
          <w:highlight w:val="none"/>
          <w:u w:val="singl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53"/>
          <w:sz w:val="36"/>
          <w:szCs w:val="36"/>
          <w:highlight w:val="none"/>
          <w:lang w:val="en-US" w:eastAsia="zh-CN" w:bidi="ar-SA"/>
        </w:rPr>
        <w:t xml:space="preserve">联系方</w:t>
      </w:r>
      <w:r>
        <w:rPr>
          <w:rFonts w:hint="eastAsia" w:ascii="仿宋" w:hAnsi="仿宋" w:eastAsia="仿宋" w:cs="仿宋"/>
          <w:b/>
          <w:bCs/>
          <w:color w:val="000000"/>
          <w:spacing w:val="1"/>
          <w:sz w:val="36"/>
          <w:szCs w:val="36"/>
          <w:highlight w:val="none"/>
          <w:lang w:val="en-US" w:eastAsia="zh-CN" w:bidi="ar-SA"/>
        </w:rPr>
        <w:t xml:space="preserve">式</w:t>
      </w:r>
      <w:r>
        <w:rPr>
          <w:rFonts w:hint="eastAsia" w:ascii="仿宋" w:hAnsi="仿宋" w:eastAsia="仿宋" w:cs="仿宋"/>
          <w:b/>
          <w:bCs/>
          <w:color w:val="000000"/>
          <w:sz w:val="36"/>
          <w:szCs w:val="36"/>
          <w:highlight w:val="none"/>
          <w:lang w:val="en-US" w:eastAsia="zh-CN" w:bidi="ar-SA"/>
        </w:rPr>
        <w:t xml:space="preserve">：</w:t>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rPr>
          <w:rFonts w:hint="eastAsia" w:ascii="仿宋" w:hAnsi="仿宋" w:eastAsia="仿宋" w:cs="仿宋"/>
          <w:b/>
          <w:bCs/>
          <w:color w:val="000000"/>
          <w:sz w:val="36"/>
          <w:szCs w:val="36"/>
          <w:highlight w:val="none"/>
          <w:u w:val="single"/>
          <w:lang w:val="en-US" w:eastAsia="zh-CN" w:bidi="ar-SA"/>
        </w:rPr>
        <w:tab/>
      </w:r>
      <w:r/>
    </w:p>
    <w:p>
      <w:pPr>
        <w:ind w:right="1000"/>
        <w:jc w:val="left"/>
        <w:keepLines w:val="0"/>
        <w:keepNext w:val="0"/>
        <w:pageBreakBefore w:val="0"/>
        <w:spacing w:line="360" w:lineRule="auto"/>
        <w:widowControl w:val="off"/>
        <w:tabs>
          <w:tab w:val="left" w:pos="1050" w:leader="none"/>
        </w:tabs>
        <w:rPr>
          <w:rFonts w:hint="eastAsia" w:ascii="仿宋" w:hAnsi="仿宋" w:eastAsia="仿宋" w:cs="仿宋"/>
          <w:color w:val="000000"/>
          <w:sz w:val="36"/>
          <w:szCs w:val="36"/>
          <w:highlight w:val="none"/>
          <w:u w:val="single"/>
          <w:lang w:val="en-US" w:eastAsia="zh-CN" w:bidi="ar-SA"/>
        </w:rPr>
      </w:pPr>
      <w:r>
        <w:rPr>
          <w:rFonts w:hint="eastAsia" w:ascii="仿宋" w:hAnsi="仿宋" w:eastAsia="仿宋" w:cs="仿宋"/>
          <w:b/>
          <w:bCs/>
          <w:color w:val="000000"/>
          <w:sz w:val="36"/>
          <w:szCs w:val="36"/>
          <w:highlight w:val="none"/>
          <w:lang w:val="en-US" w:eastAsia="zh-CN" w:bidi="ar-SA"/>
        </w:rPr>
        <w:tab/>
      </w:r>
      <w:r>
        <w:rPr>
          <w:rFonts w:hint="eastAsia" w:ascii="仿宋" w:hAnsi="仿宋" w:eastAsia="仿宋" w:cs="仿宋"/>
          <w:b/>
          <w:bCs/>
          <w:color w:val="000000"/>
          <w:spacing w:val="880"/>
          <w:sz w:val="36"/>
          <w:szCs w:val="36"/>
          <w:highlight w:val="none"/>
          <w:lang w:val="en-US" w:eastAsia="zh-CN" w:bidi="ar-SA"/>
        </w:rPr>
        <w:t xml:space="preserve">日</w:t>
      </w:r>
      <w:r>
        <w:rPr>
          <w:rFonts w:hint="eastAsia" w:ascii="仿宋" w:hAnsi="仿宋" w:eastAsia="仿宋" w:cs="仿宋"/>
          <w:b/>
          <w:bCs/>
          <w:color w:val="000000"/>
          <w:spacing w:val="0"/>
          <w:sz w:val="36"/>
          <w:szCs w:val="36"/>
          <w:highlight w:val="none"/>
          <w:lang w:val="en-US" w:eastAsia="zh-CN" w:bidi="ar-SA"/>
        </w:rPr>
        <w:t xml:space="preserve">期</w:t>
      </w:r>
      <w:r>
        <w:rPr>
          <w:rFonts w:hint="eastAsia" w:ascii="仿宋" w:hAnsi="仿宋" w:eastAsia="仿宋" w:cs="仿宋"/>
          <w:color w:val="000000"/>
          <w:sz w:val="36"/>
          <w:szCs w:val="36"/>
          <w:highlight w:val="none"/>
          <w:lang w:val="en-US" w:eastAsia="zh-CN" w:bidi="ar-SA"/>
        </w:rPr>
        <w:t xml:space="preserve">：</w:t>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rPr>
          <w:rFonts w:hint="eastAsia" w:ascii="仿宋" w:hAnsi="仿宋" w:eastAsia="仿宋" w:cs="仿宋"/>
          <w:color w:val="000000"/>
          <w:sz w:val="36"/>
          <w:szCs w:val="36"/>
          <w:highlight w:val="none"/>
          <w:u w:val="single"/>
          <w:lang w:val="en-US" w:eastAsia="zh-CN" w:bidi="ar-SA"/>
        </w:rPr>
        <w:tab/>
      </w:r>
      <w:r/>
    </w:p>
    <w:p>
      <w:pPr>
        <w:jc w:val="both"/>
        <w:spacing w:line="240" w:lineRule="auto"/>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val="en-US" w:eastAsia="zh-CN" w:bidi="ar-SA"/>
        </w:rPr>
        <w:t xml:space="preserve"> </w:t>
      </w:r>
      <w:r/>
    </w:p>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left="0" w:firstLine="0"/>
        <w:jc w:val="center"/>
        <w:keepLines w:val="0"/>
        <w:keepNext w:val="0"/>
        <w:pageBreakBefore w:val="0"/>
        <w:spacing w:line="480" w:lineRule="auto"/>
        <w:widowControl w:val="off"/>
        <w:rPr>
          <w:rFonts w:ascii="Times New Roman" w:hAnsi="Times New Roman" w:eastAsia="仿宋" w:cs="Times New Roman"/>
          <w:b/>
          <w:bCs/>
          <w:color w:val="000000"/>
          <w:sz w:val="44"/>
          <w:szCs w:val="24"/>
          <w:lang w:val="en-US" w:eastAsia="zh-CN" w:bidi="ar-SA"/>
        </w:rPr>
        <w:outlineLvl w:val="9"/>
      </w:pPr>
      <w:r>
        <w:rPr>
          <w:rFonts w:ascii="Times New Roman" w:hAnsi="Times New Roman" w:eastAsia="仿宋" w:cs="Times New Roman"/>
          <w:b/>
          <w:bCs/>
          <w:color w:val="000000"/>
          <w:sz w:val="44"/>
          <w:szCs w:val="24"/>
          <w:lang w:val="en-US" w:eastAsia="zh-CN" w:bidi="ar-SA"/>
        </w:rPr>
        <w:t xml:space="preserve">目录</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一、磋商申请及声明</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二、授权委托书</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三、供应商基本信息</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四、</w:t>
      </w:r>
      <w:r>
        <w:rPr>
          <w:rFonts w:hint="eastAsia" w:eastAsia="仿宋" w:cs="Times New Roman"/>
          <w:color w:val="000000"/>
          <w:sz w:val="28"/>
          <w:szCs w:val="28"/>
          <w:lang w:val="en-US" w:eastAsia="zh-CN"/>
        </w:rPr>
        <w:t xml:space="preserve">磋商报价表</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五、分项价格表</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六、资格证明文件</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七、符合性证明文件</w:t>
      </w:r>
      <w:r/>
    </w:p>
    <w:p>
      <w:pPr>
        <w:keepLines w:val="0"/>
        <w:keepNext w:val="0"/>
        <w:pageBreakBefore w:val="0"/>
        <w:spacing w:line="360" w:lineRule="auto"/>
        <w:widowControl/>
        <w:tabs>
          <w:tab w:val="right" w:pos="8306" w:leader="dot"/>
        </w:tabs>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八、评审相关资料</w:t>
      </w:r>
      <w:r/>
    </w:p>
    <w:p>
      <w:pPr>
        <w:ind w:firstLine="560"/>
        <w:jc w:val="center"/>
        <w:keepLines w:val="0"/>
        <w:keepNext w:val="0"/>
        <w:pageBreakBefore/>
        <w:spacing w:line="360" w:lineRule="auto"/>
        <w:widowControl w:val="off"/>
        <w:rPr>
          <w:rFonts w:ascii="仿宋" w:hAnsi="仿宋" w:eastAsia="仿宋" w:cs="Times New Roman"/>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一、磋商申请及声明</w:t>
      </w:r>
      <w:r/>
    </w:p>
    <w:p>
      <w:pPr>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致：</w:t>
      </w:r>
      <w:r>
        <w:rPr>
          <w:rFonts w:ascii="仿宋" w:hAnsi="仿宋" w:eastAsia="仿宋" w:cs="Times New Roman"/>
          <w:color w:val="000000"/>
          <w:sz w:val="24"/>
          <w:szCs w:val="24"/>
          <w:u w:val="single"/>
          <w:lang w:val="en-US" w:eastAsia="zh-CN" w:bidi="ar-SA"/>
        </w:rPr>
        <w:t xml:space="preserve">恒泰保险经纪有限公司</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根据贵方（项目名称）（项目编号）磋商的磋商邀请，正式授权(姓名和职务)代表（供应商名称）提交响应文件并参加磋商。</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据此函，（供应商名称）兹宣布声明和承诺如下：</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1.我方的资格条件完全符合政府采购法和本次磋商要求。</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2.我方参加政府采购活动前三年内，在经营活动中没有重大违法记录。</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3.参加本次采购活动前，我方没有被信用中国网站、中国政府采购网站列入失信被执行人名单、重大税收违法案件当事人名单、政府采购严重违法失信行为记录名单。</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4.我方在全国范围内未受过财政部门禁止参加政府采购活动的处罚期限，或在全国范围内受过财政部门禁止参加政府采购活动的处罚期限已满。</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5.我方没有为本采购项目提供整体设计、规范编制，以及项目管理、监理、检测等服务。</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6.我方与参与本次采购活动的其他供应商的授权代理人(或法定代表人、项目经理、项目总监、项目负责人等)在磋商文件发布日上月至响应截止日当月未在同一单位缴纳社会保险的。</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7.我方与参与本次采购活动的其他供应商的法定代表人或委托代理人无夫妻、直系血亲关系的；</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8.我方与参与本次采购活动的其他供应商的负责人不是同一人，也不存在直接控股、管理关系。</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9.我方已详细审核全部磋商文件及其有效补充文件，我们放弃对磋商文件任何误解的权利，提交响应文件后，不对磋商文件本身提出质疑。</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10.我方同意并向贵方提供了与磋商有关的所有证据和资料。</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11.我方同意从规定的开标日期起遵循本响应文件，并在规定的</w:t>
      </w:r>
      <w:r>
        <w:rPr>
          <w:rFonts w:hint="eastAsia" w:ascii="仿宋" w:hAnsi="仿宋" w:eastAsia="仿宋" w:cs="Times New Roman"/>
          <w:color w:val="000000"/>
          <w:sz w:val="24"/>
          <w:szCs w:val="24"/>
          <w:lang w:val="en-US" w:eastAsia="zh-CN" w:bidi="ar-SA"/>
        </w:rPr>
        <w:t xml:space="preserve">响应</w:t>
      </w:r>
      <w:r>
        <w:rPr>
          <w:rFonts w:ascii="仿宋" w:hAnsi="仿宋" w:eastAsia="仿宋" w:cs="Times New Roman"/>
          <w:color w:val="000000"/>
          <w:sz w:val="24"/>
          <w:szCs w:val="24"/>
          <w:lang w:val="en-US" w:eastAsia="zh-CN" w:bidi="ar-SA"/>
        </w:rPr>
        <w:t xml:space="preserve">有效期 期满之前均具有约束力。</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12.一旦我方成交，我方将根据磋商文件的规定严格履行合同。</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13.我方决不提供虚假材料谋取成交、决不采取不正当手段诋毁、排挤其他供应商、决不与采购人、其它供应商或者采购代理恶意串通、决不向采购人、江苏开源工作人员和磋商小组进行商业贿赂、决不在采购过程中与采购人进行协商谈判、决不拒绝有关部门监督检查或提供虚假情况。如有违反或者虚假陈述，无条件接受贵方及监督管理部门的处罚。</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14.与本次磋商有关的正式联系方式为：</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供应商名称（</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地址：</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联系人：</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联系方式：</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日期： 年 月 日</w:t>
      </w:r>
      <w:r/>
    </w:p>
    <w:p>
      <w:pPr>
        <w:ind w:firstLine="480"/>
        <w:jc w:val="both"/>
        <w:keepLines w:val="0"/>
        <w:keepNext w:val="0"/>
        <w:pageBreakBefore w:val="0"/>
        <w:spacing w:line="300" w:lineRule="auto"/>
        <w:widowControl w:val="off"/>
        <w:rPr>
          <w:rFonts w:ascii="仿宋" w:hAnsi="仿宋" w:eastAsia="仿宋" w:cs="Times New Roman"/>
          <w:color w:val="000000"/>
          <w:sz w:val="24"/>
          <w:szCs w:val="24"/>
          <w:lang w:val="en-US" w:eastAsia="zh-CN" w:bidi="ar-SA"/>
        </w:rPr>
        <w:outlineLvl w:val="9"/>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p>
    <w:p>
      <w:pPr>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p>
    <w:p>
      <w:pPr>
        <w:jc w:val="center"/>
        <w:widowControl w:val="off"/>
        <w:rPr>
          <w:rFonts w:ascii="仿宋" w:hAnsi="仿宋" w:eastAsia="仿宋" w:cs="Times New Roman"/>
          <w:bCs/>
          <w:color w:val="000000"/>
          <w:sz w:val="28"/>
          <w:szCs w:val="28"/>
          <w:lang w:val="en-US" w:eastAsia="zh-CN" w:bidi="ar-SA"/>
        </w:rPr>
      </w:pPr>
      <w:r>
        <w:rPr>
          <w:rFonts w:ascii="仿宋" w:hAnsi="仿宋" w:eastAsia="仿宋" w:cs="Times New Roman"/>
          <w:bCs/>
          <w:color w:val="000000"/>
          <w:sz w:val="28"/>
          <w:szCs w:val="28"/>
          <w:lang w:val="en-US" w:eastAsia="zh-CN" w:bidi="ar-SA"/>
        </w:rPr>
      </w:r>
      <w:r/>
    </w:p>
    <w:p>
      <w:pPr>
        <w:jc w:val="center"/>
        <w:widowControl w:val="off"/>
        <w:rPr>
          <w:rFonts w:ascii="仿宋" w:hAnsi="仿宋" w:eastAsia="仿宋" w:cs="Times New Roman"/>
          <w:bCs/>
          <w:color w:val="000000"/>
          <w:sz w:val="28"/>
          <w:szCs w:val="28"/>
          <w:lang w:val="en-US" w:eastAsia="zh-CN" w:bidi="ar-SA"/>
        </w:rPr>
      </w:pPr>
      <w:r>
        <w:rPr>
          <w:rFonts w:ascii="仿宋" w:hAnsi="仿宋" w:eastAsia="仿宋" w:cs="Times New Roman"/>
          <w:bCs/>
          <w:color w:val="000000"/>
          <w:sz w:val="28"/>
          <w:szCs w:val="28"/>
          <w:lang w:val="en-US" w:eastAsia="zh-CN" w:bidi="ar-SA"/>
        </w:rPr>
      </w:r>
      <w:r/>
    </w:p>
    <w:p>
      <w:pPr>
        <w:jc w:val="center"/>
        <w:widowControl w:val="off"/>
        <w:rPr>
          <w:rFonts w:ascii="仿宋" w:hAnsi="仿宋" w:eastAsia="仿宋" w:cs="Times New Roman"/>
          <w:bCs/>
          <w:color w:val="000000"/>
          <w:sz w:val="28"/>
          <w:szCs w:val="28"/>
          <w:lang w:val="en-US" w:eastAsia="zh-CN" w:bidi="ar-SA"/>
        </w:rPr>
      </w:pPr>
      <w:r>
        <w:rPr>
          <w:rFonts w:ascii="仿宋" w:hAnsi="仿宋" w:eastAsia="仿宋" w:cs="Times New Roman"/>
          <w:bCs/>
          <w:color w:val="000000"/>
          <w:sz w:val="28"/>
          <w:szCs w:val="28"/>
          <w:lang w:val="en-US" w:eastAsia="zh-CN" w:bidi="ar-SA"/>
        </w:rPr>
      </w:r>
      <w:r/>
    </w:p>
    <w:p>
      <w:pPr>
        <w:jc w:val="center"/>
        <w:widowControl w:val="off"/>
        <w:rPr>
          <w:rFonts w:ascii="仿宋" w:hAnsi="仿宋" w:eastAsia="仿宋" w:cs="Times New Roman"/>
          <w:bCs/>
          <w:color w:val="000000"/>
          <w:sz w:val="28"/>
          <w:szCs w:val="28"/>
          <w:lang w:val="en-US" w:eastAsia="zh-CN" w:bidi="ar-SA"/>
        </w:rPr>
      </w:pPr>
      <w:r>
        <w:rPr>
          <w:rFonts w:ascii="仿宋" w:hAnsi="仿宋" w:eastAsia="仿宋" w:cs="Times New Roman"/>
          <w:bCs/>
          <w:color w:val="000000"/>
          <w:sz w:val="28"/>
          <w:szCs w:val="28"/>
          <w:lang w:val="en-US" w:eastAsia="zh-CN" w:bidi="ar-SA"/>
        </w:rPr>
      </w:r>
      <w:r/>
    </w:p>
    <w:p>
      <w:pPr>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二、</w:t>
      </w:r>
      <w:r>
        <w:rPr>
          <w:rFonts w:ascii="仿宋" w:hAnsi="仿宋" w:eastAsia="仿宋" w:cs="Times New Roman"/>
          <w:bCs/>
          <w:color w:val="000000"/>
          <w:sz w:val="28"/>
          <w:szCs w:val="28"/>
          <w:lang w:val="en-US" w:eastAsia="zh-CN" w:bidi="ar-SA"/>
        </w:rPr>
        <w:t xml:space="preserve">授权委托书</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委托人：</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地址：</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法定代表人或负责人：职务：</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统一社会信用代码：</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受托人：性别：男（女）</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年龄：岁民族：族</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职务：</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身份证号：</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兹委托（）全权代表我公司参与</w:t>
      </w:r>
      <w:r>
        <w:rPr>
          <w:rFonts w:hint="eastAsia" w:ascii="仿宋" w:hAnsi="仿宋" w:eastAsia="仿宋" w:cs="Times New Roman"/>
          <w:color w:val="000000"/>
          <w:sz w:val="24"/>
          <w:szCs w:val="24"/>
          <w:lang w:val="en-US" w:eastAsia="zh-CN" w:bidi="ar-SA"/>
        </w:rPr>
        <w:t xml:space="preserve">2026年程桥街道60周岁(含)以上意外伤害保险采购</w:t>
      </w: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lang w:val="en-US" w:eastAsia="zh-CN" w:bidi="ar-SA"/>
        </w:rPr>
        <w:t xml:space="preserve">JSZC-320116-HTBX-C2026-0003</w:t>
      </w:r>
      <w:r>
        <w:rPr>
          <w:rFonts w:ascii="仿宋" w:hAnsi="仿宋" w:eastAsia="仿宋" w:cs="Times New Roman"/>
          <w:color w:val="000000"/>
          <w:sz w:val="24"/>
          <w:szCs w:val="24"/>
          <w:lang w:val="en-US" w:eastAsia="zh-CN" w:bidi="ar-SA"/>
        </w:rPr>
        <w:t xml:space="preserve">）的</w:t>
      </w:r>
      <w:r>
        <w:rPr>
          <w:rFonts w:hint="eastAsia" w:ascii="仿宋" w:hAnsi="仿宋" w:eastAsia="仿宋" w:cs="Times New Roman"/>
          <w:color w:val="000000"/>
          <w:sz w:val="24"/>
          <w:szCs w:val="24"/>
          <w:lang w:val="en-US" w:eastAsia="zh-CN" w:bidi="ar-SA"/>
        </w:rPr>
        <w:t xml:space="preserve">磋商</w:t>
      </w:r>
      <w:r>
        <w:rPr>
          <w:rFonts w:ascii="仿宋" w:hAnsi="仿宋" w:eastAsia="仿宋" w:cs="Times New Roman"/>
          <w:color w:val="000000"/>
          <w:sz w:val="24"/>
          <w:szCs w:val="24"/>
          <w:lang w:val="en-US" w:eastAsia="zh-CN" w:bidi="ar-SA"/>
        </w:rPr>
        <w:t xml:space="preserve">活动及签订合同。（）以我公司名义所为的法律行为及签署的文件，我公司均予以认可。有关法律责任均由我公司承担。（）无转委托权。委托期限自</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t xml:space="preserve">起至</w:t>
      </w:r>
      <w:r>
        <w:rPr>
          <w:rFonts w:hint="eastAsia" w:ascii="仿宋" w:hAnsi="仿宋" w:eastAsia="仿宋" w:cs="Times New Roman"/>
          <w:color w:val="000000"/>
          <w:sz w:val="24"/>
          <w:szCs w:val="24"/>
          <w:lang w:val="en-US" w:eastAsia="zh-CN" w:bidi="ar-SA"/>
        </w:rPr>
        <w:t xml:space="preserve">    年   月   日</w:t>
      </w:r>
      <w:r>
        <w:rPr>
          <w:rFonts w:ascii="仿宋" w:hAnsi="仿宋" w:eastAsia="仿宋" w:cs="Times New Roman"/>
          <w:color w:val="000000"/>
          <w:sz w:val="24"/>
          <w:szCs w:val="24"/>
          <w:lang w:val="en-US" w:eastAsia="zh-CN" w:bidi="ar-SA"/>
        </w:rPr>
        <w:t xml:space="preserve">止。</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特此授权委托。</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委托人（公章）：受托人（签字）：</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法定代表人或负责人（签字或签章）：</w:t>
      </w:r>
      <w:r/>
    </w:p>
    <w:p>
      <w:pPr>
        <w:ind w:firstLine="5520"/>
        <w:jc w:val="both"/>
        <w:spacing w:line="360" w:lineRule="auto"/>
        <w:widowControl w:val="off"/>
        <w:rPr>
          <w:rFonts w:ascii="仿宋" w:hAnsi="仿宋" w:eastAsia="仿宋" w:cs="Times New Roman"/>
          <w:color w:val="000000"/>
          <w:sz w:val="21"/>
          <w:szCs w:val="24"/>
          <w:u w:val="single"/>
          <w:lang w:val="en-US" w:eastAsia="zh-CN" w:bidi="ar-SA"/>
        </w:rPr>
      </w:pPr>
      <w:r>
        <w:rPr>
          <w:rFonts w:hint="eastAsia" w:ascii="仿宋" w:hAnsi="仿宋" w:eastAsia="仿宋" w:cs="Times New Roman"/>
          <w:color w:val="000000"/>
          <w:sz w:val="24"/>
          <w:szCs w:val="24"/>
          <w:lang w:val="en-US" w:eastAsia="zh-CN" w:bidi="ar-SA"/>
        </w:rPr>
        <w:t xml:space="preserve">    年   月   日</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w:t>
      </w:r>
      <w:r>
        <w:rPr>
          <w:rFonts w:ascii="仿宋" w:hAnsi="仿宋" w:eastAsia="仿宋" w:cs="Times New Roman"/>
          <w:color w:val="000000"/>
          <w:sz w:val="24"/>
          <w:szCs w:val="24"/>
          <w:lang w:val="en-US" w:eastAsia="zh-CN" w:bidi="ar-SA"/>
        </w:rPr>
        <w:t xml:space="preserve">受托人身份证原件扫描件附后</w:t>
      </w:r>
      <w:r>
        <w:rPr>
          <w:rFonts w:hint="eastAsia" w:ascii="仿宋" w:hAnsi="仿宋" w:eastAsia="仿宋" w:cs="Times New Roman"/>
          <w:color w:val="000000"/>
          <w:sz w:val="24"/>
          <w:szCs w:val="24"/>
          <w:lang w:val="en-US" w:eastAsia="zh-CN" w:bidi="ar-SA"/>
        </w:rPr>
        <w:t xml:space="preserve">）</w:t>
      </w:r>
      <w:r/>
    </w:p>
    <w:p>
      <w:pPr>
        <w:jc w:val="both"/>
        <w:spacing w:line="360" w:lineRule="auto"/>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709930</wp:posOffset>
                </wp:positionH>
                <wp:positionV relativeFrom="paragraph">
                  <wp:posOffset>7148830</wp:posOffset>
                </wp:positionV>
                <wp:extent cx="2867025" cy="158496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wps:txbx>
                      <wps:bodyPr wrap="square" upright="1"/>
                    </wps:wsp>
                  </a:graphicData>
                </a:graphic>
              </wp:anchor>
            </w:drawing>
          </mc:Choice>
          <mc:Fallback>
            <w:pict>
              <v:shape id="shape 4" o:spid="_x0000_s4" o:spt="202" type="#_x0000_t202" style="position:absolute;z-index:251658240;o:allowoverlap:true;o:allowincell:true;mso-position-horizontal-relative:text;margin-left:55.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v:textbox>
              </v:shape>
            </w:pict>
          </mc:Fallback>
        </mc:AlternateContent>
      </w:r>
      <w:r/>
    </w:p>
    <w:p>
      <w:pPr>
        <w:jc w:val="both"/>
        <w:spacing w:line="360" w:lineRule="auto"/>
        <w:widowControl w:val="off"/>
        <w:tabs>
          <w:tab w:val="center" w:pos="4564" w:leader="none"/>
        </w:tabs>
        <w:rPr>
          <w:rFonts w:ascii="仿宋" w:hAnsi="仿宋" w:eastAsia="仿宋" w:cs="Times New Roman"/>
          <w:color w:val="000000"/>
          <w:sz w:val="21"/>
          <w:szCs w:val="24"/>
          <w:lang w:val="en-US" w:eastAsia="zh-CN" w:bidi="ar-SA"/>
        </w:rPr>
      </w:pP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1014730</wp:posOffset>
                </wp:positionH>
                <wp:positionV relativeFrom="paragraph">
                  <wp:posOffset>7453630</wp:posOffset>
                </wp:positionV>
                <wp:extent cx="2867025" cy="158496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wps:txbx>
                      <wps:bodyPr wrap="square" upright="1"/>
                    </wps:wsp>
                  </a:graphicData>
                </a:graphic>
              </wp:anchor>
            </w:drawing>
          </mc:Choice>
          <mc:Fallback>
            <w:pict>
              <v:shape id="shape 5" o:spid="_x0000_s5" o:spt="202" type="#_x0000_t202" style="position:absolute;z-index:251658240;o:allowoverlap:true;o:allowincell:true;mso-position-horizontal-relative:text;margin-left:79.9pt;mso-position-horizontal:absolute;mso-position-vertical-relative:text;margin-top:586.9pt;mso-position-vertical:absolute;width:225.8pt;height:124.8pt;mso-wrap-distance-left:9.0pt;mso-wrap-distance-top:0.0pt;mso-wrap-distance-right:9.0pt;mso-wrap-distance-bottom:0.0pt;visibility:visible;" fillcolor="#FFFFFF" strokecolor="#000000">
                <v:textbox inset="0,0,0,0">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v:textbox>
              </v:shape>
            </w:pict>
          </mc:Fallback>
        </mc:AlternateContent>
      </w: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862330</wp:posOffset>
                </wp:positionH>
                <wp:positionV relativeFrom="paragraph">
                  <wp:posOffset>7301230</wp:posOffset>
                </wp:positionV>
                <wp:extent cx="2867025" cy="158496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wps:txbx>
                      <wps:bodyPr wrap="square" upright="1"/>
                    </wps:wsp>
                  </a:graphicData>
                </a:graphic>
              </wp:anchor>
            </w:drawing>
          </mc:Choice>
          <mc:Fallback>
            <w:pict>
              <v:shape id="shape 6" o:spid="_x0000_s6" o:spt="202" type="#_x0000_t202" style="position:absolute;z-index:251658240;o:allowoverlap:true;o:allowincell:true;mso-position-horizontal-relative:text;margin-left:67.9pt;mso-position-horizontal:absolute;mso-position-vertical-relative:text;margin-top:574.9pt;mso-position-vertical:absolute;width:225.8pt;height:124.8pt;mso-wrap-distance-left:9.0pt;mso-wrap-distance-top:0.0pt;mso-wrap-distance-right:9.0pt;mso-wrap-distance-bottom:0.0pt;visibility:visible;" fillcolor="#FFFFFF" strokecolor="#000000">
                <v:textbox inset="0,0,0,0">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v:textbox>
              </v:shape>
            </w:pict>
          </mc:Fallback>
        </mc:AlternateContent>
      </w: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709930</wp:posOffset>
                </wp:positionH>
                <wp:positionV relativeFrom="paragraph">
                  <wp:posOffset>7148830</wp:posOffset>
                </wp:positionV>
                <wp:extent cx="2867025" cy="158496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55.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法定代表人或负责人</w:t>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v:textbox>
              </v:shape>
            </w:pict>
          </mc:Fallback>
        </mc:AlternateContent>
      </w:r>
      <w:r>
        <w:rPr>
          <w:rFonts w:ascii="仿宋" w:hAnsi="仿宋" w:eastAsia="仿宋" w:cs="Times New Roman"/>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3910330</wp:posOffset>
                </wp:positionH>
                <wp:positionV relativeFrom="paragraph">
                  <wp:posOffset>7148830</wp:posOffset>
                </wp:positionV>
                <wp:extent cx="2867025" cy="158496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被授权代表身份证复印件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wps:txbx>
                      <wps:bodyPr wrap="square" upright="1"/>
                    </wps:wsp>
                  </a:graphicData>
                </a:graphic>
              </wp:anchor>
            </w:drawing>
          </mc:Choice>
          <mc:Fallback>
            <w:pict>
              <v:shape id="shape 8" o:spid="_x0000_s8" o:spt="202" type="#_x0000_t202" style="position:absolute;z-index:251658240;o:allowoverlap:true;o:allowincell:true;mso-position-horizontal-relative:text;margin-left:307.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r>
                      <w:r/>
                    </w:p>
                    <w:p>
                      <w:pPr>
                        <w:jc w:val="center"/>
                        <w:widowControl w:val="off"/>
                        <w:rPr>
                          <w:rFonts w:ascii="黑体" w:hAnsi="Times New Roman" w:eastAsia="黑体" w:cs="Times New Roman"/>
                          <w:sz w:val="32"/>
                          <w:szCs w:val="24"/>
                          <w:lang w:val="en-US" w:eastAsia="zh-CN" w:bidi="ar-SA"/>
                        </w:rPr>
                      </w:pPr>
                      <w:r>
                        <w:rPr>
                          <w:rFonts w:ascii="黑体" w:hAnsi="Times New Roman" w:eastAsia="黑体" w:cs="Times New Roman"/>
                          <w:sz w:val="32"/>
                          <w:szCs w:val="24"/>
                          <w:lang w:val="en-US" w:eastAsia="zh-CN" w:bidi="ar-SA"/>
                        </w:rPr>
                        <w:t xml:space="preserve">被授权代表身份证复印件</w:t>
                      </w:r>
                      <w:r/>
                    </w:p>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r/>
                      <w:r/>
                    </w:p>
                  </w:txbxContent>
                </v:textbox>
              </v:shape>
            </w:pict>
          </mc:Fallback>
        </mc:AlternateContent>
      </w:r>
      <w:r/>
    </w:p>
    <w:p>
      <w:pPr>
        <w:jc w:val="both"/>
        <w:spacing w:line="360" w:lineRule="auto"/>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1"/>
          <w:szCs w:val="24"/>
          <w:lang w:val="en-US" w:eastAsia="zh-CN" w:bidi="ar-SA"/>
        </w:rPr>
      </w:r>
      <w:r/>
    </w:p>
    <w:p>
      <w:pPr>
        <w:jc w:val="both"/>
        <w:spacing w:line="360" w:lineRule="auto"/>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1"/>
          <w:szCs w:val="24"/>
          <w:lang w:val="en-US" w:eastAsia="zh-CN" w:bidi="ar-SA"/>
        </w:rPr>
      </w:r>
      <w:r/>
    </w:p>
    <w:p>
      <w:pPr>
        <w:jc w:val="both"/>
        <w:spacing w:line="360" w:lineRule="auto"/>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1"/>
          <w:szCs w:val="24"/>
          <w:lang w:val="en-US" w:eastAsia="zh-CN" w:bidi="ar-SA"/>
        </w:rPr>
      </w:r>
      <w:r/>
    </w:p>
    <w:p>
      <w:pPr>
        <w:jc w:val="both"/>
        <w:spacing w:line="360" w:lineRule="auto"/>
        <w:widowControl w:val="off"/>
        <w:rPr>
          <w:rFonts w:ascii="仿宋" w:hAnsi="仿宋" w:eastAsia="仿宋" w:cs="Times New Roman"/>
          <w:b/>
          <w:bCs/>
          <w:color w:val="000000"/>
          <w:sz w:val="21"/>
          <w:szCs w:val="21"/>
          <w:lang w:val="en-US" w:eastAsia="zh-CN" w:bidi="ar-SA"/>
        </w:rPr>
      </w:pPr>
      <w:r>
        <w:rPr>
          <w:rFonts w:ascii="仿宋" w:hAnsi="仿宋" w:eastAsia="仿宋" w:cs="Times New Roman"/>
          <w:b/>
          <w:bCs/>
          <w:color w:val="000000"/>
          <w:sz w:val="21"/>
          <w:szCs w:val="21"/>
          <w:lang w:val="en-US" w:eastAsia="zh-CN" w:bidi="ar-SA"/>
        </w:rPr>
      </w:r>
      <w:r/>
    </w:p>
    <w:p>
      <w:pPr>
        <w:jc w:val="center"/>
        <w:spacing w:before="100" w:beforeAutospacing="1" w:after="100" w:afterAutospacing="1" w:line="450" w:lineRule="atLeast"/>
        <w:widowControl/>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jc w:val="center"/>
        <w:spacing w:before="100" w:beforeAutospacing="1" w:after="100" w:afterAutospacing="1" w:line="450" w:lineRule="atLeast"/>
        <w:widowControl/>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jc w:val="center"/>
        <w:spacing w:before="100" w:beforeAutospacing="1" w:after="100" w:afterAutospacing="1" w:line="450" w:lineRule="atLeast"/>
        <w:widowControl/>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三、供应商</w:t>
      </w:r>
      <w:r>
        <w:rPr>
          <w:rFonts w:ascii="仿宋" w:hAnsi="仿宋" w:eastAsia="仿宋" w:cs="Times New Roman"/>
          <w:bCs/>
          <w:color w:val="000000"/>
          <w:sz w:val="28"/>
          <w:szCs w:val="28"/>
          <w:lang w:val="en-US" w:eastAsia="zh-CN" w:bidi="ar-SA"/>
        </w:rPr>
        <w:t xml:space="preserve">基本信息</w:t>
      </w:r>
      <w:r/>
    </w:p>
    <w:p>
      <w:pPr>
        <w:jc w:val="left"/>
        <w:keepLines w:val="0"/>
        <w:keepNext w:val="0"/>
        <w:pageBreakBefore w:val="0"/>
        <w:spacing w:beforeAutospacing="0" w:after="100" w:afterAutospacing="1" w:line="360" w:lineRule="auto"/>
        <w:widowControl/>
        <w:rPr>
          <w:rFonts w:ascii="仿宋" w:hAnsi="仿宋" w:eastAsia="仿宋" w:cs="Times New Roman"/>
          <w:color w:val="000000"/>
          <w:sz w:val="24"/>
          <w:szCs w:val="24"/>
          <w:lang w:val="en-US" w:eastAsia="zh-CN" w:bidi="ar-SA"/>
        </w:rPr>
        <w:outlineLvl w:val="9"/>
      </w:pPr>
      <w:r>
        <w:rPr>
          <w:rFonts w:ascii="仿宋" w:hAnsi="仿宋" w:eastAsia="仿宋" w:cs="Times New Roman"/>
          <w:color w:val="000000"/>
          <w:sz w:val="24"/>
          <w:szCs w:val="24"/>
          <w:lang w:val="en-US" w:eastAsia="zh-CN" w:bidi="ar-SA"/>
        </w:rPr>
        <w:t xml:space="preserve">恒泰保险经纪有限公司：</w:t>
      </w:r>
      <w:r/>
    </w:p>
    <w:p>
      <w:pPr>
        <w:ind w:firstLine="480"/>
        <w:jc w:val="both"/>
        <w:spacing w:line="36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w:t>
      </w:r>
      <w:r>
        <w:rPr>
          <w:rFonts w:ascii="仿宋" w:hAnsi="仿宋" w:eastAsia="仿宋" w:cs="Times New Roman"/>
          <w:color w:val="000000"/>
          <w:sz w:val="24"/>
          <w:szCs w:val="24"/>
          <w:lang w:val="en-US" w:eastAsia="zh-CN" w:bidi="ar-SA"/>
        </w:rPr>
        <w:t xml:space="preserve">各方代表及联系人</w:t>
      </w:r>
      <w:r/>
    </w:p>
    <w:tbl>
      <w:tblPr>
        <w:tblStyle w:val="917"/>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0"/>
        <w:gridCol w:w="1188"/>
        <w:gridCol w:w="1967"/>
        <w:gridCol w:w="2927"/>
      </w:tblGrid>
      <w:tr>
        <w:trPr>
          <w:trHeight w:val="510"/>
        </w:trPr>
        <w:tc>
          <w:tcPr>
            <w:tcW w:w="2440"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各方代表</w:t>
            </w:r>
            <w:r/>
          </w:p>
        </w:tc>
        <w:tc>
          <w:tcPr>
            <w:tcW w:w="1188"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姓名</w:t>
            </w:r>
            <w:r/>
          </w:p>
        </w:tc>
        <w:tc>
          <w:tcPr>
            <w:tcW w:w="1967"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电话</w:t>
            </w:r>
            <w:r/>
          </w:p>
        </w:tc>
        <w:tc>
          <w:tcPr>
            <w:tcW w:w="2927"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邮箱</w:t>
            </w:r>
            <w:r/>
          </w:p>
        </w:tc>
      </w:tr>
      <w:tr>
        <w:trPr>
          <w:trHeight w:val="510"/>
        </w:trPr>
        <w:tc>
          <w:tcPr>
            <w:tcW w:w="2440" w:type="dxa"/>
            <w:vAlign w:val="center"/>
            <w:textDirection w:val="lrTb"/>
            <w:noWrap w:val="false"/>
          </w:tcPr>
          <w:p>
            <w:pPr>
              <w:jc w:val="center"/>
              <w:spacing w:after="0" w:line="240" w:lineRule="auto"/>
              <w:widowControl w:val="off"/>
              <w:rPr>
                <w:color w:val="000000"/>
              </w:rPr>
            </w:pPr>
            <w:r>
              <w:rPr>
                <w:rFonts w:ascii="仿宋" w:hAnsi="仿宋" w:eastAsia="仿宋" w:cs="Times New Roman"/>
                <w:color w:val="000000"/>
                <w:sz w:val="24"/>
                <w:szCs w:val="24"/>
                <w:lang w:val="en-US" w:eastAsia="zh-CN" w:bidi="ar-SA"/>
              </w:rPr>
              <w:t xml:space="preserve">法定代表人或负责人</w:t>
            </w:r>
            <w:r/>
          </w:p>
        </w:tc>
        <w:tc>
          <w:tcPr>
            <w:tcW w:w="1188"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967"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2927"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r>
        <w:trPr>
          <w:trHeight w:val="510"/>
        </w:trPr>
        <w:tc>
          <w:tcPr>
            <w:tcW w:w="2440" w:type="dxa"/>
            <w:vAlign w:val="center"/>
            <w:textDirection w:val="lrTb"/>
            <w:noWrap w:val="false"/>
          </w:tcPr>
          <w:p>
            <w:pPr>
              <w:jc w:val="center"/>
              <w:spacing w:after="0" w:line="240" w:lineRule="auto"/>
              <w:widowControl w:val="off"/>
              <w:rPr>
                <w:color w:val="000000"/>
              </w:rPr>
            </w:pPr>
            <w:r>
              <w:rPr>
                <w:rFonts w:ascii="仿宋" w:hAnsi="仿宋" w:eastAsia="仿宋" w:cs="Times New Roman"/>
                <w:color w:val="000000"/>
                <w:sz w:val="24"/>
                <w:szCs w:val="24"/>
                <w:lang w:val="en-US" w:eastAsia="zh-CN" w:bidi="ar-SA"/>
              </w:rPr>
              <w:t xml:space="preserve">授权代表</w:t>
            </w:r>
            <w:r/>
          </w:p>
        </w:tc>
        <w:tc>
          <w:tcPr>
            <w:tcW w:w="1188"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967"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2927"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r>
        <w:trPr>
          <w:trHeight w:val="510"/>
        </w:trPr>
        <w:tc>
          <w:tcPr>
            <w:tcW w:w="2440" w:type="dxa"/>
            <w:vAlign w:val="center"/>
            <w:textDirection w:val="lrTb"/>
            <w:noWrap w:val="false"/>
          </w:tcPr>
          <w:p>
            <w:pPr>
              <w:jc w:val="center"/>
              <w:spacing w:after="0" w:line="240" w:lineRule="auto"/>
              <w:widowControl w:val="off"/>
              <w:rPr>
                <w:color w:val="000000"/>
              </w:rPr>
            </w:pPr>
            <w:r>
              <w:rPr>
                <w:rFonts w:ascii="仿宋" w:hAnsi="仿宋" w:eastAsia="仿宋" w:cs="Times New Roman"/>
                <w:color w:val="000000"/>
                <w:sz w:val="24"/>
                <w:szCs w:val="24"/>
                <w:lang w:val="en-US" w:eastAsia="zh-CN" w:bidi="ar-SA"/>
              </w:rPr>
              <w:t xml:space="preserve">交接人</w:t>
            </w:r>
            <w:r/>
          </w:p>
        </w:tc>
        <w:tc>
          <w:tcPr>
            <w:tcW w:w="1188"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967"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2927" w:type="dxa"/>
            <w:vAlign w:val="center"/>
            <w:textDirection w:val="lrTb"/>
            <w:noWrap w:val="false"/>
          </w:tcPr>
          <w:p>
            <w:pPr>
              <w:jc w:val="center"/>
              <w:spacing w:after="0" w:line="24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bl>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ab/>
      </w:r>
      <w:r/>
    </w:p>
    <w:p>
      <w:pPr>
        <w:ind w:firstLine="480"/>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w:t>
      </w:r>
      <w:r>
        <w:rPr>
          <w:rFonts w:ascii="仿宋" w:hAnsi="仿宋" w:eastAsia="仿宋" w:cs="Times New Roman"/>
          <w:color w:val="000000"/>
          <w:sz w:val="24"/>
          <w:szCs w:val="24"/>
          <w:lang w:val="en-US" w:eastAsia="zh-CN" w:bidi="ar-SA"/>
        </w:rPr>
        <w:t xml:space="preserve">我单位用于收取保费的专用银行账户：</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账户：</w:t>
      </w:r>
      <w:r>
        <w:rPr>
          <w:rFonts w:ascii="仿宋" w:hAnsi="仿宋" w:eastAsia="仿宋" w:cs="Times New Roman"/>
          <w:color w:val="000000"/>
          <w:sz w:val="24"/>
          <w:szCs w:val="24"/>
          <w:lang w:val="en-US" w:eastAsia="zh-CN" w:bidi="ar-SA"/>
        </w:rPr>
        <w:tab/>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开户行：</w:t>
      </w:r>
      <w:r>
        <w:rPr>
          <w:rFonts w:ascii="仿宋" w:hAnsi="仿宋" w:eastAsia="仿宋" w:cs="Times New Roman"/>
          <w:color w:val="000000"/>
          <w:sz w:val="24"/>
          <w:szCs w:val="24"/>
          <w:lang w:val="en-US" w:eastAsia="zh-CN" w:bidi="ar-SA"/>
        </w:rPr>
        <w:tab/>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账号：</w:t>
      </w:r>
      <w:r>
        <w:rPr>
          <w:rFonts w:ascii="仿宋" w:hAnsi="仿宋" w:eastAsia="仿宋" w:cs="Times New Roman"/>
          <w:color w:val="000000"/>
          <w:sz w:val="24"/>
          <w:szCs w:val="24"/>
          <w:lang w:val="en-US" w:eastAsia="zh-CN" w:bidi="ar-SA"/>
        </w:rPr>
        <w:tab/>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480"/>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w:t>
      </w:r>
      <w:r>
        <w:rPr>
          <w:rFonts w:ascii="仿宋" w:hAnsi="仿宋" w:eastAsia="仿宋" w:cs="Times New Roman"/>
          <w:color w:val="000000"/>
          <w:sz w:val="24"/>
          <w:szCs w:val="24"/>
          <w:lang w:val="en-US" w:eastAsia="zh-CN" w:bidi="ar-SA"/>
        </w:rPr>
        <w:t xml:space="preserve">我单位专用发票信息</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名称：</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纳税人识别号：</w:t>
      </w:r>
      <w:r>
        <w:rPr>
          <w:rFonts w:ascii="仿宋" w:hAnsi="仿宋" w:eastAsia="仿宋" w:cs="Times New Roman"/>
          <w:color w:val="000000"/>
          <w:sz w:val="24"/>
          <w:szCs w:val="24"/>
          <w:lang w:val="en-US" w:eastAsia="zh-CN" w:bidi="ar-SA"/>
        </w:rPr>
        <w:tab/>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地址：</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电话：</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开户行：</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账号：</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联行号/CNAPS：</w:t>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注：</w:t>
      </w:r>
      <w:r/>
    </w:p>
    <w:p>
      <w:pPr>
        <w:ind w:firstLine="480"/>
        <w:jc w:val="both"/>
        <w:widowControl w:val="off"/>
        <w:rPr>
          <w:rFonts w:ascii="仿宋" w:hAnsi="仿宋" w:eastAsia="仿宋" w:cs="Times New Roman"/>
          <w:b/>
          <w:bCs/>
          <w:color w:val="000000"/>
          <w:sz w:val="24"/>
          <w:szCs w:val="24"/>
          <w:lang w:val="en-US" w:eastAsia="zh-CN" w:bidi="ar-SA"/>
        </w:rPr>
      </w:pPr>
      <w:r>
        <w:rPr>
          <w:rFonts w:ascii="仿宋" w:hAnsi="仿宋" w:eastAsia="仿宋" w:cs="Times New Roman"/>
          <w:b/>
          <w:bCs/>
          <w:color w:val="000000"/>
          <w:sz w:val="24"/>
          <w:szCs w:val="24"/>
          <w:lang w:val="en-US" w:eastAsia="zh-CN" w:bidi="ar-SA"/>
        </w:rPr>
        <w:t xml:space="preserve">1、交接人是签订中标合同、承保人员（写1名即可）。</w:t>
      </w:r>
      <w:r/>
    </w:p>
    <w:p>
      <w:pPr>
        <w:ind w:firstLine="482"/>
        <w:jc w:val="both"/>
        <w:widowControl w:val="off"/>
        <w:rPr>
          <w:rFonts w:ascii="仿宋" w:hAnsi="仿宋" w:eastAsia="仿宋" w:cs="Times New Roman"/>
          <w:b/>
          <w:bCs/>
          <w:color w:val="000000"/>
          <w:sz w:val="24"/>
          <w:szCs w:val="24"/>
          <w:lang w:val="en-US" w:eastAsia="zh-CN" w:bidi="ar-SA"/>
        </w:rPr>
      </w:pPr>
      <w:r>
        <w:rPr>
          <w:rFonts w:ascii="仿宋" w:hAnsi="仿宋" w:eastAsia="仿宋" w:cs="Times New Roman"/>
          <w:b/>
          <w:bCs/>
          <w:color w:val="000000"/>
          <w:sz w:val="24"/>
          <w:szCs w:val="24"/>
          <w:lang w:val="en-US" w:eastAsia="zh-CN" w:bidi="ar-SA"/>
        </w:rPr>
        <w:t xml:space="preserve">2、请务必仔细核对以上信息，如后期因为信息错误，自行承担相关责任。</w:t>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p>
    <w:p>
      <w:pPr>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p>
    <w:p>
      <w:pPr>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四、磋商报价表</w:t>
      </w:r>
      <w:r/>
    </w:p>
    <w:p>
      <w:pPr>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项目名称：</w:t>
      </w:r>
      <w:r>
        <w:rPr>
          <w:rFonts w:hint="eastAsia" w:ascii="仿宋" w:hAnsi="仿宋" w:eastAsia="仿宋" w:cs="Times New Roman"/>
          <w:color w:val="000000"/>
          <w:sz w:val="24"/>
          <w:szCs w:val="24"/>
          <w:u w:val="single"/>
          <w:lang w:val="en-US" w:eastAsia="zh-CN" w:bidi="ar-SA"/>
        </w:rPr>
        <w:t xml:space="preserve">2026年程桥街道60周岁(含)以上意外伤害保险采购</w:t>
      </w:r>
      <w:r/>
    </w:p>
    <w:p>
      <w:pPr>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u w:val="single"/>
          <w:lang w:val="en-US" w:eastAsia="zh-CN" w:bidi="ar-SA"/>
        </w:rPr>
        <w:t xml:space="preserve">JSZC-320116-HTBX-C2026-0003</w:t>
      </w:r>
      <w:r/>
    </w:p>
    <w:p>
      <w:pPr>
        <w:ind w:firstLine="624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货币单位：人民币</w:t>
      </w:r>
      <w:r/>
    </w:p>
    <w:tbl>
      <w:tblPr>
        <w:tblStyle w:val="745"/>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W w:w="3289"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项目名称</w:t>
            </w:r>
            <w:r/>
          </w:p>
        </w:tc>
        <w:tc>
          <w:tcPr>
            <w:tcW w:w="3855"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项目内容</w:t>
            </w:r>
            <w:r/>
          </w:p>
        </w:tc>
        <w:tc>
          <w:tcPr>
            <w:tcW w:w="1770"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总</w:t>
            </w:r>
            <w:r>
              <w:rPr>
                <w:rFonts w:ascii="仿宋" w:hAnsi="仿宋" w:eastAsia="仿宋" w:cs="Times New Roman"/>
                <w:color w:val="000000"/>
                <w:sz w:val="24"/>
                <w:szCs w:val="24"/>
                <w:lang w:val="en-US" w:eastAsia="zh-CN" w:bidi="ar-SA"/>
              </w:rPr>
              <w:t xml:space="preserve">价（小写）</w:t>
            </w:r>
            <w:r/>
          </w:p>
        </w:tc>
      </w:tr>
      <w:tr>
        <w:trPr>
          <w:cantSplit/>
          <w:jc w:val="center"/>
          <w:trHeight w:val="923"/>
        </w:trPr>
        <w:tc>
          <w:tcPr>
            <w:tcW w:w="3289"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2026年程桥街道60周岁(含)以上意外伤害保险采购</w:t>
            </w:r>
            <w:r/>
          </w:p>
        </w:tc>
        <w:tc>
          <w:tcPr>
            <w:tcW w:w="3855"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详见响应文件</w:t>
            </w:r>
            <w:r/>
          </w:p>
        </w:tc>
        <w:tc>
          <w:tcPr>
            <w:tcW w:w="1770"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u w:val="single"/>
                <w:lang w:val="en-US" w:eastAsia="zh-CN" w:bidi="ar-SA"/>
              </w:rPr>
              <w:t xml:space="preserve">填写</w:t>
            </w:r>
            <w:r/>
          </w:p>
        </w:tc>
      </w:tr>
      <w:tr>
        <w:trPr>
          <w:cantSplit/>
          <w:jc w:val="center"/>
          <w:trHeight w:val="1047"/>
        </w:trPr>
        <w:tc>
          <w:tcPr>
            <w:tcW w:w="3289" w:type="dxa"/>
            <w:vAlign w:val="center"/>
            <w:textDirection w:val="lrTb"/>
            <w:noWrap w:val="false"/>
          </w:tcPr>
          <w:p>
            <w:pPr>
              <w:jc w:val="lef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总</w:t>
            </w:r>
            <w:r>
              <w:rPr>
                <w:rFonts w:ascii="仿宋" w:hAnsi="仿宋" w:eastAsia="仿宋" w:cs="Times New Roman"/>
                <w:color w:val="000000"/>
                <w:sz w:val="24"/>
                <w:szCs w:val="24"/>
                <w:lang w:val="en-US" w:eastAsia="zh-CN" w:bidi="ar-SA"/>
              </w:rPr>
              <w:t xml:space="preserve">价（大写）：</w:t>
            </w:r>
            <w:r/>
          </w:p>
        </w:tc>
        <w:tc>
          <w:tcPr>
            <w:gridSpan w:val="2"/>
            <w:tcW w:w="5625" w:type="dxa"/>
            <w:vAlign w:val="center"/>
            <w:textDirection w:val="lrTb"/>
            <w:noWrap w:val="false"/>
          </w:tcPr>
          <w:p>
            <w:pPr>
              <w:jc w:val="lef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  </w:t>
            </w:r>
            <w:r>
              <w:rPr>
                <w:rFonts w:hint="eastAsia" w:ascii="仿宋" w:hAnsi="仿宋" w:eastAsia="仿宋" w:cs="Times New Roman"/>
                <w:color w:val="000000"/>
                <w:sz w:val="24"/>
                <w:szCs w:val="24"/>
                <w:u w:val="single"/>
                <w:lang w:val="en-US" w:eastAsia="zh-CN" w:bidi="ar-SA"/>
              </w:rPr>
              <w:t xml:space="preserve">填写</w:t>
            </w:r>
            <w:r/>
          </w:p>
        </w:tc>
      </w:tr>
    </w:tbl>
    <w:p>
      <w:pPr>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说明：</w:t>
      </w:r>
      <w:r/>
    </w:p>
    <w:p>
      <w:pPr>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报价说明:</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1、报价包括完成项目的所有费用。采购人不再支付报价以外的任何费用</w:t>
      </w:r>
      <w:r>
        <w:rPr>
          <w:rFonts w:hint="eastAsia" w:ascii="仿宋" w:hAnsi="仿宋" w:eastAsia="仿宋" w:cs="Times New Roman"/>
          <w:color w:val="000000"/>
          <w:sz w:val="24"/>
          <w:szCs w:val="24"/>
          <w:lang w:val="en-US" w:eastAsia="zh-CN" w:bidi="ar-SA"/>
        </w:rPr>
        <w:t xml:space="preserve">。</w:t>
      </w:r>
      <w:r/>
    </w:p>
    <w:p>
      <w:pPr>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w:t>
      </w:r>
      <w:r>
        <w:rPr>
          <w:rFonts w:ascii="仿宋" w:hAnsi="仿宋" w:eastAsia="仿宋" w:cs="Times New Roman"/>
          <w:color w:val="000000"/>
          <w:sz w:val="24"/>
          <w:szCs w:val="24"/>
          <w:lang w:val="en-US" w:eastAsia="zh-CN" w:bidi="ar-SA"/>
        </w:rPr>
        <w:t xml:space="preserve">报价以总价为准，大小写不一致以大写为准;</w:t>
      </w:r>
      <w:r/>
    </w:p>
    <w:p>
      <w:pPr>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w:t>
      </w:r>
      <w:r>
        <w:rPr>
          <w:rFonts w:ascii="仿宋" w:hAnsi="仿宋" w:eastAsia="仿宋" w:cs="Times New Roman"/>
          <w:color w:val="000000"/>
          <w:sz w:val="24"/>
          <w:szCs w:val="24"/>
          <w:lang w:val="en-US" w:eastAsia="zh-CN" w:bidi="ar-SA"/>
        </w:rPr>
        <w:t xml:space="preserve">、本项目仅接受一个价格，不得填报有选择性报价方案。若有优惠条款</w:t>
      </w:r>
      <w:r>
        <w:rPr>
          <w:rFonts w:hint="eastAsia" w:ascii="仿宋" w:hAnsi="仿宋" w:eastAsia="仿宋" w:cs="Times New Roman"/>
          <w:color w:val="000000"/>
          <w:sz w:val="24"/>
          <w:szCs w:val="24"/>
          <w:lang w:val="en-US" w:eastAsia="zh-CN" w:bidi="ar-SA"/>
        </w:rPr>
        <w:t xml:space="preserve">在</w:t>
      </w:r>
      <w:r>
        <w:rPr>
          <w:rFonts w:ascii="仿宋" w:hAnsi="仿宋" w:eastAsia="仿宋" w:cs="Times New Roman"/>
          <w:color w:val="000000"/>
          <w:sz w:val="24"/>
          <w:szCs w:val="24"/>
          <w:lang w:val="en-US" w:eastAsia="zh-CN" w:bidi="ar-SA"/>
        </w:rPr>
        <w:t xml:space="preserve">偏离说明:详见《偏离表》，但不得影响报价，影响</w:t>
      </w:r>
      <w:r>
        <w:rPr>
          <w:rFonts w:hint="eastAsia" w:ascii="仿宋" w:hAnsi="仿宋" w:eastAsia="仿宋" w:cs="Times New Roman"/>
          <w:color w:val="000000"/>
          <w:sz w:val="24"/>
          <w:szCs w:val="24"/>
          <w:lang w:val="en-US" w:eastAsia="zh-CN" w:bidi="ar-SA"/>
        </w:rPr>
        <w:t xml:space="preserve">服务质量</w:t>
      </w:r>
      <w:r>
        <w:rPr>
          <w:rFonts w:ascii="仿宋" w:hAnsi="仿宋" w:eastAsia="仿宋" w:cs="Times New Roman"/>
          <w:color w:val="000000"/>
          <w:sz w:val="24"/>
          <w:szCs w:val="24"/>
          <w:lang w:val="en-US" w:eastAsia="zh-CN" w:bidi="ar-SA"/>
        </w:rPr>
        <w:t xml:space="preserve">。</w:t>
      </w:r>
      <w:r/>
    </w:p>
    <w:p>
      <w:pPr>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注：总价金额为预算采购价</w:t>
      </w:r>
      <w:r>
        <w:rPr>
          <w:rFonts w:hint="eastAsia" w:ascii="仿宋" w:hAnsi="仿宋" w:eastAsia="仿宋" w:cs="仿宋"/>
          <w:color w:val="000000"/>
          <w:sz w:val="24"/>
          <w:szCs w:val="24"/>
          <w:highlight w:val="none"/>
          <w:lang w:val="en-US" w:eastAsia="zh-CN" w:bidi="ar-SA"/>
        </w:rPr>
        <w:t xml:space="preserve">52.92万元。</w:t>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p>
    <w:p>
      <w:pPr>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p>
    <w:p>
      <w:pPr>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jc w:val="center"/>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jc w:val="both"/>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jc w:val="both"/>
        <w:widowControl w:val="off"/>
        <w:rPr>
          <w:rFonts w:ascii="仿宋" w:hAnsi="仿宋" w:eastAsia="仿宋" w:cs="Times New Roman"/>
          <w:color w:val="000000"/>
          <w:sz w:val="28"/>
          <w:szCs w:val="28"/>
          <w:lang w:val="en-US" w:eastAsia="zh-CN" w:bidi="ar-SA"/>
        </w:rPr>
      </w:pPr>
      <w:r>
        <w:rPr>
          <w:rFonts w:ascii="仿宋" w:hAnsi="仿宋" w:eastAsia="仿宋" w:cs="Times New Roman"/>
          <w:color w:val="000000"/>
          <w:sz w:val="28"/>
          <w:szCs w:val="28"/>
          <w:lang w:val="en-US" w:eastAsia="zh-CN" w:bidi="ar-SA"/>
        </w:rPr>
      </w:r>
      <w:r/>
    </w:p>
    <w:p>
      <w:pPr>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五、</w:t>
      </w:r>
      <w:r>
        <w:rPr>
          <w:rFonts w:ascii="仿宋" w:hAnsi="仿宋" w:eastAsia="仿宋" w:cs="Times New Roman"/>
          <w:bCs/>
          <w:color w:val="000000"/>
          <w:sz w:val="28"/>
          <w:szCs w:val="28"/>
          <w:lang w:val="en-US" w:eastAsia="zh-CN" w:bidi="ar-SA"/>
        </w:rPr>
        <w:t xml:space="preserve">分项价格表</w:t>
      </w:r>
      <w:r/>
    </w:p>
    <w:p>
      <w:pPr>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项目名称：</w:t>
      </w:r>
      <w:r>
        <w:rPr>
          <w:rFonts w:hint="eastAsia" w:ascii="仿宋" w:hAnsi="仿宋" w:eastAsia="仿宋" w:cs="Times New Roman"/>
          <w:color w:val="000000"/>
          <w:sz w:val="24"/>
          <w:szCs w:val="24"/>
          <w:u w:val="single"/>
          <w:lang w:val="en-US" w:eastAsia="zh-CN" w:bidi="ar-SA"/>
        </w:rPr>
        <w:t xml:space="preserve">2026年程桥街道60周岁(含)以上意外伤害保险采购</w:t>
      </w:r>
      <w:r/>
    </w:p>
    <w:p>
      <w:pPr>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u w:val="single"/>
          <w:lang w:val="en-US" w:eastAsia="zh-CN" w:bidi="ar-SA"/>
        </w:rPr>
        <w:t xml:space="preserve">JSZC-320116-HTBX-C2026-0003</w:t>
      </w:r>
      <w:r/>
    </w:p>
    <w:p>
      <w:pPr>
        <w:ind w:firstLine="6240"/>
        <w:jc w:val="both"/>
        <w:spacing w:line="360" w:lineRule="auto"/>
        <w:widowControl w:val="off"/>
        <w:rPr>
          <w:rFonts w:ascii="Times New Roman" w:hAnsi="Times New Roman" w:eastAsia="宋体" w:cs="Times New Roman"/>
          <w:color w:val="000000"/>
          <w:sz w:val="20"/>
          <w:szCs w:val="20"/>
        </w:rPr>
      </w:pPr>
      <w:r>
        <w:rPr>
          <w:rFonts w:ascii="仿宋" w:hAnsi="仿宋" w:eastAsia="仿宋" w:cs="Times New Roman"/>
          <w:color w:val="000000"/>
          <w:sz w:val="24"/>
          <w:szCs w:val="24"/>
          <w:lang w:val="en-US" w:eastAsia="zh-CN" w:bidi="ar-SA"/>
        </w:rPr>
        <w:t xml:space="preserve">货币单位：人民币</w:t>
      </w:r>
      <w:r/>
    </w:p>
    <w:tbl>
      <w:tblPr>
        <w:tblStyle w:val="745"/>
        <w:tblW w:w="87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5593"/>
        <w:gridCol w:w="1797"/>
      </w:tblGrid>
      <w:tr>
        <w:trPr>
          <w:cantSplit/>
          <w:jc w:val="center"/>
          <w:trHeight w:val="510"/>
        </w:trPr>
        <w:tc>
          <w:tcPr>
            <w:gridSpan w:val="2"/>
            <w:tcW w:w="6931" w:type="dxa"/>
            <w:vAlign w:val="center"/>
            <w:textDirection w:val="lrTb"/>
            <w:noWrap w:val="false"/>
          </w:tcPr>
          <w:p>
            <w:pPr>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保险责任</w:t>
            </w:r>
            <w:r/>
          </w:p>
        </w:tc>
        <w:tc>
          <w:tcPr>
            <w:tcW w:w="1797" w:type="dxa"/>
            <w:vAlign w:val="center"/>
            <w:textDirection w:val="lrTb"/>
            <w:noWrap w:val="false"/>
          </w:tcPr>
          <w:p>
            <w:pPr>
              <w:jc w:val="center"/>
              <w:widowControl w:val="off"/>
              <w:rPr>
                <w:rFonts w:ascii="Times New Roman" w:hAnsi="Times New Roman" w:eastAsia="宋体" w:cs="Times New Roman"/>
                <w:color w:val="000000"/>
                <w:sz w:val="21"/>
                <w:szCs w:val="24"/>
                <w:lang w:val="en-US" w:eastAsia="zh-CN" w:bidi="ar-SA"/>
              </w:rPr>
            </w:pPr>
            <w:r>
              <w:rPr>
                <w:rFonts w:ascii="仿宋" w:hAnsi="仿宋" w:eastAsia="仿宋" w:cs="Times New Roman"/>
                <w:color w:val="000000"/>
                <w:sz w:val="24"/>
                <w:szCs w:val="24"/>
                <w:lang w:val="zh" w:eastAsia="zh-CN" w:bidi="ar-SA"/>
              </w:rPr>
              <w:t xml:space="preserve">每人</w:t>
            </w:r>
            <w:r>
              <w:rPr>
                <w:rFonts w:hint="eastAsia" w:ascii="仿宋" w:hAnsi="仿宋" w:eastAsia="仿宋" w:cs="Times New Roman"/>
                <w:color w:val="000000"/>
                <w:sz w:val="24"/>
                <w:szCs w:val="24"/>
                <w:lang w:val="en-US" w:eastAsia="zh-CN" w:bidi="ar-SA"/>
              </w:rPr>
              <w:t xml:space="preserve">每年</w:t>
            </w:r>
            <w:r>
              <w:rPr>
                <w:rFonts w:ascii="仿宋" w:hAnsi="仿宋" w:eastAsia="仿宋" w:cs="Times New Roman"/>
                <w:color w:val="000000"/>
                <w:sz w:val="24"/>
                <w:szCs w:val="24"/>
                <w:lang w:val="zh" w:eastAsia="zh-CN" w:bidi="ar-SA"/>
              </w:rPr>
              <w:t xml:space="preserve">保险金额（限额）</w:t>
            </w:r>
            <w:r/>
          </w:p>
        </w:tc>
      </w:tr>
      <w:tr>
        <w:trPr>
          <w:cantSplit/>
          <w:jc w:val="center"/>
          <w:trHeight w:val="513"/>
        </w:trPr>
        <w:tc>
          <w:tcPr>
            <w:tcW w:w="1338" w:type="dxa"/>
            <w:vAlign w:val="center"/>
            <w:vMerge w:val="restart"/>
            <w:textDirection w:val="lrTb"/>
            <w:noWrap w:val="false"/>
          </w:tcPr>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意外身故</w:t>
            </w:r>
            <w:r/>
          </w:p>
        </w:tc>
        <w:tc>
          <w:tcPr>
            <w:tcW w:w="5593" w:type="dxa"/>
            <w:vAlign w:val="center"/>
            <w:textDirection w:val="lrTb"/>
            <w:noWrap w:val="false"/>
          </w:tcPr>
          <w:p>
            <w:pPr>
              <w:jc w:val="left"/>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zh" w:eastAsia="zh-CN" w:bidi="ar-SA"/>
              </w:rPr>
              <w:t xml:space="preserve">因意外伤害导致的身故或下落不明</w:t>
            </w:r>
            <w:r/>
          </w:p>
        </w:tc>
        <w:tc>
          <w:tcPr>
            <w:tcW w:w="1797" w:type="dxa"/>
            <w:vAlign w:val="center"/>
            <w:textDirection w:val="lrTb"/>
            <w:noWrap w:val="false"/>
          </w:tcPr>
          <w:p>
            <w:pPr>
              <w:jc w:val="center"/>
              <w:widowControl w:val="off"/>
              <w:rPr>
                <w:rFonts w:hint="eastAsia"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2万</w:t>
            </w:r>
            <w:r/>
          </w:p>
        </w:tc>
      </w:tr>
      <w:tr>
        <w:trPr>
          <w:cantSplit/>
          <w:jc w:val="center"/>
          <w:trHeight w:val="510"/>
        </w:trPr>
        <w:tc>
          <w:tcPr>
            <w:tcW w:w="1338" w:type="dxa"/>
            <w:vAlign w:val="center"/>
            <w:vMerge w:val="continue"/>
            <w:textDirection w:val="lrTb"/>
            <w:noWrap w:val="false"/>
          </w:tcPr>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5593" w:type="dxa"/>
            <w:vAlign w:val="center"/>
            <w:textDirection w:val="lrTb"/>
            <w:noWrap w:val="false"/>
          </w:tcPr>
          <w:p>
            <w:pPr>
              <w:jc w:val="left"/>
              <w:widowControl w:val="off"/>
              <w:rPr>
                <w:rFonts w:ascii="仿宋" w:hAnsi="仿宋" w:eastAsia="仿宋" w:cs="Times New Roman"/>
                <w:color w:val="000000"/>
                <w:sz w:val="24"/>
                <w:szCs w:val="32"/>
                <w:lang w:val="zh" w:eastAsia="zh-CN" w:bidi="ar-SA"/>
              </w:rPr>
            </w:pPr>
            <w:r>
              <w:rPr>
                <w:rFonts w:hint="eastAsia" w:ascii="仿宋" w:hAnsi="仿宋" w:eastAsia="仿宋" w:cs="Times New Roman"/>
                <w:color w:val="000000"/>
                <w:sz w:val="24"/>
                <w:szCs w:val="32"/>
                <w:lang w:val="zh" w:eastAsia="zh-CN" w:bidi="ar-SA"/>
              </w:rPr>
              <w:t xml:space="preserve">乘坐营运类机动车导致意外身故</w:t>
            </w:r>
            <w:r/>
          </w:p>
        </w:tc>
        <w:tc>
          <w:tcPr>
            <w:tcW w:w="1797" w:type="dxa"/>
            <w:vAlign w:val="center"/>
            <w:textDirection w:val="lrTb"/>
            <w:noWrap w:val="false"/>
          </w:tcPr>
          <w:p>
            <w:pPr>
              <w:jc w:val="center"/>
              <w:widowControl w:val="off"/>
              <w:rPr>
                <w:rFonts w:hint="eastAsia"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1万</w:t>
            </w:r>
            <w:r/>
          </w:p>
        </w:tc>
      </w:tr>
      <w:tr>
        <w:trPr>
          <w:cantSplit/>
          <w:jc w:val="center"/>
          <w:trHeight w:val="510"/>
        </w:trPr>
        <w:tc>
          <w:tcPr>
            <w:tcW w:w="1338" w:type="dxa"/>
            <w:vAlign w:val="center"/>
            <w:vMerge w:val="continue"/>
            <w:textDirection w:val="lrTb"/>
            <w:noWrap w:val="false"/>
          </w:tcPr>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5593" w:type="dxa"/>
            <w:vAlign w:val="center"/>
            <w:textDirection w:val="lrTb"/>
            <w:noWrap w:val="false"/>
          </w:tcPr>
          <w:p>
            <w:pPr>
              <w:jc w:val="left"/>
              <w:widowControl w:val="off"/>
              <w:rPr>
                <w:rFonts w:ascii="仿宋" w:hAnsi="仿宋" w:eastAsia="仿宋" w:cs="Times New Roman"/>
                <w:color w:val="000000"/>
                <w:sz w:val="24"/>
                <w:szCs w:val="32"/>
                <w:lang w:val="zh" w:eastAsia="zh-CN" w:bidi="ar-SA"/>
              </w:rPr>
            </w:pPr>
            <w:r>
              <w:rPr>
                <w:rFonts w:hint="eastAsia" w:ascii="仿宋" w:hAnsi="仿宋" w:eastAsia="仿宋" w:cs="Times New Roman"/>
                <w:color w:val="000000"/>
                <w:sz w:val="24"/>
                <w:szCs w:val="32"/>
                <w:lang w:val="zh" w:eastAsia="zh-CN" w:bidi="ar-SA"/>
              </w:rPr>
              <w:t xml:space="preserve">乘坐营运类飞机、水上交通、轨道交通工具导致意外身故</w:t>
            </w:r>
            <w:r/>
          </w:p>
        </w:tc>
        <w:tc>
          <w:tcPr>
            <w:tcW w:w="1797" w:type="dxa"/>
            <w:vAlign w:val="center"/>
            <w:textDirection w:val="lrTb"/>
            <w:noWrap w:val="false"/>
          </w:tcPr>
          <w:p>
            <w:pPr>
              <w:jc w:val="center"/>
              <w:widowControl w:val="off"/>
              <w:rPr>
                <w:rFonts w:hint="eastAsia"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1万</w:t>
            </w:r>
            <w:r/>
          </w:p>
        </w:tc>
      </w:tr>
      <w:tr>
        <w:trPr>
          <w:cantSplit/>
          <w:jc w:val="center"/>
          <w:trHeight w:val="957"/>
        </w:trPr>
        <w:tc>
          <w:tcPr>
            <w:tcW w:w="1338" w:type="dxa"/>
            <w:vAlign w:val="center"/>
            <w:textDirection w:val="lrTb"/>
            <w:noWrap w:val="false"/>
          </w:tcPr>
          <w:p>
            <w:pPr>
              <w:jc w:val="center"/>
              <w:widowControl w:val="off"/>
              <w:rPr>
                <w:rFonts w:ascii="仿宋" w:hAnsi="仿宋" w:eastAsia="仿宋" w:cs="Times New Roman"/>
                <w:color w:val="000000"/>
                <w:sz w:val="24"/>
                <w:szCs w:val="32"/>
                <w:lang w:val="zh" w:eastAsia="zh-CN" w:bidi="ar-SA"/>
              </w:rPr>
            </w:pPr>
            <w:r>
              <w:rPr>
                <w:rFonts w:hint="eastAsia" w:ascii="仿宋" w:hAnsi="仿宋" w:eastAsia="仿宋" w:cs="Times New Roman"/>
                <w:color w:val="000000"/>
                <w:sz w:val="24"/>
                <w:szCs w:val="32"/>
                <w:lang w:val="zh" w:eastAsia="zh-CN" w:bidi="ar-SA"/>
              </w:rPr>
              <w:t xml:space="preserve">意外残疾</w:t>
            </w:r>
            <w:r/>
          </w:p>
        </w:tc>
        <w:tc>
          <w:tcPr>
            <w:tcW w:w="5593" w:type="dxa"/>
            <w:vAlign w:val="center"/>
            <w:textDirection w:val="lrTb"/>
            <w:noWrap w:val="false"/>
          </w:tcPr>
          <w:p>
            <w:pPr>
              <w:jc w:val="left"/>
              <w:widowControl w:val="off"/>
              <w:rPr>
                <w:rFonts w:ascii="仿宋" w:hAnsi="仿宋" w:eastAsia="仿宋" w:cs="Times New Roman"/>
                <w:color w:val="000000"/>
                <w:sz w:val="24"/>
                <w:szCs w:val="32"/>
                <w:lang w:val="zh" w:eastAsia="zh-CN" w:bidi="ar-SA"/>
              </w:rPr>
            </w:pPr>
            <w:r>
              <w:rPr>
                <w:rFonts w:hint="eastAsia" w:ascii="仿宋" w:hAnsi="仿宋" w:eastAsia="仿宋" w:cs="Times New Roman"/>
                <w:color w:val="000000"/>
                <w:sz w:val="24"/>
                <w:szCs w:val="32"/>
                <w:lang w:val="zh" w:eastAsia="zh-CN" w:bidi="ar-SA"/>
              </w:rPr>
              <w:t xml:space="preserve">因意外伤害导致残疾、根据残疾等级按约定比例赔付（《人身保险伤残评定标准及代码》（JR/T0083-2013））</w:t>
            </w:r>
            <w:r/>
          </w:p>
        </w:tc>
        <w:tc>
          <w:tcPr>
            <w:tcW w:w="1797" w:type="dxa"/>
            <w:vAlign w:val="center"/>
            <w:textDirection w:val="lrTb"/>
            <w:noWrap w:val="false"/>
          </w:tcPr>
          <w:p>
            <w:pPr>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2万</w:t>
            </w:r>
            <w:r/>
          </w:p>
        </w:tc>
      </w:tr>
      <w:tr>
        <w:trPr>
          <w:cantSplit/>
          <w:jc w:val="center"/>
          <w:trHeight w:val="626"/>
        </w:trPr>
        <w:tc>
          <w:tcPr>
            <w:tcW w:w="1338"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32"/>
                <w:lang w:val="zh" w:eastAsia="zh-CN" w:bidi="ar-SA"/>
              </w:rPr>
              <w:t xml:space="preserve">意外医疗</w:t>
            </w:r>
            <w:r/>
          </w:p>
        </w:tc>
        <w:tc>
          <w:tcPr>
            <w:tcW w:w="5593" w:type="dxa"/>
            <w:vAlign w:val="center"/>
            <w:textDirection w:val="lrTb"/>
            <w:noWrap w:val="false"/>
          </w:tcPr>
          <w:p>
            <w:pPr>
              <w:ind w:left="0" w:firstLine="0"/>
              <w:jc w:val="left"/>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4"/>
                <w:szCs w:val="32"/>
                <w:lang w:val="zh" w:eastAsia="zh-CN" w:bidi="ar-SA"/>
              </w:rPr>
              <w:t xml:space="preserve">因意外导致的医疗费用补偿</w:t>
            </w:r>
            <w:r>
              <w:rPr>
                <w:rFonts w:hint="eastAsia" w:ascii="仿宋" w:hAnsi="仿宋" w:eastAsia="仿宋" w:cs="Times New Roman"/>
                <w:color w:val="000000"/>
                <w:sz w:val="24"/>
                <w:szCs w:val="32"/>
                <w:lang w:val="zh" w:eastAsia="zh-CN" w:bidi="ar-SA"/>
              </w:rPr>
              <w:t xml:space="preserve">，</w:t>
            </w:r>
            <w:r>
              <w:rPr>
                <w:rFonts w:hint="eastAsia" w:ascii="仿宋" w:hAnsi="仿宋" w:eastAsia="仿宋" w:cs="Times New Roman"/>
                <w:color w:val="000000"/>
                <w:sz w:val="24"/>
                <w:szCs w:val="32"/>
                <w:lang w:val="en-US" w:eastAsia="zh-CN" w:bidi="ar-SA"/>
              </w:rPr>
              <w:t xml:space="preserve">无</w:t>
            </w:r>
            <w:r>
              <w:rPr>
                <w:rFonts w:ascii="仿宋" w:hAnsi="仿宋" w:eastAsia="仿宋" w:cs="Times New Roman"/>
                <w:color w:val="000000"/>
                <w:sz w:val="24"/>
                <w:szCs w:val="24"/>
                <w:lang w:val="en-US" w:eastAsia="zh-CN" w:bidi="ar-SA"/>
              </w:rPr>
              <w:t xml:space="preserve">免赔</w:t>
            </w:r>
            <w:r>
              <w:rPr>
                <w:rFonts w:hint="eastAsia" w:ascii="仿宋" w:hAnsi="仿宋" w:eastAsia="仿宋" w:cs="Times New Roman"/>
                <w:color w:val="000000"/>
                <w:sz w:val="24"/>
                <w:szCs w:val="24"/>
                <w:lang w:val="en-US" w:eastAsia="zh-CN" w:bidi="ar-SA"/>
              </w:rPr>
              <w:t xml:space="preserve">额</w:t>
            </w:r>
            <w:r>
              <w:rPr>
                <w:rFonts w:ascii="仿宋" w:hAnsi="仿宋" w:eastAsia="仿宋" w:cs="Times New Roman"/>
                <w:color w:val="000000"/>
                <w:sz w:val="24"/>
                <w:szCs w:val="24"/>
                <w:lang w:val="en-US" w:eastAsia="zh-CN" w:bidi="ar-SA"/>
              </w:rPr>
              <w:t xml:space="preserve">，按</w:t>
            </w:r>
            <w:r>
              <w:rPr>
                <w:rFonts w:hint="eastAsia" w:ascii="仿宋" w:hAnsi="仿宋" w:eastAsia="仿宋" w:cs="Times New Roman"/>
                <w:color w:val="000000"/>
                <w:sz w:val="24"/>
                <w:szCs w:val="24"/>
                <w:lang w:val="en-US" w:eastAsia="zh-CN" w:bidi="ar-SA"/>
              </w:rPr>
              <w:t xml:space="preserve">90</w:t>
            </w:r>
            <w:r>
              <w:rPr>
                <w:rFonts w:ascii="仿宋" w:hAnsi="仿宋" w:eastAsia="仿宋" w:cs="Times New Roman"/>
                <w:color w:val="000000"/>
                <w:sz w:val="24"/>
                <w:szCs w:val="24"/>
                <w:lang w:val="en-US" w:eastAsia="zh-CN" w:bidi="ar-SA"/>
              </w:rPr>
              <w:t xml:space="preserve">％赔付（</w:t>
            </w:r>
            <w:r>
              <w:rPr>
                <w:rFonts w:hint="eastAsia" w:ascii="仿宋" w:hAnsi="仿宋" w:eastAsia="仿宋" w:cs="Times New Roman"/>
                <w:color w:val="000000"/>
                <w:sz w:val="24"/>
                <w:szCs w:val="24"/>
                <w:lang w:val="en-US" w:eastAsia="zh-CN" w:bidi="ar-SA"/>
              </w:rPr>
              <w:t xml:space="preserve">医</w:t>
            </w:r>
            <w:r>
              <w:rPr>
                <w:rFonts w:ascii="仿宋" w:hAnsi="仿宋" w:eastAsia="仿宋" w:cs="Times New Roman"/>
                <w:color w:val="000000"/>
                <w:sz w:val="24"/>
                <w:szCs w:val="24"/>
                <w:lang w:val="en-US" w:eastAsia="zh-CN" w:bidi="ar-SA"/>
              </w:rPr>
              <w:t xml:space="preserve">保用药范围内）。</w:t>
            </w:r>
            <w:r/>
          </w:p>
        </w:tc>
        <w:tc>
          <w:tcPr>
            <w:tcW w:w="1797" w:type="dxa"/>
            <w:vAlign w:val="center"/>
            <w:textDirection w:val="lrTb"/>
            <w:noWrap w:val="false"/>
          </w:tcPr>
          <w:p>
            <w:pPr>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0.5万</w:t>
            </w:r>
            <w:r/>
          </w:p>
        </w:tc>
      </w:tr>
      <w:tr>
        <w:trPr>
          <w:cantSplit/>
          <w:jc w:val="center"/>
          <w:trHeight w:val="666"/>
        </w:trPr>
        <w:tc>
          <w:tcPr>
            <w:tcW w:w="1338" w:type="dxa"/>
            <w:vAlign w:val="center"/>
            <w:textDirection w:val="lrTb"/>
            <w:noWrap w:val="false"/>
          </w:tcPr>
          <w:p>
            <w:pPr>
              <w:jc w:val="center"/>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32"/>
                <w:lang w:val="zh" w:eastAsia="zh-CN" w:bidi="ar-SA"/>
              </w:rPr>
              <w:t xml:space="preserve">意外住院津贴</w:t>
            </w:r>
            <w:r/>
          </w:p>
        </w:tc>
        <w:tc>
          <w:tcPr>
            <w:tcW w:w="5593" w:type="dxa"/>
            <w:vAlign w:val="center"/>
            <w:textDirection w:val="lrTb"/>
            <w:noWrap w:val="false"/>
          </w:tcPr>
          <w:p>
            <w:pPr>
              <w:jc w:val="left"/>
              <w:widowControl w:val="off"/>
              <w:rPr>
                <w:rFonts w:ascii="仿宋" w:hAnsi="仿宋" w:eastAsia="仿宋" w:cs="Times New Roman"/>
                <w:color w:val="000000"/>
                <w:sz w:val="21"/>
                <w:szCs w:val="24"/>
                <w:lang w:val="en-US" w:eastAsia="zh-CN" w:bidi="ar-SA"/>
              </w:rPr>
            </w:pPr>
            <w:r>
              <w:rPr>
                <w:rFonts w:ascii="仿宋" w:hAnsi="仿宋" w:eastAsia="仿宋" w:cs="Times New Roman"/>
                <w:color w:val="000000"/>
                <w:sz w:val="24"/>
                <w:szCs w:val="32"/>
                <w:lang w:val="zh" w:eastAsia="zh-CN" w:bidi="ar-SA"/>
              </w:rPr>
              <w:t xml:space="preserve">意外伤害住院医疗定额补贴</w:t>
            </w:r>
            <w:r>
              <w:rPr>
                <w:rFonts w:ascii="仿宋" w:hAnsi="仿宋" w:eastAsia="仿宋" w:cs="Times New Roman"/>
                <w:color w:val="000000"/>
                <w:sz w:val="24"/>
                <w:szCs w:val="24"/>
                <w:lang w:val="en-US" w:eastAsia="zh-CN" w:bidi="ar-SA"/>
              </w:rPr>
              <w:t xml:space="preserve">，无免赔天数，全年最高赔付</w:t>
            </w:r>
            <w:r>
              <w:rPr>
                <w:rFonts w:hint="eastAsia" w:ascii="仿宋" w:hAnsi="仿宋" w:eastAsia="仿宋" w:cs="Times New Roman"/>
                <w:color w:val="000000"/>
                <w:sz w:val="24"/>
                <w:szCs w:val="24"/>
                <w:lang w:val="en-US" w:eastAsia="zh-CN" w:bidi="ar-SA"/>
              </w:rPr>
              <w:t xml:space="preserve">180</w:t>
            </w:r>
            <w:r>
              <w:rPr>
                <w:rFonts w:ascii="仿宋" w:hAnsi="仿宋" w:eastAsia="仿宋" w:cs="Times New Roman"/>
                <w:color w:val="000000"/>
                <w:sz w:val="24"/>
                <w:szCs w:val="24"/>
                <w:lang w:val="en-US" w:eastAsia="zh-CN" w:bidi="ar-SA"/>
              </w:rPr>
              <w:t xml:space="preserve">天。</w:t>
            </w:r>
            <w:r/>
          </w:p>
        </w:tc>
        <w:tc>
          <w:tcPr>
            <w:tcW w:w="1797" w:type="dxa"/>
            <w:vAlign w:val="center"/>
            <w:textDirection w:val="lrTb"/>
            <w:noWrap w:val="false"/>
          </w:tcPr>
          <w:p>
            <w:pPr>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100</w:t>
            </w:r>
            <w:r>
              <w:rPr>
                <w:rFonts w:ascii="仿宋" w:hAnsi="仿宋" w:eastAsia="仿宋" w:cs="Times New Roman"/>
                <w:color w:val="000000"/>
                <w:sz w:val="24"/>
                <w:szCs w:val="32"/>
                <w:lang w:val="en-US" w:eastAsia="zh-CN" w:bidi="ar-SA"/>
              </w:rPr>
              <w:t xml:space="preserve">元/天</w:t>
            </w:r>
            <w:r/>
          </w:p>
        </w:tc>
      </w:tr>
      <w:tr>
        <w:trPr>
          <w:cantSplit/>
          <w:jc w:val="center"/>
          <w:trHeight w:val="510"/>
        </w:trPr>
        <w:tc>
          <w:tcPr>
            <w:gridSpan w:val="2"/>
            <w:tcW w:w="6931" w:type="dxa"/>
            <w:vAlign w:val="center"/>
            <w:textDirection w:val="lrTb"/>
            <w:noWrap w:val="false"/>
          </w:tcPr>
          <w:p>
            <w:pPr>
              <w:jc w:val="center"/>
              <w:widowControl w:val="off"/>
              <w:rPr>
                <w:rFonts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附加条款</w:t>
            </w:r>
            <w:r/>
          </w:p>
        </w:tc>
        <w:tc>
          <w:tcPr>
            <w:tcW w:w="1797" w:type="dxa"/>
            <w:vAlign w:val="center"/>
            <w:textDirection w:val="lrTb"/>
            <w:noWrap w:val="false"/>
          </w:tcPr>
          <w:p>
            <w:pPr>
              <w:jc w:val="center"/>
              <w:widowControl w:val="off"/>
              <w:rPr>
                <w:rFonts w:hint="eastAsia" w:ascii="仿宋" w:hAnsi="仿宋" w:eastAsia="仿宋" w:cs="Times New Roman"/>
                <w:color w:val="000000"/>
                <w:sz w:val="24"/>
                <w:szCs w:val="32"/>
                <w:lang w:val="en-US" w:eastAsia="zh-CN" w:bidi="ar-SA"/>
              </w:rPr>
            </w:pPr>
            <w:r>
              <w:rPr>
                <w:rFonts w:ascii="仿宋" w:hAnsi="仿宋" w:eastAsia="仿宋" w:cs="Times New Roman"/>
                <w:color w:val="000000"/>
                <w:sz w:val="24"/>
                <w:szCs w:val="24"/>
                <w:lang w:val="zh" w:eastAsia="zh-CN" w:bidi="ar-SA"/>
              </w:rPr>
              <w:t xml:space="preserve">每人</w:t>
            </w:r>
            <w:r>
              <w:rPr>
                <w:rFonts w:hint="eastAsia" w:ascii="仿宋" w:hAnsi="仿宋" w:eastAsia="仿宋" w:cs="Times New Roman"/>
                <w:color w:val="000000"/>
                <w:sz w:val="24"/>
                <w:szCs w:val="24"/>
                <w:lang w:val="en-US" w:eastAsia="zh-CN" w:bidi="ar-SA"/>
              </w:rPr>
              <w:t xml:space="preserve">每年</w:t>
            </w:r>
            <w:r>
              <w:rPr>
                <w:rFonts w:ascii="仿宋" w:hAnsi="仿宋" w:eastAsia="仿宋" w:cs="Times New Roman"/>
                <w:color w:val="000000"/>
                <w:sz w:val="24"/>
                <w:szCs w:val="24"/>
                <w:lang w:val="zh" w:eastAsia="zh-CN" w:bidi="ar-SA"/>
              </w:rPr>
              <w:t xml:space="preserve">保险金额（限额）</w:t>
            </w:r>
            <w:r/>
          </w:p>
        </w:tc>
      </w:tr>
      <w:tr>
        <w:trPr>
          <w:cantSplit/>
          <w:jc w:val="center"/>
          <w:trHeight w:val="510"/>
        </w:trPr>
        <w:tc>
          <w:tcPr>
            <w:gridSpan w:val="2"/>
            <w:tcW w:w="6931" w:type="dxa"/>
            <w:vAlign w:val="center"/>
            <w:textDirection w:val="lrTb"/>
            <w:noWrap w:val="false"/>
          </w:tcPr>
          <w:p>
            <w:pPr>
              <w:jc w:val="center"/>
              <w:widowControl w:val="off"/>
              <w:rPr>
                <w:rFonts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p>
        </w:tc>
        <w:tc>
          <w:tcPr>
            <w:tcW w:w="1797" w:type="dxa"/>
            <w:vAlign w:val="center"/>
            <w:textDirection w:val="lrTb"/>
            <w:noWrap w:val="false"/>
          </w:tcPr>
          <w:p>
            <w:pPr>
              <w:jc w:val="center"/>
              <w:widowControl w:val="off"/>
              <w:rPr>
                <w:rFonts w:hint="eastAsia"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p>
        </w:tc>
      </w:tr>
      <w:tr>
        <w:trPr>
          <w:cantSplit/>
          <w:jc w:val="center"/>
          <w:trHeight w:val="510"/>
        </w:trPr>
        <w:tc>
          <w:tcPr>
            <w:gridSpan w:val="2"/>
            <w:tcW w:w="6931" w:type="dxa"/>
            <w:vAlign w:val="center"/>
            <w:textDirection w:val="lrTb"/>
            <w:noWrap w:val="false"/>
          </w:tcPr>
          <w:p>
            <w:pPr>
              <w:jc w:val="center"/>
              <w:widowControl w:val="off"/>
              <w:rPr>
                <w:rFonts w:ascii="仿宋" w:hAnsi="仿宋" w:eastAsia="仿宋" w:cs="Times New Roman"/>
                <w:color w:val="000000"/>
                <w:sz w:val="24"/>
                <w:szCs w:val="32"/>
                <w:u w:val="single"/>
                <w:lang w:val="zh" w:eastAsia="zh-CN" w:bidi="ar-SA"/>
              </w:rPr>
            </w:pPr>
            <w:r>
              <w:rPr>
                <w:rFonts w:hint="eastAsia" w:ascii="仿宋" w:hAnsi="仿宋" w:eastAsia="仿宋" w:cs="Times New Roman"/>
                <w:color w:val="000000"/>
                <w:sz w:val="24"/>
                <w:szCs w:val="32"/>
                <w:u w:val="single"/>
                <w:lang w:val="en-US" w:eastAsia="zh-CN" w:bidi="ar-SA"/>
              </w:rPr>
              <w:t xml:space="preserve">填写</w:t>
            </w:r>
            <w:r/>
          </w:p>
        </w:tc>
        <w:tc>
          <w:tcPr>
            <w:tcW w:w="1797" w:type="dxa"/>
            <w:vAlign w:val="center"/>
            <w:textDirection w:val="lrTb"/>
            <w:noWrap w:val="false"/>
          </w:tcPr>
          <w:p>
            <w:pPr>
              <w:jc w:val="center"/>
              <w:widowControl w:val="off"/>
              <w:rPr>
                <w:rFonts w:hint="eastAsia"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p>
        </w:tc>
      </w:tr>
      <w:tr>
        <w:trPr>
          <w:cantSplit/>
          <w:jc w:val="center"/>
          <w:trHeight w:val="510"/>
        </w:trPr>
        <w:tc>
          <w:tcPr>
            <w:gridSpan w:val="3"/>
            <w:tcW w:w="8728" w:type="dxa"/>
            <w:vAlign w:val="center"/>
            <w:textDirection w:val="lrTb"/>
            <w:noWrap w:val="false"/>
          </w:tcPr>
          <w:p>
            <w:pPr>
              <w:jc w:val="center"/>
              <w:widowControl w:val="off"/>
              <w:rPr>
                <w:rFonts w:hint="eastAsia" w:ascii="仿宋" w:hAnsi="仿宋" w:eastAsia="仿宋" w:cs="Times New Roman"/>
                <w:color w:val="000000"/>
                <w:sz w:val="24"/>
                <w:szCs w:val="32"/>
                <w:lang w:val="en-US" w:eastAsia="zh-CN" w:bidi="ar-SA"/>
              </w:rPr>
            </w:pPr>
            <w:r>
              <w:rPr>
                <w:rFonts w:hint="eastAsia" w:ascii="仿宋" w:hAnsi="仿宋" w:eastAsia="仿宋" w:cs="Times New Roman"/>
                <w:color w:val="000000"/>
                <w:sz w:val="24"/>
                <w:szCs w:val="32"/>
                <w:lang w:val="en-US" w:eastAsia="zh-CN" w:bidi="ar-SA"/>
              </w:rPr>
              <w:t xml:space="preserve">特别约定</w:t>
            </w:r>
            <w:r/>
          </w:p>
        </w:tc>
      </w:tr>
      <w:tr>
        <w:trPr>
          <w:cantSplit/>
          <w:jc w:val="center"/>
          <w:trHeight w:val="510"/>
        </w:trPr>
        <w:tc>
          <w:tcPr>
            <w:gridSpan w:val="3"/>
            <w:tcW w:w="8728" w:type="dxa"/>
            <w:vAlign w:val="center"/>
            <w:textDirection w:val="lrTb"/>
            <w:noWrap w:val="false"/>
          </w:tcPr>
          <w:p>
            <w:pPr>
              <w:jc w:val="center"/>
              <w:widowControl w:val="off"/>
              <w:rPr>
                <w:rFonts w:hint="eastAsia"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p>
        </w:tc>
      </w:tr>
      <w:tr>
        <w:trPr>
          <w:cantSplit/>
          <w:jc w:val="center"/>
          <w:trHeight w:val="510"/>
        </w:trPr>
        <w:tc>
          <w:tcPr>
            <w:gridSpan w:val="3"/>
            <w:tcW w:w="8728" w:type="dxa"/>
            <w:vAlign w:val="center"/>
            <w:textDirection w:val="lrTb"/>
            <w:noWrap w:val="false"/>
          </w:tcPr>
          <w:p>
            <w:pPr>
              <w:jc w:val="center"/>
              <w:widowControl w:val="off"/>
              <w:rPr>
                <w:rFonts w:hint="eastAsia" w:ascii="仿宋" w:hAnsi="仿宋" w:eastAsia="仿宋" w:cs="Times New Roman"/>
                <w:color w:val="000000"/>
                <w:sz w:val="24"/>
                <w:szCs w:val="32"/>
                <w:u w:val="single"/>
                <w:lang w:val="en-US" w:eastAsia="zh-CN" w:bidi="ar-SA"/>
              </w:rPr>
            </w:pPr>
            <w:r>
              <w:rPr>
                <w:rFonts w:hint="eastAsia" w:ascii="仿宋" w:hAnsi="仿宋" w:eastAsia="仿宋" w:cs="Times New Roman"/>
                <w:color w:val="000000"/>
                <w:sz w:val="24"/>
                <w:szCs w:val="32"/>
                <w:u w:val="single"/>
                <w:lang w:val="en-US" w:eastAsia="zh-CN" w:bidi="ar-SA"/>
              </w:rPr>
              <w:t xml:space="preserve">填写</w:t>
            </w:r>
            <w:r/>
          </w:p>
        </w:tc>
      </w:tr>
    </w:tbl>
    <w:p>
      <w:pPr>
        <w:ind w:firstLine="480"/>
        <w:jc w:val="left"/>
        <w:widowControl/>
        <w:rPr>
          <w:rFonts w:hint="eastAsia" w:ascii="仿宋" w:hAnsi="仿宋" w:eastAsia="仿宋" w:cs="Times New Roman"/>
          <w:b w:val="0"/>
          <w:bCs w:val="0"/>
          <w:color w:val="000000"/>
          <w:sz w:val="24"/>
          <w:szCs w:val="20"/>
        </w:rPr>
      </w:pPr>
      <w:r>
        <w:rPr>
          <w:rFonts w:hint="eastAsia" w:ascii="仿宋" w:hAnsi="仿宋" w:eastAsia="仿宋" w:cs="Times New Roman"/>
          <w:color w:val="000000"/>
          <w:sz w:val="24"/>
          <w:szCs w:val="24"/>
          <w:lang w:val="en-US" w:eastAsia="zh-CN" w:bidi="ar-SA"/>
        </w:rPr>
        <w:t xml:space="preserve">注：表格不够自行扩展</w:t>
      </w:r>
      <w:r/>
    </w:p>
    <w:p>
      <w:pPr>
        <w:ind w:firstLine="480"/>
        <w:jc w:val="both"/>
        <w:keepLines w:val="0"/>
        <w:keepNext w:val="0"/>
        <w:pageBreakBefore w:val="0"/>
        <w:spacing w:line="400" w:lineRule="exact"/>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p>
    <w:p>
      <w:pPr>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p>
    <w:p>
      <w:pPr>
        <w:jc w:val="both"/>
        <w:spacing w:line="360" w:lineRule="auto"/>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p>
      <w:pPr>
        <w:ind w:firstLine="560"/>
        <w:jc w:val="center"/>
        <w:keepLines w:val="0"/>
        <w:keepNext w:val="0"/>
        <w:pageBreakBefore/>
        <w:spacing w:line="360" w:lineRule="auto"/>
        <w:widowControl w:val="off"/>
        <w:rPr>
          <w:rFonts w:hint="eastAsia" w:ascii="仿宋" w:hAnsi="仿宋" w:eastAsia="仿宋" w:cs="Times New Roman"/>
          <w:bCs/>
          <w:color w:val="000000"/>
          <w:sz w:val="28"/>
          <w:szCs w:val="28"/>
          <w:lang w:val="zh-CN" w:eastAsia="zh-CN" w:bidi="ar-SA"/>
        </w:rPr>
        <w:outlineLvl w:val="9"/>
      </w:pPr>
      <w:r>
        <w:rPr>
          <w:rFonts w:hint="eastAsia" w:ascii="仿宋" w:hAnsi="仿宋" w:eastAsia="仿宋" w:cs="Times New Roman"/>
          <w:bCs/>
          <w:color w:val="000000"/>
          <w:sz w:val="28"/>
          <w:szCs w:val="28"/>
          <w:lang w:val="en-US" w:eastAsia="zh-CN" w:bidi="ar-SA"/>
        </w:rPr>
        <w:t xml:space="preserve">六</w:t>
      </w:r>
      <w:r>
        <w:rPr>
          <w:rFonts w:hint="eastAsia" w:ascii="仿宋" w:hAnsi="仿宋" w:eastAsia="仿宋" w:cs="Times New Roman"/>
          <w:bCs/>
          <w:color w:val="000000"/>
          <w:sz w:val="28"/>
          <w:szCs w:val="28"/>
          <w:lang w:val="zh-CN" w:eastAsia="zh-CN" w:bidi="ar-SA"/>
        </w:rPr>
        <w:t xml:space="preserve">、资格证明文件</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请根据以下要求提供内容：若需遵循特定格式，请参考后附规范；若未明确格式要求，可自行拟定。</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格式一、符合《中华人民共和国政府采购法》第二十二条规定，提供《南京市政府采购供应商信用记录表暨信用承诺书》</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格式二、具备履行合同所必需的设备和专业技术能力的书面声明</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格式三、供应商参加采购活动前3年内在经营活动中没有重大违法记录的书面声明</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四、单位负责人为同一人或者存在直接控股、管理关系的不同供应商，不得参加同一合同项下的政府采购活动。为采购项目提供整体设计、规范编制或者项目管理、监理、检测等服务的供应商，不得参加本项目的采购活动。（提供声明函）</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格式五、提供中小企业声明函（可以不提供）。</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特别说明：</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1、供应商仅提供《南京市政府采购供应商信用记录表暨信用承诺书》而未提供“</w:t>
      </w:r>
      <w:r>
        <w:rPr>
          <w:rFonts w:hint="eastAsia" w:ascii="仿宋" w:hAnsi="仿宋" w:eastAsia="仿宋" w:cs="Times New Roman"/>
          <w:color w:val="000000"/>
          <w:sz w:val="24"/>
          <w:szCs w:val="24"/>
          <w:lang w:val="zh-CN" w:eastAsia="zh-CN" w:bidi="ar-SA"/>
        </w:rPr>
        <w:t xml:space="preserve">《中华人民共和国政府采购法》第二十二条规定</w:t>
      </w:r>
      <w:r>
        <w:rPr>
          <w:rFonts w:hint="eastAsia" w:ascii="仿宋" w:hAnsi="仿宋" w:eastAsia="仿宋" w:cs="Times New Roman"/>
          <w:color w:val="000000"/>
          <w:sz w:val="24"/>
          <w:szCs w:val="24"/>
          <w:lang w:val="en-US" w:eastAsia="zh-CN" w:bidi="ar-SA"/>
        </w:rPr>
        <w:t xml:space="preserve">”的，供应商在中标（成交）后，应上述由信用承诺函替代的证明材料（一式两份），加盖公章按磋商文件要求胶装提交采购人或采购代理机构核验。经核验无误后，由采购人或采购代理机构发出成交通知书。</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2、供应商涉及以下情形的，不适用信用承诺，仍须提供上述证明材料：</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（1）供应商被列入严重失信主体名单；</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（2）被相关监管部门作出行政处罚且尚在处罚有效期内；</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（3）其他法律、行政法规规定的不适用信用承诺的情形。</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供应商对信用承诺内容的真实性、合法性、有效性负责。如作出虚假信用承诺，视同为“提供虚假材料谋取中标、成交”的违法行为。</w:t>
      </w:r>
      <w:r/>
    </w:p>
    <w:p>
      <w:pPr>
        <w:pStyle w:val="746"/>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p>
      <w:pPr>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r>
      <w:r/>
    </w:p>
    <w:p>
      <w:pPr>
        <w:ind w:firstLine="482"/>
        <w:jc w:val="left"/>
        <w:keepLines w:val="0"/>
        <w:keepNext w:val="0"/>
        <w:pageBreakBefore w:val="0"/>
        <w:spacing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格式一</w:t>
      </w:r>
      <w:r>
        <w:rPr>
          <w:rFonts w:hint="eastAsia" w:ascii="仿宋" w:hAnsi="仿宋" w:eastAsia="仿宋" w:cs="仿宋"/>
          <w:color w:val="000000"/>
          <w:sz w:val="24"/>
          <w:szCs w:val="24"/>
          <w:highlight w:val="none"/>
          <w:lang w:val="en-US" w:eastAsia="zh-CN" w:bidi="ar-SA"/>
        </w:rPr>
        <w:t xml:space="preserve">、1、符合《政府采购法》第二十二条的相关规定，供应商提供《南京市政府采购供应商信用记录表暨信用承诺书》（</w:t>
      </w:r>
      <w:r>
        <w:rPr>
          <w:rFonts w:hint="eastAsia" w:ascii="仿宋" w:hAnsi="仿宋" w:eastAsia="仿宋" w:cs="仿宋"/>
          <w:b/>
          <w:bCs/>
          <w:color w:val="000000"/>
          <w:sz w:val="24"/>
          <w:szCs w:val="24"/>
          <w:highlight w:val="none"/>
          <w:lang w:val="en-US" w:eastAsia="zh-CN" w:bidi="ar-SA"/>
        </w:rPr>
        <w:t xml:space="preserve">此格式仅为示范！！！，供应商须按照步骤在线打印</w:t>
      </w:r>
      <w:r>
        <w:rPr>
          <w:rFonts w:hint="eastAsia" w:ascii="仿宋" w:hAnsi="仿宋" w:eastAsia="仿宋" w:cs="仿宋"/>
          <w:color w:val="000000"/>
          <w:sz w:val="24"/>
          <w:szCs w:val="24"/>
          <w:highlight w:val="none"/>
          <w:lang w:val="en-US" w:eastAsia="zh-CN" w:bidi="ar-SA"/>
        </w:rPr>
        <w:t xml:space="preserve">）。 </w:t>
      </w:r>
      <w:r/>
    </w:p>
    <w:p>
      <w:pPr>
        <w:ind w:firstLine="482"/>
        <w:jc w:val="left"/>
        <w:keepLines w:val="0"/>
        <w:keepNext w:val="0"/>
        <w:pageBreakBefore w:val="0"/>
        <w:spacing w:line="360" w:lineRule="auto"/>
        <w:widowControl w:val="off"/>
        <w:tabs>
          <w:tab w:val="left" w:pos="7005" w:leader="none"/>
        </w:tabs>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南京市政府采购供应商信用记录表暨信用承诺书</w:t>
      </w:r>
      <w:r/>
    </w:p>
    <w:tbl>
      <w:tblPr>
        <w:tblStyle w:val="745"/>
        <w:tblW w:w="95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6"/>
        <w:gridCol w:w="1932"/>
        <w:gridCol w:w="2248"/>
        <w:gridCol w:w="3136"/>
      </w:tblGrid>
      <w:tr>
        <w:trPr>
          <w:jc w:val="center"/>
          <w:trHeight w:val="541"/>
        </w:trPr>
        <w:tc>
          <w:tcPr>
            <w:tcW w:w="222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单位名称</w:t>
            </w:r>
            <w:r/>
          </w:p>
        </w:tc>
        <w:tc>
          <w:tcPr>
            <w:tcW w:w="1932" w:type="dxa"/>
            <w:vAlign w:val="center"/>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248"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统一社会信用代码</w:t>
            </w:r>
            <w:r/>
          </w:p>
        </w:tc>
        <w:tc>
          <w:tcPr>
            <w:tcW w:w="3136" w:type="dxa"/>
            <w:vAlign w:val="top"/>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4"/>
        </w:trPr>
        <w:tc>
          <w:tcPr>
            <w:tcW w:w="222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w:t>
            </w:r>
            <w:r/>
          </w:p>
        </w:tc>
        <w:tc>
          <w:tcPr>
            <w:tcW w:w="1932" w:type="dxa"/>
            <w:vAlign w:val="center"/>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248"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联系人</w:t>
            </w:r>
            <w:r/>
          </w:p>
        </w:tc>
        <w:tc>
          <w:tcPr>
            <w:tcW w:w="3136" w:type="dxa"/>
            <w:vAlign w:val="top"/>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494"/>
        </w:trPr>
        <w:tc>
          <w:tcPr>
            <w:tcW w:w="222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联系地址</w:t>
            </w:r>
            <w:r/>
          </w:p>
        </w:tc>
        <w:tc>
          <w:tcPr>
            <w:tcW w:w="1932" w:type="dxa"/>
            <w:vAlign w:val="center"/>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2248"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联系电话</w:t>
            </w:r>
            <w:r/>
          </w:p>
        </w:tc>
        <w:tc>
          <w:tcPr>
            <w:tcW w:w="3136" w:type="dxa"/>
            <w:vAlign w:val="top"/>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567"/>
        </w:trPr>
        <w:tc>
          <w:tcPr>
            <w:tcW w:w="2226" w:type="dxa"/>
            <w:vAlign w:val="center"/>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诚信档案记录情况</w:t>
            </w:r>
            <w:r/>
          </w:p>
        </w:tc>
        <w:tc>
          <w:tcPr>
            <w:gridSpan w:val="3"/>
            <w:tcW w:w="7316" w:type="dxa"/>
            <w:vAlign w:val="top"/>
            <w:textDirection w:val="lrTb"/>
            <w:noWrap w:val="false"/>
          </w:tcPr>
          <w:p>
            <w:pPr>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jc w:val="center"/>
          <w:trHeight w:val="826"/>
        </w:trPr>
        <w:tc>
          <w:tcPr>
            <w:tcW w:w="2226" w:type="dxa"/>
            <w:vAlign w:val="center"/>
            <w:textDirection w:val="lrTb"/>
            <w:noWrap w:val="false"/>
          </w:tcPr>
          <w:p>
            <w:pPr>
              <w:jc w:val="center"/>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信用承诺</w:t>
            </w:r>
            <w:r/>
          </w:p>
        </w:tc>
        <w:tc>
          <w:tcPr>
            <w:gridSpan w:val="3"/>
            <w:tcW w:w="7316" w:type="dxa"/>
            <w:vAlign w:val="top"/>
            <w:textDirection w:val="lrTb"/>
            <w:noWrap w:val="false"/>
          </w:tcPr>
          <w:p>
            <w:pPr>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我公司自愿参加贵中心（公司）组织的本次采购活动，严格遵守《中华人民共和国政府采购法》及相关</w:t>
            </w:r>
            <w:r>
              <w:rPr>
                <w:rFonts w:hint="eastAsia" w:ascii="仿宋" w:hAnsi="仿宋" w:eastAsia="仿宋" w:cs="仿宋"/>
                <w:color w:val="000000"/>
                <w:sz w:val="24"/>
                <w:szCs w:val="24"/>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420" w:firstLine="420"/>
              <w:jc w:val="righ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供应商名称（盖章）：</w:t>
            </w:r>
            <w:r/>
          </w:p>
          <w:p>
            <w:pPr>
              <w:ind w:right="420" w:firstLine="420"/>
              <w:jc w:val="righ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法定代表人（签字）：</w:t>
            </w:r>
            <w:r/>
          </w:p>
          <w:p>
            <w:pPr>
              <w:ind w:right="315" w:firstLine="420"/>
              <w:jc w:val="right"/>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二0    年   月   日</w:t>
            </w:r>
            <w:r/>
          </w:p>
        </w:tc>
      </w:tr>
    </w:tbl>
    <w:p>
      <w:pPr>
        <w:jc w:val="left"/>
        <w:spacing w:line="360" w:lineRule="auto"/>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ind w:firstLine="482"/>
        <w:jc w:val="both"/>
        <w:keepLines w:val="0"/>
        <w:keepNext w:val="0"/>
        <w:pageBreakBefore w:val="0"/>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仿宋"/>
          <w:b/>
          <w:bCs/>
          <w:color w:val="000000"/>
          <w:sz w:val="24"/>
          <w:szCs w:val="24"/>
          <w:highlight w:val="none"/>
          <w:lang w:val="en-US" w:eastAsia="zh-CN" w:bidi="ar-SA"/>
        </w:rPr>
        <w:t xml:space="preserve">格式二、</w:t>
      </w:r>
      <w:r>
        <w:rPr>
          <w:rFonts w:ascii="仿宋" w:hAnsi="仿宋" w:eastAsia="仿宋" w:cs="仿宋"/>
          <w:b w:val="0"/>
          <w:bCs w:val="0"/>
          <w:color w:val="000000"/>
          <w:sz w:val="24"/>
          <w:szCs w:val="24"/>
          <w:highlight w:val="none"/>
          <w:lang w:val="en-US" w:eastAsia="zh-CN" w:bidi="ar-SA"/>
        </w:rPr>
        <w:t xml:space="preserve">具备履行合同所必需的设备和专业技术能力的书面声明</w:t>
      </w:r>
      <w:r>
        <w:rPr>
          <w:rFonts w:ascii="仿宋" w:hAnsi="仿宋" w:eastAsia="仿宋" w:cs="Times New Roman"/>
          <w:bCs/>
          <w:color w:val="000000"/>
          <w:sz w:val="28"/>
          <w:szCs w:val="28"/>
          <w:lang w:val="en-US" w:eastAsia="zh-CN" w:bidi="ar-SA"/>
        </w:rPr>
        <w:br w:type="textWrapping" w:clear="all"/>
      </w:r>
      <w:r/>
    </w:p>
    <w:p>
      <w:pPr>
        <w:jc w:val="left"/>
        <w:widowControl/>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郑重声明：</w:t>
      </w: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具备履行合同（项目名称：</w:t>
      </w:r>
      <w:r>
        <w:rPr>
          <w:rFonts w:hint="eastAsia" w:ascii="仿宋" w:hAnsi="仿宋" w:eastAsia="仿宋" w:cs="Times New Roman"/>
          <w:color w:val="000000"/>
          <w:sz w:val="24"/>
          <w:szCs w:val="24"/>
          <w:lang w:val="en-US" w:eastAsia="zh-CN" w:bidi="ar-SA"/>
        </w:rPr>
        <w:t xml:space="preserve">2026年程桥街道60周岁(含)以上意外伤害保险采购</w:t>
      </w: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lang w:val="en-US" w:eastAsia="zh-CN" w:bidi="ar-SA"/>
        </w:rPr>
        <w:t xml:space="preserve">JSZC-320116-HTBX-C2026-0003</w:t>
      </w:r>
      <w:r>
        <w:rPr>
          <w:rFonts w:ascii="仿宋" w:hAnsi="仿宋" w:eastAsia="仿宋" w:cs="Times New Roman"/>
          <w:color w:val="000000"/>
          <w:sz w:val="24"/>
          <w:szCs w:val="24"/>
          <w:lang w:val="en-US" w:eastAsia="zh-CN" w:bidi="ar-SA"/>
        </w:rPr>
        <w:t xml:space="preserve">）所必需的设备和专业技术能力，具体为：</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设备：</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1.（证明材料原件的扫描件附后）</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2.（证明材料原件的扫描件附后）</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3.（证明材料原件的扫描件附后）</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专业技术能力：</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1.（证明材料原件的扫描件附后）</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2.（证明材料原件的扫描件附后）</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3.（证明材料原件的扫描件附后）</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w:t>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480"/>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特此声明。</w:t>
      </w:r>
      <w:r/>
    </w:p>
    <w:p>
      <w:pPr>
        <w:ind w:firstLine="480"/>
        <w:jc w:val="both"/>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对上述声明的真实性负责。如有虚假，将依法承担相应责任。</w:t>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p>
    <w:p>
      <w:pPr>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p>
    <w:p>
      <w:pPr>
        <w:ind w:firstLine="482"/>
        <w:jc w:val="both"/>
        <w:keepLines w:val="0"/>
        <w:keepNext w:val="0"/>
        <w:pageBreakBefore w:val="0"/>
        <w:widowControl w:val="off"/>
        <w:rPr>
          <w:rFonts w:ascii="仿宋" w:hAnsi="仿宋" w:eastAsia="仿宋" w:cs="仿宋"/>
          <w:b/>
          <w:bCs/>
          <w:color w:val="000000"/>
          <w:sz w:val="24"/>
          <w:szCs w:val="24"/>
          <w:highlight w:val="none"/>
          <w:lang w:val="en-US" w:eastAsia="zh-CN" w:bidi="ar-SA"/>
        </w:rPr>
        <w:outlineLvl w:val="9"/>
      </w:pPr>
      <w:r>
        <w:rPr>
          <w:rFonts w:hint="eastAsia" w:ascii="仿宋" w:hAnsi="仿宋" w:eastAsia="仿宋" w:cs="仿宋"/>
          <w:b/>
          <w:bCs/>
          <w:color w:val="000000"/>
          <w:sz w:val="24"/>
          <w:szCs w:val="24"/>
          <w:highlight w:val="none"/>
          <w:lang w:val="en-US" w:eastAsia="zh-CN" w:bidi="ar-SA"/>
        </w:rPr>
        <w:t xml:space="preserve">格式三、供应商</w:t>
      </w:r>
      <w:r>
        <w:rPr>
          <w:rFonts w:ascii="仿宋" w:hAnsi="仿宋" w:eastAsia="仿宋" w:cs="仿宋"/>
          <w:b/>
          <w:bCs/>
          <w:color w:val="000000"/>
          <w:sz w:val="24"/>
          <w:szCs w:val="24"/>
          <w:highlight w:val="none"/>
          <w:lang w:val="en-US" w:eastAsia="zh-CN" w:bidi="ar-SA"/>
        </w:rPr>
        <w:t xml:space="preserve">参加</w:t>
      </w:r>
      <w:r>
        <w:rPr>
          <w:rFonts w:hint="eastAsia" w:ascii="仿宋" w:hAnsi="仿宋" w:eastAsia="仿宋" w:cs="仿宋"/>
          <w:b/>
          <w:bCs/>
          <w:color w:val="000000"/>
          <w:sz w:val="24"/>
          <w:szCs w:val="24"/>
          <w:highlight w:val="none"/>
          <w:lang w:val="en-US" w:eastAsia="zh-CN" w:bidi="ar-SA"/>
        </w:rPr>
        <w:t xml:space="preserve">采购</w:t>
      </w:r>
      <w:r>
        <w:rPr>
          <w:rFonts w:ascii="仿宋" w:hAnsi="仿宋" w:eastAsia="仿宋" w:cs="仿宋"/>
          <w:b/>
          <w:bCs/>
          <w:color w:val="000000"/>
          <w:sz w:val="24"/>
          <w:szCs w:val="24"/>
          <w:highlight w:val="none"/>
          <w:lang w:val="en-US" w:eastAsia="zh-CN" w:bidi="ar-SA"/>
        </w:rPr>
        <w:t xml:space="preserve">活动前3年内在经营活动中没有重大违法记录的书面声明</w:t>
      </w:r>
      <w:r/>
    </w:p>
    <w:p>
      <w:pPr>
        <w:ind w:firstLine="480"/>
        <w:jc w:val="left"/>
        <w:keepLines w:val="0"/>
        <w:keepNext w:val="0"/>
        <w:pageBreakBefore w:val="0"/>
        <w:spacing w:before="0" w:beforeAutospacing="0" w:after="0" w:afterAutospacing="0" w:line="450" w:lineRule="exact"/>
        <w:widowControl/>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480"/>
        <w:jc w:val="left"/>
        <w:keepLines w:val="0"/>
        <w:keepNext w:val="0"/>
        <w:pageBreakBefore w:val="0"/>
        <w:spacing w:before="0" w:beforeAutospacing="0" w:after="0" w:afterAutospacing="0" w:line="450" w:lineRule="exact"/>
        <w:widowControl/>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我单位在参加</w:t>
      </w:r>
      <w:r>
        <w:rPr>
          <w:rFonts w:hint="eastAsia" w:ascii="仿宋" w:hAnsi="仿宋" w:eastAsia="仿宋" w:cs="Times New Roman"/>
          <w:color w:val="000000"/>
          <w:sz w:val="24"/>
          <w:szCs w:val="24"/>
          <w:lang w:val="en-US" w:eastAsia="zh-CN" w:bidi="ar-SA"/>
        </w:rPr>
        <w:t xml:space="preserve">2026年程桥街道60周岁(含)以上意外伤害保险采购</w:t>
      </w:r>
      <w:r>
        <w:rPr>
          <w:rFonts w:ascii="仿宋" w:hAnsi="仿宋" w:eastAsia="仿宋" w:cs="Times New Roman"/>
          <w:color w:val="000000"/>
          <w:sz w:val="24"/>
          <w:szCs w:val="24"/>
          <w:lang w:val="en-US" w:eastAsia="zh-CN" w:bidi="ar-SA"/>
        </w:rPr>
        <w:t xml:space="preserve">（项目编号：</w:t>
      </w:r>
      <w:r>
        <w:rPr>
          <w:rFonts w:hint="eastAsia" w:ascii="仿宋" w:hAnsi="仿宋" w:eastAsia="仿宋" w:cs="Times New Roman"/>
          <w:color w:val="000000"/>
          <w:sz w:val="24"/>
          <w:szCs w:val="24"/>
          <w:lang w:val="en-US" w:eastAsia="zh-CN" w:bidi="ar-SA"/>
        </w:rPr>
        <w:t xml:space="preserve">JSZC-320116-HTBX-C2026-0003</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采购</w:t>
      </w:r>
      <w:r>
        <w:rPr>
          <w:rFonts w:ascii="仿宋" w:hAnsi="仿宋" w:eastAsia="仿宋" w:cs="Times New Roman"/>
          <w:color w:val="000000"/>
          <w:sz w:val="24"/>
          <w:szCs w:val="24"/>
          <w:lang w:val="en-US" w:eastAsia="zh-CN" w:bidi="ar-SA"/>
        </w:rPr>
        <w:t xml:space="preserve">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pageBreakBefore w:val="0"/>
        <w:spacing w:before="0" w:beforeAutospacing="0" w:after="0" w:afterAutospacing="0" w:line="450" w:lineRule="exact"/>
        <w:widowControl/>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我单位对上述声明的真实性负责。如有虚假，将依法承担相应责任。</w:t>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p>
    <w:p>
      <w:pPr>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p>
    <w:p>
      <w:pPr>
        <w:ind w:firstLine="482"/>
        <w:jc w:val="both"/>
        <w:keepLines w:val="0"/>
        <w:keepNext w:val="0"/>
        <w:pageBreakBefore w:val="0"/>
        <w:widowControl w:val="off"/>
        <w:rPr>
          <w:rFonts w:hint="eastAsia" w:ascii="仿宋" w:hAnsi="仿宋" w:eastAsia="仿宋" w:cs="仿宋"/>
          <w:b/>
          <w:bCs/>
          <w:color w:val="000000"/>
          <w:sz w:val="24"/>
          <w:szCs w:val="24"/>
          <w:highlight w:val="none"/>
          <w:lang w:val="en-US" w:eastAsia="zh-CN" w:bidi="ar-SA"/>
        </w:rPr>
        <w:outlineLvl w:val="9"/>
      </w:pPr>
      <w:r>
        <w:rPr>
          <w:rFonts w:hint="eastAsia" w:ascii="仿宋" w:hAnsi="仿宋" w:eastAsia="仿宋" w:cs="仿宋"/>
          <w:b/>
          <w:bCs/>
          <w:color w:val="000000"/>
          <w:sz w:val="24"/>
          <w:szCs w:val="24"/>
          <w:highlight w:val="none"/>
          <w:lang w:val="en-US" w:eastAsia="zh-CN" w:bidi="ar-SA"/>
        </w:rPr>
        <w:t xml:space="preserve">格式四</w:t>
      </w:r>
      <w:r>
        <w:rPr>
          <w:rFonts w:hint="eastAsia" w:ascii="仿宋" w:hAnsi="仿宋" w:eastAsia="仿宋" w:cs="仿宋"/>
          <w:color w:val="000000"/>
          <w:sz w:val="24"/>
          <w:szCs w:val="24"/>
          <w:highlight w:val="none"/>
          <w:lang w:val="en-US" w:eastAsia="zh-CN" w:bidi="ar-SA"/>
        </w:rPr>
        <w:t xml:space="preserve">、单位负责人为同一人或者存在直接控股、管理关系的不同供应商，不得参加同一合同项下的政府采购活动。为采购项目提供整体设计、规范编制或者项目管理、监理、检测等服务的供应商，不得参加本项目的采购活动。</w:t>
      </w:r>
      <w:r>
        <w:rPr>
          <w:rFonts w:hint="eastAsia" w:ascii="仿宋" w:hAnsi="仿宋" w:eastAsia="仿宋" w:cs="仿宋"/>
          <w:b/>
          <w:bCs/>
          <w:color w:val="000000"/>
          <w:sz w:val="24"/>
          <w:szCs w:val="24"/>
          <w:highlight w:val="none"/>
          <w:lang w:val="en-US" w:eastAsia="zh-CN" w:bidi="ar-SA"/>
        </w:rPr>
        <w:t xml:space="preserve">（提供声明函）</w:t>
      </w:r>
      <w:r/>
    </w:p>
    <w:p>
      <w:pPr>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jc w:val="center"/>
        <w:spacing w:line="360" w:lineRule="auto"/>
        <w:widowControl w:val="off"/>
        <w:rPr>
          <w:rFonts w:hint="eastAsia" w:ascii="仿宋" w:hAnsi="仿宋" w:eastAsia="仿宋" w:cs="仿宋"/>
          <w:b w:val="0"/>
          <w:bCs/>
          <w:color w:val="000000"/>
          <w:sz w:val="21"/>
          <w:szCs w:val="22"/>
          <w:highlight w:val="none"/>
          <w:lang w:val="en-US" w:eastAsia="zh-CN" w:bidi="ar-SA"/>
        </w:rPr>
        <w:outlineLvl w:val="1"/>
      </w:pPr>
      <w:r>
        <w:rPr>
          <w:rFonts w:hint="eastAsia" w:ascii="仿宋" w:hAnsi="仿宋" w:eastAsia="仿宋" w:cs="仿宋"/>
          <w:b/>
          <w:bCs w:val="0"/>
          <w:color w:val="000000"/>
          <w:sz w:val="28"/>
          <w:szCs w:val="32"/>
          <w:highlight w:val="none"/>
          <w:lang w:val="en-US" w:eastAsia="zh-CN" w:bidi="ar-SA"/>
        </w:rPr>
        <w:t xml:space="preserve">声明函</w:t>
      </w:r>
      <w:r/>
    </w:p>
    <w:p>
      <w:pPr>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4"/>
          <w:highlight w:val="none"/>
          <w:u w:val="single"/>
          <w:lang w:val="en-US" w:eastAsia="zh-CN" w:bidi="ar-SA"/>
        </w:rPr>
        <w:t xml:space="preserve">（采购单位名称）：</w:t>
      </w:r>
      <w:r/>
    </w:p>
    <w:p>
      <w:pPr>
        <w:ind w:firstLine="480"/>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根据已收到的项目编号为</w:t>
      </w:r>
      <w:r>
        <w:rPr>
          <w:rFonts w:hint="eastAsia" w:ascii="仿宋" w:hAnsi="仿宋" w:eastAsia="仿宋" w:cs="仿宋"/>
          <w:b w:val="0"/>
          <w:bCs/>
          <w:color w:val="000000"/>
          <w:sz w:val="24"/>
          <w:szCs w:val="21"/>
          <w:highlight w:val="none"/>
          <w:u w:val="single"/>
          <w:lang w:val="en-US" w:eastAsia="zh-CN" w:bidi="ar-SA"/>
        </w:rPr>
        <w:t xml:space="preserve">（项目编号）的（项目名称）</w:t>
      </w:r>
      <w:r>
        <w:rPr>
          <w:rFonts w:hint="eastAsia" w:ascii="仿宋" w:hAnsi="仿宋" w:eastAsia="仿宋" w:cs="仿宋"/>
          <w:b w:val="0"/>
          <w:bCs/>
          <w:color w:val="000000"/>
          <w:sz w:val="24"/>
          <w:szCs w:val="21"/>
          <w:highlight w:val="none"/>
          <w:lang w:val="en-US" w:eastAsia="zh-CN" w:bidi="ar-SA"/>
        </w:rPr>
        <w:t xml:space="preserve">的磋商文件，我方在参加本项目采购活动中，特作出如下承诺：</w:t>
      </w:r>
      <w:r/>
    </w:p>
    <w:p>
      <w:pPr>
        <w:ind w:firstLine="480"/>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1.本单位与其他参与本项目采购活动的供应商之间，不存在单位负责人为同一人的情况，也不存在直接控股、管理关系。</w:t>
      </w:r>
      <w:r/>
    </w:p>
    <w:p>
      <w:pPr>
        <w:ind w:firstLine="480"/>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2.除本项目为单一来源采购项目的情况外，本单位未为本采购项目提供整体设计、规范编制或者项目管理、监理、检测等服务，且不会在本项目中参与上述服务之外的其他采购活动。</w:t>
      </w:r>
      <w:r/>
    </w:p>
    <w:p>
      <w:pPr>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 </w:t>
      </w:r>
      <w:r/>
    </w:p>
    <w:p>
      <w:pPr>
        <w:ind w:firstLine="480"/>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本单位承诺以上内容真实有效，若经查实存在虚假陈述，愿意承担由此产生的一切法律责任和后果，包括但不限于取消参与资格、中标（成交）无效等。</w:t>
      </w:r>
      <w:r/>
    </w:p>
    <w:p>
      <w:pPr>
        <w:jc w:val="both"/>
        <w:spacing w:line="360" w:lineRule="auto"/>
        <w:widowControl w:val="off"/>
        <w:rPr>
          <w:rFonts w:hint="eastAsia" w:ascii="仿宋" w:hAnsi="仿宋" w:eastAsia="仿宋" w:cs="仿宋"/>
          <w:b w:val="0"/>
          <w:bCs/>
          <w:color w:val="000000"/>
          <w:sz w:val="24"/>
          <w:szCs w:val="21"/>
          <w:highlight w:val="none"/>
          <w:lang w:val="en-US" w:eastAsia="zh-CN" w:bidi="ar-SA"/>
        </w:rPr>
        <w:outlineLvl w:val="1"/>
      </w:pPr>
      <w:r>
        <w:rPr>
          <w:rFonts w:hint="eastAsia" w:ascii="仿宋" w:hAnsi="仿宋" w:eastAsia="仿宋" w:cs="仿宋"/>
          <w:b w:val="0"/>
          <w:bCs/>
          <w:color w:val="000000"/>
          <w:sz w:val="24"/>
          <w:szCs w:val="21"/>
          <w:highlight w:val="none"/>
          <w:lang w:val="en-US" w:eastAsia="zh-CN" w:bidi="ar-SA"/>
        </w:rPr>
        <w:t xml:space="preserve"> </w:t>
      </w:r>
      <w:r/>
    </w:p>
    <w:p>
      <w:pPr>
        <w:ind w:firstLine="480"/>
        <w:jc w:val="left"/>
        <w:spacing w:line="360" w:lineRule="auto"/>
        <w:widowControl w:val="off"/>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r>
      <w:r/>
    </w:p>
    <w:p>
      <w:pPr>
        <w:ind w:firstLine="480"/>
        <w:jc w:val="left"/>
        <w:spacing w:line="360" w:lineRule="auto"/>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供应商名称： </w:t>
      </w:r>
      <w:r>
        <w:rPr>
          <w:rFonts w:hint="eastAsia" w:ascii="仿宋" w:hAnsi="仿宋" w:eastAsia="仿宋" w:cs="仿宋"/>
          <w:b w:val="0"/>
          <w:bCs/>
          <w:color w:val="000000"/>
          <w:sz w:val="24"/>
          <w:szCs w:val="24"/>
          <w:highlight w:val="none"/>
          <w:u w:val="single"/>
          <w:lang w:val="en-US" w:eastAsia="zh-CN" w:bidi="ar-SA"/>
        </w:rPr>
        <w:t xml:space="preserve">          </w:t>
      </w:r>
      <w:r>
        <w:rPr>
          <w:rFonts w:hint="eastAsia" w:ascii="仿宋" w:hAnsi="仿宋" w:eastAsia="仿宋" w:cs="仿宋"/>
          <w:b w:val="0"/>
          <w:bCs/>
          <w:color w:val="000000"/>
          <w:sz w:val="24"/>
          <w:szCs w:val="24"/>
          <w:highlight w:val="none"/>
          <w:lang w:val="en-US" w:eastAsia="zh-CN" w:bidi="ar-SA"/>
        </w:rPr>
        <w:t xml:space="preserve">（盖CA电子公章）</w:t>
      </w:r>
      <w:r/>
    </w:p>
    <w:p>
      <w:pPr>
        <w:ind w:firstLine="480"/>
        <w:jc w:val="left"/>
        <w:spacing w:line="360" w:lineRule="auto"/>
        <w:widowControl w:val="off"/>
        <w:rPr>
          <w:rFonts w:hint="eastAsia" w:ascii="仿宋" w:hAnsi="仿宋" w:eastAsia="仿宋" w:cs="仿宋"/>
          <w:b w:val="0"/>
          <w:bCs/>
          <w:color w:val="000000"/>
          <w:sz w:val="24"/>
          <w:szCs w:val="24"/>
          <w:highlight w:val="none"/>
          <w:lang w:val="en-US" w:eastAsia="zh-CN" w:bidi="ar-SA"/>
        </w:rPr>
      </w:pPr>
      <w:r>
        <w:rPr>
          <w:rFonts w:hint="eastAsia" w:ascii="仿宋" w:hAnsi="仿宋" w:eastAsia="仿宋" w:cs="仿宋"/>
          <w:b w:val="0"/>
          <w:bCs/>
          <w:color w:val="000000"/>
          <w:sz w:val="24"/>
          <w:szCs w:val="24"/>
          <w:highlight w:val="none"/>
          <w:lang w:val="en-US" w:eastAsia="zh-CN" w:bidi="ar-SA"/>
        </w:rPr>
        <w:t xml:space="preserve">日期：    年    月   日</w:t>
      </w:r>
      <w:r/>
    </w:p>
    <w:p>
      <w:pPr>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jc w:val="both"/>
        <w:widowControl w:val="off"/>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r>
      <w:r/>
    </w:p>
    <w:p>
      <w:p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br w:type="page" w:clear="all"/>
      </w:r>
      <w:r/>
    </w:p>
    <w:p>
      <w:pPr>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格式五</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b/>
          <w:color w:val="000000"/>
          <w:sz w:val="24"/>
          <w:szCs w:val="24"/>
          <w:lang w:val="en-US" w:eastAsia="zh-CN" w:bidi="ar-SA"/>
        </w:rPr>
        <w:t xml:space="preserve">中小企业声明函</w:t>
      </w:r>
      <w:r/>
    </w:p>
    <w:p>
      <w:pPr>
        <w:numPr>
          <w:ilvl w:val="0"/>
          <w:numId w:val="0"/>
        </w:numPr>
        <w:jc w:val="left"/>
        <w:keepLines w:val="0"/>
        <w:keepNext w:val="0"/>
        <w:pageBreakBefore w:val="0"/>
        <w:spacing w:beforeAutospacing="0" w:afterAutospacing="0" w:line="360" w:lineRule="auto"/>
        <w:widowControl/>
        <w:rPr>
          <w:rFonts w:hint="eastAsia" w:ascii="仿宋" w:hAnsi="仿宋" w:eastAsia="仿宋" w:cs="仿宋"/>
          <w:color w:val="000000"/>
          <w:spacing w:val="6"/>
          <w:sz w:val="24"/>
          <w:szCs w:val="24"/>
          <w:u w:val="single"/>
          <w:lang w:val="en-US" w:eastAsia="zh-CN" w:bidi="ar-SA"/>
        </w:rPr>
      </w:pPr>
      <w:r>
        <w:rPr>
          <w:rFonts w:hint="eastAsia" w:ascii="仿宋" w:hAnsi="仿宋" w:eastAsia="仿宋" w:cs="仿宋"/>
          <w:color w:val="000000"/>
          <w:spacing w:val="6"/>
          <w:sz w:val="24"/>
          <w:szCs w:val="24"/>
          <w:lang w:val="en-US" w:eastAsia="zh-CN" w:bidi="ar-SA"/>
        </w:rPr>
        <w:t xml:space="preserve">（注：如供应商为联合体参与本项目磋商采购活动，供应商同时为中小企业的，须同时提供联合体各方的中小企业声明函方为有效，如供应商不属于中小企业，则不需要提供此声明函）      </w:t>
      </w:r>
      <w:r>
        <w:rPr>
          <w:rFonts w:hint="eastAsia" w:ascii="仿宋" w:hAnsi="仿宋" w:eastAsia="仿宋" w:cs="仿宋"/>
          <w:color w:val="000000"/>
          <w:spacing w:val="6"/>
          <w:sz w:val="24"/>
          <w:szCs w:val="24"/>
          <w:u w:val="single"/>
          <w:lang w:val="en-US" w:eastAsia="zh-CN" w:bidi="ar-SA"/>
        </w:rPr>
        <w:t xml:space="preserve">     </w:t>
      </w:r>
      <w:r/>
    </w:p>
    <w:p>
      <w:pPr>
        <w:ind w:firstLine="560"/>
        <w:jc w:val="both"/>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ind w:firstLine="560"/>
        <w:jc w:val="both"/>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本公司郑重声明，根据《政府采购促进中小企业发展管理办法》（财库﹝2020﹞46 号）的规定，</w:t>
      </w:r>
      <w:r>
        <w:rPr>
          <w:rFonts w:hint="eastAsia" w:ascii="仿宋" w:hAnsi="仿宋" w:eastAsia="仿宋" w:cs="仿宋"/>
          <w:color w:val="000000"/>
          <w:sz w:val="24"/>
          <w:szCs w:val="24"/>
        </w:rPr>
        <w:t xml:space="preserve">参加</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采购单位名称</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u w:val="single"/>
          <w:lang w:val="en-US" w:eastAsia="zh-CN"/>
        </w:rPr>
        <w:t xml:space="preserve">项目编号</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（项目名称）（分包号：**）</w:t>
      </w:r>
      <w:r>
        <w:rPr>
          <w:rFonts w:hint="eastAsia" w:ascii="仿宋" w:hAnsi="仿宋" w:eastAsia="仿宋" w:cs="仿宋"/>
          <w:color w:val="000000"/>
          <w:sz w:val="24"/>
          <w:szCs w:val="24"/>
        </w:rPr>
        <w:t xml:space="preserve">的采购活动</w:t>
      </w:r>
      <w:r>
        <w:rPr>
          <w:rFonts w:hint="eastAsia" w:ascii="仿宋" w:hAnsi="仿宋" w:eastAsia="仿宋" w:cs="仿宋"/>
          <w:color w:val="000000"/>
          <w:sz w:val="24"/>
          <w:szCs w:val="24"/>
          <w:lang w:val="en-US" w:eastAsia="zh-CN" w:bidi="ar-SA"/>
        </w:rPr>
        <w:t xml:space="preserve">，服务全部由符合政策要求的中小企业承接。相关企业的具体情况如下：</w:t>
      </w:r>
      <w:r/>
    </w:p>
    <w:p>
      <w:pPr>
        <w:ind w:firstLine="360"/>
        <w:spacing w:line="56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caps w:val="0"/>
          <w:color w:val="000000"/>
          <w:sz w:val="24"/>
          <w:szCs w:val="24"/>
          <w:u w:val="single"/>
          <w:lang w:val="en-US" w:eastAsia="zh-CN" w:bidi="ar-SA"/>
        </w:rPr>
        <w:t xml:space="preserve">（服务名称）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p>
    <w:p>
      <w:pPr>
        <w:ind w:firstLine="560"/>
        <w:jc w:val="both"/>
        <w:keepLines w:val="0"/>
        <w:keepNext w:val="0"/>
        <w:pageBreakBefore w:val="0"/>
        <w:spacing w:line="360" w:lineRule="auto"/>
        <w:widowControl w:val="off"/>
        <w:rPr>
          <w:rFonts w:hint="eastAsia" w:ascii="仿宋" w:hAnsi="仿宋" w:eastAsia="仿宋" w:cs="仿宋"/>
          <w:color w:val="000000"/>
          <w:spacing w:val="6"/>
          <w:sz w:val="24"/>
          <w:szCs w:val="24"/>
          <w:lang w:val="en-US" w:eastAsia="zh-CN" w:bidi="ar-SA"/>
        </w:rPr>
      </w:pPr>
      <w:r>
        <w:rPr>
          <w:rFonts w:hint="eastAsia" w:ascii="仿宋" w:hAnsi="仿宋" w:eastAsia="仿宋" w:cs="仿宋"/>
          <w:color w:val="000000"/>
          <w:sz w:val="24"/>
          <w:szCs w:val="24"/>
          <w:lang w:val="en-US" w:eastAsia="zh-CN" w:bidi="ar-SA"/>
        </w:rPr>
        <w:t xml:space="preserve">以上企业，不属于大企业的分支机构，不存在控股股东为大企业的情形，也不存在与大企业的负责人为同一人的情形。</w:t>
      </w:r>
      <w:r/>
    </w:p>
    <w:p>
      <w:pPr>
        <w:ind w:firstLine="560"/>
        <w:jc w:val="both"/>
        <w:keepLines w:val="0"/>
        <w:keepNext w:val="0"/>
        <w:pageBreakBefore w:val="0"/>
        <w:spacing w:line="360" w:lineRule="auto"/>
        <w:widowControl w:val="off"/>
        <w:rPr>
          <w:rFonts w:hint="eastAsia" w:ascii="仿宋" w:hAnsi="仿宋" w:eastAsia="仿宋" w:cs="仿宋"/>
          <w:color w:val="000000"/>
          <w:spacing w:val="6"/>
          <w:sz w:val="24"/>
          <w:szCs w:val="24"/>
          <w:lang w:val="en-US" w:eastAsia="zh-CN" w:bidi="ar-SA"/>
        </w:rPr>
      </w:pPr>
      <w:r>
        <w:rPr>
          <w:rFonts w:hint="eastAsia" w:ascii="仿宋" w:hAnsi="仿宋" w:eastAsia="仿宋" w:cs="仿宋"/>
          <w:color w:val="000000"/>
          <w:sz w:val="24"/>
          <w:szCs w:val="24"/>
          <w:lang w:val="en-US" w:eastAsia="zh-CN" w:bidi="ar-SA"/>
        </w:rPr>
        <w:t xml:space="preserve">本企业对上述声明内容的真实性负责。如有虚假，将依法承担相应责任。</w:t>
      </w:r>
      <w:r/>
    </w:p>
    <w:p>
      <w:pPr>
        <w:jc w:val="both"/>
        <w:keepLines w:val="0"/>
        <w:keepNext w:val="0"/>
        <w:pageBreakBefore w:val="0"/>
        <w:spacing w:line="360" w:lineRule="auto"/>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p>
      <w:pPr>
        <w:ind w:right="180" w:firstLine="360"/>
        <w:jc w:val="right"/>
        <w:spacing w:line="56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供应商名称（加盖CA电子公章）：</w:t>
      </w:r>
      <w:r/>
    </w:p>
    <w:p>
      <w:pPr>
        <w:ind w:right="480" w:firstLine="5880"/>
        <w:jc w:val="both"/>
        <w:spacing w:line="56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日  期：</w:t>
      </w:r>
      <w:r/>
    </w:p>
    <w:p>
      <w:pPr>
        <w:pStyle w:val="882"/>
        <w:ind w:left="0"/>
        <w:jc w:val="left"/>
        <w:keepLines w:val="0"/>
        <w:keepNext w:val="0"/>
        <w:pageBreakBefore w:val="0"/>
        <w:spacing w:after="0" w:line="360" w:lineRule="auto"/>
        <w:rPr>
          <w:rFonts w:hint="eastAsia" w:ascii="仿宋" w:hAnsi="仿宋" w:eastAsia="仿宋" w:cs="仿宋"/>
          <w:b/>
          <w:bCs/>
          <w:color w:val="000000"/>
          <w:sz w:val="24"/>
        </w:rPr>
      </w:pPr>
      <w:r>
        <w:rPr>
          <w:rFonts w:hint="eastAsia" w:ascii="仿宋" w:hAnsi="仿宋" w:eastAsia="仿宋" w:cs="仿宋"/>
          <w:b/>
          <w:bCs/>
          <w:color w:val="000000"/>
          <w:sz w:val="24"/>
        </w:rPr>
        <w:t xml:space="preserve">说明：</w:t>
      </w:r>
      <w:r/>
    </w:p>
    <w:p>
      <w:pPr>
        <w:pStyle w:val="882"/>
        <w:ind w:left="0"/>
        <w:keepLines w:val="0"/>
        <w:keepNext w:val="0"/>
        <w:pageBreakBefore w:val="0"/>
        <w:spacing w:after="0" w:line="360" w:lineRule="auto"/>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 xml:space="preserve">1</w:t>
      </w:r>
      <w:r>
        <w:rPr>
          <w:rFonts w:hint="eastAsia" w:ascii="仿宋" w:hAnsi="仿宋" w:eastAsia="仿宋" w:cs="仿宋"/>
          <w:b/>
          <w:bCs/>
          <w:color w:val="000000"/>
          <w:sz w:val="24"/>
        </w:rPr>
        <w:t xml:space="preserve">、</w:t>
      </w:r>
      <w:r>
        <w:rPr>
          <w:rFonts w:hint="eastAsia" w:ascii="仿宋" w:hAnsi="仿宋" w:eastAsia="仿宋" w:cs="仿宋"/>
          <w:b/>
          <w:bCs/>
          <w:color w:val="000000"/>
          <w:sz w:val="24"/>
          <w:lang w:eastAsia="zh-CN"/>
        </w:rPr>
        <w:t xml:space="preserve">成交供应商</w:t>
      </w:r>
      <w:r>
        <w:rPr>
          <w:rFonts w:hint="eastAsia" w:ascii="仿宋" w:hAnsi="仿宋" w:eastAsia="仿宋" w:cs="仿宋"/>
          <w:b/>
          <w:bCs/>
          <w:color w:val="000000"/>
          <w:sz w:val="24"/>
        </w:rPr>
        <w:t xml:space="preserve">为小型、微型企业的，采购人或者其委托的采购代理机构有权随中标、成交结果同时公告其《中小企业声明函》，接受社会监督。</w:t>
      </w:r>
      <w:r/>
    </w:p>
    <w:p>
      <w:pPr>
        <w:pStyle w:val="882"/>
        <w:ind w:left="0"/>
        <w:keepLines w:val="0"/>
        <w:keepNext w:val="0"/>
        <w:pageBreakBefore w:val="0"/>
        <w:spacing w:after="0" w:line="360" w:lineRule="auto"/>
        <w:rPr>
          <w:rFonts w:hint="eastAsia" w:ascii="仿宋" w:hAnsi="仿宋" w:eastAsia="仿宋" w:cs="仿宋"/>
          <w:b/>
          <w:bCs/>
          <w:color w:val="000000"/>
          <w:sz w:val="24"/>
        </w:rPr>
      </w:pPr>
      <w:r>
        <w:rPr>
          <w:rFonts w:hint="eastAsia" w:ascii="仿宋" w:hAnsi="仿宋" w:eastAsia="仿宋" w:cs="仿宋"/>
          <w:b/>
          <w:bCs/>
          <w:color w:val="000000"/>
          <w:sz w:val="24"/>
          <w:lang w:val="en-US" w:eastAsia="zh-CN"/>
        </w:rPr>
        <w:t xml:space="preserve">2</w:t>
      </w:r>
      <w:r>
        <w:rPr>
          <w:rFonts w:hint="eastAsia" w:ascii="仿宋" w:hAnsi="仿宋" w:eastAsia="仿宋" w:cs="仿宋"/>
          <w:b/>
          <w:bCs/>
          <w:color w:val="000000"/>
          <w:sz w:val="24"/>
        </w:rPr>
        <w:t xml:space="preserve">、执行江苏省财政厅关于进一步加大政府采购支持中小企业力度的通知（苏财购〔2022〕45号）的规定。</w:t>
      </w:r>
      <w:r/>
    </w:p>
    <w:p>
      <w:pPr>
        <w:pStyle w:val="882"/>
        <w:ind w:left="0"/>
        <w:keepLines w:val="0"/>
        <w:keepNext w:val="0"/>
        <w:pageBreakBefore w:val="0"/>
        <w:spacing w:after="0" w:line="360" w:lineRule="auto"/>
        <w:rPr>
          <w:rFonts w:hint="eastAsia" w:ascii="仿宋" w:hAnsi="仿宋" w:eastAsia="仿宋" w:cs="仿宋"/>
          <w:color w:val="000000"/>
          <w:sz w:val="24"/>
          <w:szCs w:val="24"/>
          <w:lang w:val="en-US" w:eastAsia="zh-CN" w:bidi="ar-SA"/>
        </w:rPr>
      </w:pPr>
      <w:r>
        <w:rPr>
          <w:rFonts w:hint="eastAsia" w:ascii="仿宋" w:hAnsi="仿宋" w:eastAsia="仿宋" w:cs="仿宋"/>
          <w:b/>
          <w:bCs/>
          <w:color w:val="000000"/>
          <w:sz w:val="24"/>
          <w:lang w:val="en-US" w:eastAsia="zh-CN"/>
        </w:rPr>
        <w:t xml:space="preserve">3</w:t>
      </w:r>
      <w:r>
        <w:rPr>
          <w:rFonts w:hint="eastAsia" w:ascii="仿宋" w:hAnsi="仿宋" w:eastAsia="仿宋" w:cs="仿宋"/>
          <w:b/>
          <w:bCs/>
          <w:color w:val="000000"/>
          <w:sz w:val="24"/>
        </w:rPr>
        <w:t xml:space="preserve">、供应商提供的《中小企业声明函》与事实不符的，依照《政府采购法》第七十七条第一款的规定追究法律责任。</w:t>
      </w:r>
      <w:r/>
    </w:p>
    <w:p>
      <w:pPr>
        <w:ind w:firstLine="560"/>
        <w:jc w:val="center"/>
        <w:keepLines w:val="0"/>
        <w:keepNext w:val="0"/>
        <w:pageBreakBefore/>
        <w:spacing w:line="360" w:lineRule="auto"/>
        <w:widowControl w:val="off"/>
        <w:rPr>
          <w:rFonts w:hint="eastAsia" w:ascii="仿宋" w:hAnsi="仿宋" w:eastAsia="仿宋" w:cs="仿宋"/>
          <w:bCs/>
          <w:color w:val="000000"/>
          <w:sz w:val="28"/>
          <w:szCs w:val="28"/>
          <w:lang w:val="en-US" w:eastAsia="zh-CN" w:bidi="ar-SA"/>
        </w:rPr>
        <w:outlineLvl w:val="9"/>
      </w:pPr>
      <w:r>
        <w:rPr>
          <w:rFonts w:hint="eastAsia" w:ascii="仿宋" w:hAnsi="仿宋" w:eastAsia="仿宋" w:cs="仿宋"/>
          <w:bCs/>
          <w:color w:val="000000"/>
          <w:sz w:val="28"/>
          <w:szCs w:val="28"/>
          <w:lang w:val="en-US" w:eastAsia="zh-CN" w:bidi="ar-SA"/>
        </w:rPr>
        <w:t xml:space="preserve">七、符合性证明文件</w:t>
      </w:r>
      <w:r/>
    </w:p>
    <w:p>
      <w:pPr>
        <w:rPr>
          <w:rFonts w:hint="eastAsia" w:ascii="仿宋" w:hAnsi="仿宋" w:eastAsia="仿宋" w:cs="仿宋"/>
          <w:caps w:val="0"/>
          <w:color w:val="000000"/>
          <w:sz w:val="32"/>
          <w:szCs w:val="28"/>
          <w:lang w:val="en-US" w:eastAsia="zh-CN"/>
        </w:rPr>
      </w:pPr>
      <w:r>
        <w:rPr>
          <w:rFonts w:hint="eastAsia" w:ascii="仿宋" w:hAnsi="仿宋" w:eastAsia="仿宋" w:cs="仿宋"/>
          <w:caps w:val="0"/>
          <w:color w:val="000000"/>
          <w:sz w:val="32"/>
          <w:szCs w:val="28"/>
          <w:lang w:val="en-US" w:eastAsia="zh-CN"/>
        </w:rPr>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请根据以下要求提供内容：若需遵循特定格式，请参考后附规范；若未明确格式要求，可自行拟定。</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1.《偏离表》（加盖公章，格式见磋商文件《响应文件相关格式》）。</w:t>
      </w:r>
      <w:r/>
    </w:p>
    <w:p>
      <w:pPr>
        <w:ind w:firstLine="480"/>
        <w:jc w:val="both"/>
        <w:keepLines w:val="0"/>
        <w:keepNext w:val="0"/>
        <w:pageBreakBefore w:val="0"/>
        <w:spacing w:line="40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2.供应商提供报备的保险条款（含保险方案中的附加条款）。</w:t>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pStyle w:val="746"/>
        <w:rPr>
          <w:rFonts w:hint="eastAsia"/>
          <w:lang w:val="en-US" w:eastAsia="zh-CN"/>
        </w:rPr>
      </w:pPr>
      <w:r>
        <w:rPr>
          <w:rFonts w:hint="eastAsia"/>
          <w:lang w:val="en-US" w:eastAsia="zh-CN"/>
        </w:rPr>
      </w:r>
      <w:r/>
    </w:p>
    <w:p>
      <w:pPr>
        <w:ind w:firstLine="480"/>
        <w:jc w:val="both"/>
        <w:keepLines w:val="0"/>
        <w:keepNext w:val="0"/>
        <w:pageBreakBefore w:val="0"/>
        <w:spacing w:line="400" w:lineRule="exact"/>
        <w:widowControl w:val="off"/>
        <w:rPr>
          <w:rFonts w:hint="eastAsia"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r>
      <w:r/>
    </w:p>
    <w:p>
      <w:pPr>
        <w:ind w:firstLine="480"/>
        <w:jc w:val="both"/>
        <w:keepLines w:val="0"/>
        <w:keepNext w:val="0"/>
        <w:pageBreakBefore w:val="0"/>
        <w:spacing w:line="400" w:lineRule="exact"/>
        <w:widowControl w:val="off"/>
        <w:rPr>
          <w:rFonts w:ascii="仿宋" w:hAnsi="仿宋" w:eastAsia="仿宋" w:cs="Times New Roman"/>
          <w:b/>
          <w:bCs/>
          <w:color w:val="000000"/>
          <w:sz w:val="24"/>
          <w:szCs w:val="24"/>
          <w:lang w:val="en-US" w:eastAsia="zh-CN" w:bidi="ar-SA"/>
        </w:rPr>
      </w:pPr>
      <w:r>
        <w:rPr>
          <w:rFonts w:hint="eastAsia" w:ascii="仿宋" w:hAnsi="仿宋" w:eastAsia="仿宋" w:cs="Times New Roman"/>
          <w:b/>
          <w:bCs/>
          <w:color w:val="000000"/>
          <w:sz w:val="24"/>
          <w:szCs w:val="24"/>
          <w:lang w:val="en-US" w:eastAsia="zh-CN" w:bidi="ar-SA"/>
        </w:rPr>
        <w:t xml:space="preserve">格式一、</w:t>
      </w:r>
      <w:r>
        <w:rPr>
          <w:rFonts w:ascii="仿宋" w:hAnsi="仿宋" w:eastAsia="仿宋" w:cs="Times New Roman"/>
          <w:b/>
          <w:bCs/>
          <w:color w:val="000000"/>
          <w:sz w:val="24"/>
          <w:szCs w:val="24"/>
          <w:lang w:val="en-US" w:eastAsia="zh-CN" w:bidi="ar-SA"/>
        </w:rPr>
        <w:t xml:space="preserve">偏离表</w:t>
      </w:r>
      <w:r/>
    </w:p>
    <w:p>
      <w:pPr>
        <w:jc w:val="both"/>
        <w:widowControl w:val="off"/>
        <w:rPr>
          <w:rFonts w:hint="eastAsia"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项目名称：</w:t>
      </w:r>
      <w:r/>
    </w:p>
    <w:p>
      <w:pPr>
        <w:jc w:val="both"/>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lang w:val="en-US" w:eastAsia="zh-CN" w:bidi="ar-SA"/>
        </w:rPr>
        <w:t xml:space="preserve">项目编号：</w:t>
      </w:r>
      <w:r/>
    </w:p>
    <w:tbl>
      <w:tblPr>
        <w:tblStyle w:val="745"/>
        <w:tblW w:w="7807"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3"/>
        <w:gridCol w:w="1312"/>
        <w:gridCol w:w="1379"/>
        <w:gridCol w:w="1514"/>
        <w:gridCol w:w="1177"/>
        <w:gridCol w:w="1652"/>
      </w:tblGrid>
      <w:tr>
        <w:trPr>
          <w:jc w:val="center"/>
          <w:trHeight w:val="813"/>
        </w:trPr>
        <w:tc>
          <w:tcPr>
            <w:tcW w:w="773" w:type="dxa"/>
            <w:vAlign w:val="center"/>
            <w:textDirection w:val="lrTb"/>
            <w:noWrap w:val="false"/>
          </w:tcPr>
          <w:p>
            <w:pPr>
              <w:jc w:val="center"/>
              <w:widowControl w:val="off"/>
              <w:rPr>
                <w:rFonts w:ascii="仿宋" w:hAnsi="仿宋" w:eastAsia="仿宋" w:cs="Times New Roman"/>
                <w:caps/>
                <w:color w:val="000000"/>
                <w:sz w:val="24"/>
                <w:szCs w:val="24"/>
                <w:lang w:val="en-US" w:eastAsia="zh-CN" w:bidi="ar-SA"/>
              </w:rPr>
            </w:pPr>
            <w:r>
              <w:rPr>
                <w:rFonts w:ascii="仿宋" w:hAnsi="仿宋" w:eastAsia="仿宋" w:cs="Times New Roman"/>
                <w:caps/>
                <w:color w:val="000000"/>
                <w:sz w:val="24"/>
                <w:szCs w:val="24"/>
                <w:lang w:val="en-US" w:eastAsia="zh-CN" w:bidi="ar-SA"/>
              </w:rPr>
              <w:t xml:space="preserve">序号</w:t>
            </w:r>
            <w:r/>
          </w:p>
        </w:tc>
        <w:tc>
          <w:tcPr>
            <w:tcW w:w="1312" w:type="dxa"/>
            <w:vAlign w:val="center"/>
            <w:textDirection w:val="lrTb"/>
            <w:noWrap w:val="false"/>
          </w:tcPr>
          <w:p>
            <w:pPr>
              <w:jc w:val="center"/>
              <w:widowControl w:val="off"/>
              <w:rPr>
                <w:rFonts w:ascii="仿宋" w:hAnsi="仿宋" w:eastAsia="仿宋" w:cs="Times New Roman"/>
                <w:caps/>
                <w:color w:val="000000"/>
                <w:sz w:val="24"/>
                <w:szCs w:val="24"/>
                <w:lang w:val="en-US" w:eastAsia="zh-CN" w:bidi="ar-SA"/>
              </w:rPr>
            </w:pPr>
            <w:r>
              <w:rPr>
                <w:rFonts w:ascii="仿宋" w:hAnsi="仿宋" w:eastAsia="仿宋" w:cs="Times New Roman"/>
                <w:caps/>
                <w:color w:val="000000"/>
                <w:sz w:val="24"/>
                <w:szCs w:val="24"/>
                <w:lang w:val="en-US" w:eastAsia="zh-CN" w:bidi="ar-SA"/>
              </w:rPr>
              <w:t xml:space="preserve">偏离内容</w:t>
            </w:r>
            <w:r/>
          </w:p>
        </w:tc>
        <w:tc>
          <w:tcPr>
            <w:tcW w:w="1379" w:type="dxa"/>
            <w:vAlign w:val="center"/>
            <w:textDirection w:val="lrTb"/>
            <w:noWrap w:val="false"/>
          </w:tcPr>
          <w:p>
            <w:pPr>
              <w:jc w:val="center"/>
              <w:widowControl w:val="off"/>
              <w:rPr>
                <w:rFonts w:hint="eastAsia" w:ascii="仿宋" w:hAnsi="仿宋" w:eastAsia="仿宋" w:cs="Times New Roman"/>
                <w:caps/>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磋商</w:t>
            </w:r>
            <w:r>
              <w:rPr>
                <w:rFonts w:ascii="仿宋" w:hAnsi="仿宋" w:eastAsia="仿宋" w:cs="Times New Roman"/>
                <w:color w:val="000000"/>
                <w:sz w:val="24"/>
                <w:szCs w:val="24"/>
                <w:lang w:val="en-US" w:eastAsia="zh-CN" w:bidi="ar-SA"/>
              </w:rPr>
              <w:t xml:space="preserve">文件的</w:t>
            </w:r>
            <w:r>
              <w:rPr>
                <w:rFonts w:hint="eastAsia" w:ascii="仿宋" w:hAnsi="仿宋" w:eastAsia="仿宋" w:cs="Times New Roman"/>
                <w:color w:val="000000"/>
                <w:sz w:val="24"/>
                <w:szCs w:val="24"/>
                <w:lang w:val="en-US" w:eastAsia="zh-CN" w:bidi="ar-SA"/>
              </w:rPr>
              <w:t xml:space="preserve">内容</w:t>
            </w:r>
            <w:r/>
          </w:p>
        </w:tc>
        <w:tc>
          <w:tcPr>
            <w:tcW w:w="1514" w:type="dxa"/>
            <w:vAlign w:val="center"/>
            <w:textDirection w:val="lrTb"/>
            <w:noWrap w:val="false"/>
          </w:tcPr>
          <w:p>
            <w:pPr>
              <w:jc w:val="center"/>
              <w:widowControl w:val="off"/>
              <w:rPr>
                <w:rFonts w:ascii="仿宋" w:hAnsi="仿宋" w:eastAsia="仿宋" w:cs="Times New Roman"/>
                <w:caps/>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响应文件</w:t>
            </w:r>
            <w:r>
              <w:rPr>
                <w:rFonts w:ascii="仿宋" w:hAnsi="仿宋" w:eastAsia="仿宋" w:cs="Times New Roman"/>
                <w:color w:val="000000"/>
                <w:sz w:val="24"/>
                <w:szCs w:val="24"/>
                <w:lang w:val="en-US" w:eastAsia="zh-CN" w:bidi="ar-SA"/>
              </w:rPr>
              <w:t xml:space="preserve">中的内容</w:t>
            </w:r>
            <w:r/>
          </w:p>
        </w:tc>
        <w:tc>
          <w:tcPr>
            <w:tcW w:w="1177" w:type="dxa"/>
            <w:vAlign w:val="center"/>
            <w:textDirection w:val="lrTb"/>
            <w:noWrap w:val="false"/>
          </w:tcPr>
          <w:p>
            <w:pPr>
              <w:jc w:val="center"/>
              <w:widowControl w:val="off"/>
              <w:rPr>
                <w:rFonts w:ascii="仿宋" w:hAnsi="仿宋" w:eastAsia="仿宋" w:cs="Times New Roman"/>
                <w:caps/>
                <w:color w:val="000000"/>
                <w:sz w:val="24"/>
                <w:szCs w:val="24"/>
                <w:lang w:val="en-US" w:eastAsia="zh-CN" w:bidi="ar-SA"/>
              </w:rPr>
            </w:pPr>
            <w:r>
              <w:rPr>
                <w:rFonts w:ascii="仿宋" w:hAnsi="仿宋" w:eastAsia="仿宋" w:cs="Times New Roman"/>
                <w:caps/>
                <w:color w:val="000000"/>
                <w:sz w:val="24"/>
                <w:szCs w:val="24"/>
                <w:lang w:val="en-US" w:eastAsia="zh-CN" w:bidi="ar-SA"/>
              </w:rPr>
              <w:t xml:space="preserve">（正/负/无）偏离</w:t>
            </w:r>
            <w:r/>
          </w:p>
        </w:tc>
        <w:tc>
          <w:tcPr>
            <w:tcW w:w="1652" w:type="dxa"/>
            <w:vAlign w:val="center"/>
            <w:textDirection w:val="lrTb"/>
            <w:noWrap w:val="false"/>
          </w:tcPr>
          <w:p>
            <w:pPr>
              <w:jc w:val="center"/>
              <w:widowControl w:val="off"/>
              <w:rPr>
                <w:rFonts w:ascii="仿宋" w:hAnsi="仿宋" w:eastAsia="仿宋" w:cs="Times New Roman"/>
                <w:caps/>
                <w:color w:val="000000"/>
                <w:sz w:val="24"/>
                <w:szCs w:val="24"/>
                <w:lang w:val="en-US" w:eastAsia="zh-CN" w:bidi="ar-SA"/>
              </w:rPr>
            </w:pPr>
            <w:r>
              <w:rPr>
                <w:rFonts w:ascii="仿宋" w:hAnsi="仿宋" w:eastAsia="仿宋" w:cs="Times New Roman"/>
                <w:caps/>
                <w:color w:val="000000"/>
                <w:sz w:val="24"/>
                <w:szCs w:val="24"/>
                <w:lang w:val="en-US" w:eastAsia="zh-CN" w:bidi="ar-SA"/>
              </w:rPr>
              <w:t xml:space="preserve">说明</w:t>
            </w:r>
            <w:r/>
          </w:p>
        </w:tc>
      </w:tr>
      <w:tr>
        <w:trPr>
          <w:jc w:val="center"/>
          <w:trHeight w:val="798"/>
        </w:trPr>
        <w:tc>
          <w:tcPr>
            <w:tcW w:w="773"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12"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79"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514"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177"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652"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r>
        <w:trPr>
          <w:jc w:val="center"/>
          <w:trHeight w:val="798"/>
        </w:trPr>
        <w:tc>
          <w:tcPr>
            <w:tcW w:w="773"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12"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79"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514"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177"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652"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r>
        <w:trPr>
          <w:jc w:val="center"/>
          <w:trHeight w:val="798"/>
        </w:trPr>
        <w:tc>
          <w:tcPr>
            <w:tcW w:w="773"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12"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379"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514"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177"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c>
          <w:tcPr>
            <w:tcW w:w="1652" w:type="dxa"/>
            <w:vAlign w:val="top"/>
            <w:textDirection w:val="lrTb"/>
            <w:noWrap w:val="false"/>
          </w:tcPr>
          <w:p>
            <w:pPr>
              <w:jc w:val="both"/>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tc>
      </w:tr>
    </w:tbl>
    <w:p>
      <w:pPr>
        <w:jc w:val="left"/>
        <w:widowControl/>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r>
      <w:r/>
    </w:p>
    <w:p>
      <w:pPr>
        <w:jc w:val="center"/>
        <w:widowControl w:val="off"/>
        <w:rPr>
          <w:rFonts w:ascii="仿宋" w:hAnsi="仿宋" w:eastAsia="仿宋" w:cs="Times New Roman"/>
          <w:color w:val="000000"/>
          <w:sz w:val="24"/>
          <w:szCs w:val="24"/>
          <w:u w:val="single"/>
          <w:lang w:val="en-US" w:eastAsia="zh-CN" w:bidi="ar-SA"/>
        </w:rPr>
      </w:pPr>
      <w:r>
        <w:rPr>
          <w:rFonts w:ascii="仿宋" w:hAnsi="仿宋" w:eastAsia="仿宋" w:cs="Times New Roman"/>
          <w:color w:val="000000"/>
          <w:sz w:val="24"/>
          <w:szCs w:val="24"/>
          <w:u w:val="single"/>
          <w:lang w:val="en-US" w:eastAsia="zh-CN" w:bidi="ar-SA"/>
        </w:rPr>
      </w:r>
      <w:r/>
    </w:p>
    <w:p>
      <w:pPr>
        <w:jc w:val="both"/>
        <w:widowControl w:val="off"/>
        <w:rPr>
          <w:rFonts w:ascii="仿宋" w:hAnsi="仿宋" w:eastAsia="仿宋" w:cs="Times New Roman"/>
          <w:color w:val="000000"/>
          <w:sz w:val="24"/>
          <w:szCs w:val="24"/>
          <w:u w:val="none"/>
          <w:lang w:val="en-US" w:eastAsia="zh-CN" w:bidi="ar-SA"/>
        </w:rPr>
      </w:pPr>
      <w:r>
        <w:rPr>
          <w:rFonts w:ascii="仿宋" w:hAnsi="仿宋" w:eastAsia="仿宋" w:cs="Times New Roman"/>
          <w:color w:val="000000"/>
          <w:sz w:val="24"/>
          <w:szCs w:val="24"/>
          <w:u w:val="none"/>
          <w:lang w:val="en-US" w:eastAsia="zh-CN" w:bidi="ar-SA"/>
        </w:rPr>
        <w:t xml:space="preserve">注：</w:t>
      </w:r>
      <w:r/>
    </w:p>
    <w:p>
      <w:pPr>
        <w:numPr>
          <w:ilvl w:val="0"/>
          <w:numId w:val="0"/>
        </w:numPr>
        <w:ind w:firstLine="480"/>
        <w:jc w:val="both"/>
        <w:keepLines w:val="0"/>
        <w:keepNext w:val="0"/>
        <w:pageBreakBefore w:val="0"/>
        <w:widowControl w:val="off"/>
        <w:rPr>
          <w:rFonts w:hint="eastAsia" w:ascii="仿宋" w:hAnsi="仿宋" w:eastAsia="仿宋" w:cs="Times New Roman"/>
          <w:b w:val="0"/>
          <w:bCs w:val="0"/>
          <w:color w:val="000000"/>
          <w:sz w:val="24"/>
          <w:szCs w:val="24"/>
          <w:u w:val="none"/>
          <w:lang w:val="en-US" w:eastAsia="zh-CN" w:bidi="ar-SA"/>
        </w:rPr>
      </w:pPr>
      <w:r>
        <w:rPr>
          <w:rFonts w:hint="eastAsia" w:ascii="仿宋" w:hAnsi="仿宋" w:eastAsia="仿宋" w:cs="Times New Roman"/>
          <w:b w:val="0"/>
          <w:bCs w:val="0"/>
          <w:color w:val="000000"/>
          <w:sz w:val="24"/>
          <w:szCs w:val="24"/>
          <w:u w:val="none"/>
          <w:lang w:val="en-US" w:eastAsia="zh-CN" w:bidi="ar-SA"/>
        </w:rPr>
        <w:t xml:space="preserve">1、供应商的响应文件中的内容与磋商文件（含磋商文件的澄清或者修改的内容，下同）的要求不同时，逐条列在偏离表中，否则将认为供应商接受磋商文件的要求。</w:t>
      </w:r>
      <w:r/>
    </w:p>
    <w:p>
      <w:pPr>
        <w:numPr>
          <w:ilvl w:val="0"/>
          <w:numId w:val="0"/>
        </w:numPr>
        <w:ind w:firstLine="480"/>
        <w:jc w:val="both"/>
        <w:keepLines w:val="0"/>
        <w:keepNext w:val="0"/>
        <w:pageBreakBefore w:val="0"/>
        <w:widowControl w:val="off"/>
        <w:rPr>
          <w:rFonts w:hint="eastAsia" w:ascii="仿宋" w:hAnsi="仿宋" w:eastAsia="仿宋" w:cs="Times New Roman"/>
          <w:b w:val="0"/>
          <w:bCs w:val="0"/>
          <w:color w:val="000000"/>
          <w:sz w:val="24"/>
          <w:szCs w:val="24"/>
          <w:u w:val="none"/>
          <w:lang w:val="en-US" w:eastAsia="zh-CN" w:bidi="ar-SA"/>
        </w:rPr>
      </w:pPr>
      <w:r>
        <w:rPr>
          <w:rFonts w:hint="eastAsia" w:ascii="仿宋" w:hAnsi="仿宋" w:eastAsia="仿宋" w:cs="Times New Roman"/>
          <w:b w:val="0"/>
          <w:bCs w:val="0"/>
          <w:color w:val="000000"/>
          <w:sz w:val="24"/>
          <w:szCs w:val="24"/>
          <w:u w:val="none"/>
          <w:lang w:val="en-US" w:eastAsia="zh-CN" w:bidi="ar-SA"/>
        </w:rPr>
        <w:t xml:space="preserve">2、负偏离按照响应无效处理</w:t>
      </w:r>
      <w:r/>
    </w:p>
    <w:p>
      <w:pPr>
        <w:numPr>
          <w:ilvl w:val="0"/>
          <w:numId w:val="0"/>
        </w:numPr>
        <w:ind w:firstLine="480"/>
        <w:jc w:val="both"/>
        <w:keepLines w:val="0"/>
        <w:keepNext w:val="0"/>
        <w:pageBreakBefore w:val="0"/>
        <w:widowControl w:val="off"/>
        <w:rPr>
          <w:rFonts w:hint="eastAsia" w:ascii="仿宋" w:hAnsi="仿宋" w:eastAsia="仿宋" w:cs="Times New Roman"/>
          <w:b w:val="0"/>
          <w:bCs w:val="0"/>
          <w:color w:val="000000"/>
          <w:sz w:val="24"/>
          <w:szCs w:val="24"/>
          <w:u w:val="none"/>
          <w:lang w:val="en-US" w:eastAsia="zh-CN" w:bidi="ar-SA"/>
        </w:rPr>
      </w:pPr>
      <w:r>
        <w:rPr>
          <w:rFonts w:hint="eastAsia" w:ascii="仿宋" w:hAnsi="仿宋" w:eastAsia="仿宋" w:cs="Times New Roman"/>
          <w:b w:val="0"/>
          <w:bCs w:val="0"/>
          <w:color w:val="000000"/>
          <w:sz w:val="24"/>
          <w:szCs w:val="24"/>
          <w:u w:val="none"/>
          <w:lang w:val="en-US" w:eastAsia="zh-CN" w:bidi="ar-SA"/>
        </w:rPr>
        <w:t xml:space="preserve">3、表格自行拆分扩展。</w:t>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r>
      <w:r/>
    </w:p>
    <w:p>
      <w:pPr>
        <w:ind w:firstLine="3120"/>
        <w:jc w:val="both"/>
        <w:spacing w:line="300" w:lineRule="auto"/>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供应商</w:t>
      </w:r>
      <w:r>
        <w:rPr>
          <w:rFonts w:ascii="仿宋" w:hAnsi="仿宋" w:eastAsia="仿宋" w:cs="Times New Roman"/>
          <w:color w:val="000000"/>
          <w:sz w:val="24"/>
          <w:szCs w:val="24"/>
          <w:lang w:val="en-US" w:eastAsia="zh-CN" w:bidi="ar-SA"/>
        </w:rPr>
        <w:t xml:space="preserve">：（</w:t>
      </w:r>
      <w:r>
        <w:rPr>
          <w:rFonts w:hint="eastAsia" w:ascii="仿宋" w:hAnsi="仿宋" w:eastAsia="仿宋" w:cs="Times New Roman"/>
          <w:color w:val="000000"/>
          <w:sz w:val="24"/>
          <w:szCs w:val="24"/>
          <w:lang w:val="en-US" w:eastAsia="zh-CN" w:bidi="ar-SA"/>
        </w:rPr>
        <w:t xml:space="preserve">加盖公章</w:t>
      </w:r>
      <w:r>
        <w:rPr>
          <w:rFonts w:ascii="仿宋" w:hAnsi="仿宋" w:eastAsia="仿宋" w:cs="Times New Roman"/>
          <w:color w:val="000000"/>
          <w:sz w:val="24"/>
          <w:szCs w:val="24"/>
          <w:lang w:val="en-US" w:eastAsia="zh-CN" w:bidi="ar-SA"/>
        </w:rPr>
        <w:t xml:space="preserve">）</w:t>
      </w:r>
      <w:r/>
    </w:p>
    <w:p>
      <w:pPr>
        <w:ind w:firstLine="3120"/>
        <w:jc w:val="both"/>
        <w:spacing w:line="360" w:lineRule="auto"/>
        <w:widowControl w:val="off"/>
        <w:rPr>
          <w:rFonts w:ascii="仿宋" w:hAnsi="仿宋" w:eastAsia="仿宋" w:cs="Times New Roman"/>
          <w:color w:val="000000"/>
          <w:sz w:val="24"/>
          <w:szCs w:val="24"/>
          <w:lang w:val="en-US" w:eastAsia="zh-CN" w:bidi="ar-SA"/>
        </w:rPr>
      </w:pPr>
      <w:r>
        <w:rPr>
          <w:rFonts w:ascii="仿宋" w:hAnsi="仿宋" w:eastAsia="仿宋" w:cs="Times New Roman"/>
          <w:color w:val="000000"/>
          <w:sz w:val="24"/>
          <w:szCs w:val="24"/>
          <w:lang w:val="en-US" w:eastAsia="zh-CN" w:bidi="ar-SA"/>
        </w:rPr>
        <w:t xml:space="preserve">日期：</w:t>
      </w:r>
      <w:r>
        <w:rPr>
          <w:rFonts w:hint="eastAsia" w:ascii="仿宋" w:hAnsi="仿宋" w:eastAsia="仿宋" w:cs="Times New Roman"/>
          <w:color w:val="000000"/>
          <w:sz w:val="24"/>
          <w:szCs w:val="24"/>
          <w:lang w:val="en-US" w:eastAsia="zh-CN" w:bidi="ar-SA"/>
        </w:rPr>
        <w:t xml:space="preserve">    年   月   日</w:t>
      </w:r>
      <w:r/>
    </w:p>
    <w:p>
      <w:pPr>
        <w:ind w:firstLine="560"/>
        <w:jc w:val="center"/>
        <w:keepLines w:val="0"/>
        <w:keepNext w:val="0"/>
        <w:pageBreakBefore/>
        <w:spacing w:line="360" w:lineRule="auto"/>
        <w:widowControl w:val="off"/>
        <w:rPr>
          <w:rFonts w:hint="eastAsia" w:ascii="仿宋" w:hAnsi="仿宋" w:eastAsia="仿宋" w:cs="仿宋"/>
          <w:bCs/>
          <w:color w:val="000000"/>
          <w:sz w:val="28"/>
          <w:szCs w:val="28"/>
          <w:lang w:val="en-US" w:eastAsia="zh-CN" w:bidi="ar-SA"/>
        </w:rPr>
        <w:outlineLvl w:val="9"/>
      </w:pPr>
      <w:r/>
      <w:bookmarkStart w:id="66" w:name="OLE_LINK135"/>
      <w:r>
        <w:rPr>
          <w:rFonts w:hint="eastAsia" w:ascii="仿宋" w:hAnsi="仿宋" w:eastAsia="仿宋" w:cs="仿宋"/>
          <w:bCs/>
          <w:color w:val="000000"/>
          <w:sz w:val="28"/>
          <w:szCs w:val="28"/>
          <w:lang w:val="en-US" w:eastAsia="zh-CN" w:bidi="ar-SA"/>
        </w:rPr>
        <w:t xml:space="preserve">八、评审相关资料</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格式自拟。</w:t>
      </w:r>
      <w:r/>
    </w:p>
    <w:p>
      <w:pPr>
        <w:ind w:firstLine="560"/>
        <w:jc w:val="center"/>
        <w:keepLines w:val="0"/>
        <w:keepNext w:val="0"/>
        <w:pageBreakBefore/>
        <w:spacing w:line="360" w:lineRule="auto"/>
        <w:widowControl w:val="off"/>
        <w:rPr>
          <w:rFonts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t xml:space="preserve">提示函</w:t>
      </w:r>
      <w:r/>
    </w:p>
    <w:p>
      <w:pPr>
        <w:ind w:right="473"/>
        <w:spacing w:line="520" w:lineRule="exact"/>
        <w:rPr>
          <w:rFonts w:ascii="楷体" w:hAnsi="楷体" w:eastAsia="楷体" w:cs="Times New Roman"/>
          <w:color w:val="000000"/>
          <w:spacing w:val="6"/>
          <w:sz w:val="28"/>
          <w:szCs w:val="28"/>
        </w:rPr>
      </w:pPr>
      <w:r>
        <w:rPr>
          <w:rFonts w:ascii="楷体" w:hAnsi="楷体" w:eastAsia="楷体" w:cs="Times New Roman"/>
          <w:color w:val="000000"/>
          <w:spacing w:val="6"/>
          <w:sz w:val="28"/>
          <w:szCs w:val="28"/>
        </w:rPr>
      </w:r>
      <w:r/>
    </w:p>
    <w:p>
      <w:pPr>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各采购供应商：</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为打造公开公平公正的采购营商环境，规范采购活动，请贵单位仔细阅读下列条款：</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一、基本要求：</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1.应当遵循公开、公平、公正和诚实信用原则；</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2.不得有串通磋商、提供虚假材料等违法违规行为；</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3.不得捏造事实、提供虚假材料或者以非法手段取得证明材料进行投诉。</w:t>
      </w:r>
      <w:r/>
    </w:p>
    <w:p>
      <w:pPr>
        <w:ind w:firstLine="480"/>
        <w:jc w:val="both"/>
        <w:keepLines w:val="0"/>
        <w:keepNext w:val="0"/>
        <w:pageBreakBefore w:val="0"/>
        <w:spacing w:line="45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二、经查实有下列行为的，将依法依规严肃处理：</w:t>
      </w:r>
      <w:r/>
    </w:p>
    <w:p>
      <w:pPr>
        <w:ind w:firstLine="480"/>
        <w:jc w:val="both"/>
        <w:keepLines w:val="0"/>
        <w:keepNext w:val="0"/>
        <w:pageBreakBefore w:val="0"/>
        <w:spacing w:line="45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供应商有下列情形之一的，处以采购金额千分之五以上千分之十以下的罚款，列入不良行为记录名单，在一至三年内禁止参加采购活动，有违法所得的，并处没收违法所得，情节严重的，由工商行政管理机关吊销营业执照;构成犯罪的，依法追究刑事责任：</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（1）提供虚假材料谋取中标、成交的;</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（2）采取不正当手段诋毁、排挤其他供应商的;</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（3）与采购人、其他供应商或者采购代理机构恶意串通的;</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（4）向采购人、采购代理机构行贿或者提供其他不正当利益的;</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（5）在磋商采购过程中与采购人进行协商谈判的;</w:t>
      </w:r>
      <w:r/>
    </w:p>
    <w:p>
      <w:pPr>
        <w:ind w:firstLine="480"/>
        <w:jc w:val="both"/>
        <w:keepLines w:val="0"/>
        <w:keepNext w:val="0"/>
        <w:pageBreakBefore w:val="0"/>
        <w:spacing w:line="450" w:lineRule="exact"/>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（6）拒绝有关部门监督检查或者提供虚假情况的。</w:t>
      </w:r>
      <w:r/>
    </w:p>
    <w:p>
      <w:pPr>
        <w:ind w:firstLine="480"/>
        <w:jc w:val="both"/>
        <w:keepLines w:val="0"/>
        <w:keepNext w:val="0"/>
        <w:pageBreakBefore w:val="0"/>
        <w:spacing w:line="450" w:lineRule="exact"/>
        <w:widowControl w:val="off"/>
        <w:rPr>
          <w:rFonts w:hint="eastAsia"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2．在“信用中国”网、中国政府采购网等相关网站有失信记录按规定被依法限制参与采购活动的，在规定期限内不得参加本市范围内的采购活动。</w:t>
      </w:r>
      <w:bookmarkEnd w:id="66"/>
      <w:r/>
      <w:r/>
    </w:p>
    <w:sectPr>
      <w:headerReference w:type="default" r:id="rId11"/>
      <w:footerReference w:type="default" r:id="rId14"/>
      <w:footnotePr/>
      <w:endnotePr/>
      <w:type w:val="nextPage"/>
      <w:pgSz w:w="11906" w:h="16838" w:orient="portrait"/>
      <w:pgMar w:top="2098" w:right="1587" w:bottom="1984" w:left="1587" w:header="851" w:footer="850" w:gutter="0"/>
      <w:pgNumType w:start="1"/>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ourier New">
    <w:panose1 w:val="02070309020205020404"/>
  </w:font>
  <w:font w:name="Tahoma">
    <w:panose1 w:val="020B0604030504040204"/>
  </w:font>
  <w:font w:name="Cambria">
    <w:panose1 w:val="02040503050406030204"/>
  </w:font>
  <w:font w:name="黑体">
    <w:panose1 w:val="02010609060101010101"/>
  </w:font>
  <w:font w:name="仿宋_GB2312">
    <w:panose1 w:val="02010609060101010101"/>
  </w:font>
  <w:font w:name="仿宋">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0" w:line="240" w:lineRule="auto"/>
      <w:tabs>
        <w:tab w:val="center" w:pos="4153" w:leader="none"/>
        <w:tab w:val="right" w:pos="14287" w:leader="none"/>
      </w:tabs>
      <w:rPr>
        <w:rFonts w:ascii="Times New Roman" w:hAnsi="Times New Roman" w:eastAsia="宋体" w:cs="Times New Roman"/>
      </w:rPr>
    </w:pPr>
    <w:r>
      <w:rPr>
        <w:rFonts w:hint="eastAsia" w:ascii="Times New Roman" w:hAnsi="Times New Roman" w:eastAsia="宋体" w:cs="Times New Roman"/>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center"/>
    </w:pPr>
    <w:r>
      <w:fldChar w:fldCharType="begin"/>
    </w:r>
    <w:r>
      <w:instrText xml:space="preserve">PAGE \* MERGEFORMAT</w:instrText>
    </w:r>
    <w:r>
      <w:fldChar w:fldCharType="separate"/>
    </w:r>
    <w:r>
      <w:t xml:space="preserve">1</w:t>
    </w:r>
    <w:r>
      <w:fldChar w:fldCharType="end"/>
    </w:r>
    <w:r/>
  </w:p>
  <w:p>
    <w:pPr>
      <w:pStyle w:val="8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1"/>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ascii="隶书" w:hAnsi="Times New Roman" w:eastAsia="隶书" w:cs="Times New Roman"/>
        <w:color w:val="ff0000"/>
        <w:sz w:val="21"/>
        <w:szCs w:val="21"/>
        <w:u w:val="single"/>
        <w:lang w:val="en-US" w:eastAsia="zh-CN" w:bidi="ar-SA"/>
      </w:rPr>
    </w:pPr>
    <w:r>
      <w:rPr>
        <w:rFonts w:ascii="Times New Roman" w:hAnsi="Times New Roman" w:eastAsia="宋体" w:cs="Times New Roman"/>
        <w:sz w:val="20"/>
        <w:szCs w:val="24"/>
        <w:lang w:val="en-US" w:eastAsia="zh-CN" w:bidi="ar-SA"/>
      </w:rPr>
      <mc:AlternateContent>
        <mc:Choice Requires="wpg">
          <w:drawing>
            <wp:inline xmlns:wp="http://schemas.openxmlformats.org/drawingml/2006/wordprocessingDrawing" distT="0" distB="0" distL="0" distR="0">
              <wp:extent cx="2075180" cy="2921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75180" cy="2921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3.4pt;height:23.0pt;mso-wrap-distance-left:0.0pt;mso-wrap-distance-top:0.0pt;mso-wrap-distance-right:0.0pt;mso-wrap-distance-bottom:0.0pt;" stroked="f">
              <v:path textboxrect="0,0,0,0"/>
              <v:imagedata r:id="rId1" o:title=""/>
            </v:shape>
          </w:pict>
        </mc:Fallback>
      </mc:AlternateContent>
    </w:r>
    <w:r/>
  </w:p>
  <w:p>
    <w:pPr>
      <w:jc w:val="right"/>
      <w:widowControl w:val="off"/>
      <w:rPr>
        <w:rFonts w:hint="eastAsia" w:ascii="仿宋" w:hAnsi="仿宋" w:eastAsia="仿宋" w:cs="Times New Roman"/>
        <w:b/>
        <w:bCs/>
        <w:sz w:val="21"/>
        <w:szCs w:val="21"/>
        <w:lang w:val="en-US" w:eastAsia="zh-CN" w:bidi="ar-SA"/>
      </w:rPr>
      <w:pBdr>
        <w:bottom w:val="single" w:color="000000" w:sz="4" w:space="0"/>
      </w:pBdr>
    </w:pPr>
    <w:r>
      <w:rPr>
        <w:rFonts w:hint="eastAsia" w:ascii="仿宋" w:hAnsi="仿宋" w:eastAsia="仿宋" w:cs="Times New Roman"/>
        <w:b/>
        <w:bCs/>
        <w:sz w:val="21"/>
        <w:szCs w:val="21"/>
        <w:lang w:val="en-US" w:eastAsia="zh-CN" w:bidi="ar-SA"/>
      </w:rPr>
      <w:t xml:space="preserve">JSZC-320116-HTBX-C2026-0003</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Fonts w:ascii="隶书" w:eastAsia="隶书"/>
        <w:color w:val="ff0000"/>
        <w:sz w:val="21"/>
        <w:szCs w:val="21"/>
        <w:u w:val="single"/>
      </w:rPr>
    </w:pPr>
    <w:r>
      <w:rPr>
        <w:sz w:val="20"/>
      </w:rPr>
      <mc:AlternateContent>
        <mc:Choice Requires="wpg">
          <w:drawing>
            <wp:inline xmlns:wp="http://schemas.openxmlformats.org/drawingml/2006/wordprocessingDrawing" distT="0" distB="0" distL="0" distR="0">
              <wp:extent cx="2075180" cy="2921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075180" cy="2921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3.4pt;height:23.0pt;mso-wrap-distance-left:0.0pt;mso-wrap-distance-top:0.0pt;mso-wrap-distance-right:0.0pt;mso-wrap-distance-bottom:0.0pt;" stroked="f">
              <v:path textboxrect="0,0,0,0"/>
              <v:imagedata r:id="rId1" o:title=""/>
            </v:shape>
          </w:pict>
        </mc:Fallback>
      </mc:AlternateContent>
    </w:r>
    <w:r/>
  </w:p>
  <w:p>
    <w:pPr>
      <w:pStyle w:val="793"/>
      <w:jc w:val="right"/>
      <w:rPr>
        <w:rFonts w:hint="eastAsia" w:ascii="仿宋" w:hAnsi="仿宋" w:eastAsia="仿宋"/>
        <w:b/>
        <w:bCs/>
        <w:sz w:val="21"/>
        <w:szCs w:val="21"/>
        <w:lang w:eastAsia="zh-CN"/>
      </w:rPr>
      <w:pBdr>
        <w:bottom w:val="single" w:color="000000" w:sz="4" w:space="0"/>
      </w:pBdr>
    </w:pPr>
    <w:r>
      <w:rPr>
        <w:rFonts w:hint="eastAsia" w:ascii="仿宋" w:hAnsi="仿宋" w:eastAsia="仿宋"/>
        <w:b/>
        <w:bCs/>
        <w:sz w:val="21"/>
        <w:szCs w:val="21"/>
        <w:lang w:eastAsia="zh-CN"/>
      </w:rPr>
      <w:t xml:space="preserve">JSZC-320116-HTBX-C2026-0003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部分"/>
      <w:lvlJc w:val="center"/>
      <w:pPr>
        <w:ind w:left="252" w:firstLine="288"/>
      </w:pPr>
      <w:rPr>
        <w:sz w:val="28"/>
        <w:szCs w:val="28"/>
      </w:rPr>
    </w:lvl>
    <w:lvl w:ilvl="1">
      <w:start w:val="1"/>
      <w:numFmt w:val="chineseCountingThousand"/>
      <w:isLgl w:val="false"/>
      <w:suff w:val="nothing"/>
      <w:lvlText w:val="%2、"/>
      <w:lvlJc w:val="left"/>
      <w:pPr>
        <w:ind w:left="543" w:firstLine="177"/>
      </w:pPr>
      <w:rPr>
        <w:rFonts w:ascii="仿宋_GB2312" w:hAnsi="宋体" w:eastAsia="仿宋_GB2312"/>
        <w:sz w:val="32"/>
        <w:szCs w:val="32"/>
      </w:rPr>
    </w:lvl>
    <w:lvl w:ilvl="2">
      <w:start w:val="1"/>
      <w:numFmt w:val="chineseCountingThousand"/>
      <w:pStyle w:val="853"/>
      <w:isLgl w:val="false"/>
      <w:suff w:val="nothing"/>
      <w:lvlText w:val="(%3)"/>
      <w:lvlJc w:val="left"/>
      <w:pPr>
        <w:ind w:left="252"/>
      </w:pPr>
      <w:rPr>
        <w:rFonts w:ascii="Times New Roman" w:hAnsi="Times New Roman" w:eastAsia="宋体"/>
        <w:b/>
        <w:i w:val="0"/>
        <w:spacing w:val="0"/>
        <w:position w:val="0"/>
        <w:sz w:val="21"/>
        <w:szCs w:val="21"/>
      </w:rPr>
    </w:lvl>
    <w:lvl w:ilvl="3">
      <w:start w:val="1"/>
      <w:numFmt w:val="decimal"/>
      <w:isLgl w:val="false"/>
      <w:suff w:val="nothing"/>
      <w:lvlText w:val="%4、"/>
      <w:lvlJc w:val="left"/>
      <w:pPr>
        <w:ind w:left="252"/>
      </w:pPr>
    </w:lvl>
    <w:lvl w:ilvl="4">
      <w:start w:val="1"/>
      <w:numFmt w:val="upperLetter"/>
      <w:isLgl w:val="false"/>
      <w:suff w:val="nothing"/>
      <w:lvlText w:val="%5、"/>
      <w:lvlJc w:val="left"/>
      <w:pPr>
        <w:ind w:left="252"/>
      </w:pPr>
    </w:lvl>
    <w:lvl w:ilvl="5">
      <w:start w:val="1"/>
      <w:numFmt w:val="decimal"/>
      <w:isLgl w:val="false"/>
      <w:suff w:val="nothing"/>
      <w:lvlText w:val=""/>
      <w:lvlJc w:val="left"/>
      <w:pPr>
        <w:ind w:left="252"/>
      </w:pPr>
    </w:lvl>
    <w:lvl w:ilvl="6">
      <w:start w:val="1"/>
      <w:numFmt w:val="decimal"/>
      <w:isLgl w:val="false"/>
      <w:suff w:val="nothing"/>
      <w:lvlText w:val=""/>
      <w:lvlJc w:val="left"/>
      <w:pPr>
        <w:ind w:left="252"/>
      </w:pPr>
    </w:lvl>
    <w:lvl w:ilvl="7">
      <w:start w:val="1"/>
      <w:numFmt w:val="decimal"/>
      <w:isLgl w:val="false"/>
      <w:suff w:val="nothing"/>
      <w:lvlText w:val=""/>
      <w:lvlJc w:val="left"/>
      <w:pPr>
        <w:ind w:left="252"/>
      </w:pPr>
    </w:lvl>
    <w:lvl w:ilvl="8">
      <w:start w:val="1"/>
      <w:numFmt w:val="decimal"/>
      <w:isLgl w:val="false"/>
      <w:suff w:val="nothing"/>
      <w:lvlText w:val=""/>
      <w:lvlJc w:val="left"/>
      <w:pPr>
        <w:ind w:left="252"/>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817"/>
    <w:uiPriority w:val="0"/>
    <w:qFormat/>
    <w:rPr>
      <w:rFonts w:hint="default" w:ascii="Times New Roman" w:hAnsi="Times New Roman" w:eastAsia="宋体" w:cs="Times New Roman"/>
    </w:rPr>
  </w:style>
  <w:style w:type="paragraph" w:styleId="735">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Layout w:type="fixed"/>
      <w:tblCellMar>
        <w:left w:w="108" w:type="dxa"/>
        <w:top w:w="0" w:type="dxa"/>
        <w:right w:w="108" w:type="dxa"/>
        <w:bottom w:w="0" w:type="dxa"/>
      </w:tblCellMar>
    </w:tblPr>
  </w:style>
  <w:style w:type="paragraph" w:styleId="746" w:customStyle="1">
    <w:name w:val="标题 211"/>
    <w:basedOn w:val="734"/>
    <w:next w:val="734"/>
    <w:link w:val="816"/>
    <w:uiPriority w:val="9"/>
    <w:unhideWhenUsed/>
    <w:qFormat/>
    <w:pPr>
      <w:keepLines/>
      <w:keepNext/>
      <w:spacing w:before="360" w:after="200"/>
      <w:outlineLvl w:val="1"/>
    </w:pPr>
    <w:rPr>
      <w:rFonts w:ascii="Arial" w:hAnsi="Arial" w:eastAsia="Arial" w:cs="Arial"/>
      <w:sz w:val="34"/>
    </w:rPr>
  </w:style>
  <w:style w:type="paragraph" w:styleId="747">
    <w:name w:val="toc 7"/>
    <w:basedOn w:val="734"/>
    <w:next w:val="734"/>
    <w:uiPriority w:val="39"/>
    <w:unhideWhenUsed/>
    <w:pPr>
      <w:ind w:left="1701" w:right="0" w:firstLine="0"/>
      <w:spacing w:after="57"/>
    </w:p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toc 5"/>
    <w:basedOn w:val="734"/>
    <w:next w:val="734"/>
    <w:uiPriority w:val="39"/>
    <w:unhideWhenUsed/>
    <w:qFormat/>
    <w:pPr>
      <w:ind w:left="1134" w:right="0" w:firstLine="0"/>
      <w:spacing w:after="57"/>
    </w:pPr>
  </w:style>
  <w:style w:type="paragraph" w:styleId="750">
    <w:name w:val="toc 3"/>
    <w:basedOn w:val="734"/>
    <w:next w:val="734"/>
    <w:uiPriority w:val="39"/>
    <w:unhideWhenUsed/>
    <w:pPr>
      <w:ind w:left="567" w:right="0" w:firstLine="0"/>
      <w:spacing w:after="57"/>
    </w:pPr>
  </w:style>
  <w:style w:type="paragraph" w:styleId="751">
    <w:name w:val="toc 8"/>
    <w:basedOn w:val="734"/>
    <w:next w:val="734"/>
    <w:uiPriority w:val="39"/>
    <w:unhideWhenUsed/>
    <w:qFormat/>
    <w:pPr>
      <w:ind w:left="1984" w:right="0" w:firstLine="0"/>
      <w:spacing w:after="57"/>
    </w:pPr>
  </w:style>
  <w:style w:type="paragraph" w:styleId="752">
    <w:name w:val="endnote text"/>
    <w:basedOn w:val="734"/>
    <w:uiPriority w:val="99"/>
    <w:semiHidden/>
    <w:unhideWhenUsed/>
    <w:pPr>
      <w:spacing w:after="0" w:line="240" w:lineRule="auto"/>
    </w:pPr>
    <w:rPr>
      <w:sz w:val="20"/>
    </w:rPr>
  </w:style>
  <w:style w:type="paragraph" w:styleId="753">
    <w:name w:val="Footer"/>
    <w:basedOn w:val="734"/>
    <w:uiPriority w:val="99"/>
    <w:unhideWhenUsed/>
    <w:qFormat/>
    <w:pPr>
      <w:spacing w:after="0" w:line="240" w:lineRule="auto"/>
      <w:tabs>
        <w:tab w:val="center" w:pos="7143" w:leader="none"/>
        <w:tab w:val="right" w:pos="14287" w:leader="none"/>
      </w:tabs>
    </w:pPr>
  </w:style>
  <w:style w:type="paragraph" w:styleId="754">
    <w:name w:val="Header"/>
    <w:basedOn w:val="734"/>
    <w:uiPriority w:val="99"/>
    <w:unhideWhenUsed/>
    <w:qFormat/>
    <w:pPr>
      <w:spacing w:after="0" w:line="240" w:lineRule="auto"/>
      <w:tabs>
        <w:tab w:val="center" w:pos="7143" w:leader="none"/>
        <w:tab w:val="right" w:pos="14287" w:leader="none"/>
      </w:tabs>
    </w:pPr>
  </w:style>
  <w:style w:type="paragraph" w:styleId="755">
    <w:name w:val="toc 1"/>
    <w:basedOn w:val="734"/>
    <w:next w:val="734"/>
    <w:uiPriority w:val="39"/>
    <w:unhideWhenUsed/>
    <w:qFormat/>
    <w:pPr>
      <w:ind w:left="0" w:right="0" w:firstLine="0"/>
      <w:spacing w:after="57"/>
    </w:pPr>
  </w:style>
  <w:style w:type="paragraph" w:styleId="756">
    <w:name w:val="toc 4"/>
    <w:basedOn w:val="734"/>
    <w:next w:val="734"/>
    <w:uiPriority w:val="39"/>
    <w:unhideWhenUsed/>
    <w:qFormat/>
    <w:pPr>
      <w:ind w:left="850" w:right="0" w:firstLine="0"/>
      <w:spacing w:after="57"/>
    </w:pPr>
  </w:style>
  <w:style w:type="paragraph" w:styleId="757">
    <w:name w:val="Subtitle"/>
    <w:basedOn w:val="734"/>
    <w:next w:val="734"/>
    <w:uiPriority w:val="11"/>
    <w:qFormat/>
    <w:pPr>
      <w:spacing w:before="200" w:after="200"/>
    </w:pPr>
    <w:rPr>
      <w:sz w:val="24"/>
      <w:szCs w:val="24"/>
    </w:rPr>
  </w:style>
  <w:style w:type="paragraph" w:styleId="758">
    <w:name w:val="footnote text"/>
    <w:basedOn w:val="734"/>
    <w:uiPriority w:val="99"/>
    <w:semiHidden/>
    <w:unhideWhenUsed/>
    <w:qFormat/>
    <w:pPr>
      <w:spacing w:after="40" w:line="240" w:lineRule="auto"/>
    </w:pPr>
    <w:rPr>
      <w:sz w:val="18"/>
    </w:rPr>
  </w:style>
  <w:style w:type="paragraph" w:styleId="759">
    <w:name w:val="toc 6"/>
    <w:basedOn w:val="734"/>
    <w:next w:val="734"/>
    <w:uiPriority w:val="39"/>
    <w:unhideWhenUsed/>
    <w:qFormat/>
    <w:pPr>
      <w:ind w:left="1417" w:right="0" w:firstLine="0"/>
      <w:spacing w:after="57"/>
    </w:pPr>
  </w:style>
  <w:style w:type="paragraph" w:styleId="760">
    <w:name w:val="table of figures"/>
    <w:basedOn w:val="734"/>
    <w:next w:val="734"/>
    <w:uiPriority w:val="99"/>
    <w:unhideWhenUsed/>
    <w:qFormat/>
    <w:pPr>
      <w:spacing w:after="0" w:afterAutospacing="0"/>
    </w:pPr>
  </w:style>
  <w:style w:type="paragraph" w:styleId="761">
    <w:name w:val="toc 2"/>
    <w:basedOn w:val="734"/>
    <w:next w:val="734"/>
    <w:uiPriority w:val="39"/>
    <w:unhideWhenUsed/>
    <w:qFormat/>
    <w:pPr>
      <w:ind w:left="283" w:right="0" w:firstLine="0"/>
      <w:spacing w:after="57"/>
    </w:pPr>
  </w:style>
  <w:style w:type="paragraph" w:styleId="762">
    <w:name w:val="toc 9"/>
    <w:basedOn w:val="734"/>
    <w:next w:val="734"/>
    <w:uiPriority w:val="39"/>
    <w:unhideWhenUsed/>
    <w:qFormat/>
    <w:pPr>
      <w:ind w:left="2268" w:right="0" w:firstLine="0"/>
      <w:spacing w:after="57"/>
    </w:pPr>
  </w:style>
  <w:style w:type="paragraph" w:styleId="763">
    <w:name w:val="Title"/>
    <w:basedOn w:val="734"/>
    <w:next w:val="734"/>
    <w:uiPriority w:val="10"/>
    <w:qFormat/>
    <w:pPr>
      <w:contextualSpacing/>
      <w:spacing w:before="300" w:after="200"/>
    </w:pPr>
    <w:rPr>
      <w:sz w:val="48"/>
      <w:szCs w:val="48"/>
    </w:rPr>
  </w:style>
  <w:style w:type="character" w:styleId="764">
    <w:name w:val="endnote reference"/>
    <w:uiPriority w:val="99"/>
    <w:semiHidden/>
    <w:unhideWhenUsed/>
    <w:rPr>
      <w:vertAlign w:val="superscript"/>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rPr>
      <w:vertAlign w:val="superscript"/>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68" w:customStyle="1">
    <w:name w:val="标题 111"/>
    <w:next w:val="734"/>
    <w:link w:val="815"/>
    <w:uiPriority w:val="9"/>
    <w:qFormat/>
    <w:pPr>
      <w:keepLines/>
      <w:keepNext/>
      <w:spacing w:before="480" w:after="200"/>
      <w:outlineLvl w:val="0"/>
    </w:pPr>
    <w:rPr>
      <w:rFonts w:hint="default" w:ascii="Arial" w:hAnsi="Arial" w:eastAsia="Arial" w:cs="Arial"/>
      <w:sz w:val="40"/>
      <w:szCs w:val="40"/>
    </w:rPr>
  </w:style>
  <w:style w:type="paragraph" w:styleId="769" w:customStyle="1">
    <w:name w:val="标题 311"/>
    <w:next w:val="734"/>
    <w:link w:val="790"/>
    <w:uiPriority w:val="9"/>
    <w:unhideWhenUsed/>
    <w:qFormat/>
    <w:pPr>
      <w:keepLines/>
      <w:keepNext/>
      <w:spacing w:before="320" w:after="200"/>
      <w:outlineLvl w:val="2"/>
    </w:pPr>
    <w:rPr>
      <w:rFonts w:hint="default" w:ascii="Arial" w:hAnsi="Arial" w:eastAsia="Arial" w:cs="Arial"/>
      <w:sz w:val="30"/>
      <w:szCs w:val="30"/>
    </w:rPr>
  </w:style>
  <w:style w:type="paragraph" w:styleId="770" w:customStyle="1">
    <w:name w:val="标题 411"/>
    <w:next w:val="734"/>
    <w:link w:val="784"/>
    <w:uiPriority w:val="9"/>
    <w:unhideWhenUsed/>
    <w:qFormat/>
    <w:pPr>
      <w:keepLines/>
      <w:keepNext/>
      <w:spacing w:before="320" w:after="200"/>
      <w:outlineLvl w:val="3"/>
    </w:pPr>
    <w:rPr>
      <w:rFonts w:hint="default" w:ascii="Arial" w:hAnsi="Arial" w:eastAsia="Arial" w:cs="Arial"/>
      <w:b/>
      <w:bCs/>
      <w:sz w:val="26"/>
      <w:szCs w:val="26"/>
    </w:rPr>
  </w:style>
  <w:style w:type="paragraph" w:styleId="771" w:customStyle="1">
    <w:name w:val="标题 51"/>
    <w:next w:val="734"/>
    <w:link w:val="789"/>
    <w:uiPriority w:val="9"/>
    <w:unhideWhenUsed/>
    <w:qFormat/>
    <w:pPr>
      <w:keepLines/>
      <w:keepNext/>
      <w:spacing w:before="320" w:after="200"/>
      <w:outlineLvl w:val="4"/>
    </w:pPr>
    <w:rPr>
      <w:rFonts w:hint="default" w:ascii="Arial" w:hAnsi="Arial" w:eastAsia="Arial" w:cs="Arial"/>
      <w:b/>
      <w:bCs/>
      <w:sz w:val="24"/>
      <w:szCs w:val="24"/>
    </w:rPr>
  </w:style>
  <w:style w:type="paragraph" w:styleId="772" w:customStyle="1">
    <w:name w:val="标题 61"/>
    <w:next w:val="734"/>
    <w:link w:val="795"/>
    <w:uiPriority w:val="9"/>
    <w:unhideWhenUsed/>
    <w:qFormat/>
    <w:pPr>
      <w:keepLines/>
      <w:keepNext/>
      <w:spacing w:before="320" w:after="200"/>
      <w:outlineLvl w:val="5"/>
    </w:pPr>
    <w:rPr>
      <w:rFonts w:hint="default" w:ascii="Arial" w:hAnsi="Arial" w:eastAsia="Arial" w:cs="Arial"/>
      <w:b/>
      <w:bCs/>
      <w:sz w:val="22"/>
      <w:szCs w:val="22"/>
    </w:rPr>
  </w:style>
  <w:style w:type="paragraph" w:styleId="773" w:customStyle="1">
    <w:name w:val="标题 71"/>
    <w:next w:val="734"/>
    <w:link w:val="782"/>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74" w:customStyle="1">
    <w:name w:val="标题 81"/>
    <w:next w:val="734"/>
    <w:link w:val="800"/>
    <w:uiPriority w:val="9"/>
    <w:unhideWhenUsed/>
    <w:qFormat/>
    <w:pPr>
      <w:keepLines/>
      <w:keepNext/>
      <w:spacing w:before="320" w:after="200"/>
      <w:outlineLvl w:val="7"/>
    </w:pPr>
    <w:rPr>
      <w:rFonts w:hint="default" w:ascii="Arial" w:hAnsi="Arial" w:eastAsia="Arial" w:cs="Arial"/>
      <w:i/>
      <w:iCs/>
      <w:sz w:val="22"/>
      <w:szCs w:val="22"/>
    </w:rPr>
  </w:style>
  <w:style w:type="paragraph" w:styleId="775" w:customStyle="1">
    <w:name w:val="标题 91"/>
    <w:next w:val="734"/>
    <w:link w:val="783"/>
    <w:uiPriority w:val="9"/>
    <w:unhideWhenUsed/>
    <w:qFormat/>
    <w:pPr>
      <w:keepLines/>
      <w:keepNext/>
      <w:spacing w:before="320" w:after="200"/>
      <w:outlineLvl w:val="8"/>
    </w:pPr>
    <w:rPr>
      <w:rFonts w:hint="default" w:ascii="Arial" w:hAnsi="Arial" w:eastAsia="Arial" w:cs="Arial"/>
      <w:i/>
      <w:iCs/>
      <w:sz w:val="21"/>
      <w:szCs w:val="21"/>
    </w:rPr>
  </w:style>
  <w:style w:type="character" w:styleId="776" w:customStyle="1">
    <w:name w:val="默认段落字体11"/>
    <w:link w:val="734"/>
    <w:uiPriority w:val="1"/>
    <w:unhideWhenUsed/>
    <w:qFormat/>
  </w:style>
  <w:style w:type="table" w:styleId="777" w:customStyle="1">
    <w:name w:val="普通表格11"/>
    <w:uiPriority w:val="99"/>
    <w:unhideWhenUsed/>
    <w:qFormat/>
    <w:tblPr/>
  </w:style>
  <w:style w:type="character" w:styleId="778" w:customStyle="1">
    <w:name w:val="脚注引用11"/>
    <w:link w:val="734"/>
    <w:uiPriority w:val="99"/>
    <w:unhideWhenUsed/>
    <w:qFormat/>
    <w:rPr>
      <w:vertAlign w:val="superscript"/>
    </w:rPr>
  </w:style>
  <w:style w:type="character" w:styleId="779" w:customStyle="1">
    <w:name w:val="尾注引用1"/>
    <w:link w:val="734"/>
    <w:uiPriority w:val="99"/>
    <w:unhideWhenUsed/>
    <w:qFormat/>
    <w:rPr>
      <w:vertAlign w:val="superscript"/>
    </w:rPr>
  </w:style>
  <w:style w:type="character" w:styleId="780" w:customStyle="1">
    <w:name w:val="要点1"/>
    <w:basedOn w:val="776"/>
    <w:link w:val="734"/>
    <w:uiPriority w:val="0"/>
    <w:qFormat/>
    <w:rPr>
      <w:b/>
    </w:rPr>
  </w:style>
  <w:style w:type="character" w:styleId="781" w:customStyle="1">
    <w:name w:val="超链接11"/>
    <w:link w:val="734"/>
    <w:uiPriority w:val="99"/>
    <w:unhideWhenUsed/>
    <w:qFormat/>
    <w:rPr>
      <w:color w:val="0000ff"/>
      <w:u w:val="single"/>
    </w:rPr>
  </w:style>
  <w:style w:type="character" w:styleId="782" w:customStyle="1">
    <w:name w:val="Heading 7 Char"/>
    <w:link w:val="773"/>
    <w:uiPriority w:val="9"/>
    <w:qFormat/>
    <w:rPr>
      <w:rFonts w:ascii="Arial" w:hAnsi="Arial" w:eastAsia="Arial" w:cs="Arial"/>
      <w:b/>
      <w:bCs/>
      <w:i/>
      <w:iCs/>
      <w:sz w:val="22"/>
      <w:szCs w:val="22"/>
    </w:rPr>
  </w:style>
  <w:style w:type="character" w:styleId="783" w:customStyle="1">
    <w:name w:val="Heading 9 Char"/>
    <w:link w:val="775"/>
    <w:uiPriority w:val="9"/>
    <w:qFormat/>
    <w:rPr>
      <w:rFonts w:ascii="Arial" w:hAnsi="Arial" w:eastAsia="Arial" w:cs="Arial"/>
      <w:i/>
      <w:iCs/>
      <w:sz w:val="21"/>
      <w:szCs w:val="21"/>
    </w:rPr>
  </w:style>
  <w:style w:type="character" w:styleId="784" w:customStyle="1">
    <w:name w:val="Heading 4 Char"/>
    <w:link w:val="770"/>
    <w:uiPriority w:val="9"/>
    <w:qFormat/>
    <w:rPr>
      <w:rFonts w:ascii="Arial" w:hAnsi="Arial" w:eastAsia="Arial" w:cs="Arial"/>
      <w:b/>
      <w:bCs/>
      <w:sz w:val="26"/>
      <w:szCs w:val="26"/>
    </w:rPr>
  </w:style>
  <w:style w:type="character" w:styleId="785" w:customStyle="1">
    <w:name w:val="Footnote Text Char"/>
    <w:link w:val="786"/>
    <w:uiPriority w:val="99"/>
    <w:qFormat/>
    <w:rPr>
      <w:sz w:val="18"/>
    </w:rPr>
  </w:style>
  <w:style w:type="paragraph" w:styleId="786" w:customStyle="1">
    <w:name w:val="脚注文本11"/>
    <w:basedOn w:val="734"/>
    <w:next w:val="787"/>
    <w:link w:val="785"/>
    <w:uiPriority w:val="99"/>
    <w:unhideWhenUsed/>
    <w:qFormat/>
    <w:pPr>
      <w:spacing w:after="40" w:line="240" w:lineRule="auto"/>
    </w:pPr>
    <w:rPr>
      <w:rFonts w:ascii="Times New Roman" w:hAnsi="Times New Roman" w:eastAsia="宋体" w:cs="Times New Roman"/>
      <w:sz w:val="18"/>
    </w:rPr>
  </w:style>
  <w:style w:type="paragraph" w:styleId="787" w:customStyle="1">
    <w:name w:val="索引 511"/>
    <w:basedOn w:val="734"/>
    <w:next w:val="734"/>
    <w:uiPriority w:val="0"/>
    <w:qFormat/>
    <w:pPr>
      <w:ind w:left="798"/>
    </w:pPr>
    <w:rPr>
      <w:rFonts w:ascii="Calibri" w:hAnsi="Calibri"/>
      <w:sz w:val="21"/>
    </w:rPr>
  </w:style>
  <w:style w:type="character" w:styleId="788" w:customStyle="1">
    <w:name w:val="脚注引用1"/>
    <w:link w:val="734"/>
    <w:uiPriority w:val="0"/>
    <w:qFormat/>
    <w:rPr>
      <w:vertAlign w:val="superscript"/>
    </w:rPr>
  </w:style>
  <w:style w:type="character" w:styleId="789" w:customStyle="1">
    <w:name w:val="Heading 5 Char"/>
    <w:link w:val="771"/>
    <w:uiPriority w:val="9"/>
    <w:qFormat/>
    <w:rPr>
      <w:rFonts w:ascii="Arial" w:hAnsi="Arial" w:eastAsia="Arial" w:cs="Arial"/>
      <w:b/>
      <w:bCs/>
      <w:sz w:val="24"/>
      <w:szCs w:val="24"/>
    </w:rPr>
  </w:style>
  <w:style w:type="character" w:styleId="790" w:customStyle="1">
    <w:name w:val="Heading 3 Char"/>
    <w:link w:val="769"/>
    <w:uiPriority w:val="9"/>
    <w:qFormat/>
    <w:rPr>
      <w:rFonts w:ascii="Arial" w:hAnsi="Arial" w:eastAsia="Arial" w:cs="Arial"/>
      <w:sz w:val="30"/>
      <w:szCs w:val="30"/>
    </w:rPr>
  </w:style>
  <w:style w:type="character" w:styleId="791" w:customStyle="1">
    <w:name w:val="标题 1 Char"/>
    <w:link w:val="792"/>
    <w:uiPriority w:val="0"/>
    <w:qFormat/>
    <w:rPr>
      <w:rFonts w:ascii="Times New Roman" w:hAnsi="Times New Roman" w:eastAsia="仿宋"/>
      <w:b/>
      <w:bCs/>
      <w:sz w:val="30"/>
      <w:szCs w:val="30"/>
    </w:rPr>
  </w:style>
  <w:style w:type="paragraph" w:styleId="792" w:customStyle="1">
    <w:name w:val="标题 11"/>
    <w:basedOn w:val="793"/>
    <w:next w:val="793"/>
    <w:link w:val="791"/>
    <w:uiPriority w:val="0"/>
    <w:qFormat/>
    <w:pPr>
      <w:jc w:val="center"/>
      <w:keepLines/>
      <w:keepNext/>
      <w:pageBreakBefore/>
      <w:spacing w:before="120" w:line="579" w:lineRule="auto"/>
      <w:outlineLvl w:val="0"/>
    </w:pPr>
    <w:rPr>
      <w:rFonts w:ascii="Times New Roman" w:hAnsi="Times New Roman" w:eastAsia="仿宋"/>
      <w:b/>
      <w:bCs/>
      <w:sz w:val="30"/>
      <w:szCs w:val="30"/>
    </w:rPr>
  </w:style>
  <w:style w:type="paragraph" w:styleId="793" w:customStyle="1">
    <w:name w:val="正文1111"/>
    <w:next w:val="794"/>
    <w:link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4" w:customStyle="1">
    <w:name w:val="目录 112"/>
    <w:basedOn w:val="793"/>
    <w:next w:val="793"/>
    <w:uiPriority w:val="0"/>
    <w:qFormat/>
  </w:style>
  <w:style w:type="character" w:styleId="795" w:customStyle="1">
    <w:name w:val="Heading 6 Char"/>
    <w:link w:val="772"/>
    <w:uiPriority w:val="9"/>
    <w:qFormat/>
    <w:rPr>
      <w:rFonts w:ascii="Arial" w:hAnsi="Arial" w:eastAsia="Arial" w:cs="Arial"/>
      <w:b/>
      <w:bCs/>
      <w:sz w:val="22"/>
      <w:szCs w:val="22"/>
    </w:rPr>
  </w:style>
  <w:style w:type="character" w:styleId="796" w:customStyle="1">
    <w:name w:val="强调1"/>
    <w:basedOn w:val="797"/>
    <w:link w:val="793"/>
    <w:uiPriority w:val="0"/>
    <w:qFormat/>
    <w:rPr>
      <w:i/>
    </w:rPr>
  </w:style>
  <w:style w:type="character" w:styleId="797" w:customStyle="1">
    <w:name w:val="默认段落字体1"/>
    <w:link w:val="734"/>
    <w:uiPriority w:val="0"/>
    <w:semiHidden/>
    <w:qFormat/>
  </w:style>
  <w:style w:type="character" w:styleId="798" w:customStyle="1">
    <w:name w:val="Intense Quote Char"/>
    <w:link w:val="799"/>
    <w:uiPriority w:val="30"/>
    <w:qFormat/>
    <w:rPr>
      <w:i/>
    </w:rPr>
  </w:style>
  <w:style w:type="paragraph" w:styleId="799">
    <w:name w:val="Intense Quote"/>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00" w:customStyle="1">
    <w:name w:val="Heading 8 Char"/>
    <w:link w:val="774"/>
    <w:uiPriority w:val="9"/>
    <w:qFormat/>
    <w:rPr>
      <w:rFonts w:ascii="Arial" w:hAnsi="Arial" w:eastAsia="Arial" w:cs="Arial"/>
      <w:i/>
      <w:iCs/>
      <w:sz w:val="22"/>
      <w:szCs w:val="22"/>
    </w:rPr>
  </w:style>
  <w:style w:type="character" w:styleId="801" w:customStyle="1">
    <w:name w:val="Title Char"/>
    <w:link w:val="802"/>
    <w:uiPriority w:val="10"/>
    <w:qFormat/>
    <w:rPr>
      <w:sz w:val="48"/>
      <w:szCs w:val="48"/>
    </w:rPr>
  </w:style>
  <w:style w:type="paragraph" w:styleId="802" w:customStyle="1">
    <w:name w:val="标题11"/>
    <w:link w:val="801"/>
    <w:uiPriority w:val="10"/>
    <w:qFormat/>
    <w:pPr>
      <w:contextualSpacing/>
      <w:spacing w:before="300" w:after="200"/>
    </w:pPr>
    <w:rPr>
      <w:rFonts w:hint="default" w:ascii="Times New Roman" w:hAnsi="Times New Roman" w:eastAsia="宋体" w:cs="Times New Roman"/>
      <w:sz w:val="48"/>
      <w:szCs w:val="48"/>
    </w:rPr>
  </w:style>
  <w:style w:type="character" w:styleId="803" w:customStyle="1">
    <w:name w:val="Caption Char"/>
    <w:link w:val="804"/>
    <w:uiPriority w:val="99"/>
    <w:qFormat/>
  </w:style>
  <w:style w:type="paragraph" w:styleId="804" w:customStyle="1">
    <w:name w:val="页脚11"/>
    <w:link w:val="80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05" w:customStyle="1">
    <w:name w:val="页码1"/>
    <w:link w:val="734"/>
    <w:uiPriority w:val="0"/>
    <w:qFormat/>
  </w:style>
  <w:style w:type="character" w:styleId="806" w:customStyle="1">
    <w:name w:val="Footer Char"/>
    <w:link w:val="734"/>
    <w:uiPriority w:val="99"/>
    <w:qFormat/>
  </w:style>
  <w:style w:type="character" w:styleId="807" w:customStyle="1">
    <w:name w:val="Subtitle Char"/>
    <w:link w:val="808"/>
    <w:uiPriority w:val="11"/>
    <w:qFormat/>
    <w:rPr>
      <w:sz w:val="24"/>
      <w:szCs w:val="24"/>
    </w:rPr>
  </w:style>
  <w:style w:type="paragraph" w:styleId="808" w:customStyle="1">
    <w:name w:val="副标题1"/>
    <w:link w:val="807"/>
    <w:uiPriority w:val="11"/>
    <w:qFormat/>
    <w:pPr>
      <w:spacing w:before="200" w:after="200"/>
    </w:pPr>
    <w:rPr>
      <w:rFonts w:hint="default" w:ascii="Times New Roman" w:hAnsi="Times New Roman" w:eastAsia="宋体" w:cs="Times New Roman"/>
      <w:sz w:val="24"/>
      <w:szCs w:val="24"/>
    </w:rPr>
  </w:style>
  <w:style w:type="character" w:styleId="809" w:customStyle="1">
    <w:name w:val="Header Char"/>
    <w:link w:val="810"/>
    <w:uiPriority w:val="99"/>
    <w:qFormat/>
  </w:style>
  <w:style w:type="paragraph" w:styleId="810" w:customStyle="1">
    <w:name w:val="页眉11"/>
    <w:link w:val="80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11" w:customStyle="1">
    <w:name w:val="Endnote Text Char"/>
    <w:link w:val="812"/>
    <w:uiPriority w:val="99"/>
    <w:qFormat/>
    <w:rPr>
      <w:sz w:val="20"/>
    </w:rPr>
  </w:style>
  <w:style w:type="paragraph" w:styleId="812" w:customStyle="1">
    <w:name w:val="尾注文本1"/>
    <w:link w:val="811"/>
    <w:uiPriority w:val="99"/>
    <w:unhideWhenUsed/>
    <w:qFormat/>
    <w:pPr>
      <w:spacing w:after="0" w:line="240" w:lineRule="auto"/>
    </w:pPr>
    <w:rPr>
      <w:rFonts w:hint="default" w:ascii="Times New Roman" w:hAnsi="Times New Roman" w:eastAsia="宋体" w:cs="Times New Roman"/>
      <w:sz w:val="20"/>
    </w:rPr>
  </w:style>
  <w:style w:type="character" w:styleId="813" w:customStyle="1">
    <w:name w:val="Quote Char"/>
    <w:link w:val="814"/>
    <w:uiPriority w:val="29"/>
    <w:qFormat/>
    <w:rPr>
      <w:i/>
    </w:rPr>
  </w:style>
  <w:style w:type="paragraph" w:styleId="814">
    <w:name w:val="Quote"/>
    <w:link w:val="813"/>
    <w:uiPriority w:val="29"/>
    <w:qFormat/>
    <w:pPr>
      <w:ind w:left="720" w:right="720"/>
    </w:pPr>
    <w:rPr>
      <w:rFonts w:hint="default" w:ascii="Times New Roman" w:hAnsi="Times New Roman" w:eastAsia="宋体" w:cs="Times New Roman"/>
      <w:i/>
    </w:rPr>
  </w:style>
  <w:style w:type="character" w:styleId="815" w:customStyle="1">
    <w:name w:val="Heading 1 Char"/>
    <w:link w:val="768"/>
    <w:uiPriority w:val="9"/>
    <w:qFormat/>
    <w:rPr>
      <w:rFonts w:ascii="Arial" w:hAnsi="Arial" w:eastAsia="Arial" w:cs="Arial"/>
      <w:sz w:val="40"/>
      <w:szCs w:val="40"/>
    </w:rPr>
  </w:style>
  <w:style w:type="character" w:styleId="816" w:customStyle="1">
    <w:name w:val="Heading 2 Char"/>
    <w:link w:val="746"/>
    <w:uiPriority w:val="9"/>
    <w:qFormat/>
    <w:rPr>
      <w:rFonts w:ascii="Arial" w:hAnsi="Arial" w:eastAsia="Arial" w:cs="Arial"/>
      <w:sz w:val="34"/>
    </w:rPr>
  </w:style>
  <w:style w:type="character" w:styleId="817" w:customStyle="1">
    <w:name w:val="超链接1"/>
    <w:basedOn w:val="797"/>
    <w:link w:val="734"/>
    <w:uiPriority w:val="0"/>
    <w:qFormat/>
    <w:rPr>
      <w:color w:val="0000ff"/>
      <w:u w:val="single"/>
    </w:rPr>
  </w:style>
  <w:style w:type="paragraph" w:styleId="818" w:customStyle="1">
    <w:name w:val="图表目录1"/>
    <w:next w:val="734"/>
    <w:uiPriority w:val="99"/>
    <w:unhideWhenUsed/>
    <w:qFormat/>
    <w:pPr>
      <w:spacing w:after="0" w:afterAutospacing="0"/>
    </w:pPr>
    <w:rPr>
      <w:rFonts w:hint="default" w:ascii="Times New Roman" w:hAnsi="Times New Roman" w:eastAsia="宋体" w:cs="Times New Roman"/>
    </w:rPr>
  </w:style>
  <w:style w:type="paragraph" w:styleId="819" w:customStyle="1">
    <w:name w:val="目录 81"/>
    <w:next w:val="734"/>
    <w:uiPriority w:val="39"/>
    <w:unhideWhenUsed/>
    <w:qFormat/>
    <w:pPr>
      <w:ind w:left="1984" w:right="0" w:firstLine="0"/>
      <w:spacing w:after="57"/>
    </w:pPr>
    <w:rPr>
      <w:rFonts w:hint="default" w:ascii="Times New Roman" w:hAnsi="Times New Roman" w:eastAsia="宋体" w:cs="Times New Roman"/>
    </w:rPr>
  </w:style>
  <w:style w:type="paragraph" w:styleId="820" w:customStyle="1">
    <w:name w:val="批注文字1"/>
    <w:basedOn w:val="734"/>
    <w:uiPriority w:val="99"/>
    <w:unhideWhenUsed/>
    <w:qFormat/>
    <w:pPr>
      <w:jc w:val="left"/>
    </w:pPr>
  </w:style>
  <w:style w:type="paragraph" w:styleId="821" w:customStyle="1">
    <w:name w:val="寄信人地址1"/>
    <w:basedOn w:val="734"/>
    <w:uiPriority w:val="0"/>
    <w:qFormat/>
    <w:pPr>
      <w:jc w:val="both"/>
      <w:widowControl w:val="off"/>
    </w:pPr>
    <w:rPr>
      <w:rFonts w:ascii="Arial" w:hAnsi="Arial" w:eastAsia="Calibri" w:cs="Times New Roman"/>
      <w:sz w:val="21"/>
      <w:szCs w:val="24"/>
      <w:lang w:val="en-US" w:eastAsia="zh-CN" w:bidi="ar-SA"/>
    </w:rPr>
  </w:style>
  <w:style w:type="paragraph" w:styleId="822" w:customStyle="1">
    <w:name w:val="目录 61"/>
    <w:next w:val="734"/>
    <w:uiPriority w:val="39"/>
    <w:unhideWhenUsed/>
    <w:qFormat/>
    <w:pPr>
      <w:ind w:left="1417" w:right="0" w:firstLine="0"/>
      <w:spacing w:after="57"/>
    </w:pPr>
    <w:rPr>
      <w:rFonts w:hint="default" w:ascii="Times New Roman" w:hAnsi="Times New Roman" w:eastAsia="宋体" w:cs="Times New Roman"/>
    </w:rPr>
  </w:style>
  <w:style w:type="paragraph" w:styleId="823" w:customStyle="1">
    <w:name w:val="目录 41"/>
    <w:next w:val="734"/>
    <w:uiPriority w:val="39"/>
    <w:unhideWhenUsed/>
    <w:qFormat/>
    <w:pPr>
      <w:ind w:left="850" w:right="0" w:firstLine="0"/>
      <w:spacing w:after="57"/>
    </w:pPr>
    <w:rPr>
      <w:rFonts w:hint="default" w:ascii="Times New Roman" w:hAnsi="Times New Roman" w:eastAsia="宋体" w:cs="Times New Roman"/>
    </w:rPr>
  </w:style>
  <w:style w:type="paragraph" w:styleId="824" w:customStyle="1">
    <w:name w:val="正文首行缩进 212"/>
    <w:basedOn w:val="825"/>
    <w:next w:val="734"/>
    <w:uiPriority w:val="0"/>
    <w:qFormat/>
    <w:pPr>
      <w:ind w:firstLine="420"/>
      <w:jc w:val="both"/>
      <w:spacing w:line="360" w:lineRule="auto"/>
      <w:widowControl w:val="off"/>
    </w:pPr>
    <w:rPr>
      <w:rFonts w:ascii="Times New Roman" w:hAnsi="Times New Roman" w:eastAsia="宋体" w:cs="Times New Roman"/>
      <w:sz w:val="24"/>
      <w:szCs w:val="24"/>
      <w:lang w:val="en-US" w:eastAsia="zh-CN" w:bidi="ar-SA"/>
    </w:rPr>
  </w:style>
  <w:style w:type="paragraph" w:styleId="825" w:customStyle="1">
    <w:name w:val="正文文本缩进12"/>
    <w:basedOn w:val="734"/>
    <w:next w:val="821"/>
    <w:uiPriority w:val="0"/>
    <w:qFormat/>
    <w:pPr>
      <w:ind w:left="420"/>
      <w:spacing w:after="120"/>
    </w:pPr>
  </w:style>
  <w:style w:type="paragraph" w:styleId="826" w:customStyle="1">
    <w:name w:val="目录 31"/>
    <w:next w:val="734"/>
    <w:uiPriority w:val="39"/>
    <w:unhideWhenUsed/>
    <w:qFormat/>
    <w:pPr>
      <w:ind w:left="567" w:right="0" w:firstLine="0"/>
      <w:spacing w:after="57"/>
    </w:pPr>
    <w:rPr>
      <w:rFonts w:hint="default" w:ascii="Times New Roman" w:hAnsi="Times New Roman" w:eastAsia="宋体" w:cs="Times New Roman"/>
    </w:rPr>
  </w:style>
  <w:style w:type="paragraph" w:styleId="827" w:customStyle="1">
    <w:name w:val="目录 71"/>
    <w:next w:val="734"/>
    <w:uiPriority w:val="39"/>
    <w:unhideWhenUsed/>
    <w:qFormat/>
    <w:pPr>
      <w:ind w:left="1701" w:right="0" w:firstLine="0"/>
      <w:spacing w:after="57"/>
    </w:pPr>
    <w:rPr>
      <w:rFonts w:hint="default" w:ascii="Times New Roman" w:hAnsi="Times New Roman" w:eastAsia="宋体" w:cs="Times New Roman"/>
    </w:rPr>
  </w:style>
  <w:style w:type="paragraph" w:styleId="828" w:customStyle="1">
    <w:name w:val="目录 91"/>
    <w:next w:val="734"/>
    <w:uiPriority w:val="39"/>
    <w:unhideWhenUsed/>
    <w:qFormat/>
    <w:pPr>
      <w:ind w:left="2268" w:right="0" w:firstLine="0"/>
      <w:spacing w:after="57"/>
    </w:pPr>
    <w:rPr>
      <w:rFonts w:hint="default" w:ascii="Times New Roman" w:hAnsi="Times New Roman" w:eastAsia="宋体" w:cs="Times New Roman"/>
    </w:rPr>
  </w:style>
  <w:style w:type="paragraph" w:styleId="829" w:customStyle="1">
    <w:name w:val="目录 51"/>
    <w:next w:val="734"/>
    <w:uiPriority w:val="39"/>
    <w:unhideWhenUsed/>
    <w:qFormat/>
    <w:pPr>
      <w:ind w:left="1134" w:right="0" w:firstLine="0"/>
      <w:spacing w:after="57"/>
    </w:pPr>
    <w:rPr>
      <w:rFonts w:hint="default" w:ascii="Times New Roman" w:hAnsi="Times New Roman" w:eastAsia="宋体" w:cs="Times New Roman"/>
    </w:rPr>
  </w:style>
  <w:style w:type="paragraph" w:styleId="830" w:customStyle="1">
    <w:name w:val="文本块111"/>
    <w:basedOn w:val="734"/>
    <w:uiPriority w:val="99"/>
    <w:unhideWhenUsed/>
    <w:qFormat/>
    <w:pPr>
      <w:ind w:left="1440" w:right="1440"/>
      <w:spacing w:after="120"/>
    </w:pPr>
  </w:style>
  <w:style w:type="paragraph" w:styleId="831" w:customStyle="1">
    <w:name w:val="题注1"/>
    <w:next w:val="734"/>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832" w:customStyle="1">
    <w:name w:val="普通(网站)12"/>
    <w:basedOn w:val="734"/>
    <w:uiPriority w:val="0"/>
    <w:qFormat/>
    <w:pPr>
      <w:ind w:left="0" w:right="0"/>
      <w:jc w:val="left"/>
      <w:spacing w:before="100" w:beforeAutospacing="1" w:after="100" w:afterAutospacing="1"/>
    </w:pPr>
    <w:rPr>
      <w:sz w:val="24"/>
      <w:lang w:val="en-US" w:eastAsia="zh-CN" w:bidi="ar"/>
    </w:rPr>
  </w:style>
  <w:style w:type="paragraph" w:styleId="833" w:customStyle="1">
    <w:name w:val="目录 21"/>
    <w:next w:val="734"/>
    <w:uiPriority w:val="39"/>
    <w:unhideWhenUsed/>
    <w:qFormat/>
    <w:pPr>
      <w:ind w:left="283" w:right="0" w:firstLine="0"/>
      <w:spacing w:after="57"/>
    </w:pPr>
    <w:rPr>
      <w:rFonts w:hint="default" w:ascii="Times New Roman" w:hAnsi="Times New Roman" w:eastAsia="宋体" w:cs="Times New Roman"/>
    </w:rPr>
  </w:style>
  <w:style w:type="paragraph" w:styleId="834" w:customStyle="1">
    <w:name w:val="正文缩进12"/>
    <w:basedOn w:val="734"/>
    <w:next w:val="734"/>
    <w:uiPriority w:val="0"/>
    <w:qFormat/>
    <w:pPr>
      <w:ind w:firstLine="420"/>
      <w:jc w:val="left"/>
    </w:pPr>
    <w:rPr>
      <w:rFonts w:ascii="宋体"/>
      <w:sz w:val="24"/>
    </w:rPr>
  </w:style>
  <w:style w:type="paragraph" w:styleId="835" w:customStyle="1">
    <w:name w:val="正文文本12"/>
    <w:basedOn w:val="734"/>
    <w:next w:val="836"/>
    <w:uiPriority w:val="0"/>
    <w:qFormat/>
    <w:rPr>
      <w:rFonts w:ascii="仿宋_GB2312" w:eastAsia="仿宋_GB2312"/>
      <w:sz w:val="28"/>
      <w:szCs w:val="20"/>
    </w:rPr>
  </w:style>
  <w:style w:type="paragraph" w:styleId="836" w:customStyle="1">
    <w:name w:val="一级条标题"/>
    <w:basedOn w:val="837"/>
    <w:next w:val="838"/>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next w:val="734"/>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8" w:customStyle="1">
    <w:name w:val="段"/>
    <w:basedOn w:val="839"/>
    <w:next w:val="734"/>
    <w:uiPriority w:val="99"/>
    <w:qFormat/>
    <w:pPr>
      <w:ind w:firstLine="200"/>
      <w:widowControl/>
    </w:pPr>
    <w:rPr>
      <w:rFonts w:ascii="宋体"/>
      <w:sz w:val="20"/>
      <w:szCs w:val="20"/>
    </w:rPr>
  </w:style>
  <w:style w:type="paragraph" w:styleId="839" w:customStyle="1">
    <w:name w:val="正文1"/>
    <w:basedOn w:val="840"/>
    <w:next w:val="841"/>
    <w:uiPriority w:val="0"/>
    <w:qFormat/>
    <w:pPr>
      <w:jc w:val="both"/>
      <w:widowControl w:val="off"/>
    </w:pPr>
    <w:rPr>
      <w:rFonts w:ascii="Times New Roman" w:hAnsi="Times New Roman" w:eastAsia="宋体" w:cs="Times New Roman"/>
      <w:sz w:val="21"/>
      <w:szCs w:val="24"/>
      <w:lang w:val="en-US" w:eastAsia="zh-CN" w:bidi="ar-SA"/>
    </w:rPr>
  </w:style>
  <w:style w:type="paragraph" w:styleId="840" w:customStyle="1">
    <w:name w:val="正文111"/>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文本块1"/>
    <w:basedOn w:val="839"/>
    <w:next w:val="842"/>
    <w:uiPriority w:val="0"/>
    <w:qFormat/>
    <w:pPr>
      <w:ind w:left="1440" w:right="1440"/>
      <w:spacing w:after="120"/>
    </w:pPr>
  </w:style>
  <w:style w:type="paragraph" w:styleId="842" w:customStyle="1">
    <w:name w:val="标题 41"/>
    <w:basedOn w:val="843"/>
    <w:next w:val="847"/>
    <w:uiPriority w:val="0"/>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843" w:customStyle="1">
    <w:name w:val="标题1"/>
    <w:next w:val="844"/>
    <w:uiPriority w:val="0"/>
    <w:qFormat/>
    <w:pPr>
      <w:jc w:val="center"/>
      <w:spacing w:before="240" w:beforeAutospacing="0" w:after="60" w:afterAutospacing="0"/>
      <w:widowControl w:val="off"/>
      <w:outlineLvl w:val="0"/>
    </w:pPr>
    <w:rPr>
      <w:rFonts w:hint="default" w:ascii="Cambria" w:hAnsi="Cambria" w:eastAsia="宋体" w:cs="Times New Roman"/>
      <w:b/>
      <w:sz w:val="32"/>
      <w:lang w:val="en-US" w:eastAsia="zh-CN" w:bidi="ar-SA"/>
    </w:rPr>
  </w:style>
  <w:style w:type="paragraph" w:styleId="844" w:customStyle="1">
    <w:name w:val="正文112"/>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正文首行缩进1"/>
    <w:basedOn w:val="846"/>
    <w:next w:val="849"/>
    <w:uiPriority w:val="0"/>
    <w:qFormat/>
    <w:pPr>
      <w:ind w:firstLine="420"/>
    </w:pPr>
    <w:rPr>
      <w:rFonts w:ascii="仿宋_GB2312" w:hAnsi="Times New Roman" w:eastAsia="仿宋_GB2312"/>
      <w:sz w:val="30"/>
      <w:szCs w:val="30"/>
    </w:rPr>
  </w:style>
  <w:style w:type="paragraph" w:styleId="846" w:customStyle="1">
    <w:name w:val="正文文本11"/>
    <w:basedOn w:val="847"/>
    <w:uiPriority w:val="0"/>
    <w:qFormat/>
    <w:pPr>
      <w:spacing w:after="120"/>
    </w:pPr>
    <w:rPr>
      <w:rFonts w:ascii="Calibri" w:hAnsi="Calibri"/>
    </w:rPr>
  </w:style>
  <w:style w:type="paragraph" w:styleId="847" w:customStyle="1">
    <w:name w:val="正文11"/>
    <w:next w:val="8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目录 11"/>
    <w:basedOn w:val="847"/>
    <w:next w:val="734"/>
    <w:uiPriority w:val="0"/>
    <w:qFormat/>
    <w:pPr>
      <w:jc w:val="left"/>
      <w:spacing w:after="100" w:line="259" w:lineRule="auto"/>
      <w:widowControl/>
    </w:pPr>
    <w:rPr>
      <w:rFonts w:ascii="Calibri" w:hAnsi="Calibri" w:eastAsia="宋体"/>
      <w:sz w:val="22"/>
      <w:szCs w:val="22"/>
    </w:rPr>
  </w:style>
  <w:style w:type="paragraph" w:styleId="849" w:customStyle="1">
    <w:name w:val="正文首行缩进 211"/>
    <w:basedOn w:val="850"/>
    <w:next w:val="844"/>
    <w:uiPriority w:val="0"/>
    <w:qFormat/>
    <w:pPr>
      <w:ind w:firstLine="420"/>
    </w:pPr>
    <w:rPr>
      <w:sz w:val="24"/>
    </w:rPr>
  </w:style>
  <w:style w:type="paragraph" w:styleId="850" w:customStyle="1">
    <w:name w:val="正文文本缩进11"/>
    <w:basedOn w:val="847"/>
    <w:next w:val="844"/>
    <w:uiPriority w:val="0"/>
    <w:qFormat/>
    <w:pPr>
      <w:ind w:left="420"/>
      <w:spacing w:after="120"/>
    </w:pPr>
    <w:rPr>
      <w:rFonts w:ascii="Calibri" w:hAnsi="Calibri"/>
    </w:rPr>
  </w:style>
  <w:style w:type="paragraph" w:styleId="851" w:customStyle="1">
    <w:name w:val="Normal_1"/>
    <w:uiPriority w:val="0"/>
    <w:qFormat/>
    <w:pPr>
      <w:jc w:val="both"/>
      <w:widowControl w:val="off"/>
    </w:pPr>
    <w:rPr>
      <w:rFonts w:hint="default" w:ascii="Times New Roman" w:hAnsi="Times New Roman" w:eastAsia="宋体" w:cs="Times New Roman"/>
    </w:rPr>
  </w:style>
  <w:style w:type="paragraph" w:styleId="852" w:customStyle="1">
    <w:name w:val="索引 51"/>
    <w:basedOn w:val="793"/>
    <w:next w:val="793"/>
    <w:uiPriority w:val="0"/>
    <w:qFormat/>
    <w:pPr>
      <w:ind w:left="798"/>
      <w:jc w:val="left"/>
    </w:pPr>
    <w:rPr>
      <w:rFonts w:ascii="Calibri" w:hAnsi="Calibri"/>
    </w:rPr>
  </w:style>
  <w:style w:type="paragraph" w:styleId="853" w:customStyle="1">
    <w:name w:val="标题 31"/>
    <w:basedOn w:val="793"/>
    <w:next w:val="793"/>
    <w:uiPriority w:val="0"/>
    <w:qFormat/>
    <w:pPr>
      <w:numPr>
        <w:ilvl w:val="2"/>
        <w:numId w:val="1"/>
      </w:numPr>
      <w:jc w:val="left"/>
      <w:keepLines/>
      <w:keepNext/>
      <w:spacing w:before="260" w:after="260" w:line="416" w:lineRule="atLeast"/>
      <w:outlineLvl w:val="2"/>
    </w:pPr>
    <w:rPr>
      <w:b/>
      <w:bCs/>
      <w:sz w:val="32"/>
      <w:szCs w:val="32"/>
    </w:rPr>
  </w:style>
  <w:style w:type="paragraph" w:styleId="854" w:customStyle="1">
    <w:name w:val="标题 21"/>
    <w:basedOn w:val="793"/>
    <w:next w:val="793"/>
    <w:uiPriority w:val="0"/>
    <w:qFormat/>
    <w:pPr>
      <w:keepLines/>
      <w:keepNext/>
      <w:spacing w:before="360" w:after="200"/>
      <w:outlineLvl w:val="1"/>
    </w:pPr>
    <w:rPr>
      <w:rFonts w:ascii="Arial" w:hAnsi="Arial" w:eastAsia="Arial"/>
      <w:sz w:val="34"/>
    </w:rPr>
  </w:style>
  <w:style w:type="paragraph" w:styleId="855" w:customStyle="1">
    <w:name w:val="默认段落字体 Para Char Char Char Char Char Char Char"/>
    <w:basedOn w:val="793"/>
    <w:uiPriority w:val="0"/>
    <w:qFormat/>
    <w:rPr>
      <w:rFonts w:ascii="Tahoma" w:hAnsi="Tahoma"/>
      <w:sz w:val="24"/>
      <w:szCs w:val="20"/>
    </w:rPr>
  </w:style>
  <w:style w:type="paragraph" w:styleId="856" w:customStyle="1">
    <w:name w:val="正文缩进11"/>
    <w:basedOn w:val="734"/>
    <w:uiPriority w:val="99"/>
    <w:qFormat/>
    <w:pPr>
      <w:ind w:firstLine="420"/>
    </w:pPr>
    <w:rPr>
      <w:rFonts w:ascii="Times New Roman" w:hAnsi="Times New Roman"/>
      <w:szCs w:val="20"/>
    </w:rPr>
  </w:style>
  <w:style w:type="paragraph" w:styleId="857" w:customStyle="1">
    <w:name w:val="首页4标题"/>
    <w:basedOn w:val="793"/>
    <w:uiPriority w:val="0"/>
    <w:qFormat/>
    <w:pPr>
      <w:ind w:firstLine="0"/>
      <w:jc w:val="center"/>
      <w:spacing w:line="360" w:lineRule="auto"/>
    </w:pPr>
    <w:rPr>
      <w:rFonts w:ascii="Times New Roman" w:hAnsi="Times New Roman" w:eastAsia="宋体"/>
      <w:b/>
      <w:sz w:val="28"/>
    </w:rPr>
  </w:style>
  <w:style w:type="paragraph" w:styleId="858" w:customStyle="1">
    <w:name w:val="首页3标题"/>
    <w:basedOn w:val="793"/>
    <w:uiPriority w:val="0"/>
    <w:qFormat/>
    <w:pPr>
      <w:ind w:firstLine="0"/>
      <w:jc w:val="center"/>
      <w:spacing w:line="360" w:lineRule="auto"/>
    </w:pPr>
    <w:rPr>
      <w:rFonts w:ascii="Times New Roman" w:hAnsi="Times New Roman" w:eastAsia="宋体"/>
      <w:b/>
      <w:sz w:val="32"/>
    </w:rPr>
  </w:style>
  <w:style w:type="paragraph" w:styleId="859" w:customStyle="1">
    <w:name w:val="表格1居左"/>
    <w:basedOn w:val="860"/>
    <w:uiPriority w:val="0"/>
    <w:qFormat/>
    <w:pPr>
      <w:jc w:val="left"/>
    </w:pPr>
    <w:rPr>
      <w:rFonts w:ascii="Times New Roman" w:hAnsi="Times New Roman" w:eastAsia="宋体"/>
    </w:rPr>
  </w:style>
  <w:style w:type="paragraph" w:styleId="860" w:customStyle="1">
    <w:name w:val="表格1居中"/>
    <w:basedOn w:val="861"/>
    <w:uiPriority w:val="0"/>
    <w:qFormat/>
    <w:pPr>
      <w:ind w:left="0" w:firstLine="0"/>
      <w:jc w:val="center"/>
    </w:pPr>
    <w:rPr>
      <w:rFonts w:ascii="Times New Roman" w:hAnsi="Times New Roman" w:eastAsia="宋体"/>
      <w:sz w:val="24"/>
      <w:szCs w:val="24"/>
    </w:rPr>
  </w:style>
  <w:style w:type="paragraph" w:styleId="861" w:customStyle="1">
    <w:name w:val="列表1"/>
    <w:basedOn w:val="793"/>
    <w:uiPriority w:val="0"/>
    <w:qFormat/>
    <w:pPr>
      <w:ind w:left="200" w:hanging="200"/>
    </w:pPr>
    <w:rPr>
      <w:rFonts w:ascii="Times New Roman" w:hAnsi="Times New Roman" w:eastAsia="宋体"/>
    </w:r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paragraph" w:styleId="863" w:customStyle="1">
    <w:name w:val="正文缩进1"/>
    <w:basedOn w:val="793"/>
    <w:uiPriority w:val="0"/>
    <w:qFormat/>
    <w:pPr>
      <w:ind w:firstLine="420"/>
    </w:pPr>
  </w:style>
  <w:style w:type="paragraph" w:styleId="864" w:customStyle="1">
    <w:name w:val="Style"/>
    <w:uiPriority w:val="0"/>
    <w:qFormat/>
    <w:pPr>
      <w:widowControl w:val="off"/>
    </w:pPr>
    <w:rPr>
      <w:rFonts w:hint="default" w:ascii="Times New Roman" w:hAnsi="Times New Roman" w:eastAsia="宋体" w:cs="Times New Roman"/>
      <w:sz w:val="24"/>
      <w:szCs w:val="24"/>
    </w:rPr>
  </w:style>
  <w:style w:type="paragraph" w:styleId="865" w:customStyle="1">
    <w:name w:val="正文12"/>
    <w:next w:val="8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6" w:customStyle="1">
    <w:name w:val="1"/>
    <w:basedOn w:val="793"/>
    <w:next w:val="867"/>
    <w:uiPriority w:val="0"/>
    <w:qFormat/>
    <w:pPr>
      <w:widowControl/>
    </w:pPr>
    <w:rPr>
      <w:rFonts w:ascii="Arial" w:hAnsi="Arial" w:eastAsia="宋体"/>
      <w:sz w:val="20"/>
      <w:szCs w:val="20"/>
    </w:rPr>
  </w:style>
  <w:style w:type="paragraph" w:styleId="867" w:customStyle="1">
    <w:name w:val="正文文本 31"/>
    <w:basedOn w:val="793"/>
    <w:uiPriority w:val="0"/>
    <w:qFormat/>
    <w:pPr>
      <w:spacing w:after="120"/>
    </w:pPr>
    <w:rPr>
      <w:rFonts w:ascii="Times New Roman" w:hAnsi="Times New Roman" w:eastAsia="宋体"/>
      <w:sz w:val="16"/>
      <w:szCs w:val="16"/>
    </w:rPr>
  </w:style>
  <w:style w:type="paragraph" w:styleId="868" w:customStyle="1">
    <w:name w:val="页眉1"/>
    <w:basedOn w:val="793"/>
    <w:uiPriority w:val="0"/>
    <w:qFormat/>
    <w:pPr>
      <w:jc w:val="center"/>
      <w:tabs>
        <w:tab w:val="center" w:pos="4153" w:leader="none"/>
        <w:tab w:val="right" w:pos="8306" w:leader="none"/>
      </w:tabs>
      <w:pBdr>
        <w:bottom w:val="single" w:color="000000" w:sz="6" w:space="1"/>
      </w:pBdr>
    </w:pPr>
    <w:rPr>
      <w:sz w:val="18"/>
      <w:szCs w:val="18"/>
    </w:rPr>
  </w:style>
  <w:style w:type="paragraph" w:styleId="869" w:customStyle="1">
    <w:name w:val="目录 12"/>
    <w:basedOn w:val="734"/>
    <w:next w:val="734"/>
    <w:uiPriority w:val="39"/>
    <w:unhideWhenUsed/>
    <w:qFormat/>
    <w:pPr>
      <w:ind w:left="0" w:right="0" w:firstLine="0"/>
      <w:spacing w:after="57"/>
    </w:pPr>
    <w:rPr>
      <w:rFonts w:ascii="Times New Roman" w:hAnsi="Times New Roman" w:eastAsia="宋体" w:cs="Times New Roman"/>
    </w:rPr>
  </w:style>
  <w:style w:type="paragraph" w:styleId="870" w:customStyle="1">
    <w:name w:val="普通(网站)11"/>
    <w:basedOn w:val="793"/>
    <w:uiPriority w:val="0"/>
    <w:qFormat/>
    <w:pPr>
      <w:jc w:val="left"/>
      <w:spacing w:before="100" w:beforeAutospacing="1" w:after="100" w:afterAutospacing="1"/>
      <w:widowControl/>
    </w:pPr>
    <w:rPr>
      <w:rFonts w:ascii="宋体" w:hAnsi="宋体"/>
      <w:sz w:val="24"/>
    </w:rPr>
  </w:style>
  <w:style w:type="paragraph" w:styleId="871" w:customStyle="1">
    <w:name w:val="脚注文本1"/>
    <w:basedOn w:val="793"/>
    <w:next w:val="852"/>
    <w:uiPriority w:val="0"/>
    <w:qFormat/>
    <w:pPr>
      <w:jc w:val="left"/>
    </w:pPr>
    <w:rPr>
      <w:rFonts w:ascii="宋体" w:eastAsia="Times New Roman"/>
      <w:sz w:val="18"/>
      <w:szCs w:val="18"/>
    </w:rPr>
  </w:style>
  <w:style w:type="paragraph" w:styleId="872" w:customStyle="1">
    <w:name w:val="_Style 1"/>
    <w:basedOn w:val="734"/>
    <w:uiPriority w:val="0"/>
    <w:qFormat/>
    <w:pPr>
      <w:ind w:firstLine="420"/>
      <w:spacing w:line="360" w:lineRule="auto"/>
    </w:pPr>
    <w:rPr>
      <w:rFonts w:ascii="Calibri" w:hAnsi="Calibri"/>
      <w:sz w:val="24"/>
      <w:szCs w:val="22"/>
    </w:rPr>
  </w:style>
  <w:style w:type="paragraph" w:styleId="873" w:customStyle="1">
    <w:name w:val="正文（缩进）"/>
    <w:uiPriority w:val="0"/>
    <w:qFormat/>
    <w:pPr>
      <w:ind w:firstLine="480"/>
      <w:jc w:val="both"/>
      <w:spacing w:before="156" w:after="156"/>
      <w:widowControl w:val="off"/>
    </w:pPr>
    <w:rPr>
      <w:rFonts w:hint="default" w:ascii="Calibri" w:hAnsi="Calibri" w:eastAsia="宋体" w:cs="Times New Roman"/>
      <w:sz w:val="21"/>
      <w:szCs w:val="24"/>
      <w:lang w:val="en-US" w:eastAsia="zh-CN" w:bidi="ar-SA"/>
    </w:rPr>
  </w:style>
  <w:style w:type="paragraph" w:styleId="874" w:customStyle="1">
    <w:name w:val="Table Text"/>
    <w:basedOn w:val="734"/>
    <w:uiPriority w:val="0"/>
    <w:semiHidden/>
    <w:qFormat/>
    <w:rPr>
      <w:rFonts w:ascii="宋体" w:hAnsi="宋体" w:eastAsia="宋体" w:cs="宋体"/>
      <w:sz w:val="20"/>
      <w:szCs w:val="20"/>
      <w:lang w:eastAsia="en-US"/>
    </w:rPr>
  </w:style>
  <w:style w:type="paragraph" w:styleId="875" w:customStyle="1">
    <w:name w:val="纯文本1"/>
    <w:basedOn w:val="734"/>
    <w:uiPriority w:val="0"/>
    <w:qFormat/>
    <w:rPr>
      <w:rFonts w:ascii="宋体" w:hAnsi="Courier New"/>
      <w:sz w:val="20"/>
      <w:szCs w:val="21"/>
    </w:rPr>
  </w:style>
  <w:style w:type="paragraph" w:styleId="876" w:customStyle="1">
    <w:name w:val="首页2标题"/>
    <w:basedOn w:val="793"/>
    <w:uiPriority w:val="0"/>
    <w:qFormat/>
    <w:pPr>
      <w:ind w:firstLine="0"/>
      <w:jc w:val="center"/>
      <w:spacing w:line="360" w:lineRule="auto"/>
    </w:pPr>
    <w:rPr>
      <w:rFonts w:ascii="Times New Roman" w:hAnsi="Times New Roman" w:eastAsia="宋体"/>
      <w:b/>
      <w:sz w:val="86"/>
    </w:rPr>
  </w:style>
  <w:style w:type="paragraph" w:styleId="877" w:customStyle="1">
    <w:name w:val="条款正文"/>
    <w:uiPriority w:val="0"/>
    <w:qFormat/>
    <w:pPr>
      <w:ind w:left="840" w:firstLine="420"/>
      <w:spacing w:after="200" w:line="240" w:lineRule="auto"/>
      <w:widowControl w:val="off"/>
    </w:pPr>
    <w:rPr>
      <w:rFonts w:hint="default" w:ascii="Times New Roman" w:hAnsi="Times New Roman" w:eastAsia="Calibri" w:cs="Times New Roman"/>
      <w:sz w:val="21"/>
      <w:szCs w:val="20"/>
      <w:lang w:val="en-US" w:eastAsia="en-US" w:bidi="ar-SA"/>
    </w:rPr>
  </w:style>
  <w:style w:type="paragraph" w:styleId="878" w:customStyle="1">
    <w:name w:val="文本块11"/>
    <w:basedOn w:val="793"/>
    <w:uiPriority w:val="0"/>
    <w:qFormat/>
    <w:pPr>
      <w:ind w:left="256" w:right="6" w:firstLine="624"/>
    </w:pPr>
    <w:rPr>
      <w:rFonts w:ascii="Times New Roman" w:hAnsi="Times New Roman" w:eastAsia="仿宋"/>
      <w:sz w:val="28"/>
      <w:szCs w:val="20"/>
    </w:rPr>
  </w:style>
  <w:style w:type="paragraph" w:styleId="879">
    <w:name w:val="List Paragraph"/>
    <w:basedOn w:val="734"/>
    <w:uiPriority w:val="34"/>
    <w:qFormat/>
    <w:pPr>
      <w:contextualSpacing/>
      <w:ind w:left="720"/>
    </w:pPr>
    <w:rPr>
      <w:rFonts w:ascii="Times New Roman" w:hAnsi="Times New Roman" w:eastAsia="宋体" w:cs="Times New Roman"/>
    </w:rPr>
  </w:style>
  <w:style w:type="paragraph" w:styleId="880" w:customStyle="1">
    <w:name w:val="正文文本缩进1"/>
    <w:basedOn w:val="847"/>
    <w:uiPriority w:val="0"/>
    <w:qFormat/>
    <w:pPr>
      <w:ind w:left="420"/>
      <w:spacing w:after="120"/>
    </w:pPr>
  </w:style>
  <w:style w:type="paragraph" w:styleId="881" w:customStyle="1">
    <w:name w:val="Table Paragraph"/>
    <w:uiPriority w:val="1"/>
    <w:qFormat/>
    <w:pPr>
      <w:jc w:val="both"/>
      <w:widowControl w:val="off"/>
    </w:pPr>
    <w:rPr>
      <w:rFonts w:hint="default" w:ascii="Arial Unicode MS" w:hAnsi="Arial Unicode MS" w:eastAsia="Arial Unicode MS" w:cs="Arial Unicode MS"/>
      <w:sz w:val="21"/>
      <w:szCs w:val="24"/>
      <w:lang w:val="zh-CN" w:eastAsia="zh-CN" w:bidi="zh-CN"/>
    </w:rPr>
  </w:style>
  <w:style w:type="paragraph" w:styleId="882" w:customStyle="1">
    <w:name w:val="正文文本缩进2"/>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首页1标题"/>
    <w:basedOn w:val="793"/>
    <w:uiPriority w:val="0"/>
    <w:qFormat/>
    <w:pPr>
      <w:ind w:firstLine="0"/>
      <w:jc w:val="center"/>
      <w:spacing w:line="360" w:lineRule="auto"/>
    </w:pPr>
    <w:rPr>
      <w:rFonts w:ascii="Times New Roman" w:hAnsi="Times New Roman" w:eastAsia="隶书"/>
      <w:b/>
      <w:sz w:val="52"/>
    </w:rPr>
  </w:style>
  <w:style w:type="paragraph" w:styleId="885" w:customStyle="1">
    <w:name w:val="表格2居中"/>
    <w:basedOn w:val="886"/>
    <w:uiPriority w:val="0"/>
    <w:qFormat/>
    <w:pPr>
      <w:jc w:val="center"/>
    </w:pPr>
    <w:rPr>
      <w:rFonts w:ascii="Times New Roman" w:hAnsi="Times New Roman" w:eastAsia="楷体"/>
    </w:rPr>
  </w:style>
  <w:style w:type="paragraph" w:styleId="886" w:customStyle="1">
    <w:name w:val="表格2居左"/>
    <w:basedOn w:val="859"/>
    <w:uiPriority w:val="0"/>
    <w:qFormat/>
    <w:pPr>
      <w:spacing w:line="240" w:lineRule="auto"/>
    </w:pPr>
    <w:rPr>
      <w:rFonts w:ascii="Times New Roman" w:hAnsi="Times New Roman" w:eastAsia="宋体"/>
      <w:sz w:val="21"/>
      <w:szCs w:val="21"/>
    </w:rPr>
  </w:style>
  <w:style w:type="paragraph" w:styleId="887" w:customStyle="1">
    <w:name w:val="p15"/>
    <w:basedOn w:val="793"/>
    <w:uiPriority w:val="0"/>
    <w:qFormat/>
    <w:pPr>
      <w:widowControl/>
    </w:pPr>
    <w:rPr>
      <w:sz w:val="21"/>
      <w:szCs w:val="21"/>
    </w:rPr>
  </w:style>
  <w:style w:type="paragraph" w:styleId="888" w:customStyle="1">
    <w:name w:val="日期1"/>
    <w:basedOn w:val="793"/>
    <w:next w:val="793"/>
    <w:uiPriority w:val="0"/>
    <w:qFormat/>
    <w:rPr>
      <w:rFonts w:eastAsia="仿宋_GB2312"/>
      <w:sz w:val="28"/>
      <w:szCs w:val="20"/>
    </w:rPr>
  </w:style>
  <w:style w:type="paragraph" w:styleId="889" w:customStyle="1">
    <w:name w:val="目录 111"/>
    <w:basedOn w:val="840"/>
    <w:next w:val="734"/>
    <w:uiPriority w:val="0"/>
    <w:qFormat/>
    <w:pPr>
      <w:jc w:val="left"/>
      <w:spacing w:after="100" w:line="259" w:lineRule="auto"/>
      <w:widowControl/>
    </w:pPr>
    <w:rPr>
      <w:rFonts w:ascii="Calibri" w:hAnsi="Calibri" w:eastAsia="宋体"/>
      <w:sz w:val="22"/>
      <w:szCs w:val="22"/>
    </w:rPr>
  </w:style>
  <w:style w:type="paragraph" w:styleId="890" w:customStyle="1">
    <w:name w:val="样式 小四 段前: 5 磅 段后: 5 磅 首行缩进:  2 字符"/>
    <w:basedOn w:val="734"/>
    <w:uiPriority w:val="0"/>
    <w:qFormat/>
    <w:pPr>
      <w:spacing w:line="360" w:lineRule="auto"/>
    </w:pPr>
    <w:rPr>
      <w:rFonts w:ascii="宋体" w:hAnsi="宋体"/>
      <w:szCs w:val="21"/>
    </w:rPr>
  </w:style>
  <w:style w:type="paragraph" w:styleId="891" w:customStyle="1">
    <w:name w:val="普通(网站)1"/>
    <w:basedOn w:val="840"/>
    <w:uiPriority w:val="0"/>
    <w:qFormat/>
    <w:pPr>
      <w:jc w:val="left"/>
      <w:spacing w:before="100" w:beforeAutospacing="1" w:after="100" w:afterAutospacing="1"/>
      <w:widowControl/>
    </w:pPr>
    <w:rPr>
      <w:rFonts w:ascii="宋体" w:hAnsi="宋体"/>
      <w:sz w:val="24"/>
    </w:rPr>
  </w:style>
  <w:style w:type="paragraph" w:styleId="892" w:customStyle="1">
    <w:name w:val="样式1标题"/>
    <w:basedOn w:val="793"/>
    <w:uiPriority w:val="0"/>
    <w:qFormat/>
    <w:pPr>
      <w:ind w:firstLine="480"/>
      <w:spacing w:before="260" w:after="260" w:line="320" w:lineRule="exact"/>
    </w:pPr>
    <w:rPr>
      <w:rFonts w:ascii="Times New Roman" w:hAnsi="Times New Roman" w:eastAsia="宋体"/>
      <w:b/>
      <w:sz w:val="21"/>
      <w:szCs w:val="21"/>
    </w:rPr>
  </w:style>
  <w:style w:type="paragraph" w:styleId="893" w:customStyle="1">
    <w:name w:val="正文首行缩进 21"/>
    <w:basedOn w:val="880"/>
    <w:uiPriority w:val="0"/>
    <w:qFormat/>
    <w:pPr>
      <w:ind w:firstLine="420"/>
    </w:pPr>
  </w:style>
  <w:style w:type="paragraph" w:styleId="894" w:customStyle="1">
    <w:name w:val="样式1楷体"/>
    <w:basedOn w:val="895"/>
    <w:uiPriority w:val="0"/>
    <w:qFormat/>
    <w:pPr>
      <w:spacing w:line="280" w:lineRule="exact"/>
    </w:pPr>
    <w:rPr>
      <w:rFonts w:ascii="Times New Roman" w:hAnsi="Times New Roman" w:eastAsia="楷体"/>
      <w:sz w:val="21"/>
      <w:szCs w:val="21"/>
    </w:rPr>
  </w:style>
  <w:style w:type="paragraph" w:styleId="895" w:customStyle="1">
    <w:name w:val="样式1宋体"/>
    <w:basedOn w:val="866"/>
    <w:uiPriority w:val="0"/>
    <w:qFormat/>
    <w:pPr>
      <w:ind w:firstLine="480"/>
      <w:spacing w:line="240" w:lineRule="auto"/>
    </w:pPr>
    <w:rPr>
      <w:rFonts w:ascii="Times New Roman" w:hAnsi="Times New Roman" w:eastAsia="宋体"/>
      <w:sz w:val="21"/>
      <w:szCs w:val="21"/>
    </w:rPr>
  </w:style>
  <w:style w:type="paragraph" w:styleId="896" w:customStyle="1">
    <w:name w:val="普通正文"/>
    <w:basedOn w:val="793"/>
    <w:uiPriority w:val="0"/>
    <w:qFormat/>
    <w:pPr>
      <w:ind w:firstLine="480"/>
      <w:jc w:val="left"/>
      <w:spacing w:before="120" w:after="120" w:line="360" w:lineRule="auto"/>
    </w:pPr>
    <w:rPr>
      <w:rFonts w:ascii="Arial" w:hAnsi="Arial"/>
      <w:sz w:val="24"/>
    </w:rPr>
  </w:style>
  <w:style w:type="paragraph" w:styleId="897" w:customStyle="1">
    <w:name w:val="正文文本缩进 21"/>
    <w:basedOn w:val="793"/>
    <w:uiPriority w:val="0"/>
    <w:qFormat/>
    <w:pPr>
      <w:ind w:firstLine="475"/>
      <w:spacing w:line="10" w:lineRule="atLeast"/>
    </w:pPr>
    <w:rPr>
      <w:rFonts w:ascii="仿宋_GB2312" w:eastAsia="仿宋_GB2312"/>
      <w:sz w:val="24"/>
    </w:rPr>
  </w:style>
  <w:style w:type="paragraph" w:styleId="898" w:customStyle="1">
    <w:name w:val="表格名称"/>
    <w:basedOn w:val="793"/>
    <w:uiPriority w:val="0"/>
    <w:qFormat/>
    <w:pPr>
      <w:ind w:firstLine="0"/>
      <w:jc w:val="center"/>
      <w:spacing w:line="360" w:lineRule="auto"/>
    </w:pPr>
    <w:rPr>
      <w:rFonts w:ascii="Times New Roman" w:hAnsi="Times New Roman" w:eastAsia="宋体"/>
      <w:b/>
      <w:sz w:val="28"/>
    </w:rPr>
  </w:style>
  <w:style w:type="paragraph" w:styleId="899" w:customStyle="1">
    <w:name w:val="页脚1"/>
    <w:basedOn w:val="793"/>
    <w:uiPriority w:val="0"/>
    <w:qFormat/>
    <w:pPr>
      <w:jc w:val="left"/>
      <w:tabs>
        <w:tab w:val="center" w:pos="4153" w:leader="none"/>
        <w:tab w:val="right" w:pos="8306" w:leader="none"/>
      </w:tabs>
    </w:pPr>
    <w:rPr>
      <w:sz w:val="18"/>
      <w:szCs w:val="18"/>
    </w:rPr>
  </w:style>
  <w:style w:type="paragraph" w:styleId="900" w:customStyle="1">
    <w:name w:val="NOTE_Normal"/>
    <w:basedOn w:val="734"/>
    <w:uiPriority w:val="0"/>
    <w:qFormat/>
  </w:style>
  <w:style w:type="paragraph" w:styleId="901" w:customStyle="1">
    <w:name w:val="p0"/>
    <w:basedOn w:val="847"/>
    <w:uiPriority w:val="0"/>
    <w:qFormat/>
    <w:pPr>
      <w:widowControl/>
    </w:pPr>
    <w:rPr>
      <w:sz w:val="21"/>
      <w:szCs w:val="21"/>
    </w:rPr>
  </w:style>
  <w:style w:type="paragraph" w:styleId="902" w:customStyle="1">
    <w:name w:val="正文文本1"/>
    <w:basedOn w:val="793"/>
    <w:uiPriority w:val="0"/>
    <w:qFormat/>
    <w:pPr>
      <w:ind w:left="532"/>
      <w:spacing w:before="37"/>
    </w:pPr>
    <w:rPr>
      <w:rFonts w:ascii="微软雅黑" w:hAnsi="微软雅黑" w:eastAsia="微软雅黑"/>
      <w:sz w:val="21"/>
      <w:szCs w:val="21"/>
    </w:rPr>
  </w:style>
  <w:style w:type="paragraph" w:styleId="903" w:customStyle="1">
    <w:name w:val="Char"/>
    <w:basedOn w:val="793"/>
    <w:uiPriority w:val="0"/>
    <w:qFormat/>
    <w:pPr>
      <w:tabs>
        <w:tab w:val="left" w:pos="360" w:leader="none"/>
      </w:tabs>
    </w:pPr>
    <w:rPr>
      <w:sz w:val="24"/>
    </w:rPr>
  </w:style>
  <w:style w:type="paragraph" w:styleId="904" w:customStyle="1">
    <w:name w:val="WPSOffice手动目录 1"/>
    <w:uiPriority w:val="0"/>
    <w:qFormat/>
    <w:rPr>
      <w:rFonts w:hint="default" w:ascii="Times New Roman" w:hAnsi="Times New Roman" w:eastAsia="宋体" w:cs="Times New Roman"/>
      <w:sz w:val="20"/>
      <w:szCs w:val="20"/>
    </w:rPr>
  </w:style>
  <w:style w:type="table" w:styleId="905" w:customStyle="1">
    <w:name w:val="Grid Table 4 - Accent 5"/>
    <w:uiPriority w:val="59"/>
    <w:qFormat/>
    <w:pPr>
      <w:spacing w:after="0" w:line="240" w:lineRule="auto"/>
    </w:pPr>
    <w:tblPr/>
  </w:style>
  <w:style w:type="table" w:styleId="906" w:customStyle="1">
    <w:name w:val="Bordered - Accent 3"/>
    <w:uiPriority w:val="99"/>
    <w:qFormat/>
    <w:pPr>
      <w:spacing w:after="0" w:line="240" w:lineRule="auto"/>
    </w:pPr>
    <w:tblPr/>
  </w:style>
  <w:style w:type="table" w:styleId="907" w:customStyle="1">
    <w:name w:val="Grid Table 4 - Accent 3"/>
    <w:uiPriority w:val="59"/>
    <w:qFormat/>
    <w:pPr>
      <w:spacing w:after="0" w:line="240" w:lineRule="auto"/>
    </w:pPr>
    <w:tblPr/>
  </w:style>
  <w:style w:type="table" w:styleId="908" w:customStyle="1">
    <w:name w:val="Grid Table 2 - Accent 4"/>
    <w:uiPriority w:val="99"/>
    <w:qFormat/>
    <w:pPr>
      <w:spacing w:after="0" w:line="240" w:lineRule="auto"/>
    </w:pPr>
    <w:tblPr/>
  </w:style>
  <w:style w:type="table" w:styleId="909" w:customStyle="1">
    <w:name w:val="Grid Table 5 Dark- Accent 4"/>
    <w:uiPriority w:val="99"/>
    <w:qFormat/>
    <w:pPr>
      <w:spacing w:after="0" w:line="240" w:lineRule="auto"/>
    </w:pPr>
    <w:tblPr/>
  </w:style>
  <w:style w:type="table" w:styleId="910" w:customStyle="1">
    <w:name w:val="Plain Table 2"/>
    <w:uiPriority w:val="59"/>
    <w:qFormat/>
    <w:pPr>
      <w:spacing w:after="0" w:line="240" w:lineRule="auto"/>
    </w:pPr>
    <w:tblPr/>
  </w:style>
  <w:style w:type="table" w:styleId="911" w:customStyle="1">
    <w:name w:val="Grid Table 2"/>
    <w:uiPriority w:val="99"/>
    <w:qFormat/>
    <w:pPr>
      <w:spacing w:after="0" w:line="240" w:lineRule="auto"/>
    </w:pPr>
    <w:tblPr/>
  </w:style>
  <w:style w:type="table" w:styleId="912" w:customStyle="1">
    <w:name w:val="List Table 1 Light - Accent 4"/>
    <w:uiPriority w:val="99"/>
    <w:qFormat/>
    <w:pPr>
      <w:spacing w:after="0" w:line="240" w:lineRule="auto"/>
    </w:pPr>
    <w:tblPr/>
  </w:style>
  <w:style w:type="table" w:styleId="913" w:customStyle="1">
    <w:name w:val="普通表格1"/>
    <w:uiPriority w:val="0"/>
    <w:semiHidden/>
    <w:qFormat/>
    <w:tblPr/>
  </w:style>
  <w:style w:type="table" w:styleId="914" w:customStyle="1">
    <w:name w:val="List Table 7 Colorful - Accent 4"/>
    <w:uiPriority w:val="99"/>
    <w:qFormat/>
    <w:pPr>
      <w:spacing w:after="0" w:line="240" w:lineRule="auto"/>
    </w:pPr>
    <w:tblPr/>
  </w:style>
  <w:style w:type="table" w:styleId="915" w:customStyle="1">
    <w:name w:val="List Table 7 Colorful - Accent 5"/>
    <w:uiPriority w:val="99"/>
    <w:qFormat/>
    <w:pPr>
      <w:spacing w:after="0" w:line="240" w:lineRule="auto"/>
    </w:pPr>
    <w:tblPr/>
  </w:style>
  <w:style w:type="table" w:styleId="916" w:customStyle="1">
    <w:name w:val="Grid Table 1 Light - Accent 4"/>
    <w:uiPriority w:val="99"/>
    <w:qFormat/>
    <w:pPr>
      <w:spacing w:after="0" w:line="240" w:lineRule="auto"/>
    </w:pPr>
    <w:tblPr/>
  </w:style>
  <w:style w:type="table" w:styleId="917" w:customStyle="1">
    <w:name w:val="网格型11"/>
    <w:uiPriority w:val="59"/>
    <w:qFormat/>
    <w:pPr>
      <w:spacing w:after="0" w:line="240" w:lineRule="auto"/>
    </w:pPr>
    <w:tblPr/>
  </w:style>
  <w:style w:type="table" w:styleId="918" w:customStyle="1">
    <w:name w:val="Table Grid Light"/>
    <w:uiPriority w:val="59"/>
    <w:qFormat/>
    <w:pPr>
      <w:spacing w:after="0" w:line="240" w:lineRule="auto"/>
    </w:pPr>
    <w:tblPr/>
  </w:style>
  <w:style w:type="table" w:styleId="919" w:customStyle="1">
    <w:name w:val="List Table 2 - Accent 3"/>
    <w:uiPriority w:val="99"/>
    <w:qFormat/>
    <w:pPr>
      <w:spacing w:after="0" w:line="240" w:lineRule="auto"/>
    </w:pPr>
    <w:tblPr/>
  </w:style>
  <w:style w:type="table" w:styleId="920" w:customStyle="1">
    <w:name w:val="Grid Table 1 Light - Accent 3"/>
    <w:uiPriority w:val="99"/>
    <w:qFormat/>
    <w:pPr>
      <w:spacing w:after="0" w:line="240" w:lineRule="auto"/>
    </w:pPr>
    <w:tblPr/>
  </w:style>
  <w:style w:type="table" w:styleId="921" w:customStyle="1">
    <w:name w:val="Bordered - Accent 5"/>
    <w:uiPriority w:val="99"/>
    <w:qFormat/>
    <w:pPr>
      <w:spacing w:after="0" w:line="240" w:lineRule="auto"/>
    </w:pPr>
    <w:tblPr/>
  </w:style>
  <w:style w:type="table" w:styleId="922" w:customStyle="1">
    <w:name w:val="List Table 5 Dark - Accent 4"/>
    <w:uiPriority w:val="99"/>
    <w:qFormat/>
    <w:pPr>
      <w:spacing w:after="0" w:line="240" w:lineRule="auto"/>
    </w:pPr>
    <w:tblPr/>
  </w:style>
  <w:style w:type="table" w:styleId="923" w:customStyle="1">
    <w:name w:val="Grid Table 2 - Accent 2"/>
    <w:uiPriority w:val="99"/>
    <w:qFormat/>
    <w:pPr>
      <w:spacing w:after="0" w:line="240" w:lineRule="auto"/>
    </w:pPr>
    <w:tblPr/>
  </w:style>
  <w:style w:type="table" w:styleId="924" w:customStyle="1">
    <w:name w:val="List Table 4 - Accent 3"/>
    <w:uiPriority w:val="99"/>
    <w:qFormat/>
    <w:pPr>
      <w:spacing w:after="0" w:line="240" w:lineRule="auto"/>
    </w:pPr>
    <w:tblPr/>
  </w:style>
  <w:style w:type="table" w:styleId="925" w:customStyle="1">
    <w:name w:val="Grid Table 7 Colorful - Accent 2"/>
    <w:uiPriority w:val="99"/>
    <w:qFormat/>
    <w:pPr>
      <w:spacing w:after="0" w:line="240" w:lineRule="auto"/>
    </w:pPr>
    <w:tblPr/>
  </w:style>
  <w:style w:type="table" w:styleId="926" w:customStyle="1">
    <w:name w:val="Grid Table 4 - Accent 1"/>
    <w:uiPriority w:val="59"/>
    <w:qFormat/>
    <w:pPr>
      <w:spacing w:after="0" w:line="240" w:lineRule="auto"/>
    </w:pPr>
    <w:tblPr/>
  </w:style>
  <w:style w:type="table" w:styleId="927" w:customStyle="1">
    <w:name w:val="List Table 7 Colorful"/>
    <w:uiPriority w:val="99"/>
    <w:qFormat/>
    <w:pPr>
      <w:spacing w:after="0" w:line="240" w:lineRule="auto"/>
    </w:pPr>
    <w:tblPr/>
  </w:style>
  <w:style w:type="table" w:styleId="928" w:customStyle="1">
    <w:name w:val="List Table 7 Colorful - Accent 1"/>
    <w:uiPriority w:val="99"/>
    <w:qFormat/>
    <w:pPr>
      <w:spacing w:after="0" w:line="240" w:lineRule="auto"/>
    </w:pPr>
    <w:tblPr/>
  </w:style>
  <w:style w:type="table" w:styleId="929" w:customStyle="1">
    <w:name w:val="Grid Table 4 - Accent 4"/>
    <w:uiPriority w:val="59"/>
    <w:qFormat/>
    <w:pPr>
      <w:spacing w:after="0" w:line="240" w:lineRule="auto"/>
    </w:pPr>
    <w:tblPr/>
  </w:style>
  <w:style w:type="table" w:styleId="930" w:customStyle="1">
    <w:name w:val="List Table 1 Light - Accent 5"/>
    <w:uiPriority w:val="99"/>
    <w:qFormat/>
    <w:pPr>
      <w:spacing w:after="0" w:line="240" w:lineRule="auto"/>
    </w:pPr>
    <w:tblPr/>
  </w:style>
  <w:style w:type="table" w:styleId="931" w:customStyle="1">
    <w:name w:val="List Table 3 - Accent 6"/>
    <w:uiPriority w:val="99"/>
    <w:qFormat/>
    <w:pPr>
      <w:spacing w:after="0" w:line="240" w:lineRule="auto"/>
    </w:pPr>
    <w:tblPr/>
  </w:style>
  <w:style w:type="table" w:styleId="932" w:customStyle="1">
    <w:name w:val="Grid Table 6 Colorful - Accent 2"/>
    <w:uiPriority w:val="99"/>
    <w:qFormat/>
    <w:pPr>
      <w:spacing w:after="0" w:line="240" w:lineRule="auto"/>
    </w:pPr>
    <w:tblPr/>
  </w:style>
  <w:style w:type="table" w:styleId="933" w:customStyle="1">
    <w:name w:val="Grid Table 7 Colorful - Accent 3"/>
    <w:uiPriority w:val="99"/>
    <w:qFormat/>
    <w:pPr>
      <w:spacing w:after="0" w:line="240" w:lineRule="auto"/>
    </w:pPr>
    <w:tblPr/>
  </w:style>
  <w:style w:type="table" w:styleId="934" w:customStyle="1">
    <w:name w:val="Grid Table 3 - Accent 6"/>
    <w:uiPriority w:val="99"/>
    <w:qFormat/>
    <w:pPr>
      <w:spacing w:after="0" w:line="240" w:lineRule="auto"/>
    </w:pPr>
    <w:tblPr/>
  </w:style>
  <w:style w:type="table" w:styleId="935" w:customStyle="1">
    <w:name w:val="Grid Table 4 - Accent 6"/>
    <w:uiPriority w:val="59"/>
    <w:qFormat/>
    <w:pPr>
      <w:spacing w:after="0" w:line="240" w:lineRule="auto"/>
    </w:pPr>
    <w:tblPr/>
  </w:style>
  <w:style w:type="table" w:styleId="936" w:customStyle="1">
    <w:name w:val="Grid Table 7 Colorful - Accent 5"/>
    <w:uiPriority w:val="99"/>
    <w:qFormat/>
    <w:pPr>
      <w:spacing w:after="0" w:line="240" w:lineRule="auto"/>
    </w:pPr>
    <w:tblPr/>
  </w:style>
  <w:style w:type="table" w:styleId="937" w:customStyle="1">
    <w:name w:val="List Table 2 - Accent 2"/>
    <w:uiPriority w:val="99"/>
    <w:qFormat/>
    <w:pPr>
      <w:spacing w:after="0" w:line="240" w:lineRule="auto"/>
    </w:pPr>
    <w:tblPr/>
  </w:style>
  <w:style w:type="table" w:styleId="938" w:customStyle="1">
    <w:name w:val="Bordered &amp; Lined - Accent 5"/>
    <w:uiPriority w:val="99"/>
    <w:qFormat/>
    <w:pPr>
      <w:spacing w:after="0" w:line="240" w:lineRule="auto"/>
    </w:pPr>
    <w:rPr>
      <w:color w:val="404040"/>
    </w:rPr>
    <w:tblPr/>
  </w:style>
  <w:style w:type="table" w:styleId="939" w:customStyle="1">
    <w:name w:val="Grid Table 7 Colorful - Accent 6"/>
    <w:uiPriority w:val="99"/>
    <w:qFormat/>
    <w:pPr>
      <w:spacing w:after="0" w:line="240" w:lineRule="auto"/>
    </w:pPr>
    <w:tblPr/>
  </w:style>
  <w:style w:type="table" w:styleId="940" w:customStyle="1">
    <w:name w:val="List Table 4 - Accent 1"/>
    <w:uiPriority w:val="99"/>
    <w:qFormat/>
    <w:pPr>
      <w:spacing w:after="0" w:line="240" w:lineRule="auto"/>
    </w:pPr>
    <w:tblPr/>
  </w:style>
  <w:style w:type="table" w:styleId="941" w:customStyle="1">
    <w:name w:val="网格型1"/>
    <w:uiPriority w:val="0"/>
    <w:qFormat/>
    <w:pPr>
      <w:jc w:val="both"/>
      <w:widowControl w:val="off"/>
    </w:pPr>
    <w:tblPr/>
  </w:style>
  <w:style w:type="table" w:styleId="942" w:customStyle="1">
    <w:name w:val="List Table 1 Light - Accent 2"/>
    <w:uiPriority w:val="99"/>
    <w:qFormat/>
    <w:pPr>
      <w:spacing w:after="0" w:line="240" w:lineRule="auto"/>
    </w:pPr>
    <w:tblPr/>
  </w:style>
  <w:style w:type="table" w:styleId="943" w:customStyle="1">
    <w:name w:val="Grid Table 6 Colorful - Accent 1"/>
    <w:uiPriority w:val="99"/>
    <w:qFormat/>
    <w:pPr>
      <w:spacing w:after="0" w:line="240" w:lineRule="auto"/>
    </w:pPr>
    <w:tblPr/>
  </w:style>
  <w:style w:type="table" w:styleId="944" w:customStyle="1">
    <w:name w:val="Grid Table 7 Colorful - Accent 1"/>
    <w:uiPriority w:val="99"/>
    <w:qFormat/>
    <w:pPr>
      <w:spacing w:after="0" w:line="240" w:lineRule="auto"/>
    </w:pPr>
    <w:tblPr/>
  </w:style>
  <w:style w:type="table" w:styleId="945" w:customStyle="1">
    <w:name w:val="List Table 4"/>
    <w:uiPriority w:val="99"/>
    <w:qFormat/>
    <w:pPr>
      <w:spacing w:after="0" w:line="240" w:lineRule="auto"/>
    </w:pPr>
    <w:tblPr/>
  </w:style>
  <w:style w:type="table" w:styleId="946" w:customStyle="1">
    <w:name w:val="Bordered - Accent 6"/>
    <w:uiPriority w:val="99"/>
    <w:qFormat/>
    <w:pPr>
      <w:spacing w:after="0" w:line="240" w:lineRule="auto"/>
    </w:pPr>
    <w:tblPr/>
  </w:style>
  <w:style w:type="table" w:styleId="947" w:customStyle="1">
    <w:name w:val="Grid Table 5 Dark"/>
    <w:uiPriority w:val="99"/>
    <w:qFormat/>
    <w:pPr>
      <w:spacing w:after="0" w:line="240" w:lineRule="auto"/>
    </w:pPr>
    <w:tblPr/>
  </w:style>
  <w:style w:type="table" w:styleId="948" w:customStyle="1">
    <w:name w:val="Grid Table 5 Dark- Accent 1"/>
    <w:uiPriority w:val="99"/>
    <w:qFormat/>
    <w:pPr>
      <w:spacing w:after="0" w:line="240" w:lineRule="auto"/>
    </w:pPr>
    <w:tblPr/>
  </w:style>
  <w:style w:type="table" w:styleId="949" w:customStyle="1">
    <w:name w:val="Bordered &amp; Lined - Accent 4"/>
    <w:uiPriority w:val="99"/>
    <w:qFormat/>
    <w:pPr>
      <w:spacing w:after="0" w:line="240" w:lineRule="auto"/>
    </w:pPr>
    <w:rPr>
      <w:color w:val="404040"/>
    </w:rPr>
    <w:tblPr/>
  </w:style>
  <w:style w:type="table" w:styleId="950" w:customStyle="1">
    <w:name w:val="Grid Table 3 - Accent 4"/>
    <w:uiPriority w:val="99"/>
    <w:qFormat/>
    <w:pPr>
      <w:spacing w:after="0" w:line="240" w:lineRule="auto"/>
    </w:pPr>
    <w:tblPr/>
  </w:style>
  <w:style w:type="table" w:styleId="951" w:customStyle="1">
    <w:name w:val="Grid Table 5 Dark - Accent 3"/>
    <w:uiPriority w:val="99"/>
    <w:qFormat/>
    <w:pPr>
      <w:spacing w:after="0" w:line="240" w:lineRule="auto"/>
    </w:pPr>
    <w:tblPr/>
  </w:style>
  <w:style w:type="table" w:styleId="952" w:customStyle="1">
    <w:name w:val="List Table 7 Colorful - Accent 2"/>
    <w:uiPriority w:val="99"/>
    <w:qFormat/>
    <w:pPr>
      <w:spacing w:after="0" w:line="240" w:lineRule="auto"/>
    </w:pPr>
    <w:tblPr/>
  </w:style>
  <w:style w:type="table" w:styleId="953" w:customStyle="1">
    <w:name w:val="List Table 4 - Accent 6"/>
    <w:uiPriority w:val="99"/>
    <w:qFormat/>
    <w:pPr>
      <w:spacing w:after="0" w:line="240" w:lineRule="auto"/>
    </w:pPr>
    <w:tblPr/>
  </w:style>
  <w:style w:type="table" w:styleId="954" w:customStyle="1">
    <w:name w:val="Plain Table 5"/>
    <w:uiPriority w:val="99"/>
    <w:qFormat/>
    <w:pPr>
      <w:spacing w:after="0" w:line="240" w:lineRule="auto"/>
    </w:pPr>
    <w:tblPr/>
  </w:style>
  <w:style w:type="table" w:styleId="955" w:customStyle="1">
    <w:name w:val="Grid Table 3"/>
    <w:uiPriority w:val="99"/>
    <w:qFormat/>
    <w:pPr>
      <w:spacing w:after="0" w:line="240" w:lineRule="auto"/>
    </w:pPr>
    <w:tblPr/>
  </w:style>
  <w:style w:type="table" w:styleId="956" w:customStyle="1">
    <w:name w:val="Grid Table 1 Light - Accent 2"/>
    <w:uiPriority w:val="99"/>
    <w:qFormat/>
    <w:pPr>
      <w:spacing w:after="0" w:line="240" w:lineRule="auto"/>
    </w:pPr>
    <w:tblPr/>
  </w:style>
  <w:style w:type="table" w:styleId="957" w:customStyle="1">
    <w:name w:val="Bordered - Accent 2"/>
    <w:uiPriority w:val="99"/>
    <w:qFormat/>
    <w:pPr>
      <w:spacing w:after="0" w:line="240" w:lineRule="auto"/>
    </w:pPr>
    <w:tblPr/>
  </w:style>
  <w:style w:type="table" w:styleId="958" w:customStyle="1">
    <w:name w:val="List Table 3 - Accent 5"/>
    <w:uiPriority w:val="99"/>
    <w:qFormat/>
    <w:pPr>
      <w:spacing w:after="0" w:line="240" w:lineRule="auto"/>
    </w:pPr>
    <w:tblPr/>
  </w:style>
  <w:style w:type="table" w:styleId="959" w:customStyle="1">
    <w:name w:val="Grid Table 6 Colorful - Accent 4"/>
    <w:uiPriority w:val="99"/>
    <w:qFormat/>
    <w:pPr>
      <w:spacing w:after="0" w:line="240" w:lineRule="auto"/>
    </w:pPr>
    <w:tblPr/>
  </w:style>
  <w:style w:type="table" w:styleId="960" w:customStyle="1">
    <w:name w:val="List Table 3 - Accent 3"/>
    <w:uiPriority w:val="99"/>
    <w:qFormat/>
    <w:pPr>
      <w:spacing w:after="0" w:line="240" w:lineRule="auto"/>
    </w:pPr>
    <w:tblPr/>
  </w:style>
  <w:style w:type="table" w:styleId="961" w:customStyle="1">
    <w:name w:val="Grid Table 3 - Accent 2"/>
    <w:uiPriority w:val="99"/>
    <w:qFormat/>
    <w:pPr>
      <w:spacing w:after="0" w:line="240" w:lineRule="auto"/>
    </w:pPr>
    <w:tblPr/>
  </w:style>
  <w:style w:type="table" w:styleId="962" w:customStyle="1">
    <w:name w:val="List Table 2"/>
    <w:uiPriority w:val="99"/>
    <w:qFormat/>
    <w:pPr>
      <w:spacing w:after="0" w:line="240" w:lineRule="auto"/>
    </w:pPr>
    <w:tblPr/>
  </w:style>
  <w:style w:type="table" w:styleId="963" w:customStyle="1">
    <w:name w:val="Grid Table 5 Dark - Accent 6"/>
    <w:uiPriority w:val="99"/>
    <w:qFormat/>
    <w:pPr>
      <w:spacing w:after="0" w:line="240" w:lineRule="auto"/>
    </w:pPr>
    <w:tblPr/>
  </w:style>
  <w:style w:type="table" w:styleId="964" w:customStyle="1">
    <w:name w:val="网格型111"/>
    <w:uiPriority w:val="0"/>
    <w:qFormat/>
    <w:rPr>
      <w:lang w:val="en-US" w:eastAsia="zh-CN" w:bidi="ar-SA"/>
    </w:rPr>
    <w:tblPr/>
  </w:style>
  <w:style w:type="table" w:styleId="965" w:customStyle="1">
    <w:name w:val="List Table 6 Colorful - Accent 5"/>
    <w:uiPriority w:val="99"/>
    <w:qFormat/>
    <w:pPr>
      <w:spacing w:after="0" w:line="240" w:lineRule="auto"/>
    </w:pPr>
    <w:tblPr/>
  </w:style>
  <w:style w:type="table" w:styleId="966" w:customStyle="1">
    <w:name w:val="List Table 5 Dark - Accent 2"/>
    <w:uiPriority w:val="99"/>
    <w:qFormat/>
    <w:pPr>
      <w:spacing w:after="0" w:line="240" w:lineRule="auto"/>
    </w:pPr>
    <w:tblPr/>
  </w:style>
  <w:style w:type="table" w:styleId="967" w:customStyle="1">
    <w:name w:val="Bordered - Accent 1"/>
    <w:uiPriority w:val="99"/>
    <w:qFormat/>
    <w:pPr>
      <w:spacing w:after="0" w:line="240" w:lineRule="auto"/>
    </w:pPr>
    <w:tblPr/>
  </w:style>
  <w:style w:type="table" w:styleId="968" w:customStyle="1">
    <w:name w:val="Grid Table 2 - Accent 3"/>
    <w:uiPriority w:val="99"/>
    <w:qFormat/>
    <w:pPr>
      <w:spacing w:after="0" w:line="240" w:lineRule="auto"/>
    </w:pPr>
    <w:tblPr/>
  </w:style>
  <w:style w:type="table" w:styleId="969" w:customStyle="1">
    <w:name w:val="Grid Table 4"/>
    <w:uiPriority w:val="59"/>
    <w:qFormat/>
    <w:pPr>
      <w:spacing w:after="0" w:line="240" w:lineRule="auto"/>
    </w:pPr>
    <w:tblPr/>
  </w:style>
  <w:style w:type="table" w:styleId="970" w:customStyle="1">
    <w:name w:val="List Table 7 Colorful - Accent 6"/>
    <w:uiPriority w:val="99"/>
    <w:qFormat/>
    <w:pPr>
      <w:spacing w:after="0" w:line="240" w:lineRule="auto"/>
    </w:pPr>
    <w:tblPr/>
  </w:style>
  <w:style w:type="table" w:styleId="971" w:customStyle="1">
    <w:name w:val="Grid Table 5 Dark - Accent 2"/>
    <w:uiPriority w:val="99"/>
    <w:qFormat/>
    <w:pPr>
      <w:spacing w:after="0" w:line="240" w:lineRule="auto"/>
    </w:pPr>
    <w:tblPr/>
  </w:style>
  <w:style w:type="table" w:styleId="972" w:customStyle="1">
    <w:name w:val="Bordered &amp; Lined - Accent 1"/>
    <w:uiPriority w:val="99"/>
    <w:qFormat/>
    <w:pPr>
      <w:spacing w:after="0" w:line="240" w:lineRule="auto"/>
    </w:pPr>
    <w:rPr>
      <w:color w:val="404040"/>
    </w:rPr>
    <w:tblPr/>
  </w:style>
  <w:style w:type="table" w:styleId="973" w:customStyle="1">
    <w:name w:val="Grid Table 6 Colorful - Accent 3"/>
    <w:uiPriority w:val="99"/>
    <w:qFormat/>
    <w:pPr>
      <w:spacing w:after="0" w:line="240" w:lineRule="auto"/>
    </w:pPr>
    <w:tblPr/>
  </w:style>
  <w:style w:type="table" w:styleId="974" w:customStyle="1">
    <w:name w:val="Table Normal"/>
    <w:uiPriority w:val="0"/>
    <w:unhideWhenUsed/>
    <w:qFormat/>
    <w:tblPr/>
  </w:style>
  <w:style w:type="table" w:styleId="975" w:customStyle="1">
    <w:name w:val="List Table 4 - Accent 4"/>
    <w:uiPriority w:val="99"/>
    <w:qFormat/>
    <w:pPr>
      <w:spacing w:after="0" w:line="240" w:lineRule="auto"/>
    </w:pPr>
    <w:tblPr/>
  </w:style>
  <w:style w:type="table" w:styleId="976" w:customStyle="1">
    <w:name w:val="List Table 3 - Accent 1"/>
    <w:uiPriority w:val="99"/>
    <w:qFormat/>
    <w:pPr>
      <w:spacing w:after="0" w:line="240" w:lineRule="auto"/>
    </w:pPr>
    <w:tblPr/>
  </w:style>
  <w:style w:type="table" w:styleId="977" w:customStyle="1">
    <w:name w:val="Grid Table 3 - Accent 5"/>
    <w:uiPriority w:val="99"/>
    <w:qFormat/>
    <w:pPr>
      <w:spacing w:after="0" w:line="240" w:lineRule="auto"/>
    </w:pPr>
    <w:tblPr/>
  </w:style>
  <w:style w:type="table" w:styleId="978" w:customStyle="1">
    <w:name w:val="Grid Table 7 Colorful - Accent 4"/>
    <w:uiPriority w:val="99"/>
    <w:qFormat/>
    <w:pPr>
      <w:spacing w:after="0" w:line="240" w:lineRule="auto"/>
    </w:pPr>
    <w:tblPr/>
  </w:style>
  <w:style w:type="table" w:styleId="979" w:customStyle="1">
    <w:name w:val="Lined - Accent"/>
    <w:uiPriority w:val="99"/>
    <w:qFormat/>
    <w:pPr>
      <w:spacing w:after="0" w:line="240" w:lineRule="auto"/>
    </w:pPr>
    <w:rPr>
      <w:color w:val="404040"/>
    </w:rPr>
    <w:tblPr/>
  </w:style>
  <w:style w:type="table" w:styleId="980" w:customStyle="1">
    <w:name w:val="Bordered &amp; Lined - Accent"/>
    <w:uiPriority w:val="99"/>
    <w:qFormat/>
    <w:pPr>
      <w:spacing w:after="0" w:line="240" w:lineRule="auto"/>
    </w:pPr>
    <w:rPr>
      <w:color w:val="404040"/>
    </w:rPr>
    <w:tblPr/>
  </w:style>
  <w:style w:type="table" w:styleId="981" w:customStyle="1">
    <w:name w:val="Bordered &amp; Lined - Accent 3"/>
    <w:uiPriority w:val="99"/>
    <w:qFormat/>
    <w:pPr>
      <w:spacing w:after="0" w:line="240" w:lineRule="auto"/>
    </w:pPr>
    <w:rPr>
      <w:color w:val="404040"/>
    </w:rPr>
    <w:tblPr/>
  </w:style>
  <w:style w:type="table" w:styleId="982" w:customStyle="1">
    <w:name w:val="List Table 6 Colorful - Accent 3"/>
    <w:uiPriority w:val="99"/>
    <w:qFormat/>
    <w:pPr>
      <w:spacing w:after="0" w:line="240" w:lineRule="auto"/>
    </w:pPr>
    <w:tblPr/>
  </w:style>
  <w:style w:type="table" w:styleId="983" w:customStyle="1">
    <w:name w:val="List Table 6 Colorful - Accent 1"/>
    <w:uiPriority w:val="99"/>
    <w:qFormat/>
    <w:pPr>
      <w:spacing w:after="0" w:line="240" w:lineRule="auto"/>
    </w:pPr>
    <w:tblPr/>
  </w:style>
  <w:style w:type="table" w:styleId="984" w:customStyle="1">
    <w:name w:val="Grid Table 6 Colorful - Accent 6"/>
    <w:uiPriority w:val="99"/>
    <w:qFormat/>
    <w:pPr>
      <w:spacing w:after="0" w:line="240" w:lineRule="auto"/>
    </w:pPr>
    <w:tblPr/>
  </w:style>
  <w:style w:type="table" w:styleId="985" w:customStyle="1">
    <w:name w:val="Grid Table 3 - Accent 3"/>
    <w:uiPriority w:val="99"/>
    <w:qFormat/>
    <w:pPr>
      <w:spacing w:after="0" w:line="240" w:lineRule="auto"/>
    </w:pPr>
    <w:tblPr/>
  </w:style>
  <w:style w:type="table" w:styleId="986" w:customStyle="1">
    <w:name w:val="List Table 3"/>
    <w:uiPriority w:val="99"/>
    <w:qFormat/>
    <w:pPr>
      <w:spacing w:after="0" w:line="240" w:lineRule="auto"/>
    </w:pPr>
    <w:tblPr/>
  </w:style>
  <w:style w:type="table" w:styleId="987" w:customStyle="1">
    <w:name w:val="List Table 3 - Accent 2"/>
    <w:uiPriority w:val="99"/>
    <w:qFormat/>
    <w:pPr>
      <w:spacing w:after="0" w:line="240" w:lineRule="auto"/>
    </w:pPr>
    <w:tblPr/>
  </w:style>
  <w:style w:type="table" w:styleId="988" w:customStyle="1">
    <w:name w:val="Grid Table 7 Colorful"/>
    <w:uiPriority w:val="99"/>
    <w:qFormat/>
    <w:pPr>
      <w:spacing w:after="0" w:line="240" w:lineRule="auto"/>
    </w:pPr>
    <w:tblPr/>
  </w:style>
  <w:style w:type="table" w:styleId="989" w:customStyle="1">
    <w:name w:val="List Table 5 Dark - Accent 1"/>
    <w:uiPriority w:val="99"/>
    <w:qFormat/>
    <w:pPr>
      <w:spacing w:after="0" w:line="240" w:lineRule="auto"/>
    </w:pPr>
    <w:tblPr/>
  </w:style>
  <w:style w:type="table" w:styleId="990" w:customStyle="1">
    <w:name w:val="List Table 1 Light - Accent 3"/>
    <w:uiPriority w:val="99"/>
    <w:qFormat/>
    <w:pPr>
      <w:spacing w:after="0" w:line="240" w:lineRule="auto"/>
    </w:pPr>
    <w:tblPr/>
  </w:style>
  <w:style w:type="table" w:styleId="991" w:customStyle="1">
    <w:name w:val="Grid Table 2 - Accent 5"/>
    <w:uiPriority w:val="99"/>
    <w:qFormat/>
    <w:pPr>
      <w:spacing w:after="0" w:line="240" w:lineRule="auto"/>
    </w:pPr>
    <w:tblPr/>
  </w:style>
  <w:style w:type="table" w:styleId="992" w:customStyle="1">
    <w:name w:val="Grid Table 1 Light - Accent 1"/>
    <w:uiPriority w:val="99"/>
    <w:qFormat/>
    <w:pPr>
      <w:spacing w:after="0" w:line="240" w:lineRule="auto"/>
    </w:pPr>
    <w:tblPr/>
  </w:style>
  <w:style w:type="table" w:styleId="993" w:customStyle="1">
    <w:name w:val="List Table 6 Colorful - Accent 6"/>
    <w:uiPriority w:val="99"/>
    <w:qFormat/>
    <w:pPr>
      <w:spacing w:after="0" w:line="240" w:lineRule="auto"/>
    </w:pPr>
    <w:tblPr/>
  </w:style>
  <w:style w:type="table" w:styleId="994" w:customStyle="1">
    <w:name w:val="List Table 5 Dark - Accent 3"/>
    <w:uiPriority w:val="99"/>
    <w:qFormat/>
    <w:pPr>
      <w:spacing w:after="0" w:line="240" w:lineRule="auto"/>
    </w:pPr>
    <w:tblPr/>
  </w:style>
  <w:style w:type="table" w:styleId="995" w:customStyle="1">
    <w:name w:val="Lined - Accent 4"/>
    <w:uiPriority w:val="99"/>
    <w:qFormat/>
    <w:pPr>
      <w:spacing w:after="0" w:line="240" w:lineRule="auto"/>
    </w:pPr>
    <w:rPr>
      <w:color w:val="404040"/>
    </w:rPr>
    <w:tblPr/>
  </w:style>
  <w:style w:type="table" w:styleId="996" w:customStyle="1">
    <w:name w:val="List Table 7 Colorful - Accent 3"/>
    <w:uiPriority w:val="99"/>
    <w:qFormat/>
    <w:pPr>
      <w:spacing w:after="0" w:line="240" w:lineRule="auto"/>
    </w:pPr>
    <w:tblPr/>
  </w:style>
  <w:style w:type="table" w:styleId="997" w:customStyle="1">
    <w:name w:val="List Table 2 - Accent 6"/>
    <w:uiPriority w:val="99"/>
    <w:qFormat/>
    <w:pPr>
      <w:spacing w:after="0" w:line="240" w:lineRule="auto"/>
    </w:pPr>
    <w:tblPr/>
  </w:style>
  <w:style w:type="table" w:styleId="998" w:customStyle="1">
    <w:name w:val="List Table 1 Light"/>
    <w:uiPriority w:val="99"/>
    <w:qFormat/>
    <w:pPr>
      <w:spacing w:after="0" w:line="240" w:lineRule="auto"/>
    </w:pPr>
    <w:tblPr/>
  </w:style>
  <w:style w:type="table" w:styleId="999" w:customStyle="1">
    <w:name w:val="Bordered &amp; Lined - Accent 2"/>
    <w:uiPriority w:val="99"/>
    <w:qFormat/>
    <w:pPr>
      <w:spacing w:after="0" w:line="240" w:lineRule="auto"/>
    </w:pPr>
    <w:rPr>
      <w:color w:val="404040"/>
    </w:rPr>
    <w:tblPr/>
  </w:style>
  <w:style w:type="table" w:styleId="1000" w:customStyle="1">
    <w:name w:val="Lined - Accent 6"/>
    <w:uiPriority w:val="99"/>
    <w:qFormat/>
    <w:pPr>
      <w:spacing w:after="0" w:line="240" w:lineRule="auto"/>
    </w:pPr>
    <w:rPr>
      <w:color w:val="404040"/>
    </w:rPr>
    <w:tblPr/>
  </w:style>
  <w:style w:type="table" w:styleId="1001" w:customStyle="1">
    <w:name w:val="Grid Table 2 - Accent 6"/>
    <w:uiPriority w:val="99"/>
    <w:qFormat/>
    <w:pPr>
      <w:spacing w:after="0" w:line="240" w:lineRule="auto"/>
    </w:pPr>
    <w:tblPr/>
  </w:style>
  <w:style w:type="table" w:styleId="1002" w:customStyle="1">
    <w:name w:val="List Table 6 Colorful"/>
    <w:uiPriority w:val="99"/>
    <w:qFormat/>
    <w:pPr>
      <w:spacing w:after="0" w:line="240" w:lineRule="auto"/>
    </w:pPr>
    <w:tblPr/>
  </w:style>
  <w:style w:type="table" w:styleId="1003" w:customStyle="1">
    <w:name w:val="List Table 5 Dark - Accent 5"/>
    <w:uiPriority w:val="99"/>
    <w:qFormat/>
    <w:pPr>
      <w:spacing w:after="0" w:line="240" w:lineRule="auto"/>
    </w:pPr>
    <w:tblPr/>
  </w:style>
  <w:style w:type="table" w:styleId="1004" w:customStyle="1">
    <w:name w:val="List Table 1 Light - Accent 1"/>
    <w:uiPriority w:val="99"/>
    <w:qFormat/>
    <w:pPr>
      <w:spacing w:after="0" w:line="240" w:lineRule="auto"/>
    </w:pPr>
    <w:tblPr/>
  </w:style>
  <w:style w:type="table" w:styleId="1005" w:customStyle="1">
    <w:name w:val="Bordered &amp; Lined - Accent 6"/>
    <w:uiPriority w:val="99"/>
    <w:qFormat/>
    <w:pPr>
      <w:spacing w:after="0" w:line="240" w:lineRule="auto"/>
    </w:pPr>
    <w:rPr>
      <w:color w:val="404040"/>
    </w:rPr>
    <w:tblPr/>
  </w:style>
  <w:style w:type="table" w:styleId="1006" w:customStyle="1">
    <w:name w:val="Grid Table 2 - Accent 1"/>
    <w:uiPriority w:val="99"/>
    <w:qFormat/>
    <w:pPr>
      <w:spacing w:after="0" w:line="240" w:lineRule="auto"/>
    </w:pPr>
    <w:tblPr/>
  </w:style>
  <w:style w:type="table" w:styleId="1007" w:customStyle="1">
    <w:name w:val="Grid Table 4 - Accent 2"/>
    <w:uiPriority w:val="59"/>
    <w:qFormat/>
    <w:pPr>
      <w:spacing w:after="0" w:line="240" w:lineRule="auto"/>
    </w:pPr>
    <w:tblPr/>
  </w:style>
  <w:style w:type="table" w:styleId="1008" w:customStyle="1">
    <w:name w:val="Bordered"/>
    <w:uiPriority w:val="99"/>
    <w:qFormat/>
    <w:pPr>
      <w:spacing w:after="0" w:line="240" w:lineRule="auto"/>
    </w:pPr>
    <w:tblPr/>
  </w:style>
  <w:style w:type="table" w:styleId="1009" w:customStyle="1">
    <w:name w:val="List Table 4 - Accent 2"/>
    <w:uiPriority w:val="99"/>
    <w:qFormat/>
    <w:pPr>
      <w:spacing w:after="0" w:line="240" w:lineRule="auto"/>
    </w:pPr>
    <w:tblPr/>
  </w:style>
  <w:style w:type="table" w:styleId="1010" w:customStyle="1">
    <w:name w:val="Bordered - Accent 4"/>
    <w:uiPriority w:val="99"/>
    <w:qFormat/>
    <w:pPr>
      <w:spacing w:after="0" w:line="240" w:lineRule="auto"/>
    </w:pPr>
    <w:tblPr/>
  </w:style>
  <w:style w:type="table" w:styleId="1011" w:customStyle="1">
    <w:name w:val="List Table 1 Light - Accent 6"/>
    <w:uiPriority w:val="99"/>
    <w:qFormat/>
    <w:pPr>
      <w:spacing w:after="0" w:line="240" w:lineRule="auto"/>
    </w:pPr>
    <w:tblPr/>
  </w:style>
  <w:style w:type="table" w:styleId="1012" w:customStyle="1">
    <w:name w:val="List Table 4 - Accent 5"/>
    <w:uiPriority w:val="99"/>
    <w:qFormat/>
    <w:pPr>
      <w:spacing w:after="0" w:line="240" w:lineRule="auto"/>
    </w:pPr>
    <w:tblPr/>
  </w:style>
  <w:style w:type="table" w:styleId="1013" w:customStyle="1">
    <w:name w:val="Grid Table 1 Light"/>
    <w:uiPriority w:val="99"/>
    <w:qFormat/>
    <w:pPr>
      <w:spacing w:after="0" w:line="240" w:lineRule="auto"/>
    </w:pPr>
    <w:tblPr/>
  </w:style>
  <w:style w:type="table" w:styleId="1014" w:customStyle="1">
    <w:name w:val="Grid Table 3 - Accent 1"/>
    <w:uiPriority w:val="99"/>
    <w:qFormat/>
    <w:pPr>
      <w:spacing w:after="0" w:line="240" w:lineRule="auto"/>
    </w:pPr>
    <w:tblPr/>
  </w:style>
  <w:style w:type="table" w:styleId="1015" w:customStyle="1">
    <w:name w:val="Grid Table 6 Colorful"/>
    <w:uiPriority w:val="99"/>
    <w:qFormat/>
    <w:pPr>
      <w:spacing w:after="0" w:line="240" w:lineRule="auto"/>
    </w:pPr>
    <w:tblPr/>
  </w:style>
  <w:style w:type="table" w:styleId="1016" w:customStyle="1">
    <w:name w:val="Grid Table 5 Dark - Accent 5"/>
    <w:uiPriority w:val="99"/>
    <w:qFormat/>
    <w:pPr>
      <w:spacing w:after="0" w:line="240" w:lineRule="auto"/>
    </w:pPr>
    <w:tblPr/>
  </w:style>
  <w:style w:type="table" w:styleId="1017" w:customStyle="1">
    <w:name w:val="Lined - Accent 2"/>
    <w:uiPriority w:val="99"/>
    <w:qFormat/>
    <w:pPr>
      <w:spacing w:after="0" w:line="240" w:lineRule="auto"/>
    </w:pPr>
    <w:rPr>
      <w:color w:val="404040"/>
    </w:rPr>
    <w:tblPr/>
  </w:style>
  <w:style w:type="table" w:styleId="1018" w:customStyle="1">
    <w:name w:val="List Table 2 - Accent 1"/>
    <w:uiPriority w:val="99"/>
    <w:qFormat/>
    <w:pPr>
      <w:spacing w:after="0" w:line="240" w:lineRule="auto"/>
    </w:pPr>
    <w:tblPr/>
  </w:style>
  <w:style w:type="table" w:styleId="1019" w:customStyle="1">
    <w:name w:val="Plain Table 3"/>
    <w:uiPriority w:val="99"/>
    <w:qFormat/>
    <w:pPr>
      <w:spacing w:after="0" w:line="240" w:lineRule="auto"/>
    </w:pPr>
    <w:tblPr/>
  </w:style>
  <w:style w:type="table" w:styleId="1020" w:customStyle="1">
    <w:name w:val="List Table 2 - Accent 4"/>
    <w:uiPriority w:val="99"/>
    <w:qFormat/>
    <w:pPr>
      <w:spacing w:after="0" w:line="240" w:lineRule="auto"/>
    </w:pPr>
    <w:tblPr/>
  </w:style>
  <w:style w:type="table" w:styleId="1021" w:customStyle="1">
    <w:name w:val="Lined - Accent 5"/>
    <w:uiPriority w:val="99"/>
    <w:qFormat/>
    <w:pPr>
      <w:spacing w:after="0" w:line="240" w:lineRule="auto"/>
    </w:pPr>
    <w:rPr>
      <w:color w:val="404040"/>
    </w:rPr>
    <w:tblPr/>
  </w:style>
  <w:style w:type="table" w:styleId="1022" w:customStyle="1">
    <w:name w:val="List Table 5 Dark"/>
    <w:uiPriority w:val="99"/>
    <w:qFormat/>
    <w:pPr>
      <w:spacing w:after="0" w:line="240" w:lineRule="auto"/>
    </w:pPr>
    <w:tblPr/>
  </w:style>
  <w:style w:type="table" w:styleId="1023" w:customStyle="1">
    <w:name w:val="Grid Table 1 Light - Accent 6"/>
    <w:uiPriority w:val="99"/>
    <w:qFormat/>
    <w:pPr>
      <w:spacing w:after="0" w:line="240" w:lineRule="auto"/>
    </w:pPr>
    <w:tblPr/>
  </w:style>
  <w:style w:type="table" w:styleId="1024" w:customStyle="1">
    <w:name w:val="Plain Table 1"/>
    <w:uiPriority w:val="59"/>
    <w:qFormat/>
    <w:pPr>
      <w:spacing w:after="0" w:line="240" w:lineRule="auto"/>
    </w:pPr>
    <w:tblPr/>
  </w:style>
  <w:style w:type="table" w:styleId="1025" w:customStyle="1">
    <w:name w:val="Lined - Accent 3"/>
    <w:uiPriority w:val="99"/>
    <w:qFormat/>
    <w:pPr>
      <w:spacing w:after="0" w:line="240" w:lineRule="auto"/>
    </w:pPr>
    <w:rPr>
      <w:color w:val="404040"/>
    </w:rPr>
    <w:tblPr/>
  </w:style>
  <w:style w:type="table" w:styleId="1026" w:customStyle="1">
    <w:name w:val="Plain Table 4"/>
    <w:uiPriority w:val="99"/>
    <w:qFormat/>
    <w:pPr>
      <w:spacing w:after="0" w:line="240" w:lineRule="auto"/>
    </w:pPr>
    <w:tblPr/>
  </w:style>
  <w:style w:type="table" w:styleId="1027" w:customStyle="1">
    <w:name w:val="List Table 3 - Accent 4"/>
    <w:uiPriority w:val="99"/>
    <w:qFormat/>
    <w:pPr>
      <w:spacing w:after="0" w:line="240" w:lineRule="auto"/>
    </w:pPr>
    <w:tblPr/>
  </w:style>
  <w:style w:type="table" w:styleId="1028" w:customStyle="1">
    <w:name w:val="Grid Table 1 Light - Accent 5"/>
    <w:uiPriority w:val="99"/>
    <w:qFormat/>
    <w:pPr>
      <w:spacing w:after="0" w:line="240" w:lineRule="auto"/>
    </w:pPr>
    <w:tblPr/>
  </w:style>
  <w:style w:type="table" w:styleId="1029" w:customStyle="1">
    <w:name w:val="Lined - Accent 1"/>
    <w:uiPriority w:val="99"/>
    <w:qFormat/>
    <w:pPr>
      <w:spacing w:after="0" w:line="240" w:lineRule="auto"/>
    </w:pPr>
    <w:rPr>
      <w:color w:val="404040"/>
    </w:rPr>
    <w:tblPr/>
  </w:style>
  <w:style w:type="table" w:styleId="1030" w:customStyle="1">
    <w:name w:val="List Table 2 - Accent 5"/>
    <w:uiPriority w:val="99"/>
    <w:qFormat/>
    <w:pPr>
      <w:spacing w:after="0" w:line="240" w:lineRule="auto"/>
    </w:pPr>
    <w:tblPr/>
  </w:style>
  <w:style w:type="table" w:styleId="1031" w:customStyle="1">
    <w:name w:val="List Table 5 Dark - Accent 6"/>
    <w:uiPriority w:val="99"/>
    <w:qFormat/>
    <w:pPr>
      <w:spacing w:after="0" w:line="240" w:lineRule="auto"/>
    </w:pPr>
    <w:tblPr/>
  </w:style>
  <w:style w:type="table" w:styleId="1032" w:customStyle="1">
    <w:name w:val="Grid Table 6 Colorful - Accent 5"/>
    <w:uiPriority w:val="99"/>
    <w:qFormat/>
    <w:pPr>
      <w:spacing w:after="0" w:line="240" w:lineRule="auto"/>
    </w:pPr>
    <w:tblPr/>
  </w:style>
  <w:style w:type="table" w:styleId="1033" w:customStyle="1">
    <w:name w:val="List Table 6 Colorful - Accent 2"/>
    <w:uiPriority w:val="99"/>
    <w:qFormat/>
    <w:pPr>
      <w:spacing w:after="0" w:line="240" w:lineRule="auto"/>
    </w:pPr>
    <w:tblPr/>
  </w:style>
  <w:style w:type="table" w:styleId="1034" w:customStyle="1">
    <w:name w:val="List Table 6 Colorful - Accent 4"/>
    <w:uiPriority w:val="99"/>
    <w:qFormat/>
    <w:pPr>
      <w:spacing w:after="0" w:line="240" w:lineRule="auto"/>
    </w:pPr>
    <w:tbl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wmf"/></Relationships>
</file>

<file path=word/_rels/header3.xml.rels><?xml version="1.0" encoding="UTF-8" standalone="yes"?><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dc:creator>
  <cp:lastModifiedBy>郭晓</cp:lastModifiedBy>
  <cp:revision>5</cp:revision>
  <dcterms:created xsi:type="dcterms:W3CDTF">2022-07-27T02:57:00Z</dcterms:created>
  <dcterms:modified xsi:type="dcterms:W3CDTF">2026-02-10T03:49:28Z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