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t xml:space="preserve"> </w:t>
      </w:r>
      <w:r>
        <w:rPr>
          <w:rFonts w:ascii="SimSun" w:hAnsi="SimSun" w:eastAsia="SimSun" w:cs="SimSun"/>
          <w:b/>
          <w:color w:val="000000"/>
          <w:sz w:val="48"/>
        </w:rPr>
        <w:t xml:space="preserve">南京市妇幼保健院莫愁路院区中央空调系统、楼宇控制系统和净化区域空调系统托管服务</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 标 文 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项目编号：JSZC-320100-JCEC-G2026-0150</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600" w:right="0" w:firstLine="0"/>
        <w:jc w:val="both"/>
        <w:spacing w:before="210" w:after="21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600" w:right="0" w:firstLine="0"/>
        <w:jc w:val="both"/>
        <w:spacing w:before="210" w:after="21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江苏省设备成套股份有限公司</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2026年05月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jc w:val="both"/>
        <w:spacing w:before="0" w:after="0"/>
        <w:tabs>
          <w:tab w:val="left" w:pos="829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1866" w:history="1">
        <w:r>
          <w:rPr>
            <w:rStyle w:val="812"/>
            <w:rFonts w:ascii="SimSun" w:hAnsi="SimSun" w:eastAsia="SimSun" w:cs="SimSun"/>
            <w:color w:val="000000"/>
            <w:sz w:val="24"/>
            <w:u w:val="single"/>
          </w:rPr>
          <w:t xml:space="preserve">第一章</w:t>
        </w:r>
        <w:r>
          <w:rPr>
            <w:rStyle w:val="812"/>
            <w:rFonts w:ascii="SimSun" w:hAnsi="SimSun" w:eastAsia="SimSun" w:cs="SimSun"/>
            <w:color w:val="000000"/>
            <w:sz w:val="24"/>
            <w:u w:val="none"/>
          </w:rPr>
          <w:t xml:space="preserve"> </w:t>
        </w:r>
        <w:r>
          <w:rPr>
            <w:rStyle w:val="812"/>
            <w:rFonts w:ascii="SimSun" w:hAnsi="SimSun" w:eastAsia="SimSun" w:cs="SimSun"/>
            <w:color w:val="000000"/>
            <w:sz w:val="24"/>
            <w:u w:val="single"/>
          </w:rPr>
          <w:t xml:space="preserve">招标公告</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7593" w:history="1">
        <w:r>
          <w:rPr>
            <w:rStyle w:val="812"/>
            <w:rFonts w:ascii="SimSun" w:hAnsi="SimSun" w:eastAsia="SimSun" w:cs="SimSun"/>
            <w:color w:val="000000"/>
            <w:sz w:val="24"/>
            <w:u w:val="single"/>
          </w:rPr>
          <w:t xml:space="preserve">第二章</w:t>
        </w:r>
        <w:r>
          <w:rPr>
            <w:rStyle w:val="812"/>
            <w:rFonts w:ascii="SimSun" w:hAnsi="SimSun" w:eastAsia="SimSun" w:cs="SimSun"/>
            <w:color w:val="000000"/>
            <w:sz w:val="24"/>
            <w:u w:val="none"/>
          </w:rPr>
          <w:t xml:space="preserve"> </w:t>
        </w:r>
        <w:r>
          <w:rPr>
            <w:rStyle w:val="812"/>
            <w:rFonts w:ascii="SimSun" w:hAnsi="SimSun" w:eastAsia="SimSun" w:cs="SimSun"/>
            <w:color w:val="000000"/>
            <w:sz w:val="24"/>
            <w:u w:val="single"/>
          </w:rPr>
          <w:t xml:space="preserve">投标人须知</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1112" w:history="1">
        <w:r>
          <w:rPr>
            <w:rStyle w:val="812"/>
            <w:rFonts w:ascii="SimSun" w:hAnsi="SimSun" w:eastAsia="SimSun" w:cs="SimSun"/>
            <w:color w:val="000000"/>
            <w:sz w:val="24"/>
            <w:u w:val="single"/>
          </w:rPr>
          <w:t xml:space="preserve">第三章</w:t>
        </w:r>
        <w:r>
          <w:rPr>
            <w:rStyle w:val="812"/>
            <w:rFonts w:ascii="SimSun" w:hAnsi="SimSun" w:eastAsia="SimSun" w:cs="SimSun"/>
            <w:color w:val="000000"/>
            <w:sz w:val="24"/>
            <w:u w:val="none"/>
          </w:rPr>
          <w:t xml:space="preserve"> </w:t>
        </w:r>
        <w:r>
          <w:rPr>
            <w:rStyle w:val="812"/>
            <w:rFonts w:ascii="SimSun" w:hAnsi="SimSun" w:eastAsia="SimSun" w:cs="SimSun"/>
            <w:color w:val="000000"/>
            <w:sz w:val="24"/>
            <w:u w:val="single"/>
          </w:rPr>
          <w:t xml:space="preserve">评标标准</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3380" w:history="1">
        <w:r>
          <w:rPr>
            <w:rStyle w:val="812"/>
            <w:rFonts w:ascii="SimSun" w:hAnsi="SimSun" w:eastAsia="SimSun" w:cs="SimSun"/>
            <w:color w:val="000000"/>
            <w:sz w:val="24"/>
            <w:u w:val="single"/>
          </w:rPr>
          <w:t xml:space="preserve">第四章</w:t>
        </w:r>
        <w:r>
          <w:rPr>
            <w:rStyle w:val="812"/>
            <w:rFonts w:ascii="SimSun" w:hAnsi="SimSun" w:eastAsia="SimSun" w:cs="SimSun"/>
            <w:color w:val="000000"/>
            <w:sz w:val="24"/>
            <w:u w:val="none"/>
          </w:rPr>
          <w:t xml:space="preserve"> </w:t>
        </w:r>
        <w:r>
          <w:rPr>
            <w:rStyle w:val="812"/>
            <w:rFonts w:ascii="SimSun" w:hAnsi="SimSun" w:eastAsia="SimSun" w:cs="SimSun"/>
            <w:color w:val="000000"/>
            <w:sz w:val="24"/>
            <w:u w:val="single"/>
          </w:rPr>
          <w:t xml:space="preserve">采购需求</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5239" w:history="1">
        <w:r>
          <w:rPr>
            <w:rStyle w:val="812"/>
            <w:rFonts w:ascii="SimSun" w:hAnsi="SimSun" w:eastAsia="SimSun" w:cs="SimSun"/>
            <w:color w:val="000000"/>
            <w:sz w:val="24"/>
            <w:u w:val="single"/>
          </w:rPr>
          <w:t xml:space="preserve">第五章</w:t>
        </w:r>
        <w:r>
          <w:rPr>
            <w:rStyle w:val="812"/>
            <w:rFonts w:ascii="SimSun" w:hAnsi="SimSun" w:eastAsia="SimSun" w:cs="SimSun"/>
            <w:color w:val="000000"/>
            <w:sz w:val="24"/>
            <w:u w:val="none"/>
          </w:rPr>
          <w:t xml:space="preserve"> </w:t>
        </w:r>
        <w:r>
          <w:rPr>
            <w:rStyle w:val="812"/>
            <w:rFonts w:ascii="SimSun" w:hAnsi="SimSun" w:eastAsia="SimSun" w:cs="SimSun"/>
            <w:color w:val="000000"/>
            <w:sz w:val="24"/>
            <w:u w:val="single"/>
          </w:rPr>
          <w:t xml:space="preserve">合同主要条款及格式</w:t>
          <w:tab/>
        </w:r>
      </w:hyperlink>
      <w:r/>
      <w:r/>
    </w:p>
    <w:p>
      <w:pPr>
        <w:ind w:left="0" w:right="0" w:firstLine="0"/>
        <w:jc w:val="both"/>
        <w:spacing w:before="0" w:after="0" w:line="113" w:lineRule="atLeast"/>
        <w:tabs>
          <w:tab w:val="left" w:pos="8506"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6328" w:history="1">
        <w:r>
          <w:rPr>
            <w:rStyle w:val="812"/>
            <w:rFonts w:ascii="SimSun" w:hAnsi="SimSun" w:eastAsia="SimSun" w:cs="SimSun"/>
            <w:color w:val="000000"/>
            <w:sz w:val="24"/>
            <w:u w:val="single"/>
          </w:rPr>
          <w:t xml:space="preserve">第六章</w:t>
        </w:r>
        <w:r>
          <w:rPr>
            <w:rStyle w:val="812"/>
            <w:rFonts w:ascii="SimSun" w:hAnsi="SimSun" w:eastAsia="SimSun" w:cs="SimSun"/>
            <w:color w:val="000000"/>
            <w:sz w:val="24"/>
            <w:u w:val="none"/>
          </w:rPr>
          <w:t xml:space="preserve"> </w:t>
        </w:r>
        <w:r>
          <w:rPr>
            <w:rStyle w:val="812"/>
            <w:rFonts w:ascii="SimSun" w:hAnsi="SimSun" w:eastAsia="SimSun" w:cs="SimSun"/>
            <w:color w:val="000000"/>
            <w:sz w:val="24"/>
            <w:u w:val="single"/>
          </w:rPr>
          <w:t xml:space="preserve">投标文件格式及附件</w:t>
          <w:tab/>
        </w:r>
      </w:hyperlink>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sz w:val="32"/>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  </w:t>
      </w:r>
      <w:r>
        <w:rPr>
          <w:rFonts w:ascii="SimSun" w:hAnsi="SimSun" w:eastAsia="SimSun" w:cs="SimSun"/>
          <w:b/>
          <w:color w:val="000000"/>
          <w:sz w:val="32"/>
        </w:rPr>
        <w:t xml:space="preserve">招标公告</w:t>
      </w:r>
      <w:r/>
    </w:p>
    <w:p>
      <w:pPr>
        <w:ind w:left="0" w:right="0" w:firstLine="369"/>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项目概况</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南京市妇幼保健院莫愁路院区中央空调系统、楼宇控制系统和净化区域空调系统托管服务</w:t>
      </w:r>
      <w:r>
        <w:rPr>
          <w:rFonts w:ascii="SimSun" w:hAnsi="SimSun" w:eastAsia="SimSun" w:cs="SimSun"/>
          <w:color w:val="000000"/>
          <w:spacing w:val="8"/>
          <w:sz w:val="21"/>
        </w:rPr>
        <w:t xml:space="preserve">的潜在投标人应在</w:t>
      </w:r>
      <w:r>
        <w:rPr>
          <w:rFonts w:ascii="SimSun" w:hAnsi="SimSun" w:eastAsia="SimSun" w:cs="SimSun"/>
          <w:color w:val="000000"/>
          <w:sz w:val="21"/>
          <w:u w:val="single"/>
        </w:rPr>
        <w:t xml:space="preserve">江苏政府采购网</w:t>
      </w:r>
      <w:r>
        <w:rPr>
          <w:rFonts w:ascii="SimSun" w:hAnsi="SimSun" w:eastAsia="SimSun" w:cs="SimSun"/>
          <w:color w:val="000000"/>
          <w:spacing w:val="8"/>
          <w:sz w:val="21"/>
        </w:rPr>
        <w:t xml:space="preserve">获取招标文件，并于2026年6月18日14点30分（北京时间）前递交投标文件。</w:t>
      </w:r>
      <w:r/>
    </w:p>
    <w:p>
      <w:pPr>
        <w:ind w:left="0" w:right="0" w:firstLine="369"/>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 </w:t>
      </w:r>
      <w:r>
        <w:rPr>
          <w:rFonts w:ascii="SimSun" w:hAnsi="SimSun" w:eastAsia="SimSun" w:cs="SimSun"/>
          <w:b/>
          <w:color w:val="000000"/>
          <w:spacing w:val="8"/>
          <w:sz w:val="24"/>
        </w:rPr>
        <w:t xml:space="preserve">一、项目基本情况</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1.1项目编号：JSZC-320100-JCEC-G2026-0150</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1.2项目名称：南京市妇幼保健院莫愁路院区中央空调系统、楼宇控制系统和净化区域空调系统托管服务</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1.3预算金额：899.7万元/3年（299.9万元/年）</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1.4最高限价：899.7万元/3年（299.9万元/年） </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1.5采购需求：南京市妇幼保健院莫愁路院区中央空调系统、楼宇控制系统和净化区域空调系统托管服务。技术参数详见招标文件。</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1.6合同履行期限：服务期叁年，合同一年一签，合同每年度服务期满，甲方将对乙方服务情况组织考核，在考核合格基础上，双方可根据相关法律及文件规定要求续签合同。本合同最多可以续签2次。</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1.8本项目标的所属行业：其他未列明行业。</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1.9本项目（非专门）面向中小企业（或监狱企业或残疾人福利性单位）采购。</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1.10本项目（否）接受联合体投标。</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2.1满足《中华人民共和国政府采购法》第二十二条规定：</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（1）符合《中华人民共和国政府采购法》第二十二条规定，提供《南京市政府采购供应商信用记录表暨信用承诺书》。不适用信用承诺的，应按政府采购信用承诺要求提供证明材料。</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2.2落实政府采购政策需满足的资格要求：无。</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2.3</w:t>
      </w:r>
      <w:r>
        <w:rPr>
          <w:rFonts w:ascii="SimSun" w:hAnsi="SimSun" w:eastAsia="SimSun" w:cs="SimSun"/>
          <w:b/>
          <w:color w:val="000000"/>
          <w:sz w:val="21"/>
        </w:rPr>
        <w:t xml:space="preserve">采购人根据采购项目的特殊要求规定的特定条件，并提供符合特殊要求的证明材料或者情况说明：无。</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2.4拒绝下述供应商参加本次招标活动：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（1）单位负责人为同一人或者存在直接控股、管理关系的不同供应商，不得参加同一合同项下的政府采购活动。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（2）为采购项目提供整体设计、规范编制或者项目管理、监理、检测等服务的供应商，不得参加本项目的采购活动。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（3）供应商被“信用中国”网站（www.creditchina.gov.cn）、“中国政府采购网”(www.ccgp.gov.cn)列入失信被执行人、重大税收违法案件当事人名单、政府采购严重违法失信行为记录名单。</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三、获取招标文件</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3.1时间：自本项目招标公告发布之日起至2026年6月4日17时30分（北京时间）。</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3.2地点：江苏政府采购网</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3.3方式：本项目采用网上注册登记方式免费获取</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四、提交投标文件截止时间、开标时间和地点</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4.1 2026年6月18日14点30分（北京时间）</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4.2 提交投标文件地点：江苏省政府采购管理交易系统（苏采云）（以下简称“苏采云”）（网址：</w:t>
      </w:r>
      <w:hyperlink r:id="rId15" w:tooltip="http://jszfcg.jsczt.cn/%EF%BC%89" w:history="1">
        <w:r>
          <w:rPr>
            <w:rStyle w:val="812"/>
            <w:rFonts w:ascii="SimSun" w:hAnsi="SimSun" w:eastAsia="SimSun" w:cs="SimSun"/>
            <w:color w:val="000000"/>
            <w:spacing w:val="8"/>
            <w:sz w:val="21"/>
            <w:u w:val="single"/>
          </w:rPr>
          <w:t xml:space="preserve">http://jszfcg.jsczt.cn/）</w:t>
        </w:r>
      </w:hyperlink>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4.3开标地点：“苏采云”开标大厅</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五、公告期限</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自本公告发布之日起5个工作日。</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六、其他补充事宜</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6.1本项目在南京公共采购信息网、江苏政府采购网、中国政府采购网网站发布公告。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6.2投标人通过“苏采云”（网址：</w:t>
      </w:r>
      <w:hyperlink r:id="rId16" w:tooltip="http://jszfcg.jsczt.cn/%EF%BC%89%E5%8F%82%E4%B8%8E%E6%94%BF%E5%BA%9C%E9%87%87%E8%B4%AD%E9%A1%B9%E7%9B%AE%EF%BC%8C%E9%9C%80%E8%A6%81%E5%8A%9E%E7%90%86%E6%B1%9F%E8%8B%8F%E7%9C%81%E6%94%BF%E5%BA%9C%E9%87%87%E8%B4%AD%E6%95%B0%E5%AD%97%E8%AF%81%E4%B9%A6%E5%8F%8A%E7%94%B5%E5%AD%90%E7%AD%BE%E7%AB%A0%E7%9A%84%EF%BC%8C%E8%AF%A6%E8%A7%81%E8%8B%8F%E9%87%87%E4%BA%91%E5%AE%98%E7%BD%91%E9%A6%96%E9%A1%B5" w:history="1">
        <w:r>
          <w:rPr>
            <w:rStyle w:val="812"/>
            <w:rFonts w:ascii="SimSun" w:hAnsi="SimSun" w:eastAsia="SimSun" w:cs="SimSun"/>
            <w:color w:val="000000"/>
            <w:sz w:val="21"/>
            <w:u w:val="single"/>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hyperlink>
      <w:r/>
      <w:r/>
    </w:p>
    <w:p>
      <w:pPr>
        <w:ind w:left="0" w:right="0" w:firstLine="363"/>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操作手册下载地址：</w:t>
      </w:r>
      <w:hyperlink r:id="rId17" w:tooltip="http://www.ccgp-jiangsu.gov.cn/jiangsu/zlxz/ee/ee3a4bc5a3454aa2b0d9312230633ce9.html" w:history="1">
        <w:r>
          <w:rPr>
            <w:rStyle w:val="812"/>
            <w:rFonts w:ascii="SimSun" w:hAnsi="SimSun" w:eastAsia="SimSun" w:cs="SimSun"/>
            <w:color w:val="000000"/>
            <w:sz w:val="21"/>
            <w:u w:val="single"/>
          </w:rPr>
          <w:t xml:space="preserve">http://www.ccgp-jiangsu.gov.cn/jiangsu/zlxz/ee/ee3a4bc5a3454aa2b0d9312230633ce9.html</w:t>
        </w:r>
      </w:hyperlink>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首次登录“苏采云”系统的新用户，登录网址后，点击“用户注册”--“新CA办理指南”--获取CA后绑定、登录系统--采购项目参与--下载采购文件（文件后缀名为“.kedt”）。</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“苏采云”南京地区客服热线025-83633744、025-83633743。</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有关本次招标的事项若存在变动或修改，请及时关注“江苏政府采购网”（www.ccgp-jiangsu.gov.cn）更正公告。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勘查现场：是，勘查要求详见招标文件。</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w:t>
      </w:r>
      <w:r>
        <w:rPr>
          <w:rFonts w:ascii="SimSun" w:hAnsi="SimSun" w:eastAsia="SimSun" w:cs="SimSun"/>
          <w:b/>
          <w:color w:val="000000"/>
          <w:sz w:val="21"/>
        </w:rPr>
        <w:t xml:space="preserve">投标文件的解密</w:t>
      </w:r>
      <w:r>
        <w:rPr>
          <w:rFonts w:ascii="SimSun" w:hAnsi="SimSun" w:eastAsia="SimSun" w:cs="SimSun"/>
          <w:color w:val="000000"/>
          <w:sz w:val="21"/>
        </w:rPr>
        <w:t xml:space="preserve">：开标当天各投标人及时登录不见面开标大厅，投标文件递交截止时间后，采购人将在系统内公布投标人名单，然后通过开标会议区发出投标文件解密的指令，投标人在开标室按规定时间自行实施远程解密，</w:t>
      </w:r>
      <w:r>
        <w:rPr>
          <w:rFonts w:ascii="SimSun" w:hAnsi="SimSun" w:eastAsia="SimSun" w:cs="SimSun"/>
          <w:b/>
          <w:color w:val="000000"/>
          <w:sz w:val="21"/>
        </w:rPr>
        <w:t xml:space="preserve">投标人解密限定在开标后30分钟之内完成</w:t>
      </w:r>
      <w:r>
        <w:rPr>
          <w:rFonts w:ascii="SimSun" w:hAnsi="SimSun" w:eastAsia="SimSun" w:cs="SimSun"/>
          <w:color w:val="000000"/>
          <w:sz w:val="21"/>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6.5供应商诚信档案管理</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w:t>
      </w:r>
      <w:r>
        <w:rPr>
          <w:rFonts w:ascii="SimSun" w:hAnsi="SimSun" w:eastAsia="SimSun" w:cs="SimSun"/>
          <w:color w:val="000000"/>
          <w:sz w:val="22"/>
          <w:highlight w:val="white"/>
        </w:rPr>
        <w:t xml:space="preserve">1C8EC1E5）登录（未注册的供应商应先点击“供应商注册点这里”并按要求完成注册），然后在“信用记录”模块页面点击“信用记录打印”下载本单位《南京市政府采购供应商信用记录表暨信用承诺书》，由法定代表人签字并加盖单位公章，随投标文件一并递交。</w:t>
      </w:r>
      <w:r>
        <w:rPr>
          <w:rFonts w:ascii="SimSun" w:hAnsi="SimSun" w:eastAsia="SimSun" w:cs="SimSun"/>
          <w:b/>
          <w:color w:val="000000"/>
          <w:sz w:val="22"/>
          <w:highlight w:val="white"/>
        </w:rPr>
        <w:t xml:space="preserve">未按要求提供《南京市政府采购供应商信用记录表暨信用承诺书》则该供应商投标文件按无效投标处理。</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在政府采购资格审查环节，供应商只需提供书面《南京市政府采购供应商信用记录表暨信用承诺书》，即可替代以下证明材料：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符合国家相关规定的财务状况报告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依法缴纳税收的证明材料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依法缴纳社会保障资金的证明材料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具备履行政府采购合同所必需的设备和专业技术能力的证明材料；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参加政府采购活动前三年内在经营活动中没有重大违法记录的证明材料；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未被列入失信被执行人、重大税收违法失信主体、政府采购严重违法失信行为记录名单的证明材料。</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根据宁财购通[2021]5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供应商涉及以下情形的，不适用信用承诺：</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供应商被列入严重失信主体名单；</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被相关监管部门做出行政处罚且尚在处罚有效期内；</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被其他法律、行政法规规定的不适用信用承诺的情形。</w:t>
      </w:r>
      <w:r/>
    </w:p>
    <w:p>
      <w:pPr>
        <w:ind w:left="0" w:right="0" w:firstLine="365"/>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highlight w:val="white"/>
        </w:rPr>
        <w:t xml:space="preserve">供应商对信用承诺内容的真实性、合法性、有效性负责。如作出虚假信用承诺，视同为“提供虚假材料谋取中标、成交”的违法行为。</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七、对本次招标提出询问，请按以下方式联系</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7.1采购人信息</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 称：南京市妇幼保健院</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地址：南京市莫愁路天妃巷123号</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联系方式：吴老师 025-52226106</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7.2采购代理机构信息</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 称： 江苏省设备成套股份有限公司</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　址：南京市鼓楼区清江南路18号鼓楼创新广场D栋1004室</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联系方式：钮驰，徐云飞13770552830，13951080552</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电子邮箱：114778553@qq.com</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7.3项目联系方式</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项目联系人：钮驰，徐云飞</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　话：13770552830，13951080552 </w:t>
      </w:r>
      <w:r/>
    </w:p>
    <w:p>
      <w:pPr>
        <w:ind w:left="0" w:right="0" w:firstLine="452"/>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 </w:t>
      </w:r>
      <w:r>
        <w:rPr>
          <w:rFonts w:ascii="SimSun" w:hAnsi="SimSun" w:eastAsia="SimSun" w:cs="SimSun"/>
          <w:b/>
          <w:color w:val="000000"/>
          <w:sz w:val="32"/>
          <w:u w:val="none"/>
        </w:rPr>
        <w:t xml:space="preserve">投标人须知</w:t>
      </w:r>
      <w:r/>
    </w:p>
    <w:p>
      <w:pPr>
        <w:ind w:left="0" w:right="0" w:firstLine="42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 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2.1“采购人”是指依法进行政府采购的国家机关、事业单位、团体组织。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2.2“投标人（供应商）”是指参加投标竞争，并符合招标文件规定资格条件的法人、其他组织或者自然人。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2.3“采购代理机构”是指集中采购机构和集中采购机构以外的采购代理机构，集中采购机构以外的采购代理机构，是从事采购代理业务的社会中介机构。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2.4“货物和服务”指本招标文件中所述产品及相关服务。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2.5“用户或使用单位”是指使用货物，接受服务的单位。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3.6进口产品政策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（1）除招标公告载明接受进口产品参加外，不允许进口产品参加。进口产品认定依照《财政部关于政府采购进口产品管理有关问题的通知》（财办库〔2008〕248号）的规定。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（3）允许进口产品参加的，优先采购向我国企业转让技术、与我国企业签订消化吸收再创新方案的投标人的进口产品。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3.7未按要求提供相关材料的，不享受相关政策。</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4、招标文件组成</w:t>
      </w:r>
      <w:r/>
    </w:p>
    <w:p>
      <w:pPr>
        <w:ind w:left="0" w:right="0" w:firstLine="363"/>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4.1招标文件包括以下主要内容：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（1）招标公告；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（2）投标人须知；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（3）评标标准；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（4）采购需求；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（5）合同主要条款及格式；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（6）投标文件格式及附件。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如标书制作工具中格式和内容与“南京公共采购信息网/江苏政府采购网/中国政府采购网”发布的招标文件不一致的，以上述网站发布的招标文件为准。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招标的最小单位是标段。招标货物数量及技术要求中未分标段的，投标人对要求提供的货物和服务不得部分投标；招标货物数量及技术要求中已经分标段的，可以以标段为单位投标。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采购代理机构如果要求投标人按照招标文件规定提交备选投标方案的，投标人可以提交备选方案；否则，备选方案将被拒绝。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4.4招标文件中要求的产品品牌或型号，是采购人根据项目所要实现的功能推荐的品牌或型号，仅供投标人参考，并不是限制条件。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6、投标文件的语言、计量单位、货币和编制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6.2投标人所使用的计量单位应为国家法定计量单位。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6.3投标人应用人民币报价。投标产品如果是进口产品的，应提供人民币与</w:t>
      </w:r>
      <w:r>
        <w:rPr>
          <w:rFonts w:ascii="SimSun" w:hAnsi="SimSun" w:eastAsia="SimSun" w:cs="SimSun"/>
          <w:b/>
          <w:color w:val="000000"/>
          <w:sz w:val="21"/>
        </w:rPr>
        <w:t xml:space="preserve">外币之间的汇率。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6.4投标文件应按照招标文件的规定编写并制作目录。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6.5投标人应在投标文件中写清相应的项目编号、项目名称、投标人全称、地址、电话、传真等。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6.6投标人根据招标文件载明的标的采购项目实际情况，拟在中标后将中标项目的非主体、非关键性工作交由他人完成的，应当在投标文件中载明。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7、联合体投标（如有）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两个以上的自然人、法人或者其他组织可以组成一个联合体，以一个投标人的身份共同参加政府采购。</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联合体中有同类资质的投标人按照联合体分工承担相同工作的，按照资质等级较低的投标人确定资质等级。</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联合体各方之间应当签订联合体协议，明确约定联合体各方承担的工作和相应的责任，并将联合体协议连同投标文件一同提交。</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以联合体形式参加政府采购活动的，联合体各方不得再单独参加或者与其他投标人另外组成联合体参加同一合同项下的政府采购活动。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8、投标文件的组成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投标人应当根据招标文件要求编制投标文件，投标文件应对招标文件提出的要求和条件作出实质性响应，并在《商务条款偏离表》和《采购需求偏离表》等处逐条标明满足与否。</w:t>
      </w:r>
      <w:r>
        <w:rPr>
          <w:rFonts w:ascii="SimSun" w:hAnsi="SimSun" w:eastAsia="SimSun" w:cs="SimSun"/>
          <w:b/>
          <w:color w:val="000000"/>
          <w:sz w:val="21"/>
        </w:rPr>
        <w:t xml:space="preserve">对带星号（“*”）的技术条款必须在投标文件中提供技术支持资料（如白皮书、彩页、手册、检测报告等），未提供技术支持资料的，视为未对招标文件实质性要求作出响应，评审时不予认可。</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投标文件由商务、技术、价格以及其他部分内容组成。投标文件目录及有关格式按招标文件“第六章 投标文件格式及附件”的要求编制。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9、投标文件的商务内容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商务部分内容是证明投标人有资格参加投标和中标后有能力履行合同的文件，这些文件应能满足招标的要求，包括但不限于下列文件（</w:t>
      </w:r>
      <w:r>
        <w:rPr>
          <w:rFonts w:ascii="SimSun" w:hAnsi="SimSun" w:eastAsia="SimSun" w:cs="SimSun"/>
          <w:b/>
          <w:color w:val="000000"/>
          <w:sz w:val="21"/>
        </w:rPr>
        <w:t xml:space="preserve">（1）-（6）所述材料不得有缺失或提供不全或不满足招标文件的实质性要求</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（1）投标函（投标申请及声明）（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（2）法人授权书（格式见第六章）；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（3）投标人资格资信证明文件：</w:t>
      </w:r>
      <w:r/>
    </w:p>
    <w:p>
      <w:pPr>
        <w:numPr>
          <w:ilvl w:val="1"/>
          <w:numId w:val="1"/>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2.1《中华人民共和国政府采购法》规定的资格条件证明文件；</w:t>
      </w:r>
      <w:r/>
    </w:p>
    <w:p>
      <w:pPr>
        <w:numPr>
          <w:ilvl w:val="1"/>
          <w:numId w:val="1"/>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2.2</w:t>
      </w:r>
      <w:r>
        <w:rPr>
          <w:rFonts w:ascii="SimSun" w:hAnsi="SimSun" w:eastAsia="SimSun" w:cs="SimSun"/>
          <w:color w:val="000000"/>
          <w:spacing w:val="8"/>
          <w:sz w:val="21"/>
        </w:rPr>
        <w:t xml:space="preserve">落实政府采购政策需满足的资格要求；</w:t>
      </w:r>
      <w:r/>
    </w:p>
    <w:p>
      <w:pPr>
        <w:numPr>
          <w:ilvl w:val="1"/>
          <w:numId w:val="1"/>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2.3 采购人根据采购项目的特殊要求规定的特定条件证明文件。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（4）开标一览表及附表（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（5）投标人缴纳投标保证金凭证（不需要）；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（6）《南京市政府采购供应商信用记录表暨信用承诺书》</w:t>
      </w:r>
      <w:r>
        <w:rPr>
          <w:rFonts w:ascii="SimSun" w:hAnsi="SimSun" w:eastAsia="SimSun" w:cs="SimSun"/>
          <w:b/>
          <w:color w:val="000000"/>
          <w:sz w:val="21"/>
        </w:rPr>
        <w:t xml:space="preserve">（如招标公告中要求提供）；</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（7）《商务条款偏离表》；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（8）第三章评标标准中对应的所需证明材料（如有自行添加）；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（9）要求采购人提供的配合（如有自拟并自行添加）；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（10）其他（投标人认为有必要提供的声明和文件，如有，自行拟定并添加）。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10、投标文件的技术内容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内容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（1）技术说明或服务方案；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（2）《采购需求偏离表》；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（4）投标人拟投入本项目的设备、人员情况一览表；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（5）投标人认为需要提供的其他技术资料。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11、投标文件的价格内容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11.1价格部分内容是对采购标的价格构成的说明，招标文件如无特别说明，每一项货物及服务仅接受一个价格。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11.2报价应包含本次招标标的有关的所有费用，以及技术资料、支付给员工的工资和国家强制缴纳的各种社会保障资金，以及投标人认为需要的其他费用等</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11.3投标人的任何错漏、优惠、竞争性报价不得作为减轻责任、减少服务、增加收费、降低质量的理由。</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SimSun" w:hAnsi="SimSun" w:eastAsia="SimSun" w:cs="SimSun"/>
          <w:b/>
          <w:color w:val="000000"/>
          <w:sz w:val="21"/>
        </w:rPr>
        <w:t xml:space="preserve">无效投标处理</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 投标人应在《开标一览表》《分项报价表》等标明投标货物和服务的单价、总价以及分项报价等。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11.6对于采用货币报价的项目，开标一览表中的投标总报价应与投标报价明细表中的投标总报价一致，如不一致不作为无效投标处理，评标时以开标一览表中价格为准。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11.7本项目预算为：详见第一章</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12、投标文件的其他部分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其他部分由投标人根据编制投标文件需要提供的其他相关文件组成。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13、投标保证金：/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自开标之日起</w:t>
      </w:r>
      <w:r>
        <w:rPr>
          <w:rFonts w:ascii="SimSun" w:hAnsi="SimSun" w:eastAsia="SimSun" w:cs="SimSun"/>
          <w:b/>
          <w:color w:val="000000"/>
          <w:sz w:val="21"/>
        </w:rPr>
        <w:t xml:space="preserve">90</w:t>
      </w:r>
      <w:r>
        <w:rPr>
          <w:rFonts w:ascii="SimSun" w:hAnsi="SimSun" w:eastAsia="SimSun" w:cs="SimSun"/>
          <w:color w:val="000000"/>
          <w:sz w:val="21"/>
        </w:rPr>
        <w:t xml:space="preserve">天内投标有效</w:t>
      </w:r>
      <w:r>
        <w:rPr>
          <w:rFonts w:ascii="SimSun" w:hAnsi="SimSun" w:eastAsia="SimSun" w:cs="SimSun"/>
          <w:b/>
          <w:color w:val="000000"/>
          <w:sz w:val="21"/>
        </w:rPr>
        <w:t xml:space="preserve">，投标有效期从提交投标文件的截止之日起算。投标文件中承诺的投标有效期应当不少于招标文件中载明的投标有效期。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特殊情况下，在原投标有效期截止之前，招标代理机构可要求投标人同意延长投标有效期，这种要求与答复均应以书面形式提交。接受延长投标有效期的投标人将不会要求和允许修正其投标。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15、投标文件签署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投标文件应按照招标文件要求加盖电子公章，否则视为无效投标。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投标人应承担所有与准备和参加投标有关的费用，无论招标结果如何，采购代理机构和采购人在任何情况下均无义务和责任承担这些费用。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招标代理服务费：本次招标，中标人按《招标代理服务收费管理暂行办法》（国家发展计划委员会计价格[2002]1980号）代理服务招标收费基准费率的</w:t>
      </w:r>
      <w:r>
        <w:rPr>
          <w:rFonts w:ascii="SimSun" w:hAnsi="SimSun" w:eastAsia="SimSun" w:cs="SimSun"/>
          <w:color w:val="000000"/>
          <w:sz w:val="21"/>
          <w:u w:val="single"/>
        </w:rPr>
        <w:t xml:space="preserve"> 80% </w:t>
      </w:r>
      <w:r>
        <w:rPr>
          <w:rFonts w:ascii="SimSun" w:hAnsi="SimSun" w:eastAsia="SimSun" w:cs="SimSun"/>
          <w:color w:val="000000"/>
          <w:sz w:val="21"/>
        </w:rPr>
        <w:t xml:space="preserve">向招标代理机构支付招标服务费。本项费用无需在《报价一览表》中单列。</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17、投标文件的密封和递交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投标人应当按照《操作手册》规定，在招标公告规定的投标截止时间前制作并上传电子投标文件。招标代理机构拒绝接收提交投标文件截止时间后上传的任何电子投标文件。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投标人应当按照《操作手册》规定，在“苏采云”系统规定的时间内对响应文件进行解密</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 中标人在中标后递交2份投标文件，必须保持和苏采云上传的投标文件一致，按照A4幅面打印或复印并进行装订，如有资料超过A4幅面折叠成A4幅面；投标文件装订采用胶装的形式。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18、有下列情形的投标文件将被拒收：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投标人应当按照《操作手册》规定，在“苏采云”系统规定的时间内对投标文件进行解密。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18.2投标人应充分考虑网络环境、网络带宽等因素可能对投标产生的影响，如因投标人自身原因造成的电子投标文件解密不成功的，做无效投标处理。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19、投标文件的修改和撤回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投标截止时间之后，投标文件不得撤回。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20、诚实信用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20.1投标人应当遵循公平竞争的原则，不得恶意串通，不得妨碍其他投标人的竞争行为，不得损害采购人或者其他投标人的合法权益。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20.2在评标过程中发现投标人有上述情形的，评标委员会应当认定其投标无效，并书面报告本级财政部门。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五、开标、评标与定标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投标人在开标过程中涉及到的投标文件解密、开标结果确认等工作，应按照《操作手册》规定执行。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21.3投标人不足3家的，不得开标。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 投标人如果对开标过程和开标结果有疑义，应当根据《操作手册》规定提出，“苏采云”系统中《开标记录表》公布后5分钟内未提出的，视同认可开标结果。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21.5公开招标数额标准以上的采购项目，投标截止后投标人不足3家或者通过资格审查或符合性审查的投标人不足3家的，除采购任务取消情形外，按照以下方式处理：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（1）招标文件存在不合理条款或者招标程序不符合规定的，采购人、采购代理机构改正后依法重新招标；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（2）招标文件没有不合理条款、招标程序符合规定，需要采用其他采购方式采购的，采购人依法报财政部门批准，经批准后，可变更为其他采购方式采购。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22、评标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 评标委员会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22.1.1</w:t>
      </w:r>
      <w:r>
        <w:rPr>
          <w:rFonts w:ascii="SimSun" w:hAnsi="SimSun" w:eastAsia="SimSun" w:cs="SimSun"/>
          <w:color w:val="000000"/>
          <w:sz w:val="21"/>
        </w:rPr>
        <w:t xml:space="preserve">评标委员会负责具体评标事务，并独立履行下列职责：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（一）审查、评价投标文件是否符合招标文件的商务、技术等实质性要求；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（二）要求投标人对投标文件有关事项作出澄清或者说明；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（三）对投标文件进行比较和评价；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（四）确定中标候选人名单，以及根据采购人委托直接确定中标人；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（五）向采购人、采购代理机构或者有关部门报告评标中发现的违法行为。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22.1.2 </w:t>
      </w:r>
      <w:r>
        <w:rPr>
          <w:rFonts w:ascii="SimSun" w:hAnsi="SimSun" w:eastAsia="SimSun" w:cs="SimSun"/>
          <w:color w:val="000000"/>
          <w:sz w:val="21"/>
        </w:rPr>
        <w:t xml:space="preserve">评标委员会由采购人代表和有关技术、经济等方面的专家组成，独立开展评审工作。</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  评标程序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22.2.1 投标文件的资格性检查。</w:t>
      </w:r>
      <w:r>
        <w:rPr>
          <w:rFonts w:ascii="SimSun" w:hAnsi="SimSun" w:eastAsia="SimSun" w:cs="SimSun"/>
          <w:color w:val="000000"/>
          <w:sz w:val="21"/>
        </w:rPr>
        <w:t xml:space="preserve">公开招标采购项目开标结束后，采购人或者采购代理机构应当依法对投标人的资格进行审查。合格投标人不足3家的，不得评标。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（1）投标人在“苏采云”系统规定的时间内未成功解密电子投标文件的；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（2）投标人未按照招标文件要求上传电子投标文件的；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（3）同一投标人提交两个（含两个）以上不同的投标报价的；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（4）投标文件未按照招标文件要求加盖电子公章的；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（5）不具备招标文件中规定的资格要求的；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（6）报价超过招标文件中规定的预算金额或者最高限价的；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（7）投标文件含有采购人不能接受的附加条件的；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（8）投标文件内容不全或不符合招标文件中规定的其他实质性要求的；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（9）现行法律、法规、规章和招标文件规定的其他无效情形。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22.2.2.2未通过资格审查或符合性审查的投标人，代理机构将通过“苏采云”系统告知其具体原因，评标结束后不再接受有关询问。</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22.2.2.3有下列情形之一的予以废标：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（1）符合专业条件的投标人或者对招标文件作实质性响应的投标人不足三家的；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（3）投标人的报价均超过了采购预算，采购人不能支付的；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（4）因苏采云系统故障造成开标不成功的；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（5）因重大变故，采购任务取消的。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（6）投标人以明显低于其他通过符合性审查投标人的报价，有可能影响产品质量或者不能诚信履约的，且不能证明其报价合理性的。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w:t>
      </w:r>
      <w:r>
        <w:rPr>
          <w:rFonts w:ascii="SimSun" w:hAnsi="SimSun" w:eastAsia="SimSun" w:cs="SimSun"/>
          <w:b/>
          <w:color w:val="000000"/>
          <w:sz w:val="21"/>
        </w:rPr>
        <w:t xml:space="preserve">澄清有关问题</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22.2.3.1 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投标人的澄清、说明或者补正不得超出投标文件的范围或者改变投标文件的实质性内容。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评委会并非对每个投标人都做澄清要求。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22.2.3.3 接到评委会澄清、说明和补正要求的，投标人如未按规定作出澄清、说明和补正，其风险由投标人自行承担。投标文件报价出现前后不一致的，除招标文件另有规定外，按照下列规定修正：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（1）投标文件中开标一览表（报价表）内容与投标文件中相应内容不一致的，以开标一览表（报价表）为准；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（2）大写金额和小写金额不一致的，以大写金额为准；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（3）单价金额小数点或者百分比有明显错位的，以开标一览表的总价为准，并修改单价；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（4）总价金额与按单价汇总金额不一致的，以单价金额计算结果为准。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22.2.3.4评标委员会认为投标人的报价明显低于其他通过符合性审查投标人的报价，有可能影响产品质量或者不能诚信履约的，将要求其在评标现场合理的时间内提供书面说明，必要时提交相关证明材料；</w:t>
      </w:r>
      <w:r>
        <w:rPr>
          <w:rFonts w:ascii="SimSun" w:hAnsi="SimSun" w:eastAsia="SimSun" w:cs="SimSun"/>
          <w:b/>
          <w:color w:val="000000"/>
          <w:sz w:val="21"/>
        </w:rPr>
        <w:t xml:space="preserve">投标人不能证明其报价合理性的，评标委员会将其作为无效投标处理。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22.2.3.5投标人在开、评标全过程中应保持通信畅通，及时登录苏采云系统查阅、答复相关信息，并安排专人与代理机构及评委会联系。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22.2.4比较与评价。评标委员会应当按照招标文件中规定的评标方法和标准，对符合性审查合格的投标文件进行商务和技术评估，综合比较与评价。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22.2.5相同品牌产品的投标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非单一产品采购项目，确定核心产品的方法在招标文件技术需求中载明。多家投标人提供的核心产品品牌相同的，按前两款规定处理。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 评标方法和标准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22.3.1评标方法分为最低评标价法和综合评分法。本次招标的评标方法和标准，详见本招标文件第三章。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22.3.2最低评标价法，是指投标文件满足招标文件全部实质性要求，且投标报价最低的投标人为中标候选人的评标方法。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采用最低评标价法评标时，除了算术修正和落实政府采购政策需进行的价格扣除外，不对投标人的投标价格进行任何调整。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22.3.3综合评分法，是指投标文件满足招标文件全部实质性要求，且按照评审因素的量化指标评审得分最高的投标人为中标候选人的评标方法。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评审因素，包括价格、技术、商务等。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评标时，评标委员会各成员应当独立对每个投标人的投标文件进行评价，并汇总每个投标人的得分。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价格分采用低价优先法计算，即满足招标文件要求且投标价格最低的投标报价为评标基准价，其价格分为满分。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评标总得分＝F1×A1＋F2×A2＋……＋Fn×An</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F1、F2……Fn分别为各项评审因素的得分；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A1、A2、……An 分别为各项评审因素所占的权重(A1＋A2＋……＋An＝1)。</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因落实政府采购政策进行价格调整的，以调整后的价格计算评标基准价和投标报价。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22.4评标委员会启动异常低价投标审查的情形和具体要求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22.4.1参照政府采购货物和服务招标投标管理办法（财政部令第87号）、《关于推动解决政府采购异常低价问题的通知》（财库〔2026〕2号）：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1、评标过程中出现下列情形之一的，评标委员会应当启动异常低价投标审查程序：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（1）投标报价低于全部通过符合性审查投标人投标报价平均值50%的，即投标报价&lt;全部通过符合性审查投标人投标报价平均值×50%；</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（2）投标报价低于通过符合性审查的次低报价投标人投标报价50%的，即投标报价&lt;通过符合性审查的次低报价投标人投标报价×50%；</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（3）投标报价低于本项目最高限价45%的，即投标报价&lt;本项目最高限价×45%；</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（4）评标委员会基于专业判断，认为投标人报价过低，有可能影响产品质量或者不能诚信履约的其他情形；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标委员会启动异常低价投标审查后，属于以上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以上第（3）项情形的，供应商已随投标文件一并提交相关书面说明及必要的证明材料的，在评标现场可不再重复提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异常低价投标审查的启动原因、审查意见和审查结果应当在评标报告中记录，并随投标人提供的相关书面说明及证明材料，以及评标委员会有关互联网浏览、查询历史一并归档。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23.4 中标通知书对采购人和中标人具有同等法律效力。中标通知书发出后，采购人不得违法改变中标结果，中标人无正当理由不得放弃中标。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 所有投标文件不论中标与否，均不退回。</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24.1评标委员会根据全体评标成员签字的原始评标记录和评标结果编写评标报告。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25、评标过程的保密性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 采购人和采购代理机构将采取必要措施，保证评标在严格保密的情况下进行。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 任何单位和个人不得非法干预、影响评标办法的确定，以及评标过程和结果。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 凡是与审查、澄清、评价和比较投标的有关资料等，均不向投标人及与评标无关的其他人员透露。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 采购人与中标人应当自中标通知书发出之日起30日内，按照招标文件和中标人投标文件的规定，签订书面合同。所签订的合同不得对招标文件确定的事项和中标人投标文件作实质性修改。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26.2 </w:t>
      </w:r>
      <w:r>
        <w:rPr>
          <w:rFonts w:ascii="SimSun" w:hAnsi="SimSun" w:eastAsia="SimSun" w:cs="SimSun"/>
          <w:color w:val="000000"/>
          <w:sz w:val="21"/>
        </w:rPr>
        <w:t xml:space="preserve">除继续履行将损害国家利益和社会公众利益的，政府采购合同的双方当事人不得擅自变更、中止或者终止合同。</w:t>
      </w:r>
      <w:r>
        <w:rPr>
          <w:rFonts w:ascii="SimSun" w:hAnsi="SimSun" w:eastAsia="SimSun" w:cs="SimSun"/>
          <w:b/>
          <w:color w:val="000000"/>
          <w:sz w:val="21"/>
        </w:rPr>
        <w:t xml:space="preserve">放弃或拒绝签订合同的，中标人不得参加对该项目重新开展的采购活动，中标人应向采购人支付采购人为招标所发生的相关费用，由财政部门列入不良行为记录名单，在一至三年内禁止参加政府采购活动，并予以通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26.3采购人不得向中标人提出任何不合理的要求作为签订合同的条件。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26.4中标人拒绝与采购人签订合同的，采购人可以按照评审报告推荐的中标或者成交候选人名单排序，确定下一候选人为中标或者成交供应商，也可以重新开展政府采购活动。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26.6 采购人与中标人应当根据合同的约定依法履行合同义务。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七、质疑和投诉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27.1供应商对招标活动事项有疑问的，可以向采购代理机构提出询问，采购代理机构将依法作出答复，但答复的内容不涉及商业秘密</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27.2提出质疑的供应商应当是参与所质疑项目采购活动的供应商。潜在供应商已依法获取其可质疑的采购文件的，可以对该文件提出质疑。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以联合体形式参加政府采购活动的，其质疑应当由组成联合体的所有供应商共同提出。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27.3供应商认为采购文件、采购过程和中标结果使自己的合法权益受到损害的，可以在知道或者应知其权益受到损害之日起七个工作日内，以书面形式向采购人或采购代理机构提出质疑。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供应商必须在法定质疑期内一次性提出针对同一采购程序环节的质疑。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 供应商提出质疑应当提交质疑函和必要的证明材料。质疑函应当包括下列内容：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（一）供应商的姓名或者名称、地址、邮编、联系人及联系电话；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（二）质疑项目的名称、编号；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（三）具体、明确的质疑事项和与质疑事项相关的请求（具体条款）；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（四）事实依据（具体条款）；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（五）必要的法律依据（具体条款）；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（六）提出质疑的日期。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 投标人不得虚假质疑和恶意质疑，并对质疑内容的真实性承担责任。投标人或者其他利害关系人通过捏造事实、伪造证明材料等方式提出异议或投诉，阻碍招投标活动正常进行的，属于严重不良行为，财政部门将依法予以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27.6采购代理机构在收到投标人的书面质疑后将及时组织调查核实，在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作出答复，并以书面或在网站公告形式通知质疑投标人和其他有关投标人，答复的内容不涉及商业秘密。</w:t>
      </w:r>
      <w:r/>
    </w:p>
    <w:p>
      <w:pPr>
        <w:ind w:left="0" w:right="0" w:firstLine="420"/>
        <w:jc w:val="both"/>
        <w:spacing w:before="0" w:after="0" w:line="4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28.2供应商投诉应当有明确的请求和必要的证明材料。供应商投诉的事项不得超出已质疑事项的范围。</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 投诉人有下列行为之一的，属于严重失信行为，由财政部门列入不良行为记录名单，禁止其一至三年内参加政府采购活动。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（1）投诉人在全国范围12个月内三次以上投诉查无实据的；</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（2）采用捏造事实、提供虚假材料或者以非法手段取得证明材料等方式进行虚假、恶意投诉。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证据来源的合法性存在明显疑问，投诉人无法证明其取得方式合法的，视为以非法手段取得证明材料。</w:t>
      </w:r>
      <w:r/>
    </w:p>
    <w:p>
      <w:pPr>
        <w:numPr>
          <w:ilvl w:val="0"/>
          <w:numId w:val="2"/>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其他</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29.1本项目根据江苏省财政厅关于加强政府绿色采购有关事项的通知（苏财购〔2023〕65号）规定，执行绿色采购需求标准。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Sun" w:hAnsi="SimSun" w:eastAsia="SimSun" w:cs="SimSun"/>
          <w:b/>
          <w:color w:val="000000"/>
          <w:sz w:val="32"/>
          <w:u w:val="none"/>
        </w:rPr>
        <w:t xml:space="preserve">第三章评标标准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7"/>
        <w:gridCol w:w="1134"/>
        <w:gridCol w:w="750"/>
        <w:gridCol w:w="6616"/>
      </w:tblGrid>
      <w:tr>
        <w:trPr>
          <w:trHeight w:val="5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6" w:type="dxa"/>
            <w:vAlign w:val="center"/>
            <w:textDirection w:val="lrTb"/>
            <w:noWrap w:val="false"/>
          </w:tcPr>
          <w:p>
            <w:pPr>
              <w:ind w:left="0" w:right="0" w:firstLine="645"/>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评价内容</w:t>
            </w:r>
            <w:r/>
          </w:p>
        </w:tc>
      </w:tr>
      <w:tr>
        <w:trPr>
          <w:trHeight w:val="11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中央空调及楼宇控制系统、净化区域系统托管服务总报价：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采用低价优先法计算，即满足招标文件要求且投标价格最低的投标报价为评标基准价，其价格分为满分。投标报价得分=(评标基准价／投标报价)×20</w:t>
            </w:r>
            <w:r/>
          </w:p>
        </w:tc>
      </w:tr>
      <w:tr>
        <w:trPr>
          <w:trHeight w:val="101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中央空调及楼宇控制系统材料更换报价：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采用低价优先法计算，即满足招标文件要求且投标价格（单价累加）最低的投标报价为评标基准价，其价格分为满分。投标报价得分=(评标基准价／投标报价)×5</w:t>
            </w:r>
            <w:r/>
          </w:p>
        </w:tc>
      </w:tr>
      <w:tr>
        <w:trPr>
          <w:trHeight w:val="120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净化区域系统环境检测报价：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采用低价优先法计算，即满足招标文件要求且投标价格（单价累加）最低的投标报价为评标基准价，其价格分为满分。投标报价得分=(评标基准价／投标报价)×5</w:t>
            </w:r>
            <w:r/>
          </w:p>
        </w:tc>
      </w:tr>
      <w:tr>
        <w:trPr>
          <w:trHeight w:val="9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vMerge w:val="restart"/>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技术响应（21分）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净化区域系统托管服务</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投标单位具备不同品牌净化设备的维保维修经验；每提供一种得</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分。（维修经验证明须提供合同扫描件，原件备查）</w:t>
            </w:r>
            <w:r/>
          </w:p>
        </w:tc>
      </w:tr>
      <w:tr>
        <w:trPr>
          <w:trHeight w:val="416"/>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1、完全响应中央空调及楼宇控制系统采购需求中托管员工配置要求：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（1）项目经理岗：持有特种设备安全管理作业证、有效期内并经复审合格的制冷与空调作业证、低压电工作业证，三证齐全得2分，任一证件缺失不得分。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（2）中央空调系统24小时值守岗：持有特种设备安全管理证或压力容器作业证；每人得0.5分，最高得2分。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（3）楼宇控制系统24小时值守岗：持有有效期内并经复审合格的低压电工作业证；每人得0.5分，最高得2分。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（4）核心技术岗：持有政府部门颁发或可在政府网站查询的制冷工高级证书，每人得1分，最高得2分。持有政府部门颁发或可在政府网站查询的电工高级证书，每人得1分，最高得1分。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（5）维保维修岗：持有有效期内并经复审合格的制冷与空调作业证；每人得0.5分，最高得3分。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（6）维保维修岗：持有有效期内并经复审合格的中华人民共和国特种作业操作证熔化焊接与热切割作业证，每人得1分，最高得1分。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投标人需提供以上人员社保机构出具的近半年中任意一个月（2025年11月至2026年04月）为拟投入本项目的项目负责人缴纳的养老保险缴费证明材料，并加盖社保中心章或社保中心参保缴费证明电子专用章或具有可验证的二维码（或验证码），否则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②投标单位需列出各岗位拟派人员清单，第（1）-（6）项各岗位列出的人员证书不重复计分。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③中央空调及楼宇控制系统、净化区域系统托管服务列出的人员清单不重复计分。</w:t>
            </w:r>
            <w:r/>
          </w:p>
        </w:tc>
      </w:tr>
      <w:tr>
        <w:trPr>
          <w:trHeight w:val="1373"/>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6"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w:t>
            </w:r>
            <w:r>
              <w:rPr>
                <w:rFonts w:ascii="SimSun" w:hAnsi="SimSun" w:eastAsia="SimSun" w:cs="SimSun"/>
                <w:color w:val="000000"/>
                <w:sz w:val="21"/>
              </w:rPr>
              <w:t xml:space="preserve">完全响应净化区域系统采购需求中托管员工配置要求：</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（1）项目经理</w:t>
            </w:r>
            <w:r>
              <w:rPr>
                <w:rFonts w:ascii="SimSun" w:hAnsi="SimSun" w:eastAsia="SimSun" w:cs="SimSun"/>
                <w:color w:val="000000"/>
                <w:sz w:val="21"/>
                <w:u w:val="none"/>
              </w:rPr>
              <w:t xml:space="preserve">岗:持有特种设备安全管理作业证，持有</w:t>
            </w:r>
            <w:r>
              <w:rPr>
                <w:rFonts w:ascii="SimSun" w:hAnsi="SimSun" w:eastAsia="SimSun" w:cs="SimSun"/>
                <w:color w:val="000000"/>
                <w:sz w:val="21"/>
              </w:rPr>
              <w:t xml:space="preserve">有效期内并经复审合格的制冷与空调作业证、低压电工作业证，三证齐全得2分，任一证件缺失不得分。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（2）核心技术岗：持有与洁净室维护相关的技能证书，每人得1分，最高得2分。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（3）</w:t>
            </w:r>
            <w:r>
              <w:rPr>
                <w:rFonts w:ascii="SimSun" w:hAnsi="SimSun" w:eastAsia="SimSun" w:cs="SimSun"/>
                <w:color w:val="000000"/>
                <w:sz w:val="21"/>
              </w:rPr>
              <w:t xml:space="preserve">24H值守及维保维修岗：持有有效期内并经复审合格的制冷与空调作业证或低压电工作业证，每人得0.5分，最高得2分。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投标人需提供以上人员社保机构出具的近半年中任意一个月（2025年11月至2026年04月）为拟投入本项目的项目负责人缴纳的养老保险缴费证明材料，并加盖社保中心章或社保中心参保缴费证明电子专用章或具有可验证的二维码（或验证码），否则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②投标单位需列出各岗位拟派人员清单，第（1）-（3）项各岗位列出的人员证书不重复计分。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③中央空调及楼宇控制系统、净化区域系统托管服务列出的人员清单不重复计分。</w:t>
            </w:r>
            <w:r/>
          </w:p>
        </w:tc>
      </w:tr>
      <w:tr>
        <w:trPr>
          <w:trHeight w:val="10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服务方案(31分)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托管服务方案全面、合理，针对性强，符合项目现场实际实施要求。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方案内容满足上述要求得4分，方案内容一般得2分，方案内容明显欠缺得1分，不提供不得分。</w:t>
            </w:r>
            <w:r/>
          </w:p>
        </w:tc>
      </w:tr>
      <w:tr>
        <w:trPr>
          <w:trHeight w:val="1255"/>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6"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托管服务项目安全管理方案和重大节假日期间设备检查及服务保障方案完善、措施有效、人员统筹合理。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方案内容满足上述要求得4分，方案内容一般得2分，方案内容明显欠缺得1分，不提供不得分。</w:t>
            </w:r>
            <w:r/>
          </w:p>
        </w:tc>
      </w:tr>
      <w:tr>
        <w:trPr>
          <w:trHeight w:val="1273"/>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管理制度:有规范、专业、合理、可行的管理制度。明列各岗位规章制度、考勤管理制度、交接班管理制度、人员专业培训制度、考核奖惩制度、人员安全防护制度，规范、专业、合理、优异得4分，内容一般得2分，方案内容明显欠缺得1分；不提供不得分。</w:t>
            </w:r>
            <w:r/>
          </w:p>
        </w:tc>
      </w:tr>
      <w:tr>
        <w:trPr>
          <w:trHeight w:val="1421"/>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突发事件应急处理机制：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投标单位项目运行管理过程中突发事件应对措施完备健全，具有实际可操作性，方案针对性强。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方案内容满足上述要求得4分，方案内容一般得2分，方案内容明显欠缺得1分，不提供不得分。</w:t>
            </w:r>
            <w:r/>
          </w:p>
        </w:tc>
      </w:tr>
      <w:tr>
        <w:trPr>
          <w:trHeight w:val="68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中央空调及楼宇控制系统托管服务节能降耗实施措施有针对性、内容全面可靠、实用性强。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方案内容满足上述要求得4分，方案内容一般得2分，方案内容明显欠缺得1分，不提供不得分。</w:t>
            </w:r>
            <w:r/>
          </w:p>
        </w:tc>
      </w:tr>
      <w:tr>
        <w:trPr>
          <w:trHeight w:val="981"/>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托管服务档案资料管理制度规范严谨。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方案内容满足上述要求得3分，其余得1分，不提供不得分。</w:t>
            </w:r>
            <w:r/>
          </w:p>
        </w:tc>
      </w:tr>
      <w:tr>
        <w:trPr>
          <w:trHeight w:val="702"/>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中央空调及楼宇控制系统托管服务：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单位对中央空调及楼宇控制系统托管服务的工作重点、难点及解决方案是否具有针对性和逻辑性，是否具有可行性等综合打分。思路清晰、条理清楚，符合医院管理要求得4分；思路较清晰、条理较清楚，基本符合医院管理要求得2分；方案内容明显欠缺得1分；思路不清晰、条理不清楚，不符合医院管理要求不得分。</w:t>
            </w:r>
            <w:r/>
          </w:p>
        </w:tc>
      </w:tr>
      <w:tr>
        <w:trPr>
          <w:trHeight w:val="416"/>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净化区域系统托管服务：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投标单位对净化区域系统托管服务的工作重点、难点及解决方案是否具有针对性和逻辑性，是否具有可行性等综合打分。思路清晰、条理清楚，符合医院管理要求得4分；思路较清晰、条理较清楚，基本符合医院管理要求得2分；方案内容明显欠缺得1分；思路不清晰、条理不清楚，不符合医院管理要求不得分。</w:t>
            </w:r>
            <w:r/>
          </w:p>
        </w:tc>
      </w:tr>
      <w:tr>
        <w:trPr>
          <w:trHeight w:val="12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1、投标单位提供2023年以来中央空调系统服务合同复印件。每提供1份得0.5分，最高得2.5分，不提供不得分。（合同原件备查）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2、投标单位提供2023年以来净化区域维保服务合同复印件，每提供1份得0.5分，最高得2.5分，不提供不得分。（合同原件备查）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注：同一份合同包含中央空调系统服务及净化区域维保服务合同，按一份业绩合同计分。</w:t>
            </w:r>
            <w:r/>
          </w:p>
        </w:tc>
      </w:tr>
      <w:tr>
        <w:trPr>
          <w:trHeight w:val="11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企业实力(13分)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投标单位具有《中国设备维修安装企业能力等级证书》且认证范围为集中式制冷空调设备（A类）、净化空调设备（B类）、家用(商用)制冷空调设备（D类）。（电子证书可查询）。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二级及以上得3分，三级得1分，不提供不得分。</w:t>
            </w:r>
            <w:r/>
          </w:p>
        </w:tc>
      </w:tr>
      <w:tr>
        <w:trPr>
          <w:trHeight w:val="1226"/>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投标单位为拟派驻员工购买缴纳社会保险，投标文件中本项目拟派驻员工的参保比例为100%，得</w:t>
            </w:r>
            <w:r>
              <w:rPr>
                <w:rFonts w:ascii="SimSun" w:hAnsi="SimSun" w:eastAsia="SimSun" w:cs="SimSun"/>
                <w:color w:val="000000"/>
                <w:sz w:val="21"/>
              </w:rPr>
              <w:t xml:space="preserve">5分；不低于</w:t>
            </w:r>
            <w:r>
              <w:rPr>
                <w:rFonts w:ascii="SimSun" w:hAnsi="SimSun" w:eastAsia="SimSun" w:cs="SimSun"/>
                <w:color w:val="000000"/>
                <w:sz w:val="21"/>
                <w:u w:val="none"/>
              </w:rPr>
              <w:t xml:space="preserve">80%</w:t>
            </w:r>
            <w:r>
              <w:rPr>
                <w:rFonts w:ascii="SimSun" w:hAnsi="SimSun" w:eastAsia="SimSun" w:cs="SimSun"/>
                <w:color w:val="000000"/>
                <w:sz w:val="21"/>
              </w:rPr>
              <w:t xml:space="preserve">（含），得4分；不低于60%（含），得3分；不低于40%（含），得2分；其余不得分。（提供招标前本单位至少三个月的社保缴纳证明）</w:t>
            </w:r>
            <w:r/>
          </w:p>
        </w:tc>
      </w:tr>
      <w:tr>
        <w:trPr>
          <w:trHeight w:val="846"/>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投标单位</w:t>
            </w:r>
            <w:r>
              <w:rPr>
                <w:rFonts w:ascii="SimSun" w:hAnsi="SimSun" w:eastAsia="SimSun" w:cs="SimSun"/>
                <w:color w:val="000000"/>
                <w:sz w:val="21"/>
              </w:rPr>
              <w:t xml:space="preserve">提供为拟派员工购买商业意外险或雇主责任险的证明，已参保人数不低于50%，得5分。（提供招标前本单位为员工购买的保单证明扫描件，时间以招标公告发布时间计算，原件备查）</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1.所有认证、证明和业绩均以有效清晰的证明文件的扫描件为依据。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2.小微企业价格扣除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3.监狱和戒毒企业的价格扣除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本项目对监狱和戒毒企业，给予10%的价格扣除，用扣除后的价格参与评审。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监狱企业需提供由省级以上监狱管理局、戒毒管理局（含新疆生产建设兵团）出具的属于监狱企业的证明文件。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监狱企业标准请参照《关于政府采购支持监狱企业发展有关问题的通知》（财库〔2014〕68号）。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4.残疾人福利性单位的价格扣除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本项目对残疾人福利性单位，给予10%的价格扣除，用扣除后的价格参与评审。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残疾人福利性单位需提供《残疾人福利性单位声明函》。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残疾人福利性单位标准请参照《关于促进残疾人就业政府采购政策的通知》（财库〔2017〕141号）。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监狱企业、残疾人福利性单位属于小型、微型企业的，不重复享受政策。</w:t>
        <w:br w:type="page" w:clear="all"/>
      </w:r>
      <w:r/>
    </w:p>
    <w:p>
      <w:pPr>
        <w:pStyle w:val="65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一、项目概况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妇幼保健院坐落于莫愁路与石鼓路两条主干道交叉口的东南端，是一幢集门诊、保健、科研、病房、培训、服务为一体的综合性医院。我院采用了先进的数字化医疗信息系统、楼宇智能化管理系统、消防安全保障系统、电气火灾报警系统。楼内集中了门诊、检查、治疗、生产、住院、保健等几乎所有重要科室。招标内容为莫愁路院区中央空调和楼宇控制系统托管服务、莫愁路院区净化区域系统托管服务，主要目的是向社会诚招诚实守信，知法守法，专业技术优秀的服务型企业，为我院的中央空调和楼宇控制系统及净化区域系统安全、节能、高效地运行提供优质的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中央空调和楼宇控制系统托管服务内容</w:t>
      </w:r>
      <w:r/>
    </w:p>
    <w:p>
      <w:pPr>
        <w:ind w:left="0" w:right="0" w:firstLine="0"/>
        <w:jc w:val="both"/>
        <w:spacing w:before="210" w:after="312"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一、项目设备现状及服务需求：</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（一）托管运行服务设备清单</w:t>
      </w:r>
      <w:r/>
    </w:p>
    <w:p>
      <w:pPr>
        <w:ind w:left="0" w:right="0" w:firstLine="0"/>
        <w:jc w:val="both"/>
        <w:spacing w:before="156" w:after="156"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1、中央空调系统主要设备清单</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3"/>
        <w:gridCol w:w="2411"/>
        <w:gridCol w:w="1417"/>
        <w:gridCol w:w="1843"/>
        <w:gridCol w:w="1985"/>
      </w:tblGrid>
      <w:tr>
        <w:trPr>
          <w:trHeight w:val="71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设备数量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功率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7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离心机组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428kw/台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645"/>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模块制冷机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210kw/台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645"/>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空调冷冻泵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75kw/台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645"/>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空调冷冻泵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22kw/台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空调冷却泵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75kw/台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空调冷却泵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 kw/台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冷却塔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11kw/组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645"/>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全滤式过滤器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645"/>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管路阀门系统（含集水器、分水器）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含29套电动执行器，品牌：BELIMO型号：SY/230/3/T</w:t>
            </w:r>
            <w:r/>
          </w:p>
        </w:tc>
      </w:tr>
      <w:tr>
        <w:trPr>
          <w:trHeight w:val="7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空调水泵控制柜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645"/>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制冷机组控制柜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645"/>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风机盘管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2265台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645"/>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新风机组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645"/>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变风量空调机组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645"/>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送排风机组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645"/>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风幕机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645"/>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空调末端电气控制柜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108套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645"/>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空调供热泵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22kw/台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645"/>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空调净化供热水泵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5.5kw/台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645"/>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中央空调系统膨胀水箱含冷却水补水系统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645"/>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ind w:left="0" w:right="0" w:firstLine="645"/>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2、楼宇控制系统设备清单</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7"/>
        <w:gridCol w:w="2714"/>
        <w:gridCol w:w="1903"/>
        <w:gridCol w:w="1447"/>
        <w:gridCol w:w="1559"/>
      </w:tblGrid>
      <w:tr>
        <w:trPr>
          <w:trHeight w:val="66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离心机组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428kw/台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645"/>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模块机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210kw/台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645"/>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空调冷冻泵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75kw/台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空调净化冷冻泵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22kw/台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空调冷却泵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75kw/台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空调净化冷却泵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 kw/台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空调供热水泵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22kw/台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空调净化供热水泵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5.5kw/台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手术室空调机组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1.1-7.5kw</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产科及ICU</w:t>
            </w:r>
            <w:r/>
          </w:p>
        </w:tc>
      </w:tr>
      <w:tr>
        <w:trPr>
          <w:trHeight w:val="5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冷却塔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11kw/组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645"/>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变风量空调器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0.75-1.1kw/台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新风机空调器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0.55-1.8kw/台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送排风机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15kw/台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送排风机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11kw/台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送排风机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7.5kw/台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送排风机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5.5kw/台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送排风机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4kw/台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排风机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2.2kw/台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吊顶排风机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0.37kw/台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吊顶排风机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0.55kw/台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设备排风机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0.75-1.5kw/台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排污泵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2.4-7.5kw/台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有11台不在监控系统中，需人工巡查运行状态</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高区生活水保压泵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11kw/台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低区生活水保压泵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7.5kw/台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高区生活水保压泵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4kw/台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低区生活水保压泵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3kw/台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生活水泵保压变频控制柜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每套/5台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制冷机、净化供热系统监控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空调供应、供水温度系统监控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送排风设备、新风设备控制系统监控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送排风设备、新风设备控制系统运行时间的设定及报警处理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全院排污设备的监控及报警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负四层生活水系统的运行监控及报警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净化空调系统的监控及报警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冷热源联动系统的监控及报警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消防水箱水位的监控及报警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全院电梯运行的监控及报警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负1-负4层地下室CO2浓度的监控及报警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生活用水保压系统及生活水箱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2套/8台泵</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2个水箱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智能楼宇控制系统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操作系统Windows7</w:t>
            </w:r>
            <w:r/>
          </w:p>
        </w:tc>
      </w:tr>
      <w:tr>
        <w:trPr>
          <w:trHeight w:val="9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4"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锅炉、阀门、循环水泵DDC控制系统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操作系统WindowsXP</w:t>
            </w:r>
            <w:r/>
          </w:p>
        </w:tc>
      </w:tr>
    </w:tbl>
    <w:p>
      <w:pPr>
        <w:ind w:left="420" w:right="0" w:firstLine="0"/>
        <w:jc w:val="both"/>
        <w:spacing w:before="312" w:after="12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420" w:right="0" w:firstLine="0"/>
        <w:jc w:val="both"/>
        <w:spacing w:before="312"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（二）、托管运行服务内容</w:t>
      </w:r>
      <w:r/>
    </w:p>
    <w:p>
      <w:pPr>
        <w:ind w:left="420" w:right="0" w:firstLine="0"/>
        <w:jc w:val="both"/>
        <w:spacing w:before="21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1、中央空调系统托管服务内容</w:t>
      </w:r>
      <w:r/>
    </w:p>
    <w:p>
      <w:pPr>
        <w:ind w:left="420" w:right="0" w:firstLine="0"/>
        <w:jc w:val="both"/>
        <w:spacing w:before="21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1.1中央空调系统24小时运行值守</w:t>
      </w:r>
      <w:r>
        <w:rPr>
          <w:rFonts w:ascii="SimSun" w:hAnsi="SimSun" w:eastAsia="SimSun" w:cs="SimSun"/>
          <w:color w:val="000000"/>
          <w:sz w:val="24"/>
        </w:rPr>
        <w:t xml:space="preserve">（专人定岗值守，与楼控系统值守不能并为一岗）：</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9"/>
        <w:gridCol w:w="1701"/>
        <w:gridCol w:w="923"/>
        <w:gridCol w:w="1309"/>
        <w:gridCol w:w="4445"/>
      </w:tblGrid>
      <w:tr>
        <w:trPr>
          <w:trHeight w:val="66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设备数量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功率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4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托管服务工作要求</w:t>
            </w:r>
            <w:r/>
          </w:p>
        </w:tc>
      </w:tr>
      <w:tr>
        <w:trPr>
          <w:trHeight w:val="19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离心机组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428kw/台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5"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小时机房值班，值守空调主机，每2小时记录空调系统运行参数，根据运行参数判断运行是否正常，随时发现机组的报警信号并按操作规范进行处置。夜间发生紧急故障时确保和白天一样15分钟内响应并及时按规范处理；当设备报警时及时与设备厂家服务人员报修。</w:t>
            </w:r>
            <w:r/>
          </w:p>
        </w:tc>
      </w:tr>
      <w:tr>
        <w:trPr>
          <w:trHeight w:val="2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模块制冷机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210kw/台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5"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小时机房值班，值守空调主机，每2小时记录空调系统运行参数，根据运行参数判断设备运行是否正常，夜间发生紧急故障时确保和白天一样15分钟内响应并及时按规范处理，值班人员无法处理的报警故障第一时间向项目经理汇报。 </w:t>
            </w:r>
            <w:r/>
          </w:p>
        </w:tc>
      </w:tr>
      <w:tr>
        <w:trPr>
          <w:trHeight w:val="2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空调冷冻泵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75kw/台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5"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小时机房值班，值守空调水泵，每2小时记录空调水泵运行参数，根据运行参数判断设备运行是否正常，夜间发生紧急故障时确保和白天一样15分钟内响应并及时按规范处理，值班人员无法处理的报警故障第一时间向项目经理汇报。</w:t>
            </w:r>
            <w:r/>
          </w:p>
        </w:tc>
      </w:tr>
      <w:tr>
        <w:trPr>
          <w:trHeight w:val="2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空调冷冻泵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22kw/台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小时机房值班，值守空调水泵，每2小时记录空调水泵运行参数，根据运行参数判断设备运行是否正常，夜间发生紧急故障时确保和白天一样15分钟内响应并及时按规范处理，值班人员无法处理的报警故障第一时间向项目经理汇报。</w:t>
            </w:r>
            <w:r/>
          </w:p>
        </w:tc>
      </w:tr>
      <w:tr>
        <w:trPr>
          <w:trHeight w:val="2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空调冷却泵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75kw/台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小时机房值班，值守空调水泵，每2小时记录空调水泵运行参数，根据运行参数判断设备运行是否正常，夜间发生紧急故障时确保和白天一样15分钟内响应并及时按规范处理，值班人员无法处理的报警故障第一时间向项目经理汇报。</w:t>
            </w:r>
            <w:r/>
          </w:p>
        </w:tc>
      </w:tr>
      <w:tr>
        <w:trPr>
          <w:trHeight w:val="2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空调冷却泵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 kw/台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小时机房值班，值守空调水泵，每2小时记录空调水泵运行参数，根据运行参数判断设备运行是否正常，夜间发生紧急故障时确保和白天一样15分钟内响应并及时按规范处理，值班人员无法处理的报警故障第一时间向项目经理汇报。</w:t>
            </w:r>
            <w:r/>
          </w:p>
        </w:tc>
      </w:tr>
      <w:tr>
        <w:trPr>
          <w:trHeight w:val="2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冷却塔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11kw/组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5"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小时值班，值守冷却塔，每2小时记录冷却塔运行参数，根据运行参数判断设备运行是否正常，夜间发生紧急故障时确保和白天一样15分钟内响应并及时按规范处理，值班人员无法处理的报警故障第一时间向项目经理汇报。</w:t>
            </w:r>
            <w:r/>
          </w:p>
        </w:tc>
      </w:tr>
      <w:tr>
        <w:trPr>
          <w:trHeight w:val="2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全滤式过滤器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1.8kw/台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5"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小时机房值班，值守全滤式过滤器及电动执行器，每2小时记录全滤式过滤器及电动执行器运行参数，根据运行参数判断设备运行是否正常，夜间发生紧急故障时确保和白天一样15分钟内响应并及时按规范处理，值班人员无法处理的报警故障第一时间向项目经理汇报。</w:t>
            </w:r>
            <w:r/>
          </w:p>
        </w:tc>
      </w:tr>
      <w:tr>
        <w:trPr>
          <w:trHeight w:val="17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管路阀门系统（含集水器、分水器；含29套电动执行器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全院管路设备，品牌：BELIMO,SY/230/3/T</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5"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小时值班，值守管路阀门系统，每2小时记录管路阀门系统运行状态，根据运行状态判断设备运行是否正常，夜间发生紧急故障时确保和白天一样15分钟内响应并及时按规范处理，值班人员无法处理的报警故障第一时间向项目经理汇报。</w:t>
            </w:r>
            <w:r/>
          </w:p>
        </w:tc>
      </w:tr>
      <w:tr>
        <w:trPr>
          <w:trHeight w:val="2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空调水泵控制柜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645"/>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5"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小时机房值班，值守空调水泵控制柜，每2小时记录空调水泵控制柜运行参数，根据运行参数判断设备运行是否正常，夜间发生紧急故障时确保和白天一样15分钟内响应并及时按规范处理，值班人员无法处理的报警故障第一时间向项目经理汇报。</w:t>
            </w:r>
            <w:r/>
          </w:p>
        </w:tc>
      </w:tr>
      <w:tr>
        <w:trPr>
          <w:trHeight w:val="2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制冷机组控制柜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645"/>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5"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小时机房值班，值守制冷机组控制柜，每2小时记录制冷机组控制柜运行参数，根据运行参数判断设备运行是否正常，夜间发生紧急故障时确保和白天一样15分钟内响应并及时按规范处理，值班人员无法处理的报警故障第一时间向项目经理汇报。</w:t>
            </w:r>
            <w:r/>
          </w:p>
        </w:tc>
      </w:tr>
      <w:tr>
        <w:trPr>
          <w:trHeight w:val="2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风机盘管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2265台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645"/>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5"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小时值班，值守风机盘管，检查风机盘管制冷/采暖效果，是否存在漏水、风机噪音、过滤网洁净度、操作面板的设定等情况。夜间发生紧急故障时确保和白天一样15分钟内响应并及时按规范处理，值班人员无法处理的报警故障第一时间向项目经理汇报。</w:t>
            </w:r>
            <w:r/>
          </w:p>
        </w:tc>
      </w:tr>
      <w:tr>
        <w:trPr>
          <w:trHeight w:val="2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新风机组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645"/>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5"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小时值班，值守新风机组，检查新风阀开度、风机噪音、水阀开启状态、机房控制柜、过滤网洁净度、冷凝水盘是否堵塞等情况。夜间发生紧急故障时确保和白天一样15分钟内响应并及时按规范处理，值班人员无法处理的报警故障第一时间向项目经理汇报。</w:t>
            </w:r>
            <w:r/>
          </w:p>
        </w:tc>
      </w:tr>
      <w:tr>
        <w:trPr>
          <w:trHeight w:val="2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变风量空调机组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645"/>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5"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小时值班，值守变风量空调机组，检查新风阀开度、风机噪音、水阀开启状态、机房控制柜、过滤网洁净度、冷凝水盘是否堵塞等情况。夜间发生紧急故障时确保和白天一样15分钟内响应并及时按规范处理，值班人员无法处理的报警故障第一时间向项目经理汇报。</w:t>
            </w:r>
            <w:r/>
          </w:p>
        </w:tc>
      </w:tr>
      <w:tr>
        <w:trPr>
          <w:trHeight w:val="2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风幕机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645"/>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5"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小时值班，值守风幕机，检查风幕机过滤网清洁度、电气控制系统是否正常、加热管工作是否正常等情况，夜间发生紧急故障时确保和白天一样15分钟内响应并及时按规范处理，值班人员无法处理的报警故障第一时间向项目经理汇报。</w:t>
            </w:r>
            <w:r/>
          </w:p>
        </w:tc>
      </w:tr>
      <w:tr>
        <w:trPr>
          <w:trHeight w:val="2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空调末端电气控制柜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108套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645"/>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5"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小时值班，值守空调末端电气控制柜，检查配电柜工作电流、电压、母线温度、中间继电器、热继电器、交流接触器等控制元器件的工作状态、变频器工作状态、指示灯工作状态、配电柜内清洁状态等情况，夜间发生紧急故障时确保和白天一样15分钟内响应并及时按规范处理，值班人员无法处理的报警故障第一时间向项目经理汇报。</w:t>
            </w:r>
            <w:r/>
          </w:p>
        </w:tc>
      </w:tr>
      <w:tr>
        <w:trPr>
          <w:trHeight w:val="6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空调供热泵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645"/>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5"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小时机房值班，值守空调供热泵，每2小时记录空调供热泵运行参数，根据运行参数判断设备运行是否正常，夜间发生紧急故障时确保和白天一样15分钟内响应并及时按规范处理，值班人员无法处理的报警故障第一时间向项目经理汇报。</w:t>
            </w:r>
            <w:r/>
          </w:p>
        </w:tc>
      </w:tr>
      <w:tr>
        <w:trPr>
          <w:trHeight w:val="8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空调净化供热水泵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645"/>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5"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小时机房值班，值守空调净化供热水泵，每2小时记录空调净化供热水泵运行参数，根据运行参数判断设备运行是否正常，夜间发生紧急故障时确保和白天一样15分钟内响应并及时按规范处理，值班人员无法处理的报警故障第一时间向项目经理汇报。</w:t>
            </w:r>
            <w:r/>
          </w:p>
        </w:tc>
      </w:tr>
    </w:tbl>
    <w:p>
      <w:pPr>
        <w:ind w:left="420" w:right="0" w:firstLine="482"/>
        <w:jc w:val="both"/>
        <w:spacing w:before="312" w:after="12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420" w:right="0" w:firstLine="482"/>
        <w:jc w:val="both"/>
        <w:spacing w:before="312" w:after="12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420" w:right="0" w:firstLine="0"/>
        <w:jc w:val="both"/>
        <w:spacing w:before="312" w:after="12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1.2中央空调系统制冷/采暖运行期间所有设备的开关机操作</w:t>
      </w:r>
      <w:r/>
    </w:p>
    <w:p>
      <w:pPr>
        <w:ind w:left="420" w:right="0" w:firstLine="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中央空调系统开关机操作包括：</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（1）全院空调系统制冷运行期间根据外界温度变化、使用负荷变化等需求对空调主机、水泵、冷却塔、管路阀门系统按操作规范进行启停和操作。所有开关机启停和操作必须有对应的表格记录并留存。</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（2）全院空调系统采暖运行期间根据外界温度变化、使用负荷变化等需求对机房内所有设备按操作规范进行启停和操作。所有采暖工作启停和操作必须有对应的表格记录并留存。</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（3）在每年春秋季空调换季期间对管路系统按规范进行制冷/采暖工况的切换。每次空调系统换季的切换操作必须有对应的表格记录并留存。</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由于净化空调系统的特殊使用需求，投标单位必须保证根据使用部门的需求，在春秋冬三个季节保证净化空调系统冷源（制冷机组）独立制冷工况正常运行和停机保养工作，以及热源（锅炉）独立采暖工况正常运行和停机保养工作。</w:t>
      </w:r>
      <w:r/>
    </w:p>
    <w:p>
      <w:pPr>
        <w:ind w:left="420" w:right="0" w:firstLine="482"/>
        <w:jc w:val="both"/>
        <w:spacing w:before="210" w:after="12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1.3全院风机盘管过滤网、新风机组过滤网及变风量空调机组定期清洗消毒</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风机盘管过滤网、新风机组过滤网及变风量空调机组的内容及要求包括：</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（1）每月制定风机盘管，空调机组，新风机，变风量空调机组初效和过滤网清洗保养计划，并根据有关计划预先一周通知各使用部门。</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（2）根据招标人的要求每月一次对全院风机盘管过滤网进行清洗。</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（3）根据招标人的要求每月一次对全院新风机组过滤网进行清洗。</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（4）根据招标人的要求每月一次对全院变风量空调机组过滤网进行清洗。</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（5）以上所有过滤网清洗工作应增加消毒程序。</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投标单位根据自身工作程序对以上工作内容及要求进行文字描述。</w:t>
      </w:r>
      <w:r/>
    </w:p>
    <w:p>
      <w:pPr>
        <w:ind w:left="420" w:right="0" w:firstLine="482"/>
        <w:jc w:val="both"/>
        <w:spacing w:before="210" w:after="12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1.4中央空调系统巡查的内容</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（1）空调主机巡查。</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（2）空调水泵巡查。 </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（3）冷却塔巡查。</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（4）全滤式过滤器和管路阀门系统巡查。</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（5）空调系统配电柜巡查。</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（6）风机盘管巡查。</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（7）空调系统新风机组及变风量空调机组巡查。</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（8）空调膨胀水箱巡查：每天两次（10点、16点）。</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（9）风幕机巡查。</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投标单位根据自身工作程序对以上工作内容进行文字描述。</w:t>
      </w:r>
      <w:r/>
    </w:p>
    <w:p>
      <w:pPr>
        <w:ind w:left="420" w:right="0" w:firstLine="482"/>
        <w:jc w:val="both"/>
        <w:spacing w:before="210" w:after="12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1.5全院空调系统维修</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（1）全院中央空调系统在制冷/采暖运行及停运阶段，投标单位应满足对空调系统应急故障的处理能力。具体包括：</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1）模块制冷机组的维修。</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2）空调水泵的维修。</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3）冷却塔的维修。</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4）全滤式过滤器的维修。</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5）管路阀门系统（末端设备进出水阀门及后端管路设备）的维修。</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6）空调水泵控制柜的维修。</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7）制冷机组控制柜的维修。</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8）新风机组的维修。</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9）变风量空调机组的维修。</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10）风幕机的维修。</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11）空调末端电气控制柜的维修。</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12）离心机组出现故障后按照生产厂家的规范要求进行应急处理。</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13）中央空调系统膨胀水箱的维修保养(含冷却水补水系统)。</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投标单位根据自身工作程序对以上工作内容进行文字描述。</w:t>
      </w:r>
      <w:r/>
    </w:p>
    <w:p>
      <w:pPr>
        <w:ind w:left="420" w:right="0" w:firstLine="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1.6材料更换</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于系统使用年限较长，材料更换数量较多，为了提高维修效率，投标单位针对下表中的材料进行综合报价，在医院无库存材料的情况下，由中标单位按投标价供货，材料更换工作完成后，由各使用部门签字确认按季度单独结算。由中标单位提供的材料质保期一年，一年之内材料出现故障由中标单位负责免费更换。如发现中标单位没有按招标文件约定品牌、材质供货，或者对于质保期内的材料重复收费，按重大违约一次考核，招标方有权在季度付款时扣除考核款2万元。</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投标单位按下表材料清单进行报价，合同期内不得上浮。本项报价作为投标报价评分的依据之一。</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6"/>
        <w:gridCol w:w="3118"/>
        <w:gridCol w:w="851"/>
        <w:gridCol w:w="1276"/>
        <w:gridCol w:w="2409"/>
        <w:gridCol w:w="851"/>
      </w:tblGrid>
      <w:tr>
        <w:trPr>
          <w:trHeight w:val="46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品牌型号及材质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风机盘管开关更换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TCL、西门子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空调执行器更换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埃美柯、远大、冠龙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空调电动阀更换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埃美柯、远大、冠龙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风机盘管进出水阀门更换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埃美柯、远大、冠龙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风机盘管电机电容更换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风机盘管进出水软管更换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DN20、不锈钢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风机盘管积水盘更换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镀锌板加保温</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厚度≥1.0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风机盘管进出风口更换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铝合金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风机盘管风口连接布更换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棉质帆布，无异味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风机盘管保温更换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B1级防火</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风机盘管交换器更换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盘管为铜管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空调冷凝水管更换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DN32,pvc</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中间继电器更换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施耐德、ABB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交流接触器更换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施耐德、ABB</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热继电器更换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施耐德、ABB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排污泵更换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ee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赛莱默、威乐、格兰富 4kw</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排污泵配套进出水管更换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DN80,镀锌管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排污泵配套止回阀更换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沪工、沪航、远大</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DN80,铸钢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排污泵配套浮球更换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橡胶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排污泵配套闸阀更换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沪工、沪航、远大</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DN80,铸钢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配电柜指示灯更换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正泰、德力西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送排风及新风机组配套的KBO更换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新科、德力西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送排风及新风机组配套的传送皮带更换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三星、盖茨、固特异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送排风及新风机组配套的轴承更换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SKF、NSF</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冷却塔传送皮带更换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645"/>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三星、盖茨、固特异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冷却塔浮球更换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645"/>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不锈钢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2"/>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维修工作是对投标单位技术维修能力的基本要求，除离心机组的专业故障由生产厂家负责处理以外，日常操作、巡检、保养由投标单位负责。其余所有设备发生的故障投标单位应在15分钟内响应，24小时内处理完毕。</w:t>
      </w:r>
      <w:r>
        <w:rPr>
          <w:rFonts w:ascii="SimSun" w:hAnsi="SimSun" w:eastAsia="SimSun" w:cs="SimSun"/>
          <w:color w:val="000000"/>
          <w:sz w:val="24"/>
          <w:u w:val="none"/>
        </w:rPr>
        <w:t xml:space="preserve">所有设备运行完好率必须保持在95%以上</w:t>
      </w:r>
      <w:r>
        <w:rPr>
          <w:rFonts w:ascii="SimSun" w:hAnsi="SimSun" w:eastAsia="SimSun" w:cs="SimSun"/>
          <w:color w:val="000000"/>
          <w:sz w:val="24"/>
        </w:rPr>
        <w:t xml:space="preserve">，同时做到任意设备发生故障时必须有备用设备替代投入运行，不能影响系统的正常供应。投标单位在年度工作计划和月度计划中应提前向招标方列出所有设备的备品备件采购计划，应急故障发生时，在招标方同意的情况下，投标单位应做到自行采购备件确保系统正常运行。如果中标单位不能达到以上要求的标准或者由于维修能力不足对招标方中央空调系统的正常运行造成了影响和损失视为重大违约一次，招标方有权在季度付款时扣除考核款2万元，一年内重大违约次数达到三次，招标方可直接解除合同。</w:t>
      </w:r>
      <w:r/>
    </w:p>
    <w:p>
      <w:pPr>
        <w:ind w:left="420" w:right="0" w:firstLine="482"/>
        <w:jc w:val="both"/>
        <w:spacing w:before="21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除招标文件已有约定之外，以下六种情况也属于重大违约：</w:t>
      </w:r>
      <w:r/>
    </w:p>
    <w:p>
      <w:pPr>
        <w:ind w:left="420" w:right="0" w:firstLine="482"/>
        <w:jc w:val="both"/>
        <w:spacing w:before="21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（1）设备发生故障超过2小时运维人员未能及时发现；</w:t>
      </w:r>
      <w:r/>
    </w:p>
    <w:p>
      <w:pPr>
        <w:ind w:left="420" w:right="0" w:firstLine="482"/>
        <w:jc w:val="both"/>
        <w:spacing w:before="21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（2）属于特殊工种作业的维修内容，现场维修人员无证操作；</w:t>
      </w:r>
      <w:r/>
    </w:p>
    <w:p>
      <w:pPr>
        <w:ind w:left="420" w:right="0" w:firstLine="482"/>
        <w:jc w:val="both"/>
        <w:spacing w:before="21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（3）设备发生故障后，因中标方维护原因造成无备用设备启动，无法保证系统正常运行；</w:t>
      </w:r>
      <w:r/>
    </w:p>
    <w:p>
      <w:pPr>
        <w:ind w:left="420" w:right="0" w:firstLine="482"/>
        <w:jc w:val="both"/>
        <w:spacing w:before="21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（4）设备发生故障后，中标方因维修能力不足导致维修时间超过24小时以上；</w:t>
      </w:r>
      <w:r/>
    </w:p>
    <w:p>
      <w:pPr>
        <w:ind w:left="420" w:right="0" w:firstLine="482"/>
        <w:jc w:val="both"/>
        <w:spacing w:before="21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（5）因投标单位平时保养工作不到位造成空调系统使用效果不佳，达不到国家关于中央空调温湿度要求标准（使用效果与往年温湿度数据进行对比，投标单位不得以使用年限较长需改造才能达到标准为借口）；</w:t>
      </w:r>
      <w:r/>
    </w:p>
    <w:p>
      <w:pPr>
        <w:ind w:left="420" w:right="0" w:firstLine="482"/>
        <w:jc w:val="both"/>
        <w:spacing w:before="21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（6）招标文件中要求工作内容完成后由相关部门签字确认，投标单位未能按要求取得签字确认表单。</w:t>
      </w:r>
      <w:r/>
    </w:p>
    <w:p>
      <w:pPr>
        <w:ind w:left="420" w:right="0" w:firstLine="482"/>
        <w:jc w:val="both"/>
        <w:spacing w:before="21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发生以上情形</w:t>
      </w:r>
      <w:r>
        <w:rPr>
          <w:rFonts w:ascii="SimSun" w:hAnsi="SimSun" w:eastAsia="SimSun" w:cs="SimSun"/>
          <w:color w:val="000000"/>
          <w:sz w:val="24"/>
          <w:u w:val="none"/>
        </w:rPr>
        <w:t xml:space="preserve">时，除对中标单位季度考核时扣除相应分数外，另在季度付款时扣除考核款2万元，一年内重大违约次数达到三次，招标方可直接终止合同。</w:t>
      </w:r>
      <w:r/>
    </w:p>
    <w:p>
      <w:pPr>
        <w:ind w:left="420" w:right="0" w:firstLine="482"/>
        <w:jc w:val="both"/>
        <w:spacing w:before="21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不属于投标单位责任范围内的维修工作,为了确保患者、家属及各使用部门的满意度，投标单位应按行政处的管理需求，尽力进行维修，保障系统正常运行，在维修工作结束后，应按规范填写服务表单，并按程序由各级部门负责人签字确认，招标方根据实际工作量予以结算相关费用。</w:t>
      </w:r>
      <w:r/>
    </w:p>
    <w:p>
      <w:pPr>
        <w:ind w:left="420" w:right="0" w:firstLine="482"/>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420" w:right="0" w:firstLine="482"/>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1.7全院中央空调系统和设备的换季保养及周期性保养</w:t>
      </w:r>
      <w:r/>
    </w:p>
    <w:p>
      <w:pPr>
        <w:ind w:left="420" w:right="0" w:firstLine="482"/>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针对全院中央空调系统和设备的换季保养及周期性保养工作的具体内容，要求以下工作执行过程中必须有招标方管理部门专职人员至现场监督完成并确认，以下九类设备中如有任一小项未按要求执行，视为重大违约一次，招标方有权在季度付款时扣除考核款2万元，一年内重大违约次数达到三次，招标方可直接解除合同。</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（1）空调主机的换季保养及周期性保养，要求系统完好，设定值符合要求；冷剂液位和油面在要求范围；系统试运行正常，无异常。</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保养要求：停机后打开机组两端冷却水及冷冻水水室端盖：</w:t>
      </w:r>
      <w:r/>
    </w:p>
    <w:p>
      <w:pPr>
        <w:numPr>
          <w:ilvl w:val="0"/>
          <w:numId w:val="3"/>
        </w:numPr>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更换密封条；</w:t>
      </w:r>
      <w:r/>
    </w:p>
    <w:p>
      <w:pPr>
        <w:numPr>
          <w:ilvl w:val="0"/>
          <w:numId w:val="3"/>
        </w:numPr>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利用压缩空气对传热管逐一吹扫，确保传热管畅通无杂质堵塞；</w:t>
      </w:r>
      <w:r/>
    </w:p>
    <w:p>
      <w:pPr>
        <w:numPr>
          <w:ilvl w:val="0"/>
          <w:numId w:val="3"/>
        </w:numPr>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利用通炮机逐一对传热管进行疏通，疏通过程中确保传热管不受损伤；</w:t>
      </w:r>
      <w:r/>
    </w:p>
    <w:p>
      <w:pPr>
        <w:numPr>
          <w:ilvl w:val="0"/>
          <w:numId w:val="3"/>
        </w:numPr>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温度传感器和压力传感器的数值校正，利用现场三台机组对比，温度偏差低于0.5℃，压力偏差低于20kPa,超过标准需对出现故障的元器件进行更换；</w:t>
      </w:r>
      <w:r/>
    </w:p>
    <w:p>
      <w:pPr>
        <w:numPr>
          <w:ilvl w:val="0"/>
          <w:numId w:val="3"/>
        </w:numPr>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控制系统线路和元器件每年必须紧固，利用压缩空气清理积灰，清理完成后达到无明显积灰的标准。</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（2）空调水泵的换季保养及周期性保养，要求电压、电流等正常，无漏水现象；电机和水泵工作正常；联轴器、阀门灵活、机械密封不漏水；外观良好，润滑良好，阻值符合要求，接线桩无发热氧化现象。</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保养要求：</w:t>
      </w:r>
      <w:r/>
    </w:p>
    <w:p>
      <w:pPr>
        <w:numPr>
          <w:ilvl w:val="0"/>
          <w:numId w:val="4"/>
        </w:numPr>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测量泵体及电机轴承温度是否正常（水泵运行时）。</w:t>
      </w:r>
      <w:r/>
    </w:p>
    <w:p>
      <w:pPr>
        <w:numPr>
          <w:ilvl w:val="0"/>
          <w:numId w:val="4"/>
        </w:numPr>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切断保养水泵电源，悬挂禁止合闸指示牌。</w:t>
      </w:r>
      <w:r/>
    </w:p>
    <w:p>
      <w:pPr>
        <w:numPr>
          <w:ilvl w:val="0"/>
          <w:numId w:val="4"/>
        </w:numPr>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检查泵体电机轴承的润滑油脂是否皂化变质(根据情况进行轴承加油润滑)。</w:t>
      </w:r>
      <w:r/>
    </w:p>
    <w:p>
      <w:pPr>
        <w:numPr>
          <w:ilvl w:val="0"/>
          <w:numId w:val="4"/>
        </w:numPr>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检查水泵进出口压力值，保证水泵工作点在最高效区。</w:t>
      </w:r>
      <w:r/>
    </w:p>
    <w:p>
      <w:pPr>
        <w:numPr>
          <w:ilvl w:val="0"/>
          <w:numId w:val="4"/>
        </w:numPr>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检测水泵震动值是否符合原水泵出厂标准。</w:t>
      </w:r>
      <w:r/>
    </w:p>
    <w:p>
      <w:pPr>
        <w:numPr>
          <w:ilvl w:val="0"/>
          <w:numId w:val="4"/>
        </w:numPr>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检查联轴器中橡胶件的磨损程度。</w:t>
      </w:r>
      <w:r/>
    </w:p>
    <w:p>
      <w:pPr>
        <w:numPr>
          <w:ilvl w:val="0"/>
          <w:numId w:val="4"/>
        </w:numPr>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检查全部地脚螺栓的紧固性。</w:t>
      </w:r>
      <w:r/>
    </w:p>
    <w:p>
      <w:pPr>
        <w:numPr>
          <w:ilvl w:val="0"/>
          <w:numId w:val="4"/>
        </w:numPr>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检查水泵及电机是否有异响震动。</w:t>
      </w:r>
      <w:r/>
    </w:p>
    <w:p>
      <w:pPr>
        <w:numPr>
          <w:ilvl w:val="0"/>
          <w:numId w:val="4"/>
        </w:numPr>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检查并清洁电机的散热风扇。</w:t>
      </w:r>
      <w:r/>
    </w:p>
    <w:p>
      <w:pPr>
        <w:numPr>
          <w:ilvl w:val="0"/>
          <w:numId w:val="4"/>
        </w:numPr>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测量电机绝缘是否正常。</w:t>
      </w:r>
      <w:r/>
    </w:p>
    <w:p>
      <w:pPr>
        <w:numPr>
          <w:ilvl w:val="0"/>
          <w:numId w:val="4"/>
        </w:numPr>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检测减震台座是否水平，减震器是否正常。</w:t>
      </w:r>
      <w:r/>
    </w:p>
    <w:p>
      <w:pPr>
        <w:numPr>
          <w:ilvl w:val="0"/>
          <w:numId w:val="4"/>
        </w:numPr>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测量电机的运行电流电压是否正常。</w:t>
      </w:r>
      <w:r/>
    </w:p>
    <w:p>
      <w:pPr>
        <w:numPr>
          <w:ilvl w:val="0"/>
          <w:numId w:val="4"/>
        </w:numPr>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水泵进行年度季节性保养（水泵、电机解体、同心度校正）。</w:t>
      </w:r>
      <w:r/>
    </w:p>
    <w:p>
      <w:pPr>
        <w:numPr>
          <w:ilvl w:val="0"/>
          <w:numId w:val="4"/>
        </w:numPr>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水泵电机动力电缆拆卸并包扎。</w:t>
      </w:r>
      <w:r/>
    </w:p>
    <w:p>
      <w:pPr>
        <w:numPr>
          <w:ilvl w:val="0"/>
          <w:numId w:val="4"/>
        </w:numPr>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电机前后端盖拆卸并清洁配件。</w:t>
      </w:r>
      <w:r/>
    </w:p>
    <w:p>
      <w:pPr>
        <w:numPr>
          <w:ilvl w:val="0"/>
          <w:numId w:val="4"/>
        </w:numPr>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清洁和润滑全部轴承。</w:t>
      </w:r>
      <w:r/>
    </w:p>
    <w:p>
      <w:pPr>
        <w:numPr>
          <w:ilvl w:val="0"/>
          <w:numId w:val="4"/>
        </w:numPr>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水泵及电机复位，并对水泵进行调试。</w:t>
      </w:r>
      <w:r/>
    </w:p>
    <w:p>
      <w:pPr>
        <w:numPr>
          <w:ilvl w:val="0"/>
          <w:numId w:val="4"/>
        </w:numPr>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水泵配电控制系统线路和元器件每年必须紧固，利用压缩空气清理积灰，清理完成后达到无明显积灰的标准。</w:t>
      </w:r>
      <w:r/>
    </w:p>
    <w:p>
      <w:pPr>
        <w:numPr>
          <w:ilvl w:val="0"/>
          <w:numId w:val="4"/>
        </w:numPr>
        <w:spacing w:before="240" w:after="24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如发现水封、轴承或其他零部件磨损则更换。</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（3）空调水系统的换季保养及周期性保养，要求做好各种水管、水过滤器、膨胀水箱及支吊构件的维保工作。</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保养要求：</w:t>
      </w:r>
      <w:r/>
    </w:p>
    <w:p>
      <w:pPr>
        <w:numPr>
          <w:ilvl w:val="0"/>
          <w:numId w:val="5"/>
        </w:numPr>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管路阀门除尘清洁，转动部件添加润滑油；</w:t>
      </w:r>
      <w:r/>
    </w:p>
    <w:p>
      <w:pPr>
        <w:numPr>
          <w:ilvl w:val="0"/>
          <w:numId w:val="5"/>
        </w:numPr>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水过滤器每年清洗不低于1次，清洗完成后应更换密封垫。</w:t>
      </w:r>
      <w:r/>
    </w:p>
    <w:p>
      <w:pPr>
        <w:numPr>
          <w:ilvl w:val="0"/>
          <w:numId w:val="5"/>
        </w:numPr>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膨胀水箱进出水阀门及排污阀、溢流阀手动检查开闭是否存在故障。</w:t>
      </w:r>
      <w:r/>
    </w:p>
    <w:p>
      <w:pPr>
        <w:numPr>
          <w:ilvl w:val="0"/>
          <w:numId w:val="5"/>
        </w:numPr>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支吊架有无松动、悬空、木托缺失、金属件锈蚀等现象。</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（4）冷却塔的换季保养及周期性保养，要求电流、电压正常，阀门工作正常；皮带松紧正常，水质防锈处理合格，冷却塔清洁、外观良好；电机风扇连接良好；转速风量达到设备要求；塔体整洁。</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保养要求：</w:t>
      </w:r>
      <w:r/>
    </w:p>
    <w:p>
      <w:pPr>
        <w:numPr>
          <w:ilvl w:val="0"/>
          <w:numId w:val="6"/>
        </w:numPr>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风机动平衡和静平衡的调校，达到运转时无明显震动和异常噪音。</w:t>
      </w:r>
      <w:r/>
    </w:p>
    <w:p>
      <w:pPr>
        <w:numPr>
          <w:ilvl w:val="0"/>
          <w:numId w:val="6"/>
        </w:numPr>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防水电机和减速机应拆解后清洗、更换润滑油。对出现锈蚀和磨损的轴承进行更换。</w:t>
      </w:r>
      <w:r/>
    </w:p>
    <w:p>
      <w:pPr>
        <w:numPr>
          <w:ilvl w:val="0"/>
          <w:numId w:val="6"/>
        </w:numPr>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对于填料挂杆出现锈蚀或损坏的，需进行更换或修复。</w:t>
      </w:r>
      <w:r/>
    </w:p>
    <w:p>
      <w:pPr>
        <w:numPr>
          <w:ilvl w:val="0"/>
          <w:numId w:val="6"/>
        </w:numPr>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在冷却水循环的情况下，检查布水是否均匀，对于布水不均的填料进行更换。</w:t>
      </w:r>
      <w:r/>
    </w:p>
    <w:p>
      <w:pPr>
        <w:numPr>
          <w:ilvl w:val="0"/>
          <w:numId w:val="6"/>
        </w:numPr>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停机后要清除填料中的水垢，达到肉眼无明显水垢存在。</w:t>
      </w:r>
      <w:r/>
    </w:p>
    <w:p>
      <w:pPr>
        <w:numPr>
          <w:ilvl w:val="0"/>
          <w:numId w:val="6"/>
        </w:numPr>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积水盘清洗：达到肉眼无垃圾水垢存在。</w:t>
      </w:r>
      <w:r/>
    </w:p>
    <w:p>
      <w:pPr>
        <w:numPr>
          <w:ilvl w:val="0"/>
          <w:numId w:val="6"/>
        </w:numPr>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校正塔体紧固件，确保塔体水平度、倾斜度低于5mm。</w:t>
      </w:r>
      <w:r/>
    </w:p>
    <w:p>
      <w:pPr>
        <w:numPr>
          <w:ilvl w:val="0"/>
          <w:numId w:val="6"/>
        </w:numPr>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立式塔池式布水清理水垢及垃圾，达到补水口无堵塞。</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（5）风机盘管的换季保养及周期性保养，要求运行正常；出口风速、温度达到额定值；电机运行无噪声，设备无漏水；清洁、运行正常；盘管畅通，无泄漏。</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保养要求：</w:t>
      </w:r>
      <w:r/>
    </w:p>
    <w:p>
      <w:pPr>
        <w:numPr>
          <w:ilvl w:val="0"/>
          <w:numId w:val="7"/>
        </w:numPr>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利用换季保养期间集中对表冷器、风机叶轮、积水盘进行清洗。</w:t>
      </w:r>
      <w:r/>
    </w:p>
    <w:p>
      <w:pPr>
        <w:numPr>
          <w:ilvl w:val="0"/>
          <w:numId w:val="7"/>
        </w:numPr>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利用换季保养期间集中对冷凝水管进行疏通。</w:t>
      </w:r>
      <w:r/>
    </w:p>
    <w:p>
      <w:pPr>
        <w:numPr>
          <w:ilvl w:val="0"/>
          <w:numId w:val="7"/>
        </w:numPr>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利用换季保养期间集中对电容、电机进行检查、更换。</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（6）新风机组的换季保养及周期性保养，要求外观良好，设备运行正常，温度适宜；过滤网干净，润滑良好；制冷效果好、空气循环顺畅，无泄漏。</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保养要求：</w:t>
      </w:r>
      <w:r/>
    </w:p>
    <w:p>
      <w:pPr>
        <w:numPr>
          <w:ilvl w:val="0"/>
          <w:numId w:val="8"/>
        </w:numPr>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冷工况结束、采暖工况运行前，对于1号楼的部分新风机组按院方要求关闭进出水阀门、打开排污阀，利用压缩空气对换热器铜管进行吹扫，排尽积水，确保冬季新风机组向“核心筒区域”送入冷空气，表冷器不出现冻裂的故障（同时按要求调整楼层内的新风阀开闭）。</w:t>
      </w:r>
      <w:r/>
    </w:p>
    <w:p>
      <w:pPr>
        <w:numPr>
          <w:ilvl w:val="0"/>
          <w:numId w:val="8"/>
        </w:numPr>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检查所有新风机组皮带是否正常。</w:t>
      </w:r>
      <w:r/>
    </w:p>
    <w:p>
      <w:pPr>
        <w:numPr>
          <w:ilvl w:val="0"/>
          <w:numId w:val="8"/>
        </w:numPr>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确认所有新风机组的控制系统是否正常。</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（7）阀类的换季保养及周期性保养，要求开闭灵活，无破损，无渗漏。</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（8）自控箱及控制器的换季保养及周期性保养，要求电流、电压正常，电气元件无异常声音；线路无过热现象，接线装置良好；阻值符合规范、控制柜清洁无灰尘。</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保养要求：</w:t>
      </w:r>
      <w:r/>
    </w:p>
    <w:p>
      <w:pPr>
        <w:numPr>
          <w:ilvl w:val="0"/>
          <w:numId w:val="9"/>
        </w:numPr>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电气控制柜进出线开口的检查与防火封堵。</w:t>
      </w:r>
      <w:r/>
    </w:p>
    <w:p>
      <w:pPr>
        <w:numPr>
          <w:ilvl w:val="0"/>
          <w:numId w:val="9"/>
        </w:numPr>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柜门密闭检查与维修。</w:t>
      </w:r>
      <w:r/>
    </w:p>
    <w:p>
      <w:pPr>
        <w:numPr>
          <w:ilvl w:val="0"/>
          <w:numId w:val="9"/>
        </w:numPr>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元器件和线槽检查保洁，达到手摸无灰尘。</w:t>
      </w:r>
      <w:r/>
    </w:p>
    <w:p>
      <w:pPr>
        <w:numPr>
          <w:ilvl w:val="0"/>
          <w:numId w:val="9"/>
        </w:numPr>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接线端子的检查与紧固。</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（9）风幕机的换季保养及周期性保养，要求过滤网无可见积尘，端子接线牢固无过热现象，风幕机遥控手动运行完好；发热条无灰尘接线端子无过热现象，电机运行声音无异常，叶轮完好无破损。</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投标单位根据自身工作程序对以上工作内容进行文字描述补充。</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2"/>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1.8中央空调系统所有设备建立服务档案</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（1）所有设备应按规范建立维修和保养服务档案，所有维修和保养的工作必须严格按照招标方的要求做到经由使用部门或行政处管理人员的签字确认，否则视为无效。</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（2）每月的维修保养表单应按要求交由行政部门统计确认工作量。</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（3）每年的设备维修保养档案应按行政部门要求归档留存。</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（4）投标单位应建立规范的档案管理制度，并设立独立的档案存储空间，以备招标方随时抽检。抽检发现当年度档案出现缺失超过三件，视为重大违约一次，对中标单位在季度付款时扣除考核款2万元。</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（5）投标单位根据招标文件需求对应不同工作内容设计针对性的服务表单，在进场后一周内应建立并公示档案管理制度，经招标方认可后按招标方统一管理规定的模板在档案室悬挂上墙。</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420" w:right="0" w:firstLine="482"/>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2、楼宇控制系统托管服务内容</w:t>
      </w:r>
      <w:r/>
    </w:p>
    <w:p>
      <w:pPr>
        <w:ind w:left="420" w:right="0" w:firstLine="482"/>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2.1楼宇控制系统24小时值守（专人定岗值守，与中央空调系统值守不能并为一岗）</w:t>
      </w:r>
      <w:r/>
    </w:p>
    <w:p>
      <w:pPr>
        <w:ind w:left="420" w:right="0" w:firstLine="480"/>
        <w:jc w:val="both"/>
        <w:spacing w:before="210" w:after="12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下表中所有设备都在楼宇控制系统操作和监控的范围内，值班人员应熟悉并对楼控系统熟练操作，通过值守及时发现系统中所有设备参数和运行状态是否正常，并能根据实际需要获得招标方同意的前提下，在监控电脑上及时对相关设备的控制参数作出修改。当楼宇监控系统中的设备发出故障报警时，值守人员应根据操作规范对发生的故障及时处理。</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（2）对于消防系统和电梯系统出现的故障报警，值守人员在系统出现故障指令后无需前往维修，只需按程序向对应接口部门及时汇报。</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（3）对于负1至负4层地下室CO</w:t>
      </w:r>
      <w:r>
        <w:rPr>
          <w:rFonts w:ascii="SimSun" w:hAnsi="SimSun" w:eastAsia="SimSun" w:cs="SimSun"/>
          <w:color w:val="000000"/>
          <w:sz w:val="24"/>
          <w:vertAlign w:val="subscript"/>
        </w:rPr>
        <w:t xml:space="preserve">2</w:t>
      </w:r>
      <w:r>
        <w:rPr>
          <w:rFonts w:ascii="SimSun" w:hAnsi="SimSun" w:eastAsia="SimSun" w:cs="SimSun"/>
          <w:color w:val="000000"/>
          <w:sz w:val="24"/>
        </w:rPr>
        <w:t xml:space="preserve">浓度出现报警时，值班人员首先应确认故障类型，在故障真实的情况下，值班人员对楼控系统中负1至负4层的通排风设备启停时间按规范做出调整或维修。</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1"/>
        <w:gridCol w:w="2411"/>
        <w:gridCol w:w="1418"/>
        <w:gridCol w:w="850"/>
        <w:gridCol w:w="3545"/>
      </w:tblGrid>
      <w:tr>
        <w:trPr>
          <w:trHeight w:val="55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功率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托管服务工作要求</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离心机组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428kw/台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小时值班守护楼宇控制系统，设备发生故障应及时现场确认故障源是否真实并按规范处置，接收电话工作指令，夜间发生紧急故障时确保和白天一样15分钟内响应并及时按规范处理；通过BA系统监控设备运行参数和报警，根据要求进行启停操作。</w:t>
            </w:r>
            <w:r/>
          </w:p>
        </w:tc>
      </w:tr>
      <w:tr>
        <w:trPr>
          <w:trHeight w:val="5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模块机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210kw/台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小时值班守护楼宇控制系统，设备发生故障应及时现场确认故障源是否真实并按规范处置，接收电话工作指令，夜间发生紧急故障时确保和白天一样15分钟内响应并及时按规范处理；通过BA系统监控设备运行参数和报警，根据要求进行启停操作。</w:t>
            </w:r>
            <w:r/>
          </w:p>
        </w:tc>
      </w:tr>
      <w:tr>
        <w:trPr>
          <w:trHeight w:val="5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空调冷冻泵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75kw/台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小时值班守护楼宇控制系统，设备发生故障应及时现场确认故障源是否真实并按规范处置，接收电话工作指令，夜间发生紧急故障时确保和白天一样15分钟内响应并及时按规范处理；通过BA系统监控设备运行参数和报警，根据要求进行启停操作。</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空调净化冷冻泵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22kw/台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小时值班守护楼宇控制系统，设备发生故障应及时现场确认故障源是否真实并按规范处置，接收电话工作指令，夜间发生紧急故障时确保和白天一样15分钟内响应并及时按规范处理；通过BA系统监控设备运行参数和报警，根据要求进行启停操作。</w:t>
            </w:r>
            <w:r/>
          </w:p>
        </w:tc>
      </w:tr>
      <w:tr>
        <w:trPr>
          <w:trHeight w:val="5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空调冷却泵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75kw/台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小时值班守护楼宇控制系统，设备发生故障应及时现场确认故障源是否真实并按规范处置，接收电话工作指令，夜间发生紧急故障时确保和白天一样15分钟内响应并及时按规范处理；通过BA系统监控设备运行参数和报警，根据要求进行启停操作。</w:t>
            </w:r>
            <w:r/>
          </w:p>
        </w:tc>
      </w:tr>
      <w:tr>
        <w:trPr>
          <w:trHeight w:val="5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空调净化冷却泵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 kw/台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小时值班守护楼宇控制系统，设备发生故障应及时现场确认故障源是否真实并按规范处置，接收电话工作指令，夜间发生紧急故障时确保和白天一样15分钟内响应并及时按规范处理；通过BA系统监控设备运行参数和报警，根据要求进行启停操作。</w:t>
            </w:r>
            <w:r/>
          </w:p>
        </w:tc>
      </w:tr>
      <w:tr>
        <w:trPr>
          <w:trHeight w:val="5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空调供热水泵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22kw/台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小时值班守护楼宇控制系统，设备发生故障应及时现场确认故障源是否真实并按规范处置，接收电话工作指令，夜间发生紧急故障时确保和白天一样15分钟内响应并及时按规范处理；通过BA系统监控设备运行参数和报警，根据要求进行启停操作。</w:t>
            </w:r>
            <w:r/>
          </w:p>
        </w:tc>
      </w:tr>
      <w:tr>
        <w:trPr>
          <w:trHeight w:val="5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空调净化供热水泵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5.5kw/台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小时值班守护楼宇控制系统，设备发生故障应及时现场确认故障源是否真实并按规范处置，接收电话工作指令，夜间发生紧急故障时确保和白天一样15分钟内响应并及时按规范处理；通过BA系统监控设备运行参数和报警，根据要求进行启停操作。</w:t>
            </w:r>
            <w:r/>
          </w:p>
        </w:tc>
      </w:tr>
      <w:tr>
        <w:trPr>
          <w:trHeight w:val="2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手术室空调机组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24h监控净化空调状态，设备发生故障应及时现场确认故障源是否真实并按规范处置，发现报警后按程序上报值班经理和使用部门。</w:t>
            </w:r>
            <w:r/>
          </w:p>
        </w:tc>
      </w:tr>
      <w:tr>
        <w:trPr>
          <w:trHeight w:val="5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冷却塔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11kw/组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在制冷运行工况24h监控冷却塔运行状态并根据进出水温度的变化控制风机启停，设备发生故障应及时现场确认故障源是否真实并按规范处置，发现报警应及时上报并维修处理。</w:t>
            </w:r>
            <w:r/>
          </w:p>
        </w:tc>
      </w:tr>
      <w:tr>
        <w:trPr>
          <w:trHeight w:val="5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变风量空调器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0.75-1.1kw/台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24h监控变风量空调机组，设备发生故障应及时现场确认故障源是否真实并按规范处置。在不同空调季节，根据楼层空气质量，启停变风量空调器。</w:t>
            </w:r>
            <w:r/>
          </w:p>
        </w:tc>
      </w:tr>
      <w:tr>
        <w:trPr>
          <w:trHeight w:val="5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新风机空调器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0.55-1.8kw/台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24h监控新风机组，设备发生故障应及时现场确认故障源是否真实并按规范处置。在不同空调季节，根据楼层空气质量，启停新风机组。</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送排风机组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0.37-15kw/台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24h监控送排风机组，设备发生故障应及时现场确认故障源是否真实并按规范处置。在不同空调季节，根据楼层空气质量，启停送排风机组。</w:t>
            </w:r>
            <w:r/>
          </w:p>
        </w:tc>
      </w:tr>
      <w:tr>
        <w:trPr>
          <w:trHeight w:val="5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排污泵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2.4-7.5kw/台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24h监控排污泵运行状态，设备发生故障应及时现场确认故障源是否真实并按规范处置。4号楼、5号楼有8台排污泵不在楼控系统的监控范围内，包括其他不在监控范围内的排污泵，应定期安排人工巡检工作状态。</w:t>
            </w:r>
            <w:r/>
          </w:p>
        </w:tc>
      </w:tr>
      <w:tr>
        <w:trPr>
          <w:trHeight w:val="8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生活水保压泵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3-11kw/台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24h监控生活水保压泵的运行状态，设备发生故障应及时现场确认故障源是否真实并按规范处置。</w:t>
            </w:r>
            <w:r/>
          </w:p>
        </w:tc>
      </w:tr>
      <w:tr>
        <w:trPr>
          <w:trHeight w:val="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生活水泵保压变频控制柜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每套/5台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24h监控控制柜运行状态，设备发生故障应及时现场确认故障源是否真实并按规范处置。</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制冷机、净化供热系统监控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在空调运行期间24h监控制冷剂、净化供热系统运行状态，设备发生故障应及时现场确认故障源是否真实并按规范处置。</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空调供应、供水温度系统监控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在空调运行期间24h监控空调供应、供水温度系统运行状态，设备发生故障应及时现场确认故障源是否真实并按规范处置。</w:t>
            </w:r>
            <w:r/>
          </w:p>
        </w:tc>
      </w:tr>
      <w:tr>
        <w:trP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送排风设备、新风设备控制系统监控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在空调运行期间24h监控送排风状态、新风设备控制系统运行状态，设备发生故障应及时现场确认故障源是否真实并按规范处置。</w:t>
            </w:r>
            <w:r/>
          </w:p>
        </w:tc>
      </w:tr>
      <w:tr>
        <w:trPr>
          <w:trHeight w:val="1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送排风设备、新风设备控制系统运行时间的设定及报警处理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在空调运行期间24h监控送排风系统运行状态，设备发生故障应及时现场确认故障源是否真实并按规范处置。</w:t>
            </w:r>
            <w:r/>
          </w:p>
        </w:tc>
      </w:tr>
      <w:tr>
        <w:trPr>
          <w:trHeight w:val="11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全院排污设备的监控及报警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小时值班守护楼宇控制系统，设备发生故障应及时现场确认故障源是否真实并按规范处置，接收电话工作指令，夜间发生紧急故障时确保和白天一样15分钟内响应并及时按规范处理；监控排污设备的运行状态，发现报警信号应及时上报并确认故障类型。</w:t>
            </w:r>
            <w:r/>
          </w:p>
        </w:tc>
      </w:tr>
      <w:tr>
        <w:trPr>
          <w:trHeight w:val="5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负四层生活水系统的运行监控及报警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小时值班守护楼宇控制系统，设备发生故障应及时现场确认故障源是否真实并按规范处置，接收电话工作指令，夜间发生紧急故障时确保和白天一样15分钟内响应并及时按规范处理；监控生活水系统的运行状态，发现报警信号应及时上报并确认故障类型。</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净化空调系统的监控及报警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24h监控净化空调系统的运行状态，设备发生故障应及时现场确认故障源是否真实并按规范处置。</w:t>
            </w:r>
            <w:r/>
          </w:p>
        </w:tc>
      </w:tr>
      <w:tr>
        <w:trPr>
          <w:trHeight w:val="5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冷热源联动系统的监控及报警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24h监控冷热源联动系统的运行状态，设备发生故障应及时现场确认故障源是否真实并按规范处置。</w:t>
            </w:r>
            <w:r/>
          </w:p>
        </w:tc>
      </w:tr>
      <w:tr>
        <w:trPr>
          <w:trHeight w:val="4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消防水箱水位的监控及报警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24h监控消防水箱水位的运行状态，设备发生故障应及时按程序向接口部门汇报。</w:t>
            </w:r>
            <w:r/>
          </w:p>
        </w:tc>
      </w:tr>
      <w:tr>
        <w:trPr>
          <w:trHeight w:val="5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楼宇控制系统；锅炉、阀门、循环水泵DDC控制系统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通过2台PC机监控和操作楼控系统所有设备，定期检查和运行PC机的专属程序。</w:t>
            </w:r>
            <w:r/>
          </w:p>
        </w:tc>
      </w:tr>
      <w:tr>
        <w:trPr>
          <w:trHeight w:val="5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全院电梯运行的监控及报警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24h监控全院电梯的运行状态，设备发生故障应及时按程序向接口部门汇报。</w:t>
            </w:r>
            <w:r/>
          </w:p>
        </w:tc>
      </w:tr>
      <w:tr>
        <w:trPr>
          <w:trHeight w:val="5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负1-负4层地下室CO2浓度的监控及报警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24h监控地下室CO2浓度控制系统的运行状态，设备发生故障应及时现场确认故障源是否真实并按规范处置，并确认故障类型，并及时启动手动通排风设备降低CO2浓度值。</w:t>
            </w:r>
            <w:r/>
          </w:p>
        </w:tc>
      </w:tr>
      <w:tr>
        <w:trPr>
          <w:trHeight w:val="5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生活水保压系统及生活水箱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2套/8台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小时值班守护楼宇控制系统，设备发生故障应及时现场确认故障源是否真实并按规范处置，接收电话工作指令，夜间发生紧急故障时确保和白天一样15分钟内响应并及时按规范处理；通过BA系统监控设备运行参数和报警，根据要求进行启停操作。</w:t>
            </w:r>
            <w:r/>
          </w:p>
        </w:tc>
      </w:tr>
    </w:tbl>
    <w:p>
      <w:pPr>
        <w:ind w:left="420" w:right="0" w:firstLine="482"/>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2.2楼宇控制系统设备的现场巡查内容</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（1）楼控系统各关键节点的巡查。通过巡查确保楼控系统运行处于正常的工作状态，能及时反映楼控系统对各设备的监控状态，当被监控设备出现故障时所发出的报警信号能及时反映在电脑监控界面。</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（2）生活水系统及生活水箱的巡查：每天四次（6点、12点、16点、22点）。</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（3）排污泵的巡查：每天两次（10点、16点）。</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（4）通排风机组的巡查。</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（5）负1-负4层地下室CO2浓度报警系统的巡检：每天两次（10点、16点）。</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（6）楼控系统控制柜及末端检测元器件的巡检。</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（7）冷热源联动系统的巡检。</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投标单位根据自身工作程序对以上工作内容进行文字描述。</w:t>
      </w:r>
      <w:r/>
    </w:p>
    <w:p>
      <w:pPr>
        <w:ind w:left="420" w:right="0" w:firstLine="482"/>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2.3楼宇控制系统设备维修</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全院楼宇控制系统在运行阶段，投标单位应满足对楼控系统应急故障的处理能力。具体包括：</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（1）送排风机组的维修或应急处理（不含消防排风机）。</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（2）排污泵的维修或应急处理。</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（3）生活用水保压系统的维修或应急处理。</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（4）一套智能楼控系统及一套锅炉、阀门、循环水泵DDC控制系统维修或应急处理。</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（5）冷热源联动系统的维修或应急处理。</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（6）负1-负4层地下室CO</w:t>
      </w:r>
      <w:r>
        <w:rPr>
          <w:rFonts w:ascii="SimSun" w:hAnsi="SimSun" w:eastAsia="SimSun" w:cs="SimSun"/>
          <w:color w:val="000000"/>
          <w:sz w:val="24"/>
          <w:vertAlign w:val="subscript"/>
        </w:rPr>
        <w:t xml:space="preserve">2</w:t>
      </w:r>
      <w:r>
        <w:rPr>
          <w:rFonts w:ascii="SimSun" w:hAnsi="SimSun" w:eastAsia="SimSun" w:cs="SimSun"/>
          <w:color w:val="000000"/>
          <w:sz w:val="24"/>
        </w:rPr>
        <w:t xml:space="preserve">浓度超标的应急处理（按招标方规范流程操作）。</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投标单位根据自身工作程序对以上工作内容进行文字描述。</w:t>
      </w:r>
      <w:r/>
    </w:p>
    <w:p>
      <w:pPr>
        <w:ind w:left="420" w:right="0" w:firstLine="482"/>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设备发生的故障投标单位应在15分钟内响应，24小时内处理完毕（因招标方材料供应不及时造成的延后除外）。所有设备运行完好率必须保持在95%以上，同时做到任意设备发生故障时必须有备用设备替代投入运行，不能影响系统的正常供应。投标单位在年度工作计划和月度计划中应提前向招标方列出所有设备的备品备件采购计划，应急故障发生时，在招标方同意的情况下，投标单位应做到自行采购备件确保系统正常运行。</w:t>
      </w:r>
      <w:r/>
    </w:p>
    <w:p>
      <w:pPr>
        <w:ind w:left="420" w:right="0" w:firstLine="482"/>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以上维修工作是对投标单位技术维修能力的基本要求，当送排风机组、排污泵、生活用水系统、地下室CO</w:t>
      </w:r>
      <w:r>
        <w:rPr>
          <w:rFonts w:ascii="SimSun" w:hAnsi="SimSun" w:eastAsia="SimSun" w:cs="SimSun"/>
          <w:color w:val="000000"/>
          <w:sz w:val="24"/>
          <w:vertAlign w:val="subscript"/>
        </w:rPr>
        <w:t xml:space="preserve">2</w:t>
      </w:r>
      <w:r>
        <w:rPr>
          <w:rFonts w:ascii="SimSun" w:hAnsi="SimSun" w:eastAsia="SimSun" w:cs="SimSun"/>
          <w:color w:val="000000"/>
          <w:sz w:val="24"/>
        </w:rPr>
        <w:t xml:space="preserve">浓度报警系统、冷热源联动系统出现故障时，中标单位如果不能及时排除故障，应在BA系统控制界面进行切换或手动启动设备运行以达到应急处理的目的。中标单位不能达到以上要求的标准或者由于维修能力不足对招标方楼宇控制系统的正常运行造成了影响和损失视为重大违约一次，招标方有权在季度付款时扣除考核款2万元，一年内重大违约次数达到三次，招标方可直接解除合同。</w:t>
      </w:r>
      <w:r/>
    </w:p>
    <w:p>
      <w:pPr>
        <w:ind w:left="420" w:right="0" w:firstLine="482"/>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除招标文件已有约定之外，以下情况也属于重大违约：</w:t>
      </w:r>
      <w:r/>
    </w:p>
    <w:p>
      <w:pPr>
        <w:ind w:left="420" w:right="0" w:firstLine="482"/>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（1）设备发生故障超过2小时运维人员未能及时发现；</w:t>
      </w:r>
      <w:r/>
    </w:p>
    <w:p>
      <w:pPr>
        <w:ind w:left="420" w:right="0" w:firstLine="482"/>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（2）属于特殊工种作业的维修内容，现场维修人员无证操作；</w:t>
      </w:r>
      <w:r/>
    </w:p>
    <w:p>
      <w:pPr>
        <w:ind w:left="420" w:right="0" w:firstLine="482"/>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（3）设备发生故障后，因中标方维护原因造成无备用设备保证系统正常运行；</w:t>
      </w:r>
      <w:r/>
    </w:p>
    <w:p>
      <w:pPr>
        <w:ind w:left="420" w:right="0" w:firstLine="482"/>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（4）设备发生故障后中标方因维修能力不足导致维修时间超过24小时以上；</w:t>
      </w:r>
      <w:r/>
    </w:p>
    <w:p>
      <w:pPr>
        <w:ind w:left="420" w:right="0" w:firstLine="482"/>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（5）因平时保养工作不到位造成楼控系统运行故障，导致楼控系统经常无法正常工作，相关报警信号未能及时传输至值班室电脑；</w:t>
      </w:r>
      <w:r/>
    </w:p>
    <w:p>
      <w:pPr>
        <w:ind w:left="420" w:right="0" w:firstLine="482"/>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（6）招标文件中要求工作内容完成后由相关部门签字确认，投标单位未能按要求取得签字确认表单。</w:t>
      </w:r>
      <w:r/>
    </w:p>
    <w:p>
      <w:pPr>
        <w:ind w:left="420" w:right="0" w:firstLine="482"/>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发生以上情形时，除对中标单位季度考核时扣除相应分数外，另在季度付款时扣除考核款2万元，一年内重大违约次数达到三次，招标方可直接终止合同。</w:t>
      </w:r>
      <w:r/>
    </w:p>
    <w:p>
      <w:pPr>
        <w:ind w:left="420" w:right="0" w:firstLine="482"/>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不属于投标单位责任范围内的维修工作,为了确保患者、家属及各使用部门的满意度，投标单位应按行政处的管理需求，尽力进行维修，保障系统正常运行，在维修工作结束后，应按规范填写服务表单，并按程序由各级部门负责人签字确认，招标方根据实际工作量予以结算相关费用。</w:t>
      </w:r>
      <w:r/>
    </w:p>
    <w:p>
      <w:pPr>
        <w:ind w:left="420" w:right="0" w:firstLine="482"/>
        <w:jc w:val="both"/>
        <w:spacing w:before="156"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2.4楼宇控制系统的换季保养及周期性保养</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（1）送排风机机组的换季保养及周期性保养，要求设备运行正常，公共区域送排风良好；风机电机运行正常、设备运行稳定、良好；风机叶轮轴承润滑良好，传动带松紧适中。</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（2）生活保压系统及生活水箱的换季保养及周期性保养，要求2台水箱必须保证全天24小时满水位；水箱进水水利控制阀进水正常；水箱保持清洁、箱体干净，地面整洁；</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（3）生活泵及排污泵的换季保养及周期性保养，要求设备清洁，工作正常，水位等指示正常，显示清晰，无异常杂音、无异味，无泄漏等现象，记录完备。</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投标单位根据自身工作程序对以上工作内容进行文字描述。</w:t>
      </w:r>
      <w:r/>
    </w:p>
    <w:p>
      <w:pPr>
        <w:ind w:left="420" w:right="0" w:firstLine="482"/>
        <w:jc w:val="both"/>
        <w:spacing w:before="156"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2.5楼宇控制系统对于通排风机组、新风机组根据空调负荷变化进行调整操作</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投标单位根据自身工作程序对以上工作内容进行文字描述。</w:t>
      </w:r>
      <w:r/>
    </w:p>
    <w:p>
      <w:pPr>
        <w:ind w:left="420" w:right="0" w:firstLine="482"/>
        <w:jc w:val="both"/>
        <w:spacing w:before="156"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2.6楼宇控制系统建立服务档案</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（1）、所有设备应按规范建立维修和保养服务档案，所有维修和保养的工作必须严格按照招标方的要求做到所有档案经由使用部门或行政处管理人员的签字确认，否则视为无效。</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（2）、每月的维修保养表单应按要求交由行政部门统计确认工作量。</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（3）、每年的设备维修保养档案应按行政部门要求归档留存。</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（4）、投标单位应建立规范的档案管理制度，并设立独立的档案存储空间，以备招标方随时抽检。抽检发现当年度档案出现缺失超过三件，视为重大违约一次，招标方有权在季度付款时扣除考核款2万元。</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（5）、投标单位根据招标文件需求对应不同工作内容设计针对性的服务表单，在进场后一周内应建立并公示档案管理制度，经招标方认可后按招标方统一管理规定的模板在档案室悬挂上墙。</w:t>
      </w:r>
      <w:r/>
    </w:p>
    <w:p>
      <w:pPr>
        <w:ind w:left="420" w:right="0" w:firstLine="0"/>
        <w:jc w:val="both"/>
        <w:spacing w:before="210" w:after="12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both"/>
        <w:spacing w:before="210" w:after="12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3、运行节能计划的操作和实施</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（1）投标单位应根据招标单位中央空调系统自身特点制定详尽的节能计划和方案，节能计划的科学性和可行性作为本次招标的评分内容之一。</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（2）招标方会对中标单位是否严格按照计划和方案实施进行考核。</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招标方每月对全院的水电气能耗进行统计，并与往年数据进行分析比较，如果是因为中标单位的节能工作没有按计划实施造成了招标方运行能耗的增长，则根据能耗增长总数对中标单位予以每次考核5000-20000元。</w:t>
      </w:r>
      <w:r/>
    </w:p>
    <w:p>
      <w:pPr>
        <w:ind w:left="420" w:right="0" w:firstLine="482"/>
        <w:jc w:val="both"/>
        <w:spacing w:before="156" w:after="12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4、投标单位需为本项目正常运行提供以下工具、设备、仪器等，具体数量和费用根据现场实际需要在成本组合中列出</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4"/>
        <w:gridCol w:w="2960"/>
        <w:gridCol w:w="2080"/>
        <w:gridCol w:w="1120"/>
        <w:gridCol w:w="2020"/>
      </w:tblGrid>
      <w:tr>
        <w:trPr>
          <w:trHeight w:val="40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0"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spacing w:before="0" w:after="0" w:line="57" w:lineRule="atLeast"/>
            </w:pPr>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打印机</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spacing w:before="0" w:after="0" w:line="57" w:lineRule="atLeast"/>
            </w:pPr>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吸尘器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维修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spacing w:before="0" w:after="0" w:line="57" w:lineRule="atLeast"/>
            </w:pPr>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专用清洗车（含负压抽水）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清洗风机交换器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spacing w:before="0" w:after="0" w:line="57" w:lineRule="atLeast"/>
            </w:pPr>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工具柜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spacing w:before="0" w:after="0" w:line="57" w:lineRule="atLeast"/>
            </w:pPr>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气泵（含常用配件）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0"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维修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spacing w:before="0" w:after="0" w:line="57" w:lineRule="atLeast"/>
            </w:pPr>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逆变焊机（250）</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spacing w:before="0" w:after="0" w:line="57" w:lineRule="atLeast"/>
            </w:pPr>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焊、割枪</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spacing w:before="0" w:after="0" w:line="57" w:lineRule="atLeast"/>
            </w:pPr>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砂轮切割机</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spacing w:before="0" w:after="0" w:line="57" w:lineRule="atLeast"/>
            </w:pPr>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台钳</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spacing w:before="0" w:after="0" w:line="57" w:lineRule="atLeast"/>
            </w:pPr>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台式磨光砂轮机</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spacing w:before="0" w:after="0" w:line="57" w:lineRule="atLeast"/>
            </w:pPr>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套丝机</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spacing w:before="0" w:after="0" w:line="57" w:lineRule="atLeast"/>
            </w:pPr>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人字梯（大、中、小）</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spacing w:before="0" w:after="0" w:line="57" w:lineRule="atLeast"/>
            </w:pPr>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升降梯</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spacing w:before="0" w:after="0" w:line="57" w:lineRule="atLeast"/>
            </w:pPr>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手枪钻（两用）</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spacing w:before="0" w:after="0" w:line="57" w:lineRule="atLeast"/>
            </w:pPr>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充电双速手枪钻</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spacing w:before="0" w:after="0" w:line="57" w:lineRule="atLeast"/>
            </w:pPr>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冲击电锤</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spacing w:before="0" w:after="0" w:line="57" w:lineRule="atLeast"/>
            </w:pPr>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角磨机</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spacing w:before="0" w:after="0" w:line="57" w:lineRule="atLeast"/>
            </w:pPr>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接线盘</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spacing w:before="0" w:after="0" w:line="57" w:lineRule="atLeast"/>
            </w:pPr>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应急灯</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spacing w:before="0" w:after="0" w:line="57" w:lineRule="atLeast"/>
            </w:pPr>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梅花扳手</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spacing w:before="0" w:after="0" w:line="57" w:lineRule="atLeast"/>
            </w:pPr>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开口扳手</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spacing w:before="0" w:after="0" w:line="57" w:lineRule="atLeast"/>
            </w:pPr>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套筒扳手</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spacing w:before="0" w:after="0" w:line="57" w:lineRule="atLeast"/>
            </w:pPr>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拉子</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spacing w:before="0" w:after="0" w:line="57" w:lineRule="atLeast"/>
            </w:pPr>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黄油枪</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spacing w:before="0" w:after="0" w:line="57" w:lineRule="atLeast"/>
            </w:pPr>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套装起子</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spacing w:before="0" w:after="0" w:line="57" w:lineRule="atLeast"/>
            </w:pPr>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压线钳</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spacing w:before="0" w:after="0" w:line="57" w:lineRule="atLeast"/>
            </w:pPr>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网线压线钳</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spacing w:before="0" w:after="0" w:line="57" w:lineRule="atLeast"/>
            </w:pPr>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玻璃胶枪</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spacing w:before="0" w:after="0" w:line="57" w:lineRule="atLeast"/>
            </w:pPr>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电烙铁</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spacing w:before="0" w:after="0" w:line="57" w:lineRule="atLeast"/>
            </w:pPr>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铆钉枪</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spacing w:before="0" w:after="0" w:line="57" w:lineRule="atLeast"/>
            </w:pPr>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撬棍</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spacing w:before="0" w:after="0" w:line="57" w:lineRule="atLeast"/>
            </w:pPr>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活动扳手</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spacing w:before="0" w:after="0" w:line="57" w:lineRule="atLeast"/>
            </w:pPr>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管子钳</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spacing w:before="0" w:after="0" w:line="57" w:lineRule="atLeast"/>
            </w:pPr>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钢锯</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spacing w:before="0" w:after="0" w:line="57" w:lineRule="atLeast"/>
            </w:pPr>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内六角</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spacing w:before="0" w:after="0" w:line="57" w:lineRule="atLeast"/>
            </w:pPr>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点温仪</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spacing w:before="0" w:after="0" w:line="57" w:lineRule="atLeast"/>
            </w:pPr>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万用表</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spacing w:before="0" w:after="0" w:line="57" w:lineRule="atLeast"/>
            </w:pPr>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电流表</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spacing w:before="0" w:after="0" w:line="57" w:lineRule="atLeast"/>
            </w:pPr>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兆欧表</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spacing w:before="0" w:after="0" w:line="57" w:lineRule="atLeast"/>
            </w:pPr>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温湿度计</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spacing w:before="0" w:after="0" w:line="57" w:lineRule="atLeast"/>
            </w:pPr>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日常维修工具（含工具包）</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spacing w:before="0" w:after="0" w:line="57" w:lineRule="atLeast"/>
            </w:pPr>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空调维修工具</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spacing w:before="0" w:after="0" w:line="57" w:lineRule="atLeast"/>
            </w:pPr>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真空泵</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spacing w:before="0" w:after="0" w:line="57" w:lineRule="atLeast"/>
            </w:pPr>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PPR热熔机</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激光水平仪</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转速仪</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60"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便携式焊炬</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center"/>
            <w:textDirection w:val="lrTb"/>
            <w:noWrap/>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20" w:type="dxa"/>
            <w:vAlign w:val="center"/>
            <w:textDirection w:val="lrTb"/>
            <w:noWrap/>
          </w:tcPr>
          <w:p>
            <w:pPr>
              <w:spacing w:before="0" w:after="0" w:line="57" w:lineRule="atLeast"/>
            </w:pPr>
            <w:r/>
            <w:r/>
          </w:p>
        </w:tc>
      </w:tr>
    </w:tbl>
    <w:p>
      <w:pPr>
        <w:ind w:left="420" w:right="0" w:firstLine="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both"/>
        <w:spacing w:before="156"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二、托管员工配置要求</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中央空调系统、楼宇控制系统托管服务招标内容考虑到实际工作量及劳动法的规定、节假日调休等因素，现场需配备的员工不低于19人：其中项目经理1人；中央空调系统24h值守不低于4人；楼宇控制系统24h值守不低于4人；核心技术人员不低于3人；全院空调末端过滤网清洗及维保维修人员不低于7人。本项目每个夜班值守不低于2人。项目经理须持有特种设备安全管理作业证，并持有有效期内并经复审合格的制冷与空调作业证、低压电工作业证；核心技术人员不低于3人持有政府部门颁发或可在政府网站查询的制冷工高级证书、电工高级证书，其余维</w:t>
      </w:r>
      <w:r>
        <w:rPr>
          <w:rFonts w:ascii="SimSun" w:hAnsi="SimSun" w:eastAsia="SimSun" w:cs="SimSun"/>
          <w:color w:val="000000"/>
          <w:sz w:val="24"/>
        </w:rPr>
        <w:t xml:space="preserve">保维修人员持有有效期内并经复审合格的制冷与空调作业证、低压电工作业证，且不低于1人持有有效期内并经复审合格的焊接与热切割作业证；中央空调系统24H值守人员持有特种设备安全管理证或压力容器作业证；楼宇控制系统24H值守人员持有有效期内并经复审合格的低压电工作业证。</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2、投标单位对于以上所有岗位的员工因故缺岗时应提前安排对应岗位员工顶替工作，做到按照值班表规定的人数满岗在勤，不得缺岗，否则按脱岗现象进行处理。</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所有人员必须遵守国家的法律、法规及招标方的各项规章制度，具有良好素养和上岗资质，政治清白，无不良记录及嗜好，爱岗敬业、工作勤快，礼貌待人、和蔼处事，着装统一，身体健康，有责任心，要有处理突发事件的经验；保持良好上岗仪态，值班人员上岗时必须遵守“五不”，即不喝酒、不抽烟、不擅离工作岗位，不迟到早退，不做与工作无关的事。</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4、项目经理工作技能要求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除维修技工岗位技能要求之外，项目经理须具备以下技能: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（1）、根据本项目设备运行安全管理的需要，项目经理需取得相应技能证书。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（2）、协调好本项目所有员工的关系，安排好每一天的工作，并做好相关工作的监督检查工作。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（3）、能够准确有效地制定本项目的工作计划:所有设备的月度计划、半年度保养计划以及年度工作计划。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（4）、熟悉本项目涉及的所有表单，并能就每一张表单完成与甲方或物业的沟通确认工作。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（5）、完成对本项目员工的管理，对违章员工的教育沟通、处罚工作。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（6）、对本项目涉及设备和系统中不合理的地方，提出改进意见、方案。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（7）、做好与其他项目之间的沟通，在有紧急或应急事件发生时的人员支援工作。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（8）、定期做好本项目中员工的培训考核工作。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（9）、做好储备干部的培训。</w:t>
      </w:r>
      <w:r/>
    </w:p>
    <w:p>
      <w:pPr>
        <w:ind w:left="0" w:right="0" w:firstLine="482"/>
        <w:jc w:val="both"/>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5、中央空调系统及楼宇控制系统24h值班人员工作技能要求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（1）、熟悉中央空调系统操作并有3年以上独立操作经验。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（2）、熟悉电脑Windows操作系统和楼控系统并有3年以上独立操作经验。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（3）、熟悉约克离心机组、联丰模块机的操作和基本维护。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（4）、掌握基本电工知识，夜间能处理风机盘管故障、水管路电动阀故障及照明灯一般故障的维修工作。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掌握空调系统的操作规程和常见故障处理方法，含水泵启停程序、主机开关机程序、简单故障处理、准确做好空调设备运行记录，并能掌握重要数据的正常范围值；熟悉楼宇控制系统的操作及末端设备显示故障的基本判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（6）、熟悉空调主机系统原理、管道走向规律，各管路阀门的开关状态，楼层区域管道阀门控制部分的调节。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（7）、巡查空调主机运行情况，发现异常现象及时处理，处理不好要及时上报，同时做好故障现象记录。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（8）、负责报修电话的接听及记录，及时通知维修人员，记录好维修情况。根据空调使用场所的实际情况和环境温度变化情况，合理启停空调末端设备，努力降低运行成本。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（9）、学会机房内安全操作规程，掌握空调主机房应急预案的处理，预防事故扩大，减少意外事故造成的额外损失。熟悉涉及水、电、气、火等事故的正确处理方法。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（10）、熟练掌握新风机、送排风机、排污泵的位置，熟悉日常巡查项目内容，末端过滤网的清洗。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（11）、值班人员应坚守岗位，严格交接班制度，保持机房及值班室的卫生清洁，保管好设备机房的钥匙。对进入空调机房的检查人员及维修的厂方人员给予接待、配合。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（12）、涉及相关工作内容的员工需持相应证书上岗，相关证件在值班室公示悬挂，以备招标方岗位检查时核验。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、核心技术人员工作技能要求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按岗位要求持有特种设备维修所需要的各种证件，并且具备继续学习和考证的自觉性。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能独立完成风机盘管、新风机组、水泵、冷却塔、配电柜的所有维修内容；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能熟练看懂二次回路图纸，并且通过图纸和故障现象查出故障原因，独立排除故障；</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能独立完成多联机组的故障处理；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能独立操作楼宇控制系统的监控电脑，完全理解控制逻辑，并通过修改参数达到满足设备运行和系统节能的要求；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能够组织和协调团队完成领导交付的各种维修保养任务；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能够对项目团队起到“帮、传、带“的模范作用。</w:t>
      </w:r>
      <w:r/>
    </w:p>
    <w:p>
      <w:pPr>
        <w:ind w:left="420" w:right="0" w:firstLine="0"/>
        <w:jc w:val="both"/>
        <w:spacing w:before="156"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7、维保维修人员工作技能要求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除值班员岗位技能要求之外，维修技工还应掌握以下内容: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（1）、熟悉空调水、电、气系统管道，了解空调系统工作方式及送排风系统，熟悉末端设备的结构、性能及系统情况，必须掌握制冷与供热系统的调节，各阀门的开启关闭状态。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每日巡查末端设备运行情况及空调使用区域的温度调整，发现隐患及时处理，使设备处于优良状态。1楼大厅每天至少2次空调运转情况及温度检查，每周必须对所有空调末端设备及送排风机控制柜检查一遍，对托管系统内的所有水泵、含排污泵每周检查2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掌握风机盘管、新风机组、送排风机、排污泵、空调水泵等各类电机维护及轴承电机更换技能，能够判断运行设备的各种异常情况，能独立完成或以个人为主他人辅助完成设备的维修工作，可以检修电器设备控制系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负责空调辅助及末端设备的日常保养维修和故障的检查处理，定期检查设备传动部分，电器元件及接线部分，检查管路阀门等末端设备运行情况，并定期添加润滑油及常规的检修保养。能够独立完成水泵，冷却塔等设备的日常维护及换季保养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（5）、在清洗人员不足时负责风机盘管回风网、新风机过滤网、送排风口的清洗。</w:t>
      </w:r>
      <w:r/>
    </w:p>
    <w:p>
      <w:pPr>
        <w:ind w:left="420" w:right="0" w:firstLine="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（6）、冷却塔运行期间，每天检查塔体水位、风机运行状态，顶楼空调补水系统每天巡查进水浮球工作情况。</w:t>
      </w:r>
      <w:r/>
    </w:p>
    <w:p>
      <w:pPr>
        <w:ind w:left="420" w:right="0" w:firstLine="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（7）、对应岗位人员负责的维护保养项目、必须熟识其工作原理、自觉检查、发现异常及时处理，多做预防性维护。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rPr>
          <w:rFonts w:ascii="SimSun" w:hAnsi="SimSun" w:eastAsia="SimSun" w:cs="SimSun"/>
          <w:color w:val="000000"/>
          <w:sz w:val="24"/>
          <w:u w:val="none"/>
        </w:rPr>
        <w:t xml:space="preserve">涉及相关工作内容的员工需持相应证书上岗</w:t>
      </w:r>
      <w:r>
        <w:rPr>
          <w:rFonts w:ascii="SimSun" w:hAnsi="SimSun" w:eastAsia="SimSun" w:cs="SimSun"/>
          <w:color w:val="000000"/>
          <w:sz w:val="24"/>
        </w:rPr>
        <w:t xml:space="preserve">，相关证件在值班室公示悬挂，以备招标方岗位检查时核验。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both"/>
        <w:spacing w:before="156"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三、托管服务考核与承诺</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1、投标单位应拟订中央空调系统及楼宇控制系统的管理规章制度和实施细则，经招标方书面审批同意后予以实施。</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2、投标单位应拟订原材料、低值易耗品及杂件需求计划，经招标方书面审批同意后予以实施。</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单位应确保中央空调系统及楼宇控制系统24h值守巡检工作每天各配备1名值守工作人员，白班维修人员和值守人员工作岗位不能重合，以确保值守和维修工作独立，不出现服务空窗期，所有工作指令和故障报修得到妥善处理，夜班值守人员应具备维修能力，特殊维修工种应持证上岗。</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单位应按招标文件的规定确保现场工作人员的稳定性，根据现场工作内容和工作量的需求，中央空调系统及楼控系统现场工作人员（含管理人员）不低于19人。各岗位应根据不同工种的需求持证上岗。中标单位进场前应根据投标文件中工作人员清单列出第一个月的排班计划表，以后每个月开始的前一周列出下月排班计划表呈报招标方行政管理部门。招标方根据排班计划表随时与投标文件中的人员名单进行核实，为了确保投标文件的真实性和现场服务质量，</w:t>
      </w:r>
      <w:r>
        <w:rPr>
          <w:rFonts w:ascii="SimSun" w:hAnsi="SimSun" w:eastAsia="SimSun" w:cs="SimSun"/>
          <w:color w:val="000000"/>
          <w:sz w:val="24"/>
          <w:u w:val="none"/>
        </w:rPr>
        <w:t xml:space="preserve">中标单位半年内现场工作人员与投标时提供的所有人员名单变化不得超过20%，否则视为重大违约一次，招标方在季度付款时扣除考核款2万元；一年内变化超过30%时，招标方在季度付款时扣除考核款5万元，同时可直接解除合同。</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中标单位出现人员流动后，应及时补充工作人员，确保工作岗位不出现空缺并及时向招标方报备。中标单位对于新进工作人员按岗位要求持证上岗，一个月内与新进人员按规范签订劳动合同、办理用工手续，对新进人员进行安全培训和岗位技能培训，同时向招标方报备调整后的排班计划表。</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SimSun" w:hAnsi="SimSun" w:eastAsia="SimSun" w:cs="SimSun"/>
          <w:color w:val="000000"/>
          <w:sz w:val="24"/>
          <w:u w:val="none"/>
        </w:rPr>
        <w:t xml:space="preserve">为确保本次招标项目平稳运行，投标单位在投标文件中针对</w:t>
      </w:r>
      <w:r>
        <w:rPr>
          <w:rFonts w:ascii="SimSun" w:hAnsi="SimSun" w:eastAsia="SimSun" w:cs="SimSun"/>
          <w:color w:val="000000"/>
          <w:sz w:val="24"/>
        </w:rPr>
        <w:t xml:space="preserve">中央空调系统、楼宇控制系统托管服务列出的项目经理在本项目连续服务期限不得低于1年（因招标方考核不合格要求更换除外），合同执行的后续年度，更换项目经理需征得招标方同意。除项目经理外，投标单位在投标文件中应列出9名主要工作人员，在本项目连续服务期限不得低于1年（因招标方考核不合格要求更换除外），以上人员变化超过2人时，视为重大违约一次，招标方在季度付款时扣除考核款2万元；同类型的重大违约发生三次招标方可直接解除合同。</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color w:val="000000"/>
          <w:sz w:val="24"/>
          <w:u w:val="none"/>
        </w:rPr>
        <w:t xml:space="preserve">招标方对于本项目团队以年为周期对中标单位进行综合评估，评估内容包括合同范围内设备运行正常率、团队技能服务水平、</w:t>
      </w:r>
      <w:r>
        <w:rPr>
          <w:rFonts w:ascii="SimSun" w:hAnsi="SimSun" w:eastAsia="SimSun" w:cs="SimSun"/>
          <w:color w:val="000000"/>
          <w:sz w:val="24"/>
        </w:rPr>
        <w:t xml:space="preserve">团队服务态度、应急故障处置的高效合理性、内部管理规范性、管理有效性等方面。如年度评估结果为不合格，招标方有权在第四季度付款时扣除考核款5万元，同时可直接解除合同。</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SimSun" w:hAnsi="SimSun" w:eastAsia="SimSun" w:cs="SimSun"/>
          <w:color w:val="000000"/>
          <w:sz w:val="24"/>
          <w:u w:val="none"/>
        </w:rPr>
        <w:t xml:space="preserve">招标方对项目经理定期进行综合评估考核，评估考核内容包括本项目团队管理、沟通的及时有效性、项目运营合理化建议等方面，如评估考核结果为不合格，投标单位必须在1个月内予以更换，以上考核情况视为重大违约一次，招标方在季度付款时扣除考核款2万元。连续三个项目经理评估不合格，可直接解除合同。</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rPr>
          <w:rFonts w:ascii="SimSun" w:hAnsi="SimSun" w:eastAsia="SimSun" w:cs="SimSun"/>
          <w:color w:val="000000"/>
          <w:sz w:val="24"/>
          <w:u w:val="none"/>
        </w:rPr>
        <w:t xml:space="preserve">中标单位合同范围内设备因管理原因出现重大故障，直接影响到招标方空调正常使用时，招标方在季度付款时扣除考核款5万元，同时可直接解除合同。</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rPr>
          <w:rFonts w:ascii="SimSun" w:hAnsi="SimSun" w:eastAsia="SimSun" w:cs="SimSun"/>
          <w:color w:val="000000"/>
          <w:sz w:val="24"/>
          <w:u w:val="none"/>
        </w:rPr>
        <w:t xml:space="preserve">中标单位因管理原因出现安全事故，导致人员发生重大伤亡或招标方财产损失严重的，招标方可中止支付合同款项，待投标单位与受损方达成和解协议或仲裁、判决出现，中标方按协商或判决结果执行结束后，招标方扣除考核款5万元再进行支付，同时可直接解除合同。</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rPr>
          <w:rFonts w:ascii="SimSun" w:hAnsi="SimSun" w:eastAsia="SimSun" w:cs="SimSun"/>
          <w:color w:val="000000"/>
          <w:sz w:val="24"/>
          <w:u w:val="none"/>
        </w:rPr>
        <w:t xml:space="preserve">中标单位1年内被患者及家属或招标方工作人员投诉，经招标方确认投诉合理的情况下，招标方在季度付款时扣除考核款2万元，达到5次，招标方可直接解除合同。</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rPr>
          <w:rFonts w:ascii="SimSun" w:hAnsi="SimSun" w:eastAsia="SimSun" w:cs="SimSun"/>
          <w:color w:val="000000"/>
          <w:sz w:val="24"/>
          <w:u w:val="none"/>
        </w:rPr>
        <w:t xml:space="preserve">根据招标文件要求，现场服务所需的设备、仪器清单（对应设备仪器的操作说明书、维保保养表格及详细技术资料），中标单位在进场一个月内将清单中对应的工具设备仪器全部就位，每延迟一周招标方在季度付款时扣除考核款2000元，连续三次延迟视为重大违约一次，招标方在季度付款时扣除考核款2万元。为了防止投标单位将上述工具设备仪器展示验收完挪往他处的虚假行为，一经发现，同样作为重大违约一次考核。</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投标单位中标后一周内应向招标方行政处提供与招标文件工作内容对应的安全管理文件，经招标方书面审批同意后予以实施。投标单位应制定并建立健全完善的突发重大事件及流行病毒防控的应急处理预案，对安全、消防的突发事件、重大事件进行应急处理（如人身安全事故、设备安全事故、火灾、淹水等），并立即向招标方报告，服从招标方统一工作安排。</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13、投标单位进场一个月内应拟订中央空调系统和楼宇控制系统维修保养计划，经招标方书面审批同意后予以实施。</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14、投标单位保证按照招标文件规定配备的人员和设施设备配置，确保各岗位工作人员掌握和了解服务内容和要求，及时、有效、保质保量完成各项工作，主动接受招标方监督检查。</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15、投标单位应向招标方提交年度工作总结和计划报告。</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16、投标单位应向招标方提供年度及重大节假日安全检查报告。</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投标单位应教育工作人员自觉遵守招标方各项规章制度。要求工作人员讲文明礼貌、态度和蔼，树立以病人为中心，服务于临床的服务理念，对病人有爱心、耐心，自觉维护招标方的社会形象。加强工作人员职业道德和法治教育，做好保密工作。</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投标单位项目经理必须加强监督管理工作，每天进行现场检查，督导其工作人员的工作，积极主动与招标方相关负责人员做好沟通，及时发现问题纠正解决，不断提高服务质量。如投标单位服务人员因故不能出勤的，应由投标单位安排其他休息员工完成该缺勤员工的工作，并及时通知招标方。</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采取合理安全保障措施，做好安全工作，发现有设施损坏和跑、冒、滴、漏现象立即报告，杜绝一切重大故障发生。因投标单位原因而导致发生安全责任事故或导致招标方、投标单位或任何第三方出现人身、财产损失的，投标单位自行承担有关责任，并承担全部的连带赔偿责任，招标方有权从应付服务费中扣除相关赔偿款项。招标人不承担任何责任时，可终止支付合同款项，待投标单位与受损方达成和解协议或仲裁、判决出现结果，再进行支付，招标人有权终止合同。</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20、投标单位应做好工作人员岗前培训、工作流程及工作技能培训、消防安全培训与技术培训等各项培训工作，在发现服务质量存在问题时应进行有针对性的专项培训。做好培训记录，保证服务质量。</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在任何情况下，投标单位指派遣至招标方提供服务的工作人员，招标方与该员工不存在任何法律上或事实上的劳动关系。投标单位应与其员工明确劳动关系，签订和完善劳动合同，招标方有权随时查看投标单位与其员工签订的劳动合同和缴纳社保的情况。投标单位加强对其员工的职业安全保障，按照国家和当地政府的规定为其员工购买保险，提供劳动保护用品，采取合理的劳动保护措施，及时支付员工劳动薪酬、社保保险等各项保障资金。为保障本项目安全运行，</w:t>
      </w:r>
      <w:r>
        <w:rPr>
          <w:rFonts w:ascii="SimSun" w:hAnsi="SimSun" w:eastAsia="SimSun" w:cs="SimSun"/>
          <w:color w:val="000000"/>
          <w:sz w:val="21"/>
        </w:rPr>
        <w:t xml:space="preserve">投标单位需为拟派至本项目的员工购买不低于</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万元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人雇主责任险或商业意外险</w:t>
      </w:r>
      <w:r>
        <w:rPr>
          <w:rFonts w:ascii="SimSun" w:hAnsi="SimSun" w:eastAsia="SimSun" w:cs="SimSun"/>
          <w:color w:val="000000"/>
          <w:sz w:val="24"/>
        </w:rPr>
        <w:t xml:space="preserve">，并提供保单备查。其员工发生任何工伤、意外伤害、纠纷时，投标单位应根据《中华人民共和国安全生产法》，《江苏省安全生产条例》和相关国家和地方法律、法规、规定相关内容进行处置，如果造成后果投标单位承担一切法律责任和一切经济责任。招标方有权终止合同。</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出现人员变化后，应及时为新进人员办理社保和雇主责任险或商业意外险，出现人员变化一个月内向招标方管理部门提供缴纳证明材料，如发现投标单位存在未按法律法规的规定及招标文件要求为员工办理社保和雇主责任险的情况，每发现一次视为重大违约，招标方在季度付款时扣除考核款2万元；如单次发现5人以上漏交，招标方可直接解除合同，同时招标方在季度付款时扣除考核款5万元。</w:t>
      </w:r>
      <w:r/>
    </w:p>
    <w:p>
      <w:pPr>
        <w:ind w:left="0" w:right="0" w:firstLine="48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应在每月末列出下月度员工当班计划表供招标方不定期现场抽查，投标单位所有员工在上班时段应满勤在岗，发现有脱岗现象予以1500元/人的处罚。如果脱岗人数超出当天应在岗人数20%以上则视为重大违约一次，招标方在季度付款时扣除考核款2万元，一年内出现三次重大违约作解除合同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22、投标单位及投标单位工作人员具有法律法规或有关部门规定的提供本合同项下服务的相关资质。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净化区域系统托管服务内容</w:t>
      </w: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一、招标范围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1、一号楼9楼产科手术室、净化机组5台；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2、一号楼9楼ICU、净化机组1台；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3、一号楼11楼新生儿、净化机组1台；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4、四号楼1楼供应室、净化机组2台；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w:t>
      </w:r>
      <w:r>
        <w:rPr>
          <w:rFonts w:ascii="SimSun" w:hAnsi="SimSun" w:eastAsia="SimSun" w:cs="SimSun"/>
          <w:color w:val="000000"/>
          <w:sz w:val="24"/>
        </w:rPr>
        <w:t xml:space="preserve">四号楼2-3楼妇科手术室、净化机组9台；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6、四号楼4-5楼生殖中心、净化机组4台；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7、四号楼6楼科研室、净化机组1台；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8、九号楼2楼高通量测序实验室、净化机组3台；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服务范围含上述区域内各类净化手术室、洁净走道、污物走道及设备机房，冷热源设备（热泵机组）、空调水系统、洁净空调系统、排风系统、强弱电及照明系统、医气系统、给排水系统、净化空调机组、排风机组、智能控制系统、IT供电系统、自控系统、多功能情报面板、加湿系统等维修保养；所有区域装饰的维修保养，以及相应的材料更换（材料明细详见招标文件净化区域空调系统托管服务内容第五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8、净化区域空调机组生产单位及施工单位明细</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6"/>
        <w:gridCol w:w="3321"/>
        <w:gridCol w:w="4119"/>
      </w:tblGrid>
      <w:tr>
        <w:trPr>
          <w:trHeight w:val="6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2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净化机组生产单位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净化区域施工单位</w:t>
            </w:r>
            <w:r/>
          </w:p>
        </w:tc>
      </w:tr>
      <w:tr>
        <w:trPr>
          <w:trHeight w:val="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雅士空调(广州)有限公司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西安市四腾工程有限公司</w:t>
            </w:r>
            <w:r/>
          </w:p>
        </w:tc>
      </w:tr>
      <w:tr>
        <w:trPr>
          <w:trHeight w:val="10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广州同方瑞风空调科技有限公司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海南灵镜医疗净化工程有限公司</w:t>
            </w:r>
            <w:r/>
          </w:p>
        </w:tc>
      </w:tr>
      <w:tr>
        <w:trPr>
          <w:trHeight w:val="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南京天加空调设备有限公司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苏州理想洁净技术有限公司</w:t>
            </w:r>
            <w:r/>
          </w:p>
        </w:tc>
      </w:tr>
      <w:tr>
        <w:trPr>
          <w:trHeight w:val="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2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品牌BG</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9"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南京特锐德环境有限公司</w:t>
            </w:r>
            <w:r/>
          </w:p>
        </w:tc>
      </w:tr>
    </w:tbl>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二、托管服务质量要求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保南京市妇幼保健院全院净化系统、强弱电系统的设备始终处于良好的运行状态，洁净手术室的七大洁净指标(温湿度、风速或换气次数、噪声、静压差、照度、悬浮粒子、沉降菌)符合《医院洁净手术部建筑技术规范》GB50333标准、《医院空气净化管理规范》WS/T368及《手术部(室)医院感染控制标准》WS/T 855等标准要求。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三、运行管理及巡查规范 </w:t>
      </w:r>
      <w:r/>
    </w:p>
    <w:p>
      <w:pPr>
        <w:ind w:left="6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1、质量管理：严格执行国家关于医院洁净区域维护的相关规范，符合医院维护管理要求。</w:t>
      </w:r>
      <w:r/>
    </w:p>
    <w:p>
      <w:pPr>
        <w:ind w:left="6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2、档案管理：定期监测记录完整档案归档、归纳监测报告，投标单位、医院行政处各保留壹份。</w:t>
      </w:r>
      <w:r/>
    </w:p>
    <w:p>
      <w:pPr>
        <w:ind w:left="6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3、巡查管理：层流效果检查，每天可通过净化自控系统进行机组监控并记录，发现问题及时解决；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4、每天对临时的维护、修理任务做好充分的准备工作，并对临时的修理任务做好记录。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5、对每天或每周维护、保养的设备有重大的质量隐患要以书面的形式立即报告医院的使用科室或行政处。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6、更换材料记录表及服务表单等资料，由使用部门确认，投标单位、医院行政处各保留壹份。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、本次招标涉及的所有工作内容，招标方将派专人进行管理和监督，投标单位需承诺同意按合同条款对中标方进行考核。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8、针对突发事件或流行病毒等特殊时期，投标单位根据医院净化区域系统运行使用的特点，按照疾控中心的相关要求制定适合净化区域系统运行的防控措施。</w:t>
      </w:r>
      <w:r/>
    </w:p>
    <w:p>
      <w:pPr>
        <w:ind w:left="-51"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四、托管服务工作内容</w:t>
      </w:r>
      <w:r/>
    </w:p>
    <w:p>
      <w:pPr>
        <w:ind w:left="-359"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4"/>
        </w:rPr>
        <w:t xml:space="preserve"> </w:t>
      </w:r>
      <w:r>
        <w:rPr>
          <w:rFonts w:ascii="Arial" w:hAnsi="Arial" w:eastAsia="Arial" w:cs="Arial"/>
          <w:b/>
          <w:color w:val="000000"/>
          <w:sz w:val="24"/>
        </w:rPr>
        <w:t xml:space="preserve">1</w:t>
      </w:r>
      <w:r>
        <w:rPr>
          <w:rFonts w:ascii="SimSun" w:hAnsi="SimSun" w:eastAsia="SimSun" w:cs="SimSun"/>
          <w:b/>
          <w:color w:val="000000"/>
          <w:sz w:val="24"/>
        </w:rPr>
        <w:t xml:space="preserve">、所有净化区域系统派专人</w:t>
      </w:r>
      <w:r>
        <w:rPr>
          <w:rFonts w:ascii="Arial" w:hAnsi="Arial" w:eastAsia="Arial" w:cs="Arial"/>
          <w:b/>
          <w:color w:val="000000"/>
          <w:sz w:val="24"/>
        </w:rPr>
        <w:t xml:space="preserve">24</w:t>
      </w:r>
      <w:r>
        <w:rPr>
          <w:rFonts w:ascii="SimSun" w:hAnsi="SimSun" w:eastAsia="SimSun" w:cs="SimSun"/>
          <w:b/>
          <w:color w:val="000000"/>
          <w:sz w:val="24"/>
        </w:rPr>
        <w:t xml:space="preserve">小时值守</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值守净化空调系统，接收电话报修工作指令；夜间发生紧急故障时确保和白天一样15分钟内响应并及时处理；定期记录净化空调系统运行参数，根据参数判断系统是否正常及设备是否存在故障需要维修。</w:t>
      </w:r>
      <w:r/>
    </w:p>
    <w:p>
      <w:pPr>
        <w:ind w:left="-359"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Arial" w:hAnsi="Arial" w:eastAsia="Arial" w:cs="Arial"/>
          <w:b/>
          <w:color w:val="000000"/>
          <w:sz w:val="24"/>
        </w:rPr>
        <w:t xml:space="preserve">2</w:t>
      </w:r>
      <w:r>
        <w:rPr>
          <w:rFonts w:ascii="SimSun" w:hAnsi="SimSun" w:eastAsia="SimSun" w:cs="SimSun"/>
          <w:b/>
          <w:color w:val="000000"/>
          <w:sz w:val="24"/>
        </w:rPr>
        <w:t xml:space="preserve">、冷热源设备（九号楼室外机组）维修保养服务内容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九号楼室外机组年度维保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建立设备维保档案，填写设备维修保养记录卡；呈交以上所有项目的年度维保工作报告书。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机组每月定期保养内容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建立设备维保档案，填写设备维修保养记录卡；呈交以上所有项目的月度维保工作报告书。</w:t>
      </w:r>
      <w:r/>
    </w:p>
    <w:p>
      <w:pPr>
        <w:ind w:left="-359" w:right="0" w:firstLine="48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2.3 净化组合式空调机组托管服务内容</w:t>
      </w:r>
      <w:r/>
    </w:p>
    <w:p>
      <w:pPr>
        <w:ind w:left="-359"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（1）净化组合式空调机组的年度保养内容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建立设备维保档案，填写设备维修保养记录卡；呈交以上所有项目的年度维护工作报告书。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（2）净化组合式空调机组的月度保养内容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建立设备维保档案，填写设备维修保养记录卡；呈交以上所有项目的月度维护工作报告书。</w:t>
      </w:r>
      <w:r/>
    </w:p>
    <w:p>
      <w:pPr>
        <w:ind w:left="-359"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2.4排风机的托管服务内容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（1）建立设备维保档案，填写设备维修保养记录卡；呈交以上所有项目的年度维护工作报告书。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（2）排风机的月度保养内容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建立设备维保档案，填写设备维修保养记录卡；呈交以上所有项目的月度维护工作报告书。</w:t>
      </w:r>
      <w:r/>
    </w:p>
    <w:p>
      <w:pPr>
        <w:ind w:left="-359"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2.5净化空调风循环系统托管服务内容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（1）建立设备维保档案，填写设备维修保养记录卡；呈交以上所有项目的维护工作报告书。</w:t>
      </w:r>
      <w:r/>
    </w:p>
    <w:p>
      <w:pPr>
        <w:ind w:left="-359"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2.6强弱电系统托管服务内容</w:t>
      </w:r>
      <w:r/>
    </w:p>
    <w:p>
      <w:pPr>
        <w:ind w:left="-359"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2.7自控控制系统托管服务内容</w:t>
      </w:r>
      <w:r/>
    </w:p>
    <w:p>
      <w:pPr>
        <w:ind w:left="-359"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2.8给排水部分托管服务内容</w:t>
      </w:r>
      <w:r/>
    </w:p>
    <w:p>
      <w:pPr>
        <w:ind w:left="-359"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2.9医用气体部分托管服务内容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投标单位根据工作程序对以上工作内容进行文字描述。</w:t>
      </w:r>
      <w:r/>
    </w:p>
    <w:p>
      <w:pPr>
        <w:ind w:left="-359"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2.10净化区域所需的现场监测、检测要求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（1）每半月对洁净手术部的正负压力进行监测并记录；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（2）每月对各级别洁净手术部手术室每个机组进行1间静态空气净化效果的监测并记录（检测过程不得影响手术室的正常工作）；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（3）每半年对洁净手术部进行一次尘埃粒子的监测，监控高效过滤器的使用状况并记录（检测过程不得影响手术室的正常工作）；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根据我院院感部门要求及手术室的使用频率，招标方要求每月清洗一次粗效过滤器、新风机组每两个月更换一次粗效过滤器、循环机组每三个月更换一次粗效过滤器；每三个月更换一次中效过滤器；每半年更换一次亚高效过滤器、每年更换一次高效过滤器（医院管理部门对于上述过滤器更换周期有不同要求时，以管理部门具体要求为准），每次更换工作完成后由各部门护士长对于更换工作和更换材料的数量、自检结果签字确认，投标单位必须将确认后的表单交行政处审核备案，自检合格后，提请具备检测资质的第三方机构现场检测，第三方检测机构应具备国家认可的检</w:t>
      </w:r>
      <w:r>
        <w:rPr>
          <w:rFonts w:ascii="SimSun" w:hAnsi="SimSun" w:eastAsia="SimSun" w:cs="SimSun"/>
          <w:color w:val="000000"/>
          <w:sz w:val="24"/>
        </w:rPr>
        <w:t xml:space="preserve">测资质证书，检测结束后应出具国家认可带有CMA标志的检测报告。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投标单位应确保检测结果为全部合格，如果检测达不到合格标准，每次在季度付款时扣除考核款5000元。连续两次检测不合格按重大违约考核，一年内重大违约达到三次，招标方可直接解除合同。</w:t>
      </w:r>
      <w:r/>
    </w:p>
    <w:p>
      <w:pPr>
        <w:ind w:left="-149"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如因为投标单位提供的材料不合格或者安装失误对净化区域空气造成污染，发生了影响到手术质量问题以及科研结果的事件，招标方在季度付款时扣除考核款5万元，同时可直接解除合同。</w:t>
      </w:r>
      <w:r/>
    </w:p>
    <w:p>
      <w:pPr>
        <w:ind w:left="-149"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应具备检测资质或委托具备检测资质的第三方检测机构开展检测工作，检测费用在标书中按清单进行报价，本项报价作为投标报价的评分依据之一。检测工作完成并全部合格后，招标方按检测报告中实际检测房间数量另行向中标方支付费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9"/>
        <w:gridCol w:w="1418"/>
        <w:gridCol w:w="3113"/>
        <w:gridCol w:w="1418"/>
        <w:gridCol w:w="1701"/>
      </w:tblGrid>
      <w:tr>
        <w:trPr>
          <w:trHeight w:val="7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检测因子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检测频次和点位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检测单价：元</w:t>
            </w:r>
            <w:r/>
          </w:p>
        </w:tc>
      </w:tr>
      <w:tr>
        <w:trPr>
          <w:trHeight w:val="9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手术中心区及辅助用房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沉降菌、悬浮粒子、静压差、风速、换气次数、温度、相对湿度、照度、噪声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1个房间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周边区域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沉降菌、悬浮粒子、静压差、风速、换气次数、温度、相对湿度、照度、噪声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1个房间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9"/>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359"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2.11供应室设备托管服务要求：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（1）供应室蒸汽发生器每日巡查三次（巡查时间为8:00、10:00、14:00）并做好巡查记录（巡查记录包含蒸汽发生器水箱水位、蒸汽压力、电导率、软水箱水位以及补水泵运行状态等）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（2）供应室组合式纯水机每日巡查三次，并做好巡查记录。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（3）蒸汽发生器和纯水机的应急维修服务。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（4）四号楼二楼纯水机的日常巡查和维护。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（5）四号楼二楼的应急维修。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（6）四号楼二楼每周添加再生剂。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（7）四号楼二楼每月添加消毒剂。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院内200台多联机内机过滤网清洗。（包含膳食科、8号楼、后门小综合楼、1号楼牙科、血库、美容科）清洗周期为每两个月一次，清洗工作结束后，投标单位应提供清洗记录由对应部门负责人签字确认工作量后交给行政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2.13加湿桶维护工作内容：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（1）每周排污一次，排污后需检测水质硬度符合要求；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（2）加湿桶每月除垢一次，将电极浸泡于除垢药剂中直至水垢除尽再安装恢复；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（3）每月清洗加湿桶配套水系统过滤网，将水垢清洗干净再恢复安装。</w:t>
      </w:r>
      <w:r/>
    </w:p>
    <w:p>
      <w:pPr>
        <w:ind w:left="-52"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3、净化区域设备的日常保养内容</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8"/>
        <w:gridCol w:w="3822"/>
        <w:gridCol w:w="1718"/>
        <w:gridCol w:w="210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4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新风入口过滤网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每周清洗一次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使用区域排风过滤网、排风口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每半月清洗、清洁一次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高效出风口清洗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每周一次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净化机组冷凝水盘清洗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每周一次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手术室显示屏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每月除尘一次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初效过滤器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每2个月更换一次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每月清洗一次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中效过滤袋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3个月更换一次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亚高效过滤器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半年更换一次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高效过滤器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1年更换一次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净化空调机组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3个月除尘、清洗、消毒一次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洁净区域层流出风口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每周清洁一次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吸尘器吸尘</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洁净区域回风口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8"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每周清洁一次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每季度吸尘器吸尘回风口管道</w:t>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检查机组运行记录运行数据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8" w:type="dxa"/>
            <w:vAlign w:val="center"/>
            <w:vMerge w:val="restart"/>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每天一次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8"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检查膨胀阀工作情况。</w:t>
            </w:r>
            <w:r/>
          </w:p>
        </w:tc>
        <w:tc>
          <w:tcPr>
            <w:vMerge w:val="continue"/>
            <w:textDirection w:val="lrTb"/>
            <w:noWrap w:val="false"/>
          </w:tcPr>
          <w:p>
            <w:r/>
            <w:r/>
          </w:p>
        </w:tc>
        <w:tc>
          <w:tcPr>
            <w:vMerge w:val="continue"/>
            <w:textDirection w:val="lrTb"/>
            <w:noWrap w:val="false"/>
          </w:tcPr>
          <w:p>
            <w:r/>
            <w:r/>
          </w:p>
        </w:tc>
      </w:tr>
      <w:tr>
        <w:trPr>
          <w:trHeight w:val="3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检查电控系统动作程序。</w:t>
            </w:r>
            <w:r/>
          </w:p>
        </w:tc>
        <w:tc>
          <w:tcPr>
            <w:vMerge w:val="continue"/>
            <w:textDirection w:val="lrTb"/>
            <w:noWrap w:val="false"/>
          </w:tcPr>
          <w:p>
            <w:r/>
            <w:r/>
          </w:p>
        </w:tc>
        <w:tc>
          <w:tcPr>
            <w:vMerge w:val="continue"/>
            <w:textDirection w:val="lrTb"/>
            <w:noWrap w:val="false"/>
          </w:tcPr>
          <w:p>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检查异常的噪音及振动。</w:t>
            </w:r>
            <w:r/>
          </w:p>
        </w:tc>
        <w:tc>
          <w:tcPr>
            <w:vMerge w:val="continue"/>
            <w:textDirection w:val="lrTb"/>
            <w:noWrap w:val="false"/>
          </w:tcPr>
          <w:p>
            <w:r/>
            <w:r/>
          </w:p>
        </w:tc>
        <w:tc>
          <w:tcPr>
            <w:vMerge w:val="continue"/>
            <w:textDirection w:val="lrTb"/>
            <w:noWrap w:val="false"/>
          </w:tcPr>
          <w:p>
            <w:r/>
            <w:r/>
          </w:p>
        </w:tc>
      </w:tr>
      <w:tr>
        <w:trPr>
          <w:trHeight w:val="4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分析运行参数，确认机组在额定工况内运行。</w:t>
            </w:r>
            <w:r/>
          </w:p>
        </w:tc>
        <w:tc>
          <w:tcPr>
            <w:vMerge w:val="continue"/>
            <w:textDirection w:val="lrTb"/>
            <w:noWrap w:val="false"/>
          </w:tcPr>
          <w:p>
            <w:r/>
            <w:r/>
          </w:p>
        </w:tc>
        <w:tc>
          <w:tcPr>
            <w:vMerge w:val="continue"/>
            <w:textDirection w:val="lrTb"/>
            <w:noWrap w:val="false"/>
          </w:tcPr>
          <w:p>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检查压缩机各阀门紧闭情况。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8" w:type="dxa"/>
            <w:vAlign w:val="center"/>
            <w:vMerge w:val="restart"/>
            <w:textDirection w:val="lrTb"/>
            <w:noWrap w:val="false"/>
          </w:tcPr>
          <w:p>
            <w:pPr>
              <w:ind w:left="0" w:right="0" w:firstLine="0"/>
              <w:jc w:val="center"/>
              <w:spacing w:before="0" w:after="0" w:line="300" w:lineRule="atLeast"/>
              <w:tabs>
                <w:tab w:val="left" w:pos="1260" w:leader="none"/>
                <w:tab w:val="left" w:pos="13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每半年一次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8"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更换干燥过滤器。</w:t>
            </w:r>
            <w:r/>
          </w:p>
        </w:tc>
        <w:tc>
          <w:tcPr>
            <w:vMerge w:val="continue"/>
            <w:textDirection w:val="lrTb"/>
            <w:noWrap w:val="false"/>
          </w:tcPr>
          <w:p>
            <w:r/>
            <w:r/>
          </w:p>
        </w:tc>
        <w:tc>
          <w:tcPr>
            <w:vMerge w:val="continue"/>
            <w:textDirection w:val="lrTb"/>
            <w:noWrap w:val="false"/>
          </w:tcPr>
          <w:p>
            <w:r/>
            <w:r/>
          </w:p>
        </w:tc>
      </w:tr>
      <w:tr>
        <w:trPr>
          <w:trHeight w:val="3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清洗冷凝器翅片。</w:t>
            </w:r>
            <w:r/>
          </w:p>
        </w:tc>
        <w:tc>
          <w:tcPr>
            <w:vMerge w:val="continue"/>
            <w:textDirection w:val="lrTb"/>
            <w:noWrap w:val="false"/>
          </w:tcPr>
          <w:p>
            <w:r/>
            <w:r/>
          </w:p>
        </w:tc>
        <w:tc>
          <w:tcPr>
            <w:vMerge w:val="continue"/>
            <w:textDirection w:val="lrTb"/>
            <w:noWrap w:val="false"/>
          </w:tcPr>
          <w:p>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检查接触器及收紧电路上电线接点。</w:t>
            </w:r>
            <w:r/>
          </w:p>
        </w:tc>
        <w:tc>
          <w:tcPr>
            <w:vMerge w:val="continue"/>
            <w:textDirection w:val="lrTb"/>
            <w:noWrap w:val="false"/>
          </w:tcPr>
          <w:p>
            <w:r/>
            <w:r/>
          </w:p>
        </w:tc>
        <w:tc>
          <w:tcPr>
            <w:vMerge w:val="continue"/>
            <w:textDirection w:val="lrTb"/>
            <w:noWrap w:val="false"/>
          </w:tcPr>
          <w:p>
            <w:r/>
            <w:r/>
          </w:p>
        </w:tc>
      </w:tr>
      <w:tr>
        <w:trPr>
          <w:trHeight w:val="3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检查电机绝缘情况。</w:t>
            </w:r>
            <w:r/>
          </w:p>
        </w:tc>
        <w:tc>
          <w:tcPr>
            <w:vMerge w:val="continue"/>
            <w:textDirection w:val="lrTb"/>
            <w:noWrap w:val="false"/>
          </w:tcPr>
          <w:p>
            <w:r/>
            <w:r/>
          </w:p>
        </w:tc>
        <w:tc>
          <w:tcPr>
            <w:vMerge w:val="continue"/>
            <w:textDirection w:val="lrTb"/>
            <w:noWrap w:val="false"/>
          </w:tcPr>
          <w:p>
            <w:r/>
            <w:r/>
          </w:p>
        </w:tc>
      </w:tr>
      <w:tr>
        <w:trPr>
          <w:trHeight w:val="3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调校安全及控制装置。</w:t>
            </w:r>
            <w:r/>
          </w:p>
        </w:tc>
        <w:tc>
          <w:tcPr>
            <w:vMerge w:val="continue"/>
            <w:textDirection w:val="lrTb"/>
            <w:noWrap w:val="false"/>
          </w:tcPr>
          <w:p>
            <w:r/>
            <w:r/>
          </w:p>
        </w:tc>
        <w:tc>
          <w:tcPr>
            <w:vMerge w:val="continue"/>
            <w:textDirection w:val="lrTb"/>
            <w:noWrap w:val="false"/>
          </w:tcPr>
          <w:p>
            <w:r/>
            <w:r/>
          </w:p>
        </w:tc>
      </w:tr>
      <w:tr>
        <w:trPr>
          <w:trHeight w:val="6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both"/>
              <w:spacing w:before="0" w:after="0" w:line="300" w:lineRule="atLeast"/>
              <w:tabs>
                <w:tab w:val="left" w:pos="1260" w:leader="none"/>
                <w:tab w:val="left" w:pos="13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机组试运行（视环境温度、换季时试验机组制冷制热运行）。</w:t>
            </w:r>
            <w:r/>
          </w:p>
        </w:tc>
        <w:tc>
          <w:tcPr>
            <w:vMerge w:val="continue"/>
            <w:textDirection w:val="lrTb"/>
            <w:noWrap w:val="false"/>
          </w:tcPr>
          <w:p>
            <w:r/>
            <w:r/>
          </w:p>
        </w:tc>
        <w:tc>
          <w:tcPr>
            <w:vMerge w:val="continue"/>
            <w:textDirection w:val="lrTb"/>
            <w:noWrap w:val="false"/>
          </w:tcPr>
          <w:p>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提供机组保养报告。</w:t>
            </w:r>
            <w:r/>
          </w:p>
        </w:tc>
        <w:tc>
          <w:tcPr>
            <w:vMerge w:val="continue"/>
            <w:textDirection w:val="lrTb"/>
            <w:noWrap w:val="false"/>
          </w:tcPr>
          <w:p>
            <w:r/>
            <w:r/>
          </w:p>
        </w:tc>
        <w:tc>
          <w:tcPr>
            <w:vMerge w:val="continue"/>
            <w:textDirection w:val="lrTb"/>
            <w:noWrap w:val="false"/>
          </w:tcPr>
          <w:p>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380V和220V的电源连接线。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8"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开机前检查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8"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保持机组处于良好的状态，保证随时启动正常，机组干燥、无锈蚀等现象，机械部件转动灵活</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检查压缩机避震弹簧的压紧螺栓是否已全部松开（弹簧要呈自由状态）。</w:t>
            </w:r>
            <w:r/>
          </w:p>
        </w:tc>
        <w:tc>
          <w:tcPr>
            <w:vMerge w:val="continue"/>
            <w:textDirection w:val="lrTb"/>
            <w:noWrap w:val="false"/>
          </w:tcPr>
          <w:p>
            <w:r/>
            <w:r/>
          </w:p>
        </w:tc>
        <w:tc>
          <w:tcPr>
            <w:vMerge w:val="continue"/>
            <w:textDirection w:val="lrTb"/>
            <w:noWrap w:val="false"/>
          </w:tcPr>
          <w:p>
            <w:r/>
            <w:r/>
          </w:p>
        </w:tc>
      </w:tr>
      <w:tr>
        <w:trPr>
          <w:trHeight w:val="8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检查每台压缩机的油加热：</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第一次开机：必须严格预先加热24小时规定。</w:t>
            </w:r>
            <w:r/>
          </w:p>
        </w:tc>
        <w:tc>
          <w:tcPr>
            <w:vMerge w:val="continue"/>
            <w:textDirection w:val="lrTb"/>
            <w:noWrap w:val="false"/>
          </w:tcPr>
          <w:p>
            <w:r/>
            <w:r/>
          </w:p>
        </w:tc>
        <w:tc>
          <w:tcPr>
            <w:vMerge w:val="continue"/>
            <w:textDirection w:val="lrTb"/>
            <w:noWrap w:val="false"/>
          </w:tcPr>
          <w:p>
            <w: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检查电源的安全保护：保护接地或保护接零。</w:t>
            </w:r>
            <w:r/>
          </w:p>
        </w:tc>
        <w:tc>
          <w:tcPr>
            <w:vMerge w:val="continue"/>
            <w:textDirection w:val="lrTb"/>
            <w:noWrap w:val="false"/>
          </w:tcPr>
          <w:p>
            <w:r/>
            <w:r/>
          </w:p>
        </w:tc>
        <w:tc>
          <w:tcPr>
            <w:vMerge w:val="continue"/>
            <w:textDirection w:val="lrTb"/>
            <w:noWrap w:val="false"/>
          </w:tcPr>
          <w:p>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检查氟系统高低压保护</w:t>
            </w:r>
            <w:r/>
          </w:p>
        </w:tc>
        <w:tc>
          <w:tcPr>
            <w:vMerge w:val="continue"/>
            <w:textDirection w:val="lrTb"/>
            <w:noWrap w:val="false"/>
          </w:tcPr>
          <w:p>
            <w:r/>
            <w:r/>
          </w:p>
        </w:tc>
        <w:tc>
          <w:tcPr>
            <w:vMerge w:val="continue"/>
            <w:textDirection w:val="lrTb"/>
            <w:noWrap w:val="false"/>
          </w:tcPr>
          <w:p>
            <w:r/>
            <w:r/>
          </w:p>
        </w:tc>
      </w:tr>
      <w:tr>
        <w:trPr>
          <w:trHeight w:val="4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检查控制面板，确定各操作状态是否正常；</w:t>
            </w:r>
            <w:r/>
          </w:p>
        </w:tc>
        <w:tc>
          <w:tcPr>
            <w:vMerge w:val="continue"/>
            <w:textDirection w:val="lrTb"/>
            <w:noWrap w:val="false"/>
          </w:tcPr>
          <w:p>
            <w:r/>
            <w:r/>
          </w:p>
        </w:tc>
        <w:tc>
          <w:tcPr>
            <w:vMerge w:val="continue"/>
            <w:textDirection w:val="lrTb"/>
            <w:noWrap w:val="false"/>
          </w:tcPr>
          <w:p>
            <w:r/>
            <w:r/>
          </w:p>
        </w:tc>
      </w:tr>
      <w:tr>
        <w:trPr>
          <w:trHeight w:val="5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检查冷凝器洁净情况是否需要清洗；</w:t>
            </w:r>
            <w:r/>
          </w:p>
        </w:tc>
        <w:tc>
          <w:tcPr>
            <w:vMerge w:val="continue"/>
            <w:textDirection w:val="lrTb"/>
            <w:noWrap w:val="false"/>
          </w:tcPr>
          <w:p>
            <w:r/>
            <w:r/>
          </w:p>
        </w:tc>
        <w:tc>
          <w:tcPr>
            <w:vMerge w:val="continue"/>
            <w:textDirection w:val="lrTb"/>
            <w:noWrap w:val="false"/>
          </w:tcPr>
          <w:p>
            <w:r/>
            <w:r/>
          </w:p>
        </w:tc>
      </w:tr>
      <w:tr>
        <w:trPr>
          <w:trHeight w:val="6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2"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检查系统的泄漏、制冷剂并给予正确的处理；</w:t>
            </w:r>
            <w:r/>
          </w:p>
        </w:tc>
        <w:tc>
          <w:tcPr>
            <w:vMerge w:val="continue"/>
            <w:textDirection w:val="lrTb"/>
            <w:noWrap w:val="false"/>
          </w:tcPr>
          <w:p>
            <w:r/>
            <w:r/>
          </w:p>
        </w:tc>
        <w:tc>
          <w:tcPr>
            <w:vMerge w:val="continue"/>
            <w:textDirection w:val="lrTb"/>
            <w:noWrap w:val="false"/>
          </w:tcPr>
          <w:p>
            <w:r/>
            <w:r/>
          </w:p>
        </w:tc>
      </w:tr>
    </w:tbl>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4、投标单位需提供的服务表单明细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可以根据自身的管理需要编制表单内容，表单设计的全面性、合理性将作为本次招标评分的项目之一。所有表单中的工作内容将作为对投标单位日后的考核依据。投标单位应在中标进场后一周内向招标方提供所有表单审核，每年工作结束后的第一个月内将以上表单整理汇总后交行政部门存档备查。</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5、净化区域空调所有设备建立服务档案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5.1所有设备应按规范建立维修和保养服务档案，所有维修和保养的工作表单必须严格按照招标方的要求做到经由使用部门或行政处管理人员的签字确认，否则视为无效。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5.2每月的维修保养表单应按要求交由行政部门统计确认工作量。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5.3每年的设备维修保养档案应按行政部门要求归档留存。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5.4投标单位应建立规范的档案管理制度，并设立独立的档案存储空间，以备招标方随时抽检。抽检发现当年度档案出现缺失超过三件，视为重大违约一次，对中标单位在季度付款时扣除考核款2万元。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5.5投标单位根据招标文件需求对应不同工作内容设计针对性的服务表单，在进场后一周内应建立并公示档案管理制度，经招标方认可后按招标方统一管理规定的模板在档案室悬挂上墙。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五、净化区域系统托管服务投标单位需承担的材料明细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列出的投标单位需承担的材料明细是根据往年使用数量的统计结果，招标方应承诺全院净化区域正常运行所需的配件和材料供应，当下表中第1、2项要求的清单中材料数量不足时，投标单位应根据实际需要及时补齐，超出招标文件数量在10%以内，由投标单位自行承担，超出招标文件数量10%以上的部分，由招标方管理部门确认后另行结算。除净化过滤器及加湿桶外，其他所需更换的材料没有数量约定，全部由投标单位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材料招标方在进场一个月内购买到货后按招标方指定地点入库，中标单位所供货物应与清单型号规格相符，技术参数不低于招标文件要求，同时需附发货清单、产品合格证、检测报告等资料,否则视为材料不合格，招标方有权拒绝收货。以上情况视为重大违约一次，招标方在季度付款时扣除考核款2万元。中标单位在规定时间内未整改到位的，招标方有权向第三方采购，所产生的采购费用在合同款项中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领用前应经招标方行政处确认，招标方随时根据材料的领用单对现场数量进行核验，如发现材料个别缺失或领用记录不符合规范，第一次予以警告，三次以上视为重大违约，招标方在季度付款时扣除考核款2万元。如单类材料数量缺失超过10%以上，视为重大违约，招标方在季度付款时扣除考核款2万元。并限定一周内将缺失的材料补齐入库。</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1、净化区域过滤器年度更换清单</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5"/>
        <w:gridCol w:w="1463"/>
        <w:gridCol w:w="904"/>
        <w:gridCol w:w="2139"/>
        <w:gridCol w:w="925"/>
        <w:gridCol w:w="2090"/>
      </w:tblGrid>
      <w:tr>
        <w:trPr>
          <w:trHeight w:val="5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备注</w:t>
            </w:r>
            <w:r/>
          </w:p>
        </w:tc>
      </w:tr>
      <w:tr>
        <w:trPr>
          <w:trHeight w:val="3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新风过滤网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290*494*46（G4）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3" w:type="dxa"/>
            <w:vAlign w:val="center"/>
            <w:vMerge w:val="restart"/>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粗效过滤器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vMerge w:val="restart"/>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290*594*46（G4）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0" w:type="dxa"/>
            <w:vAlign w:val="center"/>
            <w:vMerge w:val="restart"/>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1.2MM铝型材框、塑料连接件、3.2MM镀锌龙骨，龙骨加强筋结构</w:t>
            </w:r>
            <w:r/>
          </w:p>
        </w:tc>
      </w:tr>
      <w:tr>
        <w:trPr>
          <w:trHeight w:val="3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490*594*46（G4）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vMerge w:val="continue"/>
            <w:textDirection w:val="lrTb"/>
            <w:noWrap w:val="false"/>
          </w:tcPr>
          <w:p>
            <w:r/>
            <w:r/>
          </w:p>
        </w:tc>
      </w:tr>
      <w:tr>
        <w:trPr>
          <w:trHeight w:val="3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496*604*46（G4）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vMerge w:val="continue"/>
            <w:textDirection w:val="lrTb"/>
            <w:noWrap w:val="false"/>
          </w:tcPr>
          <w:p>
            <w:r/>
            <w:r/>
          </w:p>
        </w:tc>
      </w:tr>
      <w:tr>
        <w:trPr>
          <w:trHeight w:val="3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594*594*46（G4）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96</w:t>
            </w:r>
            <w:r/>
          </w:p>
        </w:tc>
        <w:tc>
          <w:tcPr>
            <w:vMerge w:val="continue"/>
            <w:textDirection w:val="lrTb"/>
            <w:noWrap w:val="false"/>
          </w:tcPr>
          <w:p>
            <w:r/>
            <w:r/>
          </w:p>
        </w:tc>
      </w:tr>
      <w:tr>
        <w:trPr>
          <w:trHeight w:val="3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288*290*95（G4）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vMerge w:val="continue"/>
            <w:textDirection w:val="lrTb"/>
            <w:noWrap w:val="false"/>
          </w:tcPr>
          <w:p>
            <w:r/>
            <w:r/>
          </w:p>
        </w:tc>
      </w:tr>
      <w:tr>
        <w:trPr>
          <w:trHeight w:val="3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290*594*95（G4）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w:t>
            </w:r>
            <w:r/>
          </w:p>
        </w:tc>
        <w:tc>
          <w:tcPr>
            <w:vMerge w:val="continue"/>
            <w:textDirection w:val="lrTb"/>
            <w:noWrap w:val="false"/>
          </w:tcPr>
          <w:p>
            <w:r/>
            <w:r/>
          </w:p>
        </w:tc>
      </w:tr>
      <w:tr>
        <w:trPr>
          <w:trHeight w:val="3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490*594*95（G4）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138</w:t>
            </w:r>
            <w:r/>
          </w:p>
        </w:tc>
        <w:tc>
          <w:tcPr>
            <w:vMerge w:val="continue"/>
            <w:textDirection w:val="lrTb"/>
            <w:noWrap w:val="false"/>
          </w:tcPr>
          <w:p>
            <w:r/>
            <w:r/>
          </w:p>
        </w:tc>
      </w:tr>
      <w:tr>
        <w:trPr>
          <w:trHeight w:val="3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594*594*95（G4）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w:t>
            </w:r>
            <w:r/>
          </w:p>
        </w:tc>
        <w:tc>
          <w:tcPr>
            <w:vMerge w:val="continue"/>
            <w:textDirection w:val="lrTb"/>
            <w:noWrap w:val="false"/>
          </w:tcPr>
          <w:p>
            <w:r/>
            <w:r/>
          </w:p>
        </w:tc>
      </w:tr>
      <w:tr>
        <w:trPr>
          <w:trHeight w:val="3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290*325*96（G4）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w:t>
            </w:r>
            <w:r/>
          </w:p>
        </w:tc>
        <w:tc>
          <w:tcPr>
            <w:vMerge w:val="continue"/>
            <w:textDirection w:val="lrTb"/>
            <w:noWrap w:val="false"/>
          </w:tcPr>
          <w:p>
            <w:r/>
            <w:r/>
          </w:p>
        </w:tc>
      </w:tr>
      <w:tr>
        <w:trPr>
          <w:trHeight w:val="3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290*700*96（G4）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w:t>
            </w:r>
            <w:r/>
          </w:p>
        </w:tc>
        <w:tc>
          <w:tcPr>
            <w:vMerge w:val="continue"/>
            <w:textDirection w:val="lrTb"/>
            <w:noWrap w:val="false"/>
          </w:tcPr>
          <w:p>
            <w:r/>
            <w:r/>
          </w:p>
        </w:tc>
      </w:tr>
      <w:tr>
        <w:trPr>
          <w:trHeight w:val="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排风过滤网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G4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290*290*96（G4）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0"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1.2MM铝型材框、塑料连接件、4MM镀锌龙骨、龙骨加强筋结构</w:t>
            </w:r>
            <w:r/>
          </w:p>
        </w:tc>
      </w:tr>
      <w:tr>
        <w:trPr>
          <w:trHeight w:val="3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3" w:type="dxa"/>
            <w:vAlign w:val="center"/>
            <w:vMerge w:val="restart"/>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中效过滤袋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vMerge w:val="restart"/>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F8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290*594*381*4P（F8）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0" w:type="dxa"/>
            <w:vAlign w:val="center"/>
            <w:vMerge w:val="restart"/>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1.2MM铝型材框、塑料连接件、优质多层静电棉聚酯纤维</w:t>
            </w:r>
            <w:r/>
          </w:p>
        </w:tc>
      </w:tr>
      <w:tr>
        <w:trPr>
          <w:trHeight w:val="4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490*594*381（F8）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vMerge w:val="continue"/>
            <w:textDirection w:val="lrTb"/>
            <w:noWrap w:val="false"/>
          </w:tcPr>
          <w:p>
            <w:r/>
            <w:r/>
          </w:p>
        </w:tc>
      </w:tr>
      <w:tr>
        <w:trPr>
          <w:trHeight w:val="3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594*594*381*8P（F8）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69</w:t>
            </w:r>
            <w:r/>
          </w:p>
        </w:tc>
        <w:tc>
          <w:tcPr>
            <w:vMerge w:val="continue"/>
            <w:textDirection w:val="lrTb"/>
            <w:noWrap w:val="false"/>
          </w:tcPr>
          <w:p>
            <w:r/>
            <w:r/>
          </w:p>
        </w:tc>
      </w:tr>
      <w:tr>
        <w:trPr>
          <w:trHeight w:val="3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290*594*534*4P（F8）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w:t>
            </w:r>
            <w:r/>
          </w:p>
        </w:tc>
        <w:tc>
          <w:tcPr>
            <w:vMerge w:val="continue"/>
            <w:textDirection w:val="lrTb"/>
            <w:noWrap w:val="false"/>
          </w:tcPr>
          <w:p>
            <w:r/>
            <w:r/>
          </w:p>
        </w:tc>
      </w:tr>
      <w:tr>
        <w:trPr>
          <w:trHeight w:val="3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490*594*534*6P（F8）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w:t>
            </w:r>
            <w:r/>
          </w:p>
        </w:tc>
        <w:tc>
          <w:tcPr>
            <w:vMerge w:val="continue"/>
            <w:textDirection w:val="lrTb"/>
            <w:noWrap w:val="false"/>
          </w:tcPr>
          <w:p>
            <w:r/>
            <w:r/>
          </w:p>
        </w:tc>
      </w:tr>
      <w:tr>
        <w:trPr>
          <w:trHeight w:val="3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594*594*534*8P（F8）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68</w:t>
            </w:r>
            <w:r/>
          </w:p>
        </w:tc>
        <w:tc>
          <w:tcPr>
            <w:vMerge w:val="continue"/>
            <w:textDirection w:val="lrTb"/>
            <w:noWrap w:val="false"/>
          </w:tcPr>
          <w:p>
            <w:r/>
            <w:r/>
          </w:p>
        </w:tc>
      </w:tr>
      <w:tr>
        <w:trPr>
          <w:trHeight w:val="3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3" w:type="dxa"/>
            <w:vAlign w:val="center"/>
            <w:vMerge w:val="restart"/>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亚高效过滤器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vMerge w:val="restart"/>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490*592*292(H10 4V）</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0" w:type="dxa"/>
            <w:vAlign w:val="center"/>
            <w:vMerge w:val="restart"/>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ABS框、单法兰、HV玻纤滤料、双面出风面喷塑网、出风面EPDM密封条</w:t>
            </w:r>
            <w:r/>
          </w:p>
        </w:tc>
      </w:tr>
      <w:tr>
        <w:trPr>
          <w:trHeight w:val="3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592*287*292(H10）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vMerge w:val="continue"/>
            <w:textDirection w:val="lrTb"/>
            <w:noWrap w:val="false"/>
          </w:tcPr>
          <w:p>
            <w:r/>
            <w:r/>
          </w:p>
        </w:tc>
      </w:tr>
      <w:tr>
        <w:trPr>
          <w:trHeight w:val="3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592*490*292(H10）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vMerge w:val="continue"/>
            <w:textDirection w:val="lrTb"/>
            <w:noWrap w:val="false"/>
          </w:tcPr>
          <w:p>
            <w:r/>
            <w:r/>
          </w:p>
        </w:tc>
      </w:tr>
      <w:tr>
        <w:trPr>
          <w:trHeight w:val="3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592*592*292(H10）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vMerge w:val="continue"/>
            <w:textDirection w:val="lrTb"/>
            <w:noWrap w:val="false"/>
          </w:tcPr>
          <w:p>
            <w:r/>
            <w:r/>
          </w:p>
        </w:tc>
      </w:tr>
      <w:tr>
        <w:trPr>
          <w:trHeight w:val="3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3"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高效过滤器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vMerge w:val="restart"/>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320*320*69(H13）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0"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1.2MM铝型材框、HV玻纤滤料，双面喷塑网、双面EPDM密封条</w:t>
            </w:r>
            <w:r/>
          </w:p>
        </w:tc>
      </w:tr>
      <w:tr>
        <w:trPr>
          <w:trHeight w:val="4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484*484*69(H13）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69</w:t>
            </w:r>
            <w:r/>
          </w:p>
        </w:tc>
        <w:tc>
          <w:tcPr>
            <w:vMerge w:val="continue"/>
            <w:textDirection w:val="lrTb"/>
            <w:noWrap w:val="false"/>
          </w:tcPr>
          <w:p>
            <w:r/>
            <w:r/>
          </w:p>
        </w:tc>
      </w:tr>
      <w:tr>
        <w:trPr>
          <w:trHeight w:val="3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610*550*65(H13）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vMerge w:val="continue"/>
            <w:textDirection w:val="lrTb"/>
            <w:noWrap w:val="false"/>
          </w:tcPr>
          <w:p>
            <w:r/>
            <w:r/>
          </w:p>
        </w:tc>
      </w:tr>
      <w:tr>
        <w:trPr>
          <w:trHeight w:val="3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760*350*65(H13）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c>
          <w:tcPr>
            <w:vMerge w:val="continue"/>
            <w:textDirection w:val="lrTb"/>
            <w:noWrap w:val="false"/>
          </w:tcPr>
          <w:p>
            <w:r/>
            <w:r/>
          </w:p>
        </w:tc>
      </w:tr>
      <w:tr>
        <w:trPr>
          <w:trHeight w:val="3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4" w:type="dxa"/>
            <w:vAlign w:val="center"/>
            <w:vMerge w:val="restart"/>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300*180*70(H14）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vMerge w:val="continue"/>
            <w:textDirection w:val="lrTb"/>
            <w:noWrap w:val="false"/>
          </w:tcPr>
          <w:p>
            <w:r/>
            <w:r/>
          </w:p>
        </w:tc>
      </w:tr>
      <w:tr>
        <w:trPr>
          <w:trHeight w:val="3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320*320*90(H14)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vMerge w:val="continue"/>
            <w:textDirection w:val="lrTb"/>
            <w:noWrap w:val="false"/>
          </w:tcPr>
          <w:p>
            <w:r/>
            <w:r/>
          </w:p>
        </w:tc>
      </w:tr>
      <w:tr>
        <w:trPr>
          <w:trHeight w:val="3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484*484*90(H14）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vMerge w:val="continue"/>
            <w:textDirection w:val="lrTb"/>
            <w:noWrap w:val="false"/>
          </w:tcPr>
          <w:p>
            <w:r/>
            <w:r/>
          </w:p>
        </w:tc>
      </w:tr>
      <w:tr>
        <w:trPr>
          <w:trHeight w:val="3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320*320*220(H14)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0"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铝隔板，1.2MM铝板框，HV玻纤滤料，滤纸折高4MM，双面EPDM密封条</w:t>
            </w:r>
            <w:r/>
          </w:p>
        </w:tc>
      </w:tr>
      <w:tr>
        <w:trPr>
          <w:trHeight w:val="3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484*484*220(H14)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vMerge w:val="continue"/>
            <w:textDirection w:val="lrTb"/>
            <w:noWrap w:val="false"/>
          </w:tcPr>
          <w:p>
            <w:r/>
            <w:r/>
          </w:p>
        </w:tc>
      </w:tr>
      <w:tr>
        <w:trPr>
          <w:trHeight w:val="3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600*600*120(H14)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vMerge w:val="continue"/>
            <w:textDirection w:val="lrTb"/>
            <w:noWrap w:val="false"/>
          </w:tcPr>
          <w:p>
            <w:r/>
            <w:r/>
          </w:p>
        </w:tc>
      </w:tr>
      <w:tr>
        <w:trPr>
          <w:trHeight w:val="3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600*600*150(H14)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vMerge w:val="continue"/>
            <w:textDirection w:val="lrTb"/>
            <w:noWrap w:val="false"/>
          </w:tcPr>
          <w:p>
            <w:r/>
            <w:r/>
          </w:p>
        </w:tc>
      </w:tr>
      <w:tr>
        <w:trPr>
          <w:trHeight w:val="3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630*630*220(H14)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vMerge w:val="continue"/>
            <w:textDirection w:val="lrTb"/>
            <w:noWrap w:val="false"/>
          </w:tcPr>
          <w:p>
            <w:r/>
            <w:r/>
          </w:p>
        </w:tc>
      </w:tr>
      <w:tr>
        <w:trPr>
          <w:trHeight w:val="3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820*600*150(H14)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vMerge w:val="continue"/>
            <w:textDirection w:val="lrTb"/>
            <w:noWrap w:val="false"/>
          </w:tcPr>
          <w:p>
            <w:r/>
            <w:r/>
          </w:p>
        </w:tc>
      </w:tr>
      <w:tr>
        <w:trPr>
          <w:trHeight w:val="3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915*600*150(H14)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vMerge w:val="continue"/>
            <w:textDirection w:val="lrTb"/>
            <w:noWrap w:val="false"/>
          </w:tcPr>
          <w:p>
            <w:r/>
            <w:r/>
          </w:p>
        </w:tc>
      </w:tr>
      <w:tr>
        <w:trPr>
          <w:trHeight w:val="525"/>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1"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5"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1465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2、加湿桶更换明细</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13"/>
        <w:gridCol w:w="1128"/>
        <w:gridCol w:w="1389"/>
        <w:gridCol w:w="1290"/>
        <w:gridCol w:w="1422"/>
        <w:gridCol w:w="1954"/>
      </w:tblGrid>
      <w:tr>
        <w:trPr>
          <w:trHeight w:val="6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更换周期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54"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6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3"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加湿桶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8"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8KG-45KG</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9"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36个</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（含备用）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天加/卡乐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2"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6-12个月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5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具体规格型号根据净化机组进行配型</w:t>
            </w:r>
            <w:r/>
          </w:p>
        </w:tc>
      </w:tr>
    </w:tbl>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3、其他所需更换材料说明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次招标项目所含一号楼和四号楼净化区域系统的冷热源由招标方地下室中央空调机组和锅炉集中供应，冷热源发生故障后所需的零配件和维修保养服务不在本次招标范围之内。其余所有配件（除净化机组中央处理器及程序，机组换热器、变频器、感应门之外）和涉及维修服务均应包含在本次招标范围之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九号楼高通量测序实验室3台机组的冷热源由3台风冷热泵室外机单独供应，3台机组所涉及的压缩机、控制系统、机组换热器、四通阀、油过滤器、压力传感器、温度传感器及所有控制阀等零部件的更换费用和维修费用均包含在本次招标范围之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3.3除上述列明材料之外，投标单位还应考虑的备品备件包含：a.净化机组风机电机；b.加湿器前级水过滤器、c.回风过滤网、排风过滤网、新风回风过滤网、排风过滤网； d.各型风口；e.水嘴；f.阀门；g.普通管件；h.不锈钢管件;i.插座；j.开关；k.灯具、灯管；l.控制柜散热风扇；m .漏电保护器；n.断路器；o. 机组内紫外线杀菌灯；p.接触器、继电器；q.温湿度传感器；r.压力变送器；s.压差信号控制器；t.风机皮带；u.电磁阀；v.空调水管路压力表、温度计、现场所需的阀门、过滤器、软接头；w.刷手池阀</w:t>
      </w:r>
      <w:r>
        <w:rPr>
          <w:rFonts w:ascii="SimSun" w:hAnsi="SimSun" w:eastAsia="SimSun" w:cs="SimSun"/>
          <w:color w:val="000000"/>
          <w:sz w:val="24"/>
        </w:rPr>
        <w:t xml:space="preserve">门、软管；x.门锁、闭门器等易损零部件，电解钢板，塑铝板。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3.4手术室操控柜中的电话板、空调板、设备控制板、时间、计时器板每种型号备用一块。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3.5其余小型开关、各类传感器、压力表计、皮带及水系统阀门均按原数量的10℅备品备用。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3.6净化区域的地面、墙面、门窗、龙头、恒温柜、观片灯等维修。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投标单位在合同开始的第一个月内应按标书要求将所有备品备件（含粗效、中效、亚高效、高效过滤器；加湿桶；照明光源等）按招标方仓库管理程序先入仓库保管存放，在需要更换时办理领用手续后领出更换，更换工作结束后，由使用部门负责人或护士长签字确认，并将签字确认的表单交行政部门存档。</w:t>
      </w:r>
      <w:r/>
    </w:p>
    <w:p>
      <w:pPr>
        <w:ind w:left="420" w:right="0" w:firstLine="48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该院区妇科手术室目前处于暂停使用状态，但为了确保妇科手术室净化区域设备安全稳定，后期在需要使用时能迅速恢复正常运行，对于系统中电器线路，氧气管路、空调管路及系统其他设备的日常保养和检查工作仍需进行，在高效过滤器无需更换的情况下，对于粗效过滤器、中效过滤器和亚高效过滤器的清洗更换工作不能停止，按院方要求定期更换。后期若妇科手术室正常启用，高效过滤器另行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六、托管服务配置与应急处理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1、人员配备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净化区域空调系统托管服务招标内容考虑到项目现场工作量及劳动法的规定、节假日调休等因素，现场需配备的员工不低于7人：其中项目经理不低于1人；核心技术人员不低于2人；净化区域系统24h值守及维修不低于4人（按4班3运转测算）。项目经理须持有特种设备安全管理作业证，并持有有效期内并经复审合格的制冷与空调作业证、低压电工作业证；拟派驻核心技术人员持有与洁净室维护相关的技能证书；拟派驻维修维保人员需持有有效期内并经复审合格的制冷与空调作业证或低压电工作业证。</w:t>
      </w:r>
      <w:r>
        <w:rPr>
          <w:rFonts w:ascii="Times New Roman" w:hAnsi="Times New Roman" w:eastAsia="Times New Roman" w:cs="Times New Roma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1.2投标单位对于以上所有岗位的员工因故缺岗时应提前安排对应岗位员工顶替工作，做到按照值班表规定的人数满岗在勤，不得缺岗，否则按脱岗现象进行处理。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所有人员必须遵守国家的法律、法规及招标方的各项规章制度，具有良好素养和上岗资质，政治清白，无不良记录及嗜好，爱岗敬业、工作勤快，礼貌待人、和蔼处事，着装统一，身体健康，有责任心，要有处理突发事件的经验；保持良好上岗仪态，值班人员上岗时必须遵守“五不”，即不喝酒、不抽烟、不擅离工作岗位，不迟到早退，不做与工作无关的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投标单位应严格执行劳动用工法律法规以及南京市政府用工工资标准的有关规定，并承担按时支付其服务人员的劳动报酬、福利待遇、缴纳社会保险、缴纳雇主责任险、提供劳动保护、工伤抚恤等用人费用，承担未正确执行劳动用工规定所产生的法律责任，维护和保障其服务人员的合法权益。</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2、人员技能要求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2.1项目经理工作技能要求：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（1）根据本项目设备运行管理的需要，项目经理需取得相应技能证书。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（2）协调好本项目所有员工的关系，安排好每一天的工作，并做好相关工作的监督检查工作。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（3）能够准确有效地制定本项目的工作计划，所有设备的月度计划、半年度保养计划以及年度工作计划。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（4）熟悉本项目涉及的所有表单，并能就每一张表单完成与招标方的沟通确认工作。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（5）完成对本项目员工的管理，对违章员工的教育沟通、处罚工作。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（6）对本项目涉及设备和系统中不合理的地方，提出改进意见、方案。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（7）做好与其他项目之间的沟通，在有紧急或应急事件发生时的人员支援工作。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（8）定期做好本项目员工的培训考核工作。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（9）做好储备干部的培训。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2.2值班及维修人员工作技能要求：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（1）熟悉净化区域系统操作维修并有3年以上独立操作经验；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（2）熟悉电脑Windows操作系统并有3年以上独立操作经验；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（3）熟悉本标书中净化区域空调四种机型的操作和基本维修；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（4）掌握电工知识，夜间能处理净化区域空调故障一般故障的维修工作；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（5）涉及相关工作内容的员工需持低压电工作业证、制冷与空调作业证，相关证件在值班室公示悬挂，以备招标方岗位检查时核验。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（6）掌握净化区域系统的操作规程和常见故障处理方法，含面板内所有操作菜单、室外主机开关机程序、简单故障处理、准确做好空调设备运行记录，并能掌握重要数据的正常范围值。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（7）熟悉了解净化区域系统管道走向，各管路阀门的开关状态，楼层区域管道阀门控制部分的调节。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（8）巡查净化区域空调运行情况，发现异常现象及时处理，处理不好要及时上报，同时做好故障现象记录。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（9）负责报修电话的接听及记录，记录好维修情况。根据净化区域空调使用场所的实际情况和环境温度变化情况，合理调节净化区域空调的运行状态，努力降低运行成本。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（10）学会机房内安全操作规程，掌握净化区域空调机房应急预案的处理，预防事故扩大，减少意外事故造成的额外损失。熟悉涉及水、电、气、火等事故的正确处理方法。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（11）值班人员应坚守岗位，严格交接班制度，保持机房及值班室的卫生清洁，保管好设备机房的钥匙。对进入净化区域空调机房的其他人员严格按照招标方的管理制度接待与配合。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2.3：核心技术人员工作技能要求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按岗位要求持有特种设备维修所需要的各种证件，并且具备继续学习和考证的自觉性。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能独立完成净化区域所有设备的维修和保养内容；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能熟练看懂二次回路图纸，并且通过图纸和故障现象查出故障原因，独立排除故障；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能独立完成小系统相关设备的故障处理；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能熟练掌握净水机、发生器等独立设备的操作、维护、维修内容；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能够组织和协调团队完成领导交付的各种维修保养任务；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能够对项目团队起到“帮、传、带“的模范作用。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2.4投标单位在本项目配备的员工中应至少有两名核心技术人员，持有与洁净室维护相关的技能证书，其余员工具备低压电工作业证或制冷与空调作业证。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3、常用配件的库存和工具的备用，具体数量和费用根据现场实际需要在成本组合中列出</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1"/>
        <w:gridCol w:w="2808"/>
        <w:gridCol w:w="1977"/>
        <w:gridCol w:w="1070"/>
        <w:gridCol w:w="1920"/>
      </w:tblGrid>
      <w:tr>
        <w:trPr>
          <w:trHeight w:val="40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0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7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top"/>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8"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7" w:type="dxa"/>
            <w:vAlign w:val="center"/>
            <w:vMerge w:val="restart"/>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top"/>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8"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打印机</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top"/>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8"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吸尘器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维修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top"/>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8"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专用清洗车（含负压抽水）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清洗风机交换器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top"/>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8"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工具柜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7"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top"/>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8"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气泵（含常用配件）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7" w:type="dxa"/>
            <w:vAlign w:val="center"/>
            <w:vMerge w:val="restart"/>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维修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top"/>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8"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逆变焊机（250）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top"/>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8"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焊、割枪</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top"/>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8"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砂轮切割机</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top"/>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8"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台钳</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top"/>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8"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台式磨光砂轮机</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top"/>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8"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套丝机</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top"/>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8"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人字梯（大、中、小）</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top"/>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8"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升降梯</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top"/>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8"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手枪钻（两用）</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top"/>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8"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充电双速手枪钻</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top"/>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8"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冲击电锤</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top"/>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8"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角磨机</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top"/>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8"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接线盘</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top"/>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8"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应急灯</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top"/>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8"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梅花扳手</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top"/>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8"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开口扳手</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top"/>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8"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套筒扳手</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top"/>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8"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拉子</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top"/>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8"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黄油枪</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top"/>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8"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套装起子</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8"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压线钳</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top"/>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8"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网线压线钳</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top"/>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8"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玻璃胶枪</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8"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电烙铁</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8"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铆钉枪</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8"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撬棍</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8"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活动扳手</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8"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管子钳</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8"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钢锯</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8"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内六角</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8"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点温仪</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8"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万用表</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8"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电流表</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8"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压差计</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8"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风速仪</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8"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兆欧表</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8"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照度计</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8"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噪音仪</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8"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温湿度计</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8" w:type="dxa"/>
            <w:vAlign w:val="top"/>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尘埃粒子检测仪</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8"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甲醛、PM2.5测试仪</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8"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日常维修工具（含工具包）</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8"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热泵空调维修工具</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8"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真空泵</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8"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扩管器</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8"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弯管器</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8"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便携式焊炬</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8"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恒温拆焊台</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8"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台式维修高清放大台</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1"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08"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PVC地板革焊枪</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0" w:type="dxa"/>
            <w:vAlign w:val="center"/>
            <w:textDirection w:val="lrTb"/>
            <w:noWrap/>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说明：投标单位现场所需设备工具除以上表格列出的项目之外，可根据自行需要另行添加。每种设备工具的品牌不限，数量自定。在合同履行期间，所有设备工具的损耗由投标单位自行补缺。</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4、建立突发事故的应急处理机制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应制定并建立健全完善设备突发、重大事件的应急处理预案，对安全、消防的突发事件、重大事件进行应急处理（如人身安全事故、设备安全事故、火灾、淹水等），并立即向招标方报告，服从招标方统一工作安排。</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六、托管服务考核与承诺</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1、投标单位应拟订净化区域系统托管服务的管理规章制度和实施细则，经招标方书面审批同意后予以实施。</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2、投标单位应根据招标文件要求拟订原材料、低值易耗品及杂件采购计划，经招标方审批同意后予以实施。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单位应确保净化区域系统托管服务24h值守工作每天各配备1名值守工作人员，白班维修人员和值守人员工作岗位不能重合，以确保值守和维修工作独立，不出现服务空窗期，所有工作指令和故障报修得到妥善处理，夜班值守人员应具备维修能力，特殊维修工种应持证上岗，相关证件在值班室公示悬挂，以备招标方岗位检查时核验。</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为确保现场工作人员的稳定性，根据现场工作内容和工作量的需求，现场工作人员（含管理人员）必须不低于7人，各岗位应根据不同工种的需求持证上岗。中标单位进场前应根据投标文件中工作人员清单列出第一个月的排班计划表，以后每个月开始的前一周列出下月排班计划表呈报招标方行政处。招标方根据排班计划表随时进行核实，为了确保投标文件的真实性和现场服务质量，中标单位半年内现场工作人员与投标时提供的所有人员名单变化不得超过20%，否则视为重大违约一次，招标方在季度付款时扣除考核款2万元；一年内变化超过50%，招标方在季度付款时</w:t>
      </w:r>
      <w:r>
        <w:rPr>
          <w:rFonts w:ascii="SimSun" w:hAnsi="SimSun" w:eastAsia="SimSun" w:cs="SimSun"/>
          <w:color w:val="000000"/>
          <w:sz w:val="24"/>
        </w:rPr>
        <w:t xml:space="preserve">扣除考核款5万元，同时可直接解除合同。</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中标单位出现人员流动后，应及时补充工作人员，确保工作岗位不出现空缺并及时向招标方报备。中标单位对于新进工作人员按岗位要求持证上岗，一个月内与新进人员按规范签订劳动合同、办理用工手续、缴纳社会保险，对新进人员进行安全培训和岗位技能培训，同时向招标方报备调整后的排班计划表。</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为确保本次招标项目平稳运行，投标单位在投标文件中列出的项目经理在本项目连续服务期限不得低于1年（因招标方考核不合格要求更换除外），除项目经理外，投标单位在投标文件中应列出3名主要工作人员，在本项目连续服务期限不得低于一年（因招标方考核不合格要求更换除外），以上人员变化达到1人时，视为重大违约一次，招标方在季度付款时扣除考核款2万元；同类型的重大违约发生三次招标方可直接解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6、除招标文件已有约定之外，以下情况也属于重大违约：</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（1）设备发生故障超过2小时运维人员未能及时发现；</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（2）属于特殊工种作业的维修内容，现场维修人员无证操作；</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（3）设备发生故障后，因中标方维护原因造成无备用设备保证系统正常运行；</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（4）设备发生故障后中标方因维修能力不足导致维修时间超过24小时以上；</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（5）因平时保养工作不到位造成净化系统使用效果不佳，尚未导致净化区域无法正常工作；</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（6）招标文件中要求工作内容完成后由相关部门签字确认，投标单位未能按要求取得签字确认表单。</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以上情形对中标单位在季度付款时扣除考核款2万元，一年内重大违约次数达到三次，招标方可直接终止合同。</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招标方对本项目团队以年为周期对中标单位进行综合评估，评估内容包括合同范围内设备运行正常率、团队技能服务水平、团队服务态度、应急故障处置的高效合理性、内部管理规范性等方面。如年度评估结果为不合格，招标方有权在第四季度付款时扣除考核款5万元，同时可直接解除合同。</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招标方对项目经理定期进行综合评估考核，评估考核内容包括本项目团队管理、沟通的及时有效性、项目运营合理化建议等方面，如评估考核结果为不合格，投标单位必须在1个月内予以更换，以上考核情况视为重大违约一次，招标方在季度付款时扣除考核款2万元。连续三个项目经理评估考核不合格，可直接解除合同。</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9、中标单位合同范围内设备因管理原因出现重大故障，直接影响到招标方净化区域系统正常使用时，招标方在季度付款时扣除考核款5万元，同时可直接解除合同。</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中标单位因管理原因出现安全事故，导致人员发生重大伤亡或招标方财产损失严重的，招标方可中止支付合同款项，待投标单位与受损方达成和解协议或仲裁、判决出现，中标方按协商或判决结果执行结束后，招标方扣除考核款5万元再进行支付，同时可直接解除合同。</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11、中标单位1年内被患者及家属或招标方工作人员投诉，经招标方确认投诉合理的情况下，单次在季度付款时扣除考核款2万元，达到5次招标方有权直接解除合同。</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根据招标文件要求，现场服务所需的设备、仪器清单（对应设备仪器的操作说明书、维保保养表格及详细技术资料），中标单位在进场一个月内将清单中对应的工具设备仪器全部就位，每延迟一周招标方在季度付款时扣除考核款2000元，连续三次延迟视为重大违约一次，招标方在季度付款时扣除考核款2万元。为了防止投标单位将上述工具设备仪器展示验收完挪往他处的虚假行为，一经发现，同样作为重大违约一次考核。</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投标单位中标后一周内应向招标方行政处提供与招标文件工作内容对应的安全管理文件，经招标方书面审批同意后予以实施。投标单位应制定并建立健全完善的突发重大事件及流行病毒的应急处理预案，对安全、消防的突发事件、重大事件进行应急处理（如人身安全事故、设备安全事故、火灾、淹水等），并立即向招标方报告，服从招标方统一工作安排。</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14、投标单位应拟订净化区域系统托管服务的维修保养计划，经招标方书面审批同意后予以实施。</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15、投标单位保证按照招标文件规定配备的人员和设施设备配置，确保各岗位工作人员掌握和了解服务内容和要求，及时、有效、保质保量完成各项工作，主动接受招标方监督检查。</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16、投标单位应向招标方提交年度工作总结和计划报告。</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17、投标单位应向招标方提供年度及重大节假日安全检查报告。</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投标单位应教育工作人员自觉遵守招标方各项规章制度。要求工作人员讲文明礼貌、态度和蔼，树立以病人为中心，服务于临床的服务理念，对病人有爱心、耐心，自觉维护招标方的社会形象。加强工作人员职业道德和法治教育，做好保密工作。</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投标单位项目经理必须加强监督管理工作，每天进行现场检查，督导其工作人员的工作，积极主动与招标方相关负责人员做好沟通，及时发现问题纠正解决，不断提高服务质量。如投标单位服务人员因故不能出勤的，应由投标单位安排其他员工完成该缺勤员工的工作，并及时通知招标方。</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采取合理安全保障措施，做好安全工作，发现有设施损坏和跑、冒、滴、漏现象立即报告，杜绝一切事故发生。因投标单位原因而导致发生安全责任事故或导致招标方、投标单位或任何第三方出现人身、财产损失的，投标单位自行承担有关责任，并承担全部的赔偿责任，招标方有权从应付服务费中扣除相关赔偿款项。招标人不承担任何责任时，可终止支付合同款项，待投标单位与受损方达成和解协议或仲裁、判决出现结果，再进行支付，招标人有权终止合同。</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21、投标单位应做好工作人员岗前培训、工作流程及工作技能培训、消防安全培训与技术培训等各项培训工作，在发现服务质量存在问题时应进行有针对性的专项培训。做好培训记录，提高服务质量。</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在任何情况下，投标单位拟派遣至招标方提供服务的工作人员，招标方与该员工不存在任何法律上或事实上的劳动关系。投标单位应与其员工明确劳动关系，签订和完善劳动合同，招标方有权随时查看投标单位与其员工签订的劳动合同和缴纳社保、购买雇主责任险的情况。投标单位加强对其员工的职业安全保障，按照国家和当地政府的规定为其员工购买保险，提供劳动保护用品，采取合理的劳动保护措施，及时支付员工劳动薪酬、社保保险等各项保障资金。为保障本项目安全运行，</w:t>
      </w:r>
      <w:r>
        <w:rPr>
          <w:rFonts w:ascii="SimSun" w:hAnsi="SimSun" w:eastAsia="SimSun" w:cs="SimSun"/>
          <w:color w:val="000000"/>
          <w:sz w:val="21"/>
        </w:rPr>
        <w:t xml:space="preserve">投标单位需为拟派至本项目的员工购买不低于</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万元</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人雇主责任险或商业意外险</w:t>
      </w:r>
      <w:r>
        <w:rPr>
          <w:rFonts w:ascii="SimSun" w:hAnsi="SimSun" w:eastAsia="SimSun" w:cs="SimSun"/>
          <w:color w:val="000000"/>
          <w:sz w:val="24"/>
        </w:rPr>
        <w:t xml:space="preserve">，并提供保单备查。其员工发生任何工伤、意外伤害、纠纷时，投标单位应根据《中华人民共和国安全生产法》，《江苏省安全生产条例》和相关国家和地方法律、法规、规定相关内容进行处置，如果造成后果投标单位承担一切法律责任和一切经济责任。招标方有权终止合同。</w:t>
      </w:r>
      <w:r/>
    </w:p>
    <w:p>
      <w:pPr>
        <w:ind w:left="0" w:right="0" w:firstLine="48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出现人员变化后，应及时为新进人员办理社保和雇主责任险，出现变化一个月内向招标方管理部门提供缴纳证明材料，如发现投标单位存在未按法律法规规定及招标文件要求为员工办理社保和雇主责任险的情况，每发现一次视为重大违约，招标方在季度付款时扣除考核款2万元；如单次发现3人以上漏交，招标方可直接解除合同，同时招标方在季度付款时扣除考核款5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应在每月末列出下月度员工当班计划表供招标方不定期现场抽查，投标单位所有员工在上班时段应满勤在岗，发现有脱岗现象予以1500元/人的处罚。如果脱岗人数达到2人则视为重大违约一次，招标方在季度付款时扣除考核款2万元，一年内出现三次重大违约作解除合同处理。</w:t>
      </w:r>
      <w:r/>
    </w:p>
    <w:p>
      <w:pPr>
        <w:numPr>
          <w:ilvl w:val="0"/>
          <w:numId w:val="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投标单位及投标单位工作人员具有法律法规或有关部门规定的提供本合同项下服务的相关资质。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附件：中央空调系统、楼宇控制系统和净化区域空调系统托管服务季度考核表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1"/>
        <w:gridCol w:w="3750"/>
        <w:gridCol w:w="655"/>
        <w:gridCol w:w="1406"/>
        <w:gridCol w:w="1134"/>
        <w:gridCol w:w="1559"/>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考核项目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考核内容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得分情况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扣分说明</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人员管理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人员持证上岗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每项未能达到要求，最多扣3分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人员排班计划与在岗状况</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社保及雇主责任险缴纳的及时性</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人员流动后招聘及时性，新进人员配备符合要求</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专业技术主管24小时通话畅通</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项目团队技术水平及服务的及时性</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工作规范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现场安全防护与安全管理有效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每项未能达到要求，最多扣5分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现场工器具齐全、管理规范</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服务态度、服务用语规范性</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档案文件管理规范，无遗失</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月度工作内容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按约定进行设备值守，及时上报发现的问题并解决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每项未能达到要求，最多扣6分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按约定对设备进行维修保养，形成维修保养记录备查 </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按约定对过滤网清洗并消毒，形成清洗消毒记录备查</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按计划开展中央空调系统节能方案，对设备的月度能耗进行统计分析</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按合同约定对净化区域材料定期更换并检测合格，记录备查</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突发重大事件及流行病毒期间应急方案的落实情况</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设备完好率保持在95%以上</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如实处理设备维修、无弄虚作假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每项未能达到要求，最多扣5分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故障处理流程执行情况</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对存在有设备安全隐患的问题及时提报并采取应急措施</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故障发现与处理及时高效</w:t>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45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注：季度考核大于等于</w:t>
      </w:r>
      <w:r>
        <w:rPr>
          <w:rFonts w:ascii="Times New Roman" w:hAnsi="Times New Roman" w:eastAsia="Times New Roman" w:cs="Times New Roman"/>
          <w:color w:val="000000"/>
          <w:sz w:val="21"/>
        </w:rPr>
        <w:t xml:space="preserve">90</w:t>
      </w:r>
      <w:r>
        <w:rPr>
          <w:rFonts w:ascii="SimSun" w:hAnsi="SimSun" w:eastAsia="SimSun" w:cs="SimSun"/>
          <w:color w:val="000000"/>
          <w:sz w:val="21"/>
        </w:rPr>
        <w:t xml:space="preserve">分，支付服务费比例</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；小于</w:t>
      </w:r>
      <w:r>
        <w:rPr>
          <w:rFonts w:ascii="Times New Roman" w:hAnsi="Times New Roman" w:eastAsia="Times New Roman" w:cs="Times New Roman"/>
          <w:color w:val="000000"/>
          <w:sz w:val="21"/>
        </w:rPr>
        <w:t xml:space="preserve">90</w:t>
      </w:r>
      <w:r>
        <w:rPr>
          <w:rFonts w:ascii="SimSun" w:hAnsi="SimSun" w:eastAsia="SimSun" w:cs="SimSun"/>
          <w:color w:val="000000"/>
          <w:sz w:val="21"/>
        </w:rPr>
        <w:t xml:space="preserve">分，每少</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分，减付季度服务费的</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；服务期内累计三次季度考核小于</w:t>
      </w:r>
      <w:r>
        <w:rPr>
          <w:rFonts w:ascii="Times New Roman" w:hAnsi="Times New Roman" w:eastAsia="Times New Roman" w:cs="Times New Roman"/>
          <w:color w:val="000000"/>
          <w:sz w:val="21"/>
        </w:rPr>
        <w:t xml:space="preserve">80</w:t>
      </w:r>
      <w:r>
        <w:rPr>
          <w:rFonts w:ascii="SimSun" w:hAnsi="SimSun" w:eastAsia="SimSun" w:cs="SimSun"/>
          <w:color w:val="000000"/>
          <w:sz w:val="21"/>
        </w:rPr>
        <w:t xml:space="preserve">分，甲方在季度付款除按比例扣除考核款之外，有权直接解除合同。</w:t>
      </w:r>
      <w:r/>
    </w:p>
    <w:p>
      <w:pPr>
        <w:ind w:left="60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54"/>
        <w:ind w:left="0" w:right="0" w:firstLine="0"/>
        <w:jc w:val="center"/>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商务条款</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一、实施（服务）时间及地点</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（一）合同期限：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服务期叁年，合同一年一签，合同每年度服务期满，甲方将对乙方服务情况组织考核，在考核合格基础上，双方可根据相关法律及文件规定要求续签合同。本合同最多可以续签2次。</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（二）服务地点：南京市妇幼保健院，江苏省南京市莫愁路天妃巷123号。</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二、服务质量及验收要求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中标人严格按照招标文件要求确保服务质量。托管服务质量应符合国家相关规范要求，不符合规范要求，所有责任由中标人全权承担。</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三、报价要求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本次报价为人民币报价，包括项目实施服务过程中所产生的一切费用。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招标文件中描述的工作是中央空调系统、楼宇控制系统和净化区域空调系统托管服务的主要内容，请投标单位现场勘察，确定全部内容，中标后除相应约定的内容和国家政策和法律法规规定要求外（如最低工资、社保基数上浮等），费用一律不予增加。</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四、付款方式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签订合同后，服务满一季度付款一次，每季度付年合同费用的25%。</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五、商务条款的承诺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本部分商务条款属于不可变更条款，投标单位在投标时无需就本章所列条款做出具体的承诺，只要投标单位参与投标即视为完全接受本章所列之商务条款。</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六、其他未尽事宜，由投标单位与招标方在签订合同时协商确定。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投标单位拟选派项目经理需在采购文件规定时间到项目现场进行实地勘查，请务必对项目现场情况、设施和周围环境进行仔细认真地查勘和测量，提供现场环境勘察确认书原件扫描件，确认书经招标人签字确认。现场勘查联系人：吴老师，联系电话：025-52226106、18652040539。勘查现场时间：2026年6月10日9时00分。勘查地址：南京市莫愁路天妃巷123号南京市妇幼保健院莫愁路院区二号楼门口集合。超过勘查现场时间将不再接受现场勘查。未按要求踏勘现场的投标单位或未提供现场环境踏勘确认书原件扫描件的投标单位，评委</w:t>
      </w:r>
      <w:r>
        <w:rPr>
          <w:rFonts w:ascii="SimSun" w:hAnsi="SimSun" w:eastAsia="SimSun" w:cs="SimSun"/>
          <w:color w:val="000000"/>
          <w:sz w:val="24"/>
        </w:rPr>
        <w:t xml:space="preserve">评审时对其“服务方案”全部按“方案内容明显欠缺”档次计分。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踏勘现场投标单位签到表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134"/>
        <w:gridCol w:w="1134"/>
        <w:gridCol w:w="1134"/>
      </w:tblGrid>
      <w:tr>
        <w:trPr>
          <w:gridAfter w:val="2"/>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投标单位名称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gridAfter w:val="2"/>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投标单位法定代表人姓名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gridAfter w:val="2"/>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踏勘人</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委托代理人姓名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gridAfter w:val="2"/>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踏勘人</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委托代理人身份证号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gridAfter w:val="2"/>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踏勘人</w:t>
            </w:r>
            <w:r>
              <w:rPr>
                <w:rFonts w:ascii="Times New Roman" w:hAnsi="Times New Roman" w:eastAsia="Times New Roman" w:cs="Times New Roman"/>
                <w:color w:val="000000"/>
                <w:sz w:val="22"/>
              </w:rPr>
              <w:t xml:space="preserve">\</w:t>
            </w:r>
            <w:r>
              <w:rPr>
                <w:rFonts w:ascii="SimSun" w:hAnsi="SimSun" w:eastAsia="SimSun" w:cs="SimSun"/>
                <w:color w:val="000000"/>
                <w:sz w:val="22"/>
              </w:rPr>
              <w:t xml:space="preserve">委托代理人联系方式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gridAfter w:val="2"/>
          <w:trHeight w:val="468"/>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87" w:type="dxa"/>
            <w:vAlign w:val="top"/>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现场踏勘情况总结：</w:t>
            </w:r>
            <w:r>
              <w:rPr>
                <w:rFonts w:ascii="SimSun" w:hAnsi="SimSun" w:eastAsia="SimSun" w:cs="SimSun"/>
                <w:color w:val="000000"/>
                <w:sz w:val="22"/>
              </w:rPr>
              <w:t xml:space="preserve">我方已对现场情况、设施、周围环境和建筑尺寸进行仔细认真地查勘和测量，对现场情况完全清楚。</w:t>
            </w:r>
            <w:r/>
          </w:p>
        </w:tc>
      </w:tr>
      <w:tr>
        <w:trPr>
          <w:trHeight w:val="340"/>
        </w:trPr>
        <w:tc>
          <w:tcPr>
            <w:gridSpan w:val="2"/>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bottom"/>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踏勘人</w:t>
            </w:r>
            <w:r>
              <w:rPr>
                <w:rFonts w:ascii="Times New Roman" w:hAnsi="Times New Roman" w:eastAsia="Times New Roman" w:cs="Times New Roman"/>
                <w:b/>
                <w:color w:val="000000"/>
                <w:sz w:val="22"/>
              </w:rPr>
              <w:t xml:space="preserve">\</w:t>
            </w:r>
            <w:r>
              <w:rPr>
                <w:rFonts w:ascii="SimSun" w:hAnsi="SimSun" w:eastAsia="SimSun" w:cs="SimSun"/>
                <w:b/>
                <w:color w:val="000000"/>
                <w:sz w:val="22"/>
              </w:rPr>
              <w:t xml:space="preserve">委托代理人签名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40"/>
        </w:trPr>
        <w:tc>
          <w:tcPr>
            <w:gridSpan w:val="2"/>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bottom"/>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踏勘时间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bottom"/>
            <w:textDirection w:val="lrTb"/>
            <w:noWrap w:val="false"/>
          </w:tcPr>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年</w:t>
            </w:r>
            <w:r>
              <w:rPr>
                <w:rFonts w:ascii="Times New Roman" w:hAnsi="Times New Roman" w:eastAsia="Times New Roman" w:cs="Times New Roman"/>
                <w:b/>
                <w:color w:val="000000"/>
                <w:sz w:val="22"/>
              </w:rPr>
              <w:t xml:space="preserve">      </w:t>
            </w:r>
            <w:r>
              <w:rPr>
                <w:rFonts w:ascii="SimSun" w:hAnsi="SimSun" w:eastAsia="SimSun" w:cs="SimSun"/>
                <w:b/>
                <w:color w:val="000000"/>
                <w:sz w:val="22"/>
              </w:rPr>
              <w:t xml:space="preserve">月</w:t>
            </w:r>
            <w:r>
              <w:rPr>
                <w:rFonts w:ascii="Times New Roman" w:hAnsi="Times New Roman" w:eastAsia="Times New Roman" w:cs="Times New Roman"/>
                <w:b/>
                <w:color w:val="000000"/>
                <w:sz w:val="22"/>
              </w:rPr>
              <w:t xml:space="preserve">     </w:t>
            </w:r>
            <w:r>
              <w:rPr>
                <w:rFonts w:ascii="SimSun" w:hAnsi="SimSun" w:eastAsia="SimSun" w:cs="SimSun"/>
                <w:b/>
                <w:color w:val="000000"/>
                <w:sz w:val="22"/>
              </w:rPr>
              <w:t xml:space="preserve">日</w:t>
            </w:r>
            <w:r>
              <w:rPr>
                <w:rFonts w:ascii="Times New Roman" w:hAnsi="Times New Roman" w:eastAsia="Times New Roman" w:cs="Times New Roman"/>
                <w:b/>
                <w:color w:val="000000"/>
                <w:sz w:val="22"/>
              </w:rPr>
              <w:t xml:space="preserve">   </w:t>
            </w:r>
            <w:r>
              <w:rPr>
                <w:rFonts w:ascii="SimSun" w:hAnsi="SimSun" w:eastAsia="SimSun" w:cs="SimSun"/>
                <w:b/>
                <w:color w:val="000000"/>
                <w:sz w:val="22"/>
              </w:rPr>
              <w:t xml:space="preserve">时</w:t>
            </w:r>
            <w:r>
              <w:rPr>
                <w:rFonts w:ascii="Times New Roman" w:hAnsi="Times New Roman" w:eastAsia="Times New Roman" w:cs="Times New Roman"/>
                <w:b/>
                <w:color w:val="000000"/>
                <w:sz w:val="22"/>
              </w:rPr>
              <w:t xml:space="preserve">   </w:t>
            </w:r>
            <w:r>
              <w:rPr>
                <w:rFonts w:ascii="SimSun" w:hAnsi="SimSun" w:eastAsia="SimSun" w:cs="SimSun"/>
                <w:b/>
                <w:color w:val="000000"/>
                <w:sz w:val="22"/>
              </w:rPr>
              <w:t xml:space="preserve">分</w:t>
            </w:r>
            <w:r/>
          </w:p>
        </w:tc>
      </w:tr>
      <w:tr>
        <w:trPr>
          <w:gridAfter w:val="2"/>
          <w:trHeight w:val="85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87" w:type="dxa"/>
            <w:vAlign w:val="bottom"/>
            <w:textDirection w:val="lrTb"/>
            <w:noWrap w:val="false"/>
          </w:tcPr>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、若参与现场踏勘的投标单位未按本通知准时参与或未按照要求提供相关证件，则视为自动放弃本次投标；</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参与踏勘的投标单位在投标时提供招标人出具的现场《踏勘现场投标单位签到表》原件，未按要求踏勘现场的投标单位或未提供现场环境踏勘确认书原件的投标单位，评委评审时对其“服务方案”全部按“方案内容明显欠缺”档次计分。</w:t>
            </w:r>
            <w:r/>
          </w:p>
        </w:tc>
      </w:tr>
      <w:tr>
        <w:trPr>
          <w:gridAfter w:val="2"/>
          <w:trHeight w:val="54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87" w:type="dxa"/>
            <w:vAlign w:val="bottom"/>
            <w:textDirection w:val="lrTb"/>
            <w:noWrap w:val="false"/>
          </w:tcPr>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材料验证情况：</w:t>
            </w:r>
            <w:r/>
          </w:p>
        </w:tc>
      </w:tr>
      <w:tr>
        <w:trPr>
          <w:gridAfter w:val="2"/>
          <w:trHeight w:val="5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材</w:t>
            </w:r>
            <w:r>
              <w:rPr>
                <w:rFonts w:ascii="Times New Roman" w:hAnsi="Times New Roman" w:eastAsia="Times New Roman" w:cs="Times New Roman"/>
                <w:b/>
                <w:color w:val="000000"/>
                <w:sz w:val="22"/>
              </w:rPr>
              <w:t xml:space="preserve"> </w:t>
            </w:r>
            <w:r>
              <w:rPr>
                <w:rFonts w:ascii="SimSun" w:hAnsi="SimSun" w:eastAsia="SimSun" w:cs="SimSun"/>
                <w:b/>
                <w:color w:val="000000"/>
                <w:sz w:val="22"/>
              </w:rPr>
              <w:t xml:space="preserve">料</w:t>
            </w:r>
            <w:r>
              <w:rPr>
                <w:rFonts w:ascii="Times New Roman" w:hAnsi="Times New Roman" w:eastAsia="Times New Roman" w:cs="Times New Roman"/>
                <w:b/>
                <w:color w:val="000000"/>
                <w:sz w:val="22"/>
              </w:rPr>
              <w:t xml:space="preserve"> </w:t>
            </w:r>
            <w:r>
              <w:rPr>
                <w:rFonts w:ascii="SimSun" w:hAnsi="SimSun" w:eastAsia="SimSun" w:cs="SimSun"/>
                <w:b/>
                <w:color w:val="000000"/>
                <w:sz w:val="22"/>
              </w:rPr>
              <w:t xml:space="preserve">名</w:t>
            </w:r>
            <w:r>
              <w:rPr>
                <w:rFonts w:ascii="Times New Roman" w:hAnsi="Times New Roman" w:eastAsia="Times New Roman" w:cs="Times New Roman"/>
                <w:b/>
                <w:color w:val="000000"/>
                <w:sz w:val="22"/>
              </w:rPr>
              <w:t xml:space="preserve"> </w:t>
            </w:r>
            <w:r>
              <w:rPr>
                <w:rFonts w:ascii="SimSun" w:hAnsi="SimSun" w:eastAsia="SimSun" w:cs="SimSun"/>
                <w:b/>
                <w:color w:val="000000"/>
                <w:sz w:val="22"/>
              </w:rPr>
              <w:t xml:space="preserve">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验</w:t>
            </w:r>
            <w:r>
              <w:rPr>
                <w:rFonts w:ascii="Times New Roman" w:hAnsi="Times New Roman" w:eastAsia="Times New Roman" w:cs="Times New Roman"/>
                <w:b/>
                <w:color w:val="000000"/>
                <w:sz w:val="22"/>
              </w:rPr>
              <w:t xml:space="preserve"> </w:t>
            </w:r>
            <w:r>
              <w:rPr>
                <w:rFonts w:ascii="SimSun" w:hAnsi="SimSun" w:eastAsia="SimSun" w:cs="SimSun"/>
                <w:b/>
                <w:color w:val="000000"/>
                <w:sz w:val="22"/>
              </w:rPr>
              <w:t xml:space="preserve">证</w:t>
            </w:r>
            <w:r>
              <w:rPr>
                <w:rFonts w:ascii="Times New Roman" w:hAnsi="Times New Roman" w:eastAsia="Times New Roman" w:cs="Times New Roman"/>
                <w:b/>
                <w:color w:val="000000"/>
                <w:sz w:val="22"/>
              </w:rPr>
              <w:t xml:space="preserve"> </w:t>
            </w:r>
            <w:r>
              <w:rPr>
                <w:rFonts w:ascii="SimSun" w:hAnsi="SimSun" w:eastAsia="SimSun" w:cs="SimSun"/>
                <w:b/>
                <w:color w:val="000000"/>
                <w:sz w:val="22"/>
              </w:rPr>
              <w:t xml:space="preserve">情</w:t>
            </w:r>
            <w:r>
              <w:rPr>
                <w:rFonts w:ascii="Times New Roman" w:hAnsi="Times New Roman" w:eastAsia="Times New Roman" w:cs="Times New Roman"/>
                <w:b/>
                <w:color w:val="000000"/>
                <w:sz w:val="22"/>
              </w:rPr>
              <w:t xml:space="preserve"> </w:t>
            </w:r>
            <w:r>
              <w:rPr>
                <w:rFonts w:ascii="SimSun" w:hAnsi="SimSun" w:eastAsia="SimSun" w:cs="SimSun"/>
                <w:b/>
                <w:color w:val="000000"/>
                <w:sz w:val="22"/>
              </w:rPr>
              <w:t xml:space="preserve">况（符合要求</w:t>
            </w:r>
            <w:r>
              <w:rPr>
                <w:rFonts w:ascii="Times New Roman" w:hAnsi="Times New Roman" w:eastAsia="Times New Roman" w:cs="Times New Roman"/>
                <w:b/>
                <w:color w:val="000000"/>
                <w:sz w:val="22"/>
              </w:rPr>
              <w:t xml:space="preserve">\</w:t>
            </w:r>
            <w:r>
              <w:rPr>
                <w:rFonts w:ascii="SimSun" w:hAnsi="SimSun" w:eastAsia="SimSun" w:cs="SimSun"/>
                <w:b/>
                <w:color w:val="000000"/>
                <w:sz w:val="22"/>
              </w:rPr>
              <w:t xml:space="preserve">不符合要求）</w:t>
            </w:r>
            <w:r/>
          </w:p>
        </w:tc>
      </w:tr>
      <w:tr>
        <w:trPr>
          <w:gridAfter w:val="2"/>
          <w:trHeight w:val="6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投标单位营业执照复印件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gridAfter w:val="2"/>
          <w:trHeight w:val="6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法定代表人授权书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r>
      <w:tr>
        <w:trPr>
          <w:gridAfter w:val="2"/>
          <w:trHeight w:val="6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勘查人身份证复印件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gridAfter w:val="2"/>
          <w:trHeight w:val="6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验证人签字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0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gridAfter w:val="2"/>
          <w:trHeight w:val="6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查验时间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年</w:t>
            </w:r>
            <w:r>
              <w:rPr>
                <w:rFonts w:ascii="Times New Roman" w:hAnsi="Times New Roman" w:eastAsia="Times New Roman" w:cs="Times New Roman"/>
                <w:b/>
                <w:color w:val="000000"/>
                <w:sz w:val="22"/>
              </w:rPr>
              <w:t xml:space="preserve">      </w:t>
            </w:r>
            <w:r>
              <w:rPr>
                <w:rFonts w:ascii="SimSun" w:hAnsi="SimSun" w:eastAsia="SimSun" w:cs="SimSun"/>
                <w:b/>
                <w:color w:val="000000"/>
                <w:sz w:val="22"/>
              </w:rPr>
              <w:t xml:space="preserve">月</w:t>
            </w:r>
            <w:r>
              <w:rPr>
                <w:rFonts w:ascii="Times New Roman" w:hAnsi="Times New Roman" w:eastAsia="Times New Roman" w:cs="Times New Roman"/>
                <w:b/>
                <w:color w:val="000000"/>
                <w:sz w:val="22"/>
              </w:rPr>
              <w:t xml:space="preserve">     </w:t>
            </w:r>
            <w:r>
              <w:rPr>
                <w:rFonts w:ascii="SimSun" w:hAnsi="SimSun" w:eastAsia="SimSun" w:cs="SimSun"/>
                <w:b/>
                <w:color w:val="000000"/>
                <w:sz w:val="22"/>
              </w:rPr>
              <w:t xml:space="preserve">日</w:t>
            </w:r>
            <w:r>
              <w:rPr>
                <w:rFonts w:ascii="Times New Roman" w:hAnsi="Times New Roman" w:eastAsia="Times New Roman" w:cs="Times New Roman"/>
                <w:b/>
                <w:color w:val="000000"/>
                <w:sz w:val="22"/>
              </w:rPr>
              <w:t xml:space="preserve">   </w:t>
            </w:r>
            <w:r>
              <w:rPr>
                <w:rFonts w:ascii="SimSun" w:hAnsi="SimSun" w:eastAsia="SimSun" w:cs="SimSun"/>
                <w:b/>
                <w:color w:val="000000"/>
                <w:sz w:val="22"/>
              </w:rPr>
              <w:t xml:space="preserve">时</w:t>
            </w:r>
            <w:r>
              <w:rPr>
                <w:rFonts w:ascii="Times New Roman" w:hAnsi="Times New Roman" w:eastAsia="Times New Roman" w:cs="Times New Roman"/>
                <w:b/>
                <w:color w:val="000000"/>
                <w:sz w:val="22"/>
              </w:rPr>
              <w:t xml:space="preserve">   </w:t>
            </w:r>
            <w:r>
              <w:rPr>
                <w:rFonts w:ascii="SimSun" w:hAnsi="SimSun" w:eastAsia="SimSun" w:cs="SimSun"/>
                <w:b/>
                <w:color w:val="000000"/>
                <w:sz w:val="22"/>
              </w:rPr>
              <w:t xml:space="preserve">分</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合同主要条款</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采 购 合 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w:t>
      </w:r>
      <w:r>
        <w:rPr>
          <w:rFonts w:ascii="SimSun" w:hAnsi="SimSun" w:eastAsia="SimSun" w:cs="SimSun"/>
          <w:color w:val="000000"/>
          <w:sz w:val="24"/>
          <w:u w:val="single"/>
        </w:rPr>
        <w:t xml:space="preserve">   南京市妇幼保健院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乙方：（卖方）________</w:t>
      </w:r>
      <w:r>
        <w:rPr>
          <w:rFonts w:ascii="SimSun" w:hAnsi="SimSun" w:eastAsia="SimSun" w:cs="SimSun"/>
          <w:color w:val="000000"/>
          <w:sz w:val="24"/>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甲、乙双方根据</w:t>
      </w:r>
      <w:r>
        <w:rPr>
          <w:rFonts w:ascii="SimSun" w:hAnsi="SimSun" w:eastAsia="SimSun" w:cs="SimSun"/>
          <w:color w:val="000000"/>
          <w:sz w:val="24"/>
          <w:u w:val="single"/>
        </w:rPr>
        <w:t xml:space="preserve">南京市妇幼保健院莫愁路院区中央空调系统、楼宇控制系统和净化区域空调系统托管服务</w:t>
      </w:r>
      <w:r>
        <w:rPr>
          <w:rFonts w:ascii="SimSun" w:hAnsi="SimSun" w:eastAsia="SimSun" w:cs="SimSun"/>
          <w:color w:val="000000"/>
          <w:sz w:val="24"/>
        </w:rPr>
        <w:t xml:space="preserve">公开招标的结果，签署本合同。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一、合同内容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标的名称：南京市妇幼保健院莫愁路院区中央空调系统、楼宇控制系统和净化区域空调系统托管服务。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1.2标的质量：为甲方的中央空调和楼宇控制系统及净化区域系统安全、节能、高效的运行提供优质的服务。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标的数量（规模）：为莫愁路院区中央空调和楼宇控制系统托管服务、莫愁路院区净化区域系统托管服务。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履行时间（期限）：服务期叁年，合同一年一签。本合同服务时间为2026年  月  日至 2027年  月  日止，合同每年度服务期满，甲方将对乙方服务情况组织考核，在考核合格基础上，双方可根据相关法律及文件规定要求续签合同。本合同最多可以续签2次。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履行地点：南京市妇幼保健院莫愁路院区，江苏省南京市莫愁路天妃巷123号。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履行方式：详见本合同附件及组成本合同的相关文件。乙方应严格按照本合同附件《采购需求》（即招标文件第四章）以及乙方在投标文件中响应的服务方案、质量标准等内容，为甲方提供中央空调及楼宇控制系统、净化区域系统的维保与托管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二、合同金额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本合同金额为（大写）：____________________________________圆（_______________元）人民币。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三、技术资料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3.1乙方应按招标文件规定的时间向甲方提供服务（包含与服务相关的货物）的有关技术资料。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四、知识产权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五、产权担保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乙方保证所交付的服务（包含与服务相关的货物）的所有权完全属于乙方且无任何抵押、查封等产权瑕疵。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六、合同转包或分包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6.1乙方不得将合同标的转包给他人履行。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6.2乙方不得将合同标的分包给他人履行。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6.3乙方如有转包或未经甲方同意的分包行为，甲方有权解除合同。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七、合同款项支付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7.1合同款项的支付方式及进度安排</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服务满一季度付款一次，每季度支付年合同费用的25%。</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本合同项下的资金由南京市妇幼保健院在收到以下单据且财务出账后三个月内付清：（1）经乙方盖章确认的发票；（2）经甲乙双方共同签署的验收确认单。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八、税费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8.1本合同执行中相关的一切税费均由乙方负担。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九、双方责任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9.1甲方责任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（1）为乙方实施和管理本协议项下工作提供必要的协助，负责处理非乙方原因而产生的相关工作纠纷。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（2）对乙方的工作计划和工作内容，工作要求及时反馈，并按时支付协议费用。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（3）配合乙方取得本项目所有设备与乙方工作相关的图纸，保养手册，验收报告。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（4）甲方应为乙方提供相应的值班和办公场地等。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（5）本协议修缮工作中发生的配件材料费由甲方承担。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9.2乙方责任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除本协议规定的其他责任外，乙方还应：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（1）乙方人员在甲方服务期间确认已被告知工作场所及工作人员相关规章制度，并承诺严格遵守甲方单位的规章制度。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（2）乙方负责严谨精细地进行机房布置管理（包括填制各项记录表，张贴《空调管理制度》，《空调操作规程》，《安全注意事项》等）高标准创建机房的秩序与环境。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应于每一合同年度结束最后一个月的最后一周的星期一向甲方提交书面的年度工作情况总结，该总结包括年度计划实施情况，空调设备各系统运行情况，空调系统各设备修缮及部件更换建议，节能建议及乙方工作中存在的问题等。每月应汇报一次工作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（4）本协议适用于常规条件下中央空调的管理，如果当地发生突发性公共卫生事件，灾害，或生化恐怖袭击，有可能通过中央空调系统扩散污染和产生伤害时，乙方应按紧急情况预案采取应急运行措施。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十、特别约定：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10.1合约期间，在任何情况下，乙方不承担设备非乙方原因造成的设备及部件损伤、意外破坏、遗失的责任；如在设备检修过程中由于乙方人员工作失误导致配件损坏，所需修复或更换的所有费用由乙方负责。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十一、服务质量考核：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乙方应按服务需求进行服务，确保服务质量。甲方根据招标文件第四章《采购需求》对服务质量进行考核，服务质量要求按照招标文件第四章《采购需求》以及中标人服务方案及承诺（以投标文件为准）内容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11.2服务质量考核应由乙方、甲方两方签字盖章方能生效，是支付货款的凭据。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十二、索赔：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12.1乙方对服务与招标文件、服务方案及承诺以及合同要求不符负有责任，双方按照招标文件第四章《采购需求》及合同约定解决索赔事宜。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13.1如果乙方发生违约情况（如合同期间无故终止维护保养服务或不按合同规定进行维护保养的），甲方停止支付合同款。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13.2如果甲方在合约期间违约无故终止合同，应赔偿因此给乙方造成的其他相应损失。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13.3乙方所提供服务的标准不符合合同规定及招标文件规定标准的，甲方有权拒绝接受服务，并可单方面解除合同。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十四、不可抗力事件处理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在合同有效期内，任何一方因不可抗力事件导致不能履行合同，则合同履行期可延长，其延长期与不可抗力影响期相同。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不可抗力事件发生后，发生事件的一方应立即通知对方，并寄送有关权威机构出具的证明。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如果不可抗力事件延续 30 天以上，双方应通过友好协商，确定是否继续履行合同。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十五、解决争议的方法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双方在签订、履行合同过程中所发生的一切争议，应通过友好协商解决。如协商不成，由甲方住所地人民法院管辖。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十六、合同生效及其他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合同经双方法定代表人或授权委托代表人签字并加盖单位公章后生效。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本合同未尽事宜，遵照《中华人民共和国民法典》《政府采购法》有关条文执行。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 本合同正本一式肆份，具有同等法律效力，甲方、乙方各执贰份。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 组成本合同的文件及解释顺序：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（1）下列文件共同构成本合同不可分割的组成部分，彼此相互补充。若文件之间出现歧义或矛盾，应按以下顺序优先解释：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a.本合同书正文及其附件、补充协议；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b.中标通知书；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c.乙方投标文件及其澄清文件（含服务方案、人员配置、报价明细等）；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d.招标文件第四章《采购需求》；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e.招标文件（含答疑、澄清及修改）的其他部分；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f.国家及行业标准、技术规范。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附件《采购需求》中所列明的服务内容、人员配置标准、设备维保要求、考核办法（含重大违约认定、扣款标准、解除合同条件）、检测标准等，均视为本合同项下乙方的核心合同义务。乙方应按《采购需求》的全部内容履行，甲方有权按《采购需求》约定的标准进行验收、考核、支付款项及追究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16.5本合同附件为本合同不可分割的组成部分，与本合同具有同等法律效力。本合同附件包括：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附件一：《采购需求》（即招标文件第四章，内容详见本合同的约定）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附件二：中标人服务方案及承诺（以投标文件为准）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附件三：中标人报价明细表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甲方：乙方：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地址：地址：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法定代表人或授权代表：法定代表人或授权代表：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签订日期：年月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5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 投标文件格式及附件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投标人：（加盖电子公章）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  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（注：供应商根据本章附件顺序编制投标文件并制作目录（须生成页码））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附件一、投标申请及声明格式</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投标申请及声明</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致：江苏省设备成套股份有限公司</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 </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（项目编号）投标邀请，正式授权下述签字人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(姓名和职务)代表投标人</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（投标人名称），提交投标文件。</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1、我们的资格条件完全符合政府采购法和本次招标要求，我们同意并向贵方提供了与投标有关的所有证据和资料。</w:t>
      </w:r>
      <w:r/>
    </w:p>
    <w:p>
      <w:pPr>
        <w:ind w:left="1470" w:right="0" w:hanging="105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2、按招标要求，我们的投标总报价详见开标一览表。</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3、本项目服务时间为：</w:t>
      </w:r>
      <w:r>
        <w:rPr>
          <w:rFonts w:ascii="SimSun" w:hAnsi="SimSun" w:eastAsia="SimSun" w:cs="SimSun"/>
          <w:color w:val="000000"/>
          <w:sz w:val="21"/>
          <w:u w:val="single"/>
        </w:rPr>
        <w:t xml:space="preserve">  满足招标文件要求</w:t>
      </w:r>
      <w:r>
        <w:rPr>
          <w:rFonts w:ascii="SimSun" w:hAnsi="SimSun" w:eastAsia="SimSun" w:cs="SimSun"/>
          <w:color w:val="000000"/>
          <w:sz w:val="21"/>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4、我们已详细阅读全部招标文件及其有效补充文件，我们放弃对招标文件任何误解的权利，提交投标文件后，不对招标文件本身提出质疑。</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5、我们同意从规定的开标日期起遵循本投标文件，并在规定的投标有效期期满之前均具有约束力。</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6、一旦我方中标，我方将根据招标文件的规定及我方投标承诺严格履行合同。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8、与本投标有关的正式联系方式为：</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1"/>
        </w:rPr>
        <w:t xml:space="preserve">（加盖电子公章）</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附件二、法定代表人授权书格式</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法人授权书</w:t>
      </w:r>
      <w:r/>
    </w:p>
    <w:p>
      <w:pPr>
        <w:ind w:left="0" w:right="0" w:firstLine="480"/>
        <w:spacing w:before="240" w:after="240" w:line="41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本授权书自______年____月____日起生效，特此声明。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被授权人的身份证的复印件: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项目名称：项目编号：</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69"/>
        <w:gridCol w:w="1469"/>
        <w:gridCol w:w="6156"/>
      </w:tblGrid>
      <w:tr>
        <w:trPr>
          <w:trHeight w:val="1198"/>
        </w:trPr>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投标总价</w:t>
            </w:r>
            <w:r/>
          </w:p>
        </w:tc>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146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合计</w:t>
            </w:r>
            <w:r/>
          </w:p>
        </w:tc>
        <w:tc>
          <w:tcPr>
            <w:tcBorders>
              <w:top w:val="single" w:color="000000" w:sz="8" w:space="0"/>
              <w:left w:val="single" w:color="000000" w:sz="8" w:space="0"/>
              <w:bottom w:val="single" w:color="000000" w:sz="8" w:space="0"/>
              <w:right w:val="single" w:color="000000" w:sz="8" w:space="0"/>
            </w:tcBorders>
            <w:tcMar>
              <w:left w:w="51" w:type="dxa"/>
              <w:top w:w="0" w:type="dxa"/>
              <w:right w:w="51" w:type="dxa"/>
              <w:bottom w:w="0" w:type="dxa"/>
            </w:tcMar>
            <w:tcW w:w="615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小写：人民币            元    </w:t>
            </w:r>
            <w:r/>
          </w:p>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大写：人民币                     </w:t>
            </w:r>
            <w:r/>
          </w:p>
        </w:tc>
      </w:tr>
      <w:tr>
        <w:trPr>
          <w:trHeight w:val="829"/>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服务期</w:t>
            </w:r>
            <w:r/>
          </w:p>
        </w:tc>
        <w:tc>
          <w:tcPr>
            <w:gridSpan w:val="2"/>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7625" w:type="dxa"/>
            <w:vAlign w:val="center"/>
            <w:textDirection w:val="lrTb"/>
            <w:noWrap w:val="false"/>
          </w:tcPr>
          <w:p>
            <w:pPr>
              <w:ind w:left="0" w:right="0" w:firstLine="474"/>
              <w:jc w:val="both"/>
              <w:spacing w:before="0" w:after="0" w:line="439"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满足招标文件要求。</w:t>
            </w:r>
            <w:r/>
          </w:p>
        </w:tc>
      </w:tr>
      <w:tr>
        <w:trPr>
          <w:trHeight w:val="1206"/>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投标标的是否全部由小微企业（含视同小微企业）提供</w:t>
            </w:r>
            <w:r/>
          </w:p>
        </w:tc>
        <w:tc>
          <w:tcPr>
            <w:gridSpan w:val="2"/>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7625" w:type="dxa"/>
            <w:vAlign w:val="center"/>
            <w:textDirection w:val="lrTb"/>
            <w:noWrap w:val="false"/>
          </w:tcPr>
          <w:p>
            <w:pPr>
              <w:ind w:left="0" w:right="0" w:firstLine="47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（填写“是”或“否）</w:t>
            </w:r>
            <w:r/>
          </w:p>
        </w:tc>
      </w:tr>
      <w:tr>
        <w:trPr>
          <w:trHeight w:val="1749"/>
        </w:trPr>
        <w:tc>
          <w:tcPr>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13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c>
          <w:tcPr>
            <w:gridSpan w:val="2"/>
            <w:tcBorders>
              <w:top w:val="none" w:color="000000" w:sz="4" w:space="0"/>
              <w:left w:val="single" w:color="000000" w:sz="8" w:space="0"/>
              <w:bottom w:val="single" w:color="000000" w:sz="8" w:space="0"/>
              <w:right w:val="single" w:color="000000" w:sz="8" w:space="0"/>
            </w:tcBorders>
            <w:tcMar>
              <w:left w:w="51" w:type="dxa"/>
              <w:top w:w="0" w:type="dxa"/>
              <w:right w:w="51" w:type="dxa"/>
              <w:bottom w:w="0" w:type="dxa"/>
            </w:tcMar>
            <w:tcW w:w="76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本开标一览表的格式以苏采云系统中为准,本表中的价格不包含“中央空调及楼宇控制系统材料更换报价”和“净化区域系统环境检测报价”，“中央空调及楼宇控制系统材料更换报价”和“净化区域系统环境检测报价”以分项报价为准。2.以上价格指三年服务总价。</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numPr>
          <w:ilvl w:val="0"/>
          <w:numId w:val="1"/>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本项目仅接受一个价格，不得填报有选择性报价方案。如有优惠条款须注明，但不得影响报价，影响项目履约交付。</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投标标的是否全部由小微企业提供”栏内填写“是”或“否”。如填写“是”，投标人应按招标文件要求提供《中小企业声明函》、《残疾人福利性单位声明函》、《属于监狱企业的证明文件》。如未按要求提供、填写，不享受价格扣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附表——分项报价表格式</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报价表一：</w:t>
      </w:r>
      <w:r>
        <w:rPr>
          <w:rFonts w:ascii="SimSun" w:hAnsi="SimSun" w:eastAsia="SimSun" w:cs="SimSun"/>
          <w:b/>
          <w:color w:val="000000"/>
          <w:sz w:val="24"/>
          <w:u w:val="none"/>
        </w:rPr>
        <w:t xml:space="preserve">中央空调和楼宇控制系统及净化区域系统托管服务报价</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4"/>
        <w:gridCol w:w="2552"/>
        <w:gridCol w:w="1424"/>
        <w:gridCol w:w="2119"/>
        <w:gridCol w:w="2127"/>
      </w:tblGrid>
      <w:tr>
        <w:trPr>
          <w:trHeight w:val="60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服务项目名称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分项小计（元/年）</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60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中央空调及楼宇控制系统托管服务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项目人工费用</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分项报价表1：项目人工费用明细表合计金额</w:t>
            </w:r>
            <w:r/>
          </w:p>
        </w:tc>
      </w:tr>
      <w:tr>
        <w:trPr>
          <w:trHeight w:val="10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净化区域系统托管服务项目人工费用</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分项报价表2：项目人工费用明细表合计金额</w:t>
            </w:r>
            <w:r/>
          </w:p>
        </w:tc>
      </w:tr>
      <w:tr>
        <w:trPr>
          <w:trHeight w:val="67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日常维保耗材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44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设备设施的维保、年检费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9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办公费、固定资产折旧费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税费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三年合计：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小微型企业、监狱企业或残疾人福利性产品报价总计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分项报价表二：中央空调及楼宇控制系统托管服务项目人工费用明细表</w:t>
      </w:r>
      <w:r>
        <w:rPr>
          <w:rFonts w:ascii="SimSun" w:hAnsi="SimSun" w:eastAsia="SimSun" w:cs="SimSun"/>
          <w:color w:val="000000"/>
          <w:sz w:val="22"/>
        </w:rPr>
        <w:t xml:space="preserve">报价单位：元</w:t>
      </w:r>
      <w:r>
        <w:rPr>
          <w:rFonts w:ascii="SimSun" w:hAnsi="SimSun" w:eastAsia="SimSun" w:cs="SimSun"/>
          <w:b/>
          <w:color w:val="000000"/>
          <w:sz w:val="24"/>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56"/>
        <w:gridCol w:w="1019"/>
        <w:gridCol w:w="462"/>
        <w:gridCol w:w="1019"/>
        <w:gridCol w:w="1018"/>
        <w:gridCol w:w="1111"/>
        <w:gridCol w:w="1018"/>
        <w:gridCol w:w="1018"/>
        <w:gridCol w:w="834"/>
        <w:gridCol w:w="1018"/>
      </w:tblGrid>
      <w:tr>
        <w:trPr>
          <w:trHeight w:val="6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岗位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工资</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（元/人/月）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社保及公积金</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（元/人/月）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商业险</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（元/人/月）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节假日加班费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（元/人/月）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其他费用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（元/人/月）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服务期限（月）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岗位总费用（元/年）</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项目经理岗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核心技术岗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中央空调系统24小时值守岗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6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楼宇控制系统24小时值守岗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维保维修岗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7"/>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小计：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77"/>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三年合计：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分项报价表三：净化区域系统托管服务项目人工费用明细表</w:t>
      </w:r>
      <w:r>
        <w:rPr>
          <w:rFonts w:ascii="SimSun" w:hAnsi="SimSun" w:eastAsia="SimSun" w:cs="SimSun"/>
          <w:color w:val="000000"/>
          <w:sz w:val="22"/>
        </w:rPr>
        <w:t xml:space="preserve">    报价单位：元</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0"/>
        <w:gridCol w:w="927"/>
        <w:gridCol w:w="463"/>
        <w:gridCol w:w="1020"/>
        <w:gridCol w:w="1020"/>
        <w:gridCol w:w="1112"/>
        <w:gridCol w:w="1020"/>
        <w:gridCol w:w="1020"/>
        <w:gridCol w:w="834"/>
        <w:gridCol w:w="1020"/>
      </w:tblGrid>
      <w:tr>
        <w:trPr>
          <w:trHeight w:val="6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岗位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工资</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（元/人/月）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社保及公积金</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（元/人/月）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商业险</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（元/人/月）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节假日加班费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（元/人/月）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其他费用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（元/人/月）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服务期限（月）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岗位总费用（元/年）</w:t>
            </w:r>
            <w:r/>
          </w:p>
        </w:tc>
      </w:tr>
      <w:tr>
        <w:trPr>
          <w:trHeight w:val="4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项目经理岗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核心技术岗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7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24H值守及维保维修岗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4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89"/>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389"/>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三年合计：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报价表四：中央空调和楼宇控制系统材料更换报价</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6"/>
        <w:gridCol w:w="3118"/>
        <w:gridCol w:w="851"/>
        <w:gridCol w:w="1276"/>
        <w:gridCol w:w="2409"/>
        <w:gridCol w:w="851"/>
      </w:tblGrid>
      <w:tr>
        <w:trPr>
          <w:trHeight w:val="79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品牌型号及材质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风机盘管开关更换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TCL、西门子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空调执行器更换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埃美柯、远大、冠龙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空调电动阀更换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埃美柯、远大、冠龙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风机盘管进出水阀门更换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埃美柯、远大、冠龙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风机盘管电机电容更换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风机盘管进出水软管更换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DN20、不锈钢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风机盘管积水盘更换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镀锌板加保温</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厚度≥1.0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风机盘管进出风口更换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铝合金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风机盘管风口连接布更换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棉质帆布，无异味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风机盘管保温更换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B1级防火</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风机盘管交换器更换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盘管为铜管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空调冷凝水管更换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DN32,pvc</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中间继电器更换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施耐德、ABB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交流接触器更换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施耐德、ABB</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热继电器更换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施耐德、ABB</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排污泵更换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ee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赛莱默、威乐、格兰富  4kw</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排污泵配套进出水管更换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DN80,镀锌管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排污泵配套止回阀更换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沪工、沪航、远大</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DN80,铸钢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排污泵配套浮球更换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橡胶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排污泵配套闸阀更换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沪工、沪航、远大</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DN80,铸钢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配电柜指示灯更换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正泰、德力西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送排风及新风机组配套的KBO更换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新科、德力西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送排风及新风机组配套的传送皮带更换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三星、盖茨、固特异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送排风及新风机组配套的轴承更换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SKF、NSF</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冷却塔传送皮带更换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645"/>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三星、盖茨、固特异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冷却塔浮球更换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645"/>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不锈钢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645"/>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报价表五：净化区域系统环境检测报价</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9"/>
        <w:gridCol w:w="1418"/>
        <w:gridCol w:w="3113"/>
        <w:gridCol w:w="1418"/>
        <w:gridCol w:w="1701"/>
      </w:tblGrid>
      <w:tr>
        <w:trPr>
          <w:trHeight w:val="9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检测因子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检测频次和点位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检测单价：元</w:t>
            </w:r>
            <w:r/>
          </w:p>
        </w:tc>
      </w:tr>
      <w:tr>
        <w:trPr>
          <w:trHeight w:val="12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手术中心区及辅助用房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沉降菌、悬浮粒子、静压差、风速、换气次数、温度、相对湿度、照度、噪声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1个房间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4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周边区域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沉降菌、悬浮粒子、静压差、风速、换气次数、温度、相对湿度、照度、噪声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1个房间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42"/>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5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附件四、采购需求偏离表格式</w:t>
      </w:r>
      <w:r/>
    </w:p>
    <w:p>
      <w:pPr>
        <w:ind w:left="435"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84"/>
        <w:spacing w:before="0" w:after="0" w:line="85" w:lineRule="atLeast"/>
        <w:tabs>
          <w:tab w:val="left" w:pos="539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tab/>
        <w:t xml:space="preserve">项目编号：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2"/>
        <w:gridCol w:w="1678"/>
        <w:gridCol w:w="1931"/>
        <w:gridCol w:w="3012"/>
        <w:gridCol w:w="1246"/>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说明：投标文件采购需求部分内容响应存在正偏离或负偏离的，请在本表中逐条列出。未列出的，视为响应招标文件要求。如果行数不够，请自行增加。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附件五、商务条款偏离表格式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
        <w:spacing w:before="0" w:after="0" w:line="85" w:lineRule="atLeast"/>
        <w:tabs>
          <w:tab w:val="left" w:pos="536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tab/>
        <w:t xml:space="preserve">项目编号：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0"/>
        <w:gridCol w:w="1679"/>
        <w:gridCol w:w="2488"/>
        <w:gridCol w:w="3004"/>
        <w:gridCol w:w="1201"/>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招标文件条目号</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投标响应</w:t>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说明：投标文件商务部分内容响应存在正偏离或负偏离的，请在本表中逐条列出。未列出的，视为响应招标文件要求。如果行数不够，请自行增加。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附件六、技术说明与服务方案</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技术方案及服务承诺应根据采购人对项目的要求、评标标准的要求及项目本身的特点编写，内容应包括但不限于以下内容：</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附件七、拟参与本项目服务人员一览表</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拟参与本项目服务人员一览表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8"/>
        <w:gridCol w:w="886"/>
        <w:gridCol w:w="655"/>
        <w:gridCol w:w="701"/>
        <w:gridCol w:w="1121"/>
        <w:gridCol w:w="920"/>
        <w:gridCol w:w="1008"/>
        <w:gridCol w:w="982"/>
        <w:gridCol w:w="872"/>
        <w:gridCol w:w="840"/>
        <w:gridCol w:w="84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附件八、 投标人类似业绩情况表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投标人类似业绩情况表</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4"/>
        <w:gridCol w:w="1540"/>
        <w:gridCol w:w="1401"/>
        <w:gridCol w:w="980"/>
        <w:gridCol w:w="1021"/>
        <w:gridCol w:w="1498"/>
        <w:gridCol w:w="1120"/>
        <w:gridCol w:w="11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获奖</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签约及服务</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1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8"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附件九：企业声明函格式</w:t>
      </w:r>
      <w:r/>
    </w:p>
    <w:p>
      <w:pPr>
        <w:ind w:left="0" w:right="0" w:firstLine="0"/>
        <w:jc w:val="center"/>
        <w:spacing w:before="312"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中小企业声明函（工程、服务）</w:t>
      </w:r>
      <w:r/>
    </w:p>
    <w:p>
      <w:pPr>
        <w:ind w:left="0" w:right="0" w:firstLine="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ab/>
      </w:r>
      <w:r>
        <w:rPr>
          <w:rFonts w:ascii="SimSun" w:hAnsi="SimSun" w:eastAsia="SimSun" w:cs="SimSun"/>
          <w:color w:val="000000"/>
          <w:sz w:val="21"/>
        </w:rPr>
        <w:t xml:space="preserve">人，营业收入为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w:t>
      </w:r>
      <w:r>
        <w:rPr>
          <w:rFonts w:ascii="SimSun" w:hAnsi="SimSun" w:eastAsia="SimSun" w:cs="SimSun"/>
          <w:color w:val="000000"/>
          <w:sz w:val="21"/>
          <w:vertAlign w:val="superscript"/>
        </w:rPr>
        <w:t xml:space="preserve">1</w:t>
      </w:r>
      <w:r>
        <w:rPr>
          <w:rFonts w:ascii="SimSun" w:hAnsi="SimSun" w:eastAsia="SimSun" w:cs="SimSun"/>
          <w:color w:val="000000"/>
          <w:sz w:val="21"/>
        </w:rPr>
        <w:t xml:space="preserve">，属于（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ab/>
      </w:r>
      <w:r>
        <w:rPr>
          <w:rFonts w:ascii="SimSun" w:hAnsi="SimSun" w:eastAsia="SimSun" w:cs="SimSun"/>
          <w:color w:val="000000"/>
          <w:sz w:val="21"/>
        </w:rPr>
        <w:t xml:space="preserve">人，营业收入为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jc w:val="both"/>
        <w:spacing w:before="0" w:after="20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企业名称（加盖电子公章）：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单位名称（加盖电子公章）：</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节能产品认证证书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环境标志产品认证证书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（提供国家确定的认证机构出具的、处于有效期之内的产品认证证书）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进口产品转让技术、消化吸收再创新方案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（对于允许进口产品参加的项目）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3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我单位（供应商名称）郑重声明：</w:t>
      </w:r>
      <w:r/>
    </w:p>
    <w:p>
      <w:pPr>
        <w:ind w:left="0" w:right="0" w:firstLine="30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我单位参加政府采购活动前3年内在经营活动中（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重大违法记录，且不是失信被执行人、重大税收违法案件当事人名单、政府采购严重违法失信行为记录名单的供应商。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10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声明人：（加盖电子公章）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w:t>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 资格资信证明文件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 联合体协议及联合体授权委托书（如允许联合体）</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附件十三、《南京市政府采购供应商信用记录表暨信用承诺书》（网站在线打印）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191000" cy="49625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682305" name=""/>
                        <pic:cNvPicPr>
                          <a:picLocks noChangeAspect="1"/>
                        </pic:cNvPicPr>
                        <pic:nvPr/>
                      </pic:nvPicPr>
                      <pic:blipFill>
                        <a:blip/>
                        <a:stretch/>
                      </pic:blipFill>
                      <pic:spPr bwMode="auto">
                        <a:xfrm>
                          <a:off x="0" y="0"/>
                          <a:ext cx="4190999" cy="4962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0.0pt;height:390.8pt;mso-wrap-distance-left:0.0pt;mso-wrap-distance-top:0.0pt;mso-wrap-distance-right:0.0pt;mso-wrap-distance-bottom:0.0pt;" stroked="false">
                <v:path textboxrect="0,0,0,0"/>
              </v:shape>
            </w:pict>
          </mc:Fallback>
        </mc:AlternateContent>
      </w: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附件十四、其他</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ngXian">
    <w:panose1 w:val="02010600030101010101"/>
  </w:font>
  <w:font w:name="SimHei">
    <w:panose1 w:val="02010609060101010101"/>
  </w:font>
  <w:font w:name="Times New Roman">
    <w:panose1 w:val="02020603050405020304"/>
  </w:font>
  <w:font w:name="Calibri">
    <w:panose1 w:val="020F05020202040302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1">
    <w:multiLevelType w:val="hybridMultilevel"/>
    <w:lvl w:ilvl="0">
      <w:start w:val="29"/>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480"/>
      </w:pPr>
      <w:rPr>
        <w:rFonts w:ascii="SimSun" w:hAnsi="SimSun" w:eastAsia="SimSun" w:cs="SimSun"/>
      </w:rPr>
    </w:lvl>
    <w:lvl w:ilvl="1">
      <w:start w:val="1"/>
      <w:numFmt w:val="lowerLetter"/>
      <w:isLgl w:val="false"/>
      <w:suff w:val="tab"/>
      <w:lvlText w:val="%2)"/>
      <w:lvlJc w:val="left"/>
      <w:pPr>
        <w:ind w:left="1360" w:hanging="440"/>
      </w:pPr>
    </w:lvl>
    <w:lvl w:ilvl="2">
      <w:start w:val="1"/>
      <w:numFmt w:val="decimal"/>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decimal"/>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decimal"/>
      <w:isLgl w:val="false"/>
      <w:suff w:val="tab"/>
      <w:lvlText w:val="%9."/>
      <w:lvlJc w:val="right"/>
      <w:pPr>
        <w:ind w:left="4440" w:hanging="440"/>
      </w:pPr>
    </w:lvl>
  </w:abstractNum>
  <w:abstractNum w:abstractNumId="3">
    <w:multiLevelType w:val="hybridMultilevel"/>
    <w:lvl w:ilvl="0">
      <w:start w:val="1"/>
      <w:numFmt w:val="decimal"/>
      <w:isLgl w:val="false"/>
      <w:suff w:val="tab"/>
      <w:lvlText w:val="%1)"/>
      <w:lvlJc w:val="left"/>
      <w:pPr>
        <w:ind w:left="920" w:hanging="440"/>
      </w:pPr>
      <w:rPr>
        <w:rFonts w:ascii="SimSun" w:hAnsi="SimSun" w:eastAsia="SimSun" w:cs="SimSun"/>
      </w:rPr>
    </w:lvl>
    <w:lvl w:ilvl="1">
      <w:start w:val="1"/>
      <w:numFmt w:val="lowerLetter"/>
      <w:isLgl w:val="false"/>
      <w:suff w:val="tab"/>
      <w:lvlText w:val="%2)"/>
      <w:lvlJc w:val="left"/>
      <w:pPr>
        <w:ind w:left="1360" w:hanging="440"/>
      </w:pPr>
    </w:lvl>
    <w:lvl w:ilvl="2">
      <w:start w:val="1"/>
      <w:numFmt w:val="decimal"/>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decimal"/>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decimal"/>
      <w:isLgl w:val="false"/>
      <w:suff w:val="tab"/>
      <w:lvlText w:val="%9."/>
      <w:lvlJc w:val="right"/>
      <w:pPr>
        <w:ind w:left="4440" w:hanging="440"/>
      </w:pPr>
    </w:lvl>
  </w:abstractNum>
  <w:abstractNum w:abstractNumId="4">
    <w:multiLevelType w:val="hybridMultilevel"/>
    <w:lvl w:ilvl="0">
      <w:start w:val="1"/>
      <w:numFmt w:val="decimal"/>
      <w:isLgl w:val="false"/>
      <w:suff w:val="tab"/>
      <w:lvlText w:val="%1)"/>
      <w:lvlJc w:val="left"/>
      <w:pPr>
        <w:ind w:left="920" w:hanging="440"/>
      </w:pPr>
      <w:rPr>
        <w:rFonts w:ascii="SimSun" w:hAnsi="SimSun" w:eastAsia="SimSun" w:cs="SimSun"/>
      </w:rPr>
    </w:lvl>
    <w:lvl w:ilvl="1">
      <w:start w:val="1"/>
      <w:numFmt w:val="lowerLetter"/>
      <w:isLgl w:val="false"/>
      <w:suff w:val="tab"/>
      <w:lvlText w:val="%2)"/>
      <w:lvlJc w:val="left"/>
      <w:pPr>
        <w:ind w:left="1360" w:hanging="440"/>
      </w:pPr>
    </w:lvl>
    <w:lvl w:ilvl="2">
      <w:start w:val="1"/>
      <w:numFmt w:val="decimal"/>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decimal"/>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decimal"/>
      <w:isLgl w:val="false"/>
      <w:suff w:val="tab"/>
      <w:lvlText w:val="%9."/>
      <w:lvlJc w:val="right"/>
      <w:pPr>
        <w:ind w:left="4440" w:hanging="440"/>
      </w:pPr>
    </w:lvl>
  </w:abstractNum>
  <w:abstractNum w:abstractNumId="5">
    <w:multiLevelType w:val="hybridMultilevel"/>
    <w:lvl w:ilvl="0">
      <w:start w:val="1"/>
      <w:numFmt w:val="decimal"/>
      <w:isLgl w:val="false"/>
      <w:suff w:val="tab"/>
      <w:lvlText w:val="%1)"/>
      <w:lvlJc w:val="left"/>
      <w:pPr>
        <w:ind w:left="920" w:hanging="440"/>
      </w:pPr>
      <w:rPr>
        <w:rFonts w:ascii="SimSun" w:hAnsi="SimSun" w:eastAsia="SimSun" w:cs="SimSun"/>
      </w:rPr>
    </w:lvl>
    <w:lvl w:ilvl="1">
      <w:start w:val="1"/>
      <w:numFmt w:val="lowerLetter"/>
      <w:isLgl w:val="false"/>
      <w:suff w:val="tab"/>
      <w:lvlText w:val="%2)"/>
      <w:lvlJc w:val="left"/>
      <w:pPr>
        <w:ind w:left="1360" w:hanging="440"/>
      </w:pPr>
    </w:lvl>
    <w:lvl w:ilvl="2">
      <w:start w:val="1"/>
      <w:numFmt w:val="decimal"/>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decimal"/>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decimal"/>
      <w:isLgl w:val="false"/>
      <w:suff w:val="tab"/>
      <w:lvlText w:val="%9."/>
      <w:lvlJc w:val="right"/>
      <w:pPr>
        <w:ind w:left="4440" w:hanging="440"/>
      </w:pPr>
    </w:lvl>
  </w:abstractNum>
  <w:abstractNum w:abstractNumId="6">
    <w:multiLevelType w:val="hybridMultilevel"/>
    <w:lvl w:ilvl="0">
      <w:start w:val="1"/>
      <w:numFmt w:val="decimal"/>
      <w:isLgl w:val="false"/>
      <w:suff w:val="tab"/>
      <w:lvlText w:val="%1)"/>
      <w:lvlJc w:val="left"/>
      <w:pPr>
        <w:ind w:left="920" w:hanging="440"/>
      </w:pPr>
      <w:rPr>
        <w:rFonts w:ascii="SimSun" w:hAnsi="SimSun" w:eastAsia="SimSun" w:cs="SimSun"/>
      </w:rPr>
    </w:lvl>
    <w:lvl w:ilvl="1">
      <w:start w:val="1"/>
      <w:numFmt w:val="lowerLetter"/>
      <w:isLgl w:val="false"/>
      <w:suff w:val="tab"/>
      <w:lvlText w:val="%2)"/>
      <w:lvlJc w:val="left"/>
      <w:pPr>
        <w:ind w:left="1360" w:hanging="440"/>
      </w:pPr>
    </w:lvl>
    <w:lvl w:ilvl="2">
      <w:start w:val="1"/>
      <w:numFmt w:val="decimal"/>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decimal"/>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decimal"/>
      <w:isLgl w:val="false"/>
      <w:suff w:val="tab"/>
      <w:lvlText w:val="%9."/>
      <w:lvlJc w:val="right"/>
      <w:pPr>
        <w:ind w:left="4440" w:hanging="440"/>
      </w:pPr>
    </w:lvl>
  </w:abstractNum>
  <w:abstractNum w:abstractNumId="7">
    <w:multiLevelType w:val="hybridMultilevel"/>
    <w:lvl w:ilvl="0">
      <w:start w:val="1"/>
      <w:numFmt w:val="decimal"/>
      <w:isLgl w:val="false"/>
      <w:suff w:val="tab"/>
      <w:lvlText w:val="%1)"/>
      <w:lvlJc w:val="left"/>
      <w:pPr>
        <w:ind w:left="920" w:hanging="440"/>
      </w:pPr>
      <w:rPr>
        <w:rFonts w:ascii="SimSun" w:hAnsi="SimSun" w:eastAsia="SimSun" w:cs="SimSun"/>
      </w:rPr>
    </w:lvl>
    <w:lvl w:ilvl="1">
      <w:start w:val="1"/>
      <w:numFmt w:val="lowerLetter"/>
      <w:isLgl w:val="false"/>
      <w:suff w:val="tab"/>
      <w:lvlText w:val="%2)"/>
      <w:lvlJc w:val="left"/>
      <w:pPr>
        <w:ind w:left="1360" w:hanging="440"/>
      </w:pPr>
    </w:lvl>
    <w:lvl w:ilvl="2">
      <w:start w:val="1"/>
      <w:numFmt w:val="decimal"/>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decimal"/>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decimal"/>
      <w:isLgl w:val="false"/>
      <w:suff w:val="tab"/>
      <w:lvlText w:val="%9."/>
      <w:lvlJc w:val="right"/>
      <w:pPr>
        <w:ind w:left="4440" w:hanging="440"/>
      </w:pPr>
    </w:lvl>
  </w:abstractNum>
  <w:abstractNum w:abstractNumId="8">
    <w:multiLevelType w:val="hybridMultilevel"/>
    <w:lvl w:ilvl="0">
      <w:start w:val="1"/>
      <w:numFmt w:val="decimal"/>
      <w:isLgl w:val="false"/>
      <w:suff w:val="tab"/>
      <w:lvlText w:val="%1)"/>
      <w:lvlJc w:val="left"/>
      <w:pPr>
        <w:ind w:left="920" w:hanging="440"/>
      </w:pPr>
      <w:rPr>
        <w:rFonts w:ascii="SimSun" w:hAnsi="SimSun" w:eastAsia="SimSun" w:cs="SimSun"/>
      </w:rPr>
    </w:lvl>
    <w:lvl w:ilvl="1">
      <w:start w:val="1"/>
      <w:numFmt w:val="lowerLetter"/>
      <w:isLgl w:val="false"/>
      <w:suff w:val="tab"/>
      <w:lvlText w:val="%2)"/>
      <w:lvlJc w:val="left"/>
      <w:pPr>
        <w:ind w:left="1360" w:hanging="440"/>
      </w:pPr>
    </w:lvl>
    <w:lvl w:ilvl="2">
      <w:start w:val="1"/>
      <w:numFmt w:val="decimal"/>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decimal"/>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decimal"/>
      <w:isLgl w:val="false"/>
      <w:suff w:val="tab"/>
      <w:lvlText w:val="%9."/>
      <w:lvlJc w:val="right"/>
      <w:pPr>
        <w:ind w:left="4440" w:hanging="44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name w:val="Heading 1"/>
    <w:link w:val="653"/>
    <w:uiPriority w:val="9"/>
    <w:qFormat/>
    <w:pPr>
      <w:keepLines/>
      <w:keepNext/>
      <w:spacing w:before="480" w:after="200"/>
      <w:outlineLvl w:val="0"/>
    </w:pPr>
    <w:rPr>
      <w:rFonts w:ascii="Arial" w:hAnsi="Arial" w:eastAsia="Arial" w:cs="Arial"/>
      <w:sz w:val="40"/>
      <w:szCs w:val="40"/>
    </w:rPr>
  </w:style>
  <w:style w:type="character" w:styleId="653">
    <w:name w:val="Heading 1 Char"/>
    <w:link w:val="652"/>
    <w:uiPriority w:val="9"/>
    <w:rPr>
      <w:rFonts w:ascii="Arial" w:hAnsi="Arial" w:eastAsia="Arial" w:cs="Arial"/>
      <w:sz w:val="40"/>
      <w:szCs w:val="40"/>
    </w:rPr>
  </w:style>
  <w:style w:type="paragraph" w:styleId="654">
    <w:name w:val="Heading 2"/>
    <w:link w:val="655"/>
    <w:uiPriority w:val="9"/>
    <w:unhideWhenUsed/>
    <w:qFormat/>
    <w:pPr>
      <w:keepLines/>
      <w:keepNext/>
      <w:spacing w:before="360" w:after="200"/>
      <w:outlineLvl w:val="1"/>
    </w:pPr>
    <w:rPr>
      <w:rFonts w:ascii="Arial" w:hAnsi="Arial" w:eastAsia="Arial" w:cs="Arial"/>
      <w:sz w:val="34"/>
    </w:rPr>
  </w:style>
  <w:style w:type="character" w:styleId="655">
    <w:name w:val="Heading 2 Char"/>
    <w:link w:val="654"/>
    <w:uiPriority w:val="9"/>
    <w:rPr>
      <w:rFonts w:ascii="Arial" w:hAnsi="Arial" w:eastAsia="Arial" w:cs="Arial"/>
      <w:sz w:val="34"/>
    </w:rPr>
  </w:style>
  <w:style w:type="paragraph" w:styleId="656">
    <w:name w:val="Heading 3"/>
    <w:link w:val="657"/>
    <w:uiPriority w:val="9"/>
    <w:unhideWhenUsed/>
    <w:qFormat/>
    <w:pPr>
      <w:keepLines/>
      <w:keepNext/>
      <w:spacing w:before="320" w:after="200"/>
      <w:outlineLvl w:val="2"/>
    </w:pPr>
    <w:rPr>
      <w:rFonts w:ascii="Arial" w:hAnsi="Arial" w:eastAsia="Arial" w:cs="Arial"/>
      <w:sz w:val="30"/>
      <w:szCs w:val="30"/>
    </w:rPr>
  </w:style>
  <w:style w:type="character" w:styleId="657">
    <w:name w:val="Heading 3 Char"/>
    <w:link w:val="656"/>
    <w:uiPriority w:val="9"/>
    <w:rPr>
      <w:rFonts w:ascii="Arial" w:hAnsi="Arial" w:eastAsia="Arial" w:cs="Arial"/>
      <w:sz w:val="30"/>
      <w:szCs w:val="30"/>
    </w:rPr>
  </w:style>
  <w:style w:type="paragraph" w:styleId="658">
    <w:name w:val="Heading 4"/>
    <w:link w:val="659"/>
    <w:uiPriority w:val="9"/>
    <w:unhideWhenUsed/>
    <w:qFormat/>
    <w:pPr>
      <w:keepLines/>
      <w:keepNext/>
      <w:spacing w:before="320" w:after="200"/>
      <w:outlineLvl w:val="3"/>
    </w:pPr>
    <w:rPr>
      <w:rFonts w:ascii="Arial" w:hAnsi="Arial" w:eastAsia="Arial" w:cs="Arial"/>
      <w:b/>
      <w:bCs/>
      <w:sz w:val="26"/>
      <w:szCs w:val="26"/>
    </w:rPr>
  </w:style>
  <w:style w:type="character" w:styleId="659">
    <w:name w:val="Heading 4 Char"/>
    <w:link w:val="658"/>
    <w:uiPriority w:val="9"/>
    <w:rPr>
      <w:rFonts w:ascii="Arial" w:hAnsi="Arial" w:eastAsia="Arial" w:cs="Arial"/>
      <w:b/>
      <w:bCs/>
      <w:sz w:val="26"/>
      <w:szCs w:val="26"/>
    </w:rPr>
  </w:style>
  <w:style w:type="paragraph" w:styleId="660">
    <w:name w:val="Heading 5"/>
    <w:link w:val="661"/>
    <w:uiPriority w:val="9"/>
    <w:unhideWhenUsed/>
    <w:qFormat/>
    <w:pPr>
      <w:keepLines/>
      <w:keepNext/>
      <w:spacing w:before="320" w:after="200"/>
      <w:outlineLvl w:val="4"/>
    </w:pPr>
    <w:rPr>
      <w:rFonts w:ascii="Arial" w:hAnsi="Arial" w:eastAsia="Arial" w:cs="Arial"/>
      <w:b/>
      <w:bCs/>
      <w:sz w:val="24"/>
      <w:szCs w:val="24"/>
    </w:rPr>
  </w:style>
  <w:style w:type="character" w:styleId="661">
    <w:name w:val="Heading 5 Char"/>
    <w:link w:val="660"/>
    <w:uiPriority w:val="9"/>
    <w:rPr>
      <w:rFonts w:ascii="Arial" w:hAnsi="Arial" w:eastAsia="Arial" w:cs="Arial"/>
      <w:b/>
      <w:bCs/>
      <w:sz w:val="24"/>
      <w:szCs w:val="24"/>
    </w:rPr>
  </w:style>
  <w:style w:type="paragraph" w:styleId="662">
    <w:name w:val="Heading 6"/>
    <w:link w:val="663"/>
    <w:uiPriority w:val="9"/>
    <w:unhideWhenUsed/>
    <w:qFormat/>
    <w:pPr>
      <w:keepLines/>
      <w:keepNext/>
      <w:spacing w:before="320" w:after="200"/>
      <w:outlineLvl w:val="5"/>
    </w:pPr>
    <w:rPr>
      <w:rFonts w:ascii="Arial" w:hAnsi="Arial" w:eastAsia="Arial" w:cs="Arial"/>
      <w:b/>
      <w:bCs/>
      <w:sz w:val="22"/>
      <w:szCs w:val="22"/>
    </w:rPr>
  </w:style>
  <w:style w:type="character" w:styleId="663">
    <w:name w:val="Heading 6 Char"/>
    <w:link w:val="662"/>
    <w:uiPriority w:val="9"/>
    <w:rPr>
      <w:rFonts w:ascii="Arial" w:hAnsi="Arial" w:eastAsia="Arial" w:cs="Arial"/>
      <w:b/>
      <w:bCs/>
      <w:sz w:val="22"/>
      <w:szCs w:val="22"/>
    </w:rPr>
  </w:style>
  <w:style w:type="paragraph" w:styleId="664">
    <w:name w:val="Heading 7"/>
    <w:link w:val="665"/>
    <w:uiPriority w:val="9"/>
    <w:unhideWhenUsed/>
    <w:qFormat/>
    <w:pPr>
      <w:keepLines/>
      <w:keepNext/>
      <w:spacing w:before="320" w:after="200"/>
      <w:outlineLvl w:val="6"/>
    </w:pPr>
    <w:rPr>
      <w:rFonts w:ascii="Arial" w:hAnsi="Arial" w:eastAsia="Arial" w:cs="Arial"/>
      <w:b/>
      <w:bCs/>
      <w:i/>
      <w:iCs/>
      <w:sz w:val="22"/>
      <w:szCs w:val="22"/>
    </w:rPr>
  </w:style>
  <w:style w:type="character" w:styleId="665">
    <w:name w:val="Heading 7 Char"/>
    <w:link w:val="664"/>
    <w:uiPriority w:val="9"/>
    <w:rPr>
      <w:rFonts w:ascii="Arial" w:hAnsi="Arial" w:eastAsia="Arial" w:cs="Arial"/>
      <w:b/>
      <w:bCs/>
      <w:i/>
      <w:iCs/>
      <w:sz w:val="22"/>
      <w:szCs w:val="22"/>
    </w:rPr>
  </w:style>
  <w:style w:type="paragraph" w:styleId="666">
    <w:name w:val="Heading 8"/>
    <w:link w:val="667"/>
    <w:uiPriority w:val="9"/>
    <w:unhideWhenUsed/>
    <w:qFormat/>
    <w:pPr>
      <w:keepLines/>
      <w:keepNext/>
      <w:spacing w:before="320" w:after="200"/>
      <w:outlineLvl w:val="7"/>
    </w:pPr>
    <w:rPr>
      <w:rFonts w:ascii="Arial" w:hAnsi="Arial" w:eastAsia="Arial" w:cs="Arial"/>
      <w:i/>
      <w:iCs/>
      <w:sz w:val="22"/>
      <w:szCs w:val="22"/>
    </w:rPr>
  </w:style>
  <w:style w:type="character" w:styleId="667">
    <w:name w:val="Heading 8 Char"/>
    <w:link w:val="666"/>
    <w:uiPriority w:val="9"/>
    <w:rPr>
      <w:rFonts w:ascii="Arial" w:hAnsi="Arial" w:eastAsia="Arial" w:cs="Arial"/>
      <w:i/>
      <w:iCs/>
      <w:sz w:val="22"/>
      <w:szCs w:val="22"/>
    </w:rPr>
  </w:style>
  <w:style w:type="paragraph" w:styleId="668">
    <w:name w:val="Heading 9"/>
    <w:link w:val="669"/>
    <w:uiPriority w:val="9"/>
    <w:unhideWhenUsed/>
    <w:qFormat/>
    <w:pPr>
      <w:keepLines/>
      <w:keepNext/>
      <w:spacing w:before="320" w:after="200"/>
      <w:outlineLvl w:val="8"/>
    </w:pPr>
    <w:rPr>
      <w:rFonts w:ascii="Arial" w:hAnsi="Arial" w:eastAsia="Arial" w:cs="Arial"/>
      <w:i/>
      <w:iCs/>
      <w:sz w:val="21"/>
      <w:szCs w:val="21"/>
    </w:rPr>
  </w:style>
  <w:style w:type="character" w:styleId="669">
    <w:name w:val="Heading 9 Char"/>
    <w:link w:val="668"/>
    <w:uiPriority w:val="9"/>
    <w:rPr>
      <w:rFonts w:ascii="Arial" w:hAnsi="Arial" w:eastAsia="Arial" w:cs="Arial"/>
      <w:i/>
      <w:iCs/>
      <w:sz w:val="21"/>
      <w:szCs w:val="21"/>
    </w:rPr>
  </w:style>
  <w:style w:type="paragraph" w:styleId="670">
    <w:name w:val="List Paragraph"/>
    <w:uiPriority w:val="34"/>
    <w:qFormat/>
    <w:pPr>
      <w:contextualSpacing/>
      <w:ind w:left="720"/>
    </w:pPr>
  </w:style>
  <w:style w:type="paragraph" w:styleId="671">
    <w:name w:val="No Spacing"/>
    <w:uiPriority w:val="1"/>
    <w:qFormat/>
    <w:pPr>
      <w:spacing w:before="0" w:after="0" w:line="240" w:lineRule="auto"/>
    </w:pPr>
  </w:style>
  <w:style w:type="paragraph" w:styleId="672">
    <w:name w:val="Title"/>
    <w:link w:val="673"/>
    <w:uiPriority w:val="10"/>
    <w:qFormat/>
    <w:pPr>
      <w:contextualSpacing/>
      <w:spacing w:before="300" w:after="200"/>
    </w:pPr>
    <w:rPr>
      <w:sz w:val="48"/>
      <w:szCs w:val="48"/>
    </w:rPr>
  </w:style>
  <w:style w:type="character" w:styleId="673">
    <w:name w:val="Title Char"/>
    <w:link w:val="672"/>
    <w:uiPriority w:val="10"/>
    <w:rPr>
      <w:sz w:val="48"/>
      <w:szCs w:val="48"/>
    </w:rPr>
  </w:style>
  <w:style w:type="paragraph" w:styleId="674">
    <w:name w:val="Subtitle"/>
    <w:link w:val="675"/>
    <w:uiPriority w:val="11"/>
    <w:qFormat/>
    <w:pPr>
      <w:spacing w:before="200" w:after="200"/>
    </w:pPr>
    <w:rPr>
      <w:sz w:val="24"/>
      <w:szCs w:val="24"/>
    </w:rPr>
  </w:style>
  <w:style w:type="character" w:styleId="675">
    <w:name w:val="Subtitle Char"/>
    <w:link w:val="674"/>
    <w:uiPriority w:val="11"/>
    <w:rPr>
      <w:sz w:val="24"/>
      <w:szCs w:val="24"/>
    </w:rPr>
  </w:style>
  <w:style w:type="paragraph" w:styleId="676">
    <w:name w:val="Quote"/>
    <w:link w:val="677"/>
    <w:uiPriority w:val="29"/>
    <w:qFormat/>
    <w:pPr>
      <w:ind w:left="720" w:right="720"/>
    </w:pPr>
    <w:rPr>
      <w:i/>
    </w:rPr>
  </w:style>
  <w:style w:type="character" w:styleId="677">
    <w:name w:val="Quote Char"/>
    <w:link w:val="676"/>
    <w:uiPriority w:val="29"/>
    <w:rPr>
      <w:i/>
    </w:rPr>
  </w:style>
  <w:style w:type="paragraph" w:styleId="678">
    <w:name w:val="Intense Quote"/>
    <w:link w:val="6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9">
    <w:name w:val="Intense Quote Char"/>
    <w:link w:val="678"/>
    <w:uiPriority w:val="30"/>
    <w:rPr>
      <w:i/>
    </w:rPr>
  </w:style>
  <w:style w:type="paragraph" w:styleId="680">
    <w:name w:val="Header"/>
    <w:link w:val="681"/>
    <w:uiPriority w:val="99"/>
    <w:unhideWhenUsed/>
    <w:pPr>
      <w:spacing w:after="0" w:line="240" w:lineRule="auto"/>
      <w:tabs>
        <w:tab w:val="center" w:pos="7143" w:leader="none"/>
        <w:tab w:val="right" w:pos="14287" w:leader="none"/>
      </w:tabs>
    </w:pPr>
  </w:style>
  <w:style w:type="character" w:styleId="681">
    <w:name w:val="Header Char"/>
    <w:link w:val="680"/>
    <w:uiPriority w:val="99"/>
  </w:style>
  <w:style w:type="paragraph" w:styleId="682">
    <w:name w:val="Footer"/>
    <w:link w:val="685"/>
    <w:uiPriority w:val="99"/>
    <w:unhideWhenUsed/>
    <w:pPr>
      <w:spacing w:after="0" w:line="240" w:lineRule="auto"/>
      <w:tabs>
        <w:tab w:val="center" w:pos="7143" w:leader="none"/>
        <w:tab w:val="right" w:pos="14287" w:leader="none"/>
      </w:tabs>
    </w:pPr>
  </w:style>
  <w:style w:type="character" w:styleId="683">
    <w:name w:val="Footer Char"/>
    <w:link w:val="682"/>
    <w:uiPriority w:val="99"/>
  </w:style>
  <w:style w:type="paragraph" w:styleId="684">
    <w:name w:val="Caption"/>
    <w:uiPriority w:val="35"/>
    <w:semiHidden/>
    <w:unhideWhenUsed/>
    <w:qFormat/>
    <w:pPr>
      <w:spacing w:line="276" w:lineRule="auto"/>
    </w:pPr>
    <w:rPr>
      <w:b/>
      <w:bCs/>
      <w:color w:val="4f81bd" w:themeColor="accent1"/>
      <w:sz w:val="18"/>
      <w:szCs w:val="18"/>
    </w:rPr>
  </w:style>
  <w:style w:type="character" w:styleId="685">
    <w:name w:val="Caption Char"/>
    <w:basedOn w:val="684"/>
    <w:link w:val="682"/>
    <w:uiPriority w:val="99"/>
  </w:style>
  <w:style w:type="table" w:styleId="6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12">
    <w:name w:val="Hyperlink"/>
    <w:uiPriority w:val="99"/>
    <w:unhideWhenUsed/>
    <w:rPr>
      <w:color w:val="0000ff" w:themeColor="hyperlink"/>
      <w:u w:val="single"/>
    </w:rPr>
  </w:style>
  <w:style w:type="paragraph" w:styleId="813">
    <w:name w:val="footnote text"/>
    <w:link w:val="814"/>
    <w:uiPriority w:val="99"/>
    <w:semiHidden/>
    <w:unhideWhenUsed/>
    <w:pPr>
      <w:spacing w:after="40" w:line="240" w:lineRule="auto"/>
    </w:pPr>
    <w:rPr>
      <w:sz w:val="18"/>
    </w:rPr>
  </w:style>
  <w:style w:type="character" w:styleId="814">
    <w:name w:val="Footnote Text Char"/>
    <w:link w:val="813"/>
    <w:uiPriority w:val="99"/>
    <w:rPr>
      <w:sz w:val="18"/>
    </w:rPr>
  </w:style>
  <w:style w:type="character" w:styleId="815">
    <w:name w:val="footnote reference"/>
    <w:uiPriority w:val="99"/>
    <w:unhideWhenUsed/>
    <w:rPr>
      <w:vertAlign w:val="superscript"/>
    </w:rPr>
  </w:style>
  <w:style w:type="paragraph" w:styleId="816">
    <w:name w:val="endnote text"/>
    <w:link w:val="817"/>
    <w:uiPriority w:val="99"/>
    <w:semiHidden/>
    <w:unhideWhenUsed/>
    <w:pPr>
      <w:spacing w:after="0" w:line="240" w:lineRule="auto"/>
    </w:pPr>
    <w:rPr>
      <w:sz w:val="20"/>
    </w:rPr>
  </w:style>
  <w:style w:type="character" w:styleId="817">
    <w:name w:val="Endnote Text Char"/>
    <w:link w:val="816"/>
    <w:uiPriority w:val="99"/>
    <w:rPr>
      <w:sz w:val="20"/>
    </w:rPr>
  </w:style>
  <w:style w:type="character" w:styleId="818">
    <w:name w:val="endnote reference"/>
    <w:uiPriority w:val="99"/>
    <w:semiHidden/>
    <w:unhideWhenUsed/>
    <w:rPr>
      <w:vertAlign w:val="superscript"/>
    </w:rPr>
  </w:style>
  <w:style w:type="paragraph" w:styleId="819">
    <w:name w:val="toc 1"/>
    <w:uiPriority w:val="39"/>
    <w:unhideWhenUsed/>
    <w:pPr>
      <w:ind w:left="0" w:right="0" w:firstLine="0"/>
      <w:spacing w:after="57"/>
    </w:pPr>
  </w:style>
  <w:style w:type="paragraph" w:styleId="820">
    <w:name w:val="toc 2"/>
    <w:uiPriority w:val="39"/>
    <w:unhideWhenUsed/>
    <w:pPr>
      <w:ind w:left="283" w:right="0" w:firstLine="0"/>
      <w:spacing w:after="57"/>
    </w:pPr>
  </w:style>
  <w:style w:type="paragraph" w:styleId="821">
    <w:name w:val="toc 3"/>
    <w:uiPriority w:val="39"/>
    <w:unhideWhenUsed/>
    <w:pPr>
      <w:ind w:left="567" w:right="0" w:firstLine="0"/>
      <w:spacing w:after="57"/>
    </w:pPr>
  </w:style>
  <w:style w:type="paragraph" w:styleId="822">
    <w:name w:val="toc 4"/>
    <w:uiPriority w:val="39"/>
    <w:unhideWhenUsed/>
    <w:pPr>
      <w:ind w:left="850" w:right="0" w:firstLine="0"/>
      <w:spacing w:after="57"/>
    </w:pPr>
  </w:style>
  <w:style w:type="paragraph" w:styleId="823">
    <w:name w:val="toc 5"/>
    <w:uiPriority w:val="39"/>
    <w:unhideWhenUsed/>
    <w:pPr>
      <w:ind w:left="1134" w:right="0" w:firstLine="0"/>
      <w:spacing w:after="57"/>
    </w:pPr>
  </w:style>
  <w:style w:type="paragraph" w:styleId="824">
    <w:name w:val="toc 6"/>
    <w:uiPriority w:val="39"/>
    <w:unhideWhenUsed/>
    <w:pPr>
      <w:ind w:left="1417" w:right="0" w:firstLine="0"/>
      <w:spacing w:after="57"/>
    </w:pPr>
  </w:style>
  <w:style w:type="paragraph" w:styleId="825">
    <w:name w:val="toc 7"/>
    <w:uiPriority w:val="39"/>
    <w:unhideWhenUsed/>
    <w:pPr>
      <w:ind w:left="1701" w:right="0" w:firstLine="0"/>
      <w:spacing w:after="57"/>
    </w:pPr>
  </w:style>
  <w:style w:type="paragraph" w:styleId="826">
    <w:name w:val="toc 8"/>
    <w:uiPriority w:val="39"/>
    <w:unhideWhenUsed/>
    <w:pPr>
      <w:ind w:left="1984" w:right="0" w:firstLine="0"/>
      <w:spacing w:after="57"/>
    </w:pPr>
  </w:style>
  <w:style w:type="paragraph" w:styleId="827">
    <w:name w:val="toc 9"/>
    <w:uiPriority w:val="39"/>
    <w:unhideWhenUsed/>
    <w:pPr>
      <w:ind w:left="2268" w:right="0" w:firstLine="0"/>
      <w:spacing w:after="57"/>
    </w:pPr>
  </w:style>
  <w:style w:type="paragraph" w:styleId="828">
    <w:name w:val="TOC Heading"/>
    <w:uiPriority w:val="39"/>
    <w:unhideWhenUsed/>
  </w:style>
  <w:style w:type="paragraph" w:styleId="829">
    <w:name w:val="table of figures"/>
    <w:uiPriority w:val="99"/>
    <w:unhideWhenUsed/>
    <w:pPr>
      <w:spacing w:after="0" w:afterAutospacing="0"/>
    </w:pPr>
  </w:style>
  <w:style w:type="character" w:styleId="830" w:default="1">
    <w:name w:val="Default Paragraph Font"/>
    <w:uiPriority w:val="1"/>
    <w:semiHidden/>
    <w:unhideWhenUsed/>
  </w:style>
  <w:style w:type="numbering" w:styleId="831" w:default="1">
    <w:name w:val="No List"/>
    <w:uiPriority w:val="99"/>
    <w:semiHidden/>
    <w:unhideWhenUsed/>
  </w:style>
  <w:style w:type="paragraph" w:styleId="832" w:default="1">
    <w:name w:val="Normal"/>
    <w:qFormat/>
  </w:style>
  <w:style w:type="table" w:styleId="8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866"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593"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112"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380"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239"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328" TargetMode="External"/><Relationship Id="rId15" Type="http://schemas.openxmlformats.org/officeDocument/2006/relationships/hyperlink" Target="http://jszfcg.jsczt.cn/%EF%BC%89" TargetMode="External"/><Relationship Id="rId16" Type="http://schemas.openxmlformats.org/officeDocument/2006/relationships/hyperlink" Target="http://jszfcg.jsczt.cn/%EF%BC%89%E5%8F%82%E4%B8%8E%E6%94%BF%E5%BA%9C%E9%87%87%E8%B4%AD%E9%A1%B9%E7%9B%AE%EF%BC%8C%E9%9C%80%E8%A6%81%E5%8A%9E%E7%90%86%E6%B1%9F%E8%8B%8F%E7%9C%81%E6%94%BF%E5%BA%9C%E9%87%87%E8%B4%AD%E6%95%B0%E5%AD%97%E8%AF%81%E4%B9%A6%E5%8F%8A%E7%94%B5%E5%AD%90%E7%AD%BE%E7%AB%A0%E7%9A%84%EF%BC%8C%E8%AF%A6%E8%A7%81%E8%8B%8F%E9%87%87%E4%BA%91%E5%AE%98%E7%BD%91%E9%A6%96%E9%A1%B5" TargetMode="External"/><Relationship Id="rId17"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钮驰</cp:lastModifiedBy>
  <cp:revision>2</cp:revision>
  <dcterms:created xsi:type="dcterms:W3CDTF">2026-05-22T04:11:13Z</dcterms:created>
  <dcterms:modified xsi:type="dcterms:W3CDTF">2026-05-25T04:16:01Z</dcterms:modified>
</cp:coreProperties>
</file>