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spacing w:before="5"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9"/>
          <w:highlight w:val="none"/>
        </w:rPr>
        <w:t xml:space="preserve"> </w:t>
      </w:r>
      <w:r/>
    </w:p>
    <w:p>
      <w:pPr>
        <w:ind w:left="698" w:right="0" w:firstLine="1717"/>
        <w:jc w:val="both"/>
        <w:spacing w:before="0" w:after="0"/>
        <w:rPr>
          <w:rFonts w:ascii="宋体" w:hAnsi="宋体" w:eastAsia="宋体" w:cs="宋体"/>
          <w:b/>
          <w:color w:val="000000"/>
          <w:spacing w:val="5"/>
          <w:sz w:val="56"/>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56"/>
          <w:szCs w:val="44"/>
          <w:highlight w:val="none"/>
        </w:rPr>
        <w:t xml:space="preserve">竞争性磋商文件</w:t>
      </w:r>
      <w:r/>
    </w:p>
    <w:p>
      <w:pPr>
        <w:ind w:left="0" w:right="0" w:firstLine="0"/>
        <w:jc w:val="center"/>
        <w:spacing w:before="9"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5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项目编号：</w:t>
      </w:r>
      <w:r>
        <w:rPr>
          <w:rFonts w:hint="eastAsia" w:ascii="宋体" w:hAnsi="宋体" w:cs="宋体"/>
          <w:b/>
          <w:color w:val="000000"/>
          <w:sz w:val="32"/>
          <w:highlight w:val="none"/>
          <w:lang w:eastAsia="zh-CN"/>
        </w:rPr>
        <w:t xml:space="preserve">JSZC-320115-FHGL-C2026-0004</w:t>
      </w:r>
      <w:r/>
    </w:p>
    <w:p>
      <w:pPr>
        <w:ind w:left="0" w:right="0" w:firstLine="0"/>
        <w:spacing w:before="6"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1"/>
          <w:highlight w:val="none"/>
        </w:rPr>
        <w:t xml:space="preserve"> </w:t>
      </w:r>
      <w:r/>
    </w:p>
    <w:p>
      <w:pPr>
        <w:ind w:left="698" w:right="0" w:firstLine="0"/>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32"/>
          <w:highlight w:val="none"/>
        </w:rPr>
        <w:t xml:space="preserve">项目名称：</w:t>
      </w:r>
      <w:r>
        <w:rPr>
          <w:rFonts w:hint="eastAsia" w:ascii="宋体" w:hAnsi="宋体" w:cs="宋体"/>
          <w:b/>
          <w:color w:val="000000"/>
          <w:spacing w:val="5"/>
          <w:sz w:val="32"/>
          <w:highlight w:val="none"/>
          <w:lang w:eastAsia="zh-CN"/>
        </w:rPr>
        <w:t xml:space="preserve">2026年道路交通设施日常建设维护项目</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采 购 人：南京市江宁区人民政府江宁街道办事处</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采购代理机构：</w:t>
      </w:r>
      <w:r>
        <w:rPr>
          <w:rFonts w:hint="eastAsia" w:ascii="宋体" w:hAnsi="宋体" w:cs="宋体"/>
          <w:b/>
          <w:color w:val="000000"/>
          <w:sz w:val="32"/>
          <w:highlight w:val="none"/>
          <w:lang w:eastAsia="zh-CN"/>
        </w:rPr>
        <w:t xml:space="preserve">南京富弘工程项目管理有限公司</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ind w:left="0" w:right="0" w:firstLine="643"/>
        <w:spacing w:before="0" w:after="0" w:line="8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日期：2026年</w:t>
      </w:r>
      <w:r>
        <w:rPr>
          <w:rFonts w:hint="eastAsia" w:ascii="宋体" w:hAnsi="宋体" w:eastAsia="宋体" w:cs="宋体"/>
          <w:b/>
          <w:color w:val="000000"/>
          <w:sz w:val="32"/>
          <w:highlight w:val="none"/>
          <w:lang w:val="en-US" w:eastAsia="zh-CN"/>
        </w:rPr>
        <w:t xml:space="preserve">4</w:t>
      </w:r>
      <w:r>
        <w:rPr>
          <w:rFonts w:ascii="宋体" w:hAnsi="宋体" w:eastAsia="宋体" w:cs="宋体"/>
          <w:b/>
          <w:color w:val="000000"/>
          <w:sz w:val="32"/>
          <w:highlight w:val="none"/>
        </w:rPr>
        <w:t xml:space="preserve">月</w:t>
      </w:r>
      <w:bookmarkStart w:id="138" w:name="_GoBack"/>
      <w:r/>
      <w:bookmarkEnd w:id="138"/>
      <w:r>
        <w:rPr>
          <w:rFonts w:hint="eastAsia" w:ascii="宋体" w:hAnsi="宋体" w:eastAsia="宋体" w:cs="宋体"/>
          <w:b/>
          <w:color w:val="000000"/>
          <w:sz w:val="32"/>
          <w:highlight w:val="none"/>
          <w:lang w:val="en-US" w:eastAsia="zh-CN"/>
        </w:rPr>
        <w:t xml:space="preserve">21日</w:t>
      </w:r>
      <w:r>
        <w:rPr>
          <w:highlight w:val="none"/>
        </w:rPr>
        <w:br w:type="page" w:clear="all"/>
      </w:r>
      <w:r/>
    </w:p>
    <w:p>
      <w:pPr>
        <w:ind w:left="0" w:right="0" w:firstLine="0"/>
        <w:jc w:val="center"/>
        <w:spacing w:before="0" w:after="0" w:line="240" w:lineRule="auto"/>
        <w:rPr>
          <w:rFonts w:ascii="宋体" w:hAnsi="宋体" w:eastAsia="宋体"/>
          <w:b/>
          <w:bCs/>
          <w:sz w:val="32"/>
          <w:szCs w:val="36"/>
          <w:highlight w:val="none"/>
        </w:rPr>
      </w:pPr>
      <w:r>
        <w:rPr>
          <w:rFonts w:ascii="宋体" w:hAnsi="宋体" w:eastAsia="宋体"/>
          <w:b/>
          <w:bCs/>
          <w:sz w:val="32"/>
          <w:szCs w:val="36"/>
          <w:highlight w:val="none"/>
        </w:rPr>
        <w:t xml:space="preserve">目录</w:t>
      </w:r>
      <w:r/>
    </w:p>
    <w:p>
      <w:pPr>
        <w:pStyle w:val="898"/>
        <w:rPr>
          <w:rFonts w:ascii="宋体" w:hAnsi="宋体" w:eastAsia="宋体"/>
          <w:b/>
          <w:bCs/>
          <w:sz w:val="32"/>
          <w:szCs w:val="36"/>
          <w:highlight w:val="none"/>
        </w:rPr>
      </w:pPr>
      <w:r>
        <w:rPr>
          <w:rFonts w:ascii="宋体" w:hAnsi="宋体" w:eastAsia="宋体"/>
          <w:b/>
          <w:bCs/>
          <w:sz w:val="32"/>
          <w:szCs w:val="36"/>
          <w:highlight w:val="none"/>
        </w:rPr>
      </w:r>
      <w:r/>
    </w:p>
    <w:p>
      <w:pPr>
        <w:pStyle w:val="898"/>
        <w:rPr>
          <w:rFonts w:ascii="宋体" w:hAnsi="宋体" w:eastAsia="宋体"/>
          <w:b/>
          <w:bCs/>
          <w:sz w:val="32"/>
          <w:szCs w:val="36"/>
          <w:highlight w:val="none"/>
        </w:rPr>
      </w:pPr>
      <w:r>
        <w:rPr>
          <w:rFonts w:ascii="宋体" w:hAnsi="宋体" w:eastAsia="宋体"/>
          <w:b/>
          <w:bCs/>
          <w:sz w:val="32"/>
          <w:szCs w:val="36"/>
          <w:highlight w:val="none"/>
        </w:rPr>
      </w:r>
      <w:r/>
    </w:p>
    <w:p>
      <w:pPr>
        <w:pStyle w:val="905"/>
        <w:spacing w:line="480" w:lineRule="auto"/>
        <w:tabs>
          <w:tab w:val="right" w:pos="8306" w:leader="dot"/>
        </w:tabs>
        <w:rPr>
          <w:highlight w:val="none"/>
        </w:rPr>
      </w:pPr>
      <w:r>
        <w:rPr>
          <w:highlight w:val="none"/>
        </w:rPr>
        <w:fldChar w:fldCharType="begin"/>
      </w:r>
      <w:r>
        <w:rPr>
          <w:highlight w:val="none"/>
        </w:rPr>
        <w:instrText xml:space="preserve">TOC \o "1-9" \h \u </w:instrText>
      </w:r>
      <w:r>
        <w:rPr>
          <w:highlight w:val="none"/>
        </w:rPr>
        <w:fldChar w:fldCharType="separate"/>
      </w:r>
      <w:r>
        <w:rPr>
          <w:highlight w:val="none"/>
        </w:rPr>
        <w:fldChar w:fldCharType="begin"/>
      </w:r>
      <w:r>
        <w:rPr>
          <w:highlight w:val="none"/>
        </w:rPr>
        <w:instrText xml:space="preserve"> HYPERLINK \l _Toc1174 </w:instrText>
      </w:r>
      <w:r>
        <w:rPr>
          <w:highlight w:val="none"/>
        </w:rPr>
        <w:fldChar w:fldCharType="separate"/>
      </w:r>
      <w:r>
        <w:rPr>
          <w:rFonts w:hint="eastAsia" w:ascii="黑体" w:hAnsi="黑体" w:eastAsia="黑体" w:cs="黑体"/>
          <w:highlight w:val="none"/>
        </w:rPr>
        <w:t xml:space="preserve">第一章 </w:t>
      </w:r>
      <w:r>
        <w:rPr>
          <w:rFonts w:ascii="黑体" w:hAnsi="黑体" w:eastAsia="黑体" w:cs="黑体"/>
          <w:highlight w:val="none"/>
        </w:rPr>
        <w:t xml:space="preserve">竞争性磋商邀请</w:t>
      </w:r>
      <w:r>
        <w:rPr>
          <w:rFonts w:hint="eastAsia" w:eastAsia="黑体" w:cs="Times New Roman"/>
          <w:szCs w:val="30"/>
          <w:highlight w:val="none"/>
          <w:lang w:val="en-US" w:eastAsia="zh-CN" w:bidi="ar-SA"/>
        </w:rPr>
        <w:t xml:space="preserve">..................................................................................................................</w:t>
      </w:r>
      <w:r>
        <w:rPr>
          <w:rFonts w:hint="eastAsia" w:eastAsia="黑体"/>
          <w:highlight w:val="none"/>
          <w:lang w:val="en-US" w:eastAsia="zh-CN"/>
        </w:rPr>
        <w:t xml:space="preserve">3</w:t>
      </w:r>
      <w:r>
        <w:rPr>
          <w:highlight w:val="none"/>
        </w:rPr>
        <w:fldChar w:fldCharType="end"/>
      </w:r>
      <w:r/>
    </w:p>
    <w:p>
      <w:pPr>
        <w:pStyle w:val="905"/>
        <w:spacing w:line="480" w:lineRule="auto"/>
        <w:tabs>
          <w:tab w:val="right" w:pos="3200" w:leader="none"/>
          <w:tab w:val="right" w:pos="8306" w:leader="dot"/>
        </w:tabs>
        <w:rPr>
          <w:highlight w:val="none"/>
        </w:rPr>
      </w:pPr>
      <w:r>
        <w:rPr>
          <w:highlight w:val="none"/>
        </w:rPr>
        <w:fldChar w:fldCharType="begin"/>
      </w:r>
      <w:r>
        <w:rPr>
          <w:highlight w:val="none"/>
        </w:rPr>
        <w:instrText xml:space="preserve"> HYPERLINK \l _Toc28389 </w:instrText>
      </w:r>
      <w:r>
        <w:rPr>
          <w:highlight w:val="none"/>
        </w:rPr>
        <w:fldChar w:fldCharType="separate"/>
      </w:r>
      <w:r>
        <w:rPr>
          <w:rFonts w:ascii="黑体" w:hAnsi="黑体" w:eastAsia="黑体" w:cs="黑体"/>
          <w:highlight w:val="none"/>
        </w:rPr>
        <w:t xml:space="preserve">第二章供应商须知</w:t>
      </w:r>
      <w:r>
        <w:rPr>
          <w:rFonts w:hint="eastAsia" w:eastAsia="黑体" w:cs="Times New Roman"/>
          <w:szCs w:val="30"/>
          <w:highlight w:val="none"/>
          <w:lang w:val="en-US" w:eastAsia="zh-CN" w:bidi="ar-SA"/>
        </w:rPr>
        <w:t xml:space="preserve">............................................................................................................................</w:t>
      </w:r>
      <w:r>
        <w:rPr>
          <w:rFonts w:hint="eastAsia" w:eastAsia="黑体"/>
          <w:highlight w:val="none"/>
          <w:lang w:val="en-US" w:eastAsia="zh-CN"/>
        </w:rPr>
        <w:t xml:space="preserve">7</w:t>
      </w:r>
      <w:r>
        <w:rPr>
          <w:highlight w:val="none"/>
        </w:rPr>
        <w:fldChar w:fldCharType="end"/>
      </w:r>
      <w:r/>
    </w:p>
    <w:p>
      <w:pPr>
        <w:pStyle w:val="905"/>
        <w:spacing w:line="480" w:lineRule="auto"/>
        <w:tabs>
          <w:tab w:val="right" w:pos="8306" w:leader="dot"/>
        </w:tabs>
        <w:rPr>
          <w:rFonts w:hint="eastAsia" w:eastAsia="宋体"/>
          <w:highlight w:val="none"/>
          <w:lang w:val="en-US" w:eastAsia="zh-CN"/>
        </w:rPr>
      </w:pPr>
      <w:r>
        <w:rPr>
          <w:highlight w:val="none"/>
        </w:rPr>
        <w:fldChar w:fldCharType="begin"/>
      </w:r>
      <w:r>
        <w:rPr>
          <w:highlight w:val="none"/>
        </w:rPr>
        <w:instrText xml:space="preserve"> HYPERLINK \l _Toc16998 </w:instrText>
      </w:r>
      <w:r>
        <w:rPr>
          <w:highlight w:val="none"/>
        </w:rPr>
        <w:fldChar w:fldCharType="separate"/>
      </w:r>
      <w:r>
        <w:rPr>
          <w:rFonts w:hint="eastAsia" w:ascii="Times New Roman" w:hAnsi="Times New Roman" w:eastAsia="黑体" w:cs="Times New Roman"/>
          <w:szCs w:val="30"/>
          <w:highlight w:val="none"/>
          <w:lang w:val="zh-CN" w:eastAsia="zh-CN" w:bidi="ar-SA"/>
        </w:rPr>
        <w:t xml:space="preserve">第</w:t>
      </w:r>
      <w:r>
        <w:rPr>
          <w:rFonts w:hint="eastAsia" w:ascii="Times New Roman" w:hAnsi="Times New Roman" w:eastAsia="黑体" w:cs="Times New Roman"/>
          <w:szCs w:val="30"/>
          <w:highlight w:val="none"/>
          <w:lang w:val="en-US" w:eastAsia="zh-CN" w:bidi="ar-SA"/>
        </w:rPr>
        <w:t xml:space="preserve">三</w:t>
      </w:r>
      <w:r>
        <w:rPr>
          <w:rFonts w:hint="eastAsia" w:ascii="Times New Roman" w:hAnsi="Times New Roman" w:eastAsia="黑体" w:cs="Times New Roman"/>
          <w:szCs w:val="30"/>
          <w:highlight w:val="none"/>
          <w:lang w:val="zh-CN" w:eastAsia="zh-CN" w:bidi="ar-SA"/>
        </w:rPr>
        <w:t xml:space="preserve">章</w:t>
      </w:r>
      <w:r>
        <w:rPr>
          <w:rFonts w:hint="eastAsia" w:ascii="Times New Roman" w:hAnsi="Times New Roman" w:eastAsia="黑体" w:cs="Times New Roman"/>
          <w:szCs w:val="30"/>
          <w:highlight w:val="none"/>
          <w:lang w:val="en-US" w:eastAsia="zh-CN" w:bidi="ar-SA"/>
        </w:rPr>
        <w:t xml:space="preserve">  </w:t>
      </w:r>
      <w:r>
        <w:rPr>
          <w:rFonts w:hint="eastAsia" w:ascii="Times New Roman" w:hAnsi="Times New Roman" w:eastAsia="黑体" w:cs="Times New Roman"/>
          <w:szCs w:val="30"/>
          <w:highlight w:val="none"/>
          <w:lang w:val="zh-CN" w:eastAsia="zh-CN" w:bidi="ar-SA"/>
        </w:rPr>
        <w:t xml:space="preserve">评分标准</w:t>
      </w:r>
      <w:r>
        <w:rPr>
          <w:rFonts w:hint="eastAsia" w:eastAsia="黑体" w:cs="Times New Roman"/>
          <w:szCs w:val="30"/>
          <w:highlight w:val="none"/>
          <w:lang w:val="en-US" w:eastAsia="zh-CN" w:bidi="ar-SA"/>
        </w:rPr>
        <w:t xml:space="preserve">..........................................................................................................................</w:t>
      </w:r>
      <w:r>
        <w:rPr>
          <w:rFonts w:hint="eastAsia" w:eastAsia="黑体"/>
          <w:highlight w:val="none"/>
          <w:lang w:val="en-US" w:eastAsia="zh-CN"/>
        </w:rPr>
        <w:t xml:space="preserve">2</w:t>
      </w:r>
      <w:r>
        <w:rPr>
          <w:highlight w:val="none"/>
        </w:rPr>
        <w:fldChar w:fldCharType="end"/>
      </w:r>
      <w:r>
        <w:rPr>
          <w:rFonts w:hint="eastAsia"/>
          <w:highlight w:val="none"/>
          <w:lang w:val="en-US" w:eastAsia="zh-CN"/>
        </w:rPr>
        <w:t xml:space="preserve">0</w:t>
      </w:r>
      <w:r/>
    </w:p>
    <w:p>
      <w:pPr>
        <w:pStyle w:val="905"/>
        <w:jc w:val="left"/>
        <w:spacing w:line="480" w:lineRule="auto"/>
        <w:tabs>
          <w:tab w:val="right" w:pos="3200" w:leader="none"/>
          <w:tab w:val="right" w:pos="8306" w:leader="dot"/>
        </w:tabs>
        <w:rPr>
          <w:highlight w:val="none"/>
        </w:rPr>
      </w:pPr>
      <w:r>
        <w:rPr>
          <w:highlight w:val="none"/>
        </w:rPr>
        <w:fldChar w:fldCharType="begin"/>
      </w:r>
      <w:r>
        <w:rPr>
          <w:highlight w:val="none"/>
        </w:rPr>
        <w:instrText xml:space="preserve"> HYPERLINK \l _Toc25287 </w:instrText>
      </w:r>
      <w:r>
        <w:rPr>
          <w:highlight w:val="none"/>
        </w:rPr>
        <w:fldChar w:fldCharType="separate"/>
      </w:r>
      <w:r>
        <w:rPr>
          <w:rFonts w:ascii="黑体" w:hAnsi="黑体" w:eastAsia="黑体" w:cs="黑体"/>
          <w:highlight w:val="none"/>
        </w:rPr>
        <w:t xml:space="preserve">第四章</w:t>
      </w:r>
      <w:r>
        <w:rPr>
          <w:rFonts w:ascii="黑体" w:hAnsi="黑体" w:eastAsia="黑体" w:cs="黑体"/>
          <w:highlight w:val="none"/>
        </w:rPr>
        <w:tab/>
      </w:r>
      <w:r>
        <w:rPr>
          <w:rFonts w:ascii="黑体" w:hAnsi="黑体" w:eastAsia="黑体" w:cs="黑体"/>
          <w:highlight w:val="none"/>
        </w:rPr>
        <w:t xml:space="preserve"> 招标项目的技术规格、要求和数等</w:t>
      </w:r>
      <w:r>
        <w:rPr>
          <w:rFonts w:hint="eastAsia" w:eastAsia="黑体" w:cs="Times New Roman"/>
          <w:szCs w:val="30"/>
          <w:highlight w:val="none"/>
          <w:lang w:val="en-US" w:eastAsia="zh-CN" w:bidi="ar-SA"/>
        </w:rPr>
        <w:t xml:space="preserve">.............................................................................</w:t>
      </w:r>
      <w:r>
        <w:rPr>
          <w:highlight w:val="none"/>
        </w:rPr>
        <w:fldChar w:fldCharType="begin"/>
      </w:r>
      <w:r>
        <w:rPr>
          <w:highlight w:val="none"/>
        </w:rPr>
        <w:instrText xml:space="preserve"> PAGEREF _Toc25287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05"/>
        <w:spacing w:line="480" w:lineRule="auto"/>
        <w:tabs>
          <w:tab w:val="right" w:pos="8306" w:leader="dot"/>
        </w:tabs>
        <w:rPr>
          <w:highlight w:val="none"/>
        </w:rPr>
      </w:pPr>
      <w:r>
        <w:rPr>
          <w:highlight w:val="none"/>
        </w:rPr>
        <w:fldChar w:fldCharType="begin"/>
      </w:r>
      <w:r>
        <w:rPr>
          <w:highlight w:val="none"/>
        </w:rPr>
        <w:instrText xml:space="preserve"> HYPERLINK \l _Toc31337 </w:instrText>
      </w:r>
      <w:r>
        <w:rPr>
          <w:highlight w:val="none"/>
        </w:rPr>
        <w:fldChar w:fldCharType="separate"/>
      </w:r>
      <w:r>
        <w:rPr>
          <w:rFonts w:hint="eastAsia" w:ascii="黑体" w:hAnsi="黑体" w:eastAsia="黑体" w:cs="黑体"/>
          <w:highlight w:val="none"/>
        </w:rPr>
        <w:t xml:space="preserve">第五章 </w:t>
      </w:r>
      <w:r>
        <w:rPr>
          <w:rFonts w:ascii="黑体" w:hAnsi="黑体" w:eastAsia="黑体" w:cs="黑体"/>
          <w:highlight w:val="none"/>
        </w:rPr>
        <w:t xml:space="preserve">合同草案条款及格式</w:t>
      </w:r>
      <w:r>
        <w:rPr>
          <w:rFonts w:hint="eastAsia" w:eastAsia="黑体" w:cs="Times New Roman"/>
          <w:szCs w:val="30"/>
          <w:highlight w:val="none"/>
          <w:lang w:val="en-US" w:eastAsia="zh-CN" w:bidi="ar-SA"/>
        </w:rPr>
        <w:t xml:space="preserve">........................................................................................................</w:t>
      </w:r>
      <w:r>
        <w:rPr>
          <w:highlight w:val="none"/>
        </w:rPr>
        <w:fldChar w:fldCharType="begin"/>
      </w:r>
      <w:r>
        <w:rPr>
          <w:highlight w:val="none"/>
        </w:rPr>
        <w:instrText xml:space="preserve"> PAGEREF _Toc31337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905"/>
        <w:spacing w:line="480" w:lineRule="auto"/>
        <w:tabs>
          <w:tab w:val="right" w:pos="3200" w:leader="none"/>
          <w:tab w:val="right" w:pos="8306" w:leader="dot"/>
        </w:tabs>
        <w:rPr>
          <w:highlight w:val="none"/>
        </w:rPr>
      </w:pPr>
      <w:r>
        <w:rPr>
          <w:highlight w:val="none"/>
        </w:rPr>
        <w:fldChar w:fldCharType="begin"/>
      </w:r>
      <w:r>
        <w:rPr>
          <w:highlight w:val="none"/>
        </w:rPr>
        <w:instrText xml:space="preserve"> HYPERLINK \l _Toc11492 </w:instrText>
      </w:r>
      <w:r>
        <w:rPr>
          <w:highlight w:val="none"/>
        </w:rPr>
        <w:fldChar w:fldCharType="separate"/>
      </w:r>
      <w:r>
        <w:rPr>
          <w:rFonts w:ascii="黑体" w:hAnsi="黑体" w:eastAsia="黑体" w:cs="黑体"/>
          <w:highlight w:val="none"/>
        </w:rPr>
        <w:t xml:space="preserve">第六章响应文件格式</w:t>
      </w:r>
      <w:r>
        <w:rPr>
          <w:rFonts w:hint="eastAsia" w:eastAsia="黑体" w:cs="Times New Roman"/>
          <w:szCs w:val="30"/>
          <w:highlight w:val="none"/>
          <w:lang w:val="en-US" w:eastAsia="zh-CN" w:bidi="ar-SA"/>
        </w:rPr>
        <w:t xml:space="preserve">......................................................................................................................</w:t>
      </w:r>
      <w:r>
        <w:rPr>
          <w:highlight w:val="none"/>
        </w:rPr>
        <w:fldChar w:fldCharType="begin"/>
      </w:r>
      <w:r>
        <w:rPr>
          <w:highlight w:val="none"/>
        </w:rPr>
        <w:instrText xml:space="preserve"> PAGEREF _Toc11492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905"/>
        <w:spacing w:line="480" w:lineRule="auto"/>
        <w:tabs>
          <w:tab w:val="right" w:pos="8306" w:leader="dot"/>
        </w:tabs>
        <w:rPr>
          <w:highlight w:val="none"/>
        </w:rPr>
      </w:pPr>
      <w:r>
        <w:rPr>
          <w:highlight w:val="none"/>
        </w:rPr>
      </w:r>
      <w:r/>
    </w:p>
    <w:p>
      <w:pPr>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spacing w:line="480" w:lineRule="auto"/>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pStyle w:val="898"/>
        <w:rPr>
          <w:highlight w:val="none"/>
        </w:rPr>
      </w:pPr>
      <w:r>
        <w:rPr>
          <w:highlight w:val="none"/>
        </w:rPr>
      </w:r>
      <w:r/>
    </w:p>
    <w:p>
      <w:pPr>
        <w:rPr>
          <w:highlight w:val="none"/>
        </w:rPr>
      </w:pPr>
      <w:r>
        <w:rPr>
          <w:highlight w:val="none"/>
        </w:rPr>
        <w:fldChar w:fldCharType="end"/>
      </w:r>
      <w:r/>
    </w:p>
    <w:p>
      <w:pPr>
        <w:numPr>
          <w:ilvl w:val="0"/>
          <w:numId w:val="1"/>
        </w:numPr>
        <w:ind w:left="0" w:right="117" w:firstLine="2736"/>
        <w:spacing w:before="287" w:after="0"/>
        <w:tabs>
          <w:tab w:val="left" w:pos="4171" w:leader="none"/>
        </w:tabs>
        <w:rPr>
          <w:rFonts w:ascii="黑体" w:hAnsi="黑体" w:eastAsia="黑体" w:cs="黑体"/>
          <w:color w:val="000000"/>
          <w:sz w:val="30"/>
          <w:szCs w:val="30"/>
          <w:highlight w:val="none"/>
        </w:rPr>
        <w:pBdr>
          <w:top w:val="none" w:color="000000" w:sz="0" w:space="0"/>
          <w:left w:val="none" w:color="000000" w:sz="0" w:space="0"/>
          <w:bottom w:val="none" w:color="000000" w:sz="0" w:space="0"/>
          <w:right w:val="none" w:color="000000" w:sz="0" w:space="0"/>
        </w:pBdr>
        <w:outlineLvl w:val="0"/>
      </w:pPr>
      <w:r/>
      <w:bookmarkStart w:id="0" w:name="_Toc1174"/>
      <w:r>
        <w:rPr>
          <w:rFonts w:ascii="黑体" w:hAnsi="黑体" w:eastAsia="黑体" w:cs="黑体"/>
          <w:color w:val="000000"/>
          <w:sz w:val="30"/>
          <w:szCs w:val="30"/>
          <w:highlight w:val="none"/>
        </w:rPr>
        <w:t xml:space="preserve">竞争性磋商邀请</w:t>
      </w:r>
      <w:bookmarkEnd w:id="0"/>
      <w:r/>
      <w:r/>
    </w:p>
    <w:p>
      <w:pPr>
        <w:pStyle w:val="898"/>
        <w:rPr>
          <w:highlight w:val="none"/>
        </w:rPr>
      </w:pPr>
      <w:r>
        <w:rPr>
          <w:highlight w:val="none"/>
        </w:rPr>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2026年道路交通设施日常建设维护项目</w:t>
      </w:r>
      <w:r>
        <w:rPr>
          <w:rFonts w:ascii="Calibri" w:hAnsi="Calibri" w:eastAsia="Calibri" w:cs="Calibri"/>
          <w:color w:val="000000"/>
          <w:sz w:val="21"/>
          <w:highlight w:val="none"/>
        </w:rPr>
        <w:t xml:space="preserve">的潜在供应商应在江苏政府采购网获取采购文件，并于</w:t>
      </w:r>
      <w:r>
        <w:rPr>
          <w:rFonts w:ascii="宋体" w:hAnsi="宋体" w:eastAsia="宋体" w:cs="宋体"/>
          <w:color w:val="000000"/>
          <w:sz w:val="21"/>
          <w:highlight w:val="none"/>
        </w:rPr>
        <w:t xml:space="preserve">2026年5月7日14点30分</w:t>
      </w:r>
      <w:r>
        <w:rPr>
          <w:rFonts w:ascii="Calibri" w:hAnsi="Calibri" w:eastAsia="Calibri" w:cs="Calibri"/>
          <w:color w:val="000000"/>
          <w:sz w:val="21"/>
          <w:highlight w:val="none"/>
        </w:rPr>
        <w:t xml:space="preserve">（北京时间）前提交响应文件。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一、项目基本情况</w:t>
      </w:r>
      <w:r/>
    </w:p>
    <w:p>
      <w:pPr>
        <w:ind w:left="0" w:right="0" w:firstLine="420"/>
        <w:spacing w:before="0" w:after="0" w:line="360" w:lineRule="auto"/>
        <w:rPr>
          <w:rFonts w:hint="eastAsia" w:eastAsia="宋体"/>
          <w:color w:val="0000ff"/>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w:t>
      </w:r>
      <w:r>
        <w:rPr>
          <w:rFonts w:ascii="Calibri" w:hAnsi="Calibri" w:eastAsia="Calibri" w:cs="Calibri"/>
          <w:color w:val="000000"/>
          <w:sz w:val="21"/>
          <w:highlight w:val="none"/>
        </w:rPr>
        <w:t xml:space="preserve">项目编号：</w:t>
      </w:r>
      <w:r>
        <w:rPr>
          <w:rFonts w:hint="eastAsia" w:ascii="宋体" w:hAnsi="宋体" w:cs="宋体"/>
          <w:b/>
          <w:color w:val="auto"/>
          <w:sz w:val="21"/>
          <w:highlight w:val="none"/>
          <w:lang w:eastAsia="zh-CN"/>
        </w:rPr>
        <w:t xml:space="preserve">JSZC-320115-FHGL-C2026-0004</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w:t>
      </w:r>
      <w:r>
        <w:rPr>
          <w:rFonts w:ascii="Calibri" w:hAnsi="Calibri" w:eastAsia="Calibri" w:cs="Calibri"/>
          <w:color w:val="000000"/>
          <w:sz w:val="21"/>
          <w:highlight w:val="none"/>
        </w:rPr>
        <w:t xml:space="preserve">项目名称：</w:t>
      </w:r>
      <w:r>
        <w:rPr>
          <w:rFonts w:hint="eastAsia" w:ascii="宋体" w:hAnsi="宋体" w:cs="宋体"/>
          <w:color w:val="000000"/>
          <w:sz w:val="21"/>
          <w:highlight w:val="none"/>
          <w:lang w:eastAsia="zh-CN"/>
        </w:rPr>
        <w:t xml:space="preserve">2026年道路交通设施日常建设维护项目</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w:t>
      </w:r>
      <w:r>
        <w:rPr>
          <w:rFonts w:ascii="Calibri" w:hAnsi="Calibri" w:eastAsia="Calibri" w:cs="Calibri"/>
          <w:color w:val="000000"/>
          <w:sz w:val="21"/>
          <w:highlight w:val="none"/>
        </w:rPr>
        <w:t xml:space="preserve">采购方式：竞争性磋商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w:t>
      </w:r>
      <w:r>
        <w:rPr>
          <w:rFonts w:ascii="Calibri" w:hAnsi="Calibri" w:eastAsia="Calibri" w:cs="Calibri"/>
          <w:color w:val="000000"/>
          <w:sz w:val="21"/>
          <w:highlight w:val="none"/>
        </w:rPr>
        <w:t xml:space="preserve">预算金额：</w:t>
      </w:r>
      <w:r>
        <w:rPr>
          <w:rFonts w:hint="eastAsia" w:ascii="宋体" w:hAnsi="宋体" w:cs="宋体"/>
          <w:color w:val="000000"/>
          <w:sz w:val="21"/>
          <w:highlight w:val="none"/>
          <w:lang w:val="en-US" w:eastAsia="zh-CN"/>
        </w:rPr>
        <w:t xml:space="preserve">150</w:t>
      </w:r>
      <w:r>
        <w:rPr>
          <w:rFonts w:ascii="宋体" w:hAnsi="宋体" w:eastAsia="宋体" w:cs="宋体"/>
          <w:color w:val="000000"/>
          <w:sz w:val="21"/>
          <w:highlight w:val="none"/>
        </w:rPr>
        <w:t xml:space="preserve">万元</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w:t>
      </w:r>
      <w:r>
        <w:rPr>
          <w:rFonts w:ascii="Calibri" w:hAnsi="Calibri" w:eastAsia="Calibri" w:cs="Calibri"/>
          <w:color w:val="000000"/>
          <w:sz w:val="21"/>
          <w:highlight w:val="none"/>
        </w:rPr>
        <w:t xml:space="preserve">最高限价：</w:t>
      </w:r>
      <w:r>
        <w:rPr>
          <w:rFonts w:hint="eastAsia" w:ascii="宋体" w:hAnsi="宋体" w:cs="宋体"/>
          <w:color w:val="000000"/>
          <w:sz w:val="21"/>
          <w:highlight w:val="none"/>
          <w:lang w:eastAsia="zh-CN"/>
        </w:rPr>
        <w:t xml:space="preserve">148.871999</w:t>
      </w:r>
      <w:r>
        <w:rPr>
          <w:rFonts w:ascii="宋体" w:hAnsi="宋体" w:eastAsia="宋体" w:cs="宋体"/>
          <w:color w:val="000000"/>
          <w:sz w:val="21"/>
          <w:highlight w:val="none"/>
        </w:rPr>
        <w:t xml:space="preserve">万</w:t>
      </w:r>
      <w:r>
        <w:rPr>
          <w:rFonts w:ascii="Calibri" w:hAnsi="Calibri" w:eastAsia="Calibri" w:cs="Calibri"/>
          <w:color w:val="000000"/>
          <w:sz w:val="21"/>
          <w:highlight w:val="none"/>
        </w:rPr>
        <w:t xml:space="preserve">元</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投标报价不得超过限价，</w:t>
      </w:r>
      <w:r>
        <w:rPr>
          <w:rFonts w:ascii="Calibri" w:hAnsi="Calibri" w:eastAsia="Calibri" w:cs="Calibri"/>
          <w:color w:val="000000"/>
          <w:sz w:val="21"/>
          <w:highlight w:val="none"/>
        </w:rPr>
        <w:t xml:space="preserve">超过的投标报价按无效标处理。</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1.6采购需求：</w:t>
      </w:r>
      <w:r>
        <w:rPr>
          <w:rFonts w:hint="eastAsia" w:ascii="宋体" w:hAnsi="宋体" w:eastAsia="宋体" w:cs="宋体"/>
          <w:color w:val="000000"/>
          <w:sz w:val="21"/>
          <w:highlight w:val="none"/>
        </w:rPr>
        <w:t xml:space="preserve">街道辖区现有道路400余公里，该维护项目主要是为了做好辖区内道路交通设施的年度日常维护管养(交通标识的设置、标线的漆画与出新、信号灯的维护与保养建设等)及交通安全隐息的排查整治工作，同时根据较交通发展需要，增设及完善必要设施，保持良好的交通运行秩序，更好的服务江宁街道经济发展。</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1.7合同履行期限：</w:t>
      </w:r>
      <w:r>
        <w:rPr>
          <w:rFonts w:hint="eastAsia" w:ascii="宋体" w:hAnsi="宋体" w:eastAsia="宋体" w:cs="宋体"/>
          <w:color w:val="000000"/>
          <w:sz w:val="21"/>
          <w:highlight w:val="none"/>
        </w:rPr>
        <w:t xml:space="preserve">365</w:t>
      </w:r>
      <w:r>
        <w:rPr>
          <w:rFonts w:hint="eastAsia" w:ascii="宋体" w:hAnsi="宋体" w:cs="宋体"/>
          <w:color w:val="000000"/>
          <w:sz w:val="21"/>
          <w:highlight w:val="none"/>
          <w:lang w:val="en-US" w:eastAsia="zh-CN"/>
        </w:rPr>
        <w:t xml:space="preserve">天</w:t>
      </w:r>
      <w:r>
        <w:rPr>
          <w:rFonts w:ascii="宋体" w:hAnsi="宋体" w:eastAsia="宋体" w:cs="宋体"/>
          <w:color w:val="000000"/>
          <w:sz w:val="21"/>
          <w:highlight w:val="none"/>
        </w:rPr>
        <w:t xml:space="preserve">。</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二、申请人的资格要求：</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一</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满足《中华人民共和国政府采购法》第二十二条规定：</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1.具有独立承担民事责任的能力（请提供法人或者其他组织的营业执照等证明文件，自然人的身份证明）。</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二</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落实政府采购政策需满足的资格要求：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（如属于专门面向中小企业采购的项目，供应商应为中小微企业、监狱企业、残疾人福利性单位）</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本项目是专门面向中小微企业，仅接受中小微企业供应商投标，非中小微企业供应商投标为无效投标。（供应商须提供《中小企业声明函》编入响应文件。）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三</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本项目的特定资格要求：无</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四</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本项目不接受联合体投标。</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五</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拒绝下述供应商参加本次采购活动：</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（1）供应商单位负责人为同一人或者存在直接控股、管理关系的不同供应商，不得参加同一合同项下的政府采购活动。   </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（2）凡为本项目提供整体设计、规范编制或者项目管理、监理、检测等服务的供应商，不得再参加本项目的采购活动。</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（3）拒绝列入失信被执行人、重大税收违法案件当事人名单、政府采购严重违法失信行为记录名单的供应商参与政府采购活动。</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（4）供应商未提供《南京市政府采购供应商信用记录表暨信用承诺书》。</w:t>
      </w:r>
      <w:r/>
    </w:p>
    <w:p>
      <w:pPr>
        <w:ind w:left="0" w:right="0" w:firstLine="480"/>
        <w:spacing w:before="0" w:after="0" w:line="360" w:lineRule="auto"/>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三、获取磋商采购文件</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地点：“苏采云”政府采购交易系统</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售价：0.00元。</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截止时间：</w:t>
      </w:r>
      <w:r>
        <w:rPr>
          <w:rFonts w:ascii="宋体" w:hAnsi="宋体" w:eastAsia="宋体" w:cs="宋体"/>
          <w:color w:val="000000"/>
          <w:sz w:val="21"/>
          <w:highlight w:val="none"/>
        </w:rPr>
        <w:t xml:space="preserve">2026年5月7日14点30分</w:t>
      </w:r>
      <w:r>
        <w:rPr>
          <w:rFonts w:ascii="宋体" w:hAnsi="宋体" w:eastAsia="宋体" w:cs="宋体"/>
          <w:color w:val="000000"/>
          <w:sz w:val="21"/>
          <w:highlight w:val="none"/>
        </w:rPr>
        <w:t xml:space="preserve">（北京时间）</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w:t>
      </w:r>
      <w:r>
        <w:rPr>
          <w:rFonts w:ascii="宋体" w:hAnsi="宋体" w:eastAsia="宋体" w:cs="宋体"/>
          <w:color w:val="000000"/>
          <w:sz w:val="21"/>
          <w:highlight w:val="none"/>
        </w:rPr>
        <w:t xml:space="preserve">2026年5月7日14点30分</w:t>
      </w:r>
      <w:r>
        <w:rPr>
          <w:rFonts w:ascii="宋体" w:hAnsi="宋体" w:eastAsia="宋体" w:cs="宋体"/>
          <w:color w:val="000000"/>
          <w:sz w:val="21"/>
          <w:highlight w:val="none"/>
        </w:rPr>
        <w:t xml:space="preserve">（北京时间）</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地点：“苏采云”政府采购交易系统网上开标大厅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自本公告发布之日起3个工作日</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rPr>
          <w:rFonts w:ascii="宋体" w:hAnsi="宋体" w:eastAsia="宋体" w:cs="宋体"/>
          <w:color w:val="000000"/>
          <w:sz w:val="21"/>
          <w:highlight w:val="none"/>
        </w:rPr>
        <w:t xml:space="preserve">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2、潜在供应商访问政府采购管理交易系统（苏采云）的网络地址和方法：</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（2）“CA数字证书”的获取：供应商需办理CA锁，“苏采云”系统目前仅支持“苏采云”系统下的政务CA，省内各地区办理的“苏采云”系统下的政务CA全省通用。</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（3）“CA数字证书”的办理材料以及供应商操作手册详见：http://jsxcmm.com/help/gys.html。</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（4）潜在供应商访问“苏采云”系统的网络地址和方法：“苏采云”系统的网址：http://jszfcg.jsczt.cn/jszc/login。</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（5）采购文件（后缀名为“.kedt”）、供应商操作手册及政府采购客户端工具也可通过“苏采云”系统--已报名项目--报名详情页面内相应链接进行下载。</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（6）招标代理机构（采购代理机构）将数据电文形式的采购文件加载至“苏采云”系统，供潜在供应商下载或者查阅。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（7）苏采云系统使用谷歌浏览器参与不见面开标。</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4、供应商如确定参加磋商，可自行下载采购文件及有关资料，按照《操作手册》进行注册，领取CA和办理电子签章，并按《操作手册》要求制作、上传电子投标文件。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6、政府采购信用承诺：</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南京公共采购信息网</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首页（https://njgc.jfh.com/）</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南京市政府采购供应商诚信档案</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系统链接打开系统页面（http://180.101.238.212:8280/hodeframe2018_cxda/index.action;jsessionid=769BA9C8E1729422E7173B991C8EC1E5）登录（未注册的供应商应先点击</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供应商注册点这里</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并按要求完成注册），然后在</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信用记录</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模块页面点击</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信用记录打印</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下载本单位信用记录表，由法人签字并盖电子公章，上传至电子投标响应文件中，未按要求提供信用记录表或未签字盖章的，将按无效投标处理。</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在政府采购资格审查环节，供应商只需提供书面《南京市政府采购供应商信用记录表暨信用承诺书》，即可替代以下证明材料：</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（1）符合国家相关规定的财务状况报告；</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（2）依法缴纳税收的证明材料；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（3）依法缴纳社会保障资金的证明材料；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（4）具备履行政府采购合同所必需的设备和专业技术能力的证明材料；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（5）参加政府采购活动前三年内在经营活动中没有重大违法记录的证明材料；</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（6）未被列入失信被执行人、重大税收违法失信主体、政府采购严重违法失信行为记录名单的证明材料。</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供应商涉及以下情形的，不适用信用承诺，仍须提供上述证明材料：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（1）供应商被列入严重失信主体名单；</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（2）被相关监管部门作出行政处罚且尚在处罚有效期内；</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（3）其他法律、行政法规规定的不适用信用承诺的情形。</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供应商对信用承诺内容的真实性、合法性、有效性负责。如作出虚假信用承诺，视同为</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提供虚假材料谋取中标、成交</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的违法行为。</w:t>
      </w:r>
      <w:r/>
    </w:p>
    <w:p>
      <w:pPr>
        <w:ind w:right="0"/>
        <w:spacing w:before="34" w:after="0" w:line="360" w:lineRule="auto"/>
        <w:tabs>
          <w:tab w:val="left" w:pos="562" w:leader="none"/>
          <w:tab w:val="left" w:pos="3372" w:leader="none"/>
          <w:tab w:val="left" w:pos="36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八、对本次磋商提出询问，请按以下方式联系</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1.采购人信息</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称：南京市江宁区人民政府江宁街道办事处</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地址：南京市江宁区人民政府江宁街道办事处</w:t>
      </w:r>
      <w:r/>
    </w:p>
    <w:p>
      <w:pPr>
        <w:ind w:left="0" w:right="0" w:firstLine="480"/>
        <w:spacing w:before="0" w:after="0" w:line="360" w:lineRule="auto"/>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联系方式：李</w:t>
      </w:r>
      <w:r>
        <w:rPr>
          <w:rFonts w:hint="eastAsia" w:ascii="宋体" w:hAnsi="宋体" w:cs="宋体"/>
          <w:color w:val="000000"/>
          <w:sz w:val="21"/>
          <w:highlight w:val="none"/>
          <w:lang w:val="en-US" w:eastAsia="zh-CN"/>
        </w:rPr>
        <w:t xml:space="preserve">主任</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电话：</w:t>
      </w:r>
      <w:r>
        <w:rPr>
          <w:rFonts w:ascii="宋体" w:hAnsi="宋体" w:eastAsia="宋体" w:cs="宋体"/>
          <w:color w:val="000000"/>
          <w:sz w:val="21"/>
          <w:highlight w:val="none"/>
        </w:rPr>
        <w:t xml:space="preserve">025-86199665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2.采购代理机构信息</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w:t>
      </w:r>
      <w:r>
        <w:rPr>
          <w:rFonts w:hint="eastAsia" w:ascii="宋体" w:hAnsi="宋体" w:cs="宋体"/>
          <w:color w:val="000000"/>
          <w:sz w:val="21"/>
          <w:highlight w:val="none"/>
          <w:lang w:eastAsia="zh-CN"/>
        </w:rPr>
        <w:t xml:space="preserve">南京富弘工程项目管理有限公司</w:t>
      </w:r>
      <w:r>
        <w:rPr>
          <w:rFonts w:ascii="宋体" w:hAnsi="宋体" w:eastAsia="宋体" w:cs="宋体"/>
          <w:color w:val="000000"/>
          <w:sz w:val="21"/>
          <w:highlight w:val="none"/>
        </w:rPr>
        <w:t xml:space="preserve">　</w:t>
      </w:r>
      <w:r/>
    </w:p>
    <w:p>
      <w:pPr>
        <w:ind w:left="0" w:right="0" w:firstLine="48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　址：</w:t>
      </w:r>
      <w:r>
        <w:rPr>
          <w:rFonts w:hint="eastAsia" w:ascii="宋体" w:hAnsi="宋体" w:cs="宋体"/>
          <w:color w:val="000000"/>
          <w:sz w:val="21"/>
          <w:highlight w:val="none"/>
          <w:lang w:eastAsia="zh-CN"/>
        </w:rPr>
        <w:t xml:space="preserve">南京市江宁区东山街道文靖西路108号西楼3楼</w:t>
      </w:r>
      <w:r/>
    </w:p>
    <w:p>
      <w:pPr>
        <w:ind w:left="0" w:right="0" w:firstLine="480"/>
        <w:spacing w:before="0" w:after="0" w:line="36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联系方式：</w:t>
      </w:r>
      <w:r>
        <w:rPr>
          <w:rFonts w:hint="eastAsia" w:ascii="宋体" w:hAnsi="宋体" w:cs="宋体"/>
          <w:color w:val="000000"/>
          <w:sz w:val="21"/>
          <w:highlight w:val="none"/>
          <w:lang w:val="en-US" w:eastAsia="zh-CN"/>
        </w:rPr>
        <w:t xml:space="preserve">15051859872</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3.项目联系方式</w:t>
      </w:r>
      <w:r/>
    </w:p>
    <w:p>
      <w:pPr>
        <w:ind w:left="0" w:right="0" w:firstLine="48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w:t>
      </w:r>
      <w:r>
        <w:rPr>
          <w:rFonts w:hint="eastAsia" w:ascii="宋体" w:hAnsi="宋体" w:cs="宋体"/>
          <w:color w:val="000000"/>
          <w:sz w:val="21"/>
          <w:highlight w:val="none"/>
          <w:lang w:eastAsia="zh-CN"/>
        </w:rPr>
        <w:t xml:space="preserve">蒋冬</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　话：</w:t>
      </w:r>
      <w:r>
        <w:rPr>
          <w:rFonts w:hint="eastAsia" w:ascii="宋体" w:hAnsi="宋体" w:cs="宋体"/>
          <w:color w:val="000000"/>
          <w:sz w:val="21"/>
          <w:highlight w:val="none"/>
          <w:lang w:val="en-US" w:eastAsia="zh-CN"/>
        </w:rPr>
        <w:t xml:space="preserve">15051859872</w:t>
      </w:r>
      <w:r/>
    </w:p>
    <w:p>
      <w:pPr>
        <w:ind w:left="0" w:right="0" w:firstLine="480"/>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pStyle w:val="898"/>
        <w:rPr>
          <w:rFonts w:ascii="宋体" w:hAnsi="宋体" w:eastAsia="宋体" w:cs="宋体"/>
          <w:color w:val="000000"/>
          <w:sz w:val="21"/>
          <w:highlight w:val="none"/>
        </w:rPr>
      </w:pPr>
      <w:r>
        <w:rPr>
          <w:rFonts w:ascii="宋体" w:hAnsi="宋体" w:eastAsia="宋体" w:cs="宋体"/>
          <w:color w:val="000000"/>
          <w:sz w:val="21"/>
          <w:highlight w:val="none"/>
        </w:rPr>
      </w:r>
      <w:r/>
    </w:p>
    <w:p>
      <w:pPr>
        <w:ind w:right="0"/>
        <w:jc w:val="center"/>
        <w:spacing w:before="11" w:after="0" w:line="85" w:lineRule="atLeast"/>
        <w:rPr>
          <w:highlight w:val="none"/>
        </w:rPr>
        <w:pBdr>
          <w:top w:val="none" w:color="000000" w:sz="0" w:space="0"/>
          <w:left w:val="none" w:color="000000" w:sz="0" w:space="0"/>
          <w:bottom w:val="none" w:color="000000" w:sz="0" w:space="0"/>
          <w:right w:val="none" w:color="000000" w:sz="0" w:space="0"/>
        </w:pBdr>
        <w:outlineLvl w:val="0"/>
      </w:pPr>
      <w:r/>
      <w:bookmarkStart w:id="1" w:name="_Toc28389"/>
      <w:r>
        <w:rPr>
          <w:rFonts w:ascii="黑体" w:hAnsi="黑体" w:eastAsia="黑体" w:cs="黑体"/>
          <w:color w:val="000000"/>
          <w:sz w:val="32"/>
          <w:highlight w:val="none"/>
        </w:rPr>
        <w:t xml:space="preserve">第二章</w:t>
      </w:r>
      <w:r>
        <w:rPr>
          <w:rFonts w:ascii="黑体" w:hAnsi="黑体" w:eastAsia="黑体" w:cs="黑体"/>
          <w:color w:val="000000"/>
          <w:sz w:val="32"/>
          <w:highlight w:val="none"/>
        </w:rPr>
        <w:tab/>
      </w:r>
      <w:r>
        <w:rPr>
          <w:rFonts w:ascii="黑体" w:hAnsi="黑体" w:eastAsia="黑体" w:cs="黑体"/>
          <w:color w:val="000000"/>
          <w:sz w:val="32"/>
          <w:highlight w:val="none"/>
        </w:rPr>
        <w:t xml:space="preserve">供应商须知</w:t>
      </w:r>
      <w:bookmarkEnd w:id="1"/>
      <w:r/>
      <w:r/>
    </w:p>
    <w:p>
      <w:pPr>
        <w:ind w:left="0" w:right="0" w:firstLine="0"/>
        <w:spacing w:before="11"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5"/>
          <w:highlight w:val="none"/>
        </w:rPr>
        <w:t xml:space="preserve"> </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118"/>
        <w:gridCol w:w="5708"/>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内容</w:t>
            </w:r>
            <w:r/>
          </w:p>
        </w:tc>
      </w:tr>
      <w:tr>
        <w:trPr>
          <w:trHeight w:val="1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称：南京市江宁区人民政府江宁街道办事处</w:t>
            </w:r>
            <w:r/>
          </w:p>
          <w:p>
            <w:pPr>
              <w:ind w:left="0" w:right="0" w:firstLine="0"/>
              <w:jc w:val="both"/>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  址：</w:t>
            </w:r>
            <w:r>
              <w:rPr>
                <w:rFonts w:hint="eastAsia" w:ascii="宋体" w:hAnsi="宋体" w:eastAsia="宋体" w:cs="宋体"/>
                <w:color w:val="000000"/>
                <w:sz w:val="21"/>
                <w:highlight w:val="none"/>
              </w:rPr>
              <w:t xml:space="preserve">南京市江宁区滨江开发区盛安大道739号</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联系方式：李</w:t>
            </w:r>
            <w:r>
              <w:rPr>
                <w:rFonts w:ascii="宋体" w:hAnsi="宋体" w:eastAsia="宋体" w:cs="宋体"/>
                <w:color w:val="000000"/>
                <w:sz w:val="21"/>
                <w:highlight w:val="none"/>
              </w:rPr>
              <w:t xml:space="preserve">主任</w:t>
            </w:r>
            <w:r>
              <w:rPr>
                <w:rFonts w:ascii="宋体" w:hAnsi="宋体" w:eastAsia="宋体" w:cs="宋体"/>
                <w:color w:val="000000"/>
                <w:sz w:val="21"/>
                <w:highlight w:val="none"/>
              </w:rPr>
              <w:t xml:space="preserve"> 025-86199665</w:t>
            </w:r>
            <w:r/>
          </w:p>
        </w:tc>
      </w:tr>
      <w:tr>
        <w:trPr>
          <w:trHeight w:val="1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w:t>
            </w:r>
            <w:r>
              <w:rPr>
                <w:rFonts w:hint="eastAsia" w:ascii="宋体" w:hAnsi="宋体" w:cs="宋体"/>
                <w:color w:val="000000"/>
                <w:sz w:val="21"/>
                <w:highlight w:val="none"/>
                <w:lang w:eastAsia="zh-CN"/>
              </w:rPr>
              <w:t xml:space="preserve">南京富弘工程项目管理有限公司</w:t>
            </w:r>
            <w:r/>
          </w:p>
          <w:p>
            <w:pPr>
              <w:ind w:left="0" w:right="0" w:firstLine="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　址：</w:t>
            </w:r>
            <w:r>
              <w:rPr>
                <w:rFonts w:hint="eastAsia" w:ascii="宋体" w:hAnsi="宋体" w:cs="宋体"/>
                <w:color w:val="000000"/>
                <w:sz w:val="21"/>
                <w:highlight w:val="none"/>
                <w:lang w:eastAsia="zh-CN"/>
              </w:rPr>
              <w:t xml:space="preserve">南京市江宁区东山街道文靖西路108号西楼3楼</w:t>
            </w:r>
            <w:r/>
          </w:p>
          <w:p>
            <w:pPr>
              <w:ind w:left="0" w:right="0" w:firstLine="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w:t>
            </w:r>
            <w:r>
              <w:rPr>
                <w:rFonts w:hint="eastAsia" w:ascii="宋体" w:hAnsi="宋体" w:cs="宋体"/>
                <w:color w:val="000000"/>
                <w:sz w:val="21"/>
                <w:highlight w:val="none"/>
                <w:lang w:eastAsia="zh-CN"/>
              </w:rPr>
              <w:t xml:space="preserve">蒋冬</w:t>
            </w:r>
            <w:r/>
          </w:p>
          <w:p>
            <w:pPr>
              <w:ind w:left="0" w:right="0" w:firstLine="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联系方式：</w:t>
            </w:r>
            <w:r>
              <w:rPr>
                <w:rFonts w:hint="eastAsia" w:ascii="宋体" w:hAnsi="宋体" w:cs="宋体"/>
                <w:color w:val="000000"/>
                <w:sz w:val="21"/>
                <w:highlight w:val="none"/>
                <w:lang w:eastAsia="zh-CN"/>
              </w:rPr>
              <w:t xml:space="preserve">15051859872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2026年道路交通设施日常建设维护项目</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南京市江宁区</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财政资金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综合评分法</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提交投标文件截止之日起60日</w:t>
            </w:r>
            <w:r/>
          </w:p>
        </w:tc>
      </w:tr>
      <w:tr>
        <w:trPr>
          <w:trHeight w:val="2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供应商企业信用信息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left"/>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（1）查询渠道：“信用中国”网站（www.creditchina.gov.cn）、“中国政府采购网”网站（www.ccgp.gov.cn）；</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（2）查询时间：资格审查时；</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（3）查询记录留存方式：由采购代理机构负责将供应商各网站信用记录截图保存；</w:t>
            </w:r>
            <w:r/>
          </w:p>
          <w:p>
            <w:pPr>
              <w:ind w:left="0" w:right="0" w:firstLine="0"/>
              <w:jc w:val="left"/>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（4）查询结果处理：对具有违法失信记录的供应商作无效投标处理。</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供应商投标文件中加盖的公章仅能使用与供应商名称一致的标准公章，不得使用其他形式（如带有“专用章”、“合同章”、“财务章”、“业务章”等字样）的印章；否则，按无效投标处理。</w:t>
            </w:r>
            <w:r/>
          </w:p>
        </w:tc>
      </w:tr>
    </w:tbl>
    <w:p>
      <w:pPr>
        <w:ind w:left="798" w:right="0" w:hanging="240"/>
        <w:spacing w:before="0" w:after="0" w:line="276" w:lineRule="atLeast"/>
        <w:tabs>
          <w:tab w:val="left" w:pos="176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 w:name="_Toc20823275"/>
      <w:r/>
      <w:bookmarkStart w:id="3" w:name="_Toc16938519"/>
      <w:r/>
      <w:bookmarkStart w:id="4" w:name="_Toc513029203"/>
      <w:r/>
      <w:bookmarkStart w:id="5" w:name="_Toc120614214"/>
      <w:r>
        <w:rPr>
          <w:rFonts w:hint="eastAsia"/>
          <w:b/>
          <w:bCs/>
          <w:color w:val="000000" w:themeColor="text1"/>
          <w:sz w:val="21"/>
          <w:szCs w:val="21"/>
          <w:highlight w:val="none"/>
          <w14:textFill>
            <w14:solidFill>
              <w14:schemeClr w14:val="tx1"/>
            </w14:solidFill>
          </w14:textFill>
        </w:rPr>
        <w:t xml:space="preserve">一、总则</w:t>
      </w:r>
      <w:bookmarkEnd w:id="2"/>
      <w:r/>
      <w:bookmarkEnd w:id="3"/>
      <w:r/>
      <w:bookmarkEnd w:id="4"/>
      <w:r/>
      <w:bookmarkEnd w:id="5"/>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bookmarkStart w:id="6" w:name="_Toc462564067"/>
      <w:r/>
      <w:bookmarkStart w:id="7" w:name="_Toc513029207"/>
      <w:r/>
      <w:bookmarkStart w:id="8" w:name="_Toc20823279"/>
      <w:r/>
      <w:bookmarkStart w:id="9" w:name="_Toc16938523"/>
      <w:r/>
      <w:bookmarkStart w:id="10"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有关法律、规章和规定等。</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2.4 “用户或使用单位”是指使用服务的单位。</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3、政策功能</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3.1中小企业政策</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于专门面向中小企业或小型、微型企业的项目，只面向中小企业或小型、微型企业采购。对于非专门面向中小企业的项目，对符合规定的小微企业报价给予10%（工程为5%）的扣除，用扣除后的价格参加评审。</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（3）对于接受供应商以联合体形式参加采购活动的项目，小型、微型企业联合体应当符合《政</w:t>
      </w:r>
      <w:r>
        <w:rPr>
          <w:rFonts w:hint="eastAsia"/>
          <w:color w:val="000000" w:themeColor="text1"/>
          <w:sz w:val="21"/>
          <w:szCs w:val="21"/>
          <w:highlight w:val="none"/>
          <w14:textFill>
            <w14:solidFill>
              <w14:schemeClr w14:val="tx1"/>
            </w14:solidFill>
          </w14:textFill>
        </w:rPr>
        <w:t xml:space="preserve">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本项目专门面向中小企业采购，评审时，采购人对小微企业的报价不给予价格扣除；</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（6）参加政府采购活动的中小企业应当按“关于印发《关于进一步加大政府采购支持中小企业力度的通知》（财库〔2022〕19号）” 规定提供《中小企业声明函》，未提供上述资料的报价，其价格不予扣除。</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3.2节能产品、环境标志产品政策</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（1）政府采购节能产品、环境标志产品实施品目清单管理。</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（2）拟采购产品属于节能产品、环境标志产品品目清单规定必须强制采购的，实行强制采购。</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3.3进口产品政策</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（1）除在磋商文件另有规定外，不允许进口产品参加。进口产品认定依照《财政部关于政府采购进口产品管理有关问题的通知》（财办库〔2008〕248号）的规定。</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（2）允许进口产品参加的，满足需求的国内产品可以参加。</w:t>
      </w:r>
      <w:r/>
    </w:p>
    <w:p>
      <w:pPr>
        <w:pStyle w:val="914"/>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4、磋商费用</w:t>
      </w:r>
      <w:bookmarkEnd w:id="6"/>
      <w:r/>
      <w:bookmarkEnd w:id="7"/>
      <w:r/>
      <w:bookmarkEnd w:id="8"/>
      <w:r/>
      <w:bookmarkEnd w:id="9"/>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4.2</w:t>
      </w: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t xml:space="preserve">招标代理服务费以中标金额为基数，按照计价格〔2002〕1980号文标准的80%计取；招标控制价编制费以中标金额为基数，按照苏价服[2014]383号文标准的80%计取；计取后的总费用（无控制价编制费的）项目不足3000按3000收取，总费用（含控制价编制费的）项目不足5000按5000收取；上述费用均由中标供应商一次性支付。（服务、货物类项目不收取招标控制价编制费）。</w:t>
      </w:r>
      <w:r/>
    </w:p>
    <w:p>
      <w:pPr>
        <w:pStyle w:val="914"/>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4.3 相关费用</w:t>
      </w:r>
      <w:r>
        <w:rPr>
          <w:rFonts w:hint="eastAsia"/>
          <w:bCs/>
          <w:color w:val="000000" w:themeColor="text1"/>
          <w:sz w:val="21"/>
          <w:szCs w:val="21"/>
          <w:highlight w:val="none"/>
          <w14:textFill>
            <w14:solidFill>
              <w14:schemeClr w14:val="tx1"/>
            </w14:solidFill>
          </w14:textFill>
        </w:rPr>
        <w:t xml:space="preserve">由投标单位自行考虑，后期不纳入与采购人结算中。</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5、磋商文件的约束力</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5.1 供应商一旦参加本项目采购活动，即被认为接受了本磋商文件的规定和约束。</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 w:name="_Toc513029209"/>
      <w:r/>
      <w:bookmarkStart w:id="12" w:name="_Toc120614215"/>
      <w:r/>
      <w:bookmarkStart w:id="13" w:name="_Toc20823281"/>
      <w:r/>
      <w:bookmarkStart w:id="14" w:name="_Toc16938525"/>
      <w:r>
        <w:rPr>
          <w:rFonts w:hint="eastAsia"/>
          <w:b/>
          <w:bCs/>
          <w:color w:val="000000" w:themeColor="text1"/>
          <w:sz w:val="21"/>
          <w:szCs w:val="21"/>
          <w:highlight w:val="none"/>
          <w14:textFill>
            <w14:solidFill>
              <w14:schemeClr w14:val="tx1"/>
            </w14:solidFill>
          </w14:textFill>
        </w:rPr>
        <w:t xml:space="preserve">二、</w:t>
      </w:r>
      <w:bookmarkEnd w:id="11"/>
      <w:r/>
      <w:bookmarkEnd w:id="12"/>
      <w:r/>
      <w:bookmarkEnd w:id="13"/>
      <w:r/>
      <w:bookmarkEnd w:id="14"/>
      <w:r>
        <w:rPr>
          <w:rFonts w:hint="eastAsia"/>
          <w:b/>
          <w:bCs/>
          <w:color w:val="000000" w:themeColor="text1"/>
          <w:sz w:val="21"/>
          <w:szCs w:val="21"/>
          <w:highlight w:val="none"/>
          <w14:textFill>
            <w14:solidFill>
              <w14:schemeClr w14:val="tx1"/>
            </w14:solidFill>
          </w14:textFill>
        </w:rPr>
        <w:t xml:space="preserve">磋商文件</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5" w:name="_Toc513029210"/>
      <w:r/>
      <w:bookmarkStart w:id="16" w:name="_Toc20823282"/>
      <w:r/>
      <w:bookmarkStart w:id="17" w:name="_Toc16938526"/>
      <w:r>
        <w:rPr>
          <w:rFonts w:hint="eastAsia"/>
          <w:b/>
          <w:bCs/>
          <w:color w:val="000000" w:themeColor="text1"/>
          <w:sz w:val="21"/>
          <w:szCs w:val="21"/>
          <w:highlight w:val="none"/>
          <w14:textFill>
            <w14:solidFill>
              <w14:schemeClr w14:val="tx1"/>
            </w14:solidFill>
          </w14:textFill>
        </w:rPr>
        <w:t xml:space="preserve">6、磋商文件构成</w:t>
      </w:r>
      <w:bookmarkEnd w:id="15"/>
      <w:r/>
      <w:bookmarkEnd w:id="16"/>
      <w:r/>
      <w:bookmarkEnd w:id="17"/>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6.1 磋商文件由以下部分组成：</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（1）竞争性磋商公告</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（2）供应商须知</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（3）成交标准</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（4）采购需求</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（5）合同草案条款及格式</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（6）响应文件格式</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（7）附件</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请仔细检查磋商文件是否齐全，如有缺漏请立即与采购代理机构联系解决。</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8" w:name="_Toc20823283"/>
      <w:r/>
      <w:bookmarkStart w:id="19" w:name="_Toc513029211"/>
      <w:r/>
      <w:bookmarkStart w:id="20" w:name="_Toc462564070"/>
      <w:r/>
      <w:bookmarkStart w:id="21" w:name="_Toc16938527"/>
      <w:r>
        <w:rPr>
          <w:rFonts w:hint="eastAsia"/>
          <w:b/>
          <w:bCs/>
          <w:color w:val="000000" w:themeColor="text1"/>
          <w:sz w:val="21"/>
          <w:szCs w:val="21"/>
          <w:highlight w:val="none"/>
          <w14:textFill>
            <w14:solidFill>
              <w14:schemeClr w14:val="tx1"/>
            </w14:solidFill>
          </w14:textFill>
        </w:rPr>
        <w:t xml:space="preserve">7、磋商文件的澄清</w:t>
      </w:r>
      <w:bookmarkEnd w:id="18"/>
      <w:r/>
      <w:bookmarkEnd w:id="19"/>
      <w:r/>
      <w:bookmarkEnd w:id="20"/>
      <w:r/>
      <w:bookmarkEnd w:id="21"/>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7.1 任何要求对磋商文件进行澄清的供应商，应在磋商截止期5日前按磋商公告中的通讯地址，以书面形式通知采购代理机构。</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22" w:name="_Toc462564071"/>
      <w:r/>
      <w:bookmarkStart w:id="23" w:name="_Toc513029212"/>
      <w:r/>
      <w:bookmarkStart w:id="24" w:name="_Toc20823284"/>
      <w:r/>
      <w:bookmarkStart w:id="25" w:name="_Toc16938528"/>
      <w:r>
        <w:rPr>
          <w:rFonts w:hint="eastAsia"/>
          <w:b/>
          <w:bCs/>
          <w:color w:val="000000" w:themeColor="text1"/>
          <w:sz w:val="21"/>
          <w:szCs w:val="21"/>
          <w:highlight w:val="none"/>
          <w14:textFill>
            <w14:solidFill>
              <w14:schemeClr w14:val="tx1"/>
            </w14:solidFill>
          </w14:textFill>
        </w:rPr>
        <w:t xml:space="preserve">8、磋商文件的澄清和修改</w:t>
      </w:r>
      <w:bookmarkEnd w:id="22"/>
      <w:r/>
      <w:bookmarkEnd w:id="23"/>
      <w:r/>
      <w:bookmarkEnd w:id="24"/>
      <w:r/>
      <w:bookmarkEnd w:id="25"/>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14:textFill>
            <w14:solidFill>
              <w14:schemeClr w14:val="tx1"/>
            </w14:solidFill>
          </w14:textFill>
        </w:rPr>
        <w:t xml:space="preserve">满足相关文件规定</w:t>
      </w:r>
      <w:r>
        <w:rPr>
          <w:rFonts w:hint="eastAsia"/>
          <w:color w:val="000000" w:themeColor="text1"/>
          <w:sz w:val="21"/>
          <w:szCs w:val="21"/>
          <w:highlight w:val="none"/>
          <w14:textFill>
            <w14:solidFill>
              <w14:schemeClr w14:val="tx1"/>
            </w14:solidFill>
          </w14:textFill>
        </w:rPr>
        <w:t xml:space="preserve">，在“江苏政府采购网、南京公共采购信息网”上发布书面更正公告形式通知所有获取磋商文件的供应商，更正公告内容将作为磋商文件的组成部分，并对供应商具有约束力。</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8.2 采购代理机构可以视采购项目的具体情况，组织供应商进行现场考察或召开磋商前答疑会，但不单独或分别组织只有一个供应商参加的现场考察和答疑会。</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6" w:name="_Toc462564072"/>
      <w:r/>
      <w:bookmarkStart w:id="27" w:name="_Toc120614216"/>
      <w:r/>
      <w:bookmarkStart w:id="28" w:name="_Toc16938529"/>
      <w:r/>
      <w:bookmarkStart w:id="29" w:name="_Toc513029213"/>
      <w:r/>
      <w:bookmarkStart w:id="30" w:name="_Toc20823285"/>
      <w:r>
        <w:rPr>
          <w:rFonts w:hint="eastAsia"/>
          <w:b/>
          <w:bCs/>
          <w:color w:val="000000" w:themeColor="text1"/>
          <w:sz w:val="21"/>
          <w:szCs w:val="21"/>
          <w:highlight w:val="none"/>
          <w14:textFill>
            <w14:solidFill>
              <w14:schemeClr w14:val="tx1"/>
            </w14:solidFill>
          </w14:textFill>
        </w:rPr>
        <w:t xml:space="preserve">三、响应文件的编制</w:t>
      </w:r>
      <w:bookmarkEnd w:id="26"/>
      <w:r/>
      <w:bookmarkEnd w:id="27"/>
      <w:r/>
      <w:bookmarkEnd w:id="28"/>
      <w:r/>
      <w:bookmarkEnd w:id="29"/>
      <w:r/>
      <w:bookmarkEnd w:id="30"/>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31" w:name="_Toc462564073"/>
      <w:r/>
      <w:bookmarkStart w:id="32" w:name="_Toc513029214"/>
      <w:r/>
      <w:bookmarkStart w:id="33" w:name="_Toc20823286"/>
      <w:r/>
      <w:bookmarkStart w:id="34" w:name="_Toc16938530"/>
      <w:r>
        <w:rPr>
          <w:rFonts w:hint="eastAsia"/>
          <w:b/>
          <w:bCs/>
          <w:color w:val="000000" w:themeColor="text1"/>
          <w:sz w:val="21"/>
          <w:szCs w:val="21"/>
          <w:highlight w:val="none"/>
          <w14:textFill>
            <w14:solidFill>
              <w14:schemeClr w14:val="tx1"/>
            </w14:solidFill>
          </w14:textFill>
        </w:rPr>
        <w:t xml:space="preserve">9、</w:t>
      </w:r>
      <w:bookmarkEnd w:id="31"/>
      <w:r/>
      <w:bookmarkEnd w:id="32"/>
      <w:r/>
      <w:bookmarkEnd w:id="33"/>
      <w:r/>
      <w:bookmarkEnd w:id="34"/>
      <w:r>
        <w:rPr>
          <w:rFonts w:hint="eastAsia"/>
          <w:b/>
          <w:bCs/>
          <w:color w:val="000000" w:themeColor="text1"/>
          <w:sz w:val="21"/>
          <w:szCs w:val="21"/>
          <w:highlight w:val="none"/>
          <w14:textFill>
            <w14:solidFill>
              <w14:schemeClr w14:val="tx1"/>
            </w14:solidFill>
          </w14:textFill>
        </w:rPr>
        <w:t xml:space="preserve">响应文件的语言、计量单位、货币和编制</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9.2 供应商所使用的计量单位应为国家法定计量单位。</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9.3 供应商应用人民币报价。报价产品如果是进口产品的，应提供人民币与外币之间的汇率；报价单位为“元”。</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9.4 磋商响应文件应字迹清楚、内容齐全、不得涂改。如有修改，修改处须有供应商公章或投标专用章和法定代表人或其授权磋商代表签字。</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9.5 供应商应在磋商响应文件中写清相应的项目编号、项目名称、供应商全称、地址、电话、传真等。</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35" w:name="_Toc513029215"/>
      <w:r/>
      <w:bookmarkStart w:id="36" w:name="_Toc20823287"/>
      <w:r/>
      <w:bookmarkStart w:id="37" w:name="_Toc462564074"/>
      <w:r/>
      <w:bookmarkStart w:id="38" w:name="_Toc16938531"/>
      <w:r>
        <w:rPr>
          <w:rFonts w:hint="eastAsia"/>
          <w:b/>
          <w:bCs/>
          <w:color w:val="000000" w:themeColor="text1"/>
          <w:sz w:val="21"/>
          <w:szCs w:val="21"/>
          <w:highlight w:val="none"/>
          <w14:textFill>
            <w14:solidFill>
              <w14:schemeClr w14:val="tx1"/>
            </w14:solidFill>
          </w14:textFill>
        </w:rPr>
        <w:t xml:space="preserve">10、响应文件构成</w:t>
      </w:r>
      <w:bookmarkEnd w:id="35"/>
      <w:r/>
      <w:bookmarkEnd w:id="36"/>
      <w:r/>
      <w:bookmarkEnd w:id="37"/>
      <w:r/>
      <w:bookmarkEnd w:id="38"/>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10.3 本次采购的最小单位是包。采购项目的技术要求中未分包的，供应商对要求提供的服务不得部分投标；采购项目的技术要求中已经分包的，可以以包为单位投标。</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磋商申请及声明；</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（2）★法定代表人授权书原件、法定代表人和授权委托人身份证复印件；</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（3）第</w:t>
      </w:r>
      <w:r>
        <w:rPr>
          <w:rFonts w:hint="eastAsia" w:ascii="宋体" w:hAnsi="宋体" w:eastAsia="宋体" w:cs="宋体"/>
          <w:color w:val="000000" w:themeColor="text1"/>
          <w:sz w:val="21"/>
          <w:szCs w:val="21"/>
          <w:highlight w:val="none"/>
          <w14:textFill>
            <w14:solidFill>
              <w14:schemeClr w14:val="tx1"/>
            </w14:solidFill>
          </w14:textFill>
        </w:rPr>
        <w:t xml:space="preserve">一</w:t>
      </w:r>
      <w:r>
        <w:rPr>
          <w:rFonts w:hint="eastAsia" w:ascii="宋体" w:hAnsi="宋体" w:eastAsia="宋体" w:cs="宋体"/>
          <w:color w:val="000000" w:themeColor="text1"/>
          <w:sz w:val="21"/>
          <w:szCs w:val="21"/>
          <w:highlight w:val="none"/>
          <w14:textFill>
            <w14:solidFill>
              <w14:schemeClr w14:val="tx1"/>
            </w14:solidFill>
          </w14:textFill>
        </w:rPr>
        <w:t xml:space="preserve">章《中华人民共和国政府采购法》规定的条件证明文件；</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（4）★第</w:t>
      </w:r>
      <w:r>
        <w:rPr>
          <w:rFonts w:hint="eastAsia" w:ascii="宋体" w:hAnsi="宋体" w:eastAsia="宋体" w:cs="宋体"/>
          <w:color w:val="000000" w:themeColor="text1"/>
          <w:sz w:val="21"/>
          <w:szCs w:val="21"/>
          <w:highlight w:val="none"/>
          <w14:textFill>
            <w14:solidFill>
              <w14:schemeClr w14:val="tx1"/>
            </w14:solidFill>
          </w14:textFill>
        </w:rPr>
        <w:t xml:space="preserve">一</w:t>
      </w:r>
      <w:r>
        <w:rPr>
          <w:rFonts w:hint="eastAsia" w:ascii="宋体" w:hAnsi="宋体" w:eastAsia="宋体" w:cs="宋体"/>
          <w:color w:val="000000" w:themeColor="text1"/>
          <w:sz w:val="21"/>
          <w:szCs w:val="21"/>
          <w:highlight w:val="none"/>
          <w14:textFill>
            <w14:solidFill>
              <w14:schemeClr w14:val="tx1"/>
            </w14:solidFill>
          </w14:textFill>
        </w:rPr>
        <w:t xml:space="preserve">章采购人根据采购项目的特殊要求提出的特定条件证明文件； </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（5）★《磋商报价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汇总</w:t>
      </w:r>
      <w:r>
        <w:rPr>
          <w:rFonts w:hint="eastAsia" w:ascii="宋体" w:hAnsi="宋体" w:eastAsia="宋体" w:cs="宋体"/>
          <w:color w:val="000000" w:themeColor="text1"/>
          <w:sz w:val="21"/>
          <w:szCs w:val="21"/>
          <w:highlight w:val="none"/>
          <w14:textFill>
            <w14:solidFill>
              <w14:schemeClr w14:val="tx1"/>
            </w14:solidFill>
          </w14:textFill>
        </w:rPr>
        <w:t xml:space="preserve">表》</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《磋商分项报价表》；</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（6）★南京市政府采购供应商信用记录表暨信用承诺书；</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）★商务条款偏离表</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w:t>
      </w:r>
      <w:r>
        <w:rPr>
          <w:rFonts w:hint="eastAsia" w:ascii="宋体" w:hAnsi="宋体" w:eastAsia="宋体" w:cs="宋体"/>
          <w:color w:val="000000" w:themeColor="text1"/>
          <w:sz w:val="21"/>
          <w:szCs w:val="21"/>
          <w:highlight w:val="none"/>
          <w14:textFill>
            <w14:solidFill>
              <w14:schemeClr w14:val="tx1"/>
            </w14:solidFill>
          </w14:textFill>
        </w:rPr>
        <w:t xml:space="preserve">条款偏离表</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）★授权委托代理人劳动合同和近三月内供应商企业为其缴纳的任意一个月社保缴纳证明（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 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月）</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中小企业声明函</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14:textFill>
            <w14:solidFill>
              <w14:schemeClr w14:val="tx1"/>
            </w14:solidFill>
          </w14:textFill>
        </w:rPr>
        <w:t xml:space="preserve">）项目参与人员的职称等能力证书复印件；</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）类似</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业绩；</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响应供应商认为需要提供的其他证明文件和商务资料</w:t>
      </w:r>
      <w:r/>
    </w:p>
    <w:p>
      <w:pPr>
        <w:pStyle w:val="914"/>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响应货物如果属于节能产品和环境标志产品，应在响应文件中予以明确标注，并提供相应证书的复印件。否则，磋商评审时不予认可    </w:t>
      </w:r>
      <w:r/>
    </w:p>
    <w:p>
      <w:pPr>
        <w:ind w:firstLine="420"/>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磋商响应文件的价格部分</w:t>
      </w:r>
      <w:r/>
    </w:p>
    <w:p>
      <w:pPr>
        <w:numPr>
          <w:ilvl w:val="0"/>
          <w:numId w:val="2"/>
        </w:num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价格部分是对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价格构成的说明，竞争性磋商文件如没有特别说明的话，对每一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仅接受一个价格。</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（3）供应商应以表格形式详细说明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的价格构成，以及价格构成各项因素的单价和总价。</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低于供应商在磋商响应文件报价的话，除特别注明外，分项报价同比例调整。</w:t>
      </w:r>
      <w:r/>
    </w:p>
    <w:p>
      <w:pPr>
        <w:ind w:firstLine="420"/>
        <w:spacing w:line="360" w:lineRule="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 xml:space="preserve">商根据编制磋商响应文件需要提供的其他相关文件组成。</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39" w:name="_Toc513029219"/>
      <w:r/>
      <w:bookmarkStart w:id="40" w:name="_Toc14577355"/>
      <w:r/>
      <w:bookmarkStart w:id="41" w:name="_Toc49090509"/>
      <w:r/>
      <w:bookmarkStart w:id="42" w:name="_Toc14577354"/>
      <w:r/>
      <w:bookmarkStart w:id="43" w:name="_Toc14577357"/>
      <w:r/>
      <w:bookmarkStart w:id="44" w:name="_Toc49090507"/>
      <w:r/>
      <w:bookmarkStart w:id="45" w:name="_Toc49090508"/>
      <w:r/>
      <w:bookmarkStart w:id="46" w:name="_Toc513029216"/>
      <w:r/>
      <w:bookmarkStart w:id="47" w:name="_Hlt26668975"/>
      <w:r/>
      <w:bookmarkStart w:id="48" w:name="_Hlt26670360"/>
      <w:r/>
      <w:bookmarkStart w:id="49" w:name="_Hlt26954838"/>
      <w:r>
        <w:rPr>
          <w:rFonts w:hint="eastAsia"/>
          <w:b/>
          <w:bCs/>
          <w:color w:val="000000" w:themeColor="text1"/>
          <w:sz w:val="21"/>
          <w:szCs w:val="21"/>
          <w:highlight w:val="none"/>
          <w14:textFill>
            <w14:solidFill>
              <w14:schemeClr w14:val="tx1"/>
            </w14:solidFill>
          </w14:textFill>
        </w:rPr>
        <w:t xml:space="preserve">11、证明磋商响应标的符合磋商文件规定的文件</w:t>
      </w:r>
      <w:bookmarkEnd w:id="39"/>
      <w:r/>
      <w:bookmarkEnd w:id="40"/>
      <w:r/>
      <w:bookmarkEnd w:id="41"/>
      <w:r/>
      <w:bookmarkEnd w:id="42"/>
      <w:r/>
      <w:bookmarkEnd w:id="43"/>
      <w:r/>
      <w:bookmarkEnd w:id="44"/>
      <w:r/>
      <w:bookmarkEnd w:id="45"/>
      <w:r/>
      <w:bookmarkEnd w:id="46"/>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11.1 供应商应按照磋商文件要求提交证明文件，证明其及磋商响应标的符合磋商文件规定。</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11.2 磋商文件对证明文件无明确形式要求的，证明文件可以以文字资料、图纸和数据等形式提交。</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12、分项报价表</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12.1 供应商应填报分项报价表。</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12.2 磋商货币。响应文件中的单价和总价无特殊规定的采用人民币报价，以元为单位标注。磋商文件中另有规定的按规定执行。</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0" w:name="_Hlt26954846"/>
      <w:r/>
      <w:bookmarkStart w:id="51" w:name="_Hlt26954848"/>
      <w:r/>
      <w:bookmarkStart w:id="52" w:name="_Hlt26670482"/>
      <w:r/>
      <w:bookmarkStart w:id="53" w:name="_Hlt26954731"/>
      <w:r/>
      <w:bookmarkStart w:id="54" w:name="_Hlt26670486"/>
      <w:r>
        <w:rPr>
          <w:rFonts w:hint="eastAsia"/>
          <w:b/>
          <w:bCs/>
          <w:color w:val="000000" w:themeColor="text1"/>
          <w:sz w:val="21"/>
          <w:szCs w:val="21"/>
          <w:highlight w:val="none"/>
          <w14:textFill>
            <w14:solidFill>
              <w14:schemeClr w14:val="tx1"/>
            </w14:solidFill>
          </w14:textFill>
        </w:rPr>
        <w:t xml:space="preserve">13、技术要求响应及偏离表、商务要求响应及偏离表</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13.1 供应商需对磋商文件中的技术要求与商务要求逐项作出响应或偏离。</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13.2 供应商可在响应文件中提供认为需要的其他技术文件或说明。</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5" w:name="_Toc49090510"/>
      <w:r/>
      <w:bookmarkStart w:id="56" w:name="_Toc14577359"/>
      <w:r>
        <w:rPr>
          <w:rFonts w:hint="eastAsia"/>
          <w:b/>
          <w:bCs/>
          <w:color w:val="000000" w:themeColor="text1"/>
          <w:sz w:val="21"/>
          <w:szCs w:val="21"/>
          <w:highlight w:val="none"/>
          <w14:textFill>
            <w14:solidFill>
              <w14:schemeClr w14:val="tx1"/>
            </w14:solidFill>
          </w14:textFill>
        </w:rPr>
        <w:t xml:space="preserve">14、</w:t>
      </w:r>
      <w:bookmarkEnd w:id="55"/>
      <w:r/>
      <w:bookmarkEnd w:id="56"/>
      <w:r>
        <w:rPr>
          <w:rFonts w:hint="eastAsia"/>
          <w:b/>
          <w:bCs/>
          <w:color w:val="000000" w:themeColor="text1"/>
          <w:sz w:val="21"/>
          <w:szCs w:val="21"/>
          <w:highlight w:val="none"/>
          <w14:textFill>
            <w14:solidFill>
              <w14:schemeClr w14:val="tx1"/>
            </w14:solidFill>
          </w14:textFill>
        </w:rPr>
        <w:t xml:space="preserve">竞争性磋商申请及声明</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14.1 供应商应按照磋商文件中提供的格式完整、正确填写竞争性磋商申请及声明。</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57" w:name="_Toc14577360"/>
      <w:r/>
      <w:bookmarkStart w:id="58" w:name="_Toc49090511"/>
      <w:r>
        <w:rPr>
          <w:rFonts w:hint="eastAsia"/>
          <w:b/>
          <w:bCs/>
          <w:color w:val="000000" w:themeColor="text1"/>
          <w:sz w:val="21"/>
          <w:szCs w:val="21"/>
          <w:highlight w:val="none"/>
          <w14:textFill>
            <w14:solidFill>
              <w14:schemeClr w14:val="tx1"/>
            </w14:solidFill>
          </w14:textFill>
        </w:rPr>
        <w:t xml:space="preserve">15、磋商有效期</w:t>
      </w:r>
      <w:bookmarkEnd w:id="57"/>
      <w:r/>
      <w:bookmarkEnd w:id="58"/>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15.1 磋商有效期为采购代理机构规定的提交响应文件截止之日后</w:t>
      </w:r>
      <w:r>
        <w:rPr>
          <w:rFonts w:hint="eastAsia"/>
          <w:b/>
          <w:bCs/>
          <w:color w:val="000000" w:themeColor="text1"/>
          <w:sz w:val="21"/>
          <w:szCs w:val="21"/>
          <w:highlight w:val="none"/>
          <w:u w:val="single"/>
          <w14:textFill>
            <w14:solidFill>
              <w14:schemeClr w14:val="tx1"/>
            </w14:solidFill>
          </w14:textFill>
        </w:rPr>
        <w:t xml:space="preserve">六十（60）天</w:t>
      </w:r>
      <w:r>
        <w:rPr>
          <w:rFonts w:hint="eastAsia"/>
          <w:color w:val="000000" w:themeColor="text1"/>
          <w:sz w:val="21"/>
          <w:szCs w:val="21"/>
          <w:highlight w:val="none"/>
          <w14:textFill>
            <w14:solidFill>
              <w14:schemeClr w14:val="tx1"/>
            </w14:solidFill>
          </w14:textFill>
        </w:rPr>
        <w:t xml:space="preserve">。磋商有效期比规定短的将被视为非实质性响应磋商文件而予以拒绝。</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16、磋商有效期的延长</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9" w:name="_Toc513029224"/>
      <w:r/>
      <w:bookmarkStart w:id="60" w:name="_Toc16938540"/>
      <w:r/>
      <w:bookmarkStart w:id="61" w:name="_Toc20823296"/>
      <w:r/>
      <w:bookmarkStart w:id="62" w:name="_Toc120614217"/>
      <w:r/>
      <w:bookmarkStart w:id="63" w:name="_Hlt26954852"/>
      <w:r/>
      <w:bookmarkStart w:id="64" w:name="_Hlt26954739"/>
      <w:r>
        <w:rPr>
          <w:rFonts w:hint="eastAsia"/>
          <w:b/>
          <w:bCs/>
          <w:color w:val="000000" w:themeColor="text1"/>
          <w:sz w:val="21"/>
          <w:szCs w:val="21"/>
          <w:highlight w:val="none"/>
          <w14:textFill>
            <w14:solidFill>
              <w14:schemeClr w14:val="tx1"/>
            </w14:solidFill>
          </w14:textFill>
        </w:rPr>
        <w:t xml:space="preserve">四、响应文件的递交</w:t>
      </w:r>
      <w:bookmarkEnd w:id="59"/>
      <w:r/>
      <w:bookmarkEnd w:id="60"/>
      <w:r/>
      <w:bookmarkEnd w:id="61"/>
      <w:r/>
      <w:bookmarkEnd w:id="62"/>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65" w:name="_Toc16938541"/>
      <w:r/>
      <w:bookmarkStart w:id="66" w:name="_Toc462564084"/>
      <w:r/>
      <w:bookmarkStart w:id="67" w:name="_Toc20823297"/>
      <w:r/>
      <w:bookmarkStart w:id="68" w:name="_Toc513029225"/>
      <w:r>
        <w:rPr>
          <w:rFonts w:hint="eastAsia"/>
          <w:b/>
          <w:bCs/>
          <w:color w:val="000000" w:themeColor="text1"/>
          <w:sz w:val="21"/>
          <w:szCs w:val="21"/>
          <w:highlight w:val="none"/>
          <w14:textFill>
            <w14:solidFill>
              <w14:schemeClr w14:val="tx1"/>
            </w14:solidFill>
          </w14:textFill>
        </w:rPr>
        <w:t xml:space="preserve">17、电子磋商</w:t>
      </w:r>
      <w:bookmarkEnd w:id="65"/>
      <w:r/>
      <w:bookmarkEnd w:id="66"/>
      <w:r/>
      <w:bookmarkEnd w:id="67"/>
      <w:r/>
      <w:bookmarkEnd w:id="68"/>
      <w:r>
        <w:rPr>
          <w:rFonts w:hint="eastAsia"/>
          <w:b/>
          <w:bCs/>
          <w:color w:val="000000" w:themeColor="text1"/>
          <w:sz w:val="21"/>
          <w:szCs w:val="21"/>
          <w:highlight w:val="none"/>
          <w14:textFill>
            <w14:solidFill>
              <w14:schemeClr w14:val="tx1"/>
            </w14:solidFill>
          </w14:textFill>
        </w:rPr>
        <w:t xml:space="preserve">响应文件的递交</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 xml:space="preserve">响应文件应加盖</w:t>
      </w:r>
      <w:r>
        <w:rPr>
          <w:rFonts w:hint="eastAsia"/>
          <w:color w:val="000000" w:themeColor="text1"/>
          <w:sz w:val="21"/>
          <w:szCs w:val="21"/>
          <w:highlight w:val="none"/>
          <w14:textFill>
            <w14:solidFill>
              <w14:schemeClr w14:val="tx1"/>
            </w14:solidFill>
          </w14:textFill>
        </w:rPr>
        <w:t xml:space="preserve">投标供应商</w:t>
      </w:r>
      <w:r>
        <w:rPr>
          <w:rFonts w:hint="eastAsia"/>
          <w:color w:val="000000" w:themeColor="text1"/>
          <w:sz w:val="21"/>
          <w:szCs w:val="21"/>
          <w:highlight w:val="none"/>
          <w:lang w:val="zh-CN"/>
          <w14:textFill>
            <w14:solidFill>
              <w14:schemeClr w14:val="tx1"/>
            </w14:solidFill>
          </w14:textFill>
        </w:rPr>
        <w:t xml:space="preserve">公章。</w:t>
      </w:r>
      <w:r>
        <w:rPr>
          <w:rFonts w:hint="eastAsia"/>
          <w:color w:val="000000" w:themeColor="text1"/>
          <w:sz w:val="21"/>
          <w:szCs w:val="21"/>
          <w:highlight w:val="none"/>
          <w14:textFill>
            <w14:solidFill>
              <w14:schemeClr w14:val="tx1"/>
            </w14:solidFill>
          </w14:textFill>
        </w:rPr>
        <w:t xml:space="preserve">磋商文件中注明须签字的地方应由供应商的法定代表人或委托代理人签字，如为委托代理人签字的应附“法定代表人授权委托书”。</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17.2 供应商应当按照《操作手册》规定，在提交响应文件截止时间前制作并上传电子响应文件。</w:t>
      </w:r>
      <w:bookmarkStart w:id="69" w:name="_Toc16938542"/>
      <w:r/>
      <w:bookmarkEnd w:id="69"/>
      <w:r/>
      <w:bookmarkStart w:id="70" w:name="_Toc20823298"/>
      <w:r/>
      <w:bookmarkEnd w:id="70"/>
      <w:r/>
      <w:bookmarkStart w:id="71" w:name="_Toc513029226"/>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18、提交响应文件截止时间</w:t>
      </w:r>
      <w:r/>
    </w:p>
    <w:p>
      <w:pPr>
        <w:pStyle w:val="914"/>
        <w:ind w:firstLine="420"/>
        <w:jc w:val="both"/>
        <w:spacing w:before="0" w:beforeAutospacing="0" w:after="0" w:afterAutospacing="0" w:line="360" w:lineRule="auto"/>
        <w:widowControl w:val="off"/>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18.1 供应商上传电子响应文件的时间不得迟于磋商公告中规定的提交响应文件截止时间。</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 xml:space="preserve">25.3.2</w:t>
      </w:r>
      <w:r>
        <w:rPr>
          <w:rFonts w:hint="eastAsia"/>
          <w:color w:val="000000" w:themeColor="text1"/>
          <w:sz w:val="21"/>
          <w:szCs w:val="21"/>
          <w:highlight w:val="none"/>
          <w14:textFill>
            <w14:solidFill>
              <w14:schemeClr w14:val="tx1"/>
            </w14:solidFill>
          </w14:textFill>
        </w:rPr>
        <w:t xml:space="preserve">条规定做无效响应处理。</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72" w:name="_Toc513029227"/>
      <w:r/>
      <w:bookmarkStart w:id="73" w:name="_Toc20823299"/>
      <w:r/>
      <w:bookmarkStart w:id="74" w:name="_Toc16938543"/>
      <w:r>
        <w:rPr>
          <w:rFonts w:hint="eastAsia"/>
          <w:b/>
          <w:bCs/>
          <w:color w:val="000000" w:themeColor="text1"/>
          <w:sz w:val="21"/>
          <w:szCs w:val="21"/>
          <w:highlight w:val="none"/>
          <w14:textFill>
            <w14:solidFill>
              <w14:schemeClr w14:val="tx1"/>
            </w14:solidFill>
          </w14:textFill>
        </w:rPr>
        <w:t xml:space="preserve">19、响应文件</w:t>
      </w:r>
      <w:bookmarkEnd w:id="72"/>
      <w:r/>
      <w:bookmarkEnd w:id="73"/>
      <w:r/>
      <w:bookmarkEnd w:id="74"/>
      <w:r>
        <w:rPr>
          <w:rFonts w:hint="eastAsia"/>
          <w:b/>
          <w:bCs/>
          <w:color w:val="000000" w:themeColor="text1"/>
          <w:sz w:val="21"/>
          <w:szCs w:val="21"/>
          <w:highlight w:val="none"/>
          <w14:textFill>
            <w14:solidFill>
              <w14:schemeClr w14:val="tx1"/>
            </w14:solidFill>
          </w14:textFill>
        </w:rPr>
        <w:t xml:space="preserve">的拒收</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19.1 采购代理机构拒绝接收在其规定的提交响应文件截止时间后上传的任何电子响应文件。</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5" w:name="_Toc20823300"/>
      <w:r/>
      <w:bookmarkStart w:id="76" w:name="_Toc16938544"/>
      <w:r/>
      <w:bookmarkStart w:id="77" w:name="_Toc513029228"/>
      <w:r>
        <w:rPr>
          <w:rFonts w:hint="eastAsia"/>
          <w:b/>
          <w:bCs/>
          <w:color w:val="000000" w:themeColor="text1"/>
          <w:sz w:val="21"/>
          <w:szCs w:val="21"/>
          <w:highlight w:val="none"/>
          <w14:textFill>
            <w14:solidFill>
              <w14:schemeClr w14:val="tx1"/>
            </w14:solidFill>
          </w14:textFill>
        </w:rPr>
        <w:t xml:space="preserve">20、响应文件的撤回和修改</w:t>
      </w:r>
      <w:bookmarkEnd w:id="75"/>
      <w:r/>
      <w:bookmarkEnd w:id="76"/>
      <w:r/>
      <w:bookmarkEnd w:id="77"/>
      <w:r/>
      <w:r/>
    </w:p>
    <w:p>
      <w:pPr>
        <w:pStyle w:val="914"/>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20.1响应文件的撤回</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20.1.1 电子响应文件的撤回</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供应商可在提交响应文件截止时间前，撤回其电子响应文件，具体操作方法见《操作手册》。</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20.1.2 供应商撤回电子响应文件，则认为其不再参与本项目磋商活动。</w:t>
      </w:r>
      <w:r/>
    </w:p>
    <w:p>
      <w:pPr>
        <w:pStyle w:val="914"/>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20.2响应文件的修改</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20.2.1 供应商可在提交响应文件截止时间前，对其电子响应文件进行修改，具体操作方法见《操作手册》。</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20.2.2 在提交响应文件截止时间之后，供应商不得对其电子响应文件作任何修改。</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20.2.3 在提交响应文件截止时间至磋商文件中规定的磋商有效期满之间的这段时间内，供应商不得撤回其响应文件。</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8" w:name="_Toc20823301"/>
      <w:r/>
      <w:bookmarkStart w:id="79" w:name="_Toc513029229"/>
      <w:r/>
      <w:bookmarkStart w:id="80" w:name="_Toc16938545"/>
      <w:r/>
      <w:bookmarkStart w:id="81" w:name="_Toc120614218"/>
      <w:r>
        <w:rPr>
          <w:rFonts w:hint="eastAsia"/>
          <w:b/>
          <w:bCs/>
          <w:color w:val="000000" w:themeColor="text1"/>
          <w:sz w:val="21"/>
          <w:szCs w:val="21"/>
          <w:highlight w:val="none"/>
          <w14:textFill>
            <w14:solidFill>
              <w14:schemeClr w14:val="tx1"/>
            </w14:solidFill>
          </w14:textFill>
        </w:rPr>
        <w:t xml:space="preserve">五、响应文件的解密与评审</w:t>
      </w:r>
      <w:bookmarkEnd w:id="78"/>
      <w:r/>
      <w:bookmarkEnd w:id="79"/>
      <w:r/>
      <w:bookmarkEnd w:id="80"/>
      <w:r/>
      <w:bookmarkEnd w:id="81"/>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82" w:name="_Toc513029230"/>
      <w:r/>
      <w:bookmarkStart w:id="83" w:name="_Toc20823302"/>
      <w:r/>
      <w:bookmarkStart w:id="84" w:name="_Toc16938546"/>
      <w:r>
        <w:rPr>
          <w:rFonts w:hint="eastAsia"/>
          <w:b/>
          <w:bCs/>
          <w:color w:val="000000" w:themeColor="text1"/>
          <w:sz w:val="21"/>
          <w:szCs w:val="21"/>
          <w:highlight w:val="none"/>
          <w14:textFill>
            <w14:solidFill>
              <w14:schemeClr w14:val="tx1"/>
            </w14:solidFill>
          </w14:textFill>
        </w:rPr>
        <w:t xml:space="preserve">21、</w:t>
      </w:r>
      <w:bookmarkEnd w:id="82"/>
      <w:r/>
      <w:bookmarkEnd w:id="83"/>
      <w:r/>
      <w:bookmarkEnd w:id="84"/>
      <w:r>
        <w:rPr>
          <w:rFonts w:hint="eastAsia"/>
          <w:b/>
          <w:bCs/>
          <w:color w:val="000000" w:themeColor="text1"/>
          <w:sz w:val="21"/>
          <w:szCs w:val="21"/>
          <w:highlight w:val="none"/>
          <w14:textFill>
            <w14:solidFill>
              <w14:schemeClr w14:val="tx1"/>
            </w14:solidFill>
          </w14:textFill>
        </w:rPr>
        <w:t xml:space="preserve">响应文件解密</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21.1 供应商应当按照《操作手册》规定，在苏采云系统规定的时间内对磋商响应文件进行解密。</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85" w:name="_Toc16938547"/>
      <w:r/>
      <w:bookmarkStart w:id="86" w:name="_Toc20823303"/>
      <w:r/>
      <w:bookmarkStart w:id="87" w:name="_Toc513029231"/>
      <w:r>
        <w:rPr>
          <w:rFonts w:hint="eastAsia"/>
          <w:b/>
          <w:bCs/>
          <w:color w:val="000000" w:themeColor="text1"/>
          <w:sz w:val="21"/>
          <w:szCs w:val="21"/>
          <w:highlight w:val="none"/>
          <w14:textFill>
            <w14:solidFill>
              <w14:schemeClr w14:val="tx1"/>
            </w14:solidFill>
          </w14:textFill>
        </w:rPr>
        <w:t xml:space="preserve">22、磋商小组</w:t>
      </w:r>
      <w:bookmarkEnd w:id="85"/>
      <w:r/>
      <w:bookmarkEnd w:id="86"/>
      <w:r/>
      <w:bookmarkEnd w:id="87"/>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22.1 采购代理机构将组织磋商小组对响应文件进行评审。磋商小组由采购人代表和有关技术、经济等方面的专家组成，且人员构成符合政府采购有关规定。</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22.2 磋商小组独立工作，负责评审所有响应文件并确定成交侯选人。</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23、评审过程的保密与公正</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 磋商小组、采购人和采购代理机构工作人员、相关监督人员等与评审工作有关的人员，对评审情况以及在评审过程中获悉的国家秘密、商业秘密负有保密责任。</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23.2 在评审过程中，供应商不得以任何行为影响磋商评审过程，否则其响应文件将被作为无效响应文件。</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23.3 在项目评审期间，采购代理机构将设专门人员与供应商联系。</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23.4 采购代理机构和磋商小组不向未成交的供应商解释未成交原因，也不公布评审过程中的相关细节。</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88" w:name="_Toc20823304"/>
      <w:r/>
      <w:bookmarkStart w:id="89" w:name="_Toc16938548"/>
      <w:r/>
      <w:bookmarkStart w:id="90" w:name="_Toc513029232"/>
      <w:r>
        <w:rPr>
          <w:rFonts w:hint="eastAsia"/>
          <w:b/>
          <w:bCs/>
          <w:color w:val="000000" w:themeColor="text1"/>
          <w:sz w:val="21"/>
          <w:szCs w:val="21"/>
          <w:highlight w:val="none"/>
          <w14:textFill>
            <w14:solidFill>
              <w14:schemeClr w14:val="tx1"/>
            </w14:solidFill>
          </w14:textFill>
        </w:rPr>
        <w:t xml:space="preserve">24、评审过程中的的澄清</w:t>
      </w:r>
      <w:bookmarkEnd w:id="88"/>
      <w:r/>
      <w:bookmarkEnd w:id="89"/>
      <w:r/>
      <w:bookmarkEnd w:id="90"/>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磋商小组并非对每个供应商都作澄清要求。</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24.3 接到磋商小组澄清、说明和更正要求的供应商如未按规定做出澄清、说明和更正，其风险由供应商自行承担。</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91" w:name="_Toc513029233"/>
      <w:r/>
      <w:bookmarkStart w:id="92" w:name="_Toc20823305"/>
      <w:r/>
      <w:bookmarkStart w:id="93" w:name="_Toc16938549"/>
      <w:r>
        <w:rPr>
          <w:rFonts w:hint="eastAsia"/>
          <w:b/>
          <w:bCs/>
          <w:color w:val="000000" w:themeColor="text1"/>
          <w:sz w:val="21"/>
          <w:szCs w:val="21"/>
          <w:highlight w:val="none"/>
          <w14:textFill>
            <w14:solidFill>
              <w14:schemeClr w14:val="tx1"/>
            </w14:solidFill>
          </w14:textFill>
        </w:rPr>
        <w:t xml:space="preserve">25、对响应文件的审</w:t>
      </w:r>
      <w:bookmarkEnd w:id="91"/>
      <w:r/>
      <w:bookmarkEnd w:id="92"/>
      <w:r/>
      <w:bookmarkEnd w:id="93"/>
      <w:r>
        <w:rPr>
          <w:rFonts w:hint="eastAsia"/>
          <w:b/>
          <w:bCs/>
          <w:color w:val="000000" w:themeColor="text1"/>
          <w:sz w:val="21"/>
          <w:szCs w:val="21"/>
          <w:highlight w:val="none"/>
          <w14:textFill>
            <w14:solidFill>
              <w14:schemeClr w14:val="tx1"/>
            </w14:solidFill>
          </w14:textFill>
        </w:rPr>
        <w:t xml:space="preserve">查</w:t>
      </w:r>
      <w:r/>
    </w:p>
    <w:p>
      <w:pPr>
        <w:pStyle w:val="914"/>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25.1 响应文件审查分为资格审查和符合性审查。</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磋商小组在进行资格审查的同时，将在“信用中国”网站（www.creditchina.gov.cn）、“中国政府采购网"(www.ccgp.gov.cn)查询供应商的信用记录，以确定供应商是否具备磋商资格，查询结果留存并归档。</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14"/>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25.3 未实质性响应磋商文件的情形</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25.3.1 供应商在苏采云系统规定的时间内未成功解密电子响应文件的。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25.3.2 供应商未按照磋商文件要求上传电子响应文件的。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25.3.3 同一供应商提交两个（含两个）以上不同的响应文件或者最后报价的。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25.3.4 供应商不具备磋商文件中规定资格要求的。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25.3.5 供应商的投标报价超过了最高投标限价。</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 xml:space="preserve">（本竞争性磋商文件中带星号“★”等内容为实质性要求和条件）。</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25.3.8 响应文件含有采购人不能接受的附加条件的。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25.3.9 响应文件未按照磋商文件要求加盖CA电子公章或签字的。</w:t>
      </w:r>
      <w:r/>
    </w:p>
    <w:p>
      <w:pPr>
        <w:pStyle w:val="914"/>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  无效响应的情形</w:t>
      </w:r>
      <w:r/>
    </w:p>
    <w:p>
      <w:pPr>
        <w:pStyle w:val="914"/>
        <w:ind w:firstLine="422"/>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914"/>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25.4.2 未实质性响应磋商文件的响应文件按无效响应处理。</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（5）不同供应商的MAC地址一致的。</w:t>
      </w:r>
      <w:r/>
    </w:p>
    <w:p>
      <w:pPr>
        <w:pStyle w:val="914"/>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25.5 如果响应文件实质上没有响应磋商文件的要求，磋商小组将予以拒绝，供应商不得通过修改或撤销不合要求的偏离或保留而使其成为实质性响应的文件。</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4" w:name="_Toc513029234"/>
      <w:r/>
      <w:bookmarkStart w:id="95" w:name="_Toc16938550"/>
      <w:r/>
      <w:bookmarkStart w:id="96" w:name="_Toc20823306"/>
      <w:r>
        <w:rPr>
          <w:rFonts w:hint="eastAsia"/>
          <w:color w:val="000000" w:themeColor="text1"/>
          <w:sz w:val="21"/>
          <w:szCs w:val="21"/>
          <w:highlight w:val="none"/>
          <w14:textFill>
            <w14:solidFill>
              <w14:schemeClr w14:val="tx1"/>
            </w14:solidFill>
          </w14:textFill>
        </w:rPr>
        <w:t xml:space="preserve">25.6 供应商在项目评审全过程中应保持通讯畅通，并安排专人与采购代理机构及磋商小组联系。</w:t>
      </w:r>
      <w:bookmarkEnd w:id="94"/>
      <w:r/>
      <w:bookmarkEnd w:id="95"/>
      <w:r/>
      <w:bookmarkEnd w:id="96"/>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26、磋商程序及评审方法和评审标准</w:t>
      </w:r>
      <w:r/>
    </w:p>
    <w:p>
      <w:pPr>
        <w:pStyle w:val="914"/>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26.1 磋商程序</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最后报价</w:t>
      </w:r>
      <w:r>
        <w:rPr>
          <w:rFonts w:hint="eastAsia"/>
          <w:color w:val="000000" w:themeColor="text1"/>
          <w:sz w:val="21"/>
          <w:szCs w:val="21"/>
          <w:highlight w:val="none"/>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14"/>
        <w:ind w:firstLine="422"/>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26.2  评审方法和评审标准</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26.2.2 评审标准</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见本磋商文件第三章规定。</w:t>
      </w:r>
      <w:r/>
    </w:p>
    <w:p>
      <w:pPr>
        <w:pStyle w:val="914"/>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26.3 采购活动终止的情况</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出现下列情形之一的，本次竞争性磋商采购活动将被终止：</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26.3.1 因情况变化，不再符合规定的竞争性磋商采购方式适用情形的。</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26.3.2 出现影响采购公正的违法、违规行为的。</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26.3.3 除本磋商文件第二章第26.1.2条第三款规定的情形外，在采购过程中符合要求的供应商或者最后报价未超过采购预算的供应商不足3家的。</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26.3.4 在苏采云系统规定时间内成功解密电子响应文件的供应商不足3家的。</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7" w:name="_Toc120614219"/>
      <w:r/>
      <w:bookmarkStart w:id="98" w:name="_Toc16938551"/>
      <w:r/>
      <w:bookmarkStart w:id="99" w:name="_Toc513029235"/>
      <w:r/>
      <w:bookmarkStart w:id="100" w:name="_Toc20823307"/>
      <w:r>
        <w:rPr>
          <w:rFonts w:hint="eastAsia"/>
          <w:b/>
          <w:bCs/>
          <w:color w:val="000000" w:themeColor="text1"/>
          <w:sz w:val="21"/>
          <w:szCs w:val="21"/>
          <w:highlight w:val="none"/>
          <w14:textFill>
            <w14:solidFill>
              <w14:schemeClr w14:val="tx1"/>
            </w14:solidFill>
          </w14:textFill>
        </w:rPr>
        <w:t xml:space="preserve">六、</w:t>
      </w:r>
      <w:bookmarkEnd w:id="97"/>
      <w:r/>
      <w:bookmarkEnd w:id="98"/>
      <w:r/>
      <w:bookmarkEnd w:id="99"/>
      <w:r/>
      <w:bookmarkEnd w:id="100"/>
      <w:r>
        <w:rPr>
          <w:rFonts w:hint="eastAsia"/>
          <w:b/>
          <w:bCs/>
          <w:color w:val="000000" w:themeColor="text1"/>
          <w:sz w:val="21"/>
          <w:szCs w:val="21"/>
          <w:highlight w:val="none"/>
          <w14:textFill>
            <w14:solidFill>
              <w14:schemeClr w14:val="tx1"/>
            </w14:solidFill>
          </w14:textFill>
        </w:rPr>
        <w:t xml:space="preserve">成交</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1" w:name="_Toc20823310"/>
      <w:r/>
      <w:bookmarkStart w:id="102" w:name="_Toc513029238"/>
      <w:r/>
      <w:bookmarkStart w:id="103" w:name="_Toc16938554"/>
      <w:r>
        <w:rPr>
          <w:rFonts w:hint="eastAsia"/>
          <w:b/>
          <w:bCs/>
          <w:color w:val="000000" w:themeColor="text1"/>
          <w:sz w:val="21"/>
          <w:szCs w:val="21"/>
          <w:highlight w:val="none"/>
          <w14:textFill>
            <w14:solidFill>
              <w14:schemeClr w14:val="tx1"/>
            </w14:solidFill>
          </w14:textFill>
        </w:rPr>
        <w:t xml:space="preserve">27、</w:t>
      </w:r>
      <w:bookmarkEnd w:id="101"/>
      <w:r>
        <w:rPr>
          <w:rFonts w:hint="eastAsia"/>
          <w:b/>
          <w:bCs/>
          <w:color w:val="000000" w:themeColor="text1"/>
          <w:sz w:val="21"/>
          <w:szCs w:val="21"/>
          <w:highlight w:val="none"/>
          <w14:textFill>
            <w14:solidFill>
              <w14:schemeClr w14:val="tx1"/>
            </w14:solidFill>
          </w14:textFill>
        </w:rPr>
        <w:t xml:space="preserve">确定</w:t>
      </w:r>
      <w:bookmarkEnd w:id="102"/>
      <w:r/>
      <w:bookmarkEnd w:id="103"/>
      <w:r>
        <w:rPr>
          <w:rFonts w:hint="eastAsia"/>
          <w:b/>
          <w:bCs/>
          <w:color w:val="000000" w:themeColor="text1"/>
          <w:sz w:val="21"/>
          <w:szCs w:val="21"/>
          <w:highlight w:val="none"/>
          <w14:textFill>
            <w14:solidFill>
              <w14:schemeClr w14:val="tx1"/>
            </w14:solidFill>
          </w14:textFill>
        </w:rPr>
        <w:t xml:space="preserve">成交单位</w:t>
      </w:r>
      <w:r/>
    </w:p>
    <w:p>
      <w:pPr>
        <w:pStyle w:val="914"/>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27.2 按以下第（2）种方式确定成交供应商；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27.3 确定成交供应商后，采购代理机构将在“江苏政府采购网、南京公共采购信息网”发布成交结果公告，公告期限为1个工作日。</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 若有充分证据证明，成交供应商出现下列情况之一的，一经查实，将被取消成交资格：</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27.4.1 提供虚假材料谋取成交的。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27.4.2 与评审专家、采购人、其他供应商或者采购代理机构工作人员恶意串通的。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27.4.3 向评审专家、采购人或采购代理机构工作人员行贿或者提供其他不正当利益的。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27.4.4 恶意竞争，最后报价明显低于其自身合理成本且又无法提供证明的。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27.4.5 不满足本磋商文件规定的实质性要求，但在评审过程中又未被磋商小组发现的。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27.4.6 成交后无正当理由拒不与采购人签订政府采购合同或者未按照磋商文件确定的事项签订政府采购合同的。</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27.4.7 将政府采购合同转包的。</w:t>
      </w:r>
      <w:bookmarkStart w:id="104" w:name="_Toc200451960"/>
      <w:r/>
      <w:r/>
    </w:p>
    <w:p>
      <w:pPr>
        <w:pStyle w:val="914"/>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w:t>
      </w:r>
      <w:bookmarkEnd w:id="104"/>
      <w:r>
        <w:rPr>
          <w:b/>
          <w:bCs/>
          <w:color w:val="000000" w:themeColor="text1"/>
          <w:sz w:val="21"/>
          <w:szCs w:val="21"/>
          <w:highlight w:val="none"/>
          <w14:textFill>
            <w14:solidFill>
              <w14:schemeClr w14:val="tx1"/>
            </w14:solidFill>
          </w14:textFill>
        </w:rPr>
        <w:t xml:space="preserve">询问、质疑、投诉和诚实信用</w:t>
      </w:r>
      <w:r/>
    </w:p>
    <w:p>
      <w:pPr>
        <w:pStyle w:val="914"/>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28.1 询问</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914"/>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28.2 质疑</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28.2.1 提出质疑的供应商应当是参与所质疑项目采购活动的供应商。潜在供应商依法获取其可质疑的采购文件的，可以对采购文件提出质疑。</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（1）对可以质疑的采购文件提出质疑的，为收到采购文件之日或者采购文件公告期限届满之日。</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（2）对采购过程提出质疑的，为各采购程序环节结束之日。</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（3）对成交结果提出质疑的，为成交结果公告期限届满之日。</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质疑文件应包括以下主要内容：</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（1）质疑供应商的姓名或者名称、地址、邮编、联系人及联系电话；</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（2）质疑项目的名称、编号、公告发布时间、磋商时间；</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（3）具体、明确的质疑事项和与质疑事项相关的请求；</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（4）事实依据；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（5）必要的法律依据；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（6）提出质疑的日期；</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28.2.5 供应商（含潜在供应商）对与本项目有关的所有询问、质疑均请向采购代理机构提出，由采购代理机构负责答复。</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28.2.6 采购代理机构只接收以纸质原件形式送达的质疑。</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采购代理机构质疑接收部门为</w:t>
      </w:r>
      <w:r>
        <w:rPr>
          <w:rFonts w:hint="eastAsia"/>
          <w:color w:val="000000" w:themeColor="text1"/>
          <w:sz w:val="21"/>
          <w:szCs w:val="21"/>
          <w:highlight w:val="none"/>
          <w:lang w:eastAsia="zh-CN"/>
          <w14:textFill>
            <w14:solidFill>
              <w14:schemeClr w14:val="tx1"/>
            </w14:solidFill>
          </w14:textFill>
        </w:rPr>
        <w:t xml:space="preserve">南京富弘工程项目管理有限公司</w:t>
      </w:r>
      <w:r>
        <w:rPr>
          <w:rFonts w:hint="eastAsia"/>
          <w:color w:val="000000" w:themeColor="text1"/>
          <w:sz w:val="21"/>
          <w:szCs w:val="21"/>
          <w:highlight w:val="none"/>
          <w14:textFill>
            <w14:solidFill>
              <w14:schemeClr w14:val="tx1"/>
            </w14:solidFill>
          </w14:textFill>
        </w:rPr>
        <w:t xml:space="preserve">，联系地址：</w:t>
      </w:r>
      <w:r>
        <w:rPr>
          <w:rFonts w:hint="eastAsia"/>
          <w:color w:val="000000" w:themeColor="text1"/>
          <w:sz w:val="21"/>
          <w:szCs w:val="21"/>
          <w:highlight w:val="none"/>
          <w:lang w:eastAsia="zh-CN"/>
          <w14:textFill>
            <w14:solidFill>
              <w14:schemeClr w14:val="tx1"/>
            </w14:solidFill>
          </w14:textFill>
        </w:rPr>
        <w:t xml:space="preserve">南京市江宁区东山街道文靖西路108号中前社区院内西楼三楼</w:t>
      </w:r>
      <w:r>
        <w:rPr>
          <w:rFonts w:hint="eastAsia"/>
          <w:color w:val="000000" w:themeColor="text1"/>
          <w:sz w:val="21"/>
          <w:szCs w:val="21"/>
          <w:highlight w:val="none"/>
          <w14:textFill>
            <w14:solidFill>
              <w14:schemeClr w14:val="tx1"/>
            </w14:solidFill>
          </w14:textFill>
        </w:rPr>
        <w:t xml:space="preserve">，联系电话：</w:t>
      </w:r>
      <w:r>
        <w:rPr>
          <w:rFonts w:hint="eastAsia"/>
          <w:color w:val="000000" w:themeColor="text1"/>
          <w:sz w:val="21"/>
          <w:szCs w:val="21"/>
          <w:highlight w:val="none"/>
          <w:lang w:eastAsia="zh-CN"/>
          <w14:textFill>
            <w14:solidFill>
              <w14:schemeClr w14:val="tx1"/>
            </w14:solidFill>
          </w14:textFill>
        </w:rPr>
        <w:t xml:space="preserve">13776545772</w:t>
      </w:r>
      <w:r>
        <w:rPr>
          <w:rFonts w:hint="eastAsia"/>
          <w:color w:val="000000" w:themeColor="text1"/>
          <w:sz w:val="21"/>
          <w:szCs w:val="21"/>
          <w:highlight w:val="none"/>
          <w14:textFill>
            <w14:solidFill>
              <w14:schemeClr w14:val="tx1"/>
            </w14:solidFill>
          </w14:textFill>
        </w:rPr>
        <w:t xml:space="preserve">。</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28.2.7 以下情形的质疑不予受理：</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（1）内容不符合《政府采购质疑和投诉办法》第十二条规定的质疑。</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（2）超出政府采购法定期限的质疑。</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（3）以传真、电子邮件等方式递交的非原件形式的质疑。</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（4）未参加磋商活动的供应商或在磋商活动中自身权益未受到损害的供应商所提出的质疑。</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28.3、投诉</w:t>
      </w:r>
      <w:r/>
    </w:p>
    <w:p>
      <w:pPr>
        <w:pStyle w:val="898"/>
        <w:ind w:left="0" w:firstLine="412"/>
        <w:spacing w:before="0" w:line="360" w:lineRule="auto"/>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28.4、诚实信用</w:t>
      </w:r>
      <w:r/>
    </w:p>
    <w:p>
      <w:pPr>
        <w:pStyle w:val="898"/>
        <w:ind w:left="0" w:firstLine="412"/>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 xml:space="preserve">人和其他供应商的合法权益。</w:t>
      </w:r>
      <w:r/>
    </w:p>
    <w:p>
      <w:pPr>
        <w:pStyle w:val="898"/>
        <w:ind w:left="0" w:firstLine="412"/>
        <w:jc w:val="both"/>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录名单，按照政府采购法有关规定处理。</w:t>
      </w:r>
      <w:r/>
    </w:p>
    <w:p>
      <w:pPr>
        <w:pStyle w:val="898"/>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供应商不得虚假承诺，否则，按照提供虚假材料谋取成交处理。</w:t>
      </w:r>
      <w:r/>
    </w:p>
    <w:p>
      <w:pPr>
        <w:pStyle w:val="898"/>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 xml:space="preserve">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 xml:space="preserve">。</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29、成交通知书</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914"/>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5" w:name="_Toc513029236"/>
      <w:r/>
      <w:bookmarkStart w:id="106" w:name="_Toc20823308"/>
      <w:r/>
      <w:bookmarkStart w:id="107" w:name="_Toc120614220"/>
      <w:r/>
      <w:bookmarkStart w:id="108" w:name="_Toc16938552"/>
      <w:r>
        <w:rPr>
          <w:rFonts w:hint="eastAsia"/>
          <w:b/>
          <w:bCs/>
          <w:color w:val="000000" w:themeColor="text1"/>
          <w:sz w:val="21"/>
          <w:szCs w:val="21"/>
          <w:highlight w:val="none"/>
          <w14:textFill>
            <w14:solidFill>
              <w14:schemeClr w14:val="tx1"/>
            </w14:solidFill>
          </w14:textFill>
        </w:rPr>
        <w:t xml:space="preserve">七、授予合同</w:t>
      </w:r>
      <w:bookmarkEnd w:id="105"/>
      <w:r/>
      <w:bookmarkEnd w:id="106"/>
      <w:r/>
      <w:bookmarkEnd w:id="107"/>
      <w:r/>
      <w:bookmarkEnd w:id="108"/>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9" w:name="_Toc513029237"/>
      <w:r/>
      <w:bookmarkStart w:id="110" w:name="_Toc16938553"/>
      <w:r/>
      <w:bookmarkStart w:id="111" w:name="_Toc20823309"/>
      <w:r>
        <w:rPr>
          <w:rFonts w:hint="eastAsia"/>
          <w:b/>
          <w:bCs/>
          <w:color w:val="000000" w:themeColor="text1"/>
          <w:sz w:val="21"/>
          <w:szCs w:val="21"/>
          <w:highlight w:val="none"/>
          <w14:textFill>
            <w14:solidFill>
              <w14:schemeClr w14:val="tx1"/>
            </w14:solidFill>
          </w14:textFill>
        </w:rPr>
        <w:t xml:space="preserve">30. 签订合同</w:t>
      </w:r>
      <w:bookmarkEnd w:id="109"/>
      <w:r/>
      <w:bookmarkEnd w:id="110"/>
      <w:r/>
      <w:bookmarkEnd w:id="111"/>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30.l成交供应商应当在成交通知书发出之日起三十日内，按照磋商文件确定的事项与采购人签订政府采购合同。</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30.2 磋商文件、成交供应商的响应文件及磋商过程中有关澄清、承诺文件均应作为合同附件。</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30.3 签订合同后，</w:t>
      </w:r>
      <w:r>
        <w:rPr>
          <w:rFonts w:hint="eastAsia"/>
          <w:i/>
          <w:iCs/>
          <w:color w:val="000000" w:themeColor="text1"/>
          <w:sz w:val="21"/>
          <w:szCs w:val="21"/>
          <w:highlight w:val="none"/>
          <w:u w:val="single"/>
          <w14:textFill>
            <w14:solidFill>
              <w14:schemeClr w14:val="tx1"/>
            </w14:solidFill>
          </w14:textFill>
        </w:rPr>
        <w:t xml:space="preserve">成交供应商不得将合同标的进行转包</w:t>
      </w:r>
      <w:r>
        <w:rPr>
          <w:rFonts w:hint="eastAsia"/>
          <w:color w:val="000000" w:themeColor="text1"/>
          <w:sz w:val="21"/>
          <w:szCs w:val="21"/>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914"/>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31、标的物的追加</w:t>
      </w:r>
      <w:r/>
    </w:p>
    <w:p>
      <w:pPr>
        <w:pStyle w:val="914"/>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10"/>
      <w:r/>
      <w:bookmarkEnd w:id="47"/>
      <w:r/>
      <w:bookmarkEnd w:id="48"/>
      <w:r/>
      <w:bookmarkEnd w:id="49"/>
      <w:r/>
      <w:bookmarkEnd w:id="50"/>
      <w:r/>
      <w:bookmarkEnd w:id="51"/>
      <w:r/>
      <w:bookmarkEnd w:id="52"/>
      <w:r/>
      <w:bookmarkEnd w:id="53"/>
      <w:r/>
      <w:bookmarkEnd w:id="54"/>
      <w:r/>
      <w:bookmarkEnd w:id="63"/>
      <w:r/>
      <w:bookmarkEnd w:id="64"/>
      <w:r/>
      <w:bookmarkEnd w:id="71"/>
      <w:r/>
      <w:r/>
    </w:p>
    <w:p>
      <w:pPr>
        <w:ind w:left="118" w:right="117" w:firstLine="240"/>
        <w:jc w:val="both"/>
        <w:spacing w:before="15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center"/>
        <w:spacing w:before="0" w:after="0" w:line="360" w:lineRule="auto"/>
        <w:rPr>
          <w:rFonts w:hint="eastAsia" w:ascii="Times New Roman" w:hAnsi="Times New Roman" w:eastAsia="黑体" w:cs="Times New Roman"/>
          <w:b w:val="0"/>
          <w:color w:val="auto"/>
          <w:sz w:val="30"/>
          <w:szCs w:val="30"/>
          <w:highlight w:val="none"/>
          <w:lang w:val="zh-CN" w:eastAsia="zh-CN" w:bidi="ar-SA"/>
        </w:rPr>
        <w:pBdr>
          <w:top w:val="none" w:color="000000" w:sz="0" w:space="0"/>
          <w:left w:val="none" w:color="000000" w:sz="0" w:space="0"/>
          <w:bottom w:val="none" w:color="000000" w:sz="0" w:space="0"/>
          <w:right w:val="none" w:color="000000" w:sz="0" w:space="0"/>
        </w:pBdr>
      </w:pPr>
      <w:r/>
      <w:bookmarkStart w:id="112" w:name="_Toc25098"/>
      <w:r/>
      <w:bookmarkStart w:id="113" w:name="_Toc16998"/>
      <w:r>
        <w:rPr>
          <w:rFonts w:hint="eastAsia" w:ascii="Times New Roman" w:hAnsi="Times New Roman" w:eastAsia="黑体" w:cs="Times New Roman"/>
          <w:b w:val="0"/>
          <w:color w:val="auto"/>
          <w:sz w:val="30"/>
          <w:szCs w:val="30"/>
          <w:highlight w:val="none"/>
          <w:lang w:val="zh-CN" w:eastAsia="zh-CN" w:bidi="ar-SA"/>
        </w:rPr>
        <w:t xml:space="preserve">第</w:t>
      </w:r>
      <w:r>
        <w:rPr>
          <w:rFonts w:hint="eastAsia" w:ascii="Times New Roman" w:hAnsi="Times New Roman" w:eastAsia="黑体" w:cs="Times New Roman"/>
          <w:b w:val="0"/>
          <w:color w:val="auto"/>
          <w:sz w:val="30"/>
          <w:szCs w:val="30"/>
          <w:highlight w:val="none"/>
          <w:lang w:val="en-US" w:eastAsia="zh-CN" w:bidi="ar-SA"/>
        </w:rPr>
        <w:t xml:space="preserve">三</w:t>
      </w:r>
      <w:r>
        <w:rPr>
          <w:rFonts w:hint="eastAsia" w:ascii="Times New Roman" w:hAnsi="Times New Roman" w:eastAsia="黑体" w:cs="Times New Roman"/>
          <w:b w:val="0"/>
          <w:color w:val="auto"/>
          <w:sz w:val="30"/>
          <w:szCs w:val="30"/>
          <w:highlight w:val="none"/>
          <w:lang w:val="zh-CN" w:eastAsia="zh-CN" w:bidi="ar-SA"/>
        </w:rPr>
        <w:t xml:space="preserve">章</w:t>
      </w:r>
      <w:r>
        <w:rPr>
          <w:rFonts w:hint="eastAsia" w:ascii="Times New Roman" w:hAnsi="Times New Roman" w:eastAsia="黑体" w:cs="Times New Roman"/>
          <w:b w:val="0"/>
          <w:color w:val="auto"/>
          <w:sz w:val="30"/>
          <w:szCs w:val="30"/>
          <w:highlight w:val="none"/>
          <w:lang w:val="en-US" w:eastAsia="zh-CN" w:bidi="ar-SA"/>
        </w:rPr>
        <w:t xml:space="preserve">  </w:t>
      </w:r>
      <w:r>
        <w:rPr>
          <w:rFonts w:hint="eastAsia" w:ascii="Times New Roman" w:hAnsi="Times New Roman" w:eastAsia="黑体" w:cs="Times New Roman"/>
          <w:b w:val="0"/>
          <w:color w:val="auto"/>
          <w:sz w:val="30"/>
          <w:szCs w:val="30"/>
          <w:highlight w:val="none"/>
          <w:lang w:val="zh-CN" w:eastAsia="zh-CN" w:bidi="ar-SA"/>
        </w:rPr>
        <w:t xml:space="preserve">评分标准</w:t>
      </w:r>
      <w:bookmarkEnd w:id="112"/>
      <w:r/>
      <w:bookmarkEnd w:id="113"/>
      <w:r/>
      <w:r/>
    </w:p>
    <w:p>
      <w:pPr>
        <w:numPr>
          <w:ilvl w:val="0"/>
          <w:numId w:val="0"/>
        </w:numPr>
        <w:rPr>
          <w:rFonts w:hint="eastAsia"/>
          <w:highlight w:val="none"/>
          <w:lang w:val="zh-CN"/>
        </w:rPr>
      </w:pPr>
      <w:r>
        <w:rPr>
          <w:rFonts w:hint="eastAsia"/>
          <w:highlight w:val="none"/>
          <w:lang w:val="zh-CN"/>
        </w:rPr>
      </w:r>
      <w:r/>
    </w:p>
    <w:p>
      <w:pPr>
        <w:ind w:firstLine="600"/>
        <w:spacing w:line="240" w:lineRule="auto"/>
        <w:rPr>
          <w:rFonts w:hint="eastAsia" w:ascii="宋体" w:hAnsi="宋体" w:eastAsia="宋体"/>
          <w:sz w:val="24"/>
          <w:szCs w:val="24"/>
          <w:highlight w:val="none"/>
          <w:lang w:val="en-US"/>
        </w:rPr>
      </w:pPr>
      <w:r>
        <w:rPr>
          <w:rFonts w:hint="eastAsia" w:ascii="宋体" w:hAnsi="宋体" w:eastAsia="宋体"/>
          <w:sz w:val="24"/>
          <w:szCs w:val="24"/>
          <w:highlight w:val="none"/>
          <w:lang w:val="en-US"/>
        </w:rPr>
        <w:t xml:space="preserve">本项目采用综合评分法，总分为</w:t>
      </w:r>
      <w:r>
        <w:rPr>
          <w:rFonts w:ascii="宋体" w:hAnsi="宋体" w:eastAsia="宋体"/>
          <w:sz w:val="24"/>
          <w:szCs w:val="24"/>
          <w:highlight w:val="none"/>
          <w:lang w:val="en-US"/>
        </w:rPr>
        <w:t xml:space="preserve">100</w:t>
      </w:r>
      <w:r>
        <w:rPr>
          <w:rFonts w:hint="eastAsia" w:ascii="宋体" w:hAnsi="宋体" w:eastAsia="宋体"/>
          <w:sz w:val="24"/>
          <w:szCs w:val="24"/>
          <w:highlight w:val="none"/>
          <w:lang w:val="en-US"/>
        </w:rPr>
        <w:t xml:space="preserve">分，按评审后得分由高到低顺序排列，得分相同的，按投标报价由低到高顺序排列，得分且投标报价相同的，按技术指标优劣顺序排列，由磋商小组推荐</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rPr>
        <w:t xml:space="preserve">个成交候选人，综合得分排名第一的投标人为第一成交候选人，综合得分排名第二、第三的分别为第二成交候选人、第三成交候选人。具体评分办法如下：</w:t>
      </w:r>
      <w:r/>
    </w:p>
    <w:tbl>
      <w:tblPr>
        <w:tblStyle w:val="894"/>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238"/>
        <w:gridCol w:w="6926"/>
        <w:gridCol w:w="778"/>
      </w:tblGrid>
      <w:tr>
        <w:trPr>
          <w:jc w:val="center"/>
          <w:trHeight w:val="64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r>
      <w:tr>
        <w:trPr>
          <w:jc w:val="center"/>
          <w:trHeight w:val="128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20分</w:t>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采用低价优先法计算，即满足招标文件要求且投标加权平均综合单价最低的价格为评标基准价，其价格分为满分，其他投标人的价格分按照下列公式计算（小数点保留2位）：投标报价得分=(评标基准价／投标报价)×20</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0分</w:t>
            </w:r>
            <w:r/>
          </w:p>
        </w:tc>
      </w:tr>
      <w:tr>
        <w:trPr>
          <w:jc w:val="center"/>
          <w:trHeight w:val="1910"/>
        </w:trPr>
        <w:tc>
          <w:tcPr>
            <w:tcBorders>
              <w:left w:val="single" w:color="auto" w:sz="4" w:space="0"/>
              <w:right w:val="single" w:color="auto" w:sz="4" w:space="0"/>
            </w:tcBorders>
            <w:tcW w:w="636" w:type="dxa"/>
            <w:vAlign w:val="center"/>
            <w:vMerge w:val="restart"/>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1238" w:type="dxa"/>
            <w:vAlign w:val="center"/>
            <w:vMerge w:val="restart"/>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2.1对项目的认识、服务定位、总体目标及整体设想</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（1）服务设想周到全面，服务起点高，定位明确，针对性强，在服务于本项目的重点、难点等方面，有不同于其他投标人的新颖思路的得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（2）服务设想涵盖了所有的招标项目，定位明确，针对性强的得6分。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（3）服务设想比较全面但没有针对性的得4分。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tc>
      </w:tr>
      <w:tr>
        <w:trPr>
          <w:jc w:val="center"/>
          <w:trHeight w:val="403"/>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2.2人员配置合理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（1）人员配置合理，有明确的部门职责，工作流程完整、科学、可行，各类规章制度健全规范、明确的得</w:t>
            </w:r>
            <w:r>
              <w:rPr>
                <w:rFonts w:hint="eastAsia" w:ascii="宋体" w:hAnsi="宋体" w:eastAsia="宋体" w:cs="宋体"/>
                <w:sz w:val="24"/>
                <w:szCs w:val="24"/>
                <w:highlight w:val="none"/>
                <w:lang w:val="en-US" w:eastAsia="zh-CN"/>
              </w:rPr>
              <w:t xml:space="preserve">98</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（2）岗位设置齐全，有部门职责，工作流程完整，各类规章制度健全，有针对养护所做的规划得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（3）人员配置不足，岗位设置不齐全或不合理，或无部门职责，或无工作流程的描述，或针对物业所做的规划不科学、不可行的得4分。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tc>
      </w:tr>
      <w:tr>
        <w:trPr>
          <w:jc w:val="center"/>
          <w:trHeight w:val="2233"/>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2.3安全文明措施、环保措施、防疫措施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（1）能够根据本项目的特点清楚、详尽地描述安全文明措施、环保措施、防疫措施，考虑周全完整，切实可行得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（2）安全文明措施、环保措施、防疫措施基本合理可行，表达基本清楚得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（3）安全文明措施、环保措施、防疫措施，不够齐全、有漏项；或不够完善、安排不够合理、不能切实可行得4分。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tc>
      </w:tr>
      <w:tr>
        <w:trPr>
          <w:jc w:val="center"/>
          <w:trHeight w:val="1483"/>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2.4质量、安全、进度保证措施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（1）质量安全进度保证措施全面得7</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（2）质量安全进度保证措施比较全面但没有针对性的得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（3）质量安全进度保证措施不够明确、不够合理的得3分。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tc>
      </w:tr>
      <w:tr>
        <w:trPr>
          <w:jc w:val="center"/>
          <w:trHeight w:val="1910"/>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2.5突发事件应急处理预案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（1）突发事件应急处理预案完备健全，对本服务项目针对性强，具有实际可操作性的得7</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（2）突发事件应急处理预案比较完备、健全的得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（3）突发事件应急处理预案不健全或不具有实际可操作性的得3分。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tc>
      </w:tr>
      <w:tr>
        <w:trPr>
          <w:jc w:val="center"/>
          <w:trHeight w:val="1483"/>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2.6服务承诺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（1）服务承诺明确，符合（超过）招标文件各项要求得6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（2）服务承诺明确，基本符合招标文件各项要求得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（3）服务承诺不明确，不符合招标文件各项要求得3分。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tc>
      </w:tr>
      <w:tr>
        <w:trPr>
          <w:jc w:val="center"/>
          <w:trHeight w:val="1072"/>
        </w:trPr>
        <w:tc>
          <w:tcPr>
            <w:tcBorders>
              <w:top w:val="single" w:color="auto" w:sz="4" w:space="0"/>
              <w:left w:val="single" w:color="auto" w:sz="4" w:space="0"/>
              <w:right w:val="single" w:color="auto" w:sz="4" w:space="0"/>
            </w:tcBorders>
            <w:tcW w:w="63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right w:val="single" w:color="auto" w:sz="4" w:space="0"/>
            </w:tcBorders>
            <w:tcW w:w="1238"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拟提供的专职人员</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7分</w:t>
            </w:r>
            <w:r/>
          </w:p>
        </w:tc>
        <w:tc>
          <w:tcPr>
            <w:tcBorders>
              <w:top w:val="single" w:color="auto" w:sz="4" w:space="0"/>
              <w:left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3.1投标供应商提供的专职人员配备情况：</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（1）供应商聘用B照以上驾驶员投入维护工作，聘用</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人及以下的不得分，</w:t>
            </w:r>
            <w:r>
              <w:rPr>
                <w:rFonts w:hint="eastAsia" w:ascii="宋体" w:hAnsi="宋体" w:cs="宋体"/>
                <w:sz w:val="24"/>
                <w:szCs w:val="24"/>
                <w:highlight w:val="none"/>
                <w:lang w:val="en-US" w:eastAsia="zh-CN"/>
              </w:rPr>
              <w:t xml:space="preserve">2分/人</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（2）电工1人，得1分，最多得1分；</w:t>
            </w:r>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以上须提供人员名单、驾驶证、专业技术证书及人员投标前3个月社</w:t>
            </w:r>
            <w:r>
              <w:rPr>
                <w:rFonts w:hint="eastAsia" w:ascii="宋体" w:hAnsi="宋体" w:eastAsia="宋体" w:cs="宋体"/>
                <w:sz w:val="24"/>
                <w:szCs w:val="24"/>
                <w:highlight w:val="none"/>
              </w:rPr>
              <w:t xml:space="preserve">保资料。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eastAsia="zh-CN"/>
              </w:rPr>
              <w:t xml:space="preserve">证书原件扫描件加盖公章)</w:t>
            </w:r>
            <w:r/>
          </w:p>
        </w:tc>
        <w:tc>
          <w:tcPr>
            <w:tcBorders>
              <w:top w:val="single" w:color="auto" w:sz="4" w:space="0"/>
              <w:left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7分</w:t>
            </w:r>
            <w:r/>
          </w:p>
        </w:tc>
      </w:tr>
      <w:tr>
        <w:trPr>
          <w:jc w:val="center"/>
          <w:trHeight w:val="2555"/>
        </w:trPr>
        <w:tc>
          <w:tcPr>
            <w:tcBorders>
              <w:left w:val="single" w:color="auto" w:sz="4" w:space="0"/>
              <w:right w:val="single" w:color="auto" w:sz="4" w:space="0"/>
            </w:tcBorders>
            <w:tcW w:w="63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auto" w:sz="4" w:space="0"/>
              <w:right w:val="single" w:color="auto" w:sz="4" w:space="0"/>
            </w:tcBorders>
            <w:tcW w:w="1238" w:type="dxa"/>
            <w:vAlign w:val="center"/>
            <w:textDirection w:val="lrTb"/>
            <w:noWrap/>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拟投入的机械设备</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r/>
          </w:p>
        </w:tc>
        <w:tc>
          <w:tcPr>
            <w:tcBorders>
              <w:top w:val="single" w:color="auto" w:sz="4" w:space="0"/>
              <w:left w:val="single" w:color="auto" w:sz="4" w:space="0"/>
              <w:right w:val="single" w:color="auto" w:sz="4" w:space="0"/>
            </w:tcBorders>
            <w:tcW w:w="6926" w:type="dxa"/>
            <w:vAlign w:val="center"/>
            <w:textDirection w:val="lrTb"/>
            <w:noWrap/>
          </w:tcPr>
          <w:p>
            <w:pPr>
              <w:jc w:val="left"/>
              <w:spacing w:line="360" w:lineRule="auto"/>
              <w:rPr>
                <w:rFonts w:hint="eastAsia" w:ascii="宋体" w:hAnsi="宋体" w:eastAsia="宋体" w:cs="宋体"/>
                <w:sz w:val="24"/>
                <w:szCs w:val="24"/>
                <w:highlight w:val="none"/>
                <w:lang w:val="ru-RU" w:eastAsia="zh-CN"/>
              </w:rPr>
            </w:pPr>
            <w:r>
              <w:rPr>
                <w:rFonts w:hint="eastAsia" w:ascii="宋体" w:hAnsi="宋体" w:eastAsia="宋体" w:cs="宋体"/>
                <w:sz w:val="24"/>
                <w:szCs w:val="24"/>
                <w:highlight w:val="none"/>
                <w:lang w:val="ru-RU" w:eastAsia="zh-CN"/>
              </w:rPr>
              <w:t xml:space="preserve">供应商投入的设备（以下所有设备均需提供发票原件扫描件，必须为自有）： </w:t>
            </w:r>
            <w:r/>
          </w:p>
          <w:p>
            <w:pPr>
              <w:numPr>
                <w:ilvl w:val="0"/>
                <w:numId w:val="0"/>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ru-RU" w:eastAsia="zh-CN"/>
              </w:rPr>
              <w:t xml:space="preserve">、常温手推车 ，每台0.5分，最多1分</w:t>
            </w:r>
            <w:r>
              <w:rPr>
                <w:rFonts w:hint="eastAsia" w:ascii="宋体" w:hAnsi="宋体" w:eastAsia="宋体" w:cs="宋体"/>
                <w:sz w:val="24"/>
                <w:szCs w:val="24"/>
                <w:highlight w:val="none"/>
                <w:lang w:val="ru-RU" w:eastAsia="zh-CN"/>
              </w:rPr>
              <w:t xml:space="preserve">； 2、热熔手推车，每台1分 ，最多1分； 3、热熔釜，每台1分，最多1分； 4、发电机，每台1分，最多1分； 5、折边机，每台0.5 分，最多1分； 6、刻字机，每台0.5分，最多1分； 7、打磨机，每台0.5分，最多1分； 8、汽车起重机 ，每台1分，最多2分； 9、回收型高压水除线机， 得2分； 10、逆反射系数测定仪，得1分； 11、施工作业保障：工程作业车2辆及2辆以下不得分，在满足2辆的基础上每多1辆得0.5分，最多得1分（工程作业车还需提供车辆行驶证原件扫描件，车辆行驶证登记所有人必须为供应商</w:t>
            </w:r>
            <w:r>
              <w:rPr>
                <w:rFonts w:hint="eastAsia" w:ascii="宋体" w:hAnsi="宋体" w:cs="宋体"/>
                <w:sz w:val="24"/>
                <w:szCs w:val="24"/>
                <w:highlight w:val="none"/>
                <w:lang w:val="en-US" w:eastAsia="zh-CN"/>
              </w:rPr>
              <w:t xml:space="preserve">,租赁的设备需提供租赁合同及发票发票</w:t>
            </w:r>
            <w:r>
              <w:rPr>
                <w:rFonts w:hint="eastAsia" w:ascii="宋体" w:hAnsi="宋体" w:eastAsia="宋体" w:cs="宋体"/>
                <w:sz w:val="24"/>
                <w:szCs w:val="24"/>
                <w:highlight w:val="none"/>
                <w:lang w:val="ru-RU" w:eastAsia="zh-CN"/>
              </w:rPr>
              <w:t xml:space="preserve">）</w:t>
            </w:r>
            <w:r/>
          </w:p>
        </w:tc>
        <w:tc>
          <w:tcPr>
            <w:tcBorders>
              <w:top w:val="single" w:color="auto" w:sz="4" w:space="0"/>
              <w:left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tc>
      </w:tr>
      <w:tr>
        <w:trPr>
          <w:jc w:val="center"/>
          <w:trHeight w:val="970"/>
        </w:trPr>
        <w:tc>
          <w:tcPr>
            <w:tcBorders>
              <w:left w:val="single" w:color="auto" w:sz="4" w:space="0"/>
              <w:right w:val="single" w:color="auto" w:sz="4" w:space="0"/>
            </w:tcBorders>
            <w:tcW w:w="636" w:type="dxa"/>
            <w:vAlign w:val="center"/>
            <w:textDirection w:val="lrTb"/>
            <w:noWrap/>
          </w:tcPr>
          <w:p>
            <w:pPr>
              <w:jc w:val="center"/>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auto" w:sz="4" w:space="0"/>
              <w:right w:val="single" w:color="auto" w:sz="4" w:space="0"/>
            </w:tcBorders>
            <w:tcW w:w="1238"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Borders>
              <w:top w:val="single" w:color="auto" w:sz="4" w:space="0"/>
              <w:left w:val="single" w:color="auto" w:sz="4" w:space="0"/>
              <w:right w:val="single" w:color="auto" w:sz="4" w:space="0"/>
            </w:tcBorders>
            <w:tcW w:w="6926" w:type="dxa"/>
            <w:vAlign w:val="center"/>
            <w:textDirection w:val="lrTb"/>
            <w:noWrap/>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2021</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月1日以后从事过类似交通设施维护工程，每有一个业绩，得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分。（提供合同</w:t>
            </w:r>
            <w:r>
              <w:rPr>
                <w:rFonts w:hint="eastAsia" w:ascii="宋体" w:hAnsi="宋体" w:cs="宋体"/>
                <w:sz w:val="24"/>
                <w:szCs w:val="24"/>
                <w:highlight w:val="none"/>
                <w:lang w:val="en-US" w:eastAsia="zh-CN"/>
              </w:rPr>
              <w:t xml:space="preserve">原件扫描件加盖公章</w:t>
            </w:r>
            <w:r>
              <w:rPr>
                <w:rFonts w:hint="eastAsia" w:ascii="宋体" w:hAnsi="宋体" w:eastAsia="宋体" w:cs="宋体"/>
                <w:sz w:val="24"/>
                <w:szCs w:val="24"/>
                <w:highlight w:val="none"/>
              </w:rPr>
              <w:t xml:space="preserve">。时间以合同签订时间为准，否则不得分）</w:t>
            </w:r>
            <w:r/>
          </w:p>
        </w:tc>
        <w:tc>
          <w:tcPr>
            <w:tcBorders>
              <w:top w:val="single" w:color="auto" w:sz="4" w:space="0"/>
              <w:left w:val="single" w:color="auto" w:sz="4" w:space="0"/>
              <w:right w:val="single" w:color="auto" w:sz="4" w:space="0"/>
            </w:tcBorders>
            <w:tcW w:w="778" w:type="dxa"/>
            <w:vAlign w:val="center"/>
            <w:textDirection w:val="lrTb"/>
            <w:noWrap/>
          </w:tcPr>
          <w:p>
            <w:pPr>
              <w:jc w:val="center"/>
              <w:spacing w:line="24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bl>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jc w:val="both"/>
        <w:spacing w:line="360" w:lineRule="auto"/>
        <w:rPr>
          <w:rFonts w:hint="eastAsia" w:ascii="宋体" w:eastAsia="宋体" w:cs="宋体"/>
          <w:sz w:val="24"/>
          <w:szCs w:val="24"/>
          <w:highlight w:val="none"/>
          <w:lang w:val="zh-CN" w:eastAsia="zh-CN"/>
        </w:rPr>
      </w:pPr>
      <w:r>
        <w:rPr>
          <w:rFonts w:hint="eastAsia" w:ascii="宋体" w:eastAsia="宋体" w:cs="宋体"/>
          <w:sz w:val="24"/>
          <w:szCs w:val="24"/>
          <w:highlight w:val="none"/>
          <w:lang w:val="zh-CN" w:eastAsia="zh-CN"/>
        </w:rPr>
        <w:t xml:space="preserve">1.本项目专门面向中小企业采购，供应商应为中小微企业、监狱企业、残疾人福利性单位。</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2.小企业（含小型、微型企业）应当符合以下条件：</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（1）供应商为小企业，且符合中小企业划分标准（</w:t>
      </w:r>
      <w:r>
        <w:rPr>
          <w:rFonts w:hint="eastAsia" w:ascii="宋体" w:eastAsia="宋体" w:cs="宋体"/>
          <w:sz w:val="24"/>
          <w:szCs w:val="24"/>
          <w:highlight w:val="none"/>
          <w:lang w:val="zh-CN" w:eastAsia="zh-CN"/>
        </w:rPr>
        <w:t xml:space="preserve">中小企业划型标准按照《关于印发中小企业划型标准规定的通知》（工信部联企业〔2011〕300 号）文认定），但与大企业的负责人为同一人，或者与大企业存在直接控股、管理关系的除外。</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（2）提供本企业制造的货物、承担的工程或者服务，或者提供其他小企业制造的货物。如果提供的货物为大中型企业注册商标的货物，视同大中型企业。</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（3）在货物采购项目中，供应商提供的货物既有中小企业制造货物，也有大型企业制造货物的，不享受本办法规定的中小企业扶持政策。</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（4）以联合体形式参加政府采购活动，联合体各方均为中小企业的，联合体视同中小企业。其中，联合体各方均为小微企业的，联合体视同小微企业。</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3.监狱和戒毒企业   </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4. 残疾人福利性单位 </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残疾人福利单位需按照采购文件的要求提供《残疾人福利性单位声明函》。 残疾人福利单位标准请参照《关于促进残疾人就业政府采购政策的通知》（财库〔2017〕141 号）。</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5. 监狱企业、残疾人福利单位属于小型、微型企业的，不重复享受政策。</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6. 价格扣除</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6.1 对国家认定的节能产品和环保产品分别给予投标价的5%价格扣除，用扣除后的价格参与评审。</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6.2  小微企业价格扣除：本项目专门面向中小企业采购，评审时，采购人对小微企业的报价不给予价格扣除；本项目不允许中型企业向一家或者多家小微企业分包，采购人对中型企业的报价不给予价格扣除。</w:t>
      </w:r>
      <w:r/>
    </w:p>
    <w:p>
      <w:pPr>
        <w:jc w:val="both"/>
        <w:spacing w:line="360" w:lineRule="auto"/>
        <w:rPr>
          <w:rFonts w:hint="eastAsia" w:ascii="宋体" w:eastAsia="宋体" w:cs="宋体"/>
          <w:sz w:val="24"/>
          <w:szCs w:val="24"/>
          <w:highlight w:val="none"/>
          <w:lang w:val="zh-CN" w:eastAsia="zh-CN"/>
        </w:rPr>
      </w:pPr>
      <w:r>
        <w:rPr>
          <w:rFonts w:hint="eastAsia" w:ascii="宋体" w:eastAsia="宋体" w:cs="宋体"/>
          <w:sz w:val="24"/>
          <w:szCs w:val="24"/>
          <w:highlight w:val="none"/>
          <w:lang w:val="zh-CN" w:eastAsia="zh-CN"/>
        </w:rPr>
        <w:t xml:space="preserve">7.参加政府采购活动的中小企业应当按“《政府采购促进中小企业发展管理办法》财库（2020）46号”规定提供《中小企业声明函》。</w:t>
      </w:r>
      <w:r/>
    </w:p>
    <w:p>
      <w:pPr>
        <w:ind w:firstLine="0"/>
        <w:jc w:val="center"/>
        <w:keepLines/>
        <w:keepNext/>
        <w:spacing w:before="240" w:after="240" w:line="360" w:lineRule="auto"/>
        <w:widowControl w:val="off"/>
        <w:tabs>
          <w:tab w:val="left" w:pos="0" w:leader="none"/>
        </w:tabs>
        <w:rPr>
          <w:rFonts w:hint="eastAsia" w:ascii="宋体" w:hAnsi="宋体" w:eastAsia="宋体" w:cs="宋体"/>
          <w:spacing w:val="-10"/>
          <w:sz w:val="24"/>
          <w:szCs w:val="24"/>
          <w:highlight w:val="none"/>
          <w:lang w:val="en-US" w:eastAsia="zh-CN" w:bidi="ar-SA"/>
        </w:rPr>
        <w:sectPr>
          <w:headerReference w:type="default" r:id="rId9"/>
          <w:footerReference w:type="default" r:id="rId11"/>
          <w:footerReference w:type="first" r:id="rId12"/>
          <w:footnotePr/>
          <w:endnotePr/>
          <w:type w:val="nextPage"/>
          <w:pgSz w:w="11906" w:h="16838" w:orient="portrait"/>
          <w:pgMar w:top="1440" w:right="1800" w:bottom="1440" w:left="1800" w:header="907" w:footer="680" w:gutter="0"/>
          <w:cols w:num="1" w:sep="0" w:space="720" w:equalWidth="1"/>
          <w:docGrid w:linePitch="360"/>
          <w:titlePg/>
        </w:sectPr>
        <w:outlineLvl w:val="9"/>
      </w:pPr>
      <w:r>
        <w:rPr>
          <w:rFonts w:hint="eastAsia" w:ascii="宋体" w:hAnsi="宋体" w:eastAsia="宋体" w:cs="宋体"/>
          <w:spacing w:val="-10"/>
          <w:sz w:val="24"/>
          <w:szCs w:val="24"/>
          <w:highlight w:val="none"/>
          <w:lang w:val="en-US" w:eastAsia="zh-CN" w:bidi="ar-SA"/>
        </w:rPr>
      </w:r>
      <w:r/>
    </w:p>
    <w:p>
      <w:pPr>
        <w:ind w:right="0"/>
        <w:jc w:val="center"/>
        <w:spacing w:before="0"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14" w:name="_Toc25287"/>
      <w:r>
        <w:rPr>
          <w:rFonts w:ascii="黑体" w:hAnsi="黑体" w:eastAsia="黑体" w:cs="黑体"/>
          <w:b/>
          <w:color w:val="000000"/>
          <w:sz w:val="32"/>
          <w:highlight w:val="none"/>
        </w:rPr>
        <w:t xml:space="preserve">第四章</w:t>
      </w:r>
      <w:r>
        <w:rPr>
          <w:rFonts w:ascii="黑体" w:hAnsi="黑体" w:eastAsia="黑体" w:cs="黑体"/>
          <w:b/>
          <w:color w:val="000000"/>
          <w:sz w:val="32"/>
          <w:highlight w:val="none"/>
        </w:rPr>
        <w:tab/>
      </w:r>
      <w:r>
        <w:rPr>
          <w:rFonts w:ascii="黑体" w:hAnsi="黑体" w:eastAsia="黑体" w:cs="黑体"/>
          <w:b/>
          <w:color w:val="000000"/>
          <w:sz w:val="32"/>
          <w:highlight w:val="none"/>
        </w:rPr>
        <w:t xml:space="preserve"> 招标项目的技术规格、要求和数量等</w:t>
      </w:r>
      <w:bookmarkEnd w:id="114"/>
      <w:r/>
      <w:r/>
    </w:p>
    <w:p>
      <w:pPr>
        <w:ind w:right="0"/>
        <w:jc w:val="both"/>
        <w:spacing w:before="0" w:after="0" w:line="360" w:lineRule="auto"/>
        <w:tabs>
          <w:tab w:val="left" w:pos="7005" w:leader="none"/>
        </w:tabs>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highlight w:val="none"/>
        </w:rPr>
        <w:t xml:space="preserve">一、项目概述：</w:t>
      </w:r>
      <w:r/>
    </w:p>
    <w:p>
      <w:pPr>
        <w:ind w:left="0" w:right="0" w:firstLine="420"/>
        <w:jc w:val="both"/>
        <w:spacing w:before="0" w:after="0" w:line="360" w:lineRule="auto"/>
        <w:tabs>
          <w:tab w:val="left" w:pos="7005" w:leader="none"/>
        </w:tabs>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1、项目名称：</w:t>
      </w:r>
      <w:r>
        <w:rPr>
          <w:rFonts w:hint="eastAsia" w:ascii="宋体" w:hAnsi="宋体" w:cs="宋体"/>
          <w:color w:val="000000"/>
          <w:sz w:val="21"/>
          <w:highlight w:val="none"/>
          <w:lang w:eastAsia="zh-CN"/>
        </w:rPr>
        <w:t xml:space="preserve">2026年道路交通设施日常建设维护项目</w:t>
      </w:r>
      <w:r/>
    </w:p>
    <w:p>
      <w:pPr>
        <w:ind w:left="0" w:right="0" w:firstLine="420"/>
        <w:jc w:val="both"/>
        <w:spacing w:before="0" w:after="0" w:line="360" w:lineRule="auto"/>
        <w:tabs>
          <w:tab w:val="left" w:pos="700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2、项目地点：该项目位于江宁街道；</w:t>
      </w:r>
      <w:r/>
    </w:p>
    <w:p>
      <w:pPr>
        <w:ind w:left="0" w:right="0" w:firstLine="420"/>
        <w:jc w:val="both"/>
        <w:spacing w:before="0" w:after="0" w:line="360" w:lineRule="auto"/>
        <w:tabs>
          <w:tab w:val="left" w:pos="7005" w:leader="none"/>
        </w:tabs>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3、项目背景：</w:t>
      </w:r>
      <w:r>
        <w:rPr>
          <w:rFonts w:hint="eastAsia" w:ascii="宋体" w:hAnsi="宋体" w:eastAsia="宋体" w:cs="宋体"/>
          <w:color w:val="000000"/>
          <w:sz w:val="21"/>
          <w:highlight w:val="none"/>
        </w:rPr>
        <w:t xml:space="preserve">我街道辖区现有道路400余公里，该维护项目主要是为了做好辖区内道路交通设施的年度日常维护管养(交通标识的设置、标线的漆画与出新、信号灯的维护与保养建设等)及交通安全隐息的排查整治工作，同时根据较交通发展需要，增设及完善必要设施，保持良好的交通运行秩序，更好的服务江宁街道经济发展。</w:t>
      </w:r>
      <w:r/>
    </w:p>
    <w:p>
      <w:pPr>
        <w:ind w:left="0" w:right="0" w:firstLine="420"/>
        <w:jc w:val="both"/>
        <w:spacing w:before="0" w:after="0" w:line="360" w:lineRule="auto"/>
        <w:tabs>
          <w:tab w:val="left" w:pos="7005" w:leader="none"/>
        </w:tabs>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4、项目建设遵循标准：遵循国家、行业及地方现行的规范和标准要求</w:t>
      </w:r>
      <w:r/>
    </w:p>
    <w:p>
      <w:pPr>
        <w:pStyle w:val="898"/>
        <w:ind w:firstLine="420"/>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val="en-US" w:eastAsia="zh-CN"/>
        </w:rPr>
        <w:t xml:space="preserve">、清单：</w:t>
      </w:r>
      <w:r/>
    </w:p>
    <w:tbl>
      <w:tblPr>
        <w:tblW w:w="92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625"/>
        <w:gridCol w:w="1922"/>
        <w:gridCol w:w="2117"/>
        <w:gridCol w:w="1066"/>
        <w:gridCol w:w="995"/>
        <w:gridCol w:w="2571"/>
      </w:tblGrid>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标线施工</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常温标线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厚度为0.3mm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热熔标线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厚度为2mm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热熔行车箭头</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长度6m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热熔行车箭头</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长度3m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震荡标线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厚度为8mm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高压水洗除标线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自动回收废料及废料处理</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彩色人行道线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右转盲区、学校门口彩色斑马线</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信号灯设备及安装：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79"/>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八角信号灯杆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主杆ф320-260×8×6800（包含基础开挖、余土外运、预埋件、砼回填）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副杆ф260-110×5×10000</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979"/>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八角信号灯杆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主杆ф280-230×6×6800（包含基础开挖、余土外运、预埋件、砼回填）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副杆ф190-100×5×8000</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0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单挑信号灯杆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主杆ф219×8×7500（包含基础开挖、余土外运、预埋件、砼回填）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副杆ф114×5×5500×2根、ф60×3×1500</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立柱式行人灯杆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高3m，ф89（包含基础开挖、余土外运、预埋件、砼回填）</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立柱式信号灯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5m×0.6（包含信号灯、基础开挖、余土外运、预埋件、砼回填）</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ф400（含满屏），能与江宁公安联网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ф300，能与江宁公安联网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显示屏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780型，能与江宁公安联网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显示屏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520型，能与江宁公安联网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信号机</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16相位具有联网功能信号机，能与江宁公安联网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0.85m×0.37m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安全哨兵系统</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标准版，含调试</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顶管</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DN75</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标志牌</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组合式禁令标志(含立杆)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1000mm×1500mm,ф89单立杆（高3500mm），含基础开挖、砼基础、预埋件、安装等全部费用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提示标志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1000mm×1000mm,ф76单立杆（高3000mm），含基础开挖、砼基础、预埋件、安装等全部费用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禁令标志(含立杆)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φ800mm,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八角“停”标志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φ800mm,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禁令标志(含立杆)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φ1000mm,ф89单立杆（高3000mm），含基础开挖、砼基础、预埋件、安装等全部费用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八角“停”标志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φ1000mm,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带支架落地施工牌</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1200mm×2000mm,1.5mm铝板、反光膜、角钢支架</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464"/>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ф165单挑悬臂标志牌</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版面：2000mm×3000mm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主杆：6mm*ф165mm*7000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悬臂: 4.5mm*89mm*4500mm*2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整套杆件为热镀锌钢管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62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ф219单挑悬臂标志牌</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版面：2000mm×4000mm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主杆：8mm*ф219mm*8000mm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悬臂: 4.5mm*114mm*5000mm*2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整套杆件为热镀锌无缝钢管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62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ф273单挑悬臂标志牌</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版面：2000mm×4000mm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主杆：8mm*ф273mm*8000mm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悬臂: 4.5mm*114mm*5000mm*2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整套杆件为热镀锌无缝钢管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95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ф273单挑悬臂标志牌（7米）</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版面：1000mm×1500mm×2块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主杆：8mm*ф273mm*7000mm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悬臂: 4.5mm*89mm*7000mm*2根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整套杆件为热镀锌无缝钢管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龙门架</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ф273、连体双杆8米跨度龙门架</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主杆：10mm*ф273mm*9000 mm框架: 8mm*ф180mm *8000mm支撑杆:6mm*ф140mm整套杆件为无缝钢管热镀锌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14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ф325、12米跨度龙门架</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主杆：10mm*ф365mm*11000 mm横梁: 8mm*ф180mm *12000mm 支撑杆:4.5mm*ф89mm整套杆件为无缝钢管热镀锌。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14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ф219、单杆、6米-8米跨度龙门架</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主杆：ф219mm*8mm*3000mm*2根横梁:ф65mm*3m*6000mm-8000mm整套杆件为无缝钢管热镀锌。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信号灯维护</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RVV2*1.5ｍｍ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4*1.5ｍｍ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3*1.5ｍｍ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2*4ｍｍ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2*1ｍｍ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7*1.5ｍｍ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路口系统信号调试</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配时与江宁公安联网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保险丝</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灯炬</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信号灯主板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倒计时主板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信号机控制板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开关</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2P 63A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电源开关</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 63A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高架车机械台班</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高架工程车14m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PE管DN50</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含开挖（0.3m*0.3m*0.4m）砼包封及回填</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独立接地角钢∠6</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电缆检查井（500×650×650砖砌、井盖、土方）</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500×650×650（包含基础、砖砌井、抹灰、井盖、基础开挖、余土外运等全部费用）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悬臂式信号灯预埋件</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ф26螺栓*8根</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电源保护器</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2P(1P+N) 100KA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三眼模数化插座</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两眼模数化插座</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空气开关</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 32A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信号灯杆件出新</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打磨后喷漆</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维修人工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维修人工</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工日</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LED太阳能标志及其它设施</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ф800mm（含安装）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1000mm×1500mm（含安装）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1000mm×1000mm（含安装）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600mm×1200mm（含安装）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主动发光标志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★具有国家权威机构针对该产品出具的检测报告。</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303"/>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LED道钉</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尺寸：105×100×20mm；材质：PC；DC24V；亮度黄/红＞5000mcd、白＞8000mcd；2Hz同步闪烁；可视＞800m；城市道路/隧道通用，稳定好控。</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206"/>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LED警示桩</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埋植式太阳能发光警示柱（89×1200mm）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尺寸：φ89mm×H800mm（埋深400mm）；材质：FRP；太阳能供电；高亮LED；可视≥400m；埋植安装；防撞耐候</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增设橡胶交通锥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橡胶，360mm*700mm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增设橡胶交通锥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橡胶，400mm*900mm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增设减速带</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橡胶，15mm*100mm*500mm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增设减速带</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橡胶，45mm*330mm*1000mm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增设报闪警示灯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250mm*650mm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增设轮廓标</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40mm*180ｍmm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增设广角镜</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ф800mm（含安装），不含杆件</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增设广角镜</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ф1000mm（含安装），不含杆件</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增设不锈钢护栏片</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1.整片，含铁花、内衬焊管、外套不锈钢管、连接件等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2.满足建设单位使用要求</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增设不锈钢护栏桩柱</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1.整套，含铁座和立柱内衬管、外套不锈钢、连接件等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2.满足建设单位使用要求</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06"/>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镀锌钢制护栏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1.机非隔离钢护栏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2.40*80*2.0mm，柱高1.1m，热镀锌钢板填砼底座400*350*200mm，立柱设黄色反光标不低于180mm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3.材料品种：槽钢63*40*4.8mm，Φ16mm圆钢，50*5.0mm带钢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4.护栏整体热镀锌，再进行静电喷涂处理</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镀锌钢制护栏立柱</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柱高1.1m，热镀锌钢板填砼底座400*350*200mm，立柱设黄色反光标不低于180mm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不锈钢和铁质护栏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选304不锈钢，立柱≥φ51×2.0mm、竖杆间距≤110mm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镀锌钢管静电喷涂中心护栏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立柱:100x100x2.5mm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横杆:50x50x2.2mm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竖杆:25x25x2mm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整片，含LED盖帽、轮廓标等</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巡查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47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日常巡查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1、每天巡查配备工人1个，巡查车辆1台（2T载货汽车），共计2人1车，每天巡查30km。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2、巡视检查，计量、记录并上报设施破损状况、设置必要的安全警示标志。</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天/1个标段</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bl>
    <w:p>
      <w:pPr>
        <w:pStyle w:val="913"/>
        <w:numPr>
          <w:ilvl w:val="0"/>
          <w:numId w:val="3"/>
        </w:numPr>
        <w:jc w:val="left"/>
        <w:spacing w:after="156"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采购人项目需求</w:t>
      </w:r>
      <w:r/>
    </w:p>
    <w:p>
      <w:pPr>
        <w:numPr>
          <w:ilvl w:val="0"/>
          <w:numId w:val="4"/>
        </w:num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000000"/>
          <w:sz w:val="21"/>
          <w:highlight w:val="none"/>
        </w:rPr>
        <w:t xml:space="preserve">我街道辖区现有道路400余公里，该维护项目主要是为了做好辖区内道路交通设施的年度日常维护管养(交通标识的设置、标线的漆画与出新、信号灯的维护与保养建设等)及交通安全隐息的排查整治工作，同时根据较交通发展需要，增设及完善必要设施，保持良好的交通运行秩序，更好的服务江宁街道经济发展。</w:t>
      </w:r>
      <w:r>
        <w:rPr>
          <w:rFonts w:hint="eastAsia" w:ascii="宋体" w:hAnsi="宋体" w:eastAsia="宋体" w:cs="宋体"/>
          <w:color w:val="auto"/>
          <w:sz w:val="21"/>
          <w:szCs w:val="21"/>
          <w:highlight w:val="none"/>
        </w:rPr>
        <w:t xml:space="preserve">合同履行期限：</w:t>
      </w:r>
      <w:r>
        <w:rPr>
          <w:rFonts w:hint="eastAsia" w:ascii="Arial" w:hAnsi="Arial"/>
          <w:b w:val="0"/>
          <w:bCs/>
          <w:color w:val="auto"/>
          <w:sz w:val="21"/>
          <w:szCs w:val="21"/>
          <w:highlight w:val="none"/>
          <w:lang w:val="en-US" w:eastAsia="zh-CN"/>
        </w:rPr>
        <w:t xml:space="preserve">总服务期365天。</w:t>
      </w:r>
      <w:r/>
    </w:p>
    <w:p>
      <w:pPr>
        <w:numPr>
          <w:ilvl w:val="0"/>
          <w:numId w:val="4"/>
        </w:num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本项目为单价合同，具体工程量未定，最终结算以实际发生工程量为准（需</w:t>
      </w:r>
      <w:r>
        <w:rPr>
          <w:rFonts w:hint="eastAsia" w:ascii="宋体" w:hAnsi="宋体" w:eastAsia="宋体" w:cs="宋体"/>
          <w:b w:val="0"/>
          <w:bCs w:val="0"/>
          <w:color w:val="auto"/>
          <w:sz w:val="21"/>
          <w:szCs w:val="21"/>
          <w:highlight w:val="none"/>
          <w:lang w:val="en-US" w:eastAsia="zh-CN"/>
        </w:rPr>
        <w:t xml:space="preserve">交通部门签认</w:t>
      </w:r>
      <w:r>
        <w:rPr>
          <w:rFonts w:hint="eastAsia" w:ascii="宋体" w:hAnsi="宋体" w:eastAsia="宋体" w:cs="宋体"/>
          <w:b w:val="0"/>
          <w:bCs w:val="0"/>
          <w:color w:val="auto"/>
          <w:sz w:val="21"/>
          <w:szCs w:val="21"/>
          <w:highlight w:val="none"/>
          <w:lang w:val="en-US" w:eastAsia="zh-CN" w:bidi="ar-SA"/>
        </w:rPr>
        <w:t xml:space="preserve">），供应商报价时应充分考虑本项目的特殊性，如采购人没有标志标线及设施维护或新增的需求，将无任何实际工程量提供给供应商。</w:t>
      </w:r>
      <w:r/>
    </w:p>
    <w:p>
      <w:pPr>
        <w:numPr>
          <w:ilvl w:val="0"/>
          <w:numId w:val="4"/>
        </w:num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维护响应时间：属于合同范围和内容的项目，供应商应在接到维护通知之时起2小时内到达现场勘察现场，根据工程量双方约定完成时限，情况一般，</w:t>
      </w:r>
      <w:r>
        <w:rPr>
          <w:rFonts w:hint="eastAsia" w:ascii="宋体" w:hAnsi="宋体" w:eastAsia="宋体" w:cs="宋体"/>
          <w:b w:val="0"/>
          <w:bCs w:val="0"/>
          <w:color w:val="auto"/>
          <w:sz w:val="21"/>
          <w:szCs w:val="21"/>
          <w:highlight w:val="none"/>
          <w:lang w:val="zh-CN" w:eastAsia="zh-CN" w:bidi="ar-SA"/>
        </w:rPr>
        <w:t xml:space="preserve">2小时内维护完毕，情况复杂的，</w:t>
      </w:r>
      <w:r>
        <w:rPr>
          <w:rFonts w:hint="eastAsia" w:ascii="宋体" w:hAnsi="宋体" w:eastAsia="宋体" w:cs="宋体"/>
          <w:b w:val="0"/>
          <w:bCs w:val="0"/>
          <w:color w:val="auto"/>
          <w:sz w:val="21"/>
          <w:szCs w:val="21"/>
          <w:highlight w:val="none"/>
          <w:lang w:val="en-US" w:eastAsia="zh-CN" w:bidi="ar-SA"/>
        </w:rPr>
        <w:t xml:space="preserve">12</w:t>
      </w:r>
      <w:r>
        <w:rPr>
          <w:rFonts w:hint="eastAsia" w:ascii="宋体" w:hAnsi="宋体" w:eastAsia="宋体" w:cs="宋体"/>
          <w:b w:val="0"/>
          <w:bCs w:val="0"/>
          <w:color w:val="auto"/>
          <w:sz w:val="21"/>
          <w:szCs w:val="21"/>
          <w:highlight w:val="none"/>
          <w:lang w:val="zh-CN" w:eastAsia="zh-CN" w:bidi="ar-SA"/>
        </w:rPr>
        <w:t xml:space="preserve">小时内维护完毕。</w:t>
      </w:r>
      <w:r>
        <w:rPr>
          <w:rFonts w:hint="eastAsia" w:ascii="宋体" w:hAnsi="宋体" w:eastAsia="宋体" w:cs="宋体"/>
          <w:b w:val="0"/>
          <w:bCs w:val="0"/>
          <w:color w:val="auto"/>
          <w:sz w:val="21"/>
          <w:szCs w:val="21"/>
          <w:highlight w:val="none"/>
          <w:lang w:val="en-US" w:eastAsia="zh-CN" w:bidi="ar-SA"/>
        </w:rPr>
        <w:t xml:space="preserve">逾期未完成罚款3000元/次。供应商不在约定期限内及时进行维护的，采购人可委托其他人员维护，所需费用从供应商的维护工程款内扣除。 </w:t>
      </w:r>
      <w:r/>
    </w:p>
    <w:p>
      <w:pPr>
        <w:numPr>
          <w:ilvl w:val="0"/>
          <w:numId w:val="4"/>
        </w:numPr>
        <w:ind w:firstLine="420"/>
        <w:spacing w:line="360" w:lineRule="auto"/>
        <w:rPr>
          <w:rFonts w:ascii="宋体" w:hAnsi="宋体" w:cs="宋体"/>
          <w:sz w:val="21"/>
          <w:szCs w:val="21"/>
          <w:highlight w:val="none"/>
          <w:lang w:val="zh-CN"/>
        </w:rPr>
      </w:pPr>
      <w:r>
        <w:rPr>
          <w:rFonts w:hint="eastAsia" w:ascii="宋体" w:hAnsi="宋体" w:eastAsia="宋体" w:cs="宋体"/>
          <w:b w:val="0"/>
          <w:bCs w:val="0"/>
          <w:color w:val="auto"/>
          <w:sz w:val="21"/>
          <w:szCs w:val="21"/>
          <w:highlight w:val="none"/>
          <w:lang w:val="en-US" w:eastAsia="zh-CN" w:bidi="ar-SA"/>
        </w:rPr>
        <w:t xml:space="preserve">质量安全责任：供应商施工期间严格按照国家有关规定施工，确保维护设施质量和作业安全，自行承担全部责任。因供应商维护质量原因致使工程在保修期内造成人身和财产损害的，供应商应承担损害赔偿责任。</w:t>
      </w:r>
      <w:r/>
    </w:p>
    <w:p>
      <w:pPr>
        <w:numPr>
          <w:ilvl w:val="0"/>
          <w:numId w:val="4"/>
        </w:numPr>
        <w:ind w:firstLine="42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成交供应商违约责任：</w:t>
      </w:r>
      <w:r/>
    </w:p>
    <w:p>
      <w:pPr>
        <w:numPr>
          <w:ilvl w:val="0"/>
          <w:numId w:val="0"/>
        </w:numPr>
        <w:ind w:firstLine="42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①、不履行合同，采购人有权解除合同。如采购人还有其他损失，由成交供应商予以赔偿。</w:t>
      </w:r>
      <w:r/>
    </w:p>
    <w:p>
      <w:pPr>
        <w:numPr>
          <w:ilvl w:val="0"/>
          <w:numId w:val="0"/>
        </w:numPr>
        <w:ind w:firstLine="42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②、延迟履行，每延迟一天，成交供应商向采购人赔付人民币</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000元违约金，违约金上不封顶。</w:t>
      </w:r>
      <w:r/>
    </w:p>
    <w:p>
      <w:pPr>
        <w:numPr>
          <w:ilvl w:val="0"/>
          <w:numId w:val="0"/>
        </w:numPr>
        <w:ind w:firstLine="42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③、履行义务不符合合同的约定，采购人有权选择扣减相应合同款或要求成交供应商重新施工。</w:t>
      </w:r>
      <w:r/>
    </w:p>
    <w:p>
      <w:pPr>
        <w:numPr>
          <w:ilvl w:val="0"/>
          <w:numId w:val="0"/>
        </w:numPr>
        <w:ind w:firstLine="420"/>
        <w:spacing w:line="360" w:lineRule="auto"/>
        <w:rPr>
          <w:rFonts w:hint="eastAsia"/>
          <w:sz w:val="21"/>
          <w:szCs w:val="21"/>
          <w:highlight w:val="none"/>
          <w:lang w:val="en-US" w:eastAsia="zh-CN"/>
        </w:rPr>
      </w:pPr>
      <w:r>
        <w:rPr>
          <w:rFonts w:hint="eastAsia" w:ascii="宋体" w:hAnsi="宋体" w:eastAsia="宋体" w:cs="宋体"/>
          <w:b w:val="0"/>
          <w:bCs w:val="0"/>
          <w:color w:val="auto"/>
          <w:sz w:val="21"/>
          <w:szCs w:val="21"/>
          <w:highlight w:val="none"/>
          <w:lang w:val="zh-CN" w:eastAsia="zh-CN" w:bidi="ar-SA"/>
        </w:rPr>
        <w:t xml:space="preserve">④、由于成交供应商原因造成采购人损失，应承担赔偿损失责任。</w:t>
      </w:r>
      <w:r/>
    </w:p>
    <w:p>
      <w:pPr>
        <w:pStyle w:val="913"/>
        <w:numPr>
          <w:ilvl w:val="0"/>
          <w:numId w:val="5"/>
        </w:numPr>
        <w:ind w:left="0" w:firstLine="0"/>
        <w:jc w:val="left"/>
        <w:spacing w:after="156"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技术要求</w:t>
      </w:r>
      <w:r/>
    </w:p>
    <w:p>
      <w:pPr>
        <w:ind w:firstLine="422"/>
        <w:jc w:val="left"/>
        <w:spacing w:line="360" w:lineRule="auto"/>
        <w:tabs>
          <w:tab w:val="left" w:pos="252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1、热熔、冷喷标线等需求清单及技术要求</w:t>
      </w:r>
      <w:r/>
    </w:p>
    <w:p>
      <w:pPr>
        <w:numPr>
          <w:ilvl w:val="0"/>
          <w:numId w:val="6"/>
        </w:numPr>
        <w:jc w:val="left"/>
        <w:spacing w:line="360" w:lineRule="auto"/>
        <w:tabs>
          <w:tab w:val="left" w:pos="252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热熔标线厚度为2mm，保质期为不少于2年，干燥通车时间小于30分钟。干燥后，外观应无起皱、起泡、开裂、斑点、脱落、粘胎现象、颜色纯正。玻璃微珠应当充分与标线涂料粘合，不得自然或辗压脱落，夜间反光可视距离达到300米。抗压强度大于12mpa，耐低温-20℃至高温70℃不变形开裂及异常变色。热熔标线要求采用JT/T280-2004《路面标线涂料》中的反光型涂料，震荡标线要求采用凸起型涂料。</w:t>
      </w:r>
      <w:r/>
    </w:p>
    <w:p>
      <w:pPr>
        <w:numPr>
          <w:ilvl w:val="0"/>
          <w:numId w:val="6"/>
        </w:numPr>
        <w:jc w:val="left"/>
        <w:spacing w:line="360" w:lineRule="auto"/>
        <w:tabs>
          <w:tab w:val="left" w:pos="2520"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热熔振荡标线厚度为8mm，保质期为不少于2年。</w:t>
      </w:r>
      <w:r/>
    </w:p>
    <w:p>
      <w:pPr>
        <w:numPr>
          <w:ilvl w:val="0"/>
          <w:numId w:val="6"/>
        </w:numPr>
        <w:jc w:val="left"/>
        <w:spacing w:line="360" w:lineRule="auto"/>
        <w:tabs>
          <w:tab w:val="left" w:pos="2520"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冷喷常温标线要求采用JT/T280-2004《路面标线涂料》中的常温型涂料。涂抹外观：干燥后，应无发皱、泛花、起泡、开裂、粘胎等现象，涂抹颜色和外观应与标准板差异不大。干燥通车时间小于15分钟。厚度为0.3mm，保质期为不少于8个月。</w:t>
      </w:r>
      <w:r/>
    </w:p>
    <w:p>
      <w:pPr>
        <w:ind w:firstLine="422"/>
        <w:jc w:val="left"/>
        <w:spacing w:line="360" w:lineRule="auto"/>
        <w:tabs>
          <w:tab w:val="left" w:pos="425"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zh-CN"/>
        </w:rPr>
        <w:t xml:space="preserve">2、</w:t>
      </w:r>
      <w:r>
        <w:rPr>
          <w:rFonts w:hint="eastAsia" w:ascii="宋体" w:hAnsi="宋体" w:eastAsia="宋体" w:cs="宋体"/>
          <w:b/>
          <w:sz w:val="21"/>
          <w:szCs w:val="21"/>
          <w:highlight w:val="none"/>
        </w:rPr>
        <w:t xml:space="preserve">交通标志</w:t>
      </w:r>
      <w:r>
        <w:rPr>
          <w:rFonts w:hint="eastAsia" w:ascii="宋体" w:hAnsi="宋体" w:eastAsia="宋体" w:cs="宋体"/>
          <w:b/>
          <w:sz w:val="21"/>
          <w:szCs w:val="21"/>
          <w:highlight w:val="none"/>
          <w:lang w:val="zh-CN"/>
        </w:rPr>
        <w:t xml:space="preserve">技术参数要求：</w:t>
      </w:r>
      <w:r/>
    </w:p>
    <w:p>
      <w:pPr>
        <w:numPr>
          <w:ilvl w:val="0"/>
          <w:numId w:val="7"/>
        </w:num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施工技术标准和规范</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《道路交通标志和标线》（GB5768-2009）</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《道路交通反光膜》（GB/T18833-2012）</w:t>
      </w:r>
      <w:r/>
    </w:p>
    <w:p>
      <w:pPr>
        <w:numPr>
          <w:ilvl w:val="0"/>
          <w:numId w:val="7"/>
        </w:numPr>
        <w:jc w:val="left"/>
        <w:spacing w:line="360" w:lineRule="auto"/>
        <w:tabs>
          <w:tab w:val="left" w:pos="358"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其它要求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交通标志维护施工须符合采购人具体要求。</w:t>
      </w:r>
      <w:r/>
    </w:p>
    <w:p>
      <w:pPr>
        <w:ind w:firstLine="422"/>
        <w:jc w:val="left"/>
        <w:spacing w:line="360" w:lineRule="auto"/>
        <w:rPr>
          <w:rFonts w:hint="eastAsia" w:ascii="宋体" w:hAnsi="宋体" w:eastAsia="宋体" w:cs="宋体"/>
          <w:sz w:val="21"/>
          <w:szCs w:val="21"/>
          <w:highlight w:val="none"/>
          <w:lang w:val="zh-CN"/>
        </w:rPr>
      </w:pPr>
      <w:r>
        <w:rPr>
          <w:rFonts w:hint="eastAsia" w:ascii="宋体" w:hAnsi="宋体" w:eastAsia="宋体" w:cs="宋体"/>
          <w:b/>
          <w:sz w:val="21"/>
          <w:szCs w:val="21"/>
          <w:highlight w:val="none"/>
          <w:lang w:val="zh-CN"/>
        </w:rPr>
        <w:t xml:space="preserve">交通标志杆件和紧固件均须进行热镀锌处理，</w:t>
      </w:r>
      <w:r>
        <w:rPr>
          <w:rFonts w:hint="eastAsia" w:ascii="宋体" w:hAnsi="宋体" w:eastAsia="宋体" w:cs="宋体"/>
          <w:sz w:val="21"/>
          <w:szCs w:val="21"/>
          <w:highlight w:val="none"/>
          <w:lang w:val="zh-CN"/>
        </w:rPr>
        <w:t xml:space="preserve">同时杆件也可以按照采购人要求在热镀锌处理后进行烤漆，上白下灰，标志杆件应在顶部安装不锈钢顶帽。交通标志杆件应满足至少十年的质量保证期时间，质保期算法应自杆件完成设立、经采购人验收合格之日起。</w:t>
      </w:r>
      <w:r/>
    </w:p>
    <w:p>
      <w:pPr>
        <w:ind w:firstLine="420"/>
        <w:jc w:val="left"/>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圆形、三角形标志必须使用35mm凹槽铝圈式；</w:t>
      </w:r>
      <w:r/>
    </w:p>
    <w:p>
      <w:pPr>
        <w:ind w:firstLine="420"/>
        <w:jc w:val="left"/>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悬臂式标志基础为现浇混凝土C30；标志版面下缘距地面净空，城市道路设置净空大于5.5米，高速公路设置净空大于6米。在满足净空高度情况下，视为符合杆件技术参数要求，但标志版面上边缘不得超出主杆顶端20cm。同时，杆件设置不得倾斜，要求立柱与地面保持90℃垂直，横臂与立柱保持90℃垂直，特殊要求除外。悬臂杆件底部1米位置必须标注铭牌（生产厂家、出厂时间、材质等），其他要求详见工程量清单及单项报价表。</w:t>
      </w:r>
      <w:r/>
    </w:p>
    <w:p>
      <w:pPr>
        <w:ind w:firstLine="422"/>
        <w:jc w:val="left"/>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标志反光膜（包括LED标志）：使用前根据实际情况得到交警部门认可</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选用的反光膜品牌应具有国家权威机构针对该产品出具的检测报告。</w:t>
      </w:r>
      <w:r/>
    </w:p>
    <w:p>
      <w:pPr>
        <w:ind w:firstLine="422"/>
        <w:jc w:val="left"/>
        <w:spacing w:line="360" w:lineRule="auto"/>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rPr>
        <w:t xml:space="preserve">反光膜技术参数性能指标（本项不接受负偏离）</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所选用反光膜应符合GB/T18833-2012中反光膜要求</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应选用微棱镜结构反光膜；</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反光膜表面应为网格状花纹；</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反光膜的初始逆反射系数应能满足下表要求：</w:t>
      </w:r>
      <w:r/>
    </w:p>
    <w:tbl>
      <w:tblPr>
        <w:tblStyle w:val="894"/>
        <w:tblW w:w="9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165"/>
        <w:gridCol w:w="825"/>
        <w:gridCol w:w="1186"/>
        <w:gridCol w:w="1241"/>
        <w:gridCol w:w="1200"/>
        <w:gridCol w:w="1159"/>
        <w:gridCol w:w="1036"/>
      </w:tblGrid>
      <w:tr>
        <w:trPr>
          <w:cantSplit/>
          <w:trHeight w:val="220"/>
        </w:trPr>
        <w:tc>
          <w:tcPr>
            <w:tcW w:w="1209"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观察角</w:t>
            </w:r>
            <w:r/>
          </w:p>
        </w:tc>
        <w:tc>
          <w:tcPr>
            <w:tcW w:w="1165"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入射角</w:t>
            </w:r>
            <w:r/>
          </w:p>
        </w:tc>
        <w:tc>
          <w:tcPr>
            <w:gridSpan w:val="6"/>
            <w:tcW w:w="6647"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最小逆反射系数 cd·lx</w:t>
            </w:r>
            <w:r>
              <w:rPr>
                <w:rFonts w:hint="eastAsia" w:ascii="宋体" w:hAnsi="宋体" w:eastAsia="宋体" w:cs="宋体"/>
                <w:sz w:val="21"/>
                <w:szCs w:val="21"/>
                <w:highlight w:val="none"/>
                <w:vertAlign w:val="superscript"/>
              </w:rPr>
              <w:t xml:space="preserve">-1</w:t>
            </w:r>
            <w:r>
              <w:rPr>
                <w:rFonts w:hint="eastAsia" w:ascii="宋体" w:hAnsi="宋体" w:eastAsia="宋体" w:cs="宋体"/>
                <w:sz w:val="21"/>
                <w:szCs w:val="21"/>
                <w:highlight w:val="none"/>
              </w:rPr>
              <w:t xml:space="preserve">·m</w:t>
            </w:r>
            <w:r>
              <w:rPr>
                <w:rFonts w:hint="eastAsia" w:ascii="宋体" w:hAnsi="宋体" w:eastAsia="宋体" w:cs="宋体"/>
                <w:sz w:val="21"/>
                <w:szCs w:val="21"/>
                <w:highlight w:val="none"/>
                <w:vertAlign w:val="superscript"/>
              </w:rPr>
              <w:t xml:space="preserve">-2</w:t>
            </w:r>
            <w:r/>
          </w:p>
        </w:tc>
      </w:tr>
      <w:tr>
        <w:trPr>
          <w:cantSplit/>
          <w:trHeight w:val="193"/>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白色</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黄色</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红色</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绿色</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蓝色</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棕色</w:t>
            </w:r>
            <w:r/>
          </w:p>
        </w:tc>
      </w:tr>
      <w:tr>
        <w:trPr>
          <w:cantSplit/>
          <w:trHeight w:val="90"/>
        </w:trPr>
        <w:tc>
          <w:tcPr>
            <w:tcW w:w="1209"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0.2º</w:t>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w:t>
            </w:r>
            <w:r/>
          </w:p>
        </w:tc>
      </w:tr>
      <w:tr>
        <w:trPr>
          <w:cantSplit/>
        </w:trPr>
        <w:tc>
          <w:tcPr>
            <w:tcW w:w="1209"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0.33º</w:t>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r>
      <w:tr>
        <w:trPr>
          <w:cantSplit/>
        </w:trPr>
        <w:tc>
          <w:tcPr>
            <w:tcW w:w="1209"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1.0º</w:t>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0.8</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0.8</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0.6</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0.4</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0.3</w:t>
            </w:r>
            <w:r/>
          </w:p>
        </w:tc>
      </w:tr>
    </w:tbl>
    <w:p>
      <w:pPr>
        <w:ind w:firstLine="315"/>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14"/>
        <w:jc w:val="both"/>
        <w:spacing w:before="0" w:beforeAutospacing="0" w:after="0" w:afterAutospacing="0" w:line="360" w:lineRule="auto"/>
        <w:rPr>
          <w:rFonts w:hint="eastAsia" w:ascii="宋体" w:hAnsi="宋体" w:eastAsia="宋体" w:cs="宋体"/>
          <w:spacing w:val="25"/>
          <w:sz w:val="21"/>
          <w:szCs w:val="21"/>
          <w:highlight w:val="none"/>
          <w:shd w:val="clear" w:color="auto" w:fill="ffffff"/>
        </w:rPr>
      </w:pPr>
      <w:r>
        <w:rPr>
          <w:rFonts w:hint="eastAsia" w:ascii="宋体" w:hAnsi="宋体" w:eastAsia="宋体" w:cs="宋体"/>
          <w:sz w:val="21"/>
          <w:szCs w:val="21"/>
          <w:highlight w:val="none"/>
        </w:rPr>
        <w:t xml:space="preserve">主动发光标志：以“提升交通标志视距，主动预防交通事故”为主题的安全视距提升工程在全国道路交通安全工程领域得到快速推动和实施，为引导战略新兴主动发光交通标志产业的健康有序发展，明确适用标准、产品定义如下：</w:t>
      </w:r>
      <w:r/>
    </w:p>
    <w:p>
      <w:pPr>
        <w:pStyle w:val="914"/>
        <w:ind w:firstLine="422"/>
        <w:spacing w:before="0" w:beforeAutospacing="0" w:after="0" w:afterAutospacing="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面板显示型，适用中国安全产业协会团体标准T/CSIA001-2018《面板显示主动发光交通标志》，分为半透式和全透式。</w:t>
      </w:r>
      <w:r/>
    </w:p>
    <w:p>
      <w:pPr>
        <w:pStyle w:val="914"/>
        <w:ind w:firstLine="422"/>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定义</w:t>
      </w:r>
      <w:r>
        <w:rPr>
          <w:rFonts w:hint="eastAsia" w:ascii="宋体" w:hAnsi="宋体" w:eastAsia="宋体" w:cs="宋体"/>
          <w:sz w:val="21"/>
          <w:szCs w:val="21"/>
          <w:highlight w:val="none"/>
        </w:rPr>
        <w:t xml:space="preserve">：在不破坏标志板表面逆反射材料的情况下，采用规则间距布珠的混光定向技术LED光源板实施光源转换，透过逆反射材料背面形成穿透光而显示高清晰标志信息内容。</w:t>
      </w:r>
      <w:r/>
    </w:p>
    <w:p>
      <w:pPr>
        <w:pStyle w:val="914"/>
        <w:ind w:firstLine="422"/>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其中</w:t>
      </w:r>
      <w:r>
        <w:rPr>
          <w:rFonts w:hint="eastAsia" w:ascii="宋体" w:hAnsi="宋体" w:eastAsia="宋体" w:cs="宋体"/>
          <w:sz w:val="21"/>
          <w:szCs w:val="21"/>
          <w:highlight w:val="none"/>
        </w:rPr>
        <w:t xml:space="preserve">：仅仅是标志的文字笔划、图形轮廓具有穿透光，称为半透式面板显示发光标志；标志的底板、文字笔划、图形轮廓全部具有穿透光，称为全透式面板显示发光标志。</w:t>
      </w:r>
      <w:r/>
    </w:p>
    <w:p>
      <w:pPr>
        <w:pStyle w:val="914"/>
        <w:ind w:firstLine="422"/>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定义</w:t>
      </w:r>
      <w:r>
        <w:rPr>
          <w:rFonts w:hint="eastAsia" w:ascii="宋体" w:hAnsi="宋体" w:eastAsia="宋体" w:cs="宋体"/>
          <w:sz w:val="21"/>
          <w:szCs w:val="21"/>
          <w:highlight w:val="none"/>
        </w:rPr>
        <w:t xml:space="preserve">：采用一种菲尼光学透镜将LED封装于标志板表面，密集多点连续成线布设于文字笔划、图形轮廓以显示标志信息内容。</w:t>
      </w:r>
      <w:r/>
    </w:p>
    <w:p>
      <w:pPr>
        <w:numPr>
          <w:ilvl w:val="0"/>
          <w:numId w:val="7"/>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LED警示桩参数</w:t>
      </w:r>
      <w:r/>
    </w:p>
    <w:tbl>
      <w:tblPr>
        <w:tblStyle w:val="894"/>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173"/>
        <w:gridCol w:w="2966"/>
        <w:gridCol w:w="4749"/>
      </w:tblGrid>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参数要求</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太阳能板</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0.3W单晶硅太阳能板,寿命&gt;8年</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蓄 电 池</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锂电池1.2V/800mah,寿命&gt;2年</w:t>
            </w:r>
            <w:r/>
          </w:p>
        </w:tc>
      </w:tr>
      <w:tr>
        <w:trPr>
          <w:trHeight w:val="166"/>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LED 灯珠</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超亮LED，可视距离&gt;500米</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控 制 器</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光控</w:t>
            </w:r>
            <w:r/>
          </w:p>
        </w:tc>
      </w:tr>
      <w:tr>
        <w:trPr>
          <w:trHeight w:val="32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工作时间</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太阳下充电8小时可以工作72小时,连续放电200H以上</w:t>
            </w:r>
            <w:r/>
          </w:p>
        </w:tc>
      </w:tr>
      <w:tr>
        <w:trPr>
          <w:trHeight w:val="317"/>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工作环境</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在-25- +65摄氏度可正常工作，防护等级IP65</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组装配件</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产品重量</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5.5KG</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产品尺寸</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1500*114mm</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产品材质</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钣金材料+高透光性聚碳酸酯 PC</w:t>
            </w:r>
            <w:r/>
          </w:p>
        </w:tc>
      </w:tr>
    </w:tbl>
    <w:p>
      <w:pPr>
        <w:ind w:firstLine="422"/>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3、隔离护栏等</w:t>
      </w:r>
      <w:r>
        <w:rPr>
          <w:rFonts w:hint="eastAsia" w:ascii="宋体" w:hAnsi="宋体" w:eastAsia="宋体" w:cs="宋体"/>
          <w:b/>
          <w:sz w:val="21"/>
          <w:szCs w:val="21"/>
          <w:highlight w:val="none"/>
        </w:rPr>
        <w:t xml:space="preserve">需求清单及技术要求</w:t>
      </w:r>
      <w:r/>
    </w:p>
    <w:p>
      <w:pPr>
        <w:numPr>
          <w:ilvl w:val="0"/>
          <w:numId w:val="8"/>
        </w:numPr>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施工技术标准和规范</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不锈钢、玛钢混合型道路隔离护栏技术指标：</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隔离护栏的要求;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隔离护栏的形状，尺寸及材质按照图纸加工生产。</w:t>
      </w:r>
      <w:r>
        <w:rPr>
          <w:rFonts w:hint="eastAsia" w:ascii="宋体" w:hAnsi="宋体" w:eastAsia="宋体" w:cs="宋体"/>
          <w:b/>
          <w:sz w:val="21"/>
          <w:szCs w:val="21"/>
          <w:highlight w:val="none"/>
          <w:lang w:val="zh-CN"/>
        </w:rPr>
        <w:t xml:space="preserve">每套不锈钢护栏为1片1桩柱组成。</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隔离护栏铁花片材料为KTH350-10可锻铸铁、铸件表面应光滑无气孔、砂眼，棱角清晰。</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隔离护栏外框为不锈钢套管，内衬焊管，四角为不锈钢弯头相连。</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隔离护栏每套铁花共6片，分三组，每组铁花（正、反面）16个焊点，每个焊点拖焊2公分。</w:t>
      </w:r>
      <w:r/>
    </w:p>
    <w:p>
      <w:pPr>
        <w:numPr>
          <w:ilvl w:val="0"/>
          <w:numId w:val="8"/>
        </w:numPr>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马钢片重量和质量的要求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不锈钢护栏马钢片每片重量应为3.2公斤，负公差为不超过0.1公斤。</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高度在1米以上（含1米）每片马钢片平行自由落地情况下，应保持完整、不碎。</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每套不锈钢护栏成品平行放在地面，成年人站上面后，应保持完整、不断，并带有韧性。</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不锈钢焊缝需平整、圆滑、牢固，焊缝不准开裂和漏焊。</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隔离护栏底座材料为HT-200铸铁、铸件表面应光滑无气孔、砂眼，棱角清晰。</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桩座立柱外观为不锈钢套管，内衬焊管，焊管与底座芯套连接处必须满焊，每个隔离桩座重量等于65公斤，负差不超过2公斤。正面二处铸有 “公安”字，字的大小应满足平面要求。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桩座、花片铸件表面需全部刷漆，一底二面，面漆为苹果绿色，要求颜色均匀，没有色差。</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内衬焊管表面需涂防锈漆。</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非人为损坏的情况下，底座和花片表面涂履两年内不能脱落。</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桩帽为δ=0.1厘米不锈钢冲压成型后焊接在桩柱上。</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桩座杆与护栏片连接用不锈钢上、下互补连接件，工件加工必须光滑无毛刺，配合正确，装卸方便。连接件要严格按照图纸尺寸焊接能适合维修、互换。</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材质规定：</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护栏片套管为直径5.1厘米×0.1厘米不锈钢套管。</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护栏片内衬管为直径4.8厘米×0.2厘米普通焊管。</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护栏片弯头为直径5.1厘米×0.1厘米不锈钢弯头。</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桩座立柱套管为直径6.3厘米×0.12厘米不锈钢套管。</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桩座内衬为直径6厘米×0.2厘米普通焊管。</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桩、片连接件为不锈钢套铣、钻加工。</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桩、片连接用镀锌螺栓、螺母。</w:t>
      </w:r>
      <w:r/>
    </w:p>
    <w:p>
      <w:pPr>
        <w:numPr>
          <w:ilvl w:val="0"/>
          <w:numId w:val="8"/>
        </w:numPr>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铁质站桩技术要求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站桩材质：焊管直径为φ114 mm，厚度为4mm, 长度为1110mm 。</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站桩预埋深度为300mm， 伸出地面800mm与地面垂直并且预埋底端焊有100mm金属件，增加牢固性。</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站桩油漆为红、白、红、白四道。</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站桩预埋时水泥浇注要与地面保持平行。</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站桩顶部盖帽为不锈钢冲压件。</w:t>
      </w:r>
      <w:r/>
    </w:p>
    <w:p>
      <w:pPr>
        <w:numPr>
          <w:ilvl w:val="0"/>
          <w:numId w:val="8"/>
        </w:numPr>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热镀锌钢护栏技术要求：</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护栏整体采用先热镀锌钢，然后进行户外彩色纯聚酯粉末喷涂，必须使用镀锌钢板表面喷塑填砼底座。（重量≥22公斤，颜色为灰色），底座表面采用镀锌板，镀锌板的厚度必须达到1.0mm以上，二次冲压成型（底座外型尺寸300mm*400mm*175mm），底座的两侧平面必须印有“公安”两字。</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必须在立柱的顶端使用太阳能LED柱帽，在夜晚具有闪烁功能（要求白天自动吸收阳光，晚上四个方向自动闪光，使用寿命在5年以上），太阳能柱帽尺寸（80mm*80mm*60mm）。</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必须在每根立柱上安装夜间反光轮廓标。</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防炫光板必须使用S型镀锌钢栅片条板（宽度尺寸78mm），起到隔离车辆灯光的作用。</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护栏制作尺寸、使用材料及材料外观尺寸、配件材质、尺寸及工艺要求与采购文件符合。</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4.交通信号灯技术要求</w:t>
      </w:r>
      <w:r/>
    </w:p>
    <w:p>
      <w:pPr>
        <w:numPr>
          <w:ilvl w:val="0"/>
          <w:numId w:val="9"/>
        </w:num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机动车信号灯技术指标</w:t>
      </w:r>
      <w:r/>
    </w:p>
    <w:p>
      <w:pPr>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所提供的灯具的各项技术指标（如：防护等级、湿度、高低温、振动、电气性能等）必须达到《道路交通信号灯》（GB14887—2003）要求，</w:t>
      </w:r>
      <w:r>
        <w:rPr>
          <w:rFonts w:hint="eastAsia" w:ascii="宋体" w:hAnsi="宋体" w:eastAsia="宋体" w:cs="宋体"/>
          <w:bCs/>
          <w:sz w:val="21"/>
          <w:szCs w:val="21"/>
          <w:highlight w:val="none"/>
        </w:rPr>
        <w:t xml:space="preserve">并通过公安部交通安全产品质量监督检测中心或市级以上质量技术监督局检测合格；</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外壳颜色为黑色，外壳、前盖、色片及密封圈表面平滑，无缺料，开裂、银丝、变形和毛刺等缺陷；表面有牢固的防锈、防腐蚀层。灯具前盖与壳体的连接要求在借助其它工具的情况下用手操作既能开启方便又可快速拆卸，利于维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外形尺寸及材质</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alphabetic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）灯面直径：￠400mm(误差在±5%以内)；</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灯体材质：铝合金压铸灯箱，灯具所有密封元件应采用硅橡胶材料，使其在长期的高温和低温环境下不致于出现硬化。与信号灯杆连接固定的安装支架是热镀锌钢结构件，热镀锌钢结构件外观颜色与信号灯杆一致；</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c)外形尺寸：  （单位：毫米）</w:t>
      </w:r>
      <w:r/>
    </w:p>
    <w:tbl>
      <w:tblPr>
        <w:tblStyle w:val="894"/>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0"/>
        <w:gridCol w:w="2884"/>
        <w:gridCol w:w="2147"/>
        <w:gridCol w:w="1777"/>
      </w:tblGrid>
      <w:tr>
        <w:trPr>
          <w:jc w:val="center"/>
          <w:trHeight w:val="706" w:hRule="exact"/>
        </w:trPr>
        <w:tc>
          <w:tcPr>
            <w:tcBorders>
              <w:top w:val="single" w:color="auto" w:sz="4" w:space="0"/>
              <w:left w:val="single" w:color="auto" w:sz="4" w:space="0"/>
              <w:bottom w:val="single" w:color="auto" w:sz="4" w:space="0"/>
              <w:right w:val="single" w:color="auto" w:sz="4" w:space="0"/>
            </w:tcBorders>
            <w:tcW w:w="2280"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遮沿伸出</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灯壳外长度</w:t>
            </w:r>
            <w:r/>
          </w:p>
        </w:tc>
        <w:tc>
          <w:tcPr>
            <w:tcBorders>
              <w:top w:val="single" w:color="auto" w:sz="4" w:space="0"/>
              <w:left w:val="single" w:color="auto" w:sz="4" w:space="0"/>
              <w:bottom w:val="single" w:color="auto" w:sz="4" w:space="0"/>
              <w:right w:val="single" w:color="auto" w:sz="4" w:space="0"/>
            </w:tcBorders>
            <w:tcW w:w="2884"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灯壳厚（不含遮沿）</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灯壳宽</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灯光高</w:t>
            </w:r>
            <w:r/>
          </w:p>
        </w:tc>
      </w:tr>
      <w:tr>
        <w:trPr>
          <w:jc w:val="center"/>
        </w:trPr>
        <w:tc>
          <w:tcPr>
            <w:tcBorders>
              <w:top w:val="single" w:color="auto" w:sz="4" w:space="0"/>
              <w:left w:val="single" w:color="auto" w:sz="4" w:space="0"/>
              <w:bottom w:val="single" w:color="auto" w:sz="4" w:space="0"/>
              <w:right w:val="single" w:color="auto" w:sz="4" w:space="0"/>
            </w:tcBorders>
            <w:tcW w:w="2280"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350~450</w:t>
            </w:r>
            <w:r/>
          </w:p>
        </w:tc>
        <w:tc>
          <w:tcPr>
            <w:tcBorders>
              <w:top w:val="single" w:color="auto" w:sz="4" w:space="0"/>
              <w:left w:val="single" w:color="auto" w:sz="4" w:space="0"/>
              <w:bottom w:val="single" w:color="auto" w:sz="4" w:space="0"/>
              <w:right w:val="single" w:color="auto" w:sz="4" w:space="0"/>
            </w:tcBorders>
            <w:tcW w:w="2884"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150~200</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630~670</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1550~1600</w:t>
            </w:r>
            <w:r/>
          </w:p>
        </w:tc>
      </w:tr>
    </w:tbl>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发光单元：采用超高亮度发光二极管，LED寿命&gt;50000小时；</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显示画面：红满屏、黄满屏、绿满屏；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工作电压：AC220V±15%、50Hz±2Hz;</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消耗功率：&lt;20W；</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适应湿度：-35℃~+75℃；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适应湿度：≤95%;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单套重量：&lt;30kg；</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内部电气装置：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alphabetic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）接线端子组上的每个端子均应依据信号类别进行标识，标识的详细含义应在用户手册中说明。交流电源线，接地线均应用规范内的符号或文字标出；</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b）接地端子应有标记，对于超过安全特低电压（交流峰值不超过42.4v、直流电压不超过60v）的带电部件，在其显著位置应设置醒目的警告标志；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c)内部的各种电气装置应布局合理，便于安装维护，内部走线应清晰、整齐，便于零部件的更换；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d)接线端子应安装牢固，连接可靠，在进行正常拆、接线操作时不应有松动。正确接线后在不借助工具的情况下应不能将导线松开。</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外壳防护等级：IP53；</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铭牌：应牢固安装在道路交通信号灯外表面不影响显示的醒目位置，铭牌的尺寸应与道路交通信号灯结构尺寸相适宜；</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绝缘电阻、介电强度、泄漏电流、耐盐雾、抗振动等性能应分别符合GB14887-2003中5.14-5.18的要求；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光学性能应符合GB/14887-2003中5.3.1、5.3.2的要求。</w:t>
      </w:r>
      <w:r/>
    </w:p>
    <w:p>
      <w:pPr>
        <w:numPr>
          <w:ilvl w:val="0"/>
          <w:numId w:val="9"/>
        </w:num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行人信号灯技术指标</w:t>
      </w:r>
      <w:r/>
    </w:p>
    <w:p>
      <w:pPr>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所提供的灯具的各项技术指标（如：防护等级、湿度、高低温、振动、电气性能等）必须达到《道路交通信号灯》（GB14887—2003）要求，</w:t>
      </w:r>
      <w:r>
        <w:rPr>
          <w:rFonts w:hint="eastAsia" w:ascii="宋体" w:hAnsi="宋体" w:eastAsia="宋体" w:cs="宋体"/>
          <w:bCs/>
          <w:sz w:val="21"/>
          <w:szCs w:val="21"/>
          <w:highlight w:val="none"/>
        </w:rPr>
        <w:t xml:space="preserve">并通过公安部交通安全产品质量监督检测中心或市级以上质量技术监督局检测合格；</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每组信号灯由两个几何位置分立单元组成；灯体外壳颜色为黑色，外壳、前盖、遮沿、色片及密封圈表面平滑，无缺料、无开裂、无银丝、无明显变型和毛刺等缺陷；表面有牢固的防锈、防腐蚀层。灯具前盖与壳体的连接要求在借助其它工具的情况下用手操作既能开启方便又可快速拆卸，利于维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外形尺寸及材质：</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alphabetic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）灯面直径：￠300mm(误差在±5%以内)</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b)灯体材质：铝合金压铸灯箱，灯具所有密封元件应采用硅橡胶材料，使其在长期的高温和低温环境下不致于出现硬化。与信号杆连接固定的安装支架是热镀锌钢结构件。</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发光单元：采用超高亮度发光二极管，LED寿命&gt;5000小时；</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显示画面：国标红人、绿人（上红下绿）；</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可配接语音提示行人过街；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工作电压：AC220V±15%、50Hz±2Hz;</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消耗功率：&lt;20W；</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适应湿度：-35℃~+75℃;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适应湿度：≤95%;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内部电气装置：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alphabetic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）接线端子组上的每个端子均应依据信号类别进行标识，标识的详细含义应在用户手册中说明。交流电源线，接地线均应用规范的符号或文字标出；</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b）接地端子应有标记，对于超过安全特低电压（交流峰值不超过42.4v、直流电压不超过60v）的带电部件，在其显著位置应设置醒目的警告标志；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c)内部的各种电气装置应布局合理，便于安装维护，内部走线应清晰、整齐，便于零部件的更换；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d)接线端子应安装牢固，连接可靠，在进行正常拆、接线操作时不应有松动。正确接线后在不借助工具的情况下应不能将导线松开。</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外壳防护等级：IP53；</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铭牌：应牢固安装在道路交通信号灯外表面不影响显示的醒目位置，铭牌的尺寸应与道路交通信号灯结构尺寸相适宜；</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绝缘电阻、介电强度、泄漏电流、耐盐雾、抗振动等性能应分别符合GB14887-2003中5.14-5.18的要求；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光学性能应符合GB/14887-2003中5.3.2的要求。</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5.信号控制机的技术要求</w:t>
      </w:r>
      <w:r/>
    </w:p>
    <w:p>
      <w:pPr>
        <w:numPr>
          <w:ilvl w:val="0"/>
          <w:numId w:val="10"/>
        </w:numPr>
        <w:jc w:val="left"/>
        <w:spacing w:line="360" w:lineRule="auto"/>
        <w:rPr>
          <w:rFonts w:hint="eastAsia" w:ascii="宋体" w:hAnsi="宋体" w:eastAsia="宋体" w:cs="宋体"/>
          <w:bCs/>
          <w:spacing w:val="-4"/>
          <w:sz w:val="21"/>
          <w:szCs w:val="21"/>
          <w:highlight w:val="none"/>
        </w:rPr>
      </w:pPr>
      <w:r>
        <w:rPr>
          <w:rFonts w:hint="eastAsia" w:ascii="宋体" w:hAnsi="宋体" w:eastAsia="宋体" w:cs="宋体"/>
          <w:spacing w:val="-4"/>
          <w:sz w:val="21"/>
          <w:szCs w:val="21"/>
          <w:highlight w:val="none"/>
        </w:rPr>
        <w:t xml:space="preserve">信号控制机的各项技术指标必须达到《道路交通信号控制机》GA47-2002要求，</w:t>
      </w:r>
      <w:r>
        <w:rPr>
          <w:rFonts w:hint="eastAsia" w:ascii="宋体" w:hAnsi="宋体" w:eastAsia="宋体" w:cs="宋体"/>
          <w:bCs/>
          <w:spacing w:val="-4"/>
          <w:sz w:val="21"/>
          <w:szCs w:val="21"/>
          <w:highlight w:val="none"/>
        </w:rPr>
        <w:t xml:space="preserve">并通过公安部交通安全产品质量监督检测中心或市级以上质量技术监督局检测合格，能和江宁公安联网；</w:t>
      </w:r>
      <w:r/>
    </w:p>
    <w:p>
      <w:pPr>
        <w:numPr>
          <w:ilvl w:val="0"/>
          <w:numId w:val="1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主要技术指标：</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单点自主式控制，具备无电缆线控、多时段定周期、黄闪、全红、全黄、夜间关灯、手控、感应等多种具有良好的防雷击、抗干扰保护措施；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整机全模块化（插件单元）设计，系统的硬件配置可作弹性调整，机器维修能简化为功能模块现场快速代换；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16相位控制，相序、相位含义可由用户设置；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基本24路灯控输出，可扩充到48路；</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可带通信式三色倒计时显示屏；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可设“特殊日”、“星期”和“普遍”三种模式，可设99天特殊日，每天可设10个时段、10个配时方案。</w:t>
      </w:r>
      <w:r/>
    </w:p>
    <w:p>
      <w:pPr>
        <w:numPr>
          <w:ilvl w:val="0"/>
          <w:numId w:val="1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其他功能技术指标：</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具有全反馈绿灯信号冲突监测和红灯不亮监测功能；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具有GPS对时功能；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配时方案、相位差可设置三位置；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工作主式变化时，红绿灯信号自动平滑过渡；</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具有掉电保护功能，工作参数和时钟至少可保持一个月不丢失；</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配备液晶面板及键盘可现场显示和修改信号机工作参数；</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通过手持终端、掌上电脑、笔记本计算机，能对信号机的主要参数进行现场调看和设置。</w:t>
      </w:r>
      <w:r/>
    </w:p>
    <w:p>
      <w:pPr>
        <w:numPr>
          <w:ilvl w:val="0"/>
          <w:numId w:val="1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主要电气指标：</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每路驱动功率：≥800W；</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交流输入：220(+15%~-20%)VAC，50±2Hz；</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输入功耗：≤15W（不含信号灯）；</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工作温度：-20℃~+70℃；</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相对工作湿度：10~95%；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储存温度：45~60%；</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绝缘电阻：≥10MΩ。</w:t>
      </w:r>
      <w:r/>
    </w:p>
    <w:p>
      <w:pPr>
        <w:numPr>
          <w:ilvl w:val="0"/>
          <w:numId w:val="1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信号机箱要求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具备防雨、防潮、防尘、防震的能力，表面做高级防锈蚀以及抗风化处理，能适应全天候的户外运行；</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机箱顶开口能放GPS天线和GPIS天线；</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预留标准电源插座1只以上；</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体积：高≥100mm、宽≥500mm、深≥300mm。</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6.三色倒计时显示屏技术指标</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机箱内、外表面光洁、平整、无凹痕、划伤、裂缝、变形和毛刺等缺陷。箱体表面有牢固的防锈、防腐蚀层。转动部件活动灵活，坚固部件紧固。显示单元与倒计时器箱体连接紧密，无松动。显示单元密封，密封表面平整。</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重量和尺寸</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单套数码显示倒计时器的重量&lt;55kg。</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数码显示倒计时器的尺寸：</w:t>
      </w:r>
      <w:r/>
    </w:p>
    <w:p>
      <w:pPr>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单位：毫米</w:t>
      </w:r>
      <w:r/>
    </w:p>
    <w:tbl>
      <w:tblPr>
        <w:tblStyle w:val="894"/>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1"/>
        <w:gridCol w:w="2073"/>
        <w:gridCol w:w="3177"/>
        <w:gridCol w:w="1800"/>
      </w:tblGrid>
      <w:tr>
        <w:trPr>
          <w:jc w:val="center"/>
          <w:trHeight w:val="838" w:hRule="exact"/>
        </w:trPr>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遮沿伸出</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灯壳外长度</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数字间距</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字宽（红管5排、</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蓝绿管4或5排）</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字高</w:t>
            </w:r>
            <w:r/>
          </w:p>
        </w:tc>
      </w:tr>
      <w:tr>
        <w:trPr>
          <w:jc w:val="center"/>
          <w:trHeight w:val="593"/>
        </w:trPr>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500-525</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220-230</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430-440</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800-810</w:t>
            </w:r>
            <w:r/>
          </w:p>
        </w:tc>
      </w:tr>
    </w:tbl>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倒计时器箱体的材料为：Q235，符合GB14887-2003中4.1.2的要求；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倒计时器与信号灯杆连接固定的安装支架是热镀锌钢结构件，热镀锌钢结构件外观颜色与信号灯杆一致；</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倒计时器箱体外壳颜色为黑色。</w:t>
      </w:r>
      <w:r/>
    </w:p>
    <w:p>
      <w:pPr>
        <w:numPr>
          <w:ilvl w:val="0"/>
          <w:numId w:val="11"/>
        </w:numPr>
        <w:jc w:val="left"/>
        <w:spacing w:line="360" w:lineRule="auto"/>
        <w:tabs>
          <w:tab w:val="left" w:pos="75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结构性能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倒计时器的箱体设计满足户外的使用条件，便于安装、使用和维护；</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倒计时器机箱门为双开门，开启方便，开启角度&gt;90，机箱门关闭后无松动、变形。</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内部电气装置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倒计时器内部的各种电气装置布局合理，便于安装维护，内部走线清晰、整齐，便于零部件的更换；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电源部分设有防雷装置和电源滤波器。</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接地</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倒计时器内设置专门的接地端子，机箱内在正常操作中易触及的金属部件均有效接地。所有承载220VAC电压部件的金属外壳均有效接地。保护接地线应使用专用绿/黄双色导线。</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基本功能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码显示倒计时器以标准7段码形式显示数字（0-9），其颜色与南京目前主要使用的超高亮度LED道路交通信号灯灯色一致，数值为对应信号相位剩余时间，并按秒递减，数码显示倒计时器最大显示数字大于99时，十位倒计时器采用A、B、C、D、E、F字母显示，分别表示100、110、120、130、140、150，个位倒计时器按原有方式显示，最大显示数字为159。</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倒计时器与道路交通信号控制机之间的数据通讯协议符合GA47-2002、GA/T508-2004标准。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通讯式倒计时器根据道路交通信号控制机的指令显示对应信号相位的剩余时间。倒计时器与道路交通信号控制机之间的通讯每秒进行一次。通讯方式保证信号相位变化时的实时响应。</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道路交通信号控制机启动时，倒计时器显示黑屏；通讯正常时，倒计时器的显示连贯递减，无乱码、丢码等现象；通讯中断时，或者道路交通信号控制机由自动控制转入手动控制时，倒计时器能在2秒之内显示黑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亮度性能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在可观察到的倒计时器点亮区域内，亮度均匀。测试该区域规定范围内的亮度时，最大值与最小值之比小于10；在均匀分布的各个测量点（该点是直径为至少5mm的圆）的亮度平均值符合下表规定；倒计时器各方向上的亮度平均值如下表：</w:t>
      </w:r>
      <w:r/>
    </w:p>
    <w:p>
      <w:pPr>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单位：坎德拉每平方米</w:t>
      </w:r>
      <w:r/>
    </w:p>
    <w:tbl>
      <w:tblPr>
        <w:tblStyle w:val="894"/>
        <w:tblW w:w="8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4"/>
        <w:gridCol w:w="2085"/>
        <w:gridCol w:w="1841"/>
        <w:gridCol w:w="2522"/>
      </w:tblGrid>
      <w:tr>
        <w:trPr/>
        <w:tc>
          <w:tcPr>
            <w:tcBorders>
              <w:top w:val="single" w:color="auto" w:sz="4" w:space="0"/>
              <w:left w:val="single" w:color="auto" w:sz="4" w:space="0"/>
              <w:bottom w:val="single" w:color="auto" w:sz="4" w:space="0"/>
              <w:right w:val="single" w:color="auto" w:sz="4" w:space="0"/>
            </w:tcBorders>
            <w:tcW w:w="2464" w:type="dxa"/>
            <w:vAlign w:val="center"/>
            <w:vMerge w:val="restart"/>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垂直角度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（基准轴向下）</w:t>
            </w:r>
            <w:r/>
          </w:p>
        </w:tc>
        <w:tc>
          <w:tcPr>
            <w:tcBorders>
              <w:top w:val="single" w:color="auto" w:sz="4" w:space="0"/>
              <w:left w:val="single" w:color="auto" w:sz="4" w:space="0"/>
              <w:bottom w:val="single" w:color="auto" w:sz="4" w:space="0"/>
              <w:right w:val="single" w:color="auto" w:sz="4" w:space="0"/>
            </w:tcBorders>
            <w:tcW w:w="2085" w:type="dxa"/>
            <w:vAlign w:val="center"/>
            <w:vMerge w:val="restart"/>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水平角度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（基准轴左右）</w:t>
            </w:r>
            <w:r/>
          </w:p>
        </w:tc>
        <w:tc>
          <w:tcPr>
            <w:gridSpan w:val="2"/>
            <w:tcBorders>
              <w:top w:val="single" w:color="auto" w:sz="4" w:space="0"/>
              <w:left w:val="single" w:color="auto" w:sz="4" w:space="0"/>
              <w:bottom w:val="single" w:color="auto" w:sz="4" w:space="0"/>
              <w:right w:val="single" w:color="auto" w:sz="4" w:space="0"/>
            </w:tcBorders>
            <w:tcW w:w="4363"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颜色</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continue"/>
            <w:textDirection w:val="lrTb"/>
            <w:noWrap/>
          </w:tcPr>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vMerge w:val="continue"/>
            <w:textDirection w:val="lrTb"/>
            <w:noWrap/>
          </w:tcPr>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红色</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绿色</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restart"/>
            <w:textDirection w:val="lrTb"/>
            <w:noWrap/>
          </w:tcPr>
          <w:p>
            <w:pPr>
              <w:jc w:val="center"/>
              <w:spacing w:line="360" w:lineRule="auto"/>
              <w:rPr>
                <w:rFonts w:hint="eastAsia" w:ascii="宋体" w:hAnsi="宋体" w:eastAsia="宋体" w:cs="宋体"/>
                <w:sz w:val="21"/>
                <w:szCs w:val="21"/>
                <w:highlight w:val="none"/>
                <w:vertAlign w:val="superscript"/>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&gt;6000</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&gt;10000</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continue"/>
            <w:textDirection w:val="lrTb"/>
            <w:noWrap/>
          </w:tcPr>
          <w:p>
            <w:pPr>
              <w:jc w:val="left"/>
              <w:spacing w:line="360" w:lineRule="auto"/>
              <w:widowControl/>
              <w:rPr>
                <w:rFonts w:hint="eastAsia" w:ascii="宋体" w:hAnsi="宋体" w:eastAsia="宋体" w:cs="宋体"/>
                <w:sz w:val="21"/>
                <w:szCs w:val="21"/>
                <w:highlight w:val="none"/>
                <w:vertAlign w:val="superscript"/>
              </w:rPr>
            </w:pPr>
            <w:r>
              <w:rPr>
                <w:rFonts w:hint="eastAsia" w:ascii="宋体" w:hAnsi="宋体" w:eastAsia="宋体" w:cs="宋体"/>
                <w:sz w:val="21"/>
                <w:szCs w:val="21"/>
                <w:highlight w:val="none"/>
                <w:vertAlign w:val="superscript"/>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&gt;1500</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&gt;7000</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restart"/>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&gt;4000</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&gt;9000</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continue"/>
            <w:textDirection w:val="lrTb"/>
            <w:noWrap/>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&gt;2500</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&gt;6000</w:t>
            </w:r>
            <w:r/>
          </w:p>
        </w:tc>
      </w:tr>
    </w:tbl>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倒计时器电源额定工作电压为：AC220V、50Hz；当电源电压在AC220V±15%、50Hz±2Hz范围为波动时倒计时器能够正常工作。</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铭牌</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倒计时器应有铭牌。铭牌应牢固安装在倒计时器外表面不影响倒计时器显示的醒目位置，铭牌的尺寸应与倒计时器结构尺寸相适宜。</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安全标记</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倒计时器的接地端子应有标记，对于超过安全特低电压（交流峰值不超过42.4V、直流电压不超过60W）的带电部件。在其显著位置应设置醒目的警告标志。</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7.交通信号灯杆技术要求</w:t>
      </w:r>
      <w:r/>
    </w:p>
    <w:p>
      <w:pPr>
        <w:pStyle w:val="1130"/>
        <w:ind w:firstLine="3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钢质灯杆、法兰盘、地脚螺栓、螺母、垫片、加强筋等金属构件及悬臂、支撑臂、拉杆、抱箍座、夹板等附件的防腐性能应符合GB/T18226的规定；</w:t>
      </w:r>
      <w:r/>
    </w:p>
    <w:p>
      <w:pPr>
        <w:pStyle w:val="1131"/>
        <w:ind w:firstLine="420"/>
        <w:jc w:val="lef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立柱底座与基础预埋件、立柱与悬臂之间必须通过法兰盘连接，法兰盘与杆体之间应均匀焊接加强筋；</w:t>
      </w:r>
      <w:r/>
    </w:p>
    <w:p>
      <w:pPr>
        <w:pStyle w:val="1132"/>
        <w:ind w:firstLine="420"/>
        <w:jc w:val="lef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悬臂灯杆与竖灯杆和夹角必须保证在91</w:t>
      </w:r>
      <w:r>
        <w:rPr>
          <w:rFonts w:hint="eastAsia" w:ascii="宋体" w:hAnsi="宋体" w:eastAsia="宋体" w:cs="宋体"/>
          <w:sz w:val="21"/>
          <w:szCs w:val="21"/>
          <w:highlight w:val="none"/>
          <w:vertAlign w:val="superscript"/>
        </w:rPr>
        <w:t xml:space="preserve">。</w:t>
      </w:r>
      <w:r>
        <w:rPr>
          <w:rFonts w:hint="eastAsia" w:ascii="宋体" w:hAnsi="宋体" w:eastAsia="宋体" w:cs="宋体"/>
          <w:sz w:val="21"/>
          <w:szCs w:val="21"/>
          <w:highlight w:val="none"/>
        </w:rPr>
        <w:t xml:space="preserve">±0.1; </w:t>
      </w:r>
      <w:r/>
    </w:p>
    <w:p>
      <w:pPr>
        <w:ind w:firstLine="420"/>
        <w:jc w:val="left"/>
        <w:spacing w:line="360" w:lineRule="auto"/>
        <w:tabs>
          <w:tab w:val="left" w:pos="35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杆体整体热镀锌后分色喷塑，镀锌量不少于550g/m</w:t>
      </w:r>
      <w:r>
        <w:rPr>
          <w:rFonts w:hint="eastAsia" w:ascii="宋体" w:hAnsi="宋体" w:eastAsia="宋体" w:cs="宋体"/>
          <w:sz w:val="21"/>
          <w:szCs w:val="21"/>
          <w:highlight w:val="none"/>
          <w:vertAlign w:val="superscript"/>
        </w:rPr>
        <w:t xml:space="preserve">2</w:t>
      </w:r>
      <w:r>
        <w:rPr>
          <w:rFonts w:hint="eastAsia" w:ascii="宋体" w:hAnsi="宋体" w:eastAsia="宋体" w:cs="宋体"/>
          <w:sz w:val="21"/>
          <w:szCs w:val="21"/>
          <w:highlight w:val="none"/>
        </w:rPr>
        <w:t xml:space="preserve">,底座法兰盘的厚度≥20mm；</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悬臂长度在12米以内为整根不分段式；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杆体可抗最大风速40m/s，使用寿命大于20年。</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8.交通信号灯基础施工要求               </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信号灯基础必须采用C25商品砼；</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每一条灯杆都必须接地，其接地电阻＜10Ω；</w:t>
      </w:r>
      <w:r/>
    </w:p>
    <w:p>
      <w:pPr>
        <w:pStyle w:val="1132"/>
        <w:ind w:firstLine="420"/>
        <w:jc w:val="lef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预埋件地脚螺栓法兰盘以上的螺纹必须包扎好，以防损坏螺纹。根据预埋件安装图正确放置预埋件，信号灯灯杆安装时应保证杆体垂直，倾斜度不得超过±</w:t>
      </w:r>
      <w:r>
        <w:rPr>
          <w:rFonts w:hint="eastAsia" w:ascii="宋体" w:hAnsi="宋体" w:eastAsia="宋体" w:cs="宋体"/>
          <w:sz w:val="21"/>
          <w:szCs w:val="21"/>
          <w:highlight w:val="none"/>
          <w:lang w:val="en-GB"/>
        </w:rPr>
        <w:t xml:space="preserve">0.5 </w:t>
      </w:r>
      <w:r>
        <w:rPr>
          <w:rFonts w:hint="eastAsia" w:ascii="宋体" w:hAnsi="宋体" w:eastAsia="宋体" w:cs="宋体"/>
          <w:sz w:val="21"/>
          <w:szCs w:val="21"/>
          <w:highlight w:val="none"/>
        </w:rPr>
        <w:t xml:space="preserve">%,保证悬臂灯杆的方向与行车道垂直；</w:t>
      </w:r>
      <w:r/>
    </w:p>
    <w:p>
      <w:pPr>
        <w:ind w:firstLine="420"/>
        <w:jc w:val="left"/>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sz w:val="21"/>
          <w:szCs w:val="21"/>
          <w:highlight w:val="none"/>
        </w:rPr>
        <w:t xml:space="preserve">穿线工作井应砖砌内粉饰，井盖采用抗压、防盗新型复合材料制作。</w:t>
      </w:r>
      <w:r/>
    </w:p>
    <w:p>
      <w:pPr>
        <w:pStyle w:val="913"/>
        <w:numPr>
          <w:ilvl w:val="0"/>
          <w:numId w:val="5"/>
        </w:numPr>
        <w:ind w:left="0" w:firstLine="0"/>
        <w:jc w:val="left"/>
        <w:spacing w:line="24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考核标准</w:t>
      </w:r>
      <w:r/>
    </w:p>
    <w:p>
      <w:pPr>
        <w:pStyle w:val="886"/>
        <w:jc w:val="both"/>
        <w:spacing w:after="5"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考核评分标准</w:t>
      </w:r>
      <w:r/>
    </w:p>
    <w:tbl>
      <w:tblPr>
        <w:tblStyle w:val="8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65"/>
        <w:gridCol w:w="1281"/>
        <w:gridCol w:w="3116"/>
        <w:gridCol w:w="682"/>
        <w:gridCol w:w="3364"/>
      </w:tblGrid>
      <w:tr>
        <w:trPr>
          <w:tblHeade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考核维度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扣分标准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sz w:val="18"/>
                <w:szCs w:val="20"/>
                <w:highlight w:val="none"/>
              </w:rPr>
              <w:suppressLineNumbers w:val="0"/>
            </w:pPr>
            <w:r>
              <w:rPr>
                <w:rStyle w:val="917"/>
                <w:rFonts w:hint="default" w:ascii="宋体" w:hAnsi="宋体" w:eastAsia="宋体" w:cs="宋体"/>
                <w:sz w:val="21"/>
                <w:szCs w:val="21"/>
                <w:highlight w:val="none"/>
                <w:lang w:val="en-US" w:eastAsia="zh-CN" w:bidi="ar"/>
              </w:rPr>
              <w:t xml:space="preserve">响应时效</w:t>
            </w:r>
            <w:r>
              <w:rPr>
                <w:rFonts w:hint="default" w:ascii="宋体" w:hAnsi="宋体" w:eastAsia="宋体" w:cs="宋体"/>
                <w:sz w:val="21"/>
                <w:szCs w:val="21"/>
                <w:highlight w:val="none"/>
                <w:lang w:val="en-US" w:eastAsia="zh-CN" w:bidi="ar"/>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接到维护通知后 2 小时内到场勘察；一般问题 2 小时内完成，复杂问题 12 小时内完成</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未按时到场扣 5 分 / 次；未按时完成扣 10 分 / 次；逾期超 24 小时扣 20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sz w:val="18"/>
                <w:szCs w:val="20"/>
                <w:highlight w:val="none"/>
              </w:rPr>
              <w:suppressLineNumbers w:val="0"/>
            </w:pPr>
            <w:r>
              <w:rPr>
                <w:rStyle w:val="917"/>
                <w:rFonts w:hint="default" w:ascii="宋体" w:hAnsi="宋体" w:eastAsia="宋体" w:cs="宋体"/>
                <w:sz w:val="21"/>
                <w:szCs w:val="21"/>
                <w:highlight w:val="none"/>
                <w:lang w:val="en-US" w:eastAsia="zh-CN" w:bidi="ar"/>
              </w:rPr>
              <w:t xml:space="preserve">施工规范</w:t>
            </w:r>
            <w:r>
              <w:rPr>
                <w:rFonts w:hint="default" w:ascii="宋体" w:hAnsi="宋体" w:eastAsia="宋体" w:cs="宋体"/>
                <w:sz w:val="21"/>
                <w:szCs w:val="21"/>
                <w:highlight w:val="none"/>
                <w:lang w:val="en-US" w:eastAsia="zh-CN" w:bidi="ar"/>
              </w:rPr>
              <w:t xml:space="preserve">（25分）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安全文明施工、环保防疫、现场围挡、警示标识到位；无违规作业、无安全事故</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一般不规范扣 3 分 / 次；发生轻微安全事故扣 10 分 / 次；发生安全事故扣 25 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sz w:val="18"/>
                <w:szCs w:val="20"/>
                <w:highlight w:val="none"/>
              </w:rPr>
              <w:suppressLineNumbers w:val="0"/>
            </w:pPr>
            <w:r>
              <w:rPr>
                <w:rStyle w:val="917"/>
                <w:rFonts w:hint="default" w:ascii="宋体" w:hAnsi="宋体" w:eastAsia="宋体" w:cs="宋体"/>
                <w:sz w:val="21"/>
                <w:szCs w:val="21"/>
                <w:highlight w:val="none"/>
                <w:lang w:val="en-US" w:eastAsia="zh-CN" w:bidi="ar"/>
              </w:rPr>
              <w:t xml:space="preserve">工程质量</w:t>
            </w:r>
            <w:r>
              <w:rPr>
                <w:rFonts w:hint="default" w:ascii="宋体" w:hAnsi="宋体" w:eastAsia="宋体" w:cs="宋体"/>
                <w:sz w:val="21"/>
                <w:szCs w:val="21"/>
                <w:highlight w:val="none"/>
                <w:lang w:val="en-US" w:eastAsia="zh-CN" w:bidi="ar"/>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标线、标志、信号灯、护栏等设施符合技术规范；验收一次性合格；质保期内无脱落、损坏</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单项验收不合格扣 5 分 / 次；返工后仍不合格扣 15 分 / 次；质保期内质量问题扣 10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sz w:val="18"/>
                <w:szCs w:val="20"/>
                <w:highlight w:val="none"/>
              </w:rPr>
              <w:suppressLineNumbers w:val="0"/>
            </w:pPr>
            <w:r>
              <w:rPr>
                <w:rStyle w:val="917"/>
                <w:rFonts w:hint="default" w:ascii="宋体" w:hAnsi="宋体" w:eastAsia="宋体" w:cs="宋体"/>
                <w:sz w:val="21"/>
                <w:szCs w:val="21"/>
                <w:highlight w:val="none"/>
                <w:lang w:val="en-US" w:eastAsia="zh-CN" w:bidi="ar"/>
              </w:rPr>
              <w:t xml:space="preserve">应急处置</w:t>
            </w:r>
            <w:r>
              <w:rPr>
                <w:rFonts w:hint="default" w:ascii="宋体" w:hAnsi="宋体" w:eastAsia="宋体" w:cs="宋体"/>
                <w:sz w:val="21"/>
                <w:szCs w:val="21"/>
                <w:highlight w:val="none"/>
                <w:lang w:val="en-US" w:eastAsia="zh-CN"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突发事件（暴雨、事故损坏、设施故障）应急预案启动及时、处置高效</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未及时启动预案扣 5 分 / 次；处置不当扣 10 分 / 次；造成不良影响扣 15 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rStyle w:val="917"/>
                <w:rFonts w:hint="default" w:ascii="宋体" w:hAnsi="宋体" w:eastAsia="宋体" w:cs="宋体"/>
                <w:sz w:val="21"/>
                <w:szCs w:val="21"/>
                <w:highlight w:val="none"/>
                <w:lang w:val="en-US" w:eastAsia="zh-CN" w:bidi="ar"/>
              </w:rPr>
              <w:suppressLineNumbers w:val="0"/>
            </w:pPr>
            <w:r>
              <w:rPr>
                <w:rStyle w:val="917"/>
                <w:rFonts w:hint="default" w:ascii="宋体" w:hAnsi="宋体" w:eastAsia="宋体" w:cs="宋体"/>
                <w:sz w:val="21"/>
                <w:szCs w:val="21"/>
                <w:highlight w:val="none"/>
                <w:lang w:val="en-US" w:eastAsia="zh-CN" w:bidi="ar"/>
              </w:rPr>
              <w:t xml:space="preserve">资料与配合</w:t>
            </w:r>
            <w:r/>
          </w:p>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按时提交维护记录、验收资料、工程量签证；积极配合采购人检查、调度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资料缺失 / 迟报扣 2 分 / 次；不配合工作扣 5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r>
    </w:tbl>
    <w:p>
      <w:pPr>
        <w:pStyle w:val="913"/>
        <w:numPr>
          <w:ilvl w:val="0"/>
          <w:numId w:val="0"/>
        </w:numPr>
        <w:jc w:val="left"/>
        <w:spacing w:after="156" w:line="480" w:lineRule="exact"/>
        <w:widowControl w:val="off"/>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说明：</w:t>
      </w:r>
      <w:r/>
    </w:p>
    <w:p>
      <w:pPr>
        <w:pStyle w:val="913"/>
        <w:numPr>
          <w:ilvl w:val="0"/>
          <w:numId w:val="12"/>
        </w:numPr>
        <w:jc w:val="left"/>
        <w:spacing w:after="156" w:line="480" w:lineRule="exact"/>
        <w:widowControl w:val="off"/>
        <w:rPr>
          <w:highlight w:val="none"/>
        </w:rPr>
      </w:pPr>
      <w:r>
        <w:rPr>
          <w:rFonts w:hint="eastAsia" w:ascii="宋体" w:hAnsi="宋体" w:eastAsia="宋体" w:cs="宋体"/>
          <w:color w:val="auto"/>
          <w:sz w:val="21"/>
          <w:szCs w:val="21"/>
          <w:highlight w:val="none"/>
          <w:lang w:val="en-US" w:eastAsia="zh-CN" w:bidi="ar-SA"/>
        </w:rPr>
        <w:t xml:space="preserve">本项目考核总分100分出现一次安全事故给予一次黄牌警告，出现一次验收不合格的情况给予一次黄牌警告，出现两次</w:t>
      </w:r>
      <w:r>
        <w:rPr>
          <w:rFonts w:hint="eastAsia" w:ascii="宋体" w:hAnsi="宋体" w:eastAsia="宋体" w:cs="宋体"/>
          <w:color w:val="auto"/>
          <w:sz w:val="21"/>
          <w:szCs w:val="21"/>
          <w:highlight w:val="none"/>
          <w:lang w:eastAsia="zh-CN"/>
        </w:rPr>
        <w:t xml:space="preserve">未在服务响应时间内完成的情况给予一次黄牌警告。收到两次黄牌警告后，第三次则为红牌，红牌解除合同另行委托。</w:t>
      </w:r>
      <w:r>
        <w:rPr>
          <w:highlight w:val="none"/>
        </w:rPr>
        <w:br w:type="page" w:clear="all"/>
      </w:r>
      <w:r/>
    </w:p>
    <w:p>
      <w:pPr>
        <w:pStyle w:val="884"/>
        <w:numPr>
          <w:ilvl w:val="0"/>
          <w:numId w:val="0"/>
        </w:numPr>
        <w:jc w:val="center"/>
        <w:spacing w:before="0" w:after="0" w:line="240" w:lineRule="auto"/>
        <w:rPr>
          <w:rFonts w:ascii="宋体" w:hAnsi="宋体"/>
          <w:b w:val="0"/>
          <w:bCs/>
          <w:color w:val="auto"/>
          <w:sz w:val="36"/>
          <w:szCs w:val="36"/>
          <w:highlight w:val="none"/>
        </w:rPr>
      </w:pPr>
      <w:r/>
      <w:bookmarkStart w:id="115" w:name="_Toc30576"/>
      <w:r/>
      <w:bookmarkStart w:id="116" w:name="_Toc16157"/>
      <w:r/>
      <w:bookmarkStart w:id="117" w:name="_Toc21762"/>
      <w:r/>
      <w:bookmarkStart w:id="118" w:name="_Toc8849"/>
      <w:r/>
      <w:bookmarkStart w:id="119" w:name="_Toc5832"/>
      <w:r/>
      <w:bookmarkStart w:id="120" w:name="_Toc17293"/>
      <w:r/>
      <w:bookmarkStart w:id="121" w:name="_Toc32113"/>
      <w:r/>
      <w:bookmarkStart w:id="122" w:name="_Toc12107"/>
      <w:r/>
      <w:bookmarkStart w:id="123" w:name="_Toc32653"/>
      <w:r/>
      <w:bookmarkStart w:id="124" w:name="_Toc32024"/>
      <w:r/>
      <w:bookmarkStart w:id="125" w:name="_Toc504141752"/>
      <w:r/>
      <w:bookmarkStart w:id="126" w:name="_Toc13172"/>
      <w:r/>
      <w:bookmarkStart w:id="127" w:name="_Toc11253"/>
      <w:r/>
      <w:bookmarkStart w:id="128" w:name="_Toc8858"/>
      <w:r/>
      <w:bookmarkStart w:id="129" w:name="_Toc30268"/>
      <w:r/>
      <w:bookmarkStart w:id="130" w:name="_Toc24823"/>
      <w:r/>
      <w:bookmarkStart w:id="131" w:name="_Toc2495"/>
      <w:r/>
      <w:bookmarkStart w:id="132" w:name="_Toc26164"/>
      <w:r/>
      <w:bookmarkStart w:id="133" w:name="_Toc11492"/>
      <w:r>
        <w:rPr>
          <w:rFonts w:hint="eastAsia" w:ascii="Times New Roman" w:hAnsi="Times New Roman" w:eastAsia="黑体" w:cs="Times New Roman"/>
          <w:b w:val="0"/>
          <w:color w:val="auto"/>
          <w:sz w:val="30"/>
          <w:szCs w:val="30"/>
          <w:highlight w:val="none"/>
          <w:lang w:val="zh-CN" w:eastAsia="zh-CN" w:bidi="ar-SA"/>
        </w:rPr>
        <w:t xml:space="preserve">第五章</w:t>
      </w:r>
      <w:r>
        <w:rPr>
          <w:rFonts w:hint="eastAsia" w:ascii="Times New Roman" w:hAnsi="Times New Roman" w:eastAsia="黑体" w:cs="Times New Roman"/>
          <w:b w:val="0"/>
          <w:color w:val="auto"/>
          <w:sz w:val="30"/>
          <w:szCs w:val="30"/>
          <w:highlight w:val="none"/>
          <w:lang w:val="en-US" w:eastAsia="zh-CN" w:bidi="ar-SA"/>
        </w:rPr>
        <w:t xml:space="preserve">  </w:t>
      </w:r>
      <w:r>
        <w:rPr>
          <w:rFonts w:hint="eastAsia" w:ascii="Times New Roman" w:hAnsi="Times New Roman" w:eastAsia="黑体" w:cs="Times New Roman"/>
          <w:b w:val="0"/>
          <w:color w:val="auto"/>
          <w:sz w:val="30"/>
          <w:szCs w:val="30"/>
          <w:highlight w:val="none"/>
          <w:lang w:val="zh-CN" w:eastAsia="zh-CN" w:bidi="ar-SA"/>
        </w:rPr>
        <w:t xml:space="preserve">南京市江宁区政府采购合同格式</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ind w:firstLine="480"/>
        <w:jc w:val="center"/>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（本项目最终签订的合同由合同双方协商后确定）</w:t>
      </w:r>
      <w:r/>
    </w:p>
    <w:p>
      <w:pPr>
        <w:spacing w:line="42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42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合同编号：</w:t>
      </w:r>
      <w:r/>
    </w:p>
    <w:tbl>
      <w:tblPr>
        <w:tblStyle w:val="894"/>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42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42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42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42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住所地</w:t>
            </w:r>
            <w:r>
              <w:rPr>
                <w:rFonts w:hint="eastAsia" w:ascii="宋体" w:hAnsi="宋体" w:eastAsia="宋体" w:cs="宋体"/>
                <w:sz w:val="24"/>
                <w:szCs w:val="24"/>
                <w:highlight w:val="none"/>
              </w:rPr>
              <w:t xml:space="preserve">：</w:t>
            </w:r>
            <w:r/>
          </w:p>
        </w:tc>
      </w:tr>
    </w:tbl>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根据《中华人民共和国政府采购法》、《中华人民共和国民法典》等法律法规的规定，甲乙双方按照竞争性的采购结果签订本合同。</w:t>
      </w:r>
      <w:r/>
    </w:p>
    <w:p>
      <w:pPr>
        <w:ind w:firstLine="482"/>
        <w:jc w:val="left"/>
        <w:spacing w:line="36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第一条 合同标的</w:t>
      </w:r>
      <w:r>
        <w:rPr>
          <w:rFonts w:hint="eastAsia" w:ascii="宋体" w:hAnsi="宋体" w:eastAsia="宋体" w:cs="宋体"/>
          <w:sz w:val="24"/>
          <w:szCs w:val="24"/>
          <w:highlight w:val="none"/>
          <w:lang w:val="zh-CN"/>
        </w:rPr>
        <w:t xml:space="preserve">  乙方根据甲方需求提供下列服务：</w:t>
      </w:r>
      <w:r>
        <w:rPr>
          <w:rFonts w:hint="eastAsia" w:ascii="宋体" w:hAnsi="宋体" w:eastAsia="宋体" w:cs="宋体"/>
          <w:b/>
          <w:bCs/>
          <w:color w:val="auto"/>
          <w:sz w:val="24"/>
          <w:szCs w:val="24"/>
          <w:highlight w:val="none"/>
          <w:u w:val="single"/>
          <w:lang w:eastAsia="zh-CN"/>
        </w:rPr>
        <w:t xml:space="preserve">江宁街道道路交通设施日常建设维护项目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详见乙方</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zh-CN"/>
        </w:rPr>
        <w:t xml:space="preserve">响应文件。</w:t>
      </w:r>
      <w:r/>
    </w:p>
    <w:p>
      <w:pPr>
        <w:ind w:firstLine="482"/>
        <w:jc w:val="left"/>
        <w:spacing w:line="36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第二条 合同价款</w:t>
      </w:r>
      <w:r>
        <w:rPr>
          <w:rFonts w:hint="eastAsia" w:ascii="宋体" w:hAnsi="宋体" w:eastAsia="宋体" w:cs="宋体"/>
          <w:sz w:val="24"/>
          <w:szCs w:val="24"/>
          <w:highlight w:val="none"/>
        </w:rPr>
        <w:t xml:space="preserve">本合同项下服务总价款为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（大写）人民币，投标加权平均综合单价为（大写）人民币后附单价表，分项价款在“投标分项报价表”中有明确规定。</w:t>
      </w:r>
      <w:r/>
    </w:p>
    <w:p>
      <w:pPr>
        <w:ind w:firstLine="482"/>
        <w:jc w:val="left"/>
        <w:spacing w:line="360" w:lineRule="exact"/>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第三条 组成本合同的有关文件</w:t>
      </w:r>
      <w:r>
        <w:rPr>
          <w:rFonts w:hint="eastAsia" w:ascii="宋体" w:hAnsi="宋体" w:eastAsia="宋体" w:cs="宋体"/>
          <w:sz w:val="24"/>
          <w:szCs w:val="24"/>
          <w:highlight w:val="none"/>
          <w:lang w:val="zh-CN"/>
        </w:rPr>
        <w:t xml:space="preserve">  下列关于竞争性磋商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磋商文件或与本次磋商活动方式相适应的文件及有关附件是本合同不可分割的组成部分，与本合同具有同等法律效力，这些文件包括但不限于：</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（1）乙方提供的响应文件和</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zh-CN"/>
        </w:rPr>
        <w:t xml:space="preserve">报价表；（</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）成交通知书；（</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）甲乙双方商定的其他文件等。</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第四条 权利保证</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乙方应保证为甲方提供货物和服务任何一部分时不受第三方提出侵犯其专利权、版权、商标权或其他权利的起诉。一旦出现侵权，乙方应承担全部责任。</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第五条 质量保证</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乙方提供的服务必须全部达到采购文件各项要求，国家或行业有规定的，还要符合相应规定。</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第六条 交付和验收</w:t>
      </w:r>
      <w:r/>
    </w:p>
    <w:p>
      <w:pPr>
        <w:ind w:firstLine="480"/>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服务期限：自   年   月   日起至   年   月   日止。</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注：该项目招标一招两年，一年一签，每年根据考核完成情况及财政资金安排情况签订下一年度合同。如因考核不通过，招标人有权终止合同，不再与中标人续签下一年度合同。</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2、甲方自行组织或视情邀请相关专家或国家认可的质量检测机构参加验收，乙方提供的服务不符合采购文件和合同规定的，甲方有权拒收。</w:t>
      </w:r>
      <w:r/>
    </w:p>
    <w:p>
      <w:pPr>
        <w:ind w:firstLine="482"/>
        <w:jc w:val="left"/>
        <w:spacing w:line="360" w:lineRule="exact"/>
        <w:rPr>
          <w:rFonts w:hint="eastAsia" w:ascii="宋体" w:hAnsi="宋体" w:eastAsia="宋体" w:cs="宋体"/>
          <w:b/>
          <w:bCs/>
          <w:i/>
          <w:iCs/>
          <w:sz w:val="24"/>
          <w:szCs w:val="24"/>
          <w:highlight w:val="none"/>
          <w:lang w:val="zh-CN"/>
        </w:rPr>
      </w:pPr>
      <w:r>
        <w:rPr>
          <w:rFonts w:hint="eastAsia" w:ascii="宋体" w:hAnsi="宋体" w:eastAsia="宋体" w:cs="宋体"/>
          <w:b/>
          <w:bCs/>
          <w:sz w:val="24"/>
          <w:szCs w:val="24"/>
          <w:highlight w:val="none"/>
          <w:lang w:val="zh-CN"/>
        </w:rPr>
        <w:t xml:space="preserve">第七条 合同款支付</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1、本合同项下所有款项均以人民币支付。</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2、本合同项下的采购资金由甲方自行支付，乙方向甲方开具发票。</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3、付款条件：</w:t>
      </w:r>
      <w:r/>
    </w:p>
    <w:p>
      <w:pPr>
        <w:pStyle w:val="898"/>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8"/>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24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本项目按实际完成工程量结算，以采购人、交通部门签认的签证单及审计审核结果为准。</w:t>
      </w:r>
      <w:r/>
    </w:p>
    <w:p>
      <w:pPr>
        <w:ind w:firstLine="24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月度付款：每月完成维护任务并经月度考核≥80 分，支付当月审定结算款的80%；月度考核＜80 分，暂缓支付，整改合格后再行支付。</w:t>
      </w:r>
      <w:r/>
    </w:p>
    <w:p>
      <w:pPr>
        <w:ind w:firstLine="24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季度付款：每季度末汇总考核，季度平均考核≥85 分，支付至季度累计审定结算款的90%。</w:t>
      </w:r>
      <w:r/>
    </w:p>
    <w:p>
      <w:pPr>
        <w:ind w:firstLine="24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年度结算：服务期满、年度考核≥90 分，经甲方主管部门和审计确认</w:t>
      </w:r>
      <w:r>
        <w:rPr>
          <w:rFonts w:hint="eastAsia" w:ascii="宋体" w:hAnsi="宋体" w:cs="宋体"/>
          <w:color w:val="auto"/>
          <w:sz w:val="24"/>
          <w:szCs w:val="24"/>
          <w:highlight w:val="none"/>
          <w:lang w:val="en-US" w:eastAsia="zh-CN"/>
        </w:rPr>
        <w:t xml:space="preserve">验收合格</w:t>
      </w:r>
      <w:r>
        <w:rPr>
          <w:rFonts w:hint="eastAsia" w:ascii="宋体" w:hAnsi="宋体" w:eastAsia="宋体" w:cs="宋体"/>
          <w:color w:val="auto"/>
          <w:sz w:val="24"/>
          <w:szCs w:val="24"/>
          <w:highlight w:val="none"/>
          <w:lang w:val="zh-CN"/>
        </w:rPr>
        <w:t xml:space="preserve">后，支付至年度结算总价的97%；剩余3%三个月内</w:t>
      </w:r>
      <w:r>
        <w:rPr>
          <w:rFonts w:hint="eastAsia" w:ascii="宋体" w:hAnsi="宋体" w:cs="宋体"/>
          <w:color w:val="auto"/>
          <w:sz w:val="24"/>
          <w:szCs w:val="24"/>
          <w:highlight w:val="none"/>
          <w:lang w:val="en-US" w:eastAsia="zh-CN"/>
        </w:rPr>
        <w:t xml:space="preserve">无息</w:t>
      </w:r>
      <w:r>
        <w:rPr>
          <w:rFonts w:hint="eastAsia" w:ascii="宋体" w:hAnsi="宋体" w:eastAsia="宋体" w:cs="宋体"/>
          <w:color w:val="auto"/>
          <w:sz w:val="24"/>
          <w:szCs w:val="24"/>
          <w:highlight w:val="none"/>
          <w:lang w:val="zh-CN"/>
        </w:rPr>
        <w:t xml:space="preserve">付清</w:t>
      </w:r>
      <w:r/>
    </w:p>
    <w:p>
      <w:pPr>
        <w:ind w:firstLine="48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考核触发红牌的，采购人有权拒付剩余款项，并追究供应商违约责任。</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本项目考核总分100分出现一次安全事故给予一次黄牌警告，出现一次验收不合格的情况给予一次黄牌警告，出现两次</w:t>
      </w:r>
      <w:r>
        <w:rPr>
          <w:rFonts w:hint="eastAsia" w:ascii="宋体" w:hAnsi="宋体" w:eastAsia="宋体" w:cs="宋体"/>
          <w:sz w:val="24"/>
          <w:szCs w:val="24"/>
          <w:highlight w:val="none"/>
          <w:lang w:val="zh-CN" w:eastAsia="zh-CN"/>
        </w:rPr>
        <w:t xml:space="preserve">未在服务响应时间内完成的情况给予一次黄牌警告。收到两次黄牌警告后，第三次则为红牌，红牌解除合同另行委托。</w:t>
      </w:r>
      <w:r/>
    </w:p>
    <w:p>
      <w:pPr>
        <w:ind w:firstLine="48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结算送审价不得高于合同价。项目审计核减率在15%以内（含15%），审计费全额由招标方承担，项目审计核减率超过15%，审计费全额由中标方承担，若审计核减率超过20%，中标方另向招标方承担超过20％以上部分核减额的5%的违约金，中标方承担的审计费和违约金在项目审定单上直接列项从项目结算款中扣除</w:t>
      </w:r>
      <w:r>
        <w:rPr>
          <w:rFonts w:hint="eastAsia" w:ascii="宋体" w:hAnsi="宋体" w:eastAsia="宋体" w:cs="宋体"/>
          <w:color w:val="auto"/>
          <w:sz w:val="24"/>
          <w:szCs w:val="24"/>
          <w:highlight w:val="none"/>
          <w:lang w:val="zh-CN" w:eastAsia="zh-CN"/>
        </w:rPr>
        <w:t xml:space="preserve">。</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第八条 违约责任</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１、甲方无正当理由拒收服务、拒付服务款的，由甲方向乙方偿付单项合同金额的5%违约金。</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２、甲方未按合同规定的期限向乙方支付服务款的，每逾期1天甲方向乙方偿付欠款总额的5‰滞纳金，但累计滞纳金总额不超过欠款总额的5% 。</w:t>
      </w:r>
      <w:r/>
    </w:p>
    <w:p>
      <w:pPr>
        <w:ind w:firstLine="480"/>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3、如乙方不能按期交付服务的，乙方应向甲方支付合同总价5%的违约金。</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、乙方逾期交付的，每逾期1天，乙方向甲方偿付单项合同金额的5‰的滞纳金。如乙方逾期交付达10天，甲方有权解除合同，解除合同的通知自到达乙方时生效。</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、乙方所交付的服务不符合合同规定的，甲方有权拒收。甲方拒收的，乙方应向甲方支付单项合同金额5%的违约金。</w:t>
      </w:r>
      <w:r/>
    </w:p>
    <w:p>
      <w:pPr>
        <w:ind w:firstLine="480"/>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6、乙方在承担违约责任后，仍应继续履行合同规定的义务（甲方解除合同的除外）。甲方未能及时追究乙方的任何一项违约责任并不表明甲方放弃追究乙方该项或其他违约责任。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7、乙方虚假承诺，或经权威部门检测提供的货物和服务不能满足采购文件要求，或是由于乙方的过错造成合同无法继续履行的，乙方应向甲方支付不少于合同总价30%赔偿金。</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第九条 合同的变更和终止</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1、除《政府采购法》第50条第二款规定的情形外，本合同一经签订，甲乙双方不得擅自变更、中止或终止合同。</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除发生法律规定的不能预见、不能避免并不能克服的客观情况外，甲乙双方不得放弃或拒绝履行合同。</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第十条 合同的转让</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乙方不得擅自部分或全部转让其应履行的合同义务。</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第十一条 争议的解决</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2、因履行本合同引起的或与本合同有关的争议，甲、乙双方应首先通过友好协商解决，如果协商不能解决争议，则采取以下第（2）种方式解决争议：</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（1）向甲方所在地有管辖权的人民法院提起诉讼；</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（2）向南京市江宁区仲裁委员会按其仲裁规则申请仲裁。</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3、在仲裁期间，本合同应继续履行。</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第十二条 诚实信用 </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乙方应诚实信用，严格按照采购文件要求和承诺履行合同，不向甲方进行商业贿赂或者提供不正当利益。</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第十三条 合同生效及其他</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1、本合同自签订之日起生效。</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2、本合同一式肆份，甲乙双方各执贰份。合同自签字盖章之日生效，于服务费全部结清时终止。若有未尽事宜，甲、乙双方可另补充协议，其法律效力同本合同一致生效。</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3、本合同应按照中华人民共和国的现行法律进行解释。</w:t>
      </w:r>
      <w:r/>
    </w:p>
    <w:tbl>
      <w:tblPr>
        <w:tblStyle w:val="894"/>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法定（授权）代表人：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法定（授权）代表人</w:t>
            </w:r>
            <w:r>
              <w:rPr>
                <w:rFonts w:hint="eastAsia" w:ascii="宋体" w:hAnsi="宋体" w:eastAsia="宋体" w:cs="宋体"/>
                <w:sz w:val="24"/>
                <w:szCs w:val="24"/>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开户银行：</w:t>
            </w:r>
            <w:r/>
          </w:p>
        </w:tc>
      </w:tr>
    </w:tbl>
    <w:p>
      <w:pPr>
        <w:pStyle w:val="898"/>
        <w:rPr>
          <w:rFonts w:ascii="宋体" w:hAnsi="宋体" w:eastAsia="宋体" w:cs="仿宋_GB2312"/>
          <w:sz w:val="21"/>
          <w:szCs w:val="18"/>
          <w:highlight w:val="none"/>
        </w:rPr>
      </w:pPr>
      <w:r>
        <w:rPr>
          <w:rFonts w:ascii="宋体" w:hAnsi="宋体" w:eastAsia="宋体" w:cs="仿宋_GB2312"/>
          <w:sz w:val="21"/>
          <w:szCs w:val="18"/>
          <w:highlight w:val="none"/>
        </w:rPr>
      </w:r>
      <w:r/>
    </w:p>
    <w:p>
      <w:pPr>
        <w:jc w:val="center"/>
        <w:spacing w:line="360" w:lineRule="auto"/>
        <w:shd w:val="clear" w:color="auto" w:fill="ffffff"/>
        <w:widowControl/>
        <w:rPr>
          <w:rFonts w:ascii="宋体" w:hAnsi="宋体" w:eastAsia="宋体"/>
          <w:b/>
          <w:sz w:val="28"/>
          <w:szCs w:val="28"/>
          <w:highlight w:val="none"/>
        </w:rPr>
        <w:sectPr>
          <w:footnotePr/>
          <w:endnotePr/>
          <w:type w:val="nextPage"/>
          <w:pgSz w:w="11906" w:h="16838" w:orient="portrait"/>
          <w:pgMar w:top="1157" w:right="1519" w:bottom="1157" w:left="1519" w:header="851" w:footer="992" w:gutter="0"/>
          <w:cols w:num="1" w:sep="0" w:space="720" w:equalWidth="1"/>
          <w:docGrid w:linePitch="360"/>
          <w:titlePg/>
        </w:sectPr>
        <w:outlineLvl w:val="0"/>
      </w:pPr>
      <w:r>
        <w:rPr>
          <w:rFonts w:ascii="宋体" w:hAnsi="宋体" w:eastAsia="宋体"/>
          <w:b/>
          <w:sz w:val="28"/>
          <w:szCs w:val="28"/>
          <w:highlight w:val="none"/>
        </w:rPr>
      </w:r>
      <w:r/>
    </w:p>
    <w:p>
      <w:pPr>
        <w:ind w:left="0" w:right="177" w:firstLine="0"/>
        <w:jc w:val="both"/>
        <w:spacing w:before="0" w:after="0" w:line="360" w:lineRule="auto"/>
        <w:tabs>
          <w:tab w:val="left" w:pos="1279" w:leader="none"/>
        </w:tabs>
        <w:rPr>
          <w:rFonts w:ascii="黑体" w:hAnsi="黑体" w:eastAsia="黑体" w:cs="黑体"/>
          <w:color w:val="000000"/>
          <w:sz w:val="32"/>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2"/>
          <w:highlight w:val="none"/>
        </w:rPr>
      </w:r>
      <w:r/>
    </w:p>
    <w:p>
      <w:pPr>
        <w:ind w:left="0" w:right="177" w:firstLine="0"/>
        <w:jc w:val="both"/>
        <w:spacing w:before="0" w:after="0" w:line="360" w:lineRule="auto"/>
        <w:tabs>
          <w:tab w:val="left" w:pos="1279" w:leader="none"/>
        </w:tabs>
        <w:rPr>
          <w:rFonts w:ascii="黑体" w:hAnsi="黑体" w:eastAsia="黑体" w:cs="黑体"/>
          <w:color w:val="000000"/>
          <w:sz w:val="32"/>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2"/>
          <w:highlight w:val="none"/>
        </w:rPr>
      </w:r>
      <w:r/>
    </w:p>
    <w:p>
      <w:pPr>
        <w:ind w:left="0" w:right="177" w:firstLine="0"/>
        <w:jc w:val="center"/>
        <w:spacing w:before="0" w:after="0" w:line="360" w:lineRule="auto"/>
        <w:tabs>
          <w:tab w:val="left" w:pos="1279" w:leader="none"/>
        </w:tabs>
        <w:rPr>
          <w:rFonts w:ascii="黑体" w:hAnsi="黑体" w:eastAsia="黑体" w:cs="黑体"/>
          <w:color w:val="000000"/>
          <w:sz w:val="32"/>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2"/>
          <w:highlight w:val="none"/>
        </w:rPr>
      </w:r>
      <w:r/>
    </w:p>
    <w:p>
      <w:pPr>
        <w:ind w:left="0" w:right="177" w:firstLine="0"/>
        <w:jc w:val="center"/>
        <w:spacing w:before="0" w:after="0" w:line="360" w:lineRule="auto"/>
        <w:tabs>
          <w:tab w:val="left" w:pos="1279" w:leader="none"/>
        </w:tabs>
        <w:rPr>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2"/>
          <w:highlight w:val="none"/>
        </w:rPr>
        <w:t xml:space="preserve">第六章</w:t>
      </w:r>
      <w:r>
        <w:rPr>
          <w:rFonts w:ascii="黑体" w:hAnsi="黑体" w:eastAsia="黑体" w:cs="黑体"/>
          <w:color w:val="000000"/>
          <w:sz w:val="32"/>
          <w:highlight w:val="none"/>
        </w:rPr>
        <w:tab/>
      </w:r>
      <w:r>
        <w:rPr>
          <w:rFonts w:ascii="黑体" w:hAnsi="黑体" w:eastAsia="黑体" w:cs="黑体"/>
          <w:color w:val="000000"/>
          <w:sz w:val="32"/>
          <w:highlight w:val="none"/>
        </w:rPr>
        <w:t xml:space="preserve">响应文件格式</w:t>
      </w:r>
      <w:bookmarkEnd w:id="133"/>
      <w:r/>
      <w:r/>
    </w:p>
    <w:p>
      <w:pPr>
        <w:ind w:left="0" w:right="0" w:firstLine="0"/>
        <w:spacing w:before="11"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ind w:left="0" w:right="0" w:firstLine="0"/>
        <w:spacing w:before="12"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right="0" w:firstLine="35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正本（副本）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ind w:left="0" w:right="0" w:firstLine="0"/>
        <w:jc w:val="center"/>
        <w:spacing w:before="8"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highlight w:val="none"/>
          <w:lang w:eastAsia="zh-CN"/>
        </w:rPr>
        <w:t xml:space="preserve">2026年道路交通设施日常建设维护项目</w:t>
      </w:r>
      <w:r/>
    </w:p>
    <w:p>
      <w:pPr>
        <w:ind w:left="0" w:right="1"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72"/>
          <w:highlight w:val="none"/>
        </w:rPr>
        <w:t xml:space="preserve">响应文件</w:t>
      </w:r>
      <w:r/>
    </w:p>
    <w:p>
      <w:pPr>
        <w:ind w:left="0" w:right="0" w:firstLine="0"/>
        <w:spacing w:before="1"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72"/>
          <w:highlight w:val="none"/>
        </w:rPr>
        <w:t xml:space="preserve"> </w:t>
      </w:r>
      <w:r/>
    </w:p>
    <w:p>
      <w:pPr>
        <w:ind w:right="1025"/>
        <w:spacing w:before="0" w:after="0" w:line="360" w:lineRule="auto"/>
        <w:tabs>
          <w:tab w:val="left" w:pos="6358" w:leader="none"/>
          <w:tab w:val="left" w:pos="6437" w:leader="none"/>
        </w:tabs>
        <w:rPr>
          <w:rFonts w:ascii="Times New Roman" w:hAnsi="Times New Roman" w:eastAsia="Times New Roman" w:cs="Times New Roman"/>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项目编号：</w:t>
      </w:r>
      <w:r>
        <w:rPr>
          <w:rFonts w:ascii="Times New Roman" w:hAnsi="Times New Roman" w:eastAsia="Times New Roman" w:cs="Times New Roman"/>
          <w:color w:val="000000"/>
          <w:sz w:val="32"/>
          <w:highlight w:val="none"/>
        </w:rPr>
        <w:t xml:space="preserve"> </w:t>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 xml:space="preserve">                  </w:t>
      </w:r>
      <w:r/>
    </w:p>
    <w:p>
      <w:pPr>
        <w:ind w:right="1025"/>
        <w:spacing w:before="0" w:after="0" w:line="360" w:lineRule="auto"/>
        <w:tabs>
          <w:tab w:val="left" w:pos="6358" w:leader="none"/>
          <w:tab w:val="left" w:pos="6437" w:leader="none"/>
        </w:tabs>
        <w:rPr>
          <w:rFonts w:ascii="黑体" w:hAnsi="黑体" w:eastAsia="黑体" w:cs="黑体"/>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供 应 商：（电子公章）</w:t>
      </w:r>
      <w:r/>
    </w:p>
    <w:p>
      <w:pPr>
        <w:ind w:right="1025"/>
        <w:spacing w:before="0" w:after="0" w:line="360" w:lineRule="auto"/>
        <w:tabs>
          <w:tab w:val="left" w:pos="6358" w:leader="none"/>
          <w:tab w:val="left" w:pos="6437" w:leader="none"/>
        </w:tabs>
        <w:rPr>
          <w:rFonts w:ascii="Times New Roman" w:hAnsi="Times New Roman" w:eastAsia="Times New Roman" w:cs="Times New Roman"/>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联 系</w:t>
      </w:r>
      <w:r>
        <w:rPr>
          <w:rFonts w:ascii="黑体" w:hAnsi="黑体" w:eastAsia="黑体" w:cs="黑体"/>
          <w:color w:val="000000"/>
          <w:spacing w:val="-1"/>
          <w:sz w:val="32"/>
          <w:highlight w:val="none"/>
        </w:rPr>
        <w:t xml:space="preserve"> </w:t>
      </w:r>
      <w:r>
        <w:rPr>
          <w:rFonts w:ascii="黑体" w:hAnsi="黑体" w:eastAsia="黑体" w:cs="黑体"/>
          <w:color w:val="000000"/>
          <w:sz w:val="32"/>
          <w:highlight w:val="none"/>
        </w:rPr>
        <w:t xml:space="preserve">人：</w:t>
      </w:r>
      <w:r>
        <w:rPr>
          <w:rFonts w:ascii="Times New Roman" w:hAnsi="Times New Roman" w:eastAsia="Times New Roman" w:cs="Times New Roman"/>
          <w:color w:val="000000"/>
          <w:sz w:val="32"/>
          <w:highlight w:val="none"/>
        </w:rPr>
        <w:t xml:space="preserve"> </w:t>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 xml:space="preserve">    </w:t>
      </w:r>
      <w:r/>
    </w:p>
    <w:p>
      <w:pPr>
        <w:ind w:right="1025"/>
        <w:spacing w:before="0" w:after="0" w:line="360" w:lineRule="auto"/>
        <w:tabs>
          <w:tab w:val="left" w:pos="6358" w:leader="none"/>
          <w:tab w:val="left" w:pos="6437" w:leader="none"/>
        </w:tabs>
        <w:rPr>
          <w:rFonts w:ascii="Times New Roman" w:hAnsi="Times New Roman" w:eastAsia="Times New Roman" w:cs="Times New Roman"/>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联系方式：</w:t>
      </w:r>
      <w:r>
        <w:rPr>
          <w:rFonts w:ascii="Times New Roman" w:hAnsi="Times New Roman" w:eastAsia="Times New Roman" w:cs="Times New Roman"/>
          <w:color w:val="000000"/>
          <w:sz w:val="32"/>
          <w:highlight w:val="none"/>
        </w:rPr>
        <w:t xml:space="preserve"> </w:t>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 xml:space="preserve">    </w:t>
      </w:r>
      <w:r/>
    </w:p>
    <w:p>
      <w:pPr>
        <w:ind w:right="1025"/>
        <w:spacing w:before="0" w:after="0" w:line="360" w:lineRule="auto"/>
        <w:tabs>
          <w:tab w:val="left" w:pos="6358" w:leader="none"/>
          <w:tab w:val="left" w:pos="6437"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位地址：</w:t>
      </w:r>
      <w:r>
        <w:rPr>
          <w:rFonts w:ascii="Times New Roman" w:hAnsi="Times New Roman" w:eastAsia="Times New Roman" w:cs="Times New Roman"/>
          <w:color w:val="000000"/>
          <w:sz w:val="32"/>
          <w:highlight w:val="none"/>
        </w:rPr>
        <w:t xml:space="preserve"> </w:t>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ab/>
      </w:r>
      <w:r/>
    </w:p>
    <w:p>
      <w:pPr>
        <w:ind w:left="47" w:right="0" w:firstLine="0"/>
        <w:jc w:val="both"/>
        <w:spacing w:before="46" w:after="0" w:line="360" w:lineRule="auto"/>
        <w:tabs>
          <w:tab w:val="left" w:pos="847" w:leader="none"/>
          <w:tab w:val="left" w:pos="1648" w:leader="none"/>
          <w:tab w:val="left" w:pos="2448"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32"/>
          <w:highlight w:val="none"/>
        </w:rPr>
        <w:t xml:space="preserve">年</w:t>
      </w:r>
      <w:r>
        <w:rPr>
          <w:rFonts w:ascii="Times New Roman" w:hAnsi="Times New Roman" w:eastAsia="Times New Roman" w:cs="Times New Roman"/>
          <w:color w:val="000000"/>
          <w:spacing w:val="2"/>
          <w:sz w:val="32"/>
          <w:highlight w:val="none"/>
        </w:rPr>
        <w:tab/>
      </w:r>
      <w:r>
        <w:rPr>
          <w:rFonts w:ascii="黑体" w:hAnsi="黑体" w:eastAsia="黑体" w:cs="黑体"/>
          <w:color w:val="000000"/>
          <w:spacing w:val="-1"/>
          <w:sz w:val="32"/>
          <w:highlight w:val="none"/>
        </w:rPr>
        <w:t xml:space="preserve">月</w:t>
      </w:r>
      <w:r>
        <w:rPr>
          <w:rFonts w:ascii="Times New Roman" w:hAnsi="Times New Roman" w:eastAsia="Times New Roman" w:cs="Times New Roman"/>
          <w:color w:val="000000"/>
          <w:spacing w:val="-1"/>
          <w:sz w:val="32"/>
          <w:highlight w:val="none"/>
        </w:rPr>
        <w:tab/>
      </w:r>
      <w:r>
        <w:rPr>
          <w:rFonts w:ascii="黑体" w:hAnsi="黑体" w:eastAsia="黑体" w:cs="黑体"/>
          <w:color w:val="000000"/>
          <w:sz w:val="32"/>
          <w:highlight w:val="none"/>
        </w:rPr>
        <w:t xml:space="preserve">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0"/>
          <w:highlight w:val="none"/>
        </w:rPr>
        <w:t xml:space="preserve"> </w:t>
      </w:r>
      <w:r/>
    </w:p>
    <w:p>
      <w:pPr>
        <w:ind w:left="0" w:right="0" w:firstLine="0"/>
        <w:spacing w:before="5"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 </w:t>
      </w:r>
      <w:r/>
    </w:p>
    <w:p>
      <w:pPr>
        <w:ind w:left="0" w:right="0" w:firstLine="0"/>
        <w:jc w:val="center"/>
        <w:spacing w:before="0" w:after="0" w:line="360" w:lineRule="auto"/>
        <w:tabs>
          <w:tab w:val="left" w:pos="6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目</w:t>
      </w:r>
      <w:r>
        <w:rPr>
          <w:rFonts w:ascii="黑体" w:hAnsi="黑体" w:eastAsia="黑体" w:cs="黑体"/>
          <w:color w:val="000000"/>
          <w:sz w:val="32"/>
          <w:highlight w:val="none"/>
        </w:rPr>
        <w:tab/>
      </w:r>
      <w:r>
        <w:rPr>
          <w:rFonts w:ascii="黑体" w:hAnsi="黑体" w:eastAsia="黑体" w:cs="黑体"/>
          <w:color w:val="000000"/>
          <w:sz w:val="32"/>
          <w:highlight w:val="none"/>
        </w:rPr>
        <w:t xml:space="preserve">录</w:t>
      </w:r>
      <w:r/>
    </w:p>
    <w:p>
      <w:pPr>
        <w:ind w:left="0" w:right="0" w:firstLine="0"/>
        <w:spacing w:before="5"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112" w:right="233" w:firstLine="0"/>
        <w:jc w:val="center"/>
        <w:spacing w:before="26"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34" w:name="_Toc15935"/>
      <w:r>
        <w:rPr>
          <w:rFonts w:ascii="黑体" w:hAnsi="黑体" w:eastAsia="黑体" w:cs="黑体"/>
          <w:color w:val="000000"/>
          <w:sz w:val="24"/>
          <w:highlight w:val="none"/>
        </w:rPr>
        <w:t xml:space="preserve">一、磋商申请及声明格式</w:t>
      </w:r>
      <w:bookmarkEnd w:id="134"/>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35" w:name="_Toc4339"/>
      <w:r>
        <w:rPr>
          <w:rFonts w:ascii="宋体" w:hAnsi="宋体" w:eastAsia="宋体" w:cs="宋体"/>
          <w:b/>
          <w:color w:val="000000"/>
          <w:sz w:val="22"/>
          <w:highlight w:val="none"/>
        </w:rPr>
        <w:t xml:space="preserve">格式一、竞争性磋商申请及声明格式</w:t>
      </w:r>
      <w:bookmarkEnd w:id="135"/>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磋商申请及声明</w:t>
      </w:r>
      <w:r/>
    </w:p>
    <w:p>
      <w:pPr>
        <w:ind w:left="118" w:right="0" w:firstLine="0"/>
        <w:spacing w:before="18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致：南京市江宁区人民政府江宁街道办事处</w:t>
      </w:r>
      <w:r/>
    </w:p>
    <w:p>
      <w:pPr>
        <w:ind w:left="0" w:right="0" w:firstLine="0"/>
        <w:spacing w:before="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118" w:right="237" w:firstLine="480"/>
        <w:spacing w:before="0" w:after="0" w:line="360" w:lineRule="auto"/>
        <w:tabs>
          <w:tab w:val="left" w:pos="4901" w:leader="none"/>
          <w:tab w:val="left" w:pos="6958" w:leader="none"/>
          <w:tab w:val="left" w:pos="822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highlight w:val="none"/>
        </w:rPr>
        <w:t xml:space="preserve">根据贵方</w:t>
      </w:r>
      <w:r>
        <w:rPr>
          <w:rFonts w:ascii="Times New Roman" w:hAnsi="Times New Roman" w:eastAsia="Times New Roman" w:cs="Times New Roman"/>
          <w:color w:val="000000"/>
          <w:spacing w:val="-1"/>
          <w:sz w:val="22"/>
          <w:highlight w:val="none"/>
          <w:u w:val="single"/>
        </w:rPr>
        <w:tab/>
      </w:r>
      <w:r>
        <w:rPr>
          <w:rFonts w:ascii="宋体" w:hAnsi="宋体" w:eastAsia="宋体" w:cs="宋体"/>
          <w:color w:val="000000"/>
          <w:spacing w:val="-3"/>
          <w:sz w:val="22"/>
          <w:highlight w:val="none"/>
        </w:rPr>
        <w:t xml:space="preserve">（项目名称）</w:t>
      </w:r>
      <w:r>
        <w:rPr>
          <w:rFonts w:ascii="Times New Roman" w:hAnsi="Times New Roman" w:eastAsia="Times New Roman" w:cs="Times New Roman"/>
          <w:color w:val="000000"/>
          <w:spacing w:val="-3"/>
          <w:sz w:val="22"/>
          <w:highlight w:val="none"/>
          <w:u w:val="single"/>
        </w:rPr>
        <w:tab/>
      </w:r>
      <w:r>
        <w:rPr>
          <w:rFonts w:ascii="Times New Roman" w:hAnsi="Times New Roman" w:eastAsia="Times New Roman" w:cs="Times New Roman"/>
          <w:color w:val="000000"/>
          <w:spacing w:val="-3"/>
          <w:sz w:val="22"/>
          <w:highlight w:val="none"/>
          <w:u w:val="single"/>
        </w:rPr>
        <w:tab/>
      </w:r>
      <w:r>
        <w:rPr>
          <w:rFonts w:ascii="宋体" w:hAnsi="宋体" w:eastAsia="宋体" w:cs="宋体"/>
          <w:color w:val="000000"/>
          <w:sz w:val="22"/>
          <w:highlight w:val="none"/>
        </w:rPr>
        <w:t xml:space="preserve">（项目编号</w:t>
      </w:r>
      <w:r>
        <w:rPr>
          <w:rFonts w:ascii="宋体" w:hAnsi="宋体" w:eastAsia="宋体" w:cs="宋体"/>
          <w:color w:val="000000"/>
          <w:spacing w:val="-1"/>
          <w:sz w:val="22"/>
          <w:highlight w:val="none"/>
        </w:rPr>
        <w:t xml:space="preserve">）磋商邀请，正式授权下述签字人</w:t>
      </w:r>
      <w:r>
        <w:rPr>
          <w:rFonts w:ascii="Times New Roman" w:hAnsi="Times New Roman" w:eastAsia="Times New Roman" w:cs="Times New Roman"/>
          <w:color w:val="000000"/>
          <w:spacing w:val="-1"/>
          <w:sz w:val="22"/>
          <w:highlight w:val="none"/>
          <w:u w:val="single"/>
        </w:rPr>
        <w:tab/>
      </w:r>
      <w:r>
        <w:rPr>
          <w:rFonts w:ascii="Times New Roman" w:hAnsi="Times New Roman" w:eastAsia="Times New Roman" w:cs="Times New Roman"/>
          <w:color w:val="000000"/>
          <w:spacing w:val="-1"/>
          <w:sz w:val="22"/>
          <w:highlight w:val="none"/>
          <w:u w:val="single"/>
        </w:rPr>
        <w:tab/>
      </w:r>
      <w:r>
        <w:rPr>
          <w:rFonts w:ascii="宋体" w:hAnsi="宋体" w:eastAsia="宋体" w:cs="宋体"/>
          <w:color w:val="000000"/>
          <w:sz w:val="22"/>
          <w:highlight w:val="none"/>
        </w:rPr>
        <w:t xml:space="preserve">(姓名和职务)代表</w:t>
      </w:r>
      <w:r/>
    </w:p>
    <w:p>
      <w:pPr>
        <w:ind w:left="598" w:right="236" w:hanging="1"/>
        <w:spacing w:before="34" w:after="0" w:line="360" w:lineRule="auto"/>
        <w:tabs>
          <w:tab w:val="left" w:pos="3838" w:leader="none"/>
        </w:tabs>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rPr>
          <w:rFonts w:ascii="Times New Roman" w:hAnsi="Times New Roman" w:eastAsia="Times New Roman" w:cs="Times New Roman"/>
          <w:color w:val="000000"/>
          <w:sz w:val="22"/>
          <w:highlight w:val="none"/>
          <w:u w:val="single"/>
        </w:rPr>
        <w:tab/>
      </w:r>
      <w:r>
        <w:rPr>
          <w:rFonts w:ascii="宋体" w:hAnsi="宋体" w:eastAsia="宋体" w:cs="宋体"/>
          <w:color w:val="000000"/>
          <w:sz w:val="22"/>
          <w:highlight w:val="none"/>
        </w:rPr>
        <w:t xml:space="preserve">（供应商名称），提交响应文件并参加磋商。 据此函，签字人兹宣布同意如下：</w:t>
      </w:r>
      <w:r/>
    </w:p>
    <w:p>
      <w:pPr>
        <w:ind w:left="598" w:right="236" w:hanging="1"/>
        <w:spacing w:before="34" w:after="0" w:line="360" w:lineRule="auto"/>
        <w:tabs>
          <w:tab w:val="left" w:pos="383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1、我们的资格条件完全符合政府采购法和本次采购要求，我们同意并向贵方提供了与本次采购活动有关的所有证据和资料。 </w:t>
      </w:r>
      <w:r/>
    </w:p>
    <w:p>
      <w:pPr>
        <w:ind w:left="598" w:right="236" w:hanging="1"/>
        <w:spacing w:before="34" w:after="0" w:line="360" w:lineRule="auto"/>
        <w:tabs>
          <w:tab w:val="left" w:pos="383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highlight w:val="none"/>
        </w:rPr>
        <w:t xml:space="preserve">2、项目名称：</w:t>
      </w:r>
      <w:r>
        <w:rPr>
          <w:rFonts w:ascii="Times New Roman" w:hAnsi="Times New Roman" w:eastAsia="Times New Roman" w:cs="Times New Roman"/>
          <w:color w:val="000000"/>
          <w:spacing w:val="-1"/>
          <w:sz w:val="22"/>
          <w:highlight w:val="none"/>
          <w:u w:val="single"/>
        </w:rPr>
        <w:tab/>
      </w:r>
      <w:r>
        <w:rPr>
          <w:rFonts w:ascii="宋体" w:hAnsi="宋体" w:eastAsia="宋体" w:cs="宋体"/>
          <w:color w:val="000000"/>
          <w:spacing w:val="-1"/>
          <w:sz w:val="22"/>
          <w:highlight w:val="none"/>
          <w:u w:val="single"/>
        </w:rPr>
        <w:t xml:space="preserve">          </w:t>
      </w:r>
      <w:r>
        <w:rPr>
          <w:rFonts w:ascii="宋体" w:hAnsi="宋体" w:eastAsia="宋体" w:cs="宋体"/>
          <w:color w:val="000000"/>
          <w:spacing w:val="-1"/>
          <w:sz w:val="22"/>
          <w:highlight w:val="none"/>
        </w:rPr>
        <w:t xml:space="preserve">  </w:t>
      </w:r>
      <w:r>
        <w:rPr>
          <w:rFonts w:ascii="宋体" w:hAnsi="宋体" w:eastAsia="宋体" w:cs="宋体"/>
          <w:color w:val="000000"/>
          <w:sz w:val="22"/>
          <w:highlight w:val="none"/>
        </w:rPr>
        <w:t xml:space="preserve">。</w:t>
      </w:r>
      <w:r/>
    </w:p>
    <w:p>
      <w:pPr>
        <w:ind w:left="598" w:right="117" w:firstLine="0"/>
        <w:spacing w:before="38" w:after="0" w:line="360" w:lineRule="auto"/>
        <w:tabs>
          <w:tab w:val="left" w:pos="708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highlight w:val="none"/>
        </w:rPr>
        <w:t xml:space="preserve">3、我们的首次</w:t>
      </w:r>
      <w:r>
        <w:rPr>
          <w:rFonts w:ascii="宋体" w:hAnsi="宋体" w:eastAsia="宋体" w:cs="宋体"/>
          <w:color w:val="000000"/>
          <w:sz w:val="22"/>
          <w:highlight w:val="none"/>
        </w:rPr>
        <w:t xml:space="preserve">总价报价：</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万元。</w:t>
      </w:r>
      <w:r/>
    </w:p>
    <w:p>
      <w:pPr>
        <w:ind w:left="598" w:right="117" w:firstLine="0"/>
        <w:spacing w:before="38" w:after="0" w:line="360" w:lineRule="auto"/>
        <w:tabs>
          <w:tab w:val="left" w:pos="708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4、我方项目负责人为  </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 ，合同履行期限（服务期）为 </w:t>
      </w:r>
      <w:r>
        <w:rPr>
          <w:rFonts w:ascii="宋体" w:hAnsi="宋体" w:eastAsia="宋体" w:cs="宋体"/>
          <w:color w:val="000000"/>
          <w:sz w:val="22"/>
          <w:highlight w:val="none"/>
          <w:u w:val="single"/>
        </w:rPr>
        <w:t xml:space="preserve">      </w:t>
      </w:r>
      <w:r/>
    </w:p>
    <w:p>
      <w:pPr>
        <w:ind w:left="118" w:right="237" w:firstLine="480"/>
        <w:jc w:val="both"/>
        <w:spacing w:before="15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5、我们已详细审核全部磋商文件及其有效补充文件，我们放弃对磋商文件任何误 </w:t>
      </w:r>
      <w:r>
        <w:rPr>
          <w:rFonts w:ascii="宋体" w:hAnsi="宋体" w:eastAsia="宋体" w:cs="宋体"/>
          <w:color w:val="000000"/>
          <w:spacing w:val="-2"/>
          <w:sz w:val="22"/>
          <w:highlight w:val="none"/>
        </w:rPr>
        <w:t xml:space="preserve">解的权利，提交响应文件后，不对磋商文件本身提出质疑。否则，属于不诚信和故意扰</w:t>
      </w:r>
      <w:r>
        <w:rPr>
          <w:rFonts w:ascii="宋体" w:hAnsi="宋体" w:eastAsia="宋体" w:cs="宋体"/>
          <w:color w:val="000000"/>
          <w:spacing w:val="-99"/>
          <w:sz w:val="22"/>
          <w:highlight w:val="none"/>
        </w:rPr>
        <w:t xml:space="preserve"> </w:t>
      </w:r>
      <w:r>
        <w:rPr>
          <w:rFonts w:ascii="宋体" w:hAnsi="宋体" w:eastAsia="宋体" w:cs="宋体"/>
          <w:color w:val="000000"/>
          <w:sz w:val="22"/>
          <w:highlight w:val="none"/>
        </w:rPr>
        <w:t xml:space="preserve">乱政府采购活动行为，我们将无条件接受处罚。</w:t>
      </w:r>
      <w:r/>
    </w:p>
    <w:p>
      <w:pPr>
        <w:ind w:left="118" w:right="117" w:firstLine="480"/>
        <w:spacing w:before="3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6、一旦我方成交，我方将根据磋商文件的规定，严格履行合同，保证于承诺的时 间内完成本项目规定的服务内容。</w:t>
      </w:r>
      <w:r/>
    </w:p>
    <w:p>
      <w:pPr>
        <w:ind w:left="118" w:right="117" w:firstLine="480"/>
        <w:spacing w:before="38"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7、我方决不提供虚假材料谋取成交、决不采取不正当手段诋毁、排挤其他供应商、</w:t>
      </w:r>
      <w:r>
        <w:rPr>
          <w:rFonts w:ascii="宋体" w:hAnsi="宋体" w:eastAsia="宋体" w:cs="宋体"/>
          <w:color w:val="000000"/>
          <w:sz w:val="22"/>
          <w:highlight w:val="none"/>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p>
    <w:p>
      <w:pPr>
        <w:ind w:left="598" w:right="117" w:firstLine="0"/>
        <w:spacing w:before="3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8、我方正式通讯方式为：</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地址：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电话：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传</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真：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9、我方正式开户银行和帐号为： </w:t>
      </w:r>
      <w:r/>
    </w:p>
    <w:p>
      <w:pPr>
        <w:ind w:right="117" w:firstLine="648"/>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开户银行：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帐</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号：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供应商授权代表姓名（签字）：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供应商名称（电子公章）：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日 期</w:t>
      </w:r>
      <w:r>
        <w:rPr>
          <w:rFonts w:hint="eastAsia" w:ascii="宋体" w:hAnsi="宋体" w:cs="宋体"/>
          <w:color w:val="000000"/>
          <w:spacing w:val="-2"/>
          <w:sz w:val="22"/>
          <w:highlight w:val="none"/>
          <w:lang w:eastAsia="zh-CN"/>
        </w:rPr>
        <w:t xml:space="preserve">：</w:t>
      </w:r>
      <w:r>
        <w:rPr>
          <w:rFonts w:hint="eastAsia" w:ascii="宋体" w:hAnsi="宋体" w:cs="宋体"/>
          <w:color w:val="000000"/>
          <w:spacing w:val="-2"/>
          <w:sz w:val="22"/>
          <w:highlight w:val="none"/>
          <w:lang w:val="en-US" w:eastAsia="zh-CN"/>
        </w:rPr>
        <w:t xml:space="preserve">  </w:t>
      </w:r>
      <w:r>
        <w:rPr>
          <w:rFonts w:ascii="宋体" w:hAnsi="宋体" w:eastAsia="宋体" w:cs="宋体"/>
          <w:color w:val="000000"/>
          <w:spacing w:val="-2"/>
          <w:sz w:val="22"/>
          <w:highlight w:val="none"/>
        </w:rPr>
        <w:t xml:space="preserve">年</w:t>
      </w:r>
      <w:r>
        <w:rPr>
          <w:rFonts w:hint="eastAsia" w:ascii="宋体" w:hAnsi="宋体" w:cs="宋体"/>
          <w:color w:val="000000"/>
          <w:spacing w:val="-2"/>
          <w:sz w:val="22"/>
          <w:highlight w:val="none"/>
          <w:lang w:val="en-US" w:eastAsia="zh-CN"/>
        </w:rPr>
        <w:t xml:space="preserve">   </w:t>
      </w:r>
      <w:r>
        <w:rPr>
          <w:rFonts w:ascii="宋体" w:hAnsi="宋体" w:eastAsia="宋体" w:cs="宋体"/>
          <w:color w:val="000000"/>
          <w:spacing w:val="-2"/>
          <w:sz w:val="22"/>
          <w:highlight w:val="none"/>
        </w:rPr>
        <w:t xml:space="preserve">月</w:t>
      </w:r>
      <w:r>
        <w:rPr>
          <w:rFonts w:hint="eastAsia" w:ascii="宋体" w:hAnsi="宋体" w:cs="宋体"/>
          <w:color w:val="000000"/>
          <w:spacing w:val="-2"/>
          <w:sz w:val="22"/>
          <w:highlight w:val="none"/>
          <w:lang w:val="en-US" w:eastAsia="zh-CN"/>
        </w:rPr>
        <w:t xml:space="preserve"> </w:t>
      </w:r>
      <w:r>
        <w:rPr>
          <w:rFonts w:ascii="宋体" w:hAnsi="宋体" w:eastAsia="宋体" w:cs="宋体"/>
          <w:color w:val="000000"/>
          <w:spacing w:val="-2"/>
          <w:sz w:val="22"/>
          <w:highlight w:val="none"/>
        </w:rPr>
        <w:t xml:space="preserve"> 日</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 </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36" w:name="_Toc16634"/>
      <w:r>
        <w:rPr>
          <w:rFonts w:ascii="宋体" w:hAnsi="宋体" w:eastAsia="宋体" w:cs="宋体"/>
          <w:b/>
          <w:color w:val="000000"/>
          <w:sz w:val="22"/>
          <w:highlight w:val="none"/>
        </w:rPr>
        <w:t xml:space="preserve">格式二、法定代表人授权委托书格式</w:t>
      </w:r>
      <w:bookmarkEnd w:id="136"/>
      <w:r/>
      <w:r/>
    </w:p>
    <w:p>
      <w:pPr>
        <w:ind w:left="0" w:right="0" w:firstLine="720"/>
        <w:jc w:val="center"/>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法定代表人授权委托书</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致：南京市江宁区人民政府江宁街道办事处</w:t>
      </w:r>
      <w:r/>
    </w:p>
    <w:p>
      <w:pPr>
        <w:ind w:left="0" w:right="0" w:firstLine="420"/>
        <w:keepLines w:val="0"/>
        <w:keepNext w:val="0"/>
        <w:pageBreakBefore w:val="0"/>
        <w:spacing w:before="0" w:after="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本授权书声明：注册于 </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响应人（住址）</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的 </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（响应人名称）法定代表人</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（法定代表人姓名、职务）代表本公司授权在下面签字的</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（响应人代表姓名、职务）为本公司的合法代理人，就贵方组织的</w:t>
      </w:r>
      <w:r>
        <w:rPr>
          <w:rFonts w:ascii="宋体" w:hAnsi="宋体" w:eastAsia="宋体" w:cs="宋体"/>
          <w:b/>
          <w:color w:val="000000"/>
          <w:sz w:val="22"/>
          <w:highlight w:val="none"/>
        </w:rPr>
        <w:t xml:space="preserve"> </w:t>
      </w:r>
      <w:r>
        <w:rPr>
          <w:rFonts w:ascii="宋体" w:hAnsi="宋体" w:eastAsia="宋体" w:cs="宋体"/>
          <w:b/>
          <w:color w:val="000000"/>
          <w:sz w:val="22"/>
          <w:highlight w:val="none"/>
          <w:u w:val="single"/>
        </w:rPr>
        <w:t xml:space="preserve">               </w:t>
      </w:r>
      <w:r>
        <w:rPr>
          <w:rFonts w:ascii="宋体" w:hAnsi="宋体" w:eastAsia="宋体" w:cs="宋体"/>
          <w:color w:val="000000"/>
          <w:sz w:val="22"/>
          <w:highlight w:val="none"/>
        </w:rPr>
        <w:t xml:space="preserve">（项目名称），</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（项目编号）响应，以本公司名义处理一切与之有关的事务。</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本授权书于 </w:t>
      </w:r>
      <w:r>
        <w:rPr>
          <w:rFonts w:ascii="宋体" w:hAnsi="宋体" w:eastAsia="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 </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 年</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月</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日签字生效，特此声明。</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法定代表人签字：</w:t>
      </w:r>
      <w:r/>
    </w:p>
    <w:p>
      <w:pPr>
        <w:ind w:left="0" w:right="0" w:firstLine="825"/>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授权委托人签字：                   </w:t>
      </w:r>
      <w:r/>
    </w:p>
    <w:p>
      <w:pPr>
        <w:ind w:left="0" w:right="0" w:firstLine="88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法定代表人、委托代理人的身份证复印件：</w:t>
      </w:r>
      <w:r/>
    </w:p>
    <w:p>
      <w:pPr>
        <w:ind w:left="0" w:right="0" w:firstLine="42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bl>
      <w:tblPr>
        <w:tblStyle w:val="916"/>
        <w:tblpPr w:horzAnchor="page" w:tblpX="1401" w:vertAnchor="text" w:tblpY="63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5"/>
        <w:gridCol w:w="4655"/>
      </w:tblGrid>
      <w:tr>
        <w:trPr>
          <w:trHeight w:val="26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5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法定代表人、委托代理人</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身份证正面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55" w:type="dxa"/>
            <w:vAlign w:val="center"/>
            <w:textDirection w:val="lrTb"/>
            <w:noWrap w:val="false"/>
          </w:tcPr>
          <w:p>
            <w:pPr>
              <w:ind w:left="0" w:right="0" w:firstLine="0"/>
              <w:jc w:val="center"/>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r>
      <w:tr>
        <w:trPr>
          <w:trHeight w:val="2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5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法定代表人、委托代理人</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身份证反面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55" w:type="dxa"/>
            <w:vAlign w:val="center"/>
            <w:textDirection w:val="lrTb"/>
            <w:noWrap w:val="false"/>
          </w:tcPr>
          <w:p>
            <w:pPr>
              <w:ind w:left="0" w:right="0" w:firstLine="0"/>
              <w:jc w:val="center"/>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r>
    </w:tbl>
    <w:p>
      <w:pPr>
        <w:ind w:left="0" w:right="0" w:firstLine="42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2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2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pStyle w:val="913"/>
        <w:numPr>
          <w:ilvl w:val="0"/>
          <w:numId w:val="0"/>
        </w:numPr>
        <w:jc w:val="left"/>
        <w:spacing w:after="156" w:line="480" w:lineRule="exact"/>
        <w:widowControl w:val="off"/>
        <w:rPr>
          <w:highlight w:val="none"/>
        </w:rPr>
      </w:pPr>
      <w:r>
        <w:rPr>
          <w:highlight w:val="none"/>
        </w:rPr>
        <w:br w:type="page" w:clear="all"/>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37" w:name="_Toc17196"/>
      <w:r>
        <w:rPr>
          <w:rFonts w:ascii="宋体" w:hAnsi="宋体" w:eastAsia="宋体" w:cs="宋体"/>
          <w:b/>
          <w:color w:val="000000"/>
          <w:sz w:val="22"/>
          <w:highlight w:val="none"/>
        </w:rPr>
        <w:t xml:space="preserve">格式三、响应报价表格式</w:t>
      </w:r>
      <w:bookmarkEnd w:id="137"/>
      <w:r/>
      <w:r/>
    </w:p>
    <w:p>
      <w:pPr>
        <w:ind w:left="0" w:right="0" w:firstLine="0"/>
        <w:jc w:val="center"/>
        <w:keepLines w:val="0"/>
        <w:keepNext w:val="0"/>
        <w:pageBreakBefore w:val="0"/>
        <w:spacing w:before="0" w:after="0" w:line="360" w:lineRule="auto"/>
        <w:widowControl w:val="off"/>
        <w:rPr>
          <w:rFonts w:ascii="宋体" w:hAnsi="宋体" w:eastAsia="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0"/>
          <w:highlight w:val="none"/>
        </w:rPr>
        <w:t xml:space="preserve">响应报价表（首轮报价）</w:t>
      </w:r>
      <w:r/>
    </w:p>
    <w:p>
      <w:pPr>
        <w:ind w:left="0" w:right="0" w:firstLine="0"/>
        <w:jc w:val="both"/>
        <w:keepLines w:val="0"/>
        <w:keepNext w:val="0"/>
        <w:pageBreakBefore w:val="0"/>
        <w:spacing w:before="0" w:after="0" w:line="360" w:lineRule="auto"/>
        <w:widowControl w:val="off"/>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 </w:t>
      </w:r>
      <w:r/>
    </w:p>
    <w:p>
      <w:pPr>
        <w:pStyle w:val="898"/>
        <w:rPr>
          <w:highlight w:val="none"/>
        </w:rPr>
      </w:pPr>
      <w:r>
        <w:rPr>
          <w:rFonts w:ascii="宋体" w:hAnsi="宋体" w:eastAsia="宋体" w:cs="宋体"/>
          <w:color w:val="000000"/>
          <w:sz w:val="22"/>
          <w:highlight w:val="none"/>
        </w:rPr>
        <w:t xml:space="preserve">项目编号：</w:t>
      </w:r>
      <w:r/>
    </w:p>
    <w:tbl>
      <w:tblPr>
        <w:tblStyle w:val="916"/>
        <w:tblW w:w="93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1395"/>
        <w:gridCol w:w="3015"/>
        <w:gridCol w:w="776"/>
        <w:gridCol w:w="2720"/>
      </w:tblGrid>
      <w:tr>
        <w:trPr>
          <w:trHeight w:val="8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4" w:type="dxa"/>
            <w:vAlign w:val="center"/>
            <w:textDirection w:val="lrTb"/>
            <w:noWrap w:val="false"/>
          </w:tcPr>
          <w:p>
            <w:pPr>
              <w:ind w:left="0" w:right="0" w:firstLine="0"/>
              <w:jc w:val="center"/>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1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报价（</w:t>
            </w:r>
            <w:r>
              <w:rPr>
                <w:rFonts w:ascii="宋体" w:hAnsi="宋体" w:eastAsia="宋体" w:cs="宋体"/>
                <w:color w:val="000000"/>
                <w:sz w:val="22"/>
                <w:highlight w:val="none"/>
              </w:rPr>
              <w:t xml:space="preserve">万元</w:t>
            </w:r>
            <w:r>
              <w:rPr>
                <w:rFonts w:ascii="宋体" w:hAnsi="宋体" w:eastAsia="宋体" w:cs="宋体"/>
                <w:color w:val="000000"/>
                <w:sz w:val="21"/>
                <w:highlight w:val="none"/>
              </w:rPr>
              <w:t xml:space="preserve">）</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49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其中，</w:t>
            </w:r>
            <w:r>
              <w:rPr>
                <w:rFonts w:ascii="宋体" w:hAnsi="宋体" w:eastAsia="宋体" w:cs="宋体"/>
                <w:b/>
                <w:color w:val="000000"/>
                <w:sz w:val="21"/>
                <w:highlight w:val="none"/>
              </w:rPr>
              <w:t xml:space="preserve">小、微型企业报价</w:t>
            </w:r>
            <w:r>
              <w:rPr>
                <w:rFonts w:ascii="宋体" w:hAnsi="宋体" w:eastAsia="宋体" w:cs="宋体"/>
                <w:color w:val="000000"/>
                <w:sz w:val="21"/>
                <w:highlight w:val="none"/>
              </w:rPr>
              <w:t xml:space="preserve">（</w:t>
            </w:r>
            <w:r>
              <w:rPr>
                <w:rFonts w:ascii="宋体" w:hAnsi="宋体" w:eastAsia="宋体" w:cs="宋体"/>
                <w:color w:val="000000"/>
                <w:sz w:val="22"/>
                <w:highlight w:val="none"/>
              </w:rPr>
              <w:t xml:space="preserve">万元</w:t>
            </w:r>
            <w:r>
              <w:rPr>
                <w:rFonts w:ascii="宋体" w:hAnsi="宋体" w:eastAsia="宋体" w:cs="宋体"/>
                <w:color w:val="000000"/>
                <w:sz w:val="21"/>
                <w:highlight w:val="none"/>
              </w:rPr>
              <w:t xml:space="preserve">）</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4"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1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9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4"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1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9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4"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28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供应商是否属于小微型企业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0" w:type="dxa"/>
            <w:vAlign w:val="center"/>
            <w:textDirection w:val="lrTb"/>
            <w:noWrap w:val="false"/>
          </w:tcPr>
          <w:p>
            <w:pPr>
              <w:ind w:left="0" w:right="0" w:firstLine="6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       否</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   </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1、在“供应商是否属于小和微型企业”栏后“是”或“否”上打“√”，如填写“是”，供应商需提供《中小企业声明函》，如未按要求填写或相关内容表述不清的，不得享受价格扣除。</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2、如果行数不够，请自行增加。</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3、本服务仅接受一个价格，不得填报有选择性报价方案。若有优惠条款须注明，但不得影响报价。</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ascii="宋体" w:hAnsi="宋体" w:eastAsia="宋体" w:cs="宋体"/>
          <w:b/>
          <w:color w:val="000000"/>
          <w:sz w:val="21"/>
          <w:highlight w:val="none"/>
        </w:rPr>
        <w:t xml:space="preserve">经磋商后，如果成交价高于或低于供应商在响应文件首次报价的，分项报价同比例调整</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0" w:after="0" w:line="360" w:lineRule="auto"/>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宋体" w:hAnsi="宋体" w:eastAsia="宋体" w:cs="宋体"/>
          <w:b/>
          <w:color w:val="000000"/>
          <w:sz w:val="32"/>
          <w:szCs w:val="21"/>
          <w:highlight w:val="none"/>
        </w:rPr>
        <w:t xml:space="preserve">分项报价表</w:t>
      </w:r>
      <w:r/>
    </w:p>
    <w:p>
      <w:pPr>
        <w:ind w:right="0"/>
        <w:spacing w:before="0" w:after="0" w:line="360" w:lineRule="auto"/>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bl>
      <w:tblPr>
        <w:tblW w:w="93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26"/>
        <w:gridCol w:w="1791"/>
        <w:gridCol w:w="2316"/>
        <w:gridCol w:w="741"/>
        <w:gridCol w:w="568"/>
        <w:gridCol w:w="846"/>
        <w:gridCol w:w="846"/>
        <w:gridCol w:w="1702"/>
      </w:tblGrid>
      <w:tr>
        <w:trPr>
          <w:trHeight w:val="576"/>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单价（元）</w:t>
            </w:r>
            <w:r/>
          </w:p>
        </w:tc>
        <w:tc>
          <w:tcPr>
            <w:shd w:val="clear" w:color="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  （元）</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标线施工</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常温标线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厚度为0.3mm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热熔标线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厚度为2mm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热熔行车箭头</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长度6m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热熔行车箭头</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长度3m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震荡标线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厚度为8mm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高压水洗除标线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自动回收废料及废料处理</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彩色人行道线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右转盲区、学校门口彩色斑马线</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信号灯设备及安装：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八角信号灯杆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主杆ф320-260×8×6800（包含基础开挖、余土外运、预埋件、砼回填）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副杆ф260-110×5×10000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八角信号灯杆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主杆ф280-230×6×6800（包含基础开挖、余土外运、预埋件、砼回填）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副杆ф190-100×5×8000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单挑信号灯杆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主杆ф219×8×7500（包含基础开挖、余土外运、预埋件、砼回填）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副杆ф114×5×5500×2根、ф60×3×1500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立柱式行人灯杆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高3m，ф89（包含基础开挖、余土外运、预埋件、砼回填）</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立柱式信号灯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5m×0.6（包含信号灯、基础开挖、余土外运、预埋件、砼回填）</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ф400（含满屏），能与江宁公安联网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ф300，能与江宁公安联网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780型，能与江宁公安联网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520型，能与江宁公安联网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16相位具有联网功能信号机，能与江宁公安联网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0.85m×0.37m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安全哨兵系统</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标准版，含调试</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顶管</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DN75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组合式禁令标志(含立杆)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1000mm×1500mm,ф89单立杆（高3500mm），含基础开挖、砼基础、预埋件、安装等全部费用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提示标志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1000mm×1000mm,ф76单立杆（高3000mm），含基础开挖、砼基础、预埋件、安装等全部费用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禁令标志(含立杆)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八角“停”标志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禁令标志(含立杆)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φ1000mm,ф89单立杆（高3000mm），含基础开挖、砼基础、预埋件、安装等全部费用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八角“停”标志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φ1000mm,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带支架落地施工牌</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1200mm×2000mm,1.5mm铝板、反光膜、角钢支架</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ф165单挑悬臂标志牌</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版面：2000mm×3000mm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主杆：6mm*ф165mm*7000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悬臂: 4.5mm*89mm*4500mm*2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整套杆件为热镀锌钢管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ф219单挑悬臂标志牌</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版面：2000mm×4000mm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主杆：8mm*ф219mm*8000mm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悬臂: 4.5mm*114mm*5000mm*2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整套杆件为热镀锌无缝钢管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ф273单挑悬臂标志牌</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版面：2000mm×4000mm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主杆：8mm*ф273mm*8000mm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悬臂: 4.5mm*114mm*5000mm*2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整套杆件为热镀锌无缝钢管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ф273单挑悬臂标志牌（7米）</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版面：1000mm×1500mm×2块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主杆：8mm*ф273mm*7000mm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悬臂: 4.5mm*89mm*7000mm*2根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整套杆件为热镀锌无缝钢管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龙门架</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ф273、连体双杆8米跨度龙门架</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主杆：10mm*ф273mm*9000 mm框架: 8mm*ф180mm *8000mm支撑杆:6mm*ф140mm整套杆件为无缝钢管热镀锌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ф325、12米跨度龙门架</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主杆：10mm*ф365mm*11000 mm横梁: 8mm*ф180mm *12000mm 支撑杆:4.5mm*ф89mm整套杆件为无缝钢管热镀锌。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ф219、单杆、6米-8米跨度龙门架</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主杆：ф219mm*8mm*3000mm*2根横梁:ф65mm*3m*6000mm-8000mm整套杆件为无缝钢管热镀锌。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信号灯维护</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4*1.5ｍｍ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3*1.5ｍｍ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2*4ｍｍ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2*1ｍｍ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7*1.5ｍｍ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路口系统信号调试</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配时与江宁公安联网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保险丝</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灯炬</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信号灯主板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倒计时主板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信号机控制板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2P 63A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电源开关</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 63A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高架车机械台班</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高架工程车14m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PE管DN50</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含开挖（0.3m*0.3m*0.4m）砼包封及回填</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独立接地角钢∠6</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电缆检查井（500×650×650砖砌、井盖、土方）</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500×650×650（包含基础、砖砌井、抹灰、井盖、基础开挖、余土外运等全部费用）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悬臂式信号灯预埋件</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ф26螺栓*8根</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电源保护器</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2P(1P+N) 100KA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三眼模数化插座</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两眼模数化插座</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空气开关</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 32A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信号灯杆件出新</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打磨后喷漆</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维修人工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维修人工</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LED太阳能标志及其它设施</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ф800mm（含安装）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ф1000mm（含安装）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1000mm×1500mm（含安装）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1000mm×1000mm（含安装）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600mm×1200mm（含安装）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主动发光标志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★具有国家权威机构针对该产品出具的检测报告。</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LED道钉</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尺寸：105×100×20mm；材质：PC；DC24V；亮度黄/红＞5000mcd、白＞8000mcd；2Hz同步闪烁；可视＞800m；城市道路/隧道通用，稳定好控。</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LED警示桩</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埋植式太阳能发光警示柱（89×1200mm）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尺寸：φ89mm×H800mm（埋深400mm）；材质：FRP；太阳能供电；高亮LED；可视≥400m；埋植安装；防撞耐候</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增设橡胶交通锥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橡胶，360mm*700mm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增设橡胶交通锥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橡胶，400mm*900mm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增设减速带</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橡胶，15mm*100mm*500mm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增设减速带</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橡胶，45mm*330mm*1000mm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增设报闪警示灯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250mm*650mm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增设轮廓标</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40mm*180ｍmm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增设广角镜</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ф800mm（含安装），不含杆件</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增设广角镜</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ф1000mm（含安装），不含杆件</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增设不锈钢护栏片</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1.整片，含铁花、内衬焊管、外套不锈钢管、连接件等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2.满足建设单位使用要求</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增设不锈钢护栏桩柱</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1.整套，含铁座和立柱内衬管、外套不锈钢、连接件等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2.满足建设单位使用要求</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镀锌钢制护栏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1.机非隔离钢护栏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2.40*80*2.0mm，柱高1.1m，热镀锌钢板填砼底座400*350*200mm，立柱设黄色反光标不低于180mm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3.材料品种：槽钢63*40*4.8mm，Φ16mm圆钢，50*5.0mm带钢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4.护栏整体热镀锌，再进行静电喷涂处理</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镀锌钢制护栏立柱</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柱高1.1m，热镀锌钢板填砼底座400*350*200mm，立柱设黄色反光标不低于180mm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不锈钢和铁质护栏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选304不锈钢，立柱≥φ51×2.0mm、竖杆间距≤110mm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镀锌钢管静电喷涂中心护栏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立柱:100x100x2.5mm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横杆:50x50x2.2mm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竖杆:25x25x2mm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整片，含LED盖帽、轮廓标等</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日常巡查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1、每天巡查配备工人1个，巡查车辆1台（2T载货汽车），共计2人1车，每天巡查30km。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2、巡视检查，计量、记录并上报设施破损状况、设置必要的安全警示标志。</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天/1个标段</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right="0"/>
        <w:spacing w:before="0" w:after="0" w:line="360" w:lineRule="auto"/>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项目名称：</w:t>
      </w:r>
      <w:r/>
    </w:p>
    <w:p>
      <w:pPr>
        <w:pStyle w:val="898"/>
        <w:rPr>
          <w:highlight w:val="none"/>
        </w:rPr>
      </w:pPr>
      <w:r>
        <w:rPr>
          <w:rFonts w:ascii="宋体" w:hAnsi="宋体" w:eastAsia="宋体" w:cs="宋体"/>
          <w:color w:val="000000"/>
          <w:sz w:val="22"/>
          <w:highlight w:val="none"/>
        </w:rPr>
        <w:t xml:space="preserve">项目编号：</w:t>
      </w:r>
      <w:r/>
    </w:p>
    <w:p>
      <w:pPr>
        <w:ind w:right="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3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rPr>
          <w:rFonts w:ascii="宋体" w:hAnsi="宋体" w:eastAsia="宋体" w:cs="宋体"/>
          <w:color w:val="000000"/>
          <w:sz w:val="24"/>
          <w:highlight w:val="none"/>
        </w:rPr>
        <w:t xml:space="preserve">                  </w:t>
      </w:r>
      <w:r/>
    </w:p>
    <w:p>
      <w:pPr>
        <w:ind w:left="0" w:right="0" w:firstLine="3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rPr>
          <w:rFonts w:ascii="宋体" w:hAnsi="宋体" w:eastAsia="宋体" w:cs="宋体"/>
          <w:color w:val="000000"/>
          <w:sz w:val="24"/>
          <w:highlight w:val="none"/>
        </w:rPr>
        <w:t xml:space="preserve">               </w:t>
      </w:r>
      <w:r/>
    </w:p>
    <w:p>
      <w:pPr>
        <w:ind w:left="0" w:right="0" w:firstLine="44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格式四：企业声明函格式（非中小企业无需提供）</w:t>
      </w:r>
      <w:r/>
    </w:p>
    <w:p>
      <w:pPr>
        <w:ind w:left="118" w:right="0" w:firstLine="0"/>
        <w:jc w:val="center"/>
        <w:spacing w:before="34" w:after="0" w:line="360" w:lineRule="auto"/>
        <w:rPr>
          <w:sz w:val="18"/>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8"/>
          <w:szCs w:val="20"/>
          <w:highlight w:val="none"/>
        </w:rPr>
        <w:t xml:space="preserve">中小</w:t>
      </w:r>
      <w:r>
        <w:rPr>
          <w:rFonts w:ascii="宋体" w:hAnsi="宋体" w:eastAsia="宋体" w:cs="宋体"/>
          <w:b/>
          <w:color w:val="000000"/>
          <w:sz w:val="28"/>
          <w:szCs w:val="20"/>
          <w:highlight w:val="none"/>
        </w:rPr>
        <w:t xml:space="preserve">企</w:t>
      </w:r>
      <w:r>
        <w:rPr>
          <w:rFonts w:ascii="宋体" w:hAnsi="宋体" w:eastAsia="宋体" w:cs="宋体"/>
          <w:b/>
          <w:color w:val="000000"/>
          <w:spacing w:val="2"/>
          <w:sz w:val="28"/>
          <w:szCs w:val="20"/>
          <w:highlight w:val="none"/>
        </w:rPr>
        <w:t xml:space="preserve">业声</w:t>
      </w:r>
      <w:r>
        <w:rPr>
          <w:rFonts w:ascii="宋体" w:hAnsi="宋体" w:eastAsia="宋体" w:cs="宋体"/>
          <w:b/>
          <w:color w:val="000000"/>
          <w:sz w:val="28"/>
          <w:szCs w:val="20"/>
          <w:highlight w:val="none"/>
        </w:rPr>
        <w:t xml:space="preserve">明</w:t>
      </w:r>
      <w:r>
        <w:rPr>
          <w:rFonts w:ascii="宋体" w:hAnsi="宋体" w:eastAsia="宋体" w:cs="宋体"/>
          <w:b/>
          <w:color w:val="000000"/>
          <w:spacing w:val="2"/>
          <w:sz w:val="28"/>
          <w:szCs w:val="20"/>
          <w:highlight w:val="none"/>
        </w:rPr>
        <w:t xml:space="preserve">函（</w:t>
      </w:r>
      <w:r>
        <w:rPr>
          <w:rFonts w:ascii="宋体" w:hAnsi="宋体" w:eastAsia="宋体" w:cs="宋体"/>
          <w:b/>
          <w:color w:val="000000"/>
          <w:sz w:val="28"/>
          <w:szCs w:val="20"/>
          <w:highlight w:val="none"/>
        </w:rPr>
        <w:t xml:space="preserve">服务）</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本公司（联合体）郑重声明，根据《政府采购促进中小企业发展管理办法》（财库﹝2020﹞46 号）的规定，本公司（联合体）参加（单位名称）的（项目名称）采购活动，服务单位全部为符合政策要求的中小企业（或者：服务 全部由符合政策要求的中小企业承接）。相关企业（含联合体中的中小企业、签订标段意向协议的中小企业）的具体情况如下：</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 </w:t>
      </w:r>
      <w:r>
        <w:rPr>
          <w:rFonts w:ascii="宋体" w:hAnsi="宋体" w:eastAsia="宋体" w:cs="宋体"/>
          <w:color w:val="000000"/>
          <w:sz w:val="21"/>
          <w:highlight w:val="none"/>
          <w:u w:val="single"/>
        </w:rPr>
        <w:t xml:space="preserve">（标的名称）</w:t>
      </w:r>
      <w:r>
        <w:rPr>
          <w:rFonts w:ascii="宋体" w:hAnsi="宋体" w:eastAsia="宋体" w:cs="宋体"/>
          <w:color w:val="000000"/>
          <w:sz w:val="21"/>
          <w:highlight w:val="none"/>
        </w:rPr>
        <w:t xml:space="preserve">，属于</w:t>
      </w:r>
      <w:r>
        <w:rPr>
          <w:rFonts w:ascii="宋体" w:hAnsi="宋体" w:eastAsia="宋体" w:cs="宋体"/>
          <w:color w:val="000000"/>
          <w:sz w:val="21"/>
          <w:highlight w:val="none"/>
          <w:u w:val="single"/>
        </w:rPr>
        <w:t xml:space="preserve">（采购文件中明确的所属行业）</w:t>
      </w:r>
      <w:r>
        <w:rPr>
          <w:rFonts w:ascii="宋体" w:hAnsi="宋体" w:eastAsia="宋体" w:cs="宋体"/>
          <w:color w:val="000000"/>
          <w:sz w:val="21"/>
          <w:highlight w:val="none"/>
        </w:rPr>
        <w:t xml:space="preserve">； 承建</w:t>
      </w:r>
      <w:r>
        <w:rPr>
          <w:rFonts w:ascii="宋体" w:hAnsi="宋体" w:eastAsia="宋体" w:cs="宋体"/>
          <w:color w:val="000000"/>
          <w:sz w:val="21"/>
          <w:highlight w:val="none"/>
          <w:u w:val="single"/>
        </w:rPr>
        <w:t xml:space="preserve">（承接）企业为（企业名称）</w:t>
      </w:r>
      <w:r>
        <w:rPr>
          <w:rFonts w:ascii="宋体" w:hAnsi="宋体" w:eastAsia="宋体" w:cs="宋体"/>
          <w:color w:val="000000"/>
          <w:sz w:val="21"/>
          <w:highlight w:val="none"/>
        </w:rPr>
        <w:t xml:space="preserve">，从业人员</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人，营业收入为</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万元，资产总额为 </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万元</w:t>
      </w:r>
      <w:r>
        <w:rPr>
          <w:rFonts w:ascii="宋体" w:hAnsi="宋体" w:eastAsia="宋体" w:cs="宋体"/>
          <w:color w:val="000000"/>
          <w:sz w:val="21"/>
          <w:highlight w:val="none"/>
          <w:vertAlign w:val="superscript"/>
        </w:rPr>
        <w:t xml:space="preserve">【1】</w:t>
      </w:r>
      <w:r>
        <w:rPr>
          <w:rFonts w:ascii="宋体" w:hAnsi="宋体" w:eastAsia="宋体" w:cs="宋体"/>
          <w:color w:val="000000"/>
          <w:sz w:val="21"/>
          <w:highlight w:val="none"/>
        </w:rPr>
        <w:t xml:space="preserve">，属于</w:t>
      </w:r>
      <w:r>
        <w:rPr>
          <w:rFonts w:ascii="宋体" w:hAnsi="宋体" w:eastAsia="宋体" w:cs="宋体"/>
          <w:color w:val="000000"/>
          <w:sz w:val="21"/>
          <w:highlight w:val="none"/>
          <w:u w:val="single"/>
        </w:rPr>
        <w:t xml:space="preserve">（中型企业、 小型企业、微型企业）</w:t>
      </w:r>
      <w:r>
        <w:rPr>
          <w:rFonts w:ascii="宋体" w:hAnsi="宋体" w:eastAsia="宋体" w:cs="宋体"/>
          <w:color w:val="000000"/>
          <w:sz w:val="21"/>
          <w:highlight w:val="none"/>
        </w:rPr>
        <w:t xml:space="preserve">；</w:t>
      </w:r>
      <w:r/>
    </w:p>
    <w:p>
      <w:pPr>
        <w:ind w:left="0" w:right="0" w:firstLine="525"/>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p>
      <w:pPr>
        <w:ind w:left="0" w:right="0" w:firstLine="525"/>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以上企业，不属于大企业的分支机构，不存在控股股东为大企业的情形，也不存在与大企业的负责人为同一人的情 形。</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本企业对上述声明内容的真实性负责。如有虚假，将依法承担相应责任。</w:t>
      </w:r>
      <w:r/>
    </w:p>
    <w:p>
      <w:pPr>
        <w:ind w:left="0" w:right="420" w:firstLine="0"/>
        <w:jc w:val="right"/>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企业名称（</w:t>
      </w:r>
      <w:r>
        <w:rPr>
          <w:rFonts w:ascii="宋体" w:hAnsi="宋体" w:eastAsia="宋体" w:cs="宋体"/>
          <w:color w:val="000000"/>
          <w:sz w:val="22"/>
          <w:highlight w:val="none"/>
        </w:rPr>
        <w:t xml:space="preserve">加盖电子公章</w:t>
      </w:r>
      <w:r>
        <w:rPr>
          <w:rFonts w:ascii="宋体" w:hAnsi="宋体" w:eastAsia="宋体" w:cs="宋体"/>
          <w:color w:val="000000"/>
          <w:sz w:val="21"/>
          <w:highlight w:val="none"/>
        </w:rPr>
        <w:t xml:space="preserve">）：</w:t>
      </w:r>
      <w:r/>
    </w:p>
    <w:p>
      <w:pPr>
        <w:ind w:right="840" w:firstLine="609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 期：</w:t>
      </w:r>
      <w:r/>
    </w:p>
    <w:p>
      <w:pPr>
        <w:ind w:right="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832"/>
        <w:jc w:val="both"/>
        <w:spacing w:before="2"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 1：从业人员、营业收入、资产总额填报上一年度数据，无上一年度数据的新成立企业可不填报。 </w:t>
      </w:r>
      <w:r/>
    </w:p>
    <w:p>
      <w:pPr>
        <w:ind w:right="831"/>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 2：供应商如不提供此声明函，价格将不做相应扣除。成交供应商如享受本项目中小企业扶持政策的，其声明函将随成交结果同时公告，接受社会监督。 </w:t>
      </w:r>
      <w:r/>
    </w:p>
    <w:p>
      <w:pPr>
        <w:ind w:right="832"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各行业划型标准为：</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（十五）租赁和商务服务业。从业人员</w:t>
      </w:r>
      <w:r>
        <w:rPr>
          <w:rFonts w:ascii="Times New Roman" w:hAnsi="Times New Roman" w:eastAsia="Times New Roman" w:cs="Times New Roman"/>
          <w:color w:val="000000"/>
          <w:sz w:val="21"/>
          <w:highlight w:val="none"/>
        </w:rPr>
        <w:t xml:space="preserve">300</w:t>
      </w:r>
      <w:r>
        <w:rPr>
          <w:rFonts w:ascii="宋体" w:hAnsi="宋体" w:eastAsia="宋体" w:cs="宋体"/>
          <w:color w:val="000000"/>
          <w:sz w:val="21"/>
          <w:highlight w:val="none"/>
        </w:rPr>
        <w:t xml:space="preserve">人以下或资产总额</w:t>
      </w:r>
      <w:r>
        <w:rPr>
          <w:rFonts w:ascii="Times New Roman" w:hAnsi="Times New Roman" w:eastAsia="Times New Roman" w:cs="Times New Roman"/>
          <w:color w:val="000000"/>
          <w:sz w:val="21"/>
          <w:highlight w:val="none"/>
        </w:rPr>
        <w:t xml:space="preserve">120000</w:t>
      </w:r>
      <w:r>
        <w:rPr>
          <w:rFonts w:ascii="宋体" w:hAnsi="宋体" w:eastAsia="宋体" w:cs="宋体"/>
          <w:color w:val="000000"/>
          <w:sz w:val="21"/>
          <w:highlight w:val="none"/>
        </w:rPr>
        <w:t xml:space="preserve">万元以下的为中小微型企业。其中，从业人员</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人及以上，且资产总额</w:t>
      </w:r>
      <w:r>
        <w:rPr>
          <w:rFonts w:ascii="Times New Roman" w:hAnsi="Times New Roman" w:eastAsia="Times New Roman" w:cs="Times New Roman"/>
          <w:color w:val="000000"/>
          <w:sz w:val="21"/>
          <w:highlight w:val="none"/>
        </w:rPr>
        <w:t xml:space="preserve">8000</w:t>
      </w:r>
      <w:r>
        <w:rPr>
          <w:rFonts w:ascii="宋体" w:hAnsi="宋体" w:eastAsia="宋体" w:cs="宋体"/>
          <w:color w:val="000000"/>
          <w:sz w:val="21"/>
          <w:highlight w:val="none"/>
        </w:rPr>
        <w:t xml:space="preserve">万元及以上的为中型企业；从业人员</w:t>
      </w:r>
      <w:r>
        <w:rPr>
          <w:rFonts w:ascii="Times New Roman" w:hAnsi="Times New Roman" w:eastAsia="Times New Roman" w:cs="Times New Roman"/>
          <w:color w:val="000000"/>
          <w:sz w:val="21"/>
          <w:highlight w:val="none"/>
        </w:rPr>
        <w:t xml:space="preserve">10</w:t>
      </w:r>
      <w:r>
        <w:rPr>
          <w:rFonts w:ascii="宋体" w:hAnsi="宋体" w:eastAsia="宋体" w:cs="宋体"/>
          <w:color w:val="000000"/>
          <w:sz w:val="21"/>
          <w:highlight w:val="none"/>
        </w:rPr>
        <w:t xml:space="preserve">人及以上，且资产总额</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万元及以上的为小型企业；从业人员</w:t>
      </w:r>
      <w:r>
        <w:rPr>
          <w:rFonts w:ascii="Times New Roman" w:hAnsi="Times New Roman" w:eastAsia="Times New Roman" w:cs="Times New Roman"/>
          <w:color w:val="000000"/>
          <w:sz w:val="21"/>
          <w:highlight w:val="none"/>
        </w:rPr>
        <w:t xml:space="preserve">10</w:t>
      </w:r>
      <w:r>
        <w:rPr>
          <w:rFonts w:ascii="宋体" w:hAnsi="宋体" w:eastAsia="宋体" w:cs="宋体"/>
          <w:color w:val="000000"/>
          <w:sz w:val="21"/>
          <w:highlight w:val="none"/>
        </w:rPr>
        <w:t xml:space="preserve">人以下或资产总额</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万元以下的为微型企业。</w:t>
      </w:r>
      <w:r/>
    </w:p>
    <w:p>
      <w:pPr>
        <w:ind w:right="832"/>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0" w:after="0" w:line="360" w:lineRule="auto"/>
        <w:shd w:val="clear" w:color="ffffff" w:fill="ffffff"/>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jc w:val="center"/>
        <w:spacing w:before="0" w:after="0" w:line="360" w:lineRule="auto"/>
        <w:shd w:val="clear" w:color="ffffff" w:fill="ffffff"/>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残疾人福利性单位声明函</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本单位对上述声明的真实性负责。如有虚假，将依法承担相应责任。</w:t>
      </w:r>
      <w:r/>
    </w:p>
    <w:p>
      <w:pPr>
        <w:ind w:left="0" w:right="0" w:firstLine="52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单位名称（加盖电子公章）：</w:t>
      </w:r>
      <w:r/>
    </w:p>
    <w:p>
      <w:pPr>
        <w:ind w:left="0" w:right="0" w:firstLine="52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0" w:after="0" w:line="360" w:lineRule="auto"/>
        <w:rPr>
          <w:sz w:val="2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highlight w:val="none"/>
        </w:rPr>
        <w:t xml:space="preserve">属于监狱企业的证明文件</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（提供由省级以上监狱管理局、戒毒管理局（含新疆生产建设兵团）出具的属于监狱企业的证明文件）</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格式五、技术条款偏离表格式</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42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技术条款偏离表</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609"/>
        <w:gridCol w:w="1660"/>
        <w:gridCol w:w="1523"/>
        <w:gridCol w:w="1589"/>
        <w:gridCol w:w="1172"/>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81"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w:t>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73"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项目编号：</w:t>
            </w:r>
            <w:r/>
          </w:p>
        </w:tc>
      </w:tr>
      <w:tr>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技术服务要求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磋商响应</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备注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说明：如果行数不够，请自行增加。</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shd w:val="clear" w:color="ffffff" w:fill="ffffff"/>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格式六、商务条款偏离表格式</w:t>
      </w:r>
      <w:r/>
    </w:p>
    <w:p>
      <w:pPr>
        <w:ind w:left="42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商务条款偏离表</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4019"/>
        <w:gridCol w:w="1618"/>
        <w:gridCol w:w="547"/>
        <w:gridCol w:w="750"/>
        <w:gridCol w:w="1354"/>
        <w:gridCol w:w="379"/>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61" w:type="dxa"/>
            <w:vAlign w:val="center"/>
            <w:textDirection w:val="lrTb"/>
            <w:noWrap w:val="false"/>
          </w:tcPr>
          <w:p>
            <w:pPr>
              <w:ind w:left="0" w:right="0" w:firstLine="2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w:t>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94"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项目编号：</w:t>
            </w:r>
            <w:r/>
          </w:p>
        </w:tc>
      </w:tr>
      <w:tr>
        <w:trPr>
          <w:gridAfter w:val="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磋商文件要求的商务条款</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磋商响应</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备注</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说明：如果行数不够，请自行增加。</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格式七、拟投入本项目人员表</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324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拟投入本项目人员表</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117"/>
        <w:gridCol w:w="1256"/>
        <w:gridCol w:w="1256"/>
        <w:gridCol w:w="1256"/>
        <w:gridCol w:w="1119"/>
        <w:gridCol w:w="1117"/>
        <w:gridCol w:w="111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拟在本项目承担的角色</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职位/职称/相关证书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工作经历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说明：如果行数不够，请自行增加。</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color w:val="000000"/>
          <w:sz w:val="22"/>
          <w:highlight w:val="none"/>
        </w:rPr>
        <w:t xml:space="preserve">  根据第三章“成交标准”提供相关证明材料</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格式八、服务方案</w:t>
      </w:r>
      <w:r/>
    </w:p>
    <w:p>
      <w:pPr>
        <w:ind w:left="0" w:right="0" w:firstLine="525"/>
        <w:spacing w:before="120" w:after="12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服务方案应根据采购人对项目的要求、成交标准的要求及项目本身的特点编写。</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格式九、 响应人类似业绩情况表格式</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响应人类似业绩情况表</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35"/>
        <w:gridCol w:w="1399"/>
        <w:gridCol w:w="978"/>
        <w:gridCol w:w="1494"/>
        <w:gridCol w:w="1118"/>
        <w:gridCol w:w="111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3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采购人单位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签约及服务</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1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注：具体时间要求及需提交的证明材料见“第三章 成交标准”。</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格式十、资格证明文件</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附件1：具有独立承担民事责任的能力（提供法人或者其他组织的营业执照，自然人的身份证明）；</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附件2:具有良好的商业信誉和健全的财务会计制度；</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附件3：具有履行合同所必需的设备和专业技术能力（根据项目需求提供履行合同所必需的设备和专业技术能力的证明材料）；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具备履行合同所必需的设备和专业技术能力的书面声明</w:t>
      </w:r>
      <w:r/>
    </w:p>
    <w:p>
      <w:pPr>
        <w:ind w:left="0" w:right="0" w:firstLine="49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南京市江宁区人民政府江宁街道办事处：</w:t>
      </w:r>
      <w:r/>
    </w:p>
    <w:p>
      <w:pPr>
        <w:ind w:left="0" w:right="0" w:firstLine="49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我单位郑重声明：我单位具备履行本项采购合同所必需的设备和专业技术能力，为履行本项采购合同我公司具备如下主要设备和主要专业技术能力：</w:t>
      </w:r>
      <w:r/>
    </w:p>
    <w:p>
      <w:pPr>
        <w:ind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主要设备有：</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w:t>
      </w:r>
      <w:r/>
    </w:p>
    <w:p>
      <w:pPr>
        <w:ind w:right="0" w:firstLine="44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主要专业技术能力有：</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声明人：（加盖电子公章）</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日期：   年   月   日</w:t>
      </w:r>
      <w:r/>
    </w:p>
    <w:p>
      <w:pPr>
        <w:ind w:left="0" w:right="0" w:firstLine="431"/>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附件4：有依法缴纳税收和社会保障资金的良好记录；</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附件5：参加政府采购活动前三年内，在经营活动中没有重大违法记录（提供参加本次政府采购活动前3年内在经营活动中没有重大违法记录的书面声明）；</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参加政府采购活动前三年内，在经营活动中没有重大违法记录</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南京市江宁区人民政府江宁街道办事处</w:t>
      </w:r>
      <w:r>
        <w:rPr>
          <w:rFonts w:ascii="宋体" w:hAnsi="宋体" w:eastAsia="宋体" w:cs="宋体"/>
          <w:color w:val="000000"/>
          <w:sz w:val="22"/>
          <w:highlight w:val="none"/>
        </w:rPr>
        <w:t xml:space="preserve">：</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我单位（响应人名称）郑重声明：</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参加政府采购活动前三年内在经营活动中（在下划线上如实填写：有或没有）重大违法记录。</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（说明：政府采购法第二十二条第一款第五项所称重大违法记录，是指响应人因违法经营受到刑事处罚或者责令停产停业、吊销许可证或者执照、较大数额罚款等行政处罚。）</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声明人：（加盖电子公章）</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日期：   年   月   日</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附件6：法律、行政法规规定的其他条件。</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ascii="宋体" w:hAnsi="宋体" w:eastAsia="宋体" w:cs="宋体"/>
          <w:b/>
          <w:color w:val="000000"/>
          <w:sz w:val="21"/>
          <w:highlight w:val="none"/>
        </w:rPr>
        <w:t xml:space="preserve">附件</w:t>
      </w:r>
      <w:r>
        <w:rPr>
          <w:rFonts w:ascii="Times New Roman" w:hAnsi="Times New Roman" w:eastAsia="Times New Roman" w:cs="Times New Roman"/>
          <w:b/>
          <w:color w:val="000000"/>
          <w:sz w:val="21"/>
          <w:highlight w:val="none"/>
        </w:rPr>
        <w:t xml:space="preserve">7</w:t>
      </w:r>
      <w:r>
        <w:rPr>
          <w:rFonts w:ascii="宋体" w:hAnsi="宋体" w:eastAsia="宋体" w:cs="宋体"/>
          <w:b/>
          <w:color w:val="000000"/>
          <w:sz w:val="21"/>
          <w:highlight w:val="none"/>
        </w:rPr>
        <w:t xml:space="preserve">：《南京市政府采购供应商信用记录表暨信用承诺书》</w:t>
      </w:r>
      <w:r/>
    </w:p>
    <w:p>
      <w:pPr>
        <w:ind w:left="0" w:right="0" w:firstLine="42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w:t>
      </w:r>
      <w:r>
        <w:rPr>
          <w:rFonts w:ascii="宋体" w:hAnsi="宋体" w:eastAsia="宋体" w:cs="宋体"/>
          <w:color w:val="000000"/>
          <w:sz w:val="21"/>
          <w:highlight w:val="none"/>
        </w:rPr>
        <w:t xml:space="preserve">.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未按要求提供信用记录表或未签字盖章的，将按无效投标处理。</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在政府采购资格审查环节，供应商只需提供书面《南京市政府采购供应商信用记录表暨信用承诺书》，即可替代以下证明材料：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（1）符合国家相关规定的财务状况报告；</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（2）依法缴纳税收的证明材料；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（3）依法缴纳社会保障资金的证明材料；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（4）具备履行政府采购合同所必需的设备和专业技术能力的证明材料；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（5）参加政府采购活动前三年内在经营活动中没有重大违法记录的证明材料；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（6）未被列入失信被执行人、重大税收违法失信主体、政府采购严重违法失信行为记录名单的证明材料。</w:t>
      </w:r>
      <w:r/>
    </w:p>
    <w:p>
      <w:pPr>
        <w:ind w:left="0" w:right="0" w:firstLine="21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供应商在中标（成交）后，应提供上述由信用承诺书替代的证明材料（一式伍份</w:t>
      </w:r>
      <w:r>
        <w:rPr>
          <w:rFonts w:ascii="宋体" w:hAnsi="宋体" w:eastAsia="宋体" w:cs="宋体"/>
          <w:color w:val="000000"/>
          <w:sz w:val="21"/>
          <w:highlight w:val="none"/>
        </w:rPr>
        <w:t xml:space="preserve">）（（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机构核验。经核验无误后，由采购人或采购代理机构发出中标（成交）通知书。</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供应商涉及以下情形的，不适用信用承诺，仍须提供上述证明材料：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（1）供应商被列入严重失信主体名单；</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（2）被相关监管部门作出行政处罚且尚在处罚有效期内；</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（3）其他法律、行政法规规定的不适用信用承诺的情形。</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供应商对信用承诺内容的真实性、合法性、有效性负责。如作出虚假信用承诺，视同为“提供虚假材料谋取中标、成交”的违法行为。</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格式十一、其他</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118" w:right="0" w:firstLine="0"/>
        <w:spacing w:before="18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p>
      <w:pPr>
        <w:ind w:left="0" w:right="0" w:firstLine="0"/>
        <w:jc w:val="both"/>
        <w:spacing w:before="0" w:after="0" w:line="360" w:lineRule="auto"/>
        <w:rPr>
          <w:rFonts w:ascii="Times New Roman" w:hAnsi="Times New Roman" w:eastAsia="Times New Roman" w:cs="Times New Roman"/>
          <w:color w:val="000000"/>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98"/>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sectPr>
      <w:headerReference w:type="default" r:id="rId10"/>
      <w:footerReference w:type="default" r:id="rId13"/>
      <w:footnotePr/>
      <w:endnotePr/>
      <w:type w:val="nextPage"/>
      <w:pgSz w:w="11910" w:h="16840" w:orient="portrait"/>
      <w:pgMar w:top="1080" w:right="130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rebuchet MS">
    <w:panose1 w:val="020B0603020202020204"/>
  </w:font>
  <w:font w:name="Courier New">
    <w:panose1 w:val="02070309020205020404"/>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clear" w:pos="7143" w:leader="none"/>
        <w:tab w:val="right" w:pos="8306" w:leader="none"/>
        <w:tab w:val="clear" w:pos="14287" w:leader="none"/>
      </w:tabs>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clear" w:pos="7143" w:leader="none"/>
        <w:tab w:val="right" w:pos="8306" w:leader="none"/>
        <w:tab w:val="clear" w:pos="14287" w:leader="none"/>
      </w:tabs>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38</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903"/>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r/>
                    <w:r/>
                  </w:p>
                  <w:p>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rPr>
                              <w:szCs w:val="18"/>
                            </w:rPr>
                          </w:pPr>
                          <w:r>
                            <w:rPr>
                              <w:szCs w:val="18"/>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rPr>
                        <w:szCs w:val="18"/>
                      </w:rPr>
                    </w:pPr>
                    <w:r>
                      <w:rPr>
                        <w:szCs w:val="18"/>
                      </w:rPr>
                    </w:r>
                    <w:r/>
                  </w:p>
                  <w:p>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rPr>
                              <w:szCs w:val="18"/>
                            </w:rPr>
                          </w:pPr>
                          <w:r>
                            <w:rPr>
                              <w:szCs w:val="18"/>
                            </w:rPr>
                          </w:r>
                          <w:r/>
                        </w:p>
                        <w:p>
                          <w:r/>
                          <w:r/>
                        </w:p>
                      </w:txbxContent>
                    </wps:txbx>
                    <wps:bodyPr wrap="square" lIns="0" tIns="0" rIns="0" bIns="0" upright="1"/>
                  </wps:wsp>
                </a:graphicData>
              </a:graphic>
            </wp:anchor>
          </w:drawing>
        </mc:Choice>
        <mc:Fallback>
          <w:pict>
            <v:shape id="shape 5" o:spid="_x0000_s5" o:spt="202" type="#_x0000_t202" style="position:absolute;z-index:-251659264;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rPr>
                        <w:szCs w:val="18"/>
                      </w:rPr>
                    </w:pPr>
                    <w:r>
                      <w:rPr>
                        <w:szCs w:val="18"/>
                      </w:rPr>
                    </w:r>
                    <w:r/>
                  </w:p>
                  <w:p>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rPr>
                              <w:szCs w:val="18"/>
                            </w:rPr>
                          </w:pPr>
                          <w:r>
                            <w:rPr>
                              <w:szCs w:val="18"/>
                            </w:rPr>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rPr>
                        <w:szCs w:val="18"/>
                      </w:rPr>
                    </w:pPr>
                    <w:r>
                      <w:rPr>
                        <w:szCs w:val="18"/>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clear" w:pos="7143" w:leader="none"/>
        <w:tab w:val="right" w:pos="8306" w:leader="none"/>
        <w:tab w:val="clear" w:pos="14287" w:leader="none"/>
      </w:tabs>
      <w:rPr>
        <w:b/>
        <w:sz w:val="20"/>
        <w:szCs w:val="20"/>
      </w:rPr>
      <w:pBdr>
        <w:top w:val="none" w:color="auto" w:sz="0" w:space="0"/>
        <w:left w:val="none" w:color="auto" w:sz="0" w:space="0"/>
        <w:bottom w:val="none" w:color="auto" w:sz="0" w:space="0"/>
        <w:right w:val="none" w:color="auto" w:sz="0" w:space="0"/>
        <w:between w:val="none" w:color="auto" w:sz="0" w:space="0"/>
      </w:pBdr>
    </w:pPr>
    <w:r>
      <w:rPr>
        <w:b/>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hint="default"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11"/>
  </w:num>
  <w:num w:numId="4">
    <w:abstractNumId w:val="1"/>
  </w:num>
  <w:num w:numId="5">
    <w:abstractNumId w:val="4"/>
  </w:num>
  <w:num w:numId="6">
    <w:abstractNumId w:val="8"/>
  </w:num>
  <w:num w:numId="7">
    <w:abstractNumId w:val="2"/>
  </w:num>
  <w:num w:numId="8">
    <w:abstractNumId w:val="6"/>
  </w:num>
  <w:num w:numId="9">
    <w:abstractNumId w:val="9"/>
  </w:num>
  <w:num w:numId="10">
    <w:abstractNumId w:val="5"/>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default="1">
    <w:name w:val="Normal"/>
    <w:link w:val="11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name w:val="Heading 1"/>
    <w:basedOn w:val="883"/>
    <w:next w:val="883"/>
    <w:link w:val="921"/>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22"/>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23"/>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24"/>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25"/>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link w:val="926"/>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28"/>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29"/>
    <w:uiPriority w:val="9"/>
    <w:unhideWhenUsed/>
    <w:qFormat/>
    <w:pPr>
      <w:keepLines/>
      <w:keepNext/>
      <w:spacing w:before="320" w:after="200"/>
      <w:outlineLvl w:val="8"/>
    </w:pPr>
    <w:rPr>
      <w:rFonts w:ascii="Arial" w:hAnsi="Arial" w:eastAsia="Arial" w:cs="Arial"/>
      <w:i/>
      <w:iCs/>
      <w:sz w:val="21"/>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right="0" w:firstLine="0"/>
      <w:spacing w:after="57"/>
    </w:pPr>
  </w:style>
  <w:style w:type="paragraph" w:styleId="896">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7">
    <w:name w:val="annotation text"/>
    <w:basedOn w:val="883"/>
    <w:uiPriority w:val="0"/>
    <w:qFormat/>
    <w:pPr>
      <w:jc w:val="left"/>
    </w:pPr>
    <w:rPr>
      <w:szCs w:val="20"/>
    </w:rPr>
  </w:style>
  <w:style w:type="paragraph" w:styleId="898">
    <w:name w:val="Body Text"/>
    <w:basedOn w:val="883"/>
    <w:next w:val="883"/>
    <w:uiPriority w:val="0"/>
    <w:qFormat/>
    <w:pPr>
      <w:spacing w:after="120"/>
    </w:pPr>
  </w:style>
  <w:style w:type="paragraph" w:styleId="899">
    <w:name w:val="toc 5"/>
    <w:basedOn w:val="883"/>
    <w:next w:val="883"/>
    <w:uiPriority w:val="39"/>
    <w:unhideWhenUsed/>
    <w:qFormat/>
    <w:pPr>
      <w:ind w:left="1134" w:right="0" w:firstLine="0"/>
      <w:spacing w:after="57"/>
    </w:pPr>
  </w:style>
  <w:style w:type="paragraph" w:styleId="900">
    <w:name w:val="toc 3"/>
    <w:basedOn w:val="883"/>
    <w:next w:val="883"/>
    <w:uiPriority w:val="39"/>
    <w:unhideWhenUsed/>
    <w:qFormat/>
    <w:pPr>
      <w:ind w:left="567" w:right="0" w:firstLine="0"/>
      <w:spacing w:after="57"/>
    </w:pPr>
  </w:style>
  <w:style w:type="paragraph" w:styleId="901">
    <w:name w:val="toc 8"/>
    <w:basedOn w:val="883"/>
    <w:next w:val="883"/>
    <w:uiPriority w:val="39"/>
    <w:unhideWhenUsed/>
    <w:qFormat/>
    <w:pPr>
      <w:ind w:left="1984" w:right="0" w:firstLine="0"/>
      <w:spacing w:after="57"/>
    </w:pPr>
  </w:style>
  <w:style w:type="paragraph" w:styleId="902">
    <w:name w:val="endnote text"/>
    <w:basedOn w:val="883"/>
    <w:link w:val="1067"/>
    <w:uiPriority w:val="99"/>
    <w:semiHidden/>
    <w:unhideWhenUsed/>
    <w:qFormat/>
    <w:pPr>
      <w:spacing w:after="0" w:line="240" w:lineRule="auto"/>
    </w:pPr>
    <w:rPr>
      <w:sz w:val="20"/>
    </w:rPr>
  </w:style>
  <w:style w:type="paragraph" w:styleId="903">
    <w:name w:val="Footer"/>
    <w:basedOn w:val="883"/>
    <w:link w:val="940"/>
    <w:uiPriority w:val="99"/>
    <w:unhideWhenUsed/>
    <w:qFormat/>
    <w:pPr>
      <w:spacing w:after="0" w:line="240" w:lineRule="auto"/>
      <w:tabs>
        <w:tab w:val="center" w:pos="7143" w:leader="none"/>
        <w:tab w:val="right" w:pos="14287" w:leader="none"/>
      </w:tabs>
    </w:pPr>
  </w:style>
  <w:style w:type="paragraph" w:styleId="904">
    <w:name w:val="Header"/>
    <w:basedOn w:val="883"/>
    <w:link w:val="938"/>
    <w:uiPriority w:val="99"/>
    <w:unhideWhenUsed/>
    <w:qFormat/>
    <w:pPr>
      <w:spacing w:after="0" w:line="240" w:lineRule="auto"/>
      <w:tabs>
        <w:tab w:val="center" w:pos="7143" w:leader="none"/>
        <w:tab w:val="right" w:pos="14287" w:leader="none"/>
      </w:tabs>
    </w:pPr>
  </w:style>
  <w:style w:type="paragraph" w:styleId="905">
    <w:name w:val="toc 1"/>
    <w:basedOn w:val="883"/>
    <w:next w:val="883"/>
    <w:uiPriority w:val="39"/>
    <w:unhideWhenUsed/>
    <w:qFormat/>
    <w:pPr>
      <w:ind w:left="0" w:right="0" w:firstLine="0"/>
      <w:spacing w:after="57"/>
    </w:pPr>
  </w:style>
  <w:style w:type="paragraph" w:styleId="906">
    <w:name w:val="toc 4"/>
    <w:basedOn w:val="883"/>
    <w:next w:val="883"/>
    <w:uiPriority w:val="39"/>
    <w:unhideWhenUsed/>
    <w:qFormat/>
    <w:pPr>
      <w:ind w:left="850" w:right="0" w:firstLine="0"/>
      <w:spacing w:after="57"/>
    </w:pPr>
  </w:style>
  <w:style w:type="paragraph" w:styleId="907">
    <w:name w:val="Subtitle"/>
    <w:basedOn w:val="883"/>
    <w:next w:val="883"/>
    <w:link w:val="933"/>
    <w:uiPriority w:val="11"/>
    <w:qFormat/>
    <w:pPr>
      <w:spacing w:before="200" w:after="200"/>
    </w:pPr>
    <w:rPr>
      <w:sz w:val="24"/>
      <w:szCs w:val="24"/>
    </w:rPr>
  </w:style>
  <w:style w:type="paragraph" w:styleId="908">
    <w:name w:val="footnote text"/>
    <w:basedOn w:val="883"/>
    <w:link w:val="1066"/>
    <w:uiPriority w:val="99"/>
    <w:semiHidden/>
    <w:unhideWhenUsed/>
    <w:qFormat/>
    <w:pPr>
      <w:spacing w:after="40" w:line="240" w:lineRule="auto"/>
    </w:pPr>
    <w:rPr>
      <w:sz w:val="18"/>
    </w:rPr>
  </w:style>
  <w:style w:type="paragraph" w:styleId="909">
    <w:name w:val="toc 6"/>
    <w:basedOn w:val="883"/>
    <w:next w:val="883"/>
    <w:uiPriority w:val="39"/>
    <w:unhideWhenUsed/>
    <w:qFormat/>
    <w:pPr>
      <w:ind w:left="1417" w:right="0" w:firstLine="0"/>
      <w:spacing w:after="57"/>
    </w:pPr>
  </w:style>
  <w:style w:type="paragraph" w:styleId="910">
    <w:name w:val="table of figures"/>
    <w:basedOn w:val="883"/>
    <w:next w:val="883"/>
    <w:uiPriority w:val="99"/>
    <w:unhideWhenUsed/>
    <w:qFormat/>
    <w:pPr>
      <w:spacing w:after="0" w:afterAutospacing="0"/>
    </w:pPr>
  </w:style>
  <w:style w:type="paragraph" w:styleId="911">
    <w:name w:val="toc 2"/>
    <w:basedOn w:val="883"/>
    <w:next w:val="883"/>
    <w:uiPriority w:val="39"/>
    <w:unhideWhenUsed/>
    <w:qFormat/>
    <w:pPr>
      <w:ind w:left="283" w:right="0" w:firstLine="0"/>
      <w:spacing w:after="57"/>
    </w:pPr>
  </w:style>
  <w:style w:type="paragraph" w:styleId="912">
    <w:name w:val="toc 9"/>
    <w:basedOn w:val="883"/>
    <w:next w:val="883"/>
    <w:uiPriority w:val="39"/>
    <w:unhideWhenUsed/>
    <w:qFormat/>
    <w:pPr>
      <w:ind w:left="2268" w:right="0" w:firstLine="0"/>
      <w:spacing w:after="57"/>
    </w:pPr>
  </w:style>
  <w:style w:type="paragraph" w:styleId="913">
    <w:name w:val="Body Text 2"/>
    <w:basedOn w:val="883"/>
    <w:uiPriority w:val="0"/>
    <w:qFormat/>
    <w:pPr>
      <w:jc w:val="center"/>
      <w:widowControl/>
    </w:pPr>
    <w:rPr>
      <w:rFonts w:ascii="楷体_GB2312" w:eastAsia="楷体_GB2312"/>
      <w:sz w:val="28"/>
    </w:rPr>
  </w:style>
  <w:style w:type="paragraph" w:styleId="914">
    <w:name w:val="Normal (Web)"/>
    <w:basedOn w:val="883"/>
    <w:uiPriority w:val="0"/>
    <w:qFormat/>
    <w:pPr>
      <w:jc w:val="left"/>
      <w:spacing w:before="100" w:beforeAutospacing="1" w:after="100" w:afterAutospacing="1"/>
      <w:widowControl/>
    </w:pPr>
    <w:rPr>
      <w:rFonts w:ascii="宋体" w:hAnsi="宋体" w:eastAsia="宋体" w:cs="宋体"/>
      <w:sz w:val="24"/>
    </w:rPr>
  </w:style>
  <w:style w:type="paragraph" w:styleId="915">
    <w:name w:val="Title"/>
    <w:basedOn w:val="883"/>
    <w:next w:val="883"/>
    <w:link w:val="932"/>
    <w:uiPriority w:val="10"/>
    <w:qFormat/>
    <w:pPr>
      <w:contextualSpacing/>
      <w:spacing w:before="300" w:after="200"/>
    </w:pPr>
    <w:rPr>
      <w:sz w:val="48"/>
      <w:szCs w:val="48"/>
    </w:rPr>
  </w:style>
  <w:style w:type="table" w:styleId="9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93"/>
    <w:uiPriority w:val="22"/>
    <w:qFormat/>
    <w:rPr>
      <w:b/>
    </w:rPr>
  </w:style>
  <w:style w:type="character" w:styleId="918">
    <w:name w:val="endnote reference"/>
    <w:uiPriority w:val="99"/>
    <w:semiHidden/>
    <w:unhideWhenUsed/>
    <w:qFormat/>
    <w:rPr>
      <w:vertAlign w:val="superscript"/>
    </w:rPr>
  </w:style>
  <w:style w:type="character" w:styleId="919">
    <w:name w:val="Hyperlink"/>
    <w:uiPriority w:val="99"/>
    <w:unhideWhenUsed/>
    <w:qFormat/>
    <w:rPr>
      <w:color w:val="0000ff" w:themeColor="hyperlink"/>
      <w:u w:val="single"/>
      <w14:textFill>
        <w14:solidFill>
          <w14:schemeClr w14:val="hlink"/>
        </w14:solidFill>
      </w14:textFill>
    </w:rPr>
  </w:style>
  <w:style w:type="character" w:styleId="920">
    <w:name w:val="footnote reference"/>
    <w:uiPriority w:val="99"/>
    <w:unhideWhenUsed/>
    <w:qFormat/>
    <w:rPr>
      <w:vertAlign w:val="superscript"/>
    </w:rPr>
  </w:style>
  <w:style w:type="character" w:styleId="921" w:customStyle="1">
    <w:name w:val="Heading 1 Char"/>
    <w:link w:val="884"/>
    <w:uiPriority w:val="9"/>
    <w:qFormat/>
    <w:rPr>
      <w:rFonts w:ascii="Arial" w:hAnsi="Arial" w:eastAsia="Arial" w:cs="Arial"/>
      <w:sz w:val="40"/>
      <w:szCs w:val="40"/>
    </w:rPr>
  </w:style>
  <w:style w:type="character" w:styleId="922" w:customStyle="1">
    <w:name w:val="Heading 2 Char"/>
    <w:link w:val="885"/>
    <w:uiPriority w:val="9"/>
    <w:qFormat/>
    <w:rPr>
      <w:rFonts w:ascii="Arial" w:hAnsi="Arial" w:eastAsia="Arial" w:cs="Arial"/>
      <w:sz w:val="34"/>
    </w:rPr>
  </w:style>
  <w:style w:type="character" w:styleId="923" w:customStyle="1">
    <w:name w:val="Heading 3 Char"/>
    <w:link w:val="886"/>
    <w:uiPriority w:val="9"/>
    <w:qFormat/>
    <w:rPr>
      <w:rFonts w:ascii="Arial" w:hAnsi="Arial" w:eastAsia="Arial" w:cs="Arial"/>
      <w:sz w:val="30"/>
      <w:szCs w:val="30"/>
    </w:rPr>
  </w:style>
  <w:style w:type="character" w:styleId="924" w:customStyle="1">
    <w:name w:val="Heading 4 Char"/>
    <w:link w:val="887"/>
    <w:uiPriority w:val="9"/>
    <w:qFormat/>
    <w:rPr>
      <w:rFonts w:ascii="Arial" w:hAnsi="Arial" w:eastAsia="Arial" w:cs="Arial"/>
      <w:b/>
      <w:bCs/>
      <w:sz w:val="26"/>
      <w:szCs w:val="26"/>
    </w:rPr>
  </w:style>
  <w:style w:type="character" w:styleId="925" w:customStyle="1">
    <w:name w:val="Heading 5 Char"/>
    <w:link w:val="888"/>
    <w:uiPriority w:val="9"/>
    <w:qFormat/>
    <w:rPr>
      <w:rFonts w:ascii="Arial" w:hAnsi="Arial" w:eastAsia="Arial" w:cs="Arial"/>
      <w:b/>
      <w:bCs/>
      <w:sz w:val="24"/>
      <w:szCs w:val="24"/>
    </w:rPr>
  </w:style>
  <w:style w:type="character" w:styleId="926" w:customStyle="1">
    <w:name w:val="Heading 6 Char"/>
    <w:link w:val="889"/>
    <w:uiPriority w:val="9"/>
    <w:qFormat/>
    <w:rPr>
      <w:rFonts w:ascii="Arial" w:hAnsi="Arial" w:eastAsia="Arial" w:cs="Arial"/>
      <w:b/>
      <w:bCs/>
      <w:sz w:val="22"/>
      <w:szCs w:val="22"/>
    </w:rPr>
  </w:style>
  <w:style w:type="character" w:styleId="927" w:customStyle="1">
    <w:name w:val="Heading 7 Char"/>
    <w:link w:val="890"/>
    <w:uiPriority w:val="9"/>
    <w:qFormat/>
    <w:rPr>
      <w:rFonts w:ascii="Arial" w:hAnsi="Arial" w:eastAsia="Arial" w:cs="Arial"/>
      <w:b/>
      <w:bCs/>
      <w:i/>
      <w:iCs/>
      <w:sz w:val="22"/>
      <w:szCs w:val="22"/>
    </w:rPr>
  </w:style>
  <w:style w:type="character" w:styleId="928" w:customStyle="1">
    <w:name w:val="Heading 8 Char"/>
    <w:link w:val="891"/>
    <w:uiPriority w:val="9"/>
    <w:qFormat/>
    <w:rPr>
      <w:rFonts w:ascii="Arial" w:hAnsi="Arial" w:eastAsia="Arial" w:cs="Arial"/>
      <w:i/>
      <w:iCs/>
      <w:sz w:val="22"/>
      <w:szCs w:val="22"/>
    </w:rPr>
  </w:style>
  <w:style w:type="character" w:styleId="929" w:customStyle="1">
    <w:name w:val="Heading 9 Char"/>
    <w:link w:val="892"/>
    <w:uiPriority w:val="9"/>
    <w:qFormat/>
    <w:rPr>
      <w:rFonts w:ascii="Arial" w:hAnsi="Arial" w:eastAsia="Arial" w:cs="Arial"/>
      <w:i/>
      <w:iCs/>
      <w:sz w:val="21"/>
      <w:szCs w:val="21"/>
    </w:rPr>
  </w:style>
  <w:style w:type="paragraph" w:styleId="930">
    <w:name w:val="List Paragraph"/>
    <w:basedOn w:val="883"/>
    <w:next w:val="883"/>
    <w:uiPriority w:val="34"/>
    <w:qFormat/>
    <w:pPr>
      <w:contextualSpacing/>
      <w:ind w:left="720"/>
    </w:pPr>
  </w:style>
  <w:style w:type="paragraph" w:styleId="931">
    <w:name w:val="No Spacing"/>
    <w:uiPriority w:val="1"/>
    <w:qFormat/>
    <w:pPr>
      <w:spacing w:before="0" w:after="0" w:line="240" w:lineRule="auto"/>
    </w:pPr>
    <w:rPr>
      <w:rFonts w:hint="default" w:ascii="Times New Roman" w:hAnsi="Times New Roman" w:eastAsia="宋体" w:cs="Times New Roman"/>
    </w:rPr>
  </w:style>
  <w:style w:type="character" w:styleId="932" w:customStyle="1">
    <w:name w:val="Title Char"/>
    <w:link w:val="915"/>
    <w:uiPriority w:val="10"/>
    <w:qFormat/>
    <w:rPr>
      <w:sz w:val="48"/>
      <w:szCs w:val="48"/>
    </w:rPr>
  </w:style>
  <w:style w:type="character" w:styleId="933" w:customStyle="1">
    <w:name w:val="Subtitle Char"/>
    <w:link w:val="907"/>
    <w:uiPriority w:val="11"/>
    <w:qFormat/>
    <w:rPr>
      <w:sz w:val="24"/>
      <w:szCs w:val="24"/>
    </w:rPr>
  </w:style>
  <w:style w:type="paragraph" w:styleId="934">
    <w:name w:val="Quote"/>
    <w:basedOn w:val="883"/>
    <w:next w:val="883"/>
    <w:link w:val="935"/>
    <w:uiPriority w:val="29"/>
    <w:qFormat/>
    <w:pPr>
      <w:ind w:left="720" w:right="720"/>
    </w:pPr>
    <w:rPr>
      <w:i/>
    </w:rPr>
  </w:style>
  <w:style w:type="character" w:styleId="935" w:customStyle="1">
    <w:name w:val="Quote Char"/>
    <w:link w:val="934"/>
    <w:uiPriority w:val="29"/>
    <w:qFormat/>
    <w:rPr>
      <w:i/>
    </w:rPr>
  </w:style>
  <w:style w:type="paragraph" w:styleId="936">
    <w:name w:val="Intense Quote"/>
    <w:basedOn w:val="883"/>
    <w:next w:val="883"/>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Intense Quote Char"/>
    <w:link w:val="936"/>
    <w:uiPriority w:val="30"/>
    <w:qFormat/>
    <w:rPr>
      <w:i/>
    </w:rPr>
  </w:style>
  <w:style w:type="character" w:styleId="938" w:customStyle="1">
    <w:name w:val="Header Char"/>
    <w:link w:val="904"/>
    <w:uiPriority w:val="99"/>
    <w:qFormat/>
  </w:style>
  <w:style w:type="character" w:styleId="939" w:customStyle="1">
    <w:name w:val="Footer Char"/>
    <w:link w:val="903"/>
    <w:uiPriority w:val="99"/>
    <w:qFormat/>
  </w:style>
  <w:style w:type="character" w:styleId="940" w:customStyle="1">
    <w:name w:val="Caption Char"/>
    <w:link w:val="903"/>
    <w:uiPriority w:val="99"/>
    <w:qFormat/>
  </w:style>
  <w:style w:type="table" w:styleId="9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Footnote Text Char"/>
    <w:link w:val="908"/>
    <w:uiPriority w:val="99"/>
    <w:qFormat/>
    <w:rPr>
      <w:sz w:val="18"/>
    </w:rPr>
  </w:style>
  <w:style w:type="character" w:styleId="1067" w:customStyle="1">
    <w:name w:val="Endnote Text Char"/>
    <w:link w:val="902"/>
    <w:uiPriority w:val="99"/>
    <w:qFormat/>
    <w:rPr>
      <w:sz w:val="20"/>
    </w:rPr>
  </w:style>
  <w:style w:type="paragraph" w:styleId="1068" w:customStyle="1">
    <w:name w:val="TOC Heading"/>
    <w:uiPriority w:val="39"/>
    <w:unhideWhenUsed/>
    <w:qFormat/>
    <w:rPr>
      <w:rFonts w:hint="default" w:ascii="Times New Roman" w:hAnsi="Times New Roman" w:eastAsia="宋体" w:cs="Times New Roman"/>
    </w:rPr>
  </w:style>
  <w:style w:type="paragraph" w:styleId="1069" w:customStyle="1">
    <w:name w:val="标题 11"/>
    <w:basedOn w:val="883"/>
    <w:next w:val="883"/>
    <w:link w:val="1075"/>
    <w:uiPriority w:val="1"/>
    <w:qFormat/>
    <w:pPr>
      <w:jc w:val="left"/>
      <w:outlineLvl w:val="0"/>
    </w:pPr>
    <w:rPr>
      <w:rFonts w:ascii="黑体" w:hAnsi="黑体" w:eastAsia="黑体"/>
      <w:sz w:val="72"/>
      <w:szCs w:val="72"/>
      <w:lang w:eastAsia="en-US"/>
    </w:rPr>
  </w:style>
  <w:style w:type="paragraph" w:styleId="1070" w:customStyle="1">
    <w:name w:val="标题 21"/>
    <w:basedOn w:val="883"/>
    <w:next w:val="883"/>
    <w:link w:val="1076"/>
    <w:uiPriority w:val="1"/>
    <w:qFormat/>
    <w:pPr>
      <w:ind w:left="1558"/>
      <w:jc w:val="left"/>
      <w:outlineLvl w:val="1"/>
    </w:pPr>
    <w:rPr>
      <w:rFonts w:ascii="黑体" w:hAnsi="黑体" w:eastAsia="黑体"/>
      <w:b/>
      <w:bCs/>
      <w:sz w:val="36"/>
      <w:szCs w:val="36"/>
      <w:lang w:eastAsia="en-US"/>
    </w:rPr>
  </w:style>
  <w:style w:type="paragraph" w:styleId="1071" w:customStyle="1">
    <w:name w:val="标题 31"/>
    <w:basedOn w:val="883"/>
    <w:next w:val="883"/>
    <w:link w:val="1077"/>
    <w:uiPriority w:val="1"/>
    <w:qFormat/>
    <w:pPr>
      <w:jc w:val="left"/>
      <w:outlineLvl w:val="2"/>
    </w:pPr>
    <w:rPr>
      <w:rFonts w:ascii="黑体" w:hAnsi="黑体" w:eastAsia="黑体"/>
      <w:sz w:val="32"/>
      <w:szCs w:val="32"/>
      <w:lang w:eastAsia="en-US"/>
    </w:rPr>
  </w:style>
  <w:style w:type="paragraph" w:styleId="1072" w:customStyle="1">
    <w:name w:val="标题 41"/>
    <w:basedOn w:val="883"/>
    <w:next w:val="883"/>
    <w:link w:val="1078"/>
    <w:uiPriority w:val="0"/>
    <w:qFormat/>
    <w:pPr>
      <w:ind w:left="358"/>
      <w:jc w:val="left"/>
      <w:spacing w:before="34"/>
      <w:outlineLvl w:val="3"/>
    </w:pPr>
    <w:rPr>
      <w:rFonts w:ascii="宋体" w:hAnsi="宋体"/>
      <w:b/>
      <w:bCs/>
      <w:sz w:val="24"/>
      <w:szCs w:val="24"/>
      <w:lang w:eastAsia="en-US"/>
    </w:rPr>
  </w:style>
  <w:style w:type="character" w:styleId="1073" w:customStyle="1">
    <w:name w:val="默认段落字体1"/>
    <w:link w:val="883"/>
    <w:uiPriority w:val="1"/>
    <w:unhideWhenUsed/>
    <w:qFormat/>
  </w:style>
  <w:style w:type="table" w:styleId="1074" w:customStyle="1">
    <w:name w:val="普通表格1"/>
    <w:uiPriority w:val="99"/>
    <w:unhideWhenUsed/>
    <w:qFormat/>
    <w:tblPr/>
  </w:style>
  <w:style w:type="character" w:styleId="1075" w:customStyle="1">
    <w:name w:val="标题 1 Char"/>
    <w:link w:val="1069"/>
    <w:uiPriority w:val="1"/>
    <w:qFormat/>
    <w:rPr>
      <w:rFonts w:ascii="黑体" w:hAnsi="黑体" w:eastAsia="黑体" w:cs="Times New Roman"/>
      <w:sz w:val="72"/>
      <w:szCs w:val="72"/>
      <w:lang w:eastAsia="en-US"/>
    </w:rPr>
  </w:style>
  <w:style w:type="character" w:styleId="1076" w:customStyle="1">
    <w:name w:val="标题 2 Char"/>
    <w:link w:val="1070"/>
    <w:uiPriority w:val="1"/>
    <w:qFormat/>
    <w:rPr>
      <w:rFonts w:ascii="黑体" w:hAnsi="黑体" w:eastAsia="黑体" w:cs="Times New Roman"/>
      <w:b/>
      <w:bCs/>
      <w:sz w:val="36"/>
      <w:szCs w:val="36"/>
      <w:lang w:eastAsia="en-US"/>
    </w:rPr>
  </w:style>
  <w:style w:type="character" w:styleId="1077" w:customStyle="1">
    <w:name w:val="标题 3 Char"/>
    <w:link w:val="1071"/>
    <w:uiPriority w:val="1"/>
    <w:qFormat/>
    <w:rPr>
      <w:rFonts w:ascii="黑体" w:hAnsi="黑体" w:eastAsia="黑体" w:cs="Times New Roman"/>
      <w:sz w:val="32"/>
      <w:szCs w:val="32"/>
      <w:lang w:eastAsia="en-US"/>
    </w:rPr>
  </w:style>
  <w:style w:type="character" w:styleId="1078" w:customStyle="1">
    <w:name w:val="标题 4 Char"/>
    <w:link w:val="1072"/>
    <w:uiPriority w:val="0"/>
    <w:qFormat/>
    <w:rPr>
      <w:rFonts w:ascii="宋体" w:hAnsi="宋体" w:eastAsia="宋体" w:cs="Times New Roman"/>
      <w:b/>
      <w:bCs/>
      <w:sz w:val="24"/>
      <w:szCs w:val="24"/>
      <w:lang w:eastAsia="en-US"/>
    </w:rPr>
  </w:style>
  <w:style w:type="paragraph" w:styleId="1079" w:customStyle="1">
    <w:name w:val="正文缩进1"/>
    <w:basedOn w:val="883"/>
    <w:uiPriority w:val="99"/>
    <w:qFormat/>
    <w:pPr>
      <w:ind w:firstLine="420"/>
      <w:jc w:val="left"/>
    </w:pPr>
    <w:rPr>
      <w:rFonts w:ascii="Times New Roman" w:hAnsi="Times New Roman" w:eastAsia="Calibri" w:cs="Times New Roman"/>
      <w:sz w:val="22"/>
      <w:lang w:eastAsia="en-US"/>
    </w:rPr>
  </w:style>
  <w:style w:type="paragraph" w:styleId="1080" w:customStyle="1">
    <w:name w:val="文档结构图1"/>
    <w:basedOn w:val="883"/>
    <w:link w:val="1081"/>
    <w:uiPriority w:val="0"/>
    <w:qFormat/>
    <w:pPr>
      <w:jc w:val="left"/>
    </w:pPr>
    <w:rPr>
      <w:rFonts w:ascii="宋体"/>
      <w:sz w:val="18"/>
      <w:szCs w:val="18"/>
      <w:lang w:eastAsia="en-US"/>
    </w:rPr>
  </w:style>
  <w:style w:type="character" w:styleId="1081" w:customStyle="1">
    <w:name w:val="文档结构图 Char"/>
    <w:link w:val="1080"/>
    <w:uiPriority w:val="0"/>
    <w:qFormat/>
    <w:rPr>
      <w:rFonts w:ascii="宋体" w:hAnsi="Times New Roman" w:eastAsia="宋体" w:cs="Times New Roman"/>
      <w:sz w:val="18"/>
      <w:szCs w:val="18"/>
      <w:lang w:eastAsia="en-US"/>
    </w:rPr>
  </w:style>
  <w:style w:type="paragraph" w:styleId="1082" w:customStyle="1">
    <w:name w:val="批注文字1"/>
    <w:basedOn w:val="883"/>
    <w:link w:val="1083"/>
    <w:uiPriority w:val="0"/>
    <w:qFormat/>
    <w:pPr>
      <w:jc w:val="left"/>
    </w:pPr>
    <w:rPr>
      <w:rFonts w:eastAsia="Calibri"/>
      <w:sz w:val="20"/>
      <w:szCs w:val="20"/>
      <w:lang w:eastAsia="en-US"/>
    </w:rPr>
  </w:style>
  <w:style w:type="character" w:styleId="1083" w:customStyle="1">
    <w:name w:val="批注文字 Char"/>
    <w:link w:val="1082"/>
    <w:uiPriority w:val="0"/>
    <w:qFormat/>
    <w:rPr>
      <w:rFonts w:ascii="Times New Roman" w:hAnsi="Times New Roman" w:eastAsia="Calibri" w:cs="Times New Roman"/>
      <w:sz w:val="20"/>
      <w:lang w:eastAsia="en-US"/>
    </w:rPr>
  </w:style>
  <w:style w:type="paragraph" w:styleId="1084" w:customStyle="1">
    <w:name w:val="正文文本1"/>
    <w:basedOn w:val="883"/>
    <w:link w:val="1085"/>
    <w:uiPriority w:val="99"/>
    <w:qFormat/>
    <w:pPr>
      <w:ind w:left="118"/>
      <w:jc w:val="left"/>
      <w:spacing w:before="34"/>
    </w:pPr>
    <w:rPr>
      <w:rFonts w:ascii="宋体" w:hAnsi="宋体"/>
      <w:sz w:val="24"/>
      <w:szCs w:val="24"/>
      <w:lang w:eastAsia="en-US"/>
    </w:rPr>
  </w:style>
  <w:style w:type="character" w:styleId="1085" w:customStyle="1">
    <w:name w:val="正文文本 Char"/>
    <w:link w:val="1084"/>
    <w:uiPriority w:val="99"/>
    <w:qFormat/>
    <w:rPr>
      <w:rFonts w:ascii="宋体" w:hAnsi="宋体" w:eastAsia="宋体" w:cs="Times New Roman"/>
      <w:sz w:val="24"/>
      <w:szCs w:val="24"/>
      <w:lang w:eastAsia="en-US"/>
    </w:rPr>
  </w:style>
  <w:style w:type="paragraph" w:styleId="1086" w:customStyle="1">
    <w:name w:val="正文文本缩进11"/>
    <w:basedOn w:val="883"/>
    <w:uiPriority w:val="0"/>
    <w:qFormat/>
    <w:pPr>
      <w:ind w:left="420"/>
      <w:spacing w:after="120"/>
    </w:pPr>
  </w:style>
  <w:style w:type="paragraph" w:styleId="1087" w:customStyle="1">
    <w:name w:val="纯文本11"/>
    <w:basedOn w:val="883"/>
    <w:link w:val="1088"/>
    <w:uiPriority w:val="0"/>
    <w:qFormat/>
    <w:rPr>
      <w:rFonts w:ascii="宋体" w:hAnsi="Courier New"/>
      <w:szCs w:val="20"/>
    </w:rPr>
  </w:style>
  <w:style w:type="character" w:styleId="1088" w:customStyle="1">
    <w:name w:val="纯文本 Char"/>
    <w:link w:val="1087"/>
    <w:uiPriority w:val="0"/>
    <w:qFormat/>
    <w:rPr>
      <w:rFonts w:ascii="宋体" w:hAnsi="Courier New"/>
      <w:sz w:val="21"/>
    </w:rPr>
  </w:style>
  <w:style w:type="paragraph" w:styleId="1089" w:customStyle="1">
    <w:name w:val="批注框文本1"/>
    <w:basedOn w:val="883"/>
    <w:link w:val="1090"/>
    <w:uiPriority w:val="0"/>
    <w:qFormat/>
    <w:pPr>
      <w:jc w:val="left"/>
    </w:pPr>
    <w:rPr>
      <w:rFonts w:eastAsia="Calibri"/>
      <w:sz w:val="18"/>
      <w:szCs w:val="18"/>
      <w:lang w:eastAsia="en-US"/>
    </w:rPr>
  </w:style>
  <w:style w:type="character" w:styleId="1090" w:customStyle="1">
    <w:name w:val="批注框文本 Char"/>
    <w:link w:val="1089"/>
    <w:uiPriority w:val="0"/>
    <w:qFormat/>
    <w:rPr>
      <w:rFonts w:ascii="Times New Roman" w:hAnsi="Times New Roman" w:eastAsia="Calibri" w:cs="Times New Roman"/>
      <w:sz w:val="18"/>
      <w:szCs w:val="18"/>
      <w:lang w:eastAsia="en-US"/>
    </w:rPr>
  </w:style>
  <w:style w:type="paragraph" w:styleId="1091" w:customStyle="1">
    <w:name w:val="页脚1"/>
    <w:basedOn w:val="883"/>
    <w:link w:val="1092"/>
    <w:uiPriority w:val="0"/>
    <w:qFormat/>
    <w:pPr>
      <w:jc w:val="left"/>
      <w:tabs>
        <w:tab w:val="center" w:pos="4153" w:leader="none"/>
        <w:tab w:val="right" w:pos="8306" w:leader="none"/>
      </w:tabs>
    </w:pPr>
    <w:rPr>
      <w:rFonts w:eastAsia="Calibri"/>
      <w:sz w:val="18"/>
      <w:szCs w:val="20"/>
      <w:lang w:eastAsia="en-US"/>
    </w:rPr>
  </w:style>
  <w:style w:type="character" w:styleId="1092" w:customStyle="1">
    <w:name w:val="页脚 Char"/>
    <w:link w:val="1091"/>
    <w:uiPriority w:val="0"/>
    <w:qFormat/>
    <w:rPr>
      <w:rFonts w:ascii="Times New Roman" w:hAnsi="Times New Roman" w:eastAsia="Calibri" w:cs="Times New Roman"/>
      <w:sz w:val="18"/>
      <w:lang w:eastAsia="en-US"/>
    </w:rPr>
  </w:style>
  <w:style w:type="paragraph" w:styleId="1093" w:customStyle="1">
    <w:name w:val="页眉1"/>
    <w:basedOn w:val="883"/>
    <w:link w:val="109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eastAsia="Calibri"/>
      <w:sz w:val="18"/>
      <w:szCs w:val="20"/>
      <w:lang w:eastAsia="en-US"/>
    </w:rPr>
  </w:style>
  <w:style w:type="character" w:styleId="1094" w:customStyle="1">
    <w:name w:val="页眉 Char"/>
    <w:link w:val="1093"/>
    <w:uiPriority w:val="0"/>
    <w:qFormat/>
    <w:rPr>
      <w:rFonts w:ascii="Times New Roman" w:hAnsi="Times New Roman" w:eastAsia="Calibri" w:cs="Times New Roman"/>
      <w:sz w:val="18"/>
      <w:lang w:eastAsia="en-US"/>
    </w:rPr>
  </w:style>
  <w:style w:type="paragraph" w:styleId="1095" w:customStyle="1">
    <w:name w:val="目录 11"/>
    <w:basedOn w:val="883"/>
    <w:next w:val="883"/>
    <w:uiPriority w:val="1"/>
    <w:qFormat/>
    <w:pPr>
      <w:jc w:val="left"/>
      <w:spacing w:before="271"/>
    </w:pPr>
    <w:rPr>
      <w:rFonts w:ascii="宋体" w:hAnsi="宋体" w:eastAsia="宋体" w:cs="Times New Roman"/>
      <w:b/>
      <w:bCs/>
      <w:sz w:val="24"/>
      <w:szCs w:val="24"/>
      <w:lang w:eastAsia="en-US"/>
    </w:rPr>
  </w:style>
  <w:style w:type="paragraph" w:styleId="1096" w:customStyle="1">
    <w:name w:val="目录 21"/>
    <w:basedOn w:val="883"/>
    <w:next w:val="883"/>
    <w:uiPriority w:val="1"/>
    <w:qFormat/>
    <w:pPr>
      <w:ind w:left="327"/>
      <w:jc w:val="left"/>
      <w:spacing w:before="151"/>
    </w:pPr>
    <w:rPr>
      <w:rFonts w:ascii="宋体" w:hAnsi="宋体" w:eastAsia="宋体" w:cs="Times New Roman"/>
      <w:sz w:val="24"/>
      <w:szCs w:val="24"/>
      <w:lang w:eastAsia="en-US"/>
    </w:rPr>
  </w:style>
  <w:style w:type="paragraph" w:styleId="1097" w:customStyle="1">
    <w:name w:val="批注主题1"/>
    <w:basedOn w:val="1082"/>
    <w:next w:val="1082"/>
    <w:link w:val="1098"/>
    <w:uiPriority w:val="0"/>
    <w:qFormat/>
    <w:rPr>
      <w:b/>
      <w:bCs/>
      <w:sz w:val="22"/>
    </w:rPr>
  </w:style>
  <w:style w:type="character" w:styleId="1098" w:customStyle="1">
    <w:name w:val="批注主题 Char"/>
    <w:link w:val="1097"/>
    <w:uiPriority w:val="0"/>
    <w:qFormat/>
    <w:rPr>
      <w:rFonts w:ascii="Times New Roman" w:hAnsi="Times New Roman" w:eastAsia="Calibri" w:cs="Times New Roman"/>
      <w:b/>
      <w:bCs/>
      <w:sz w:val="22"/>
      <w:lang w:eastAsia="en-US"/>
    </w:rPr>
  </w:style>
  <w:style w:type="paragraph" w:styleId="1099" w:customStyle="1">
    <w:name w:val="正文首行缩进1"/>
    <w:basedOn w:val="1084"/>
    <w:next w:val="883"/>
    <w:link w:val="1100"/>
    <w:uiPriority w:val="0"/>
    <w:qFormat/>
    <w:pPr>
      <w:ind w:firstLine="200"/>
      <w:tabs>
        <w:tab w:val="left" w:pos="562" w:leader="none"/>
        <w:tab w:val="left" w:pos="3372" w:leader="none"/>
        <w:tab w:val="left" w:pos="3653" w:leader="none"/>
      </w:tabs>
    </w:pPr>
    <w:rPr>
      <w:rFonts w:ascii="Times New Roman" w:hAnsi="Times New Roman"/>
    </w:rPr>
  </w:style>
  <w:style w:type="character" w:styleId="1100" w:customStyle="1">
    <w:name w:val="正文首行缩进 Char"/>
    <w:link w:val="1099"/>
    <w:uiPriority w:val="0"/>
    <w:qFormat/>
    <w:rPr>
      <w:rFonts w:ascii="Times New Roman" w:hAnsi="Times New Roman" w:eastAsia="宋体" w:cs="宋体"/>
      <w:sz w:val="24"/>
      <w:szCs w:val="24"/>
      <w:lang w:eastAsia="en-US"/>
    </w:rPr>
  </w:style>
  <w:style w:type="paragraph" w:styleId="1101" w:customStyle="1">
    <w:name w:val="正文首行缩进 211"/>
    <w:basedOn w:val="1086"/>
    <w:uiPriority w:val="99"/>
    <w:unhideWhenUsed/>
    <w:qFormat/>
    <w:pPr>
      <w:ind w:firstLine="420"/>
    </w:pPr>
  </w:style>
  <w:style w:type="table" w:styleId="1102" w:customStyle="1">
    <w:name w:val="网格型11"/>
    <w:basedOn w:val="1074"/>
    <w:uiPriority w:val="59"/>
    <w:qFormat/>
    <w:rPr>
      <w:rFonts w:ascii="Times New Roman" w:hAnsi="Times New Roman" w:eastAsia="宋体" w:cs="Times New Roman"/>
      <w:sz w:val="20"/>
      <w:szCs w:val="20"/>
    </w:rPr>
    <w:tblPr/>
  </w:style>
  <w:style w:type="character" w:styleId="1103" w:customStyle="1">
    <w:name w:val="要点1"/>
    <w:link w:val="883"/>
    <w:uiPriority w:val="22"/>
    <w:qFormat/>
    <w:rPr>
      <w:b/>
    </w:rPr>
  </w:style>
  <w:style w:type="character" w:styleId="1104" w:customStyle="1">
    <w:name w:val="页码1"/>
    <w:link w:val="883"/>
    <w:uiPriority w:val="0"/>
    <w:qFormat/>
  </w:style>
  <w:style w:type="character" w:styleId="1105" w:customStyle="1">
    <w:name w:val="已访问的超链接1"/>
    <w:link w:val="883"/>
    <w:uiPriority w:val="99"/>
    <w:unhideWhenUsed/>
    <w:qFormat/>
    <w:rPr>
      <w:color w:val="800080"/>
      <w:u w:val="single"/>
    </w:rPr>
  </w:style>
  <w:style w:type="character" w:styleId="1106" w:customStyle="1">
    <w:name w:val="超链接1"/>
    <w:link w:val="883"/>
    <w:uiPriority w:val="99"/>
    <w:qFormat/>
    <w:rPr>
      <w:color w:val="0000ff"/>
      <w:u w:val="single"/>
    </w:rPr>
  </w:style>
  <w:style w:type="character" w:styleId="1107" w:customStyle="1">
    <w:name w:val="批注引用11"/>
    <w:link w:val="883"/>
    <w:uiPriority w:val="0"/>
    <w:qFormat/>
    <w:rPr>
      <w:sz w:val="21"/>
      <w:szCs w:val="21"/>
    </w:rPr>
  </w:style>
  <w:style w:type="character" w:styleId="1108" w:customStyle="1">
    <w:name w:val="批注引用1"/>
    <w:link w:val="883"/>
    <w:uiPriority w:val="0"/>
    <w:semiHidden/>
    <w:qFormat/>
    <w:rPr>
      <w:sz w:val="21"/>
      <w:szCs w:val="22"/>
      <w:lang w:val="en-US" w:eastAsia="zh-CN" w:bidi="ar-SA"/>
    </w:rPr>
  </w:style>
  <w:style w:type="paragraph" w:styleId="1109" w:customStyle="1">
    <w:name w:val="正文文本缩进1"/>
    <w:basedOn w:val="883"/>
    <w:next w:val="1110"/>
    <w:uiPriority w:val="0"/>
    <w:qFormat/>
    <w:pPr>
      <w:ind w:firstLine="645"/>
    </w:pPr>
    <w:rPr>
      <w:rFonts w:ascii="楷体_GB2312" w:eastAsia="楷体_GB2312"/>
      <w:sz w:val="32"/>
      <w:szCs w:val="32"/>
    </w:rPr>
  </w:style>
  <w:style w:type="paragraph" w:styleId="1110" w:customStyle="1">
    <w:name w:val="正文首行缩进 21"/>
    <w:basedOn w:val="1109"/>
    <w:uiPriority w:val="0"/>
    <w:qFormat/>
    <w:pPr>
      <w:ind w:firstLine="420"/>
      <w:spacing w:line="360" w:lineRule="auto"/>
    </w:pPr>
    <w:rPr>
      <w:rFonts w:ascii="宋体" w:hAnsi="宋体" w:eastAsia="宋体"/>
      <w:szCs w:val="20"/>
    </w:rPr>
  </w:style>
  <w:style w:type="character" w:styleId="1111" w:customStyle="1">
    <w:name w:val="NormalCharacter1"/>
    <w:link w:val="883"/>
    <w:uiPriority w:val="0"/>
    <w:qFormat/>
  </w:style>
  <w:style w:type="paragraph" w:styleId="1112" w:customStyle="1">
    <w:name w:val="列出段落"/>
    <w:basedOn w:val="883"/>
    <w:uiPriority w:val="1"/>
    <w:qFormat/>
    <w:pPr>
      <w:jc w:val="left"/>
    </w:pPr>
    <w:rPr>
      <w:rFonts w:ascii="Times New Roman" w:hAnsi="Times New Roman" w:eastAsia="Calibri" w:cs="Times New Roman"/>
      <w:sz w:val="22"/>
      <w:lang w:eastAsia="en-US"/>
    </w:rPr>
  </w:style>
  <w:style w:type="paragraph" w:styleId="1113" w:customStyle="1">
    <w:name w:val="Table Paragraph"/>
    <w:basedOn w:val="883"/>
    <w:uiPriority w:val="1"/>
    <w:qFormat/>
    <w:pPr>
      <w:jc w:val="left"/>
    </w:pPr>
    <w:rPr>
      <w:rFonts w:ascii="Times New Roman" w:hAnsi="Times New Roman" w:eastAsia="Calibri" w:cs="Times New Roman"/>
      <w:sz w:val="22"/>
      <w:lang w:eastAsia="en-US"/>
    </w:rPr>
  </w:style>
  <w:style w:type="paragraph" w:styleId="1114" w:customStyle="1">
    <w:name w:val="正文_2"/>
    <w:uiPriority w:val="0"/>
    <w:qFormat/>
    <w:pPr>
      <w:spacing w:after="200" w:line="276" w:lineRule="auto"/>
      <w:widowControl w:val="off"/>
    </w:pPr>
    <w:rPr>
      <w:rFonts w:hint="default" w:ascii="Times New Roman" w:hAnsi="Times New Roman" w:eastAsia="宋体" w:cs="Times New Roman"/>
      <w:lang w:val="en-US" w:eastAsia="zh-CN" w:bidi="ar-SA"/>
    </w:rPr>
  </w:style>
  <w:style w:type="paragraph" w:styleId="1115" w:customStyle="1">
    <w:name w:val="首行缩进"/>
    <w:basedOn w:val="883"/>
    <w:uiPriority w:val="99"/>
    <w:qFormat/>
    <w:pPr>
      <w:ind w:firstLine="480"/>
      <w:jc w:val="left"/>
      <w:spacing w:line="360" w:lineRule="auto"/>
    </w:pPr>
    <w:rPr>
      <w:rFonts w:ascii="宋体" w:hAnsi="宋体" w:eastAsia="Calibri" w:cs="Times New Roman"/>
      <w:sz w:val="24"/>
      <w:szCs w:val="24"/>
      <w:lang w:eastAsia="en-US"/>
    </w:rPr>
  </w:style>
  <w:style w:type="table" w:styleId="1116" w:customStyle="1">
    <w:name w:val="Table Normal"/>
    <w:uiPriority w:val="2"/>
    <w:unhideWhenUsed/>
    <w:qFormat/>
    <w:rPr>
      <w:lang w:val="en-US" w:eastAsia="zh-CN" w:bidi="ar-SA"/>
    </w:rPr>
    <w:tblPr/>
  </w:style>
  <w:style w:type="character" w:styleId="1117" w:customStyle="1">
    <w:name w:val="Char Char25"/>
    <w:link w:val="883"/>
    <w:uiPriority w:val="0"/>
    <w:qFormat/>
    <w:rPr>
      <w:rFonts w:ascii="Arial" w:hAnsi="Arial" w:eastAsia="黑体"/>
      <w:b/>
      <w:sz w:val="28"/>
    </w:rPr>
  </w:style>
  <w:style w:type="paragraph" w:styleId="1118"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119" w:customStyle="1">
    <w:name w:val="UserStyle_0"/>
    <w:basedOn w:val="883"/>
    <w:uiPriority w:val="0"/>
    <w:qFormat/>
    <w:pPr>
      <w:ind w:firstLine="480"/>
      <w:jc w:val="left"/>
      <w:spacing w:line="360" w:lineRule="auto"/>
      <w:widowControl/>
    </w:pPr>
    <w:rPr>
      <w:rFonts w:ascii="宋体" w:hAnsi="宋体" w:eastAsia="Calibri" w:cs="Times New Roman"/>
      <w:sz w:val="24"/>
      <w:szCs w:val="24"/>
      <w:lang w:eastAsia="en-US"/>
    </w:rPr>
  </w:style>
  <w:style w:type="table" w:styleId="1120" w:customStyle="1">
    <w:name w:val="网格型1"/>
    <w:basedOn w:val="1074"/>
    <w:uiPriority w:val="0"/>
    <w:qFormat/>
    <w:pPr>
      <w:jc w:val="both"/>
      <w:widowControl w:val="off"/>
    </w:pPr>
    <w:rPr>
      <w:rFonts w:ascii="Times New Roman" w:hAnsi="Times New Roman" w:eastAsia="宋体" w:cs="Times New Roman"/>
      <w:sz w:val="20"/>
      <w:szCs w:val="20"/>
    </w:rPr>
    <w:tblPr/>
  </w:style>
  <w:style w:type="table" w:styleId="1121" w:customStyle="1">
    <w:name w:val="网格型2"/>
    <w:basedOn w:val="1074"/>
    <w:uiPriority w:val="59"/>
    <w:qFormat/>
    <w:pPr>
      <w:jc w:val="both"/>
      <w:widowControl w:val="off"/>
    </w:pPr>
    <w:tblPr/>
  </w:style>
  <w:style w:type="table" w:styleId="1122" w:customStyle="1">
    <w:name w:val="网格型3"/>
    <w:basedOn w:val="1074"/>
    <w:uiPriority w:val="59"/>
    <w:qFormat/>
    <w:pPr>
      <w:jc w:val="both"/>
      <w:widowControl w:val="off"/>
    </w:pPr>
    <w:tblPr/>
  </w:style>
  <w:style w:type="paragraph" w:styleId="1123" w:customStyle="1">
    <w:name w:val="标题 111"/>
    <w:basedOn w:val="883"/>
    <w:next w:val="883"/>
    <w:uiPriority w:val="0"/>
    <w:qFormat/>
    <w:pPr>
      <w:keepLines/>
      <w:keepNext/>
      <w:spacing w:before="340" w:after="330" w:line="576" w:lineRule="auto"/>
      <w:outlineLvl w:val="0"/>
    </w:pPr>
    <w:rPr>
      <w:b/>
      <w:bCs/>
      <w:sz w:val="44"/>
      <w:szCs w:val="44"/>
    </w:rPr>
  </w:style>
  <w:style w:type="paragraph" w:styleId="1124" w:customStyle="1">
    <w:name w:val="普通(网站)111"/>
    <w:basedOn w:val="883"/>
    <w:uiPriority w:val="99"/>
    <w:qFormat/>
    <w:pPr>
      <w:jc w:val="left"/>
      <w:spacing w:before="100" w:beforeAutospacing="1" w:after="100" w:afterAutospacing="1"/>
      <w:widowControl/>
    </w:pPr>
    <w:rPr>
      <w:rFonts w:ascii="Trebuchet MS" w:hAnsi="Trebuchet MS" w:cs="Trebuchet MS"/>
      <w:sz w:val="24"/>
    </w:rPr>
  </w:style>
  <w:style w:type="paragraph" w:styleId="1125" w:customStyle="1">
    <w:name w:val="正文 New"/>
    <w:basedOn w:val="883"/>
    <w:uiPriority w:val="0"/>
    <w:qFormat/>
    <w:pPr>
      <w:ind w:left="357" w:hanging="357"/>
      <w:spacing w:before="100" w:beforeAutospacing="1" w:after="100" w:afterAutospacing="1" w:line="440" w:lineRule="exact"/>
    </w:pPr>
    <w:rPr>
      <w:szCs w:val="21"/>
    </w:rPr>
  </w:style>
  <w:style w:type="paragraph" w:styleId="1126" w:customStyle="1">
    <w:name w:val="Table Text"/>
    <w:basedOn w:val="883"/>
    <w:uiPriority w:val="0"/>
    <w:semiHidden/>
    <w:qFormat/>
    <w:pPr>
      <w:jc w:val="left"/>
    </w:pPr>
    <w:rPr>
      <w:rFonts w:ascii="宋体" w:hAnsi="宋体" w:cs="宋体"/>
      <w:color w:val="000000"/>
      <w:sz w:val="21"/>
      <w:szCs w:val="21"/>
      <w:lang w:eastAsia="en-US"/>
    </w:rPr>
  </w:style>
  <w:style w:type="paragraph" w:styleId="1127" w:customStyle="1">
    <w:name w:val="纯文本1"/>
    <w:basedOn w:val="883"/>
    <w:uiPriority w:val="0"/>
    <w:qFormat/>
    <w:rPr>
      <w:rFonts w:ascii="宋体" w:hAnsi="Courier New"/>
      <w:sz w:val="20"/>
    </w:rPr>
  </w:style>
  <w:style w:type="paragraph" w:styleId="1128" w:customStyle="1">
    <w:name w:val="普通(网站)1"/>
    <w:basedOn w:val="883"/>
    <w:uiPriority w:val="99"/>
    <w:qFormat/>
    <w:pPr>
      <w:jc w:val="left"/>
      <w:spacing w:before="100" w:beforeAutospacing="1" w:after="100" w:afterAutospacing="1"/>
      <w:widowControl/>
    </w:pPr>
    <w:rPr>
      <w:rFonts w:ascii="宋体" w:hAnsi="宋体" w:cs="宋体"/>
      <w:sz w:val="24"/>
      <w:szCs w:val="24"/>
    </w:rPr>
  </w:style>
  <w:style w:type="character" w:styleId="1129" w:customStyle="1">
    <w:name w:val="font91"/>
    <w:basedOn w:val="893"/>
    <w:uiPriority w:val="0"/>
    <w:qFormat/>
    <w:rPr>
      <w:rFonts w:hint="eastAsia" w:ascii="宋体" w:hAnsi="宋体" w:eastAsia="宋体" w:cs="宋体"/>
      <w:color w:val="000000"/>
      <w:sz w:val="15"/>
      <w:szCs w:val="15"/>
      <w:u w:val="none"/>
    </w:rPr>
  </w:style>
  <w:style w:type="paragraph" w:styleId="1130" w:customStyle="1">
    <w:name w:val="段"/>
    <w:uiPriority w:val="0"/>
    <w:qFormat/>
    <w:pPr>
      <w:ind w:firstLine="200"/>
      <w:jc w:val="both"/>
    </w:pPr>
    <w:rPr>
      <w:rFonts w:ascii="宋体" w:hAnsi="Times New Roman" w:eastAsia="宋体" w:cs="Times New Roman"/>
      <w:sz w:val="21"/>
      <w:lang w:val="en-US" w:eastAsia="zh-CN" w:bidi="ar-SA"/>
    </w:rPr>
  </w:style>
  <w:style w:type="paragraph" w:styleId="1131" w:customStyle="1">
    <w:name w:val="二级条标题"/>
    <w:basedOn w:val="883"/>
    <w:next w:val="1130"/>
    <w:uiPriority w:val="0"/>
    <w:qFormat/>
    <w:pPr>
      <w:ind w:hanging="420"/>
      <w:widowControl/>
      <w:tabs>
        <w:tab w:val="left" w:pos="2240" w:leader="none"/>
      </w:tabs>
      <w:outlineLvl w:val="3"/>
    </w:pPr>
    <w:rPr>
      <w:rFonts w:eastAsia="黑体"/>
      <w:szCs w:val="20"/>
    </w:rPr>
  </w:style>
  <w:style w:type="paragraph" w:styleId="1132" w:customStyle="1">
    <w:name w:val="三级条标题"/>
    <w:next w:val="883"/>
    <w:uiPriority w:val="0"/>
    <w:qFormat/>
    <w:pPr>
      <w:jc w:val="both"/>
      <w:outlineLvl w:val="4"/>
    </w:pPr>
    <w:rPr>
      <w:rFonts w:ascii="黑体" w:hAnsi="Times New Roman" w:eastAsia="黑体" w:cs="Times New Roman"/>
      <w:sz w:val="21"/>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曹</dc:creator>
  <cp:lastModifiedBy>蒋冬</cp:lastModifiedBy>
  <cp:revision>12</cp:revision>
  <dcterms:created xsi:type="dcterms:W3CDTF">2024-10-18T04:11:00Z</dcterms:created>
  <dcterms:modified xsi:type="dcterms:W3CDTF">2026-04-27T01:44:51Z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eyJoZGlkIjoiN2M5ZWYxZmQ4ZTQ1OTg1OWQxNTdmYjEwNzkzMDZhOTQiLCJ1c2VySWQiOiI2MzA5MTI0ODgifQ==</vt:lpwstr>
  </property>
  <property fmtid="{D5CDD505-2E9C-101B-9397-08002B2CF9AE}" pid="3" name="KSOProductBuildVer">
    <vt:lpwstr>2052-12.1.0.25865</vt:lpwstr>
  </property>
  <property fmtid="{D5CDD505-2E9C-101B-9397-08002B2CF9AE}" pid="4" name="ICV">
    <vt:lpwstr>8DB0AB0731BF42DEA753A8483650543C_13</vt:lpwstr>
  </property>
</Properties>
</file>