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shd w:val="clear" w:color="auto" w:fill="ffffff"/>
        <w:widowControl/>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shd w:val="clear" w:color="auto" w:fill="ffffff"/>
        <w:widowControl/>
        <w:rPr>
          <w:rFonts w:ascii="宋体" w:hAnsi="宋体" w:cs="宋体"/>
          <w:b/>
          <w:color w:val="auto"/>
          <w:sz w:val="48"/>
          <w:szCs w:val="48"/>
          <w:highlight w:val="none"/>
        </w:rPr>
      </w:pPr>
      <w:r>
        <w:rPr>
          <w:rFonts w:hint="eastAsia" w:ascii="宋体" w:hAnsi="宋体" w:cs="宋体"/>
          <w:b/>
          <w:color w:val="auto"/>
          <w:sz w:val="48"/>
          <w:szCs w:val="48"/>
          <w:highlight w:val="none"/>
        </w:rPr>
        <w:t xml:space="preserve">南京市第二医院食堂一次性耗材采购</w:t>
      </w:r>
      <w:r/>
    </w:p>
    <w:p>
      <w:pPr>
        <w:jc w:val="center"/>
        <w:spacing w:line="360" w:lineRule="auto"/>
        <w:shd w:val="clear" w:color="auto" w:fill="ffffff"/>
        <w:widowControl/>
        <w:rPr>
          <w:rFonts w:ascii="宋体" w:hAnsi="宋体" w:cs="宋体"/>
          <w:b/>
          <w:color w:val="auto"/>
          <w:sz w:val="52"/>
          <w:szCs w:val="52"/>
          <w:highlight w:val="none"/>
        </w:rPr>
      </w:pPr>
      <w:r>
        <w:rPr>
          <w:rFonts w:ascii="宋体" w:hAnsi="宋体" w:cs="宋体"/>
          <w:b/>
          <w:color w:val="auto"/>
          <w:sz w:val="52"/>
          <w:szCs w:val="52"/>
          <w:highlight w:val="none"/>
        </w:rPr>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招标文件</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JSZC-320100-JTGS-G2025-0086</w:t>
      </w:r>
      <w:r>
        <w:rPr>
          <w:rFonts w:hint="eastAsia" w:ascii="宋体" w:hAnsi="宋体" w:cs="宋体"/>
          <w:b/>
          <w:color w:val="auto"/>
          <w:sz w:val="36"/>
          <w:szCs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（非专门面向中小企业）</w:t>
      </w:r>
      <w:r/>
    </w:p>
    <w:p>
      <w:pPr>
        <w:jc w:val="both"/>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680"/>
        <w:ind w:left="1260"/>
        <w:rPr>
          <w:rFonts w:ascii="宋体" w:hAnsi="宋体" w:cs="宋体"/>
          <w:color w:val="auto"/>
          <w:highlight w:val="none"/>
        </w:rPr>
      </w:pPr>
      <w:r>
        <w:rPr>
          <w:rFonts w:ascii="宋体" w:hAnsi="宋体" w:cs="宋体"/>
          <w:color w:val="auto"/>
          <w:highlight w:val="none"/>
        </w:rPr>
      </w:r>
      <w:r/>
    </w:p>
    <w:p>
      <w:pPr>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南京市第二医院</w:t>
      </w:r>
      <w:r/>
    </w:p>
    <w:p>
      <w:pPr>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江苏骏通建设项目管理咨询有限公司</w:t>
      </w:r>
      <w:r/>
    </w:p>
    <w:p>
      <w:pPr>
        <w:jc w:val="center"/>
        <w:spacing w:line="360" w:lineRule="auto"/>
        <w:shd w:val="clear" w:color="auto" w:fill="ffffff"/>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shd w:val="clear" w:color="auto" w:fill="ffffff"/>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2025年11月</w:t>
      </w:r>
      <w:r/>
    </w:p>
    <w:p>
      <w:pPr>
        <w:rPr>
          <w:rFonts w:ascii="宋体" w:hAnsi="宋体" w:cs="宋体"/>
          <w:color w:val="auto"/>
          <w:sz w:val="36"/>
          <w:szCs w:val="36"/>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6"/>
          <w:szCs w:val="36"/>
          <w:highlight w:val="none"/>
        </w:rPr>
      </w:r>
      <w:r/>
    </w:p>
    <w:p>
      <w:pPr>
        <w:jc w:val="center"/>
        <w:rPr>
          <w:rFonts w:ascii="宋体" w:hAnsi="宋体" w:cs="宋体"/>
          <w:b/>
          <w:bCs/>
          <w:color w:val="auto"/>
          <w:sz w:val="48"/>
          <w:szCs w:val="48"/>
          <w:highlight w:val="none"/>
        </w:rPr>
      </w:pPr>
      <w:r/>
      <w:bookmarkStart w:id="0" w:name="_Toc481604673"/>
      <w:r>
        <w:rPr>
          <w:rFonts w:hint="eastAsia" w:ascii="宋体" w:hAnsi="宋体" w:cs="宋体"/>
          <w:b/>
          <w:bCs/>
          <w:color w:val="auto"/>
          <w:sz w:val="48"/>
          <w:szCs w:val="48"/>
          <w:highlight w:val="none"/>
        </w:rPr>
        <w:t xml:space="preserve">目录  </w:t>
      </w:r>
      <w:r/>
    </w:p>
    <w:p>
      <w:pPr>
        <w:jc w:val="center"/>
        <w:rPr>
          <w:rFonts w:ascii="宋体" w:hAnsi="宋体" w:cs="宋体"/>
          <w:b/>
          <w:bCs/>
          <w:color w:val="auto"/>
          <w:sz w:val="48"/>
          <w:szCs w:val="48"/>
          <w:highlight w:val="none"/>
        </w:rPr>
      </w:pPr>
      <w:r>
        <w:rPr>
          <w:rFonts w:ascii="宋体" w:hAnsi="宋体" w:cs="宋体"/>
          <w:b/>
          <w:bCs/>
          <w:color w:val="auto"/>
          <w:sz w:val="48"/>
          <w:szCs w:val="48"/>
          <w:highlight w:val="none"/>
        </w:rPr>
      </w:r>
      <w:r/>
    </w:p>
    <w:p>
      <w:pPr>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"_Toc510447926" </w:instrText>
      </w:r>
      <w:r>
        <w:rPr>
          <w:color w:val="auto"/>
          <w:highlight w:val="none"/>
        </w:rPr>
        <w:fldChar w:fldCharType="separate"/>
      </w:r>
      <w:r>
        <w:rPr>
          <w:rStyle w:val="710"/>
          <w:rFonts w:hint="eastAsia" w:ascii="宋体" w:hAnsi="宋体" w:cs="宋体"/>
          <w:color w:val="auto"/>
          <w:sz w:val="32"/>
          <w:szCs w:val="32"/>
          <w:highlight w:val="none"/>
        </w:rPr>
        <w:t xml:space="preserve">第一章 招标公告</w:t>
      </w:r>
      <w:r>
        <w:rPr>
          <w:rStyle w:val="710"/>
          <w:rFonts w:hint="eastAsia" w:ascii="宋体" w:hAnsi="宋体" w:cs="宋体"/>
          <w:color w:val="auto"/>
          <w:sz w:val="32"/>
          <w:szCs w:val="32"/>
          <w:highlight w:val="none"/>
        </w:rPr>
        <w:tab/>
      </w:r>
      <w:r>
        <w:rPr>
          <w:rStyle w:val="710"/>
          <w:rFonts w:hint="eastAsia" w:ascii="宋体" w:hAnsi="宋体" w:cs="宋体"/>
          <w:color w:val="auto"/>
          <w:sz w:val="32"/>
          <w:szCs w:val="32"/>
          <w:highlight w:val="none"/>
        </w:rPr>
        <w:fldChar w:fldCharType="end"/>
      </w:r>
      <w:r/>
    </w:p>
    <w:p>
      <w:pPr>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"_Toc510447927" </w:instrText>
      </w:r>
      <w:r>
        <w:rPr>
          <w:color w:val="auto"/>
          <w:highlight w:val="none"/>
        </w:rPr>
        <w:fldChar w:fldCharType="separate"/>
      </w:r>
      <w:r>
        <w:rPr>
          <w:rStyle w:val="710"/>
          <w:rFonts w:hint="eastAsia" w:ascii="宋体" w:hAnsi="宋体" w:cs="宋体"/>
          <w:color w:val="auto"/>
          <w:sz w:val="32"/>
          <w:szCs w:val="32"/>
          <w:highlight w:val="none"/>
        </w:rPr>
        <w:t xml:space="preserve">第二章 供应商须知</w:t>
      </w:r>
      <w:r>
        <w:rPr>
          <w:rStyle w:val="710"/>
          <w:rFonts w:hint="eastAsia" w:ascii="宋体" w:hAnsi="宋体" w:cs="宋体"/>
          <w:color w:val="auto"/>
          <w:sz w:val="32"/>
          <w:szCs w:val="32"/>
          <w:highlight w:val="none"/>
        </w:rPr>
        <w:tab/>
      </w:r>
      <w:r>
        <w:rPr>
          <w:rStyle w:val="710"/>
          <w:rFonts w:hint="eastAsia" w:ascii="宋体" w:hAnsi="宋体" w:cs="宋体"/>
          <w:color w:val="auto"/>
          <w:sz w:val="32"/>
          <w:szCs w:val="32"/>
          <w:highlight w:val="none"/>
        </w:rPr>
        <w:fldChar w:fldCharType="end"/>
      </w:r>
      <w:r/>
    </w:p>
    <w:p>
      <w:pPr>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"_Toc510447928" </w:instrText>
      </w:r>
      <w:r>
        <w:rPr>
          <w:color w:val="auto"/>
          <w:highlight w:val="none"/>
        </w:rPr>
        <w:fldChar w:fldCharType="separate"/>
      </w:r>
      <w:r>
        <w:rPr>
          <w:rStyle w:val="710"/>
          <w:rFonts w:hint="eastAsia" w:ascii="宋体" w:hAnsi="宋体" w:cs="宋体"/>
          <w:color w:val="auto"/>
          <w:sz w:val="32"/>
          <w:szCs w:val="32"/>
          <w:highlight w:val="none"/>
        </w:rPr>
        <w:t xml:space="preserve">第三章 合同主要条款及格式</w:t>
      </w:r>
      <w:r>
        <w:rPr>
          <w:rStyle w:val="710"/>
          <w:rFonts w:hint="eastAsia" w:ascii="宋体" w:hAnsi="宋体" w:cs="宋体"/>
          <w:color w:val="auto"/>
          <w:sz w:val="32"/>
          <w:szCs w:val="32"/>
          <w:highlight w:val="none"/>
        </w:rPr>
        <w:fldChar w:fldCharType="end"/>
      </w:r>
      <w:r/>
    </w:p>
    <w:p>
      <w:pPr>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"_Toc510447929" </w:instrText>
      </w:r>
      <w:r>
        <w:rPr>
          <w:color w:val="auto"/>
          <w:highlight w:val="none"/>
        </w:rPr>
        <w:fldChar w:fldCharType="separate"/>
      </w:r>
      <w:r>
        <w:rPr>
          <w:rStyle w:val="710"/>
          <w:rFonts w:hint="eastAsia" w:ascii="宋体" w:hAnsi="宋体" w:cs="宋体"/>
          <w:color w:val="auto"/>
          <w:sz w:val="32"/>
          <w:szCs w:val="32"/>
          <w:highlight w:val="none"/>
        </w:rPr>
        <w:t xml:space="preserve">第四章 采购需求</w:t>
      </w:r>
      <w:r>
        <w:rPr>
          <w:rStyle w:val="710"/>
          <w:rFonts w:hint="eastAsia" w:ascii="宋体" w:hAnsi="宋体" w:cs="宋体"/>
          <w:color w:val="auto"/>
          <w:sz w:val="32"/>
          <w:szCs w:val="32"/>
          <w:highlight w:val="none"/>
        </w:rPr>
        <w:tab/>
      </w:r>
      <w:r>
        <w:rPr>
          <w:rStyle w:val="710"/>
          <w:rFonts w:hint="eastAsia" w:ascii="宋体" w:hAnsi="宋体" w:cs="宋体"/>
          <w:color w:val="auto"/>
          <w:sz w:val="32"/>
          <w:szCs w:val="32"/>
          <w:highlight w:val="none"/>
        </w:rPr>
        <w:fldChar w:fldCharType="end"/>
      </w:r>
      <w:r/>
    </w:p>
    <w:p>
      <w:pPr>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"_Toc510447930" </w:instrText>
      </w:r>
      <w:r>
        <w:rPr>
          <w:color w:val="auto"/>
          <w:highlight w:val="none"/>
        </w:rPr>
        <w:fldChar w:fldCharType="separate"/>
      </w:r>
      <w:r>
        <w:rPr>
          <w:rStyle w:val="710"/>
          <w:rFonts w:hint="eastAsia" w:ascii="宋体" w:hAnsi="宋体" w:cs="宋体"/>
          <w:color w:val="auto"/>
          <w:sz w:val="32"/>
          <w:szCs w:val="32"/>
          <w:highlight w:val="none"/>
        </w:rPr>
        <w:t xml:space="preserve">第五章 </w:t>
      </w:r>
      <w:r>
        <w:rPr>
          <w:rStyle w:val="710"/>
          <w:rFonts w:hint="eastAsia" w:ascii="宋体" w:hAnsi="宋体" w:cs="宋体"/>
          <w:color w:val="auto"/>
          <w:sz w:val="32"/>
          <w:szCs w:val="32"/>
          <w:highlight w:val="none"/>
        </w:rPr>
        <w:fldChar w:fldCharType="end"/>
      </w:r>
      <w:r>
        <w:rPr>
          <w:rStyle w:val="710"/>
          <w:rFonts w:hint="eastAsia" w:ascii="宋体" w:hAnsi="宋体" w:cs="宋体"/>
          <w:color w:val="auto"/>
          <w:sz w:val="32"/>
          <w:szCs w:val="32"/>
          <w:highlight w:val="none"/>
        </w:rPr>
        <w:t xml:space="preserve">评标方法与评标标准</w:t>
      </w:r>
      <w:r/>
    </w:p>
    <w:p>
      <w:pPr>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"_Toc510447931" </w:instrText>
      </w:r>
      <w:r>
        <w:rPr>
          <w:color w:val="auto"/>
          <w:highlight w:val="none"/>
        </w:rPr>
        <w:fldChar w:fldCharType="separate"/>
      </w:r>
      <w:r>
        <w:rPr>
          <w:rStyle w:val="710"/>
          <w:rFonts w:hint="eastAsia" w:ascii="宋体" w:hAnsi="宋体" w:cs="宋体"/>
          <w:color w:val="auto"/>
          <w:sz w:val="32"/>
          <w:szCs w:val="32"/>
          <w:highlight w:val="none"/>
        </w:rPr>
        <w:t xml:space="preserve">第六章 投标文件格式</w:t>
      </w:r>
      <w:r>
        <w:rPr>
          <w:rStyle w:val="710"/>
          <w:rFonts w:hint="eastAsia" w:ascii="宋体" w:hAnsi="宋体" w:cs="宋体"/>
          <w:color w:val="auto"/>
          <w:sz w:val="32"/>
          <w:szCs w:val="32"/>
          <w:highlight w:val="none"/>
        </w:rPr>
        <w:tab/>
      </w:r>
      <w:r>
        <w:rPr>
          <w:rStyle w:val="710"/>
          <w:rFonts w:hint="eastAsia" w:ascii="宋体" w:hAnsi="宋体" w:cs="宋体"/>
          <w:color w:val="auto"/>
          <w:sz w:val="32"/>
          <w:szCs w:val="32"/>
          <w:highlight w:val="none"/>
        </w:rPr>
        <w:fldChar w:fldCharType="end"/>
      </w:r>
      <w:r/>
    </w:p>
    <w:p>
      <w:pPr>
        <w:rPr>
          <w:rFonts w:ascii="宋体" w:hAnsi="宋体" w:cs="宋体"/>
          <w:bCs/>
          <w:color w:val="auto"/>
          <w:sz w:val="30"/>
          <w:szCs w:val="30"/>
          <w:highlight w:val="none"/>
        </w:rPr>
      </w:pPr>
      <w:r>
        <w:rPr>
          <w:rFonts w:hint="eastAsia" w:ascii="宋体" w:hAnsi="宋体" w:cs="宋体"/>
          <w:color w:val="auto"/>
          <w:sz w:val="32"/>
          <w:szCs w:val="32"/>
          <w:highlight w:val="none"/>
        </w:rPr>
        <w:fldChar w:fldCharType="end"/>
      </w:r>
      <w:r/>
    </w:p>
    <w:p>
      <w:pPr>
        <w:rPr>
          <w:rFonts w:ascii="宋体" w:hAnsi="宋体" w:cs="宋体"/>
          <w:b/>
          <w:bCs/>
          <w:color w:val="auto"/>
          <w:sz w:val="30"/>
          <w:szCs w:val="30"/>
          <w:highlight w: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sz w:val="30"/>
          <w:szCs w:val="30"/>
          <w:highlight w:val="none"/>
        </w:rPr>
      </w:r>
      <w:r/>
    </w:p>
    <w:p>
      <w:pPr>
        <w:pStyle w:val="661"/>
        <w:jc w:val="center"/>
        <w:spacing w:line="460" w:lineRule="exact"/>
        <w:rPr>
          <w:rFonts w:ascii="宋体" w:hAnsi="宋体" w:cs="宋体"/>
          <w:color w:val="auto"/>
          <w:highlight w:val="none"/>
        </w:rPr>
      </w:pPr>
      <w:r/>
      <w:bookmarkStart w:id="1" w:name="_Toc510447926"/>
      <w:r>
        <w:rPr>
          <w:rFonts w:hint="eastAsia" w:ascii="宋体" w:hAnsi="宋体" w:cs="宋体"/>
          <w:color w:val="auto"/>
          <w:highlight w:val="none"/>
        </w:rPr>
        <w:t xml:space="preserve">第一章 </w:t>
      </w:r>
      <w:bookmarkEnd w:id="0"/>
      <w:r/>
      <w:bookmarkEnd w:id="1"/>
      <w:r>
        <w:rPr>
          <w:rFonts w:hint="eastAsia" w:ascii="宋体" w:hAnsi="宋体" w:cs="宋体"/>
          <w:color w:val="auto"/>
          <w:highlight w:val="none"/>
        </w:rPr>
        <w:t xml:space="preserve">招标公告</w:t>
      </w:r>
      <w:r/>
    </w:p>
    <w:p>
      <w:pPr>
        <w:pStyle w:val="699"/>
        <w:spacing w:before="75" w:beforeAutospacing="0" w:after="75" w:afterAutospacing="0" w:line="460" w:lineRule="exact"/>
        <w:rPr>
          <w:color w:val="auto"/>
          <w:highlight w:val="none"/>
        </w:rPr>
      </w:pPr>
      <w:r/>
      <w:bookmarkStart w:id="2" w:name="_Toc481604674"/>
      <w:r/>
      <w:bookmarkStart w:id="3" w:name="_Toc510447927"/>
      <w:r>
        <w:rPr>
          <w:rFonts w:hint="eastAsia"/>
          <w:color w:val="auto"/>
          <w:highlight w:val="none"/>
        </w:rPr>
        <w:t xml:space="preserve">项目概况</w:t>
      </w:r>
      <w:r/>
    </w:p>
    <w:p>
      <w:pPr>
        <w:pStyle w:val="699"/>
        <w:spacing w:before="75" w:beforeAutospacing="0" w:after="75" w:afterAutospacing="0" w:line="460" w:lineRule="exact"/>
        <w:rPr>
          <w:color w:val="auto"/>
          <w:highlight w:val="none"/>
        </w:rPr>
      </w:pPr>
      <w:r>
        <w:rPr>
          <w:rFonts w:hint="eastAsia"/>
          <w:color w:val="auto"/>
          <w:highlight w:val="none"/>
        </w:rPr>
        <w:t xml:space="preserve">  南京市第二医院食堂一次性耗材采购的潜在供应商应在江苏政府采购网 (ccgp-jiangsu.gov.cn)获取采购文件，并于</w:t>
      </w:r>
      <w:r>
        <w:rPr>
          <w:rFonts w:hint="eastAsia"/>
          <w:color w:val="auto"/>
          <w:highlight w:val="none"/>
          <w:lang w:eastAsia="zh-CN"/>
        </w:rPr>
        <w:t xml:space="preserve">2025年12月17日</w:t>
      </w:r>
      <w:r>
        <w:rPr>
          <w:rFonts w:hint="eastAsia"/>
          <w:color w:val="auto"/>
          <w:highlight w:val="none"/>
        </w:rPr>
        <w:t xml:space="preserve">14点30分（北京时间）前提交响应文件。</w:t>
      </w:r>
      <w:r/>
    </w:p>
    <w:p>
      <w:pPr>
        <w:pStyle w:val="699"/>
        <w:spacing w:before="75" w:beforeAutospacing="0" w:after="75" w:afterAutospacing="0" w:line="460" w:lineRule="exact"/>
        <w:rPr>
          <w:color w:val="auto"/>
          <w:highlight w:val="none"/>
        </w:rPr>
      </w:pPr>
      <w:r>
        <w:rPr>
          <w:rFonts w:hint="eastAsia"/>
          <w:color w:val="auto"/>
          <w:highlight w:val="none"/>
        </w:rPr>
        <w:t xml:space="preserve">一、项目基本情况</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JSZC-320100-JTGS-G2025-0086</w:t>
      </w:r>
      <w:r>
        <w:rPr>
          <w:rFonts w:hint="eastAsia" w:ascii="宋体" w:hAnsi="宋体" w:cs="宋体"/>
          <w:color w:val="auto"/>
          <w:sz w:val="24"/>
          <w:highlight w:val="none"/>
        </w:rPr>
        <w:t xml:space="preserve">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项目名称：南京市第二医院食堂一次性耗材采购</w:t>
      </w:r>
      <w:r/>
    </w:p>
    <w:p>
      <w:pPr>
        <w:ind w:firstLine="480"/>
        <w:spacing w:line="460" w:lineRule="exact"/>
        <w:rPr>
          <w:rFonts w:ascii="宋体" w:hAnsi="宋体" w:cs="宋体"/>
          <w:b/>
          <w:bCs/>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b/>
          <w:bCs/>
          <w:color w:val="auto"/>
          <w:sz w:val="24"/>
          <w:highlight w:val="none"/>
        </w:rPr>
        <w:t xml:space="preserve">110万元</w:t>
      </w:r>
      <w:r/>
    </w:p>
    <w:p>
      <w:pPr>
        <w:ind w:firstLine="42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最高限价：本项目采用优惠率报价，最低优惠率为0%，如低于最低优惠率按无效投标处理。注：本项目采购需求中列明了计划采购单价，实际采购单价=计划采购单价*（100%-中标优惠率）（举例：如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优惠率报价为10%，货物采购清单中序号1一次性塑料圆盒300圆的实际采购单价为0.221元*（100%-10%），以此类推。实际采购单价精确到小数点后三位，四舍五入。</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采购需求：南京市第二医院食堂一次性耗材采购，详细要求见招标文件第四章。</w:t>
      </w:r>
      <w:r/>
    </w:p>
    <w:p>
      <w:pPr>
        <w:ind w:firstLine="480"/>
        <w:spacing w:line="252" w:lineRule="auto"/>
        <w:rPr>
          <w:rFonts w:ascii="宋体" w:hAnsi="宋体" w:cs="宋体"/>
          <w:color w:val="auto"/>
          <w:sz w:val="24"/>
          <w:highlight w:val="none"/>
        </w:rPr>
      </w:pPr>
      <w:r>
        <w:rPr>
          <w:rFonts w:hint="eastAsia" w:ascii="宋体" w:hAnsi="宋体"/>
          <w:color w:val="auto"/>
          <w:sz w:val="24"/>
          <w:highlight w:val="none"/>
        </w:rPr>
        <w:t xml:space="preserve">合同履行期限：1年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项目规模：</w:t>
      </w:r>
      <w:r>
        <w:rPr>
          <w:rFonts w:hint="eastAsia" w:cs="宋体"/>
          <w:color w:val="auto"/>
          <w:sz w:val="24"/>
          <w:highlight w:val="none"/>
        </w:rPr>
        <w:t xml:space="preserve">南京市第二医院食堂一次性耗材采购</w:t>
      </w:r>
      <w:r>
        <w:rPr>
          <w:rFonts w:hint="eastAsia" w:ascii="宋体" w:hAnsi="宋体" w:cs="宋体"/>
          <w:color w:val="auto"/>
          <w:sz w:val="24"/>
          <w:highlight w:val="none"/>
        </w:rPr>
        <w:t xml:space="preserve">（详细内容见本招标文件第四章）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本项目不接受进口产品投标。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本项目 否 （是/否）接受联合体投标。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二、申请人的资格要求：</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1、满足《中华人民共和国政府采购法》第二十二条的相关规定，供应商提供《南京市政府采购供应商信用记录表暨信用承诺书》：</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1.1具有独立承担民事责任的能力（提供法人或者其他组织的营业执照，自然人的身份证明复印件）；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1.2具有良好的商业信誉和健全的财务会计制度（提供承诺书，格式见招标文件附件）；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1.3具有履行合同所必需的设备和专业技术能力（提供承诺书，格式见招标文件附件）；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1.4有依法缴纳税收和社会保障资金的良好记录（提供承诺书，格式见招标文件附件）；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1.5参加政府采购活动前三年内，在经营活动中没有重大违法记录（提供承诺书，格式见招标文件附件）；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1.6法律、行政法规规定的其他条件：无。</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在政府采购资格审查环节，供应商只需提供书面《南京市政府采购供应商信用记录表暨信用承诺书》，即可替代以下证明材料：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（1）符合国家相关规定的财务状况报告；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（2）依法缴纳税收的证明材料；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（3）依法缴纳社会保障资金的证明材料；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（4）具备履行政府采购合同所必需的设备和专业技术能力的证明材料；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（5）参加政府采购活动前三年内在经营活动中没有重大违法记录的证明材料；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（6）未被列入失信被执行人、重大税收违法失信主体、政府采购严重违法失信行为记录名单的证明材料。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供应商涉及以下情形的，不适用信用承诺：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（1）供应商被列入严重失信主体名单；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（2）被相关监管部门作出行政处罚且尚在处罚有效期内；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（3）其他法律、行政法规规定的不适用信用承诺的情形。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供应商对信用承诺内容的真实性、合法性、有效性负责。如作出虚假信用承诺，视同为“提供虚假材料谋取中标、成交”的违法行为。</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2、落实政府采购政策需满足的资格要求：供应商如为中小微企业、监狱企业、残疾人福利性单位、节能环保产品须提供相关证明材料。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3、本项目的特定资格要求：无</w:t>
      </w:r>
      <w:r/>
    </w:p>
    <w:p>
      <w:pPr>
        <w:spacing w:line="46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时间：2025年11月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日至2025年11月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方式：潜在供应商登录江苏省政府采购管理交易系统（苏采云）（以下简称“苏采云”）下载。首次登录“苏采云”系统的新用户，登录网址后，点击“用户注册”--“新CA办理指南”--获取CA后绑定、登录系统--采购项目参与--下载采购文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招标文件售价：0元。</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投标截止时间及开标时间：</w:t>
      </w:r>
      <w:r>
        <w:rPr>
          <w:rFonts w:hint="eastAsia" w:ascii="宋体" w:hAnsi="宋体" w:cs="宋体"/>
          <w:color w:val="auto"/>
          <w:sz w:val="24"/>
          <w:highlight w:val="none"/>
          <w:lang w:eastAsia="zh-CN"/>
        </w:rPr>
        <w:t xml:space="preserve">2025年12月17日</w:t>
      </w:r>
      <w:r>
        <w:rPr>
          <w:rFonts w:hint="eastAsia" w:ascii="宋体" w:hAnsi="宋体" w:cs="宋体"/>
          <w:color w:val="auto"/>
          <w:sz w:val="24"/>
          <w:highlight w:val="none"/>
        </w:rPr>
        <w:t xml:space="preserve">14点30分（北京时间）</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提交地点：江苏省政府采购管理交易系统（苏采云）（以下简称“苏采云”）（网址： </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10"/>
          <w:rFonts w:hint="eastAsia" w:ascii="宋体" w:hAnsi="宋体" w:cs="宋体"/>
          <w:color w:val="auto"/>
          <w:sz w:val="24"/>
          <w:szCs w:val="24"/>
          <w:highlight w:val="none"/>
        </w:rPr>
        <w:t xml:space="preserve">http://jszfcg.jsczt.cn/）</w:t>
      </w:r>
      <w:r>
        <w:rPr>
          <w:rStyle w:val="710"/>
          <w:rFonts w:hint="eastAsia" w:ascii="宋体" w:hAnsi="宋体" w:cs="宋体"/>
          <w:color w:val="auto"/>
          <w:sz w:val="24"/>
          <w:szCs w:val="24"/>
          <w:highlight w:val="none"/>
        </w:rPr>
        <w:fldChar w:fldCharType="end"/>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开标地点：“苏采云”政府采购交易系统网上开标大厅</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1.拒绝下述供应商参加本次采购活动：</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（2）凡为采购项目提供整体设计、规范编制或者项目管理、检测等服务的供应商，不得再参加本项目的采购活动。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（3）供应商被“信用中国”网站（www.creditchina.gov.cn）、“中国政府采购网"(www.ccgp.gov.cn）列入失信被执行人、重大税收违法案件当事人名单、政府采购严重违法失信行为记录名单。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集中勘察现场和答疑：本次采购不组织集中勘察现场。供应商如对采购需求有疑问请与采购联系人沟通。在递交响应文件截止时间3日前，代理机构将磋商文件澄清或者修改的内容（如有）发放供应商，供应商如对本项目有疑问也应在此时间内向代理机构递交提疑文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3.响应文件份数：本项目采用苏采云系统电子投标。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4.根据《南京市政府采购供应商信用管理工作暂行办法》（宁财规〔2018〕10号）有关规定，凡在南京地区参加政府采购活动的供应商，应当事先登录“信用南京”（www.njcredit.g</w:t>
      </w:r>
      <w:r>
        <w:rPr>
          <w:rFonts w:hint="eastAsia" w:ascii="宋体" w:hAnsi="宋体" w:cs="宋体"/>
          <w:color w:val="auto"/>
          <w:sz w:val="24"/>
          <w:highlight w:val="none"/>
        </w:rPr>
        <w:t xml:space="preserve">o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参加本次政府采购活动的必备材料。</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5.是否接受进口产品：否。</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6.本项目不收取投标保证金。</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7.潜在供应商访问政府采购管理交易系统（苏采云）的网络地址和方法：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（3）“CA数字证书”的办理材料以及供应商操作手册详见：http://jsxcmm.com/help/gys.html。</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（4）潜在供应商访问“苏采云”系统的网络地址和方法：“苏采云”系统的网址：http://jszfcg.jsczt.cn/jszc/login。</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（6）招标代理机构（采购代理机构）将数据电文形式的采购文件加载至“苏采云”系统，供潜在供应商下载或者查阅。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（7）苏采云系统使用谷歌浏览器参与不见面开标。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（8）“苏采云”南京地区客服热线025-83633744、025-83633743。</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8.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自行承担。</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八、凡对本次采购提出询问，请按以下方式联系</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名称：南京市第二医院</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地址：南京市鼓楼区钟阜路1号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联系人：秦老师</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联系电话：025-85091725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名称：江苏骏通建设项目管理咨询有限公司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地址：南京市鼓楼区中山北路346号老学堂创意园58号楼9楼 </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rPr>
        <w:t xml:space="preserve">工</w:t>
      </w:r>
      <w:r/>
    </w:p>
    <w:p>
      <w:pPr>
        <w:ind w:firstLine="480"/>
        <w:spacing w:line="4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val="en-US" w:eastAsia="zh-CN"/>
        </w:rPr>
        <w:t xml:space="preserve">025-83605026</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rPr>
        <w:t xml:space="preserve">工</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lang w:val="en-US" w:eastAsia="zh-CN"/>
        </w:rPr>
        <w:t xml:space="preserve">025-83605026</w:t>
      </w:r>
      <w:r/>
    </w:p>
    <w:p>
      <w:pPr>
        <w:spacing w:line="460" w:lineRule="exact"/>
        <w:rPr>
          <w:rFonts w:ascii="宋体" w:hAnsi="宋体" w:cs="宋体"/>
          <w:color w:val="auto"/>
          <w:highlight w:val="none"/>
        </w:rPr>
      </w:pPr>
      <w:r>
        <w:rPr>
          <w:rFonts w:ascii="宋体" w:hAnsi="宋体" w:cs="宋体"/>
          <w:color w:val="auto"/>
          <w:highlight w:val="none"/>
        </w:rPr>
      </w:r>
      <w:r/>
    </w:p>
    <w:p>
      <w:pPr>
        <w:pStyle w:val="679"/>
        <w:jc w:val="both"/>
        <w:spacing w:line="460" w:lineRule="exac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661"/>
        <w:jc w:val="center"/>
        <w:spacing w:line="460" w:lineRule="exact"/>
        <w:rPr>
          <w:rFonts w:ascii="宋体" w:hAnsi="宋体" w:cs="宋体"/>
          <w:b w:val="0"/>
          <w:bCs/>
          <w:color w:val="auto"/>
          <w:szCs w:val="21"/>
          <w:highlight w:val="none"/>
        </w:rPr>
      </w:pPr>
      <w:r>
        <w:rPr>
          <w:rFonts w:hint="eastAsia" w:ascii="宋体" w:hAnsi="宋体" w:cs="宋体"/>
          <w:color w:val="auto"/>
          <w:highlight w:val="none"/>
        </w:rPr>
        <w:t xml:space="preserve">第二章 供应商须知</w:t>
      </w:r>
      <w:bookmarkEnd w:id="2"/>
      <w:r/>
      <w:bookmarkEnd w:id="3"/>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一、总则</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1.招标方式</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本次招标采取公开招标方式，本文件仅适用于招标公告中所述项目。</w:t>
      </w:r>
      <w:r/>
    </w:p>
    <w:p>
      <w:pPr>
        <w:ind w:firstLine="480"/>
        <w:spacing w:line="4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2.合格的</w:t>
      </w:r>
      <w:r>
        <w:rPr>
          <w:rFonts w:hint="eastAsia" w:ascii="宋体" w:hAnsi="宋体" w:cs="宋体"/>
          <w:color w:val="auto"/>
          <w:sz w:val="24"/>
          <w:highlight w:val="none"/>
          <w:lang w:eastAsia="zh-CN"/>
        </w:rPr>
        <w:t xml:space="preserve">供应商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2.1 满足招标公告对供应商资格要求的规定。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 满足招标文件规定的实质性要求和条件。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3.适用法律</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4.投标费用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4.1 投标人应自行承担所有与参加投标有关的费用，无论投标过程中的做法和结果如何，采购人或者采购代理机构在任何情况下均无义务和责任承担这些费用。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4.2 本次招标采购代理机构和采购人不收取标书工本费。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本次招标，招标代理服务费按《招标代理服务收费管理暂行办法》(计价格[2002]1980号)”收费标准计取。相应费用包含在投标报价中，供应商自行考虑，无需单列。</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5.招标文件的约束力</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5.1 投标人一旦参加本项目采购活动，即被认为接受了本文件的规定和约束。</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二、招标文件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6.招标文件构成</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6.1 招标文件由以下部分组成：</w:t>
      </w:r>
      <w:r/>
    </w:p>
    <w:p>
      <w:pPr>
        <w:ind w:firstLine="480"/>
        <w:spacing w:line="4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招标公告</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投标人应仔细检查招标文件是否齐全，如有缺漏请立即与采购代理机构联系。</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7.招标文件的澄清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7.1 任何要求对招标文件进行澄清的投标人，应在投标截止期十日前按招标公告中的通讯地址，以书面形式通知采购代理机构。</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8.招标文件的修改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8.1 在投标截止时间前，采购人或者采购代理机构可以对招标文件进行修改。招标文件的修改将在原公告媒体发布更正公告，更正内容将作为招标文件的组成部分，并对投标人具有约束力。</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8.3 采购人或者采购代理机构有权按照法定的要求推迟投标截止日期和开标日期，并在原公告媒体发布更正公告。</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三、投标文件的编制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9.投标文件的语言及度量衡单位</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9.1 投标人提交的投标文件以及投标人与采购代理机构就有关投标的所有来往通知、函件和文件均应使用简体中文。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10.投标文件构成</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10.2 如标书制作工具中格式和内容与“江苏政府采购网”发布的招标文件不一致，以“江苏政府采购网”发布的招标文件为准。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11.证明投标人及投标标的符合招标文件规定的文件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11.1 投标人应按照法律、法规、规章和规范性文件以及招标文件要求提交证明文件，证明其投标标的符合招标文件规定。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11.2 招标文件对证明文件无明确形式要求的，证明文件可以以文字资料、图纸和数据等形式提交。</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12.投标分项报价表（如有）</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12.1 投标人应按照招标文件规定格式填报投标分项报价表。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12.2 投标文件中的单价和总价无特殊规定的采用人民币报价，以元为单位标注。招标文件另有规定的按规定执行。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13.响应及偏离表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13.1 投标人需对招标文件中的技术要求与商务要求逐项作出响应或偏离说明。</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13.2 投标人可以在投标文件中提供认为需要的其他技术文件或说明。</w:t>
      </w:r>
      <w:r/>
    </w:p>
    <w:p>
      <w:pPr>
        <w:ind w:firstLine="480"/>
        <w:spacing w:line="460" w:lineRule="exact"/>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14.投标函和开标一览表及核心产品品牌一览表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14.1 投标人应按照招标文件规定格式完整、正确填报投标函、开标一览表及核心产品品牌一览表。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14.2 对于采用货币报价的项目，开标一览表中的投标总报价应与投标分项报价表中的投标总报价一致，如不一致评标时以开标一览表中价格为准。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14.3 核心产品品牌一览表中所投核心产品品牌缺项的将视为无效投标。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15.投标有效期</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15.1 投标有效期为招标公告规定的开标之日起六十天。投标有效期比规定短的将被视为未实质性响应招标文件而被拒绝。</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16.投标有效期的延长</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16.1 在特殊情况下，采购人或者采购代理机构于原投标有效期满之前，可向投标人提出延长投标有效期的要求。这种要求与答复均应采用书面形式。投标人可以拒绝采购人或者采购代理机构的这一要求而放弃投标。同意延长投标有效期的投标人既不能要求也不允许修改其投标文件，同时受投标有效期约束的所有权利与义务均延长至新的有效期满。</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四、投标文件的递交</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17.投标文件的递交</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17.1 投标人应当按照《操作手册》规定，在招标公告规定的投标截止时间前制作并上传电子投标文件。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17.3 采购人或者采购代理机构可以按照规定，通过修改招标文件酌情延长投标截止时间，在此情况下，投标人的所有权利和义务均以延长后新的截止时间为准。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18.投标文件的拒收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18.1 投标截止时间后上传的任何投标文件将被拒绝。</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19.投标文件的撤回和修改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19.1 投标文件的撤回</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19.1.1 投标人可在投标截止时间前撤回其电子投标文件，具体操作方法见《操作手册》。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19.1.2 投标人撤回电子投标文件，则认为其不再参与本项目投标活动。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19.2 投标文件的修改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19.2.1 投标人可在投标截止时间前对其电子投标文件进行修改，具体操作方法见《操作手册》。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19.2.2 投标截止时间之后，投标人不得对其电子投标文件作任何修改。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19.3 在投标截止时间至招标文件中规定的投标有效期满之间的这段时间内，投标人不得撤回其投标。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五、开标与评标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20.开标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20.2 投标人在开标过程中涉及到的投标文件解密、开标结果确认等工作，应按照《操作手册》规定执行。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20.3 投标人如果对开标过程和开标结果有疑义，应当根据《操作手册》规定提出，苏采云系统中《开标记录表》公布后5分钟内未提出的，视同认可开标结果。</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21.评标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21.1 评标由依法组建的评标委员会（以下简称“评委会”）进行。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21.2 评委会由采购人代表和有关技术、经济或法律等方面的专家组成，且人员构成符合政府采购有关规定。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21.3 评委会独立工作，负责评审所有投标文件并推荐中标候选人，或根据采购人授权直接确定中标人。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22.评标过程的保密与公正</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22.1 凡是与审查、澄清、评价和比较投标的有关资料以及授标建议等，采购人、评委、采购代理机构均不得向投标人或与评标无关的其他人员透露。</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22.2 投标人不得以任何方式影响评标，否则其投标文件将被作为无效投标文件。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22.3 采购人或者采购代理机构和评委会不向未中标的投标人解释未中标原因，也不公布评标过程中的相关细节。</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22.4 采用综合评分法的项目，未中标的投标人可于中标结果公告期限届满之日起通过苏采云系统查看本单位的评审得分及排名情况。</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23.投标文件的澄清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23.1 评标期间，评委会对投标文件中含义不明确、同类问题表述不一致或者有明显文字和计算错误的内容，有权要求投标人作出必要的澄清、说明或者补正。</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评委会并非对每个投标人都做澄清要求。</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23.3 接到评委会澄清、说明和补正要求的，投标人如未按规定作出澄清、说明和补正，其风险由投标人自行承担。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24.投标文件的审查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24.1 投标文件审查分为资格审查和符合性审查。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24.1.1 资格审查。依据法律法规和招标文件规定，由采购人对投标文件中的资格证明文件进行审查，并向评委会反馈审查结论。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采购人进行资格审查时，将在“信用中国”网站（www.creditchina.gov.cn）查询投标人的信用记录，以确定投标人是否具备投标资格，查询结果留存并归档。</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接受联合体的项目，联合体成员存在不良信用记录的，视同联合体存在不良信用记录。</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24.1.3 未通过资格审查或符合性审查的投标人，采购人或者采购代理机构将通过苏采云系统告知其具体原因，评标结束后不再接受有关询问。</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24.3 如果投标文件实质上没有响应招标文件的要求，评委会将予以拒绝，投标人不得通过修改或撤销不合要求的偏离或保留而使其投标成为实质性响应的投标。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24.4 评委会将对确定为实质性响应的投标进行进一步审核，确定其是否有计算上或累加上的算术错误。修正错误的原则如下：</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24.6 投标人在开、评标全过程中应保持通讯畅通，及时登录苏采云系统查阅、答复相关信息，并安排专人与采购代理机构及评委会联系。</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25.无效投标和废标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 无效投标情形</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25.1.1 投标人在苏采云系统规定的时间内未成功解密电子投标文件。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25.1.2 投标人未按照招标文件要求上传电子投标文件。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25.1.3 同一投标人提交两个（含两个）以上不同的投标报价。</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25.1.4 投标人不具备招标文件中规定资格要求。</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25.1.5 投标人所报优惠率低于最低优惠率。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25.1.6 未通过符合性审查。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25.1.7 不符合招标文件中实质性要求和条件（本文件中斜体且有下划线部分，或者打“★”内容为实质性要求和条件）。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25.1.9 投标文件含有采购人不能接受的附加条件。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25.1.11 采购产品被财政部、国家发改委、生态环境部等列入“节能产品品目清单”强制采购范围，而投标人提供的产品不在强制采购范围内。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25.1.12 投标文件未按照招标文件要求加盖电子公章。</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25.1.13 法律法规及本招标文件规定的其他无效投标情形。</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 废标情形</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25.2.1 符合资格条件的供应商或者对招标文件作实质响应的供应商不足三家。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25.2.2 出现影响采购公正的违法、违规行为。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25.2.3 因重大变故采购任务取消。</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25.2.4 评委会认定招标文件存在歧义、重大缺陷导致评审工作无法进行。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25.2.5 因苏采云系统故障造成开标不成功。</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25.3 如出现投标截止时间后参加投标的供应商或者对招标文件作出实质性响应的供应商不足三家的情况，按政府采购相关规定执行。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六、定标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26.确定中标单位</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26.1 中标候选人的确定原则和数量见招标文件第五章。 </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26.2 按以下第（1）种方式确定中标人：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（1）评委会直接确定排名第一的中标候选人为中标人；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（2）采购人在评委会推荐的中标候选人中按顺序确定中标人。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26.3 采购代理机构将在“江苏政府采购网”发布中标公告，公告期限为1个工作日。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 若有充分证据证明中标人有下列情况之一的，一经查实将被取消中标资格：</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26.4.1 提供虚假材料谋取中标。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26.4.2 向评审专家、采购人或采购代理机构工作人员行贿或者提供其他不正当利益。</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26.4.3 与其他供应商、评审专家、采购人或采购代理机构工作人员恶意串通。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26.4.4 属于本文件规定的无效投标情形，但在评标过程中未被评委会发现。</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26.4.5 采取不正当手段诋毁、排挤其他供应商。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26.5 有下列情形之一的视为投标人串通投标，投标无效：</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26.5.1 不同投标人的投标文件由同一单位或者个人编制。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26.5.2 不同投标人委托同一单位或者个人办理投标事宜。</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26.5.3 不同投标人的投标文件载明的项目管理成员或者联系人员为同一人。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26.5.4 不同投标人的投标文件异常一致或者投标报价呈规律性差异。</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27.中标通知书</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27.l 中标结果确定后，采购人将向中标人发出《中标通知书》。中标人可在中标结果公告届满之日起三十日内，登录苏采云系统下载。</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27.2 《中标通知书》是合同的一个组成部分，对采购人和中标人均具有法律效力。《中标通知书》发出后，采购人改变中标结果或者中标人放弃中标项目的，应当依法承担法律责任。</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七、授予合同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28.签订合同</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28.l 中标人应当在《中标通知书》发出之日起三十日内，按照招标文件确定的事项与采购人签订政府采购合同。采购人于合同签订后2个工作日内通过苏采云系统进行公示。</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28.2 招标文件、中标人的投标文件及招标过程中有关澄清、承诺文件均作为合同附件。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28.4 中标人因自身原因拒绝与采购人签订合同的，不得参加采购人重新组织的采购活动，且将可能被拒绝参加该采购人一年内的其他政府采购活动。</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29.标的物的追加</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30.政府采购履约资金扶持政策</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30.1 中标供应商可通过南京市公共资源交易平台网站“小企业融资平台”，选择相应的金融机构办理融资贷款。</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八、质疑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31.提出质疑的供应商应当是参与所质疑项目采购活动的供应商，潜在供应商依法获取其可质疑的采购文件的，可以对采购文件提出质疑。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32.供应商认为采购文件、采购过程和采购结果使自己的权益受到损害的，可以在知道或应知其权益受到损害之日起七个工作日内，按照第34条、第35条之规定以书面形式向采购人或采购代理机构提出质疑。上述应知其权益受到损害之日是指：</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32.1 对采购文件提出质疑的，为收到采购文件之日或者采购文件公告期限届满之日。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32.2 对采购过程提出质疑的，为各采购程序环节结束之日。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32.3 对中标或者成交结果提出质疑的，为中标或者成交结果公告期限届满之日。</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34.供应商提出质疑应提交《质疑函》原件，且尽可能通过邮寄方式送达，采购代理机构和采购人不接受无运单的快件。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35.供应商（含潜在供应商）对采购方式、采购需求、供应商资格条件及审查结果、评标方法和评标标准、合同文本的询问、质疑向采购人提出，由采购代理机构负责答复。</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36.以下情形的质疑不予受理：</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36.1 内容不符合《政府采购质疑和投诉办法》第十二条规定的质疑。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36.2 超出政府采购法定期限的质疑。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36.3 以传真、电子邮件等方式递交的非原件形式的质疑。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36.4 未参加采购活动或在采购活动中自身权益未受到损害的供应商所提出的质疑。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36.5 供应商组成联合体参加采购活动，联合体中任何一方或多方未按要求签字或签章、加盖公章的质疑。</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36.6 法律法规规定的其他不予受理情形。</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37.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九、政策功能落实</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38.促进中小企业发展</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38.1 本项目服务由中小企业承接的，投标供应商享受中小企业扶持政策。</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38.3 中小企业参加政府采购活动，应当出具《中小企业声明函》，否则不享受相关中小企业支持政策。对于非专门面向中小企业的项目，</w:t>
      </w:r>
      <w:r>
        <w:rPr>
          <w:rFonts w:hint="eastAsia" w:ascii="宋体" w:hAnsi="宋体" w:cs="宋体"/>
          <w:b/>
          <w:bCs/>
          <w:color w:val="auto"/>
          <w:sz w:val="24"/>
          <w:highlight w:val="none"/>
        </w:rPr>
        <w:t xml:space="preserve">对小型和微型企业产品（符合相关规定）的价格给予10%的优惠</w:t>
      </w:r>
      <w:r>
        <w:rPr>
          <w:rFonts w:hint="eastAsia" w:ascii="宋体" w:hAnsi="宋体" w:cs="宋体"/>
          <w:color w:val="auto"/>
          <w:sz w:val="24"/>
          <w:highlight w:val="none"/>
        </w:rPr>
        <w:t xml:space="preserve">，用优惠后的价格参与评审。</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38.4 以联合体形式参加政府采购活动，联合体各方均为中小企业的，联合体视同中小企业。其中，联合体各方均为小微企业的，联合体视同小微企业。</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38.6 残疾人福利性单位视同小型、微型企业。按照《关于促进残疾人就业政府采购政策的通知》（财库〔2017〕141号）规定，残疾人福利单位需提供《残疾人福利性单位声明函》。</w:t>
      </w:r>
      <w:r/>
    </w:p>
    <w:p>
      <w:pPr>
        <w:ind w:firstLine="420"/>
        <w:jc w:val="center"/>
        <w:spacing w:line="460" w:lineRule="exact"/>
        <w:shd w:val="clear" w:color="auto" w:fill="ffffff"/>
        <w:widowControl/>
        <w:rPr>
          <w:rStyle w:val="912"/>
          <w:rFonts w:ascii="宋体" w:hAnsi="宋体" w:cs="宋体"/>
          <w:color w:val="auto"/>
          <w:highlight w:val="none"/>
        </w:rPr>
      </w:pPr>
      <w:r>
        <w:rPr>
          <w:rFonts w:hint="eastAsia" w:ascii="宋体" w:hAnsi="宋体" w:cs="宋体"/>
          <w:color w:val="auto"/>
          <w:szCs w:val="21"/>
          <w:highlight w:val="none"/>
        </w:rPr>
        <w:br w:type="page" w:clear="all"/>
      </w:r>
      <w:bookmarkStart w:id="4" w:name="_Toc510447928"/>
      <w:r/>
      <w:bookmarkStart w:id="5" w:name="_Toc481604675"/>
      <w:r>
        <w:rPr>
          <w:rStyle w:val="912"/>
          <w:rFonts w:hint="eastAsia" w:ascii="宋体" w:hAnsi="宋体" w:cs="宋体"/>
          <w:color w:val="auto"/>
          <w:highlight w:val="none"/>
        </w:rPr>
        <w:t xml:space="preserve">第三章 </w:t>
      </w:r>
      <w:bookmarkEnd w:id="4"/>
      <w:r/>
      <w:bookmarkEnd w:id="5"/>
      <w:r>
        <w:rPr>
          <w:rStyle w:val="912"/>
          <w:rFonts w:hint="eastAsia" w:ascii="宋体" w:hAnsi="宋体" w:cs="宋体"/>
          <w:color w:val="auto"/>
          <w:highlight w:val="none"/>
        </w:rPr>
        <w:t xml:space="preserve">合同主要条款及格式</w:t>
      </w:r>
      <w:r/>
    </w:p>
    <w:p>
      <w:pPr>
        <w:ind w:left="210" w:firstLine="883"/>
        <w:jc w:val="center"/>
        <w:spacing w:line="500" w:lineRule="exact"/>
        <w:rPr>
          <w:b/>
          <w:bCs/>
          <w:color w:val="auto"/>
          <w:sz w:val="44"/>
          <w:highlight w:val="none"/>
        </w:rPr>
      </w:pPr>
      <w:r/>
      <w:bookmarkStart w:id="6" w:name="_Toc481604676"/>
      <w:r>
        <w:rPr>
          <w:rFonts w:hint="eastAsia"/>
          <w:b/>
          <w:bCs/>
          <w:color w:val="auto"/>
          <w:sz w:val="44"/>
          <w:highlight w:val="none"/>
        </w:rPr>
        <w:t xml:space="preserve">南京市第二医院食堂一次性耗材采购合同</w:t>
      </w:r>
      <w:r/>
    </w:p>
    <w:p>
      <w:pPr>
        <w:pStyle w:val="673"/>
        <w:rPr>
          <w:color w:val="auto"/>
          <w:highlight w:val="none"/>
        </w:rPr>
      </w:pPr>
      <w:r>
        <w:rPr>
          <w:color w:val="auto"/>
          <w:highlight w:val="none"/>
        </w:rPr>
      </w:r>
      <w:r/>
    </w:p>
    <w:p>
      <w:p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甲方：南京市第二医院</w:t>
      </w:r>
      <w:r/>
    </w:p>
    <w:p>
      <w:p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乙方：</w:t>
      </w:r>
      <w:r/>
    </w:p>
    <w:p>
      <w:p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    根据《中华人民共和国合同法》、《中华人民共和国食品安全法》等法律法规之规定根据招标编号：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南京市第二医院食堂一次性耗材采购项目招标文件的招标结果以及招标投标文件的规定，双方在平等、自愿、诚实守信的基础上，就乙方向甲方食堂提供食堂使用的一次性耗材物品（餐盒等）配送及相关服务等事宜，甲乙双方经过充分协商签订本合同。</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1、服务内容及要求：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1）配送内容：食堂使用的一次性耗材物品（餐盒等）类等采购及配送；</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2）采购通知单下发时间：每日采购清单（品种、数量等）于前一天下午五点前通过微信方式派发给乙方；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3）供货时间要求：乙方接受订单后第二日交货外，根据甲方要求的时间送货，并送至甲方指定地点。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2、结算和付款方式：</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1）甲方按照中标价给乙方结算；乙方不得随意涨价，遇到原材料涨价必须经过甲方调研审批后才能调价，不得随意调价，最终结算价以甲方核准价为准。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2）合同签订开始配送后，甲方按实际配送清单数量结合上述结算方式核算当月费用，乙方次月提供正式发票后通过转账的方式结清。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3、合同期限：   年  月  日至   年 月 日。合同签订生效后接甲方任务通知单入场供货。合同期满后甲乙双方对上期工作无异议，可再行续签。（以实际情况为准）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4、供货方式、时间和地点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乙方必须严格按照甲方提供的配送清单组织配送，配送食堂使用的一次性餐盒、日耗品类等必须达到国家或行业食品卫生安全标准，每天按照甲方指定的时间送到指定的地点。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5、数量确认</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原材料验收由甲乙双方现场检验，对供应产品的质量无异议、数量准确无误后收货，双方在供货清单上签收确认后。</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6、质量要求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1）必须是质优、无污染、无变质，符合食品卫生要求的产品，产品经食品质量安全SC 认证，公司具有食品经营许可证。产品质量应当符合国家规定。每批次货物提供必要的质量证明材料。</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2）所供应的品种不符合要求，出现质量问题时，乙方负责退货或换货，问题严重时，甲方有权中止本协议，造成后果的，乙方承担全部责任；</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3）食堂使用的一次性耗材物品（餐盒等）餐盒类等外包装箱必须整洁包装完整、无任何破损、无挤压、干净、无霉斑，出现的不合格品由乙方承担。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4）食堂使用的一次性耗材物品（餐盒等）必须有生产厂家、地址、生产日期、保质期等厂家信息，并提供厂家的批次检测报告，出现的不合格品由乙方承担。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5）食堂使用的一次性耗材物品（餐盒等）类须保证餐盒无异味、霉变、受潮等现象，出现的不合格品由乙方承担。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6）食堂使用的一次性耗材物品（餐盒等）须保证配送种类、品牌、规格，质量完全符合采购方要求，生产日期至供货日期天数须在保质期二分之一内，须保质保量。</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7）乙方按照中标要求每年需对食堂使用的一次性耗材物品（餐盒等）类等进行产品检测，所有产品的检测费用由乙方承担。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7、验收标准：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1）依据中华人民共和国《产品质量法》、《标准化法》、《消费者权益保护法》和《产品标识标注规定》等国家有关法律规定。</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2）原材料乙方须保证所供食堂使用的一次性耗材物品（餐盒等）类原材料均为符合国家卫生、质量检验标准的正规产品，保证配送品种完全满足采购方要求。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3）食堂使用的一次性耗材物品（餐盒等）原材料在验收时有不符合要求的，一律退回，乙方无条件重新更换配送货物，更换后仍然不符合标准的，甲方有权对乙方处以一定金额的罚款。</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任何因原食堂使用的一次性耗材物品（餐盒等）质量问题导致的食品安全或食物中毒责任，在确认导致问题的原材料品种后，由乙方承担全部法律责任与经济损失，除对甲方进行赔付外，甲方有权单方终止合同。</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5）食堂使用的一次性耗材物品（餐盒等）所供产品必须符合国家食品卫生要求。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6）食堂使用的一次性耗材物品（餐盒等）包装：容器（框、箱、袋）要求清洁、干燥、牢固、透气，无污染、无异味、无霉变现象；</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7）运输要求：运输工具应清洁卫生无污染；运输途中严防日晒、雨淋，注意通风散热等；乙方品应小心轻卸，严防摔坏破损；</w:t>
      </w:r>
      <w:r/>
    </w:p>
    <w:p>
      <w:pPr>
        <w:pStyle w:val="673"/>
        <w:spacing w:line="460" w:lineRule="atLeast"/>
        <w:rPr>
          <w:rFonts w:ascii="宋体" w:hAnsi="宋体" w:cs="宋体"/>
          <w:color w:val="auto"/>
          <w:szCs w:val="24"/>
          <w:highlight w:val="none"/>
        </w:rPr>
      </w:pPr>
      <w:r>
        <w:rPr>
          <w:rFonts w:hint="eastAsia" w:ascii="宋体" w:hAnsi="宋体" w:cs="宋体"/>
          <w:color w:val="auto"/>
          <w:szCs w:val="24"/>
          <w:highlight w:val="none"/>
        </w:rPr>
        <w:t xml:space="preserve">9）甲方定制的食品袋须符合国家执行标准，依据T/CAB  0088-2021&lt;&lt;无机华聚烯烃降解购物袋&gt;&gt;检测标准。</w:t>
      </w:r>
      <w:r/>
    </w:p>
    <w:p>
      <w:pPr>
        <w:pStyle w:val="673"/>
        <w:spacing w:line="460" w:lineRule="atLeast"/>
        <w:rPr>
          <w:rFonts w:ascii="宋体" w:hAnsi="宋体" w:cs="宋体"/>
          <w:color w:val="auto"/>
          <w:szCs w:val="24"/>
          <w:highlight w:val="none"/>
        </w:rPr>
      </w:pPr>
      <w:r>
        <w:rPr>
          <w:rFonts w:hint="eastAsia" w:ascii="宋体" w:hAnsi="宋体" w:cs="宋体"/>
          <w:color w:val="auto"/>
          <w:szCs w:val="24"/>
          <w:highlight w:val="none"/>
        </w:rPr>
        <w:t xml:space="preserve">10)食堂使用的一次性耗材物品（餐盒等）需符合国家执行标准，依据GB 4806.7-2023&lt;&lt;食品安全国家标准 食品接触用塑料材料及制品&gt;&gt;检测标准。</w:t>
      </w:r>
      <w:r/>
    </w:p>
    <w:p>
      <w:pPr>
        <w:pStyle w:val="673"/>
        <w:spacing w:line="460" w:lineRule="atLeast"/>
        <w:rPr>
          <w:rFonts w:ascii="宋体" w:hAnsi="宋体" w:cs="宋体"/>
          <w:b/>
          <w:bCs/>
          <w:color w:val="auto"/>
          <w:szCs w:val="24"/>
          <w:highlight w:val="none"/>
        </w:rPr>
      </w:pPr>
      <w:r>
        <w:rPr>
          <w:rFonts w:hint="eastAsia" w:ascii="宋体" w:hAnsi="宋体" w:cs="宋体"/>
          <w:b/>
          <w:bCs/>
          <w:color w:val="auto"/>
          <w:szCs w:val="24"/>
          <w:highlight w:val="none"/>
        </w:rPr>
        <w:t xml:space="preserve">注：本合同中涉及相关标准，有最新版的以最新版本为准。</w:t>
      </w:r>
      <w:r/>
    </w:p>
    <w:p>
      <w:pPr>
        <w:ind w:firstLine="460"/>
        <w:spacing w:line="460" w:lineRule="atLeast"/>
        <w:rPr>
          <w:rFonts w:ascii="宋体" w:hAnsi="宋体" w:cs="宋体"/>
          <w:color w:val="auto"/>
          <w:sz w:val="24"/>
          <w:highlight w:val="none"/>
        </w:rPr>
      </w:pPr>
      <w:r/>
      <w:bookmarkStart w:id="7" w:name="_Hlk509949822"/>
      <w:r>
        <w:rPr>
          <w:rFonts w:hint="eastAsia" w:ascii="宋体" w:hAnsi="宋体" w:cs="宋体"/>
          <w:color w:val="auto"/>
          <w:sz w:val="24"/>
          <w:highlight w:val="none"/>
        </w:rPr>
        <w:t xml:space="preserve">8、违约责任</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1）乙方应在每日按照甲方指定时间送到指定地点，未能到达视为违约，付单次违约金500元。</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2）乙方未按要求数量送货，每出现一次处罚500元，并在当天17：00前补足剩余货品。</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乙方若供应食堂使用的一次性餐盒、日耗品类等存在质量问题，视情节严重程度大小，处罚500-1000元，若因质量问题造成就餐人员身体伤害或其他不良影响等按实对乙方进行处罚，若情节严重将追究其法律责任。</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4）若乙方3次未按合同要求如期如数、保质保量进行配送，甲方有权单方面解除合同，对甲方造成的损失，乙方按实进行加倍赔偿。</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5）乙方对食堂使用的一次性耗材物品（餐盒等）配送负主要责任，乙方承担供货期间的市场风险。</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6）关于本次供应材料的招标文件和中标文件均为本合同附件。</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7）在甲方接收货品前，乙方对其承包的所有食堂使用的一次性耗材物品（餐盒等）等负责保护，保护的费用包含在投标报价中由乙方承担。如因乙方原因发生损坏、被盗等，承包人自行考虑补救措施或赔偿受损方损失。</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8）所供货物均须符合国家有关质量标准，必须由正规厂家生产，不得供应假冒伪劣及“三无”（无商标、无生产日期、无厂家）商品，一旦发生上述类似情况，甲方有权单方面解除合同而不需向乙方支付任何费用。</w:t>
      </w:r>
      <w:bookmarkEnd w:id="7"/>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9、争议解决</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本合同在履行过程中发生的争议，由双方当事人协商解决，也可由有关部门调解；协商或调解不成的，向甲方所在地人民法院提起诉讼。</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10、其它约定事项</w:t>
      </w:r>
      <w:r/>
    </w:p>
    <w:p>
      <w:pPr>
        <w:ind w:firstLine="460"/>
        <w:spacing w:line="460" w:lineRule="atLeast"/>
        <w:rPr>
          <w:rFonts w:ascii="宋体" w:hAnsi="宋体" w:cs="宋体"/>
          <w:color w:val="auto"/>
          <w:sz w:val="24"/>
          <w:highlight w:val="none"/>
        </w:rPr>
      </w:pPr>
      <w:r/>
      <w:bookmarkStart w:id="8" w:name="_Hlk509949855"/>
      <w:r>
        <w:rPr>
          <w:rFonts w:hint="eastAsia" w:ascii="宋体" w:hAnsi="宋体" w:cs="宋体"/>
          <w:color w:val="auto"/>
          <w:sz w:val="24"/>
          <w:highlight w:val="none"/>
        </w:rPr>
        <w:t xml:space="preserve">1）本次配送乙方需接受一个月的试用，试用期到由甲方进行考核，考核不合格，甲方有权终止或解除合同。</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2）中标后配合甲方完成政府部署的各种任务。</w:t>
      </w:r>
      <w:bookmarkEnd w:id="8"/>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3）乙方运输、配送过程中所有风险均由乙方承担，与甲方无关。</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4）合同期满后，双方对服务情况无异议，可续签合同。</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5）本合同一式肆份，甲方执叁份，乙方执壹份，本合同经双方签字盖章后生效。</w:t>
      </w:r>
      <w:r/>
    </w:p>
    <w:p>
      <w:pPr>
        <w:ind w:firstLine="460"/>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甲方：南京市第二医院               乙方：     </w:t>
      </w:r>
      <w:r/>
    </w:p>
    <w:p>
      <w:pPr>
        <w:ind w:firstLine="540"/>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单位盖章：                         单位盖章：         </w:t>
      </w:r>
      <w:r/>
    </w:p>
    <w:p>
      <w:pPr>
        <w:ind w:firstLine="540"/>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法人或委托代理人签字：            法人或委托代理人签字：</w:t>
      </w:r>
      <w:r/>
    </w:p>
    <w:p>
      <w:pPr>
        <w:ind w:firstLine="480"/>
        <w:spacing w:line="460" w:lineRule="atLeast"/>
        <w:rPr>
          <w:rFonts w:ascii="宋体" w:hAnsi="宋体" w:cs="宋体"/>
          <w:color w:val="auto"/>
          <w:sz w:val="24"/>
          <w:highlight w:val="none"/>
        </w:rPr>
      </w:pPr>
      <w:r>
        <w:rPr>
          <w:rFonts w:ascii="宋体" w:hAnsi="宋体" w:cs="宋体"/>
          <w:color w:val="auto"/>
          <w:sz w:val="24"/>
          <w:highlight w:val="none"/>
        </w:rPr>
      </w:r>
      <w:r/>
    </w:p>
    <w:p>
      <w:pPr>
        <w:pStyle w:val="673"/>
        <w:ind w:left="0" w:firstLine="480"/>
        <w:spacing w:line="460" w:lineRule="atLeast"/>
        <w:rPr>
          <w:rFonts w:ascii="宋体" w:hAnsi="宋体" w:cs="宋体"/>
          <w:color w:val="auto"/>
          <w:szCs w:val="24"/>
          <w:highlight w:val="none"/>
        </w:rPr>
      </w:pPr>
      <w:r>
        <w:rPr>
          <w:rFonts w:ascii="宋体" w:hAnsi="宋体" w:cs="宋体"/>
          <w:color w:val="auto"/>
          <w:szCs w:val="24"/>
          <w:highlight w:val="none"/>
        </w:rPr>
      </w:r>
      <w:r/>
    </w:p>
    <w:p>
      <w:pPr>
        <w:pStyle w:val="673"/>
        <w:ind w:left="0" w:firstLine="480"/>
        <w:spacing w:line="460" w:lineRule="atLeast"/>
        <w:rPr>
          <w:rFonts w:ascii="宋体" w:hAnsi="宋体" w:cs="宋体"/>
          <w:color w:val="auto"/>
          <w:szCs w:val="24"/>
          <w:highlight w:val="none"/>
        </w:rPr>
      </w:pPr>
      <w:r>
        <w:rPr>
          <w:rFonts w:hint="eastAsia" w:ascii="宋体" w:hAnsi="宋体" w:cs="宋体"/>
          <w:color w:val="auto"/>
          <w:szCs w:val="24"/>
          <w:highlight w:val="none"/>
        </w:rPr>
        <w:t xml:space="preserve">经办人：                           经办人：</w:t>
      </w:r>
      <w:r/>
    </w:p>
    <w:p>
      <w:pPr>
        <w:spacing w:line="460" w:lineRule="atLeast"/>
        <w:rPr>
          <w:rFonts w:ascii="宋体" w:hAnsi="宋体" w:cs="宋体"/>
          <w:color w:val="auto"/>
          <w:sz w:val="24"/>
          <w:highlight w:val="none"/>
        </w:rPr>
      </w:pPr>
      <w:r>
        <w:rPr>
          <w:rFonts w:ascii="宋体" w:hAnsi="宋体" w:cs="宋体"/>
          <w:color w:val="auto"/>
          <w:sz w:val="24"/>
          <w:highlight w:val="none"/>
        </w:rPr>
      </w:r>
      <w:r/>
    </w:p>
    <w:p>
      <w:pPr>
        <w:ind w:firstLine="480"/>
        <w:spacing w:line="460" w:lineRule="atLeast"/>
        <w:rPr>
          <w:rFonts w:ascii="宋体" w:hAnsi="宋体" w:cs="宋体"/>
          <w:color w:val="auto"/>
          <w:sz w:val="24"/>
          <w:highlight w:val="none"/>
        </w:rPr>
      </w:pPr>
      <w:r>
        <w:rPr>
          <w:rFonts w:ascii="宋体" w:hAnsi="宋体" w:cs="宋体"/>
          <w:color w:val="auto"/>
          <w:sz w:val="24"/>
          <w:highlight w:val="none"/>
        </w:rPr>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年   月   日                       年   月   日     </w:t>
      </w:r>
      <w:r/>
    </w:p>
    <w:p>
      <w:pPr>
        <w:spacing w:line="460" w:lineRule="atLeast"/>
        <w:rPr>
          <w:rFonts w:ascii="宋体" w:hAnsi="宋体" w:cs="宋体"/>
          <w:color w:val="auto"/>
          <w:sz w:val="24"/>
          <w:highlight w:val="none"/>
        </w:rPr>
      </w:pPr>
      <w:r>
        <w:rPr>
          <w:rFonts w:ascii="宋体" w:hAnsi="宋体" w:cs="宋体"/>
          <w:color w:val="auto"/>
          <w:sz w:val="24"/>
          <w:highlight w:val="none"/>
        </w:rPr>
      </w:r>
      <w:r/>
    </w:p>
    <w:p>
      <w:pPr>
        <w:ind w:firstLine="540"/>
        <w:jc w:val="left"/>
        <w:spacing w:line="360" w:lineRule="auto"/>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661"/>
        <w:numPr>
          <w:ilvl w:val="0"/>
          <w:numId w:val="1"/>
        </w:numPr>
        <w:jc w:val="center"/>
        <w:spacing w:line="460" w:lineRule="exact"/>
        <w:rPr>
          <w:rFonts w:ascii="宋体" w:hAnsi="宋体" w:cs="宋体"/>
          <w:color w:val="auto"/>
          <w:highlight w:val="none"/>
        </w:rPr>
      </w:pPr>
      <w:r/>
      <w:bookmarkStart w:id="9" w:name="_Toc510447929"/>
      <w:r>
        <w:rPr>
          <w:rFonts w:hint="eastAsia" w:ascii="宋体" w:hAnsi="宋体" w:cs="宋体"/>
          <w:color w:val="auto"/>
          <w:highlight w:val="none"/>
        </w:rPr>
        <w:t xml:space="preserve">采购需求</w:t>
      </w:r>
      <w:bookmarkEnd w:id="6"/>
      <w:r/>
      <w:bookmarkEnd w:id="9"/>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一、项目属性：货物类项目。</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二、项目概况</w:t>
      </w:r>
      <w:r/>
    </w:p>
    <w:p>
      <w:pPr>
        <w:ind w:firstLine="480"/>
        <w:spacing w:line="460" w:lineRule="atLeast"/>
        <w:rPr>
          <w:rFonts w:ascii="宋体" w:hAnsi="宋体" w:cs="宋体"/>
          <w:bCs/>
          <w:color w:val="auto"/>
          <w:sz w:val="24"/>
          <w:highlight w:val="none"/>
        </w:rPr>
      </w:pPr>
      <w:r>
        <w:rPr>
          <w:rFonts w:hint="eastAsia" w:ascii="宋体" w:hAnsi="宋体" w:cs="宋体"/>
          <w:bCs/>
          <w:color w:val="auto"/>
          <w:sz w:val="24"/>
          <w:highlight w:val="none"/>
        </w:rPr>
        <w:t xml:space="preserve">（一）项目背景</w:t>
      </w:r>
      <w:r/>
    </w:p>
    <w:p>
      <w:pPr>
        <w:ind w:firstLine="480"/>
        <w:spacing w:line="460" w:lineRule="atLeast"/>
        <w:rPr>
          <w:rFonts w:ascii="宋体" w:hAnsi="宋体" w:cs="宋体"/>
          <w:color w:val="auto"/>
          <w:sz w:val="24"/>
          <w:highlight w:val="none"/>
        </w:rPr>
      </w:pPr>
      <w:r>
        <w:rPr>
          <w:rFonts w:hint="eastAsia" w:cs="宋体"/>
          <w:color w:val="auto"/>
          <w:sz w:val="24"/>
          <w:highlight w:val="none"/>
        </w:rPr>
        <w:t xml:space="preserve">南京市第二医院食堂一次性耗材采购项目需中标人为其（钟阜院区及汤山院区）</w:t>
      </w:r>
      <w:r>
        <w:rPr>
          <w:rFonts w:hint="eastAsia" w:ascii="宋体" w:hAnsi="宋体" w:cs="宋体"/>
          <w:color w:val="auto"/>
          <w:sz w:val="24"/>
          <w:highlight w:val="none"/>
        </w:rPr>
        <w:t xml:space="preserve">食堂使用的一次性耗材物品（餐盒等）提供供货及及配送服务。</w:t>
      </w:r>
      <w:r/>
    </w:p>
    <w:p>
      <w:pPr>
        <w:ind w:firstLine="480"/>
        <w:spacing w:line="460" w:lineRule="atLeast"/>
        <w:rPr>
          <w:rFonts w:ascii="宋体" w:hAnsi="宋体" w:cs="宋体"/>
          <w:bCs/>
          <w:color w:val="auto"/>
          <w:sz w:val="24"/>
          <w:highlight w:val="none"/>
        </w:rPr>
      </w:pPr>
      <w:r>
        <w:rPr>
          <w:rFonts w:hint="eastAsia" w:ascii="宋体" w:hAnsi="宋体" w:cs="宋体"/>
          <w:bCs/>
          <w:color w:val="auto"/>
          <w:sz w:val="24"/>
          <w:highlight w:val="none"/>
        </w:rPr>
        <w:t xml:space="preserve">（二）项目遵循标准</w:t>
      </w:r>
      <w:r/>
    </w:p>
    <w:p>
      <w:pPr>
        <w:ind w:firstLine="480"/>
        <w:spacing w:line="460" w:lineRule="atLeast"/>
        <w:rPr>
          <w:rFonts w:cs="宋体"/>
          <w:color w:val="auto"/>
          <w:sz w:val="24"/>
          <w:highlight w:val="none"/>
        </w:rPr>
      </w:pPr>
      <w:r>
        <w:rPr>
          <w:rFonts w:hint="eastAsia" w:cs="宋体"/>
          <w:color w:val="auto"/>
          <w:sz w:val="24"/>
          <w:highlight w:val="none"/>
        </w:rPr>
        <w:t xml:space="preserve">遵循国家、行业及地方现行的最新规范和标准。</w:t>
      </w:r>
      <w:r/>
    </w:p>
    <w:p>
      <w:pPr>
        <w:numPr>
          <w:ilvl w:val="0"/>
          <w:numId w:val="2"/>
        </w:numPr>
        <w:ind w:firstLine="480"/>
        <w:spacing w:line="460" w:lineRule="atLeast"/>
        <w:rPr>
          <w:rFonts w:hint="eastAsia" w:ascii="Times New Roman" w:hAnsi="Times New Roman" w:eastAsia="宋体" w:cs="宋体"/>
          <w:color w:val="auto"/>
          <w:sz w:val="24"/>
          <w:szCs w:val="24"/>
          <w:highlight w:val="none"/>
          <w:lang w:val="en-US" w:eastAsia="zh-CN" w:bidi="ar-SA"/>
        </w:rPr>
      </w:pPr>
      <w:r>
        <w:rPr>
          <w:rFonts w:hint="eastAsia" w:ascii="宋体" w:hAnsi="宋体" w:cs="宋体"/>
          <w:bCs/>
          <w:color w:val="auto"/>
          <w:sz w:val="24"/>
          <w:highlight w:val="none"/>
        </w:rPr>
        <w:t xml:space="preserve">所属行业：批发业</w:t>
      </w:r>
      <w:r/>
    </w:p>
    <w:p>
      <w:pPr>
        <w:numPr>
          <w:ilvl w:val="0"/>
          <w:numId w:val="2"/>
        </w:numPr>
        <w:ind w:firstLine="480"/>
        <w:spacing w:line="460" w:lineRule="atLeast"/>
        <w:rPr>
          <w:rFonts w:hint="eastAsia" w:ascii="Times New Roman" w:hAnsi="Times New Roman" w:eastAsia="宋体" w:cs="宋体"/>
          <w:b/>
          <w:bCs/>
          <w:color w:val="auto"/>
          <w:sz w:val="24"/>
          <w:szCs w:val="24"/>
          <w:highlight w:val="none"/>
          <w:lang w:val="en-US" w:eastAsia="zh-CN" w:bidi="ar-SA"/>
        </w:rPr>
      </w:pPr>
      <w:r>
        <w:rPr>
          <w:rFonts w:hint="eastAsia" w:ascii="宋体" w:hAnsi="宋体" w:eastAsia="宋体" w:cs="宋体"/>
          <w:bCs/>
          <w:color w:val="auto"/>
          <w:sz w:val="24"/>
          <w:highlight w:val="none"/>
          <w:lang w:val="en-US" w:eastAsia="zh-CN"/>
        </w:rPr>
        <w:t xml:space="preserve">行业划型标准：</w:t>
      </w:r>
      <w:r>
        <w:rPr>
          <w:rFonts w:hint="eastAsia" w:ascii="Times New Roman" w:hAnsi="Times New Roman" w:eastAsia="宋体" w:cs="宋体"/>
          <w:color w:val="auto"/>
          <w:sz w:val="24"/>
          <w:szCs w:val="24"/>
          <w:highlight w:val="none"/>
          <w:lang w:val="en-US" w:eastAsia="zh-CN" w:bidi="ar-S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宋体" w:cs="宋体"/>
          <w:b/>
          <w:bCs/>
          <w:color w:val="auto"/>
          <w:sz w:val="24"/>
          <w:szCs w:val="24"/>
          <w:highlight w:val="none"/>
          <w:lang w:val="en-US" w:eastAsia="zh-CN" w:bidi="ar-SA"/>
        </w:rPr>
        <w:t xml:space="preserve">《中小企业划型标准规定》（工信部联企业〔2011〕300号）</w:t>
      </w:r>
      <w:r/>
    </w:p>
    <w:p>
      <w:pPr>
        <w:ind w:firstLine="480"/>
        <w:spacing w:line="460" w:lineRule="atLeast"/>
        <w:rPr>
          <w:rFonts w:ascii="宋体" w:hAnsi="宋体" w:cs="宋体"/>
          <w:color w:val="auto"/>
          <w:sz w:val="24"/>
          <w:highlight w:val="none"/>
        </w:rPr>
        <w:outlineLvl w:val="1"/>
      </w:pPr>
      <w:r>
        <w:rPr>
          <w:rFonts w:hint="eastAsia" w:ascii="宋体" w:hAnsi="宋体" w:cs="宋体"/>
          <w:color w:val="auto"/>
          <w:sz w:val="24"/>
          <w:highlight w:val="none"/>
        </w:rPr>
        <w:t xml:space="preserve">三、货物采购清单</w:t>
      </w:r>
      <w:r/>
    </w:p>
    <w:tbl>
      <w:tblPr>
        <w:tblStyle w:val="671"/>
        <w:tblW w:w="10624" w:type="dxa"/>
        <w:jc w:val="center"/>
        <w:tblLayout w:type="fixed"/>
        <w:tblCellMar>
          <w:left w:w="108" w:type="dxa"/>
          <w:top w:w="0" w:type="dxa"/>
          <w:right w:w="108" w:type="dxa"/>
          <w:bottom w:w="0" w:type="dxa"/>
        </w:tblCellMar>
        <w:tblLook w:val="04A0" w:firstRow="1" w:lastRow="0" w:firstColumn="1" w:lastColumn="0" w:noHBand="0" w:noVBand="1"/>
      </w:tblPr>
      <w:tblGrid>
        <w:gridCol w:w="765"/>
        <w:gridCol w:w="1305"/>
        <w:gridCol w:w="1304"/>
        <w:gridCol w:w="937"/>
        <w:gridCol w:w="2406"/>
        <w:gridCol w:w="731"/>
        <w:gridCol w:w="1354"/>
        <w:gridCol w:w="1023"/>
        <w:gridCol w:w="799"/>
      </w:tblGrid>
      <w:tr>
        <w:trPr>
          <w:jc w:val="center"/>
          <w:trHeight w:val="21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材质及技术要求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年参考用量（此数量仅供参考，具体以实际情况为准）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计划采购单价   （元）</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一次性塑料圆盒300圆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22860</wp:posOffset>
                      </wp:positionV>
                      <wp:extent cx="1267460" cy="972820"/>
                      <wp:effectExtent l="0" t="0" r="8890" b="17780"/>
                      <wp:wrapNone/>
                      <wp:docPr id="2" name="ID_F18F2F58485C48458946E76C9DE5035D"/>
                      <wp:cNvGraphicFramePr/>
                      <a:graphic xmlns:a="http://schemas.openxmlformats.org/drawingml/2006/main">
                        <a:graphicData uri="http://schemas.openxmlformats.org/drawingml/2006/picture">
                          <pic:pic xmlns:pic="http://schemas.openxmlformats.org/drawingml/2006/picture">
                            <pic:nvPicPr>
                              <pic:cNvPr id="2" name="ID_F18F2F58485C48458946E76C9DE5035D"/>
                              <pic:cNvPicPr/>
                              <pic:nvPr/>
                            </pic:nvPicPr>
                            <pic:blipFill>
                              <a:blip r:embed="rId13"/>
                              <a:stretch/>
                            </pic:blipFill>
                            <pic:spPr bwMode="auto">
                              <a:xfrm>
                                <a:off x="0" y="0"/>
                                <a:ext cx="126746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9pt;mso-position-horizontal:absolute;mso-position-vertical-relative:text;margin-top:1.8pt;mso-position-vertical:absolute;width:99.8pt;height:76.6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189000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0.221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一次性塑料圆盒450圆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450ml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107315</wp:posOffset>
                      </wp:positionH>
                      <wp:positionV relativeFrom="paragraph">
                        <wp:posOffset>69215</wp:posOffset>
                      </wp:positionV>
                      <wp:extent cx="1304925" cy="879475"/>
                      <wp:effectExtent l="0" t="0" r="9525" b="15875"/>
                      <wp:wrapNone/>
                      <wp:docPr id="3" name="ID_9C737A300453411BA78F0FD7990AC3CA"/>
                      <wp:cNvGraphicFramePr/>
                      <a:graphic xmlns:a="http://schemas.openxmlformats.org/drawingml/2006/main">
                        <a:graphicData uri="http://schemas.openxmlformats.org/drawingml/2006/picture">
                          <pic:pic xmlns:pic="http://schemas.openxmlformats.org/drawingml/2006/picture">
                            <pic:nvPicPr>
                              <pic:cNvPr id="3" name="ID_9C737A300453411BA78F0FD7990AC3CA"/>
                              <pic:cNvPicPr/>
                              <pic:nvPr/>
                            </pic:nvPicPr>
                            <pic:blipFill>
                              <a:blip r:embed="rId14"/>
                              <a:stretch/>
                            </pic:blipFill>
                            <pic:spPr bwMode="auto">
                              <a:xfrm>
                                <a:off x="0" y="0"/>
                                <a:ext cx="1304925" cy="87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5.5pt;mso-position-vertical:absolute;width:102.8pt;height:69.2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0.233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定制一次性纸碗（500ml）</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纸浆+食品级PE</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1009650"/>
                      <wp:effectExtent l="0" t="0" r="9525" b="0"/>
                      <wp:docPr id="4"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3" descr="IMG_256"/>
                              <pic:cNvPicPr>
                                <a:picLocks noChangeAspect="1"/>
                              </pic:cNvPicPr>
                              <pic:nvPr/>
                            </pic:nvPicPr>
                            <pic:blipFill>
                              <a:blip r:embed="rId15"/>
                              <a:stretch/>
                            </pic:blipFill>
                            <pic:spPr bwMode="auto">
                              <a:xfrm>
                                <a:off x="0" y="0"/>
                                <a:ext cx="126682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9.8pt;height:79.5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0.319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2"/>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一次性塑料鸡蛋碗</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038225" cy="847725"/>
                      <wp:effectExtent l="0" t="0" r="9525" b="9525"/>
                      <wp:docPr id="5"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4" descr="IMG_257"/>
                              <pic:cNvPicPr>
                                <a:picLocks noChangeAspect="1"/>
                              </pic:cNvPicPr>
                              <pic:nvPr/>
                            </pic:nvPicPr>
                            <pic:blipFill>
                              <a:blip r:embed="rId16"/>
                              <a:stretch/>
                            </pic:blipFill>
                            <pic:spPr bwMode="auto">
                              <a:xfrm>
                                <a:off x="0" y="0"/>
                                <a:ext cx="10382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66.8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0.319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一次性塑料餐盒500方</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38250" cy="1009650"/>
                      <wp:effectExtent l="0" t="0" r="0" b="0"/>
                      <wp:docPr id="6" name="图片 3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5" descr="IMG_258"/>
                              <pic:cNvPicPr>
                                <a:picLocks noChangeAspect="1"/>
                              </pic:cNvPicPr>
                              <pic:nvPr/>
                            </pic:nvPicPr>
                            <pic:blipFill>
                              <a:blip r:embed="rId17"/>
                              <a:stretch/>
                            </pic:blipFill>
                            <pic:spPr bwMode="auto">
                              <a:xfrm>
                                <a:off x="0" y="0"/>
                                <a:ext cx="1238250"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5pt;height:79.5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0.300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一次性塑料圆盒750圆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750ml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876300"/>
                      <wp:effectExtent l="0" t="0" r="9525" b="0"/>
                      <wp:docPr id="7" name="图片 3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6" descr="IMG_259"/>
                              <pic:cNvPicPr>
                                <a:picLocks noChangeAspect="1"/>
                              </pic:cNvPicPr>
                              <pic:nvPr/>
                            </pic:nvPicPr>
                            <pic:blipFill>
                              <a:blip r:embed="rId18"/>
                              <a:stretch/>
                            </pic:blipFill>
                            <pic:spPr bwMode="auto">
                              <a:xfrm>
                                <a:off x="0" y="0"/>
                                <a:ext cx="126682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9.8pt;height:69.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129000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0.313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一次性塑料餐盒750方（美式）</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750ml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47775" cy="838200"/>
                      <wp:effectExtent l="0" t="0" r="9525" b="0"/>
                      <wp:docPr id="8" name="图片 3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7" descr="IMG_260"/>
                              <pic:cNvPicPr>
                                <a:picLocks noChangeAspect="1"/>
                              </pic:cNvPicPr>
                              <pic:nvPr/>
                            </pic:nvPicPr>
                            <pic:blipFill>
                              <a:blip r:embed="rId19"/>
                              <a:stretch/>
                            </pic:blipFill>
                            <pic:spPr bwMode="auto">
                              <a:xfrm>
                                <a:off x="0" y="0"/>
                                <a:ext cx="124777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8.2pt;height:66.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0.650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一次性塑料圆盒1250圆（没有托盘）</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923925"/>
                      <wp:effectExtent l="0" t="0" r="9525" b="9525"/>
                      <wp:docPr id="9" name="图片 3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8" descr="IMG_261"/>
                              <pic:cNvPicPr>
                                <a:picLocks noChangeAspect="1"/>
                              </pic:cNvPicPr>
                              <pic:nvPr/>
                            </pic:nvPicPr>
                            <pic:blipFill>
                              <a:blip r:embed="rId20"/>
                              <a:stretch/>
                            </pic:blipFill>
                            <pic:spPr bwMode="auto">
                              <a:xfrm>
                                <a:off x="0" y="0"/>
                                <a:ext cx="12668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8pt;height:72.8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0.513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一次性塑料圆盒1500圆（带浅托盘）</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57300" cy="990600"/>
                      <wp:effectExtent l="0" t="0" r="0" b="0"/>
                      <wp:docPr id="10" name="图片 3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9" descr="IMG_262"/>
                              <pic:cNvPicPr>
                                <a:picLocks noChangeAspect="1"/>
                              </pic:cNvPicPr>
                              <pic:nvPr/>
                            </pic:nvPicPr>
                            <pic:blipFill>
                              <a:blip r:embed="rId21"/>
                              <a:stretch/>
                            </pic:blipFill>
                            <pic:spPr bwMode="auto">
                              <a:xfrm>
                                <a:off x="0" y="0"/>
                                <a:ext cx="12573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0pt;height:78.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0.831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一次性塑料餐盒2500圆(盆菜)</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2500ml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47775" cy="942975"/>
                      <wp:effectExtent l="0" t="0" r="9525" b="9525"/>
                      <wp:docPr id="11" name="图片 40"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0" descr="IMG_263"/>
                              <pic:cNvPicPr>
                                <a:picLocks noChangeAspect="1"/>
                              </pic:cNvPicPr>
                              <pic:nvPr/>
                            </pic:nvPicPr>
                            <pic:blipFill>
                              <a:blip r:embed="rId22"/>
                              <a:stretch/>
                            </pic:blipFill>
                            <pic:spPr bwMode="auto">
                              <a:xfrm>
                                <a:off x="0" y="0"/>
                                <a:ext cx="1247775"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8.2pt;height:74.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1.221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一次性饺子盒（15格）</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15格</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57300" cy="952500"/>
                      <wp:effectExtent l="0" t="0" r="0" b="0"/>
                      <wp:docPr id="12" name="图片 41"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1" descr="IMG_264"/>
                              <pic:cNvPicPr>
                                <a:picLocks noChangeAspect="1"/>
                              </pic:cNvPicPr>
                              <pic:nvPr/>
                            </pic:nvPicPr>
                            <pic:blipFill>
                              <a:blip r:embed="rId23"/>
                              <a:stretch/>
                            </pic:blipFill>
                            <pic:spPr bwMode="auto">
                              <a:xfrm>
                                <a:off x="0" y="0"/>
                                <a:ext cx="1257300"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0pt;height:75.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0.469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定制特大四格餐盒</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1100ml</w:t>
            </w:r>
            <w:r>
              <w:rPr>
                <w:rFonts w:hint="eastAsia" w:ascii="宋体" w:hAnsi="宋体" w:cs="宋体"/>
                <w:b/>
                <w:bCs/>
                <w:color w:val="auto"/>
                <w:sz w:val="24"/>
                <w:highlight w:val="none"/>
              </w:rPr>
              <w:br/>
            </w:r>
            <w:r>
              <w:rPr>
                <w:rFonts w:hint="eastAsia" w:ascii="宋体" w:hAnsi="宋体" w:cs="宋体"/>
                <w:b/>
                <w:bCs/>
                <w:color w:val="auto"/>
                <w:sz w:val="24"/>
                <w:highlight w:val="none"/>
              </w:rPr>
              <w:t xml:space="preserve">25cm*18cm*4cm</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76350" cy="971550"/>
                      <wp:effectExtent l="0" t="0" r="0" b="0"/>
                      <wp:docPr id="13" name="图片 42"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2" descr="IMG_265"/>
                              <pic:cNvPicPr>
                                <a:picLocks noChangeAspect="1"/>
                              </pic:cNvPicPr>
                              <pic:nvPr/>
                            </pic:nvPicPr>
                            <pic:blipFill>
                              <a:blip r:embed="rId24"/>
                              <a:stretch/>
                            </pic:blipFill>
                            <pic:spPr bwMode="auto">
                              <a:xfrm>
                                <a:off x="0" y="0"/>
                                <a:ext cx="12763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0.5pt;height:76.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378000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1.385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核心产品</w:t>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六格餐盒（锁扣）</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27.2cm*22.5cm*4.5cm</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76350" cy="942975"/>
                      <wp:effectExtent l="0" t="0" r="0" b="9525"/>
                      <wp:docPr id="14" name="图片 43"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3" descr="IMG_266"/>
                              <pic:cNvPicPr>
                                <a:picLocks noChangeAspect="1"/>
                              </pic:cNvPicPr>
                              <pic:nvPr/>
                            </pic:nvPicPr>
                            <pic:blipFill>
                              <a:blip r:embed="rId25"/>
                              <a:stretch/>
                            </pic:blipFill>
                            <pic:spPr bwMode="auto">
                              <a:xfrm>
                                <a:off x="0" y="0"/>
                                <a:ext cx="1276350"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0.5pt;height:74.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1.750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一次性玉米可降解餐盒（三格）</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24.5cm*18.5cm*3.5cm</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玉米降解</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38250" cy="809625"/>
                      <wp:effectExtent l="0" t="0" r="0" b="9525"/>
                      <wp:docPr id="15" name="图片 44"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4" descr="IMG_267"/>
                              <pic:cNvPicPr>
                                <a:picLocks noChangeAspect="1"/>
                              </pic:cNvPicPr>
                              <pic:nvPr/>
                            </pic:nvPicPr>
                            <pic:blipFill>
                              <a:blip r:embed="rId26"/>
                              <a:stretch/>
                            </pic:blipFill>
                            <pic:spPr bwMode="auto">
                              <a:xfrm>
                                <a:off x="0" y="0"/>
                                <a:ext cx="1238250"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7.5pt;height:63.8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1.375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挂抽纸</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4层 150mm*180mm    320抽/提（大于等于）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原生木浆</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866775"/>
                      <wp:effectExtent l="0" t="0" r="9525" b="9525"/>
                      <wp:docPr id="16" name="图片 45"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5" descr="IMG_268"/>
                              <pic:cNvPicPr>
                                <a:picLocks noChangeAspect="1"/>
                              </pic:cNvPicPr>
                              <pic:nvPr/>
                            </pic:nvPicPr>
                            <pic:blipFill>
                              <a:blip r:embed="rId27"/>
                              <a:stretch/>
                            </pic:blipFill>
                            <pic:spPr bwMode="auto">
                              <a:xfrm>
                                <a:off x="0" y="0"/>
                                <a:ext cx="12668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9.8pt;height:68.2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4680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8.438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一次性光降解塑料袋（定制）1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中号 33cm*46cm*14cm       50个/斤</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聚烯烃光降解</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vMerge w:val="restart"/>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28725" cy="1971675"/>
                      <wp:effectExtent l="0" t="0" r="9525" b="9525"/>
                      <wp:docPr id="17" name="图片 46"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6" descr="IMG_269"/>
                              <pic:cNvPicPr>
                                <a:picLocks noChangeAspect="1"/>
                              </pic:cNvPicPr>
                              <pic:nvPr/>
                            </pic:nvPicPr>
                            <pic:blipFill>
                              <a:blip r:embed="rId28"/>
                              <a:stretch/>
                            </pic:blipFill>
                            <pic:spPr bwMode="auto">
                              <a:xfrm>
                                <a:off x="0" y="0"/>
                                <a:ext cx="1228725" cy="1971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6.8pt;height:155.2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0.200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一次性光降解塑料袋（定制）2</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小号 21cm*35cm*10.5cm  100个/斤</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0.100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2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定制一次性筷子（独立包装）</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竹制、烘烤工艺</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381125" cy="219075"/>
                      <wp:effectExtent l="0" t="0" r="9525" b="9525"/>
                      <wp:docPr id="18" name="图片 47"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7" descr="IMG_270"/>
                              <pic:cNvPicPr>
                                <a:picLocks noChangeAspect="1"/>
                              </pic:cNvPicPr>
                              <pic:nvPr/>
                            </pic:nvPicPr>
                            <pic:blipFill>
                              <a:blip r:embed="rId29"/>
                              <a:stretch/>
                            </pic:blipFill>
                            <pic:spPr bwMode="auto">
                              <a:xfrm>
                                <a:off x="0" y="0"/>
                                <a:ext cx="1381125" cy="2190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8.8pt;height:17.2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1600000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0.104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主要产品</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一次性独立包装勺子</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57300" cy="838200"/>
                      <wp:effectExtent l="0" t="0" r="0" b="0"/>
                      <wp:docPr id="19" name="图片 48"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8" descr="IMG_271"/>
                              <pic:cNvPicPr>
                                <a:picLocks noChangeAspect="1"/>
                              </pic:cNvPicPr>
                              <pic:nvPr/>
                            </pic:nvPicPr>
                            <pic:blipFill>
                              <a:blip r:embed="rId30"/>
                              <a:stretch/>
                            </pic:blipFill>
                            <pic:spPr bwMode="auto">
                              <a:xfrm>
                                <a:off x="0" y="0"/>
                                <a:ext cx="12573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9.0pt;height:66.0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0.125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咖啡瓦楞杯</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原浆瓦楞纸+PE膜</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28725" cy="885825"/>
                      <wp:effectExtent l="0" t="0" r="9525" b="9525"/>
                      <wp:docPr id="20" name="图片 4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9" descr="IMG_272"/>
                              <pic:cNvPicPr>
                                <a:picLocks noChangeAspect="1"/>
                              </pic:cNvPicPr>
                              <pic:nvPr/>
                            </pic:nvPicPr>
                            <pic:blipFill>
                              <a:blip r:embed="rId31"/>
                              <a:stretch/>
                            </pic:blipFill>
                            <pic:spPr bwMode="auto">
                              <a:xfrm>
                                <a:off x="0" y="0"/>
                                <a:ext cx="122872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6.8pt;height:69.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0.609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7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一次性透明咖啡杯</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食品级高透PET</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190625" cy="866775"/>
                      <wp:effectExtent l="0" t="0" r="9525" b="9525"/>
                      <wp:docPr id="21" name="图片 50"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0" descr="IMG_273"/>
                              <pic:cNvPicPr>
                                <a:picLocks noChangeAspect="1"/>
                              </pic:cNvPicPr>
                              <pic:nvPr/>
                            </pic:nvPicPr>
                            <pic:blipFill>
                              <a:blip r:embed="rId32"/>
                              <a:stretch/>
                            </pic:blipFill>
                            <pic:spPr bwMode="auto">
                              <a:xfrm>
                                <a:off x="0" y="0"/>
                                <a:ext cx="1190625" cy="866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3.8pt;height:68.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0.388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一次性吸管（白色）</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38250" cy="762000"/>
                      <wp:effectExtent l="0" t="0" r="0" b="0"/>
                      <wp:docPr id="22" name="图片 51"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1" descr="IMG_274"/>
                              <pic:cNvPicPr>
                                <a:picLocks noChangeAspect="1"/>
                              </pic:cNvPicPr>
                              <pic:nvPr/>
                            </pic:nvPicPr>
                            <pic:blipFill>
                              <a:blip r:embed="rId33"/>
                              <a:stretch/>
                            </pic:blipFill>
                            <pic:spPr bwMode="auto">
                              <a:xfrm>
                                <a:off x="0" y="0"/>
                                <a:ext cx="123825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7.5pt;height:60.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0.020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咖啡杯托（2杯装可拆分）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11cm*21.5cm</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纸浆</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57300" cy="609600"/>
                      <wp:effectExtent l="0" t="0" r="0" b="0"/>
                      <wp:docPr id="23" name="图片 52"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2" descr="IMG_275"/>
                              <pic:cNvPicPr>
                                <a:picLocks noChangeAspect="1"/>
                              </pic:cNvPicPr>
                              <pic:nvPr/>
                            </pic:nvPicPr>
                            <pic:blipFill>
                              <a:blip r:embed="rId34"/>
                              <a:stretch/>
                            </pic:blipFill>
                            <pic:spPr bwMode="auto">
                              <a:xfrm>
                                <a:off x="0" y="0"/>
                                <a:ext cx="1257300" cy="609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9.0pt;height:48.0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0.250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咖啡杯托（4杯装可拆分）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19.5cm*19.5cm</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纸浆</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723900"/>
                      <wp:effectExtent l="0" t="0" r="9525" b="0"/>
                      <wp:docPr id="24" name="图片 53"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3" descr="IMG_276"/>
                              <pic:cNvPicPr>
                                <a:picLocks noChangeAspect="1"/>
                              </pic:cNvPicPr>
                              <pic:nvPr/>
                            </pic:nvPicPr>
                            <pic:blipFill>
                              <a:blip r:embed="rId35"/>
                              <a:stretch/>
                            </pic:blipFill>
                            <pic:spPr bwMode="auto">
                              <a:xfrm>
                                <a:off x="0" y="0"/>
                                <a:ext cx="1266825"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9.8pt;height:57.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0.469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一次性牛皮纸打包袋（2杯装）</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21cm*11.5cm*30cm  500个/箱</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纸浆</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19200" cy="714375"/>
                      <wp:effectExtent l="0" t="0" r="0" b="9525"/>
                      <wp:docPr id="25" name="图片 5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4" descr="IMG_277"/>
                              <pic:cNvPicPr>
                                <a:picLocks noChangeAspect="1"/>
                              </pic:cNvPicPr>
                              <pic:nvPr/>
                            </pic:nvPicPr>
                            <pic:blipFill>
                              <a:blip r:embed="rId36"/>
                              <a:stretch/>
                            </pic:blipFill>
                            <pic:spPr bwMode="auto">
                              <a:xfrm>
                                <a:off x="0" y="0"/>
                                <a:ext cx="121920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6.0pt;height:56.2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0.563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塑料袋（小号）23#</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长23*34  25斤/袋 约304个   </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食品级PE</w:t>
            </w:r>
            <w:r/>
          </w:p>
        </w:tc>
        <w:tc>
          <w:tcPr>
            <w:shd w:val="clear" w:color="auto" w:fill="auto"/>
            <w:tcBorders>
              <w:top w:val="non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57300" cy="990600"/>
                      <wp:effectExtent l="0" t="0" r="0" b="0"/>
                      <wp:docPr id="26" name="图片 5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5" descr="IMG_278"/>
                              <pic:cNvPicPr>
                                <a:picLocks noChangeAspect="1"/>
                              </pic:cNvPicPr>
                              <pic:nvPr/>
                            </pic:nvPicPr>
                            <pic:blipFill>
                              <a:blip r:embed="rId37"/>
                              <a:stretch/>
                            </pic:blipFill>
                            <pic:spPr bwMode="auto">
                              <a:xfrm>
                                <a:off x="0" y="0"/>
                                <a:ext cx="1257300"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9.0pt;height:78.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80400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0.025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塑料袋（特小号）18#</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长18*27 30斤/袋 约333个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食品级PE</w:t>
            </w:r>
            <w:r/>
          </w:p>
        </w:tc>
        <w:tc>
          <w:tcPr>
            <w:shd w:val="clear" w:color="auto" w:fill="auto"/>
            <w:tcBorders>
              <w:top w:val="non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990600"/>
                      <wp:effectExtent l="0" t="0" r="9525" b="0"/>
                      <wp:docPr id="27" name="图片 5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6" descr="IMG_279"/>
                              <pic:cNvPicPr>
                                <a:picLocks noChangeAspect="1"/>
                              </pic:cNvPicPr>
                              <pic:nvPr/>
                            </pic:nvPicPr>
                            <pic:blipFill>
                              <a:blip r:embed="rId38"/>
                              <a:stretch/>
                            </pic:blipFill>
                            <pic:spPr bwMode="auto">
                              <a:xfrm>
                                <a:off x="0" y="0"/>
                                <a:ext cx="1266825" cy="990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9.8pt;height:78.0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134000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0.025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塑料袋（中号）26#</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长26*42 88斤/袋 约151个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食品级PE</w:t>
            </w:r>
            <w:r/>
          </w:p>
        </w:tc>
        <w:tc>
          <w:tcPr>
            <w:shd w:val="clear" w:color="auto" w:fill="auto"/>
            <w:tcBorders>
              <w:top w:val="non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38250" cy="1000125"/>
                      <wp:effectExtent l="0" t="0" r="0" b="9525"/>
                      <wp:docPr id="28" name="图片 5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7" descr="IMG_280"/>
                              <pic:cNvPicPr>
                                <a:picLocks noChangeAspect="1"/>
                              </pic:cNvPicPr>
                              <pic:nvPr/>
                            </pic:nvPicPr>
                            <pic:blipFill>
                              <a:blip r:embed="rId39"/>
                              <a:stretch/>
                            </pic:blipFill>
                            <pic:spPr bwMode="auto">
                              <a:xfrm>
                                <a:off x="0" y="0"/>
                                <a:ext cx="1238250"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7.5pt;height:78.8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50160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0.055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塑料袋（大号）31#</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长31*47 84斤/袋 约98个</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w:t>
            </w:r>
            <w:bookmarkStart w:id="27" w:name="_GoBack"/>
            <w:r/>
            <w:bookmarkEnd w:id="27"/>
            <w:r>
              <w:rPr>
                <w:rFonts w:hint="eastAsia" w:ascii="宋体" w:hAnsi="宋体" w:cs="宋体"/>
                <w:b/>
                <w:bCs/>
                <w:color w:val="auto"/>
                <w:sz w:val="24"/>
                <w:highlight w:val="none"/>
              </w:rPr>
              <w:t xml:space="preserve">级PE</w:t>
            </w:r>
            <w:r/>
          </w:p>
        </w:tc>
        <w:tc>
          <w:tcPr>
            <w:shd w:val="clear" w:color="auto" w:fill="auto"/>
            <w:tcBorders>
              <w:top w:val="non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66825" cy="952500"/>
                      <wp:effectExtent l="0" t="0" r="9525" b="0"/>
                      <wp:docPr id="29" name="图片 5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8" descr="IMG_281"/>
                              <pic:cNvPicPr>
                                <a:picLocks noChangeAspect="1"/>
                              </pic:cNvPicPr>
                              <pic:nvPr/>
                            </pic:nvPicPr>
                            <pic:blipFill>
                              <a:blip r:embed="rId40"/>
                              <a:stretch/>
                            </pic:blipFill>
                            <pic:spPr bwMode="auto">
                              <a:xfrm>
                                <a:off x="0" y="0"/>
                                <a:ext cx="1266825"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9.8pt;height:75.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97020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0.085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ZY450圆型餐盒</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450ml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47775" cy="1000125"/>
                      <wp:effectExtent l="0" t="0" r="9525" b="9525"/>
                      <wp:docPr id="30" name="图片 5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9" descr="IMG_282"/>
                              <pic:cNvPicPr>
                                <a:picLocks noChangeAspect="1"/>
                              </pic:cNvPicPr>
                              <pic:nvPr/>
                            </pic:nvPicPr>
                            <pic:blipFill>
                              <a:blip r:embed="rId41"/>
                              <a:stretch/>
                            </pic:blipFill>
                            <pic:spPr bwMode="auto">
                              <a:xfrm>
                                <a:off x="0" y="0"/>
                                <a:ext cx="124777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8.2pt;height:78.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139500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0.245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均分四格餐盒</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76350" cy="981075"/>
                      <wp:effectExtent l="0" t="0" r="0" b="9525"/>
                      <wp:docPr id="31" name="图片 6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0" descr="IMG_283"/>
                              <pic:cNvPicPr>
                                <a:picLocks noChangeAspect="1"/>
                              </pic:cNvPicPr>
                              <pic:nvPr/>
                            </pic:nvPicPr>
                            <pic:blipFill>
                              <a:blip r:embed="rId42"/>
                              <a:stretch/>
                            </pic:blipFill>
                            <pic:spPr bwMode="auto">
                              <a:xfrm>
                                <a:off x="0" y="0"/>
                                <a:ext cx="1276350"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0.5pt;height:77.2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9750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0.688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1247775" cy="962025"/>
                      <wp:effectExtent l="0" t="0" r="9525" b="9525"/>
                      <wp:docPr id="32" name="图片 61"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1" descr="IMG_284"/>
                              <pic:cNvPicPr>
                                <a:picLocks noChangeAspect="1"/>
                              </pic:cNvPicPr>
                              <pic:nvPr/>
                            </pic:nvPicPr>
                            <pic:blipFill>
                              <a:blip r:embed="rId43"/>
                              <a:stretch/>
                            </pic:blipFill>
                            <pic:spPr bwMode="auto">
                              <a:xfrm>
                                <a:off x="0" y="0"/>
                                <a:ext cx="1247775"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8.2pt;height:75.8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367500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0.750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主要产品</w:t>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一次性塑料餐盒800圆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800ml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66825" cy="933450"/>
                      <wp:effectExtent l="0" t="0" r="9525" b="0"/>
                      <wp:docPr id="33" name="图片 62"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2" descr="IMG_285"/>
                              <pic:cNvPicPr>
                                <a:picLocks noChangeAspect="1"/>
                              </pic:cNvPicPr>
                              <pic:nvPr/>
                            </pic:nvPicPr>
                            <pic:blipFill>
                              <a:blip r:embed="rId44"/>
                              <a:stretch/>
                            </pic:blipFill>
                            <pic:spPr bwMode="auto">
                              <a:xfrm>
                                <a:off x="0" y="0"/>
                                <a:ext cx="126682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9.8pt;height:73.5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0.333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一次性塑料餐盒1000圆</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85875" cy="1009650"/>
                      <wp:effectExtent l="0" t="0" r="9525" b="0"/>
                      <wp:docPr id="34" name="图片 63"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3" descr="IMG_286"/>
                              <pic:cNvPicPr>
                                <a:picLocks noChangeAspect="1"/>
                              </pic:cNvPicPr>
                              <pic:nvPr/>
                            </pic:nvPicPr>
                            <pic:blipFill>
                              <a:blip r:embed="rId45"/>
                              <a:stretch/>
                            </pic:blipFill>
                            <pic:spPr bwMode="auto">
                              <a:xfrm>
                                <a:off x="0" y="0"/>
                                <a:ext cx="1285875" cy="1009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01.2pt;height:79.5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0.363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r>
        <w:trPr>
          <w:jc w:val="center"/>
          <w:trHeight w:val="1603"/>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一次性奶茶杯（豆浆杯）</w:t>
            </w:r>
            <w:r/>
          </w:p>
        </w:tc>
        <w:tc>
          <w:tcPr>
            <w:shd w:val="clear" w:color="auto" w:fill="auto"/>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食品级PP</w:t>
            </w:r>
            <w:r/>
          </w:p>
        </w:tc>
        <w:tc>
          <w:tcPr>
            <w:shd w:val="clear" w:color="auto" w:fill="auto"/>
            <w:tcBorders>
              <w:top w:val="single" w:color="000000" w:sz="4" w:space="0"/>
              <w:left w:val="single" w:color="000000" w:sz="4" w:space="0"/>
              <w:bottom w:val="single" w:color="000000" w:sz="4" w:space="0"/>
              <w:right w:val="single" w:color="000000" w:sz="4" w:space="0"/>
            </w:tcBorders>
            <w:tcW w:w="240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mc:AlternateContent>
                <mc:Choice Requires="wpg">
                  <w:drawing>
                    <wp:inline xmlns:wp="http://schemas.openxmlformats.org/drawingml/2006/wordprocessingDrawing" distT="0" distB="0" distL="0" distR="0">
                      <wp:extent cx="1247775" cy="981075"/>
                      <wp:effectExtent l="0" t="0" r="9525" b="9525"/>
                      <wp:docPr id="35" name="图片 64"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4" descr="IMG_287"/>
                              <pic:cNvPicPr>
                                <a:picLocks noChangeAspect="1"/>
                              </pic:cNvPicPr>
                              <pic:nvPr/>
                            </pic:nvPicPr>
                            <pic:blipFill>
                              <a:blip r:embed="rId46"/>
                              <a:stretch/>
                            </pic:blipFill>
                            <pic:spPr bwMode="auto">
                              <a:xfrm>
                                <a:off x="0" y="0"/>
                                <a:ext cx="124777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8.2pt;height:77.2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0.269 </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p>
        </w:tc>
      </w:tr>
    </w:tbl>
    <w:p>
      <w:pPr>
        <w:pStyle w:val="672"/>
        <w:ind w:left="0" w:firstLine="0"/>
        <w:jc w:val="left"/>
        <w:rPr>
          <w:rFonts w:cs="宋体"/>
          <w:b/>
          <w:bCs/>
          <w:color w:val="auto"/>
          <w:sz w:val="24"/>
          <w:szCs w:val="24"/>
          <w:highlight w:val="none"/>
        </w:rPr>
      </w:pPr>
      <w:r>
        <w:rPr>
          <w:rFonts w:hint="eastAsia" w:cs="宋体"/>
          <w:b/>
          <w:bCs/>
          <w:color w:val="auto"/>
          <w:sz w:val="24"/>
          <w:szCs w:val="24"/>
          <w:highlight w:val="none"/>
        </w:rPr>
        <w:t xml:space="preserve">注：上述规格型号中的参数要求为最低标准，投标人产品允许正偏离10%</w:t>
      </w:r>
      <w:r/>
    </w:p>
    <w:p>
      <w:pPr>
        <w:rPr>
          <w:color w:val="auto"/>
          <w:highlight w:val="none"/>
        </w:rPr>
      </w:pPr>
      <w:r>
        <w:rPr>
          <w:color w:val="auto"/>
          <w:highlight w:val="none"/>
        </w:rPr>
      </w:r>
      <w:r/>
    </w:p>
    <w:p>
      <w:pPr>
        <w:ind w:firstLine="480"/>
        <w:spacing w:line="460" w:lineRule="atLeast"/>
        <w:rPr>
          <w:rFonts w:ascii="宋体" w:hAnsi="宋体" w:cs="宋体"/>
          <w:b/>
          <w:color w:val="auto"/>
          <w:sz w:val="24"/>
          <w:highlight w:val="none"/>
        </w:rPr>
        <w:outlineLvl w:val="1"/>
      </w:pPr>
      <w:r>
        <w:rPr>
          <w:rFonts w:hint="eastAsia" w:ascii="宋体" w:hAnsi="宋体" w:cs="宋体"/>
          <w:color w:val="auto"/>
          <w:sz w:val="24"/>
          <w:highlight w:val="none"/>
        </w:rPr>
        <w:t xml:space="preserve">四、拟采购标的需要满足的技术、商务要求</w:t>
      </w:r>
      <w:r/>
    </w:p>
    <w:p>
      <w:pPr>
        <w:ind w:firstLine="480"/>
        <w:spacing w:line="460" w:lineRule="atLeast"/>
        <w:rPr>
          <w:rFonts w:ascii="宋体" w:hAnsi="宋体" w:cs="宋体"/>
          <w:bCs/>
          <w:color w:val="auto"/>
          <w:sz w:val="24"/>
          <w:highlight w:val="none"/>
        </w:rPr>
        <w:outlineLvl w:val="2"/>
      </w:pPr>
      <w:r>
        <w:rPr>
          <w:rFonts w:hint="eastAsia" w:ascii="宋体" w:hAnsi="宋体" w:cs="宋体"/>
          <w:bCs/>
          <w:color w:val="auto"/>
          <w:sz w:val="24"/>
          <w:highlight w:val="none"/>
        </w:rPr>
        <w:t xml:space="preserve">（一）技术要求（</w:t>
      </w:r>
      <w:r>
        <w:rPr>
          <w:rFonts w:hint="eastAsia" w:cs="宋体"/>
          <w:color w:val="auto"/>
          <w:sz w:val="24"/>
          <w:highlight w:val="none"/>
        </w:rPr>
        <w:t xml:space="preserve">★</w:t>
      </w:r>
      <w:r>
        <w:rPr>
          <w:rFonts w:hint="eastAsia" w:ascii="宋体" w:hAnsi="宋体" w:cs="宋体"/>
          <w:bCs/>
          <w:color w:val="auto"/>
          <w:sz w:val="24"/>
          <w:highlight w:val="none"/>
        </w:rPr>
        <w:t xml:space="preserve">在《技术要求响应及偏离表》中逐条注明</w:t>
      </w:r>
      <w:r>
        <w:rPr>
          <w:rFonts w:hint="eastAsia" w:ascii="宋体" w:hAnsi="宋体" w:cs="宋体"/>
          <w:bCs/>
          <w:color w:val="auto"/>
          <w:sz w:val="24"/>
          <w:highlight w:val="none"/>
          <w:lang w:val="en-US" w:eastAsia="zh-CN"/>
        </w:rPr>
        <w:t xml:space="preserve">对技术要求的</w:t>
      </w:r>
      <w:r>
        <w:rPr>
          <w:rFonts w:hint="eastAsia" w:ascii="宋体" w:hAnsi="宋体" w:cs="宋体"/>
          <w:bCs/>
          <w:color w:val="auto"/>
          <w:sz w:val="24"/>
          <w:highlight w:val="none"/>
        </w:rPr>
        <w:t xml:space="preserve">响应情况，否则按无效标处理）</w:t>
      </w:r>
      <w:r/>
    </w:p>
    <w:p>
      <w:pPr>
        <w:ind w:firstLine="480"/>
        <w:spacing w:line="460" w:lineRule="atLeast"/>
        <w:rPr>
          <w:rFonts w:cs="宋体"/>
          <w:color w:val="auto"/>
          <w:sz w:val="24"/>
          <w:highlight w:val="none"/>
        </w:rPr>
      </w:pPr>
      <w:r>
        <w:rPr>
          <w:rFonts w:hint="eastAsia" w:cs="宋体"/>
          <w:color w:val="auto"/>
          <w:sz w:val="24"/>
          <w:highlight w:val="none"/>
        </w:rPr>
        <w:t xml:space="preserve">★1.产品技术指标（提供对应内容承诺函原件加盖鲜章</w:t>
      </w:r>
      <w:r>
        <w:rPr>
          <w:rFonts w:hint="eastAsia" w:cs="宋体"/>
          <w:color w:val="auto"/>
          <w:sz w:val="24"/>
          <w:highlight w:val="none"/>
          <w:lang w:val="en-US" w:eastAsia="zh-CN"/>
        </w:rPr>
        <w:t xml:space="preserve">后的扫描件</w:t>
      </w:r>
      <w:r>
        <w:rPr>
          <w:rFonts w:hint="eastAsia" w:cs="宋体"/>
          <w:color w:val="auto"/>
          <w:sz w:val="24"/>
          <w:highlight w:val="none"/>
        </w:rPr>
        <w:t xml:space="preserve">，内容应全面且不得擅自修改，否则视为未响应，按无效标处理。）</w:t>
      </w:r>
      <w:r/>
    </w:p>
    <w:p>
      <w:pPr>
        <w:ind w:firstLine="480"/>
        <w:spacing w:line="460" w:lineRule="atLeast"/>
        <w:rPr>
          <w:rFonts w:cs="宋体"/>
          <w:color w:val="auto"/>
          <w:sz w:val="24"/>
          <w:highlight w:val="none"/>
        </w:rPr>
      </w:pPr>
      <w:r>
        <w:rPr>
          <w:rFonts w:hint="eastAsia" w:cs="宋体"/>
          <w:color w:val="auto"/>
          <w:sz w:val="24"/>
          <w:highlight w:val="none"/>
        </w:rPr>
        <w:t xml:space="preserve">（1）供应商所供产品必须符合国家食品卫生要求及招标文件中</w:t>
      </w:r>
      <w:r>
        <w:rPr>
          <w:rFonts w:hint="eastAsia" w:ascii="宋体" w:hAnsi="宋体" w:cs="宋体"/>
          <w:color w:val="auto"/>
          <w:sz w:val="24"/>
          <w:highlight w:val="none"/>
        </w:rPr>
        <w:t xml:space="preserve">货物采购清单内要求</w:t>
      </w:r>
      <w:r>
        <w:rPr>
          <w:rFonts w:hint="eastAsia" w:cs="宋体"/>
          <w:color w:val="auto"/>
          <w:sz w:val="24"/>
          <w:highlight w:val="none"/>
        </w:rPr>
        <w:t xml:space="preserve">。</w:t>
      </w:r>
      <w:r/>
    </w:p>
    <w:p>
      <w:pPr>
        <w:ind w:firstLine="480"/>
        <w:spacing w:line="460" w:lineRule="atLeast"/>
        <w:rPr>
          <w:rFonts w:cs="宋体"/>
          <w:color w:val="auto"/>
          <w:sz w:val="24"/>
          <w:highlight w:val="none"/>
        </w:rPr>
      </w:pPr>
      <w:r>
        <w:rPr>
          <w:rFonts w:hint="eastAsia" w:cs="宋体"/>
          <w:color w:val="auto"/>
          <w:sz w:val="24"/>
          <w:highlight w:val="none"/>
        </w:rPr>
        <w:t xml:space="preserve">（2）供应商所供的一次性耗材物品（餐盒等）包装：容器（框、箱、袋）要求清洁、干燥、牢固、透气，无污染、无异味、无霉变现象；</w:t>
      </w:r>
      <w:r/>
    </w:p>
    <w:p>
      <w:pPr>
        <w:ind w:firstLine="480"/>
        <w:spacing w:line="460" w:lineRule="atLeast"/>
        <w:rPr>
          <w:rFonts w:cs="宋体"/>
          <w:color w:val="auto"/>
          <w:sz w:val="24"/>
          <w:highlight w:val="none"/>
        </w:rPr>
      </w:pPr>
      <w:r>
        <w:rPr>
          <w:rFonts w:hint="eastAsia" w:cs="宋体"/>
          <w:color w:val="auto"/>
          <w:sz w:val="24"/>
          <w:highlight w:val="none"/>
        </w:rPr>
        <w:t xml:space="preserve">（3）运输要求：运输工具应清洁卫生无污染；运输途中严防日晒、雨淋，注意通风散热等；供应商品应小心轻卸，严防摔坏破损；</w:t>
      </w:r>
      <w:r/>
    </w:p>
    <w:p>
      <w:pPr>
        <w:ind w:firstLine="480"/>
        <w:spacing w:line="460" w:lineRule="atLeast"/>
        <w:rPr>
          <w:rFonts w:cs="宋体"/>
          <w:color w:val="auto"/>
          <w:sz w:val="24"/>
          <w:highlight w:val="none"/>
        </w:rPr>
      </w:pPr>
      <w:r>
        <w:rPr>
          <w:rFonts w:hint="eastAsia" w:cs="宋体"/>
          <w:color w:val="auto"/>
          <w:sz w:val="24"/>
          <w:highlight w:val="none"/>
        </w:rPr>
        <w:t xml:space="preserve">（4）采购人定制的食品袋须符合国家执行标准，依据T/CAB  0088-2021&lt;&lt;无机华聚烯烃降解购物袋&gt;&gt;检测标准。</w:t>
      </w:r>
      <w:r/>
    </w:p>
    <w:p>
      <w:pPr>
        <w:ind w:firstLine="480"/>
        <w:spacing w:line="460" w:lineRule="atLeast"/>
        <w:rPr>
          <w:rFonts w:cs="宋体"/>
          <w:color w:val="auto"/>
          <w:sz w:val="24"/>
          <w:highlight w:val="none"/>
        </w:rPr>
      </w:pPr>
      <w:r>
        <w:rPr>
          <w:rFonts w:hint="eastAsia" w:cs="宋体"/>
          <w:color w:val="auto"/>
          <w:sz w:val="24"/>
          <w:highlight w:val="none"/>
        </w:rPr>
        <w:t xml:space="preserve">（5）供应商所供的的一次性耗材物品（餐盒等）需符合国家执行标准，依据GB 4806.7-2023&lt;&lt;食品安全国家标准 食品接触用塑料材料及制品&gt;&gt;检测标准。</w:t>
      </w:r>
      <w:r/>
    </w:p>
    <w:p>
      <w:pPr>
        <w:pStyle w:val="673"/>
        <w:spacing w:line="460" w:lineRule="atLeast"/>
        <w:rPr>
          <w:rFonts w:ascii="宋体" w:hAnsi="宋体" w:cs="宋体"/>
          <w:b/>
          <w:bCs/>
          <w:color w:val="auto"/>
          <w:szCs w:val="24"/>
          <w:highlight w:val="none"/>
        </w:rPr>
      </w:pPr>
      <w:r>
        <w:rPr>
          <w:rFonts w:hint="eastAsia" w:ascii="宋体" w:hAnsi="宋体" w:cs="宋体"/>
          <w:b/>
          <w:bCs/>
          <w:color w:val="auto"/>
          <w:szCs w:val="24"/>
          <w:highlight w:val="none"/>
        </w:rPr>
        <w:t xml:space="preserve">注：本项目涉及相关标准，有最新版的以最新版本为准，未尽事宜与本项目合同互为补充。</w:t>
      </w:r>
      <w:r/>
    </w:p>
    <w:p>
      <w:pPr>
        <w:ind w:firstLine="480"/>
        <w:spacing w:line="460" w:lineRule="atLeast"/>
        <w:rPr>
          <w:rFonts w:ascii="宋体" w:hAnsi="宋体" w:cs="宋体"/>
          <w:color w:val="auto"/>
          <w:sz w:val="24"/>
          <w:highlight w:val="none"/>
        </w:rPr>
      </w:pPr>
      <w:r>
        <w:rPr>
          <w:rFonts w:ascii="宋体" w:hAnsi="宋体" w:cs="宋体"/>
          <w:color w:val="auto"/>
          <w:sz w:val="24"/>
          <w:highlight w:val="none"/>
        </w:rPr>
      </w:r>
      <w:r/>
    </w:p>
    <w:p>
      <w:pPr>
        <w:ind w:firstLine="480"/>
        <w:spacing w:line="460" w:lineRule="atLeast"/>
        <w:rPr>
          <w:rFonts w:ascii="宋体" w:hAnsi="宋体" w:cs="宋体"/>
          <w:bCs/>
          <w:color w:val="auto"/>
          <w:sz w:val="24"/>
          <w:highlight w:val="none"/>
        </w:rPr>
        <w:outlineLvl w:val="2"/>
      </w:pPr>
      <w:r>
        <w:rPr>
          <w:rFonts w:hint="eastAsia" w:ascii="宋体" w:hAnsi="宋体" w:cs="宋体"/>
          <w:bCs/>
          <w:color w:val="auto"/>
          <w:sz w:val="24"/>
          <w:highlight w:val="none"/>
        </w:rPr>
        <w:t xml:space="preserve">（二）商务要求（</w:t>
      </w:r>
      <w:r>
        <w:rPr>
          <w:rFonts w:hint="eastAsia" w:cs="宋体"/>
          <w:color w:val="auto"/>
          <w:sz w:val="24"/>
          <w:highlight w:val="none"/>
        </w:rPr>
        <w:t xml:space="preserve">★</w:t>
      </w:r>
      <w:r>
        <w:rPr>
          <w:rFonts w:hint="eastAsia" w:ascii="宋体" w:hAnsi="宋体" w:cs="宋体"/>
          <w:bCs/>
          <w:color w:val="auto"/>
          <w:sz w:val="24"/>
          <w:highlight w:val="none"/>
        </w:rPr>
        <w:t xml:space="preserve">在《商务要求响应及偏离表》中逐条注明</w:t>
      </w:r>
      <w:r>
        <w:rPr>
          <w:rFonts w:hint="eastAsia" w:ascii="宋体" w:hAnsi="宋体" w:cs="宋体"/>
          <w:bCs/>
          <w:color w:val="auto"/>
          <w:sz w:val="24"/>
          <w:highlight w:val="none"/>
          <w:lang w:val="en-US" w:eastAsia="zh-CN"/>
        </w:rPr>
        <w:t xml:space="preserve">对商务要求的</w:t>
      </w:r>
      <w:r>
        <w:rPr>
          <w:rFonts w:hint="eastAsia" w:ascii="宋体" w:hAnsi="宋体" w:cs="宋体"/>
          <w:bCs/>
          <w:color w:val="auto"/>
          <w:sz w:val="24"/>
          <w:highlight w:val="none"/>
        </w:rPr>
        <w:t xml:space="preserve">响应情况，否则按无效标处理）</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1.报价要求</w:t>
      </w:r>
      <w:r/>
    </w:p>
    <w:p>
      <w:pPr>
        <w:ind w:firstLine="42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采用优惠率报价，最低优惠率为0%，如低于最低优惠率按无效投标处理。注：本项目采购需求中列明了计划采购单价，实际采购单价=计划采购单价*（100%-中标优惠率）（举例：如投标人优惠率报价为10%，货物采购清单序号1一次性塑料圆盒300圆的实际采购单价为0.221元*（100%-10%），以此类推。实际采购单价精确到小数点后三位，四舍五入。</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（3）供应商的任何错漏、优惠、竞争性报价不得作为减轻责任、减少服务、增加收费、降低服务质量的理由。</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★2.实施要求</w:t>
      </w:r>
      <w:r>
        <w:rPr>
          <w:rFonts w:hint="eastAsia" w:cs="宋体"/>
          <w:color w:val="auto"/>
          <w:sz w:val="24"/>
          <w:highlight w:val="none"/>
        </w:rPr>
        <w:t xml:space="preserve">（提供对应内容承诺函原件加盖鲜章后的扫描件，内容应全面且不得擅自修改，否则视为未响应，按无效标处理。）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(1)供货方式、时间和地点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供应商必须严格按照采购人提供的配送清单组织配送，配送食堂使用的一次性餐盒、日耗品类等必须达到国家或行业食品卫生安全标准，每天按照采购人指定的时间送到指定的地点。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(2)数量确认</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原材料验收由甲乙双方现场检验，对供应产品的质量无异议、数量准确无误后收货，双方在供货清单上签收确认后。</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(3)质量要求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1）必须是质优、无污染、无变质，符合食品卫生要求的产品，产品经食品质量安全SC 认证，公司具有食品经营许可证。产品质量应当符合国家规定。每批次货物提供必要的质量证明材料。</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2）所供应的品种不符合要求，出现质量问题时，供应商负责退货或换货，问题严重时，采购人有权中止本项目合同，造成后果的，供应商承担全部责任；</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3）食堂使用的一次性耗材物品（餐盒等）餐盒类等外包装箱必须整洁包装完整、无任何破损、无挤压、干净、无霉斑，出现的不合格品由供应商承担。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4）食堂使用的一次性耗材物品（餐盒等）必须有生产厂家、地址、生产日期、保质期等厂家信息，并提供厂家的批次检测报告，出现的不合格品由供应商承担。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5）食堂使用的一次性耗材物品（餐盒等）类须保证餐盒无异味、霉变、受潮等现象，出现的不合格品由供应商承担。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6）食堂使用的一次性耗材物品（餐盒等）须保证配送种类、品牌、规格，质量完全符合采购方要求，生产日期至供货日期天数须在保质期二分之一内，须保质保量。</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7）供应商按照中标要求每年需对食堂使用的一次性耗材物品（餐盒等）类等进行产品检测，所有产品的检测费用由供应商承担。</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(4)验收标准：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1）依据中华人民共和国《产品质量法》、《标准化法》、《消费者权益保护法》和《产品标识标注规定》等国家有关法律规定。</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2）原材料供应商须保证所供食堂使用的一次性耗材物品（餐盒等）类原材料均为符合国家卫生、质量检验标准的正规产品，保证配送品种完全满足采购方要求。</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3）食堂使用的一次性耗材物品（餐盒等）原材料在验收时有不符合要求的，一律退回，供应商无条件重新更换配送货物，更换后仍然不符合标准的，采购人有权对供应商处以一定金额的罚款。</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任何因原食堂使用的一次性耗材物品（餐盒等）质量问题导致的食品安全或食物中毒责任，在确认导致问题的原材料品种后，由供应商承担全部法律责任与经济损失，除对采购人进行赔付外，采购人有权单方终止合同。</w:t>
      </w:r>
      <w:r/>
    </w:p>
    <w:p>
      <w:pPr>
        <w:ind w:firstLine="480"/>
        <w:spacing w:line="460" w:lineRule="atLeast"/>
        <w:rPr>
          <w:rFonts w:ascii="宋体" w:hAnsi="宋体" w:cs="宋体"/>
          <w:color w:val="auto"/>
          <w:sz w:val="24"/>
          <w:highlight w:val="none"/>
        </w:rPr>
      </w:pPr>
      <w:r>
        <w:rPr>
          <w:rFonts w:ascii="宋体" w:hAnsi="宋体" w:cs="宋体"/>
          <w:color w:val="auto"/>
          <w:sz w:val="24"/>
          <w:highlight w:val="none"/>
        </w:rPr>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3.付款条件</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以第三章合同文本内容为准。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4.交付时间及地点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（1）交付时间：以第三章合同文本内容为准。</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（2）交付地点：采购人指定地点。</w:t>
      </w:r>
      <w:r/>
    </w:p>
    <w:p>
      <w:pPr>
        <w:ind w:firstLine="46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5.</w:t>
      </w:r>
      <w:bookmarkStart w:id="10" w:name="OLE_LINK1"/>
      <w:r>
        <w:rPr>
          <w:rFonts w:hint="eastAsia" w:ascii="宋体" w:hAnsi="宋体" w:cs="宋体"/>
          <w:color w:val="auto"/>
          <w:sz w:val="24"/>
          <w:highlight w:val="none"/>
        </w:rPr>
        <w:t xml:space="preserve">其他要求</w:t>
      </w:r>
      <w:bookmarkEnd w:id="10"/>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60" w:lineRule="atLeast"/>
        <w:rPr>
          <w:rFonts w:ascii="宋体" w:hAnsi="宋体" w:cs="宋体"/>
          <w:bCs/>
          <w:color w:val="auto"/>
          <w:sz w:val="24"/>
          <w:highlight w:val="none"/>
        </w:rPr>
      </w:pPr>
      <w:r>
        <w:rPr>
          <w:rFonts w:ascii="宋体" w:hAnsi="宋体" w:cs="宋体"/>
          <w:bCs/>
          <w:color w:val="auto"/>
          <w:sz w:val="24"/>
          <w:highlight w:val="none"/>
        </w:rPr>
      </w:r>
      <w:r/>
    </w:p>
    <w:p>
      <w:pPr>
        <w:ind w:firstLine="480"/>
        <w:spacing w:line="460" w:lineRule="atLeast"/>
        <w:rPr>
          <w:rFonts w:ascii="宋体" w:hAnsi="宋体" w:cs="宋体"/>
          <w:bCs/>
          <w:color w:val="auto"/>
          <w:sz w:val="24"/>
          <w:highlight w:val="none"/>
        </w:rPr>
      </w:pPr>
      <w:r>
        <w:rPr>
          <w:rFonts w:hint="eastAsia" w:ascii="宋体" w:hAnsi="宋体" w:cs="宋体"/>
          <w:bCs/>
          <w:color w:val="auto"/>
          <w:sz w:val="24"/>
          <w:highlight w:val="none"/>
        </w:rPr>
        <w:t xml:space="preserve">（三）样品要求</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1.供应商提供以下样品各一件：</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《货物采购清单》中序号12、18、32</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2.样品提交方式：投标截止时间前样品通过快递</w:t>
      </w:r>
      <w:r>
        <w:rPr>
          <w:rFonts w:hint="eastAsia" w:ascii="宋体" w:hAnsi="宋体" w:cs="宋体"/>
          <w:color w:val="auto"/>
          <w:sz w:val="24"/>
          <w:highlight w:val="none"/>
          <w:lang w:val="en-US" w:eastAsia="zh-CN"/>
        </w:rPr>
        <w:t xml:space="preserve">方式</w:t>
      </w:r>
      <w:r>
        <w:rPr>
          <w:rFonts w:hint="eastAsia" w:ascii="宋体" w:hAnsi="宋体" w:cs="宋体"/>
          <w:color w:val="auto"/>
          <w:sz w:val="24"/>
          <w:highlight w:val="none"/>
        </w:rPr>
        <w:t xml:space="preserve">送至南京市鼓楼区中山北路346号老学堂创意园58号楼9层（江苏骏通建设项目管理咨询有限公司），联系电话：025-83605026（陈工），样品应包装完好，并在外包装上标注供应商名称、项目名称和项目编号。内部样品应按照《货物采购清单》中对应序号顺序逐一标注。供应商应充分考虑快递在途时间，并提前跟代理公司确认收件情况，投标截止时间前未收到样品的，打分项中对应内容，按0分计算。</w:t>
      </w:r>
      <w:r/>
    </w:p>
    <w:p>
      <w:pPr>
        <w:ind w:firstLine="482"/>
        <w:spacing w:line="460" w:lineRule="atLeast"/>
        <w:rPr>
          <w:rFonts w:ascii="宋体" w:hAnsi="宋体" w:cs="宋体"/>
          <w:b/>
          <w:bCs/>
          <w:color w:val="auto"/>
          <w:sz w:val="24"/>
          <w:highlight w:val="none"/>
          <w:lang w:val="zh-CN"/>
        </w:rPr>
      </w:pPr>
      <w:r>
        <w:rPr>
          <w:rFonts w:hint="eastAsia" w:ascii="宋体" w:hAnsi="宋体" w:cs="宋体"/>
          <w:b/>
          <w:bCs/>
          <w:color w:val="auto"/>
          <w:sz w:val="24"/>
          <w:highlight w:val="none"/>
        </w:rPr>
        <w:t xml:space="preserve">注：中标供应商的样品由采购人留样封存，未中标供应商的样品将在公示期结束后予以退回。（供应商放弃样品退回的，由代理机构自行处置）</w:t>
      </w:r>
      <w:r/>
    </w:p>
    <w:p>
      <w:pPr>
        <w:ind w:firstLine="480"/>
        <w:jc w:val="left"/>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3.样品接收时间：投标截止时间前接收，投标截止时间后不再接收。</w:t>
      </w:r>
      <w:r/>
    </w:p>
    <w:p>
      <w:pPr>
        <w:ind w:firstLine="480"/>
        <w:jc w:val="left"/>
        <w:spacing w:line="460" w:lineRule="atLeast"/>
        <w:rPr>
          <w:rFonts w:ascii="宋体" w:hAnsi="宋体" w:cs="宋体"/>
          <w:color w:val="auto"/>
          <w:sz w:val="24"/>
          <w:highlight w:val="none"/>
        </w:rPr>
      </w:pPr>
      <w:r>
        <w:rPr>
          <w:rFonts w:hint="eastAsia" w:ascii="宋体" w:hAnsi="宋体" w:cs="宋体"/>
          <w:color w:val="auto"/>
          <w:sz w:val="24"/>
          <w:highlight w:val="none"/>
        </w:rPr>
        <w:t xml:space="preserve">4.其他说明:/</w:t>
      </w:r>
      <w:r/>
    </w:p>
    <w:p>
      <w:pPr>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673"/>
        <w:rPr>
          <w:color w:val="auto"/>
          <w:highlight w:val="none"/>
        </w:rPr>
      </w:pPr>
      <w:r>
        <w:rPr>
          <w:color w:val="auto"/>
          <w:highlight w:val="none"/>
        </w:rPr>
      </w:r>
      <w:r/>
    </w:p>
    <w:p>
      <w:pPr>
        <w:numPr>
          <w:ilvl w:val="0"/>
          <w:numId w:val="1"/>
        </w:numPr>
        <w:jc w:val="center"/>
        <w:spacing w:line="460" w:lineRule="exact"/>
        <w:rPr>
          <w:rFonts w:ascii="宋体" w:hAnsi="宋体" w:cs="宋体"/>
          <w:color w:val="auto"/>
          <w:sz w:val="36"/>
          <w:szCs w:val="36"/>
          <w:highlight w:val="none"/>
        </w:rPr>
      </w:pPr>
      <w:r>
        <w:rPr>
          <w:rFonts w:hint="eastAsia" w:ascii="宋体" w:hAnsi="宋体" w:cs="宋体"/>
          <w:bCs/>
          <w:color w:val="auto"/>
          <w:sz w:val="36"/>
          <w:szCs w:val="36"/>
          <w:highlight w:val="none"/>
        </w:rPr>
        <w:t xml:space="preserve">评标方法与评标标准</w:t>
      </w:r>
      <w:r/>
    </w:p>
    <w:p>
      <w:pPr>
        <w:spacing w:line="460" w:lineRule="atLeast"/>
        <w:rPr>
          <w:rFonts w:ascii="宋体" w:hAnsi="宋体" w:cs="宋体"/>
          <w:b/>
          <w:bCs/>
          <w:color w:val="auto"/>
          <w:sz w:val="24"/>
          <w:highlight w:val="none"/>
        </w:rPr>
      </w:pPr>
      <w:r>
        <w:rPr>
          <w:rFonts w:hint="eastAsia" w:ascii="宋体" w:hAnsi="宋体" w:cs="宋体"/>
          <w:b/>
          <w:bCs/>
          <w:color w:val="auto"/>
          <w:sz w:val="24"/>
          <w:highlight w:val="none"/>
        </w:rPr>
        <w:t xml:space="preserve">一、评标方法</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spacing w:line="460" w:lineRule="atLeast"/>
        <w:rPr>
          <w:rFonts w:ascii="宋体" w:hAnsi="宋体" w:cs="宋体"/>
          <w:b/>
          <w:bCs/>
          <w:color w:val="auto"/>
          <w:sz w:val="24"/>
          <w:highlight w:val="none"/>
        </w:rPr>
      </w:pPr>
      <w:r>
        <w:rPr>
          <w:rFonts w:hint="eastAsia" w:ascii="宋体" w:hAnsi="宋体" w:cs="宋体"/>
          <w:b/>
          <w:bCs/>
          <w:color w:val="auto"/>
          <w:sz w:val="24"/>
          <w:highlight w:val="none"/>
        </w:rPr>
        <w:t xml:space="preserve">二、小微企业价格扣除（优惠）</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1.本项目全部货物制造商为小微企业的，对报价给予10%的优惠，用优惠后的价格参与评审。</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460" w:lineRule="atLeast"/>
        <w:rPr>
          <w:rFonts w:ascii="宋体" w:hAnsi="宋体" w:cs="宋体"/>
          <w:color w:val="auto"/>
          <w:sz w:val="24"/>
          <w:highlight w:val="none"/>
        </w:rPr>
      </w:pPr>
      <w:r>
        <w:rPr>
          <w:rFonts w:hint="eastAsia" w:ascii="宋体" w:hAnsi="宋体" w:cs="宋体"/>
          <w:b/>
          <w:bCs/>
          <w:color w:val="auto"/>
          <w:sz w:val="24"/>
          <w:highlight w:val="none"/>
        </w:rPr>
        <w:t xml:space="preserve">3.上述价格扣除政策仅适用于“非专门面向中小企业采购项目”</w:t>
      </w:r>
      <w:r>
        <w:rPr>
          <w:rFonts w:hint="eastAsia" w:ascii="宋体" w:hAnsi="宋体" w:cs="宋体"/>
          <w:color w:val="auto"/>
          <w:sz w:val="24"/>
          <w:highlight w:val="none"/>
        </w:rPr>
        <w:t xml:space="preserve">。</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（1）本项目如专门面向中小企业采购，则不执行价格扣除政策，</w:t>
      </w:r>
      <w:r>
        <w:rPr>
          <w:rFonts w:hint="eastAsia" w:ascii="宋体" w:hAnsi="宋体" w:cs="宋体"/>
          <w:color w:val="auto"/>
          <w:sz w:val="24"/>
          <w:highlight w:val="none"/>
          <w:lang w:val="zh-CN"/>
        </w:rPr>
        <w:t xml:space="preserve">供应商应为中小微企业、监狱企业、残疾人福利性单位。</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500万元（含）以上的项目为4%，500万元以内的项目为6%），用扣除后的价格参与评审。</w:t>
      </w:r>
      <w:r/>
    </w:p>
    <w:p>
      <w:pPr>
        <w:ind w:firstLine="480"/>
        <w:spacing w:line="460" w:lineRule="atLeast"/>
        <w:rPr>
          <w:rFonts w:ascii="宋体" w:hAnsi="宋体" w:cs="宋体"/>
          <w:color w:val="auto"/>
          <w:sz w:val="24"/>
          <w:highlight w:val="none"/>
        </w:rPr>
      </w:pPr>
      <w:r>
        <w:rPr>
          <w:rFonts w:hint="eastAsia" w:ascii="宋体" w:hAnsi="宋体" w:cs="宋体"/>
          <w:color w:val="auto"/>
          <w:sz w:val="24"/>
          <w:highlight w:val="none"/>
        </w:rPr>
        <w:t xml:space="preserve">（3）联合体各方均为小型、微型企业（或残疾人福利性单位、监狱企业）的，给予与小微企业相同的价格扣除，用扣除后的价格参与评审。</w:t>
      </w:r>
      <w:r/>
    </w:p>
    <w:p>
      <w:pPr>
        <w:spacing w:line="460" w:lineRule="atLeast"/>
        <w:rPr>
          <w:rFonts w:ascii="宋体" w:hAnsi="宋体" w:cs="宋体"/>
          <w:color w:val="auto"/>
          <w:sz w:val="24"/>
          <w:highlight w:val="none"/>
        </w:rPr>
      </w:pPr>
      <w:r>
        <w:rPr>
          <w:rFonts w:hint="eastAsia" w:ascii="宋体" w:hAnsi="宋体" w:cs="宋体"/>
          <w:color w:val="auto"/>
          <w:sz w:val="24"/>
          <w:highlight w:val="none"/>
        </w:rPr>
        <w:br w:type="page" w:clear="all"/>
      </w:r>
      <w:r/>
    </w:p>
    <w:p>
      <w:p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三、评标标准</w:t>
      </w:r>
      <w:r/>
    </w:p>
    <w:tbl>
      <w:tblPr>
        <w:tblStyle w:val="925"/>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81"/>
        <w:gridCol w:w="6514"/>
        <w:gridCol w:w="573"/>
        <w:gridCol w:w="534"/>
      </w:tblGrid>
      <w:tr>
        <w:trPr>
          <w:jc w:val="center"/>
          <w:trHeight w:val="728"/>
          <w:tblHeader/>
        </w:trPr>
        <w:tc>
          <w:tcPr>
            <w:tcBorders>
              <w:top w:val="single" w:color="000000" w:sz="2" w:space="0"/>
              <w:bottom w:val="single" w:color="000000" w:sz="2" w:space="0"/>
            </w:tcBorders>
            <w:tcW w:w="519" w:type="dxa"/>
            <w:textDirection w:val="lrTb"/>
            <w:noWrap w:val="false"/>
          </w:tcPr>
          <w:p>
            <w:pPr>
              <w:jc w:val="center"/>
              <w:spacing w:before="264" w:line="460" w:lineRule="atLeast"/>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序号</w:t>
            </w:r>
            <w:r/>
          </w:p>
        </w:tc>
        <w:tc>
          <w:tcPr>
            <w:tcBorders>
              <w:top w:val="single" w:color="000000" w:sz="2" w:space="0"/>
              <w:bottom w:val="single" w:color="000000" w:sz="2" w:space="0"/>
            </w:tcBorders>
            <w:tcW w:w="1281" w:type="dxa"/>
            <w:textDirection w:val="lrTb"/>
            <w:noWrap w:val="false"/>
          </w:tcPr>
          <w:p>
            <w:pPr>
              <w:jc w:val="center"/>
              <w:spacing w:before="264" w:line="460" w:lineRule="atLeast"/>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评审因素</w:t>
            </w:r>
            <w:r/>
          </w:p>
        </w:tc>
        <w:tc>
          <w:tcPr>
            <w:tcBorders>
              <w:top w:val="single" w:color="000000" w:sz="2" w:space="0"/>
              <w:bottom w:val="single" w:color="000000" w:sz="2" w:space="0"/>
            </w:tcBorders>
            <w:tcW w:w="6514" w:type="dxa"/>
            <w:textDirection w:val="lrTb"/>
            <w:noWrap w:val="false"/>
          </w:tcPr>
          <w:p>
            <w:pPr>
              <w:jc w:val="center"/>
              <w:spacing w:before="264" w:line="460" w:lineRule="atLeast"/>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评审细则</w:t>
            </w:r>
            <w:r/>
          </w:p>
        </w:tc>
        <w:tc>
          <w:tcPr>
            <w:tcBorders>
              <w:top w:val="single" w:color="000000" w:sz="2" w:space="0"/>
              <w:bottom w:val="single" w:color="000000" w:sz="2" w:space="0"/>
            </w:tcBorders>
            <w:tcW w:w="573" w:type="dxa"/>
            <w:textDirection w:val="lrTb"/>
            <w:noWrap w:val="false"/>
          </w:tcPr>
          <w:p>
            <w:pPr>
              <w:jc w:val="center"/>
              <w:spacing w:before="264" w:line="460" w:lineRule="atLeast"/>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分值</w:t>
            </w:r>
            <w:r/>
          </w:p>
        </w:tc>
        <w:tc>
          <w:tcPr>
            <w:tcBorders>
              <w:top w:val="single" w:color="000000" w:sz="2" w:space="0"/>
              <w:bottom w:val="single" w:color="000000" w:sz="2" w:space="0"/>
            </w:tcBorders>
            <w:tcW w:w="534" w:type="dxa"/>
            <w:textDirection w:val="lrTb"/>
            <w:noWrap w:val="false"/>
          </w:tcPr>
          <w:p>
            <w:pPr>
              <w:jc w:val="center"/>
              <w:spacing w:before="264" w:line="460" w:lineRule="atLeast"/>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类型</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1</w:t>
            </w:r>
            <w:r>
              <w:rPr>
                <w:rFonts w:hint="eastAsia" w:ascii="宋体" w:hAnsi="宋体" w:cs="宋体"/>
                <w:color w:val="auto"/>
                <w:spacing w:val="-5"/>
                <w:sz w:val="24"/>
                <w:highlight w:val="none"/>
              </w:rPr>
              <w:t xml:space="preserve">.1</w:t>
            </w:r>
            <w:r/>
          </w:p>
        </w:tc>
        <w:tc>
          <w:tcPr>
            <w:tcBorders>
              <w:top w:val="single" w:color="000000" w:sz="2" w:space="0"/>
              <w:bottom w:val="single" w:color="000000" w:sz="2" w:space="0"/>
            </w:tcBorders>
            <w:tcW w:w="1281"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2"/>
                <w:sz w:val="24"/>
                <w:highlight w:val="none"/>
              </w:rPr>
              <w:t xml:space="preserve">价格分   （30分）</w:t>
            </w:r>
            <w:r/>
          </w:p>
        </w:tc>
        <w:tc>
          <w:tcPr>
            <w:tcBorders>
              <w:top w:val="single" w:color="000000" w:sz="2" w:space="0"/>
              <w:bottom w:val="single" w:color="000000" w:sz="2" w:space="0"/>
            </w:tcBorders>
            <w:tcW w:w="6514" w:type="dxa"/>
            <w:vAlign w:val="center"/>
            <w:textDirection w:val="lrTb"/>
            <w:noWrap w:val="false"/>
          </w:tcPr>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w:t>
            </w:r>
            <w:r>
              <w:rPr>
                <w:rFonts w:hint="eastAsia" w:ascii="宋体" w:hAnsi="宋体" w:cs="宋体"/>
                <w:color w:val="auto"/>
                <w:sz w:val="24"/>
                <w:highlight w:val="none"/>
                <w:lang w:val="en-US" w:eastAsia="zh-CN"/>
              </w:rPr>
              <w:t xml:space="preserve">100%</w:t>
            </w:r>
            <w:r>
              <w:rPr>
                <w:rFonts w:hint="eastAsia" w:ascii="宋体" w:hAnsi="宋体" w:cs="宋体"/>
                <w:color w:val="auto"/>
                <w:sz w:val="24"/>
                <w:highlight w:val="none"/>
              </w:rPr>
              <w:t xml:space="preserve">-报价优惠率）最低的投标报价为评标基准价，其价格分为满分。其他供应商的价格分按照下列公式计算（小数点保留两位）：投标报价得分=(评标基准价／（</w:t>
            </w:r>
            <w:r>
              <w:rPr>
                <w:rFonts w:hint="eastAsia" w:ascii="宋体" w:hAnsi="宋体" w:cs="宋体"/>
                <w:color w:val="auto"/>
                <w:sz w:val="24"/>
                <w:highlight w:val="none"/>
                <w:lang w:val="en-US" w:eastAsia="zh-CN"/>
              </w:rPr>
              <w:t xml:space="preserve">100%</w:t>
            </w:r>
            <w:r>
              <w:rPr>
                <w:rFonts w:hint="eastAsia" w:ascii="宋体" w:hAnsi="宋体" w:cs="宋体"/>
                <w:color w:val="auto"/>
                <w:sz w:val="24"/>
                <w:highlight w:val="none"/>
              </w:rPr>
              <w:t xml:space="preserve">-报价优惠率）)×30</w:t>
            </w:r>
            <w:r/>
          </w:p>
          <w:p>
            <w:pPr>
              <w:ind w:firstLine="42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（举例：如投标人优惠率报价为10%，货物采购清单序号1一次性塑料圆盒300圆的实际采购单价为0.221元*（100%-10%），以此类推。实际采购单价精确到小数点后三位，四舍五入。</w:t>
            </w:r>
            <w:r/>
          </w:p>
        </w:tc>
        <w:tc>
          <w:tcPr>
            <w:tcBorders>
              <w:top w:val="single" w:color="000000" w:sz="2" w:space="0"/>
              <w:bottom w:val="single" w:color="000000" w:sz="2" w:space="0"/>
            </w:tcBorders>
            <w:tcW w:w="573" w:type="dxa"/>
            <w:vAlign w:val="center"/>
            <w:textDirection w:val="lrTb"/>
            <w:noWrap w:val="false"/>
          </w:tcPr>
          <w:p>
            <w:pPr>
              <w:jc w:val="center"/>
              <w:spacing w:before="69" w:line="460" w:lineRule="atLeast"/>
              <w:rPr>
                <w:rFonts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000000" w:sz="2" w:space="0"/>
              <w:bottom w:val="single" w:color="000000" w:sz="2" w:space="0"/>
            </w:tcBorders>
            <w:tcW w:w="534" w:type="dxa"/>
            <w:vAlign w:val="center"/>
            <w:textDirection w:val="lrTb"/>
            <w:noWrap w:val="false"/>
          </w:tcPr>
          <w:p>
            <w:pPr>
              <w:jc w:val="center"/>
              <w:spacing w:before="258" w:line="460" w:lineRule="atLeast"/>
              <w:rPr>
                <w:rFonts w:ascii="宋体" w:hAnsi="宋体" w:cs="宋体"/>
                <w:color w:val="auto"/>
                <w:sz w:val="24"/>
                <w:highlight w:val="none"/>
              </w:rPr>
            </w:pPr>
            <w:r>
              <w:rPr>
                <w:rFonts w:hint="eastAsia" w:ascii="宋体" w:hAnsi="宋体" w:cs="宋体"/>
                <w:color w:val="auto"/>
                <w:sz w:val="24"/>
                <w:highlight w:val="none"/>
              </w:rPr>
              <w:t xml:space="preserve">价格分</w:t>
            </w:r>
            <w:r/>
          </w:p>
        </w:tc>
      </w:tr>
      <w:tr>
        <w:trPr>
          <w:jc w:val="center"/>
          <w:trHeight w:val="316"/>
        </w:trPr>
        <w:tc>
          <w:tcPr>
            <w:tcBorders>
              <w:top w:val="single" w:color="000000" w:sz="2" w:space="0"/>
              <w:bottom w:val="single" w:color="auto" w:sz="4"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2.1</w:t>
            </w:r>
            <w:r/>
          </w:p>
        </w:tc>
        <w:tc>
          <w:tcPr>
            <w:shd w:val="clear" w:color="auto" w:fill="auto"/>
            <w:tcBorders>
              <w:top w:val="single" w:color="000000" w:sz="2" w:space="0"/>
              <w:bottom w:val="single" w:color="auto" w:sz="4" w:space="0"/>
            </w:tcBorders>
            <w:tcW w:w="1281" w:type="dxa"/>
            <w:vAlign w:val="center"/>
            <w:textDirection w:val="lrTb"/>
            <w:noWrap w:val="false"/>
          </w:tcPr>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项目实施</w:t>
            </w:r>
            <w:r/>
          </w:p>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方案</w:t>
            </w:r>
            <w:r/>
          </w:p>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（10分）</w:t>
            </w:r>
            <w:r/>
          </w:p>
        </w:tc>
        <w:tc>
          <w:tcPr>
            <w:shd w:val="clear" w:color="auto" w:fill="auto"/>
            <w:tcBorders>
              <w:top w:val="single" w:color="000000" w:sz="2" w:space="0"/>
              <w:bottom w:val="single" w:color="auto" w:sz="4" w:space="0"/>
            </w:tcBorders>
            <w:tcW w:w="6514" w:type="dxa"/>
            <w:vAlign w:val="center"/>
            <w:textDirection w:val="lrTb"/>
            <w:noWrap w:val="false"/>
          </w:tcPr>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评委根据供应商提供的</w:t>
            </w:r>
            <w:r>
              <w:rPr>
                <w:rFonts w:hint="eastAsia" w:ascii="宋体" w:hAnsi="宋体" w:cs="宋体"/>
                <w:b/>
                <w:bCs/>
                <w:color w:val="auto"/>
                <w:sz w:val="24"/>
                <w:highlight w:val="none"/>
              </w:rPr>
              <w:t xml:space="preserve">项目实施方案（</w:t>
            </w:r>
            <w:r>
              <w:rPr>
                <w:rFonts w:hint="eastAsia" w:ascii="宋体" w:hAnsi="宋体" w:cs="宋体"/>
                <w:color w:val="auto"/>
                <w:sz w:val="24"/>
                <w:highlight w:val="none"/>
              </w:rPr>
              <w:t xml:space="preserve">供应商针对本项目的重点难点分析情况，保证项目完成期的方案和措施，包装</w:t>
            </w:r>
            <w:r>
              <w:rPr>
                <w:rFonts w:hint="eastAsia" w:ascii="宋体" w:hAnsi="宋体" w:cs="宋体"/>
                <w:bCs/>
                <w:color w:val="auto"/>
                <w:sz w:val="24"/>
                <w:highlight w:val="none"/>
              </w:rPr>
              <w:t xml:space="preserve">、运输方案和措施，</w:t>
            </w:r>
            <w:r>
              <w:rPr>
                <w:rFonts w:hint="eastAsia" w:ascii="宋体" w:hAnsi="宋体" w:cs="宋体"/>
                <w:color w:val="auto"/>
                <w:sz w:val="24"/>
                <w:highlight w:val="none"/>
              </w:rPr>
              <w:t xml:space="preserve">质量控制方案及操作计划实施制度和规范，</w:t>
            </w:r>
            <w:r>
              <w:rPr>
                <w:rFonts w:hint="eastAsia" w:ascii="宋体" w:hAnsi="宋体" w:cs="宋体"/>
                <w:bCs/>
                <w:color w:val="auto"/>
                <w:sz w:val="24"/>
                <w:highlight w:val="none"/>
              </w:rPr>
              <w:t xml:space="preserve">验收方案等内容</w:t>
            </w:r>
            <w:r>
              <w:rPr>
                <w:rFonts w:hint="eastAsia" w:ascii="宋体" w:hAnsi="宋体" w:cs="宋体"/>
                <w:color w:val="auto"/>
                <w:sz w:val="24"/>
                <w:highlight w:val="none"/>
              </w:rPr>
              <w:t xml:space="preserve">）</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评分： </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（1）项目实施方案完整，合理，科学，可操作性强得10分； </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（2）项目实施方案较为完整，合理性、科学性、可操作性较强 </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得7分； </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（3）项目实施方案基本完整、合理，有一定科学性、可操作性 </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得4分； </w:t>
            </w:r>
            <w:r/>
          </w:p>
          <w:p>
            <w:pPr>
              <w:jc w:val="left"/>
              <w:spacing w:line="460" w:lineRule="atLeast"/>
              <w:widowControl/>
              <w:rPr>
                <w:rFonts w:ascii="宋体" w:hAnsi="宋体" w:cs="宋体"/>
                <w:color w:val="auto"/>
                <w:spacing w:val="1"/>
                <w:sz w:val="24"/>
                <w:highlight w:val="none"/>
              </w:rPr>
            </w:pPr>
            <w:r>
              <w:rPr>
                <w:rFonts w:hint="eastAsia" w:ascii="宋体" w:hAnsi="宋体" w:cs="宋体"/>
                <w:color w:val="auto"/>
                <w:sz w:val="24"/>
                <w:highlight w:val="none"/>
              </w:rPr>
              <w:t xml:space="preserve">（4）方案不完整、不合理、不可行、不可操作或未提供的不得分。 </w:t>
            </w:r>
            <w:r/>
          </w:p>
        </w:tc>
        <w:tc>
          <w:tcPr>
            <w:tcBorders>
              <w:top w:val="single" w:color="000000" w:sz="2" w:space="0"/>
              <w:bottom w:val="single" w:color="auto" w:sz="4" w:space="0"/>
            </w:tcBorders>
            <w:tcW w:w="573" w:type="dxa"/>
            <w:vAlign w:val="center"/>
            <w:textDirection w:val="lrTb"/>
            <w:noWrap w:val="false"/>
          </w:tcPr>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10</w:t>
            </w:r>
            <w:r/>
          </w:p>
        </w:tc>
        <w:tc>
          <w:tcPr>
            <w:tcBorders>
              <w:top w:val="single" w:color="000000" w:sz="2" w:space="0"/>
              <w:bottom w:val="single" w:color="auto" w:sz="4" w:space="0"/>
            </w:tcBorders>
            <w:tcW w:w="534" w:type="dxa"/>
            <w:vAlign w:val="center"/>
            <w:textDirection w:val="lrTb"/>
            <w:noWrap w:val="false"/>
          </w:tcPr>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主观分</w:t>
            </w:r>
            <w:r/>
          </w:p>
        </w:tc>
      </w:tr>
      <w:tr>
        <w:trPr>
          <w:jc w:val="center"/>
          <w:trHeight w:val="420"/>
        </w:trPr>
        <w:tc>
          <w:tcPr>
            <w:shd w:val="clear" w:color="auto" w:fill="auto"/>
            <w:tcBorders>
              <w:top w:val="single" w:color="auto" w:sz="4"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2.2</w:t>
            </w:r>
            <w:r/>
          </w:p>
        </w:tc>
        <w:tc>
          <w:tcPr>
            <w:shd w:val="clear" w:color="auto" w:fill="auto"/>
            <w:tcBorders>
              <w:top w:val="single" w:color="auto" w:sz="4" w:space="0"/>
              <w:bottom w:val="single" w:color="000000" w:sz="2" w:space="0"/>
            </w:tcBorders>
            <w:tcW w:w="1281" w:type="dxa"/>
            <w:vAlign w:val="center"/>
            <w:textDirection w:val="lrTb"/>
            <w:noWrap w:val="false"/>
          </w:tcPr>
          <w:p>
            <w:pPr>
              <w:jc w:val="center"/>
              <w:spacing w:line="460" w:lineRule="atLeast"/>
              <w:rPr>
                <w:rFonts w:ascii="宋体" w:hAnsi="宋体" w:cs="宋体"/>
                <w:bCs/>
                <w:color w:val="auto"/>
                <w:sz w:val="24"/>
                <w:highlight w:val="none"/>
              </w:rPr>
            </w:pPr>
            <w:r>
              <w:rPr>
                <w:rFonts w:ascii="宋体" w:hAnsi="宋体" w:cs="宋体"/>
                <w:bCs/>
                <w:color w:val="auto"/>
                <w:sz w:val="24"/>
                <w:highlight w:val="none"/>
              </w:rPr>
              <w:t xml:space="preserve">作业配套流程和规章制度</w:t>
            </w:r>
            <w:r/>
          </w:p>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（10分）</w:t>
            </w:r>
            <w:r/>
          </w:p>
        </w:tc>
        <w:tc>
          <w:tcPr>
            <w:shd w:val="clear" w:color="auto" w:fill="auto"/>
            <w:tcBorders>
              <w:top w:val="single" w:color="auto" w:sz="4" w:space="0"/>
              <w:bottom w:val="single" w:color="000000" w:sz="2" w:space="0"/>
            </w:tcBorders>
            <w:tcW w:w="6514" w:type="dxa"/>
            <w:vAlign w:val="center"/>
            <w:textDirection w:val="lrTb"/>
            <w:noWrap w:val="false"/>
          </w:tcPr>
          <w:p>
            <w:pPr>
              <w:jc w:val="left"/>
              <w:spacing w:line="460" w:lineRule="atLeas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评委根据投标人提供的</w:t>
            </w:r>
            <w:r>
              <w:rPr>
                <w:rFonts w:ascii="宋体" w:hAnsi="宋体" w:cs="宋体"/>
                <w:b/>
                <w:color w:val="auto"/>
                <w:sz w:val="24"/>
                <w:highlight w:val="none"/>
              </w:rPr>
              <w:t xml:space="preserve">作业配套流程和规章制度</w:t>
            </w:r>
            <w:r>
              <w:rPr>
                <w:rFonts w:hint="eastAsia" w:ascii="宋体" w:hAnsi="宋体" w:cs="宋体"/>
                <w:color w:val="auto"/>
                <w:spacing w:val="1"/>
                <w:sz w:val="24"/>
                <w:highlight w:val="none"/>
              </w:rPr>
              <w:t xml:space="preserve">评分：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（1）作业配套流程和规章制度的可操作性强、服务计划安排科学合理得10分；</w:t>
            </w:r>
            <w:r/>
          </w:p>
          <w:p>
            <w:pPr>
              <w:jc w:val="left"/>
              <w:spacing w:line="460" w:lineRule="atLeast"/>
              <w:widowControl/>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作业配套流程和规章制度有较强针对性和可操作性，服务计划安排较合理得7分；</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（3）作业配套流程和规章制度有一定针对性和可操作性、服务计划安排基本合理得4分；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（4）作业配套流程和规章制度的针对性差、没有可操作性、没有服务计划安排或未提供的不得分。</w:t>
            </w:r>
            <w:r/>
          </w:p>
        </w:tc>
        <w:tc>
          <w:tcPr>
            <w:shd w:val="clear" w:color="auto" w:fill="auto"/>
            <w:tcBorders>
              <w:top w:val="single" w:color="auto" w:sz="4" w:space="0"/>
              <w:bottom w:val="single" w:color="000000" w:sz="2" w:space="0"/>
            </w:tcBorders>
            <w:tcW w:w="573" w:type="dxa"/>
            <w:vAlign w:val="center"/>
            <w:textDirection w:val="lrTb"/>
            <w:noWrap w:val="false"/>
          </w:tcPr>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10</w:t>
            </w:r>
            <w:r/>
          </w:p>
        </w:tc>
        <w:tc>
          <w:tcPr>
            <w:shd w:val="clear" w:color="auto" w:fill="auto"/>
            <w:tcBorders>
              <w:top w:val="single" w:color="auto" w:sz="4" w:space="0"/>
              <w:bottom w:val="single" w:color="000000" w:sz="2" w:space="0"/>
            </w:tcBorders>
            <w:tcW w:w="534" w:type="dxa"/>
            <w:vAlign w:val="center"/>
            <w:textDirection w:val="lrTb"/>
            <w:noWrap w:val="false"/>
          </w:tcPr>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主观</w:t>
            </w:r>
            <w:r/>
          </w:p>
          <w:p>
            <w:pPr>
              <w:jc w:val="cente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分</w:t>
            </w:r>
            <w:r/>
          </w:p>
        </w:tc>
      </w:tr>
      <w:tr>
        <w:trPr>
          <w:jc w:val="center"/>
          <w:trHeight w:val="1758"/>
        </w:trPr>
        <w:tc>
          <w:tcPr>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2.3</w:t>
            </w:r>
            <w:r/>
          </w:p>
        </w:tc>
        <w:tc>
          <w:tcPr>
            <w:shd w:val="clear" w:color="auto" w:fill="auto"/>
            <w:tcBorders>
              <w:top w:val="single" w:color="000000" w:sz="2" w:space="0"/>
              <w:bottom w:val="single" w:color="000000" w:sz="2" w:space="0"/>
            </w:tcBorders>
            <w:tcW w:w="1281" w:type="dxa"/>
            <w:vAlign w:val="center"/>
            <w:textDirection w:val="lrTb"/>
            <w:noWrap w:val="false"/>
          </w:tcPr>
          <w:p>
            <w:pPr>
              <w:jc w:val="center"/>
              <w:spacing w:line="460" w:lineRule="atLeast"/>
              <w:rPr>
                <w:rFonts w:eastAsia="Times New Roman"/>
                <w:bCs/>
                <w:color w:val="auto"/>
                <w:sz w:val="24"/>
                <w:highlight w:val="none"/>
              </w:rPr>
            </w:pPr>
            <w:r>
              <w:rPr>
                <w:rFonts w:hint="eastAsia"/>
                <w:bCs/>
                <w:color w:val="auto"/>
                <w:sz w:val="24"/>
                <w:highlight w:val="none"/>
              </w:rPr>
              <w:t xml:space="preserve">产品</w:t>
            </w:r>
            <w:r>
              <w:rPr>
                <w:rFonts w:eastAsia="Times New Roman"/>
                <w:bCs/>
                <w:color w:val="auto"/>
                <w:sz w:val="24"/>
                <w:highlight w:val="none"/>
              </w:rPr>
              <w:t xml:space="preserve">质量保障</w:t>
            </w:r>
            <w:r>
              <w:rPr>
                <w:rFonts w:hint="eastAsia"/>
                <w:bCs/>
                <w:color w:val="auto"/>
                <w:sz w:val="24"/>
                <w:highlight w:val="none"/>
              </w:rPr>
              <w:t xml:space="preserve">及</w:t>
            </w:r>
            <w:r>
              <w:rPr>
                <w:rFonts w:eastAsia="Times New Roman"/>
                <w:bCs/>
                <w:color w:val="auto"/>
                <w:sz w:val="24"/>
                <w:highlight w:val="none"/>
              </w:rPr>
              <w:t xml:space="preserve">措施</w:t>
            </w:r>
            <w:r/>
          </w:p>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（10分）</w:t>
            </w:r>
            <w:r/>
          </w:p>
        </w:tc>
        <w:tc>
          <w:tcPr>
            <w:shd w:val="clear" w:color="auto" w:fill="auto"/>
            <w:tcBorders>
              <w:top w:val="single" w:color="000000" w:sz="2" w:space="0"/>
              <w:bottom w:val="single" w:color="000000" w:sz="2" w:space="0"/>
            </w:tcBorders>
            <w:tcW w:w="6514" w:type="dxa"/>
            <w:textDirection w:val="lrTb"/>
            <w:noWrap w:val="false"/>
          </w:tcPr>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评委根据投标人提供的</w:t>
            </w:r>
            <w:r>
              <w:rPr>
                <w:rFonts w:hint="eastAsia" w:ascii="宋体" w:hAnsi="宋体" w:cs="宋体"/>
                <w:b/>
                <w:bCs/>
                <w:color w:val="auto"/>
                <w:spacing w:val="1"/>
                <w:sz w:val="24"/>
                <w:highlight w:val="none"/>
              </w:rPr>
              <w:t xml:space="preserve">产品质量保障及措施</w:t>
            </w:r>
            <w:r>
              <w:rPr>
                <w:rFonts w:hint="eastAsia" w:ascii="宋体" w:hAnsi="宋体" w:cs="宋体"/>
                <w:color w:val="auto"/>
                <w:spacing w:val="1"/>
                <w:sz w:val="24"/>
                <w:highlight w:val="none"/>
              </w:rPr>
              <w:t xml:space="preserve">评分：</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（1）产品质量保障及措施的可操作性强、服务计划安排科学合理得10分；</w:t>
            </w:r>
            <w:r/>
          </w:p>
          <w:p>
            <w:pPr>
              <w:jc w:val="left"/>
              <w:spacing w:line="460" w:lineRule="atLeast"/>
              <w:widowControl/>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产品质量保障及措施有较强针对性和可操作性，计划安排较合理得7分；</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（3）产品质量保障及措施有一定针对性和可操作性、计划安排基本合理得4分；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（4）产品质量保障及措施的针对性差、没有可操作性、没有计划安排或未提供的不得分。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2"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主</w:t>
            </w:r>
            <w:r>
              <w:rPr>
                <w:rFonts w:hint="eastAsia" w:ascii="宋体" w:hAnsi="宋体" w:cs="宋体"/>
                <w:color w:val="auto"/>
                <w:spacing w:val="-4"/>
                <w:sz w:val="24"/>
                <w:highlight w:val="none"/>
              </w:rPr>
              <w:t xml:space="preserve">观分</w:t>
            </w:r>
            <w:r/>
          </w:p>
        </w:tc>
      </w:tr>
      <w:tr>
        <w:trPr>
          <w:jc w:val="center"/>
          <w:trHeight w:val="825"/>
        </w:trPr>
        <w:tc>
          <w:tcPr>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2.4</w:t>
            </w:r>
            <w:r/>
          </w:p>
        </w:tc>
        <w:tc>
          <w:tcPr>
            <w:shd w:val="clear" w:color="auto" w:fill="auto"/>
            <w:tcBorders>
              <w:top w:val="single" w:color="000000" w:sz="2" w:space="0"/>
              <w:bottom w:val="single" w:color="000000" w:sz="2" w:space="0"/>
            </w:tcBorders>
            <w:tcW w:w="1281" w:type="dxa"/>
            <w:vAlign w:val="center"/>
            <w:textDirection w:val="lrTb"/>
            <w:noWrap w:val="false"/>
          </w:tcPr>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样品留存及管理方案</w:t>
            </w:r>
            <w:r/>
          </w:p>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（10分）</w:t>
            </w:r>
            <w:r/>
          </w:p>
        </w:tc>
        <w:tc>
          <w:tcPr>
            <w:shd w:val="clear" w:color="auto" w:fill="auto"/>
            <w:tcBorders>
              <w:top w:val="single" w:color="000000" w:sz="2" w:space="0"/>
              <w:bottom w:val="single" w:color="000000" w:sz="2" w:space="0"/>
            </w:tcBorders>
            <w:tcW w:w="6514" w:type="dxa"/>
            <w:vAlign w:val="center"/>
            <w:textDirection w:val="lrTb"/>
            <w:noWrap w:val="false"/>
          </w:tcPr>
          <w:p>
            <w:pPr>
              <w:jc w:val="left"/>
              <w:spacing w:line="460" w:lineRule="atLeas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评委根据投标人提供的</w:t>
            </w:r>
            <w:r>
              <w:rPr>
                <w:rFonts w:hint="eastAsia" w:ascii="宋体" w:hAnsi="宋体" w:cs="宋体"/>
                <w:b/>
                <w:bCs/>
                <w:color w:val="auto"/>
                <w:spacing w:val="1"/>
                <w:sz w:val="24"/>
                <w:highlight w:val="none"/>
              </w:rPr>
              <w:t xml:space="preserve">样品留存及管理方案</w:t>
            </w:r>
            <w:r>
              <w:rPr>
                <w:rFonts w:hint="eastAsia" w:ascii="宋体" w:hAnsi="宋体" w:cs="宋体"/>
                <w:color w:val="auto"/>
                <w:spacing w:val="1"/>
                <w:sz w:val="24"/>
                <w:highlight w:val="none"/>
              </w:rPr>
              <w:t xml:space="preserve">评分：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（1）样品留存及管理方案的可操作性强、服务计划安排科学合理得10分；</w:t>
            </w:r>
            <w:r/>
          </w:p>
          <w:p>
            <w:pPr>
              <w:jc w:val="left"/>
              <w:spacing w:line="460" w:lineRule="atLeast"/>
              <w:widowControl/>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样品留存及管理方案有较强针对性和可操作性，服务计划安排较合理得7分；</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（3）样品留存及管理方案有一定针对性和可操作性、服务计划安排基本合理得4分；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（4）样品留存及管理方案的针对性差、没有可操作性、没有服务计划安排或未提供的不得分。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2"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主</w:t>
            </w:r>
            <w:r>
              <w:rPr>
                <w:rFonts w:hint="eastAsia" w:ascii="宋体" w:hAnsi="宋体" w:cs="宋体"/>
                <w:color w:val="auto"/>
                <w:spacing w:val="-4"/>
                <w:sz w:val="24"/>
                <w:highlight w:val="none"/>
              </w:rPr>
              <w:t xml:space="preserve">观分</w:t>
            </w:r>
            <w:r/>
          </w:p>
        </w:tc>
      </w:tr>
      <w:tr>
        <w:trPr>
          <w:jc w:val="center"/>
          <w:trHeight w:val="555"/>
        </w:trPr>
        <w:tc>
          <w:tcPr>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2.5</w:t>
            </w:r>
            <w:r/>
          </w:p>
        </w:tc>
        <w:tc>
          <w:tcPr>
            <w:shd w:val="clear" w:color="auto" w:fill="auto"/>
            <w:tcBorders>
              <w:top w:val="single" w:color="000000" w:sz="2" w:space="0"/>
              <w:bottom w:val="single" w:color="000000" w:sz="2" w:space="0"/>
            </w:tcBorders>
            <w:tcW w:w="1281" w:type="dxa"/>
            <w:vAlign w:val="center"/>
            <w:textDirection w:val="lrTb"/>
            <w:noWrap w:val="false"/>
          </w:tcPr>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售后服务</w:t>
            </w:r>
            <w:r/>
          </w:p>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方案</w:t>
            </w:r>
            <w:r/>
          </w:p>
          <w:p>
            <w:pPr>
              <w:jc w:val="center"/>
              <w:spacing w:line="460" w:lineRule="atLeast"/>
              <w:rPr>
                <w:rFonts w:ascii="宋体" w:hAnsi="宋体" w:cs="宋体"/>
                <w:bCs/>
                <w:color w:val="auto"/>
                <w:spacing w:val="1"/>
                <w:sz w:val="24"/>
                <w:highlight w:val="none"/>
              </w:rPr>
            </w:pPr>
            <w:r>
              <w:rPr>
                <w:rFonts w:hint="eastAsia" w:ascii="宋体" w:hAnsi="宋体" w:cs="宋体"/>
                <w:bCs/>
                <w:color w:val="auto"/>
                <w:spacing w:val="1"/>
                <w:sz w:val="24"/>
                <w:highlight w:val="none"/>
              </w:rPr>
              <w:t xml:space="preserve">（5分）</w:t>
            </w:r>
            <w:r/>
          </w:p>
        </w:tc>
        <w:tc>
          <w:tcPr>
            <w:shd w:val="clear" w:color="auto" w:fill="auto"/>
            <w:tcBorders>
              <w:top w:val="single" w:color="000000" w:sz="2" w:space="0"/>
              <w:bottom w:val="single" w:color="000000" w:sz="2" w:space="0"/>
            </w:tcBorders>
            <w:tcW w:w="6514" w:type="dxa"/>
            <w:vAlign w:val="center"/>
            <w:textDirection w:val="lrTb"/>
            <w:noWrap w:val="false"/>
          </w:tcPr>
          <w:p>
            <w:pPr>
              <w:jc w:val="left"/>
              <w:spacing w:line="460" w:lineRule="atLeast"/>
              <w:widowControl/>
              <w:rPr>
                <w:rFonts w:ascii="宋体" w:hAnsi="宋体" w:cs="宋体"/>
                <w:color w:val="auto"/>
                <w:spacing w:val="1"/>
                <w:sz w:val="24"/>
                <w:highlight w:val="none"/>
              </w:rPr>
            </w:pPr>
            <w:r>
              <w:rPr>
                <w:rFonts w:hint="eastAsia" w:ascii="宋体" w:hAnsi="宋体" w:cs="宋体"/>
                <w:color w:val="auto"/>
                <w:spacing w:val="1"/>
                <w:sz w:val="24"/>
                <w:highlight w:val="none"/>
              </w:rPr>
              <w:t xml:space="preserve">评委根据投标人提供的</w:t>
            </w:r>
            <w:r>
              <w:rPr>
                <w:rFonts w:hint="eastAsia" w:ascii="宋体" w:hAnsi="宋体" w:cs="宋体"/>
                <w:b/>
                <w:bCs/>
                <w:color w:val="auto"/>
                <w:spacing w:val="1"/>
                <w:sz w:val="24"/>
                <w:highlight w:val="none"/>
              </w:rPr>
              <w:t xml:space="preserve">售后服务方案</w:t>
            </w:r>
            <w:r>
              <w:rPr>
                <w:rFonts w:hint="eastAsia" w:ascii="宋体" w:hAnsi="宋体" w:cs="宋体"/>
                <w:color w:val="auto"/>
                <w:spacing w:val="1"/>
                <w:sz w:val="24"/>
                <w:highlight w:val="none"/>
              </w:rPr>
              <w:t xml:space="preserve">评分：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（1）售后服务方案的可操作性强、服务计划安排科学合理得5分；</w:t>
            </w:r>
            <w:r/>
          </w:p>
          <w:p>
            <w:pPr>
              <w:jc w:val="left"/>
              <w:spacing w:line="460" w:lineRule="atLeast"/>
              <w:widowControl/>
              <w:rPr>
                <w:rFonts w:ascii="宋体" w:hAnsi="宋体" w:cs="宋体"/>
                <w:color w:val="auto"/>
                <w:sz w:val="24"/>
                <w:highlight w:val="none"/>
              </w:rPr>
            </w:pPr>
            <w:r>
              <w:rPr>
                <w:rFonts w:hint="eastAsia" w:ascii="宋体" w:hAnsi="宋体" w:cs="宋体"/>
                <w:color w:val="auto"/>
                <w:spacing w:val="1"/>
                <w:sz w:val="24"/>
                <w:highlight w:val="none"/>
              </w:rPr>
              <w:t xml:space="preserve">（2）</w:t>
            </w:r>
            <w:r>
              <w:rPr>
                <w:rFonts w:hint="eastAsia" w:ascii="宋体" w:hAnsi="宋体" w:cs="宋体"/>
                <w:color w:val="auto"/>
                <w:sz w:val="24"/>
                <w:highlight w:val="none"/>
              </w:rPr>
              <w:t xml:space="preserve">售后服务方案有较强针对性和可操作性，服务计划安排较合理得3分；</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（3）售后服务方案有一定针对性和可操作性、服务计划安排基本合理得1分； </w:t>
            </w:r>
            <w:r/>
          </w:p>
          <w:p>
            <w:pPr>
              <w:jc w:val="left"/>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（4）售后服务方案的针对性差、没有可操作性、没有服务计划安排或未提供的不得分。</w:t>
            </w:r>
            <w:r/>
          </w:p>
        </w:tc>
        <w:tc>
          <w:tcPr>
            <w:shd w:val="clear" w:color="auto" w:fill="auto"/>
            <w:tcBorders>
              <w:top w:val="single" w:color="000000" w:sz="2"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2"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主</w:t>
            </w:r>
            <w:r>
              <w:rPr>
                <w:rFonts w:hint="eastAsia" w:ascii="宋体" w:hAnsi="宋体" w:cs="宋体"/>
                <w:color w:val="auto"/>
                <w:spacing w:val="-4"/>
                <w:sz w:val="24"/>
                <w:highlight w:val="none"/>
              </w:rPr>
              <w:t xml:space="preserve">观分</w:t>
            </w:r>
            <w:r/>
          </w:p>
        </w:tc>
      </w:tr>
      <w:tr>
        <w:trPr>
          <w:jc w:val="center"/>
          <w:trHeight w:val="954"/>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2.5</w:t>
            </w:r>
            <w:r/>
          </w:p>
        </w:tc>
        <w:tc>
          <w:tcPr>
            <w:shd w:val="clear" w:color="auto" w:fill="auto"/>
            <w:tcBorders>
              <w:top w:val="single" w:color="000000" w:sz="2" w:space="0"/>
              <w:bottom w:val="single" w:color="000000" w:sz="2" w:space="0"/>
            </w:tcBorders>
            <w:tcW w:w="1281" w:type="dxa"/>
            <w:vAlign w:val="center"/>
            <w:textDirection w:val="lrTb"/>
            <w:noWrap w:val="false"/>
          </w:tcPr>
          <w:p>
            <w:pPr>
              <w:jc w:val="center"/>
              <w:spacing w:line="460" w:lineRule="atLeast"/>
              <w:rPr>
                <w:rFonts w:ascii="宋体" w:hAnsi="宋体" w:cs="宋体"/>
                <w:bCs/>
                <w:color w:val="auto"/>
                <w:sz w:val="24"/>
                <w:highlight w:val="none"/>
              </w:rPr>
            </w:pPr>
            <w:r>
              <w:rPr>
                <w:rFonts w:hint="eastAsia" w:ascii="宋体" w:hAnsi="宋体" w:cs="宋体"/>
                <w:bCs/>
                <w:color w:val="auto"/>
                <w:sz w:val="24"/>
                <w:highlight w:val="none"/>
              </w:rPr>
              <w:t xml:space="preserve">样品</w:t>
            </w:r>
            <w:r/>
          </w:p>
          <w:p>
            <w:pPr>
              <w:jc w:val="center"/>
              <w:spacing w:line="460" w:lineRule="atLeast"/>
              <w:rPr>
                <w:rFonts w:ascii="宋体" w:hAnsi="宋体" w:cs="宋体"/>
                <w:color w:val="auto"/>
                <w:spacing w:val="-2"/>
                <w:sz w:val="24"/>
                <w:highlight w:val="none"/>
              </w:rPr>
            </w:pPr>
            <w:r>
              <w:rPr>
                <w:rFonts w:hint="eastAsia" w:ascii="宋体" w:hAnsi="宋体" w:cs="宋体"/>
                <w:bCs/>
                <w:color w:val="auto"/>
                <w:spacing w:val="1"/>
                <w:sz w:val="24"/>
                <w:highlight w:val="none"/>
              </w:rPr>
              <w:t xml:space="preserve">（10分）</w:t>
            </w:r>
            <w:r/>
          </w:p>
        </w:tc>
        <w:tc>
          <w:tcPr>
            <w:shd w:val="clear" w:color="auto" w:fill="auto"/>
            <w:tcBorders>
              <w:top w:val="single" w:color="000000" w:sz="2" w:space="0"/>
              <w:bottom w:val="single" w:color="000000" w:sz="2" w:space="0"/>
            </w:tcBorders>
            <w:tcW w:w="6514" w:type="dxa"/>
            <w:vAlign w:val="center"/>
            <w:textDirection w:val="lrTb"/>
            <w:noWrap w:val="false"/>
          </w:tcPr>
          <w:p>
            <w:pPr>
              <w:jc w:val="left"/>
              <w:spacing w:line="460" w:lineRule="atLeast"/>
              <w:rPr>
                <w:rFonts w:ascii="宋体" w:hAnsi="宋体" w:cs="宋体"/>
                <w:color w:val="auto"/>
                <w:sz w:val="24"/>
                <w:highlight w:val="none"/>
              </w:rPr>
            </w:pPr>
            <w:r>
              <w:rPr>
                <w:rFonts w:hint="eastAsia" w:ascii="宋体" w:hAnsi="宋体" w:cs="宋体"/>
                <w:color w:val="auto"/>
                <w:sz w:val="24"/>
                <w:highlight w:val="none"/>
              </w:rPr>
              <w:t xml:space="preserve">评委根据投标人提供的</w:t>
            </w:r>
            <w:r>
              <w:rPr>
                <w:rFonts w:hint="eastAsia" w:ascii="宋体" w:hAnsi="宋体" w:cs="宋体"/>
                <w:b/>
                <w:bCs/>
                <w:color w:val="auto"/>
                <w:sz w:val="24"/>
                <w:highlight w:val="none"/>
              </w:rPr>
              <w:t xml:space="preserve">样品进行</w:t>
            </w:r>
            <w:r>
              <w:rPr>
                <w:rFonts w:hint="eastAsia" w:ascii="宋体" w:hAnsi="宋体" w:cs="宋体"/>
                <w:color w:val="auto"/>
                <w:sz w:val="24"/>
                <w:highlight w:val="none"/>
              </w:rPr>
              <w:t xml:space="preserve">评分：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评委根据投标人提供的样品品质、品牌、材质、外观、设计合理性等进行打分：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样品品质、品牌、材质、外观、设计合理性完全符合项目实际需求，且优秀的得10分。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样品品质、品牌、材质、外观、设计合理性基本符合项目实际需求，且较好的得7分。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样品品质、品牌、材质、外观、设计合理性不太符合项目实际需求且一般的得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未提供样品不得分。</w:t>
            </w:r>
            <w:r/>
          </w:p>
          <w:p>
            <w:pPr>
              <w:jc w:val="left"/>
              <w:spacing w:line="460" w:lineRule="atLeast"/>
              <w:widowControl/>
              <w:rPr>
                <w:rFonts w:ascii="宋体" w:hAnsi="宋体" w:cs="宋体"/>
                <w:color w:val="auto"/>
                <w:sz w:val="24"/>
                <w:highlight w:val="none"/>
              </w:rPr>
            </w:pPr>
            <w:r>
              <w:rPr>
                <w:rFonts w:hint="eastAsia" w:ascii="宋体" w:hAnsi="宋体" w:cs="宋体"/>
                <w:color w:val="auto"/>
                <w:sz w:val="24"/>
                <w:highlight w:val="none"/>
              </w:rPr>
              <w:t xml:space="preserve">样品递交要求：</w:t>
            </w:r>
            <w:r/>
          </w:p>
          <w:p>
            <w:pPr>
              <w:numPr>
                <w:ilvl w:val="0"/>
                <w:numId w:val="3"/>
              </w:numPr>
              <w:spacing w:line="460" w:lineRule="atLeast"/>
              <w:rPr>
                <w:rFonts w:hint="eastAsia" w:ascii="宋体" w:hAnsi="宋体" w:cs="宋体"/>
                <w:color w:val="auto"/>
                <w:sz w:val="24"/>
                <w:highlight w:val="none"/>
              </w:rPr>
            </w:pPr>
            <w:r>
              <w:rPr>
                <w:rFonts w:hint="eastAsia" w:ascii="宋体" w:hAnsi="宋体" w:cs="宋体"/>
                <w:color w:val="auto"/>
                <w:sz w:val="24"/>
                <w:highlight w:val="none"/>
              </w:rPr>
              <w:t xml:space="preserve">供应商提供以下样品各一件：</w:t>
            </w:r>
            <w:r/>
          </w:p>
          <w:p>
            <w:pPr>
              <w:numPr>
                <w:ilvl w:val="0"/>
                <w:numId w:val="0"/>
              </w:num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《货物采购清单》中序号12、18、32</w:t>
            </w:r>
            <w:r/>
          </w:p>
          <w:p>
            <w:pP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2.样品提交方式：投标截止时间前样品通过快递</w:t>
            </w:r>
            <w:r>
              <w:rPr>
                <w:rFonts w:hint="eastAsia" w:ascii="宋体" w:hAnsi="宋体" w:cs="宋体"/>
                <w:color w:val="auto"/>
                <w:sz w:val="24"/>
                <w:highlight w:val="none"/>
                <w:lang w:val="en-US" w:eastAsia="zh-CN"/>
              </w:rPr>
              <w:t xml:space="preserve">方式</w:t>
            </w:r>
            <w:r>
              <w:rPr>
                <w:rFonts w:hint="eastAsia" w:ascii="宋体" w:hAnsi="宋体" w:cs="宋体"/>
                <w:color w:val="auto"/>
                <w:sz w:val="24"/>
                <w:highlight w:val="none"/>
              </w:rPr>
              <w:t xml:space="preserve">送至南京市鼓楼区中山北路346号老学堂创意园58号楼9层（江苏骏通建设项目管理咨询有限公司），联系电话：025-83605026（陈工），样品应包装完好，并在外包装上标注供应商名称、项目名称和项目编号。内部样品应按照《货物采购清单》中对应序号顺序逐一标注。供应商应充分考虑快递在途时间，并提前跟代理公司确认收件情况，投标截止时间前未收到样品的，打分项中对应内容，按0分计算。</w:t>
            </w:r>
            <w:r/>
          </w:p>
          <w:p>
            <w:pPr>
              <w:spacing w:line="460" w:lineRule="atLeast"/>
              <w:rPr>
                <w:rFonts w:ascii="宋体" w:hAnsi="宋体" w:cs="宋体"/>
                <w:color w:val="auto"/>
                <w:sz w:val="24"/>
                <w:highlight w:val="none"/>
              </w:rPr>
            </w:pPr>
            <w:r>
              <w:rPr>
                <w:rFonts w:hint="eastAsia" w:ascii="宋体" w:hAnsi="宋体" w:cs="宋体"/>
                <w:b/>
                <w:bCs/>
                <w:color w:val="auto"/>
                <w:sz w:val="24"/>
                <w:highlight w:val="none"/>
              </w:rPr>
              <w:t xml:space="preserve">注：中标供应商的样品由采购人留样封存，未中标供应商的样品将在公示期结束后予以退回。（供应商放弃样品退回的，由代理机构自行处置）</w:t>
            </w:r>
            <w:r/>
          </w:p>
        </w:tc>
        <w:tc>
          <w:tcPr>
            <w:shd w:val="clear" w:color="auto" w:fill="auto"/>
            <w:tcBorders>
              <w:top w:val="single" w:color="000000" w:sz="2"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auto" w:fill="auto"/>
            <w:tcBorders>
              <w:top w:val="single" w:color="000000" w:sz="2"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主</w:t>
            </w:r>
            <w:r>
              <w:rPr>
                <w:rFonts w:hint="eastAsia" w:ascii="宋体" w:hAnsi="宋体" w:cs="宋体"/>
                <w:color w:val="auto"/>
                <w:spacing w:val="-4"/>
                <w:sz w:val="24"/>
                <w:highlight w:val="none"/>
              </w:rPr>
              <w:t xml:space="preserve">观分</w:t>
            </w:r>
            <w:r/>
          </w:p>
        </w:tc>
      </w:tr>
      <w:tr>
        <w:trPr>
          <w:jc w:val="center"/>
          <w:trHeight w:val="90"/>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3.2</w:t>
            </w:r>
            <w:r/>
          </w:p>
        </w:tc>
        <w:tc>
          <w:tcPr>
            <w:shd w:val="clear" w:color="auto" w:fill="auto"/>
            <w:tcBorders>
              <w:top w:val="single" w:color="000000" w:sz="2" w:space="0"/>
              <w:bottom w:val="single" w:color="000000" w:sz="2" w:space="0"/>
            </w:tcBorders>
            <w:tcW w:w="1281" w:type="dxa"/>
            <w:vAlign w:val="center"/>
            <w:textDirection w:val="lrTb"/>
            <w:noWrap w:val="false"/>
          </w:tcPr>
          <w:p>
            <w:pPr>
              <w:jc w:val="center"/>
              <w:spacing w:before="69"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投标人</w:t>
            </w:r>
            <w:r/>
          </w:p>
          <w:p>
            <w:pPr>
              <w:jc w:val="center"/>
              <w:spacing w:before="69"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业绩</w:t>
            </w:r>
            <w:r/>
          </w:p>
          <w:p>
            <w:pPr>
              <w:jc w:val="center"/>
              <w:spacing w:before="69" w:line="460" w:lineRule="atLeast"/>
              <w:rPr>
                <w:rFonts w:ascii="宋体" w:hAnsi="宋体" w:cs="宋体"/>
                <w:color w:val="auto"/>
                <w:spacing w:val="-2"/>
                <w:sz w:val="24"/>
                <w:highlight w:val="none"/>
              </w:rPr>
            </w:pPr>
            <w:r>
              <w:rPr>
                <w:rFonts w:hint="eastAsia" w:ascii="宋体" w:hAnsi="宋体" w:cs="宋体"/>
                <w:color w:val="auto"/>
                <w:spacing w:val="-1"/>
                <w:sz w:val="24"/>
                <w:highlight w:val="none"/>
              </w:rPr>
              <w:t xml:space="preserve">（6分）</w:t>
            </w:r>
            <w:r/>
          </w:p>
        </w:tc>
        <w:tc>
          <w:tcPr>
            <w:shd w:val="clear" w:color="auto" w:fill="auto"/>
            <w:tcBorders>
              <w:top w:val="single" w:color="000000" w:sz="2" w:space="0"/>
              <w:bottom w:val="single" w:color="000000" w:sz="2" w:space="0"/>
            </w:tcBorders>
            <w:tcW w:w="6514" w:type="dxa"/>
            <w:vAlign w:val="center"/>
            <w:textDirection w:val="lrTb"/>
            <w:noWrap w:val="false"/>
          </w:tcPr>
          <w:p>
            <w:pPr>
              <w:spacing w:line="460" w:lineRule="atLeast"/>
              <w:rPr>
                <w:rFonts w:ascii="宋体" w:hAnsi="宋体" w:cs="宋体"/>
                <w:color w:val="auto"/>
                <w:sz w:val="24"/>
                <w:highlight w:val="none"/>
              </w:rPr>
            </w:pPr>
            <w:r>
              <w:rPr>
                <w:rFonts w:hint="eastAsia" w:ascii="宋体" w:hAnsi="宋体" w:cs="宋体"/>
                <w:color w:val="auto"/>
                <w:spacing w:val="1"/>
                <w:sz w:val="24"/>
                <w:highlight w:val="none"/>
              </w:rPr>
              <w:t xml:space="preserve">投标人自2022年11月1日以来具有类似食堂一次性餐具业绩的，每提供1个得3分，本项满分6分（提供有效合同原件扫描件，时间以合同签订时间为准，提供资料需能反应上述情况，否则视为未提供）。</w:t>
            </w:r>
            <w:r/>
          </w:p>
        </w:tc>
        <w:tc>
          <w:tcPr>
            <w:shd w:val="clear" w:color="auto" w:fill="auto"/>
            <w:tcBorders>
              <w:top w:val="single" w:color="000000" w:sz="2"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2"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客</w:t>
            </w:r>
            <w:r>
              <w:rPr>
                <w:rFonts w:hint="eastAsia" w:ascii="宋体" w:hAnsi="宋体" w:cs="宋体"/>
                <w:color w:val="auto"/>
                <w:spacing w:val="-4"/>
                <w:sz w:val="24"/>
                <w:highlight w:val="none"/>
              </w:rPr>
              <w:t xml:space="preserve">观分</w:t>
            </w:r>
            <w:r/>
          </w:p>
        </w:tc>
      </w:tr>
      <w:tr>
        <w:trPr>
          <w:jc w:val="center"/>
          <w:trHeight w:val="1151"/>
        </w:trPr>
        <w:tc>
          <w:tcPr>
            <w:shd w:val="clear" w:color="auto" w:fill="auto"/>
            <w:tcBorders>
              <w:top w:val="single" w:color="000000" w:sz="2" w:space="0"/>
              <w:bottom w:val="single" w:color="auto" w:sz="4"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hint="eastAsia" w:ascii="宋体" w:hAnsi="宋体" w:cs="宋体"/>
                <w:color w:val="auto"/>
                <w:spacing w:val="-2"/>
                <w:sz w:val="24"/>
                <w:highlight w:val="none"/>
              </w:rPr>
              <w:t xml:space="preserve">3.3</w:t>
            </w:r>
            <w:r/>
          </w:p>
        </w:tc>
        <w:tc>
          <w:tcPr>
            <w:shd w:val="clear" w:color="auto" w:fill="auto"/>
            <w:tcBorders>
              <w:top w:val="single" w:color="000000" w:sz="2" w:space="0"/>
              <w:bottom w:val="single" w:color="auto" w:sz="4" w:space="0"/>
            </w:tcBorders>
            <w:tcW w:w="1281" w:type="dxa"/>
            <w:vAlign w:val="center"/>
            <w:textDirection w:val="lrTb"/>
            <w:noWrap w:val="false"/>
          </w:tcPr>
          <w:p>
            <w:pPr>
              <w:jc w:val="cente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履约能力</w:t>
            </w:r>
            <w:r/>
          </w:p>
          <w:p>
            <w:pPr>
              <w:jc w:val="center"/>
              <w:spacing w:line="460" w:lineRule="atLeast"/>
              <w:rPr>
                <w:rFonts w:ascii="宋体" w:hAnsi="宋体" w:cs="宋体"/>
                <w:color w:val="auto"/>
                <w:spacing w:val="-1"/>
                <w:sz w:val="24"/>
                <w:highlight w:val="none"/>
              </w:rPr>
            </w:pPr>
            <w:r>
              <w:rPr>
                <w:rFonts w:hint="eastAsia" w:ascii="宋体" w:hAnsi="宋体" w:cs="宋体"/>
                <w:color w:val="auto"/>
                <w:sz w:val="24"/>
                <w:highlight w:val="none"/>
              </w:rPr>
              <w:t xml:space="preserve">（4分）</w:t>
            </w:r>
            <w:r/>
          </w:p>
        </w:tc>
        <w:tc>
          <w:tcPr>
            <w:shd w:val="clear" w:color="auto" w:fill="auto"/>
            <w:tcBorders>
              <w:top w:val="single" w:color="000000" w:sz="2" w:space="0"/>
              <w:bottom w:val="single" w:color="auto" w:sz="4" w:space="0"/>
            </w:tcBorders>
            <w:tcW w:w="6514" w:type="dxa"/>
            <w:vAlign w:val="center"/>
            <w:textDirection w:val="lrTb"/>
            <w:noWrap w:val="false"/>
          </w:tcPr>
          <w:p>
            <w:pPr>
              <w:spacing w:line="460" w:lineRule="atLeast"/>
              <w:rPr>
                <w:rFonts w:ascii="宋体" w:hAnsi="宋体" w:cs="宋体"/>
                <w:color w:val="auto"/>
                <w:spacing w:val="1"/>
                <w:sz w:val="24"/>
                <w:highlight w:val="none"/>
              </w:rPr>
            </w:pPr>
            <w:r/>
            <w:bookmarkStart w:id="11" w:name="_Hlk143507395"/>
            <w:r>
              <w:rPr>
                <w:rFonts w:hint="eastAsia" w:ascii="宋体" w:hAnsi="宋体" w:cs="宋体"/>
                <w:color w:val="auto"/>
                <w:spacing w:val="1"/>
                <w:sz w:val="24"/>
                <w:highlight w:val="none"/>
              </w:rPr>
              <w:t xml:space="preserve">投标人具有拟投入本项目的物流运输车辆，每提供一辆得2分，本项满分4分，没有不得分；</w:t>
            </w:r>
            <w:bookmarkEnd w:id="11"/>
            <w:r/>
            <w:r/>
          </w:p>
          <w:p>
            <w:pP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（以上车辆应为供应商自有车辆或租赁车辆，如为自有车辆须提供车辆照片、机动车行驶证；如为租赁车辆须提供租赁合同及出租方持有车辆的照片及机动车行驶证；所提供资料须能反映评审要求，否则不得分）</w:t>
            </w:r>
            <w:r/>
          </w:p>
        </w:tc>
        <w:tc>
          <w:tcPr>
            <w:shd w:val="clear" w:color="auto" w:fill="auto"/>
            <w:tcBorders>
              <w:top w:val="single" w:color="000000" w:sz="2" w:space="0"/>
              <w:bottom w:val="single" w:color="auto" w:sz="4"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000000" w:sz="2" w:space="0"/>
              <w:bottom w:val="single" w:color="auto" w:sz="4" w:space="0"/>
            </w:tcBorders>
            <w:tcW w:w="534"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pacing w:val="-6"/>
                <w:sz w:val="24"/>
                <w:highlight w:val="none"/>
              </w:rPr>
              <w:t xml:space="preserve">客</w:t>
            </w:r>
            <w:r>
              <w:rPr>
                <w:rFonts w:hint="eastAsia" w:ascii="宋体" w:hAnsi="宋体" w:cs="宋体"/>
                <w:color w:val="auto"/>
                <w:spacing w:val="-4"/>
                <w:sz w:val="24"/>
                <w:highlight w:val="none"/>
              </w:rPr>
              <w:t xml:space="preserve">观分</w:t>
            </w:r>
            <w:r/>
          </w:p>
        </w:tc>
      </w:tr>
      <w:tr>
        <w:trPr>
          <w:jc w:val="center"/>
          <w:trHeight w:val="1154"/>
        </w:trPr>
        <w:tc>
          <w:tcPr>
            <w:shd w:val="clear" w:color="auto" w:fill="auto"/>
            <w:tcBorders>
              <w:top w:val="single" w:color="auto" w:sz="4" w:space="0"/>
              <w:bottom w:val="single" w:color="000000" w:sz="2" w:space="0"/>
            </w:tcBorders>
            <w:tcW w:w="519" w:type="dxa"/>
            <w:vAlign w:val="center"/>
            <w:textDirection w:val="lrTb"/>
            <w:noWrap w:val="false"/>
          </w:tcPr>
          <w:p>
            <w:pPr>
              <w:jc w:val="center"/>
              <w:spacing w:before="68" w:line="460" w:lineRule="atLeast"/>
              <w:rPr>
                <w:rFonts w:ascii="宋体" w:hAnsi="宋体" w:cs="宋体"/>
                <w:color w:val="auto"/>
                <w:spacing w:val="-2"/>
                <w:sz w:val="24"/>
                <w:highlight w:val="none"/>
              </w:rPr>
            </w:pPr>
            <w:r>
              <w:rPr>
                <w:rFonts w:ascii="宋体" w:hAnsi="宋体" w:cs="宋体"/>
                <w:color w:val="auto"/>
                <w:spacing w:val="-2"/>
                <w:sz w:val="24"/>
                <w:highlight w:val="none"/>
              </w:rPr>
            </w:r>
            <w:r/>
          </w:p>
        </w:tc>
        <w:tc>
          <w:tcPr>
            <w:shd w:val="clear" w:color="auto" w:fill="auto"/>
            <w:tcBorders>
              <w:top w:val="single" w:color="auto" w:sz="4" w:space="0"/>
              <w:bottom w:val="single" w:color="000000" w:sz="2" w:space="0"/>
            </w:tcBorders>
            <w:tcW w:w="1281" w:type="dxa"/>
            <w:vAlign w:val="center"/>
            <w:textDirection w:val="lrTb"/>
            <w:noWrap w:val="false"/>
          </w:tcPr>
          <w:p>
            <w:pPr>
              <w:jc w:val="center"/>
              <w:spacing w:line="460" w:lineRule="atLeast"/>
              <w:rPr>
                <w:rFonts w:ascii="宋体" w:hAnsi="宋体" w:cs="宋体"/>
                <w:color w:val="auto"/>
                <w:sz w:val="24"/>
                <w:highlight w:val="none"/>
              </w:rPr>
            </w:pPr>
            <w:r>
              <w:rPr>
                <w:rFonts w:hint="eastAsia" w:ascii="宋体" w:hAnsi="宋体" w:cs="宋体"/>
                <w:color w:val="auto"/>
                <w:sz w:val="24"/>
                <w:highlight w:val="none"/>
              </w:rPr>
              <w:t xml:space="preserve">服务承诺 （5分）</w:t>
            </w:r>
            <w:r/>
          </w:p>
        </w:tc>
        <w:tc>
          <w:tcPr>
            <w:shd w:val="clear" w:color="auto" w:fill="auto"/>
            <w:tcBorders>
              <w:top w:val="single" w:color="auto" w:sz="4" w:space="0"/>
              <w:bottom w:val="single" w:color="000000" w:sz="2" w:space="0"/>
            </w:tcBorders>
            <w:tcW w:w="6514" w:type="dxa"/>
            <w:vAlign w:val="center"/>
            <w:textDirection w:val="lrTb"/>
            <w:noWrap w:val="false"/>
          </w:tcPr>
          <w:p>
            <w:pPr>
              <w:spacing w:line="460" w:lineRule="atLeast"/>
              <w:rPr>
                <w:rFonts w:ascii="宋体" w:hAnsi="宋体" w:cs="宋体"/>
                <w:color w:val="auto"/>
                <w:spacing w:val="1"/>
                <w:sz w:val="24"/>
                <w:highlight w:val="none"/>
              </w:rPr>
            </w:pPr>
            <w:r>
              <w:rPr>
                <w:rFonts w:hint="eastAsia" w:ascii="宋体" w:hAnsi="宋体" w:cs="宋体"/>
                <w:color w:val="auto"/>
                <w:spacing w:val="1"/>
                <w:sz w:val="24"/>
                <w:highlight w:val="none"/>
              </w:rPr>
              <w:t xml:space="preserve">投标人提供相关服务承诺，内容为：投标人承诺中标后，项目履约期间有专人24小时电话保持畅通。项目出现紧急情况后1小时内人员到场处理，并及时与招标人汇报。（投标人提供相关服务承诺原件</w:t>
            </w:r>
            <w:r>
              <w:rPr>
                <w:rFonts w:hint="eastAsia" w:ascii="宋体" w:hAnsi="宋体" w:cs="宋体"/>
                <w:color w:val="auto"/>
                <w:spacing w:val="1"/>
                <w:sz w:val="24"/>
                <w:highlight w:val="none"/>
                <w:lang w:val="en-US" w:eastAsia="zh-CN"/>
              </w:rPr>
              <w:t xml:space="preserve">扫描件</w:t>
            </w:r>
            <w:r>
              <w:rPr>
                <w:rFonts w:hint="eastAsia" w:ascii="宋体" w:hAnsi="宋体" w:cs="宋体"/>
                <w:color w:val="auto"/>
                <w:spacing w:val="1"/>
                <w:sz w:val="24"/>
                <w:highlight w:val="none"/>
              </w:rPr>
              <w:t xml:space="preserve">并加盖公章，内容需完整得5分，否则不得分）</w:t>
            </w:r>
            <w:r/>
          </w:p>
          <w:p>
            <w:pPr>
              <w:spacing w:line="460" w:lineRule="atLeast"/>
              <w:rPr>
                <w:rFonts w:ascii="宋体" w:hAnsi="宋体" w:cs="宋体"/>
                <w:color w:val="auto"/>
                <w:sz w:val="24"/>
                <w:highlight w:val="none"/>
              </w:rPr>
            </w:pPr>
            <w:r>
              <w:rPr>
                <w:rFonts w:hint="eastAsia" w:ascii="宋体" w:hAnsi="宋体" w:cs="宋体"/>
                <w:color w:val="auto"/>
                <w:spacing w:val="1"/>
                <w:sz w:val="24"/>
                <w:highlight w:val="none"/>
              </w:rPr>
              <w:t xml:space="preserve">注：上述承诺仅接受其要求内容的逐字复制响应，不得擅自发散理解及修改。</w:t>
            </w:r>
            <w:r/>
          </w:p>
        </w:tc>
        <w:tc>
          <w:tcPr>
            <w:shd w:val="clear" w:color="auto" w:fill="auto"/>
            <w:tcBorders>
              <w:top w:val="single" w:color="auto" w:sz="4" w:space="0"/>
              <w:bottom w:val="single" w:color="000000" w:sz="2" w:space="0"/>
            </w:tcBorders>
            <w:tcW w:w="573" w:type="dxa"/>
            <w:vAlign w:val="center"/>
            <w:textDirection w:val="lrTb"/>
            <w:noWrap w:val="false"/>
          </w:tcPr>
          <w:p>
            <w:pPr>
              <w:jc w:val="center"/>
              <w:spacing w:before="68" w:line="460" w:lineRule="atLeast"/>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auto" w:sz="4" w:space="0"/>
              <w:bottom w:val="single" w:color="000000" w:sz="2" w:space="0"/>
            </w:tcBorders>
            <w:tcW w:w="534" w:type="dxa"/>
            <w:vAlign w:val="center"/>
            <w:textDirection w:val="lrTb"/>
            <w:noWrap w:val="false"/>
          </w:tcPr>
          <w:p>
            <w:pPr>
              <w:jc w:val="center"/>
              <w:spacing w:before="68" w:line="460" w:lineRule="atLeast"/>
              <w:rPr>
                <w:rFonts w:ascii="宋体" w:hAnsi="宋体" w:cs="宋体"/>
                <w:color w:val="auto"/>
                <w:spacing w:val="-6"/>
                <w:sz w:val="24"/>
                <w:highlight w:val="none"/>
              </w:rPr>
            </w:pPr>
            <w:r>
              <w:rPr>
                <w:rFonts w:hint="eastAsia" w:ascii="宋体" w:hAnsi="宋体" w:cs="宋体"/>
                <w:color w:val="auto"/>
                <w:spacing w:val="-6"/>
                <w:sz w:val="24"/>
                <w:highlight w:val="none"/>
              </w:rPr>
              <w:t xml:space="preserve">客观</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460" w:lineRule="atLeast"/>
              <w:rPr>
                <w:rFonts w:ascii="宋体" w:hAnsi="宋体" w:cs="宋体"/>
                <w:color w:val="auto"/>
                <w:sz w:val="24"/>
                <w:highlight w:val="none"/>
              </w:rPr>
            </w:pPr>
            <w:r>
              <w:rPr>
                <w:rFonts w:hint="eastAsia" w:ascii="宋体" w:hAnsi="宋体" w:cs="宋体"/>
                <w:color w:val="auto"/>
                <w:spacing w:val="-3"/>
                <w:sz w:val="24"/>
                <w:highlight w:val="none"/>
              </w:rPr>
              <w:t xml:space="preserve">合</w:t>
            </w:r>
            <w:r>
              <w:rPr>
                <w:rFonts w:hint="eastAsia" w:ascii="宋体" w:hAnsi="宋体" w:cs="宋体"/>
                <w:color w:val="auto"/>
                <w:spacing w:val="-2"/>
                <w:sz w:val="24"/>
                <w:highlight w:val="none"/>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460" w:lineRule="atLeast"/>
              <w:rPr>
                <w:rFonts w:ascii="宋体" w:hAnsi="宋体" w:cs="宋体"/>
                <w:color w:val="auto"/>
                <w:spacing w:val="-2"/>
                <w:sz w:val="24"/>
                <w:highlight w:val="none"/>
              </w:rPr>
            </w:pPr>
            <w:r>
              <w:rPr>
                <w:rFonts w:ascii="宋体" w:hAnsi="宋体" w:cs="宋体"/>
                <w:color w:val="auto"/>
                <w:spacing w:val="-2"/>
                <w:sz w:val="24"/>
                <w:highlight w:val="none"/>
              </w:rPr>
            </w:r>
            <w:r/>
          </w:p>
        </w:tc>
        <w:tc>
          <w:tcPr>
            <w:gridSpan w:val="2"/>
            <w:tcBorders>
              <w:top w:val="single" w:color="000000" w:sz="2" w:space="0"/>
              <w:bottom w:val="single" w:color="000000" w:sz="2" w:space="0"/>
            </w:tcBorders>
            <w:tcW w:w="1107" w:type="dxa"/>
            <w:vAlign w:val="center"/>
            <w:textDirection w:val="lrTb"/>
            <w:noWrap w:val="false"/>
          </w:tcPr>
          <w:p>
            <w:pPr>
              <w:jc w:val="center"/>
              <w:spacing w:line="460" w:lineRule="atLeast"/>
              <w:rPr>
                <w:rFonts w:ascii="宋体" w:hAnsi="宋体" w:cs="宋体"/>
                <w:color w:val="auto"/>
                <w:sz w:val="24"/>
                <w:highlight w:val="none"/>
              </w:rPr>
            </w:pPr>
            <w:r>
              <w:rPr>
                <w:rFonts w:hint="eastAsia" w:ascii="宋体" w:hAnsi="宋体" w:cs="宋体"/>
                <w:color w:val="auto"/>
                <w:spacing w:val="-11"/>
                <w:sz w:val="24"/>
                <w:highlight w:val="none"/>
              </w:rPr>
              <w:t xml:space="preserve">100分</w:t>
            </w:r>
            <w:r/>
          </w:p>
        </w:tc>
      </w:tr>
    </w:tbl>
    <w:p>
      <w:pPr>
        <w:spacing w:line="460" w:lineRule="exact"/>
        <w:rPr>
          <w:rFonts w:ascii="宋体" w:hAnsi="宋体" w:cs="宋体"/>
          <w:color w:val="auto"/>
          <w:sz w:val="36"/>
          <w:szCs w:val="36"/>
          <w:highlight w:val="none"/>
        </w:rPr>
      </w:pPr>
      <w:r>
        <w:rPr>
          <w:rFonts w:ascii="宋体" w:hAnsi="宋体" w:cs="宋体"/>
          <w:color w:val="auto"/>
          <w:sz w:val="36"/>
          <w:szCs w:val="36"/>
          <w:highlight w:val="none"/>
        </w:rPr>
      </w:r>
      <w:r/>
    </w:p>
    <w:p>
      <w:pPr>
        <w:pStyle w:val="679"/>
        <w:jc w:val="both"/>
        <w:spacing w:line="460" w:lineRule="exact"/>
        <w:rPr>
          <w:rFonts w:ascii="宋体" w:hAnsi="宋体" w:cs="宋体"/>
          <w:color w:val="auto"/>
          <w:highlight w:val="none"/>
        </w:rPr>
      </w:pPr>
      <w:r>
        <w:rPr>
          <w:rFonts w:ascii="宋体" w:hAnsi="宋体" w:cs="宋体"/>
          <w:color w:val="auto"/>
          <w:highlight w:val="none"/>
        </w:rPr>
      </w:r>
      <w:r/>
    </w:p>
    <w:p>
      <w:pPr>
        <w:rPr>
          <w:rFonts w:ascii="宋体" w:hAnsi="宋体" w:cs="宋体"/>
          <w:color w:val="auto"/>
          <w:sz w:val="36"/>
          <w:szCs w:val="36"/>
          <w:highlight w:val="none"/>
        </w:rPr>
      </w:pPr>
      <w:r/>
      <w:bookmarkStart w:id="12" w:name="_Toc510447931"/>
      <w:r/>
      <w:bookmarkStart w:id="13" w:name="_Toc481604678"/>
      <w:r>
        <w:rPr>
          <w:rFonts w:hint="eastAsia" w:ascii="宋体" w:hAnsi="宋体" w:cs="宋体"/>
          <w:color w:val="auto"/>
          <w:sz w:val="36"/>
          <w:szCs w:val="36"/>
          <w:highlight w:val="none"/>
        </w:rPr>
        <w:br w:type="page" w:clear="all"/>
      </w:r>
      <w:r/>
    </w:p>
    <w:p>
      <w:pPr>
        <w:jc w:val="center"/>
        <w:spacing w:line="460" w:lineRule="exact"/>
        <w:rPr>
          <w:rFonts w:ascii="宋体" w:hAnsi="宋体" w:cs="宋体"/>
          <w:color w:val="auto"/>
          <w:highlight w:val="none"/>
        </w:rPr>
      </w:pPr>
      <w:r>
        <w:rPr>
          <w:rFonts w:hint="eastAsia" w:ascii="宋体" w:hAnsi="宋体" w:cs="宋体"/>
          <w:color w:val="auto"/>
          <w:sz w:val="36"/>
          <w:szCs w:val="36"/>
          <w:highlight w:val="none"/>
        </w:rPr>
        <w:t xml:space="preserve">第六章  </w:t>
      </w:r>
      <w:bookmarkEnd w:id="12"/>
      <w:r/>
      <w:bookmarkEnd w:id="13"/>
      <w:r>
        <w:rPr>
          <w:rFonts w:hint="eastAsia" w:ascii="宋体" w:hAnsi="宋体" w:cs="宋体"/>
          <w:color w:val="auto"/>
          <w:sz w:val="36"/>
          <w:szCs w:val="36"/>
          <w:highlight w:val="none"/>
        </w:rPr>
        <w:t xml:space="preserve">投标文件格式</w:t>
      </w:r>
      <w:r/>
    </w:p>
    <w:p>
      <w:pPr>
        <w:jc w:val="center"/>
        <w:spacing w:line="460" w:lineRule="exact"/>
        <w:rPr>
          <w:rFonts w:ascii="宋体" w:hAnsi="宋体" w:cs="宋体"/>
          <w:color w:val="auto"/>
          <w:sz w:val="20"/>
          <w:szCs w:val="20"/>
          <w:highlight w:val="none"/>
        </w:rPr>
      </w:pPr>
      <w:r>
        <w:rPr>
          <w:rFonts w:ascii="宋体" w:hAnsi="宋体" w:cs="宋体"/>
          <w:color w:val="auto"/>
          <w:sz w:val="20"/>
          <w:szCs w:val="20"/>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color w:val="auto"/>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w:t>
      </w:r>
      <w:r>
        <w:rPr>
          <w:rFonts w:hint="eastAsia" w:ascii="宋体" w:hAnsi="宋体" w:cs="宋体"/>
          <w:color w:val="auto"/>
          <w:sz w:val="28"/>
          <w:szCs w:val="28"/>
          <w:highlight w:val="none"/>
          <w:lang w:val="zh-CN"/>
        </w:rPr>
        <w:t xml:space="preserve"> 供应商认为与投标有关的其他资料</w:t>
      </w:r>
      <w:r>
        <w:rPr>
          <w:rFonts w:hint="eastAsia" w:ascii="宋体" w:hAnsi="宋体" w:cs="宋体"/>
          <w:color w:val="auto"/>
          <w:sz w:val="28"/>
          <w:szCs w:val="28"/>
          <w:highlight w:val="none"/>
        </w:rPr>
        <w:t xml:space="preserve">(格式自拟)</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27"/>
        <w:rPr>
          <w:color w:val="auto"/>
          <w:sz w:val="24"/>
          <w:highlight w:val="none"/>
        </w:rPr>
      </w:pPr>
      <w:r>
        <w:rPr>
          <w:color w:val="auto"/>
          <w:sz w:val="24"/>
          <w:highlight w:val="none"/>
        </w:rPr>
      </w:r>
      <w:r/>
    </w:p>
    <w:p>
      <w:pPr>
        <w:pStyle w:val="927"/>
        <w:rPr>
          <w:color w:val="auto"/>
          <w:sz w:val="24"/>
          <w:highlight w:val="none"/>
        </w:rPr>
      </w:pPr>
      <w:r>
        <w:rPr>
          <w:color w:val="auto"/>
          <w:sz w:val="24"/>
          <w:highlight w:val="none"/>
        </w:rPr>
      </w:r>
      <w:r/>
    </w:p>
    <w:p>
      <w:pPr>
        <w:pStyle w:val="927"/>
        <w:rPr>
          <w:color w:val="auto"/>
          <w:sz w:val="24"/>
          <w:highlight w:val="none"/>
        </w:rPr>
      </w:pPr>
      <w:r>
        <w:rPr>
          <w:color w:val="auto"/>
          <w:sz w:val="24"/>
          <w:highlight w:val="none"/>
        </w:rPr>
      </w:r>
      <w:r/>
    </w:p>
    <w:p>
      <w:pPr>
        <w:pStyle w:val="927"/>
        <w:rPr>
          <w:color w:val="auto"/>
          <w:sz w:val="24"/>
          <w:highlight w:val="none"/>
        </w:rPr>
      </w:pPr>
      <w:r>
        <w:rPr>
          <w:color w:val="auto"/>
          <w:sz w:val="24"/>
          <w:highlight w:val="none"/>
        </w:rPr>
      </w:r>
      <w:r/>
    </w:p>
    <w:p>
      <w:pPr>
        <w:pStyle w:val="927"/>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ascii="黑体" w:hAnsi="黑体" w:eastAsia="黑体"/>
          <w:i/>
          <w:color w:val="auto"/>
          <w:sz w:val="32"/>
          <w:szCs w:val="32"/>
          <w:highlight w:val="none"/>
          <w:u w:val="single"/>
        </w:rPr>
      </w:pPr>
      <w:r/>
      <w:bookmarkStart w:id="14" w:name="_Toc120614284"/>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numPr>
          <w:ilvl w:val="0"/>
          <w:numId w:val="4"/>
        </w:numPr>
        <w:jc w:val="left"/>
        <w:spacing w:line="360" w:lineRule="auto"/>
        <w:rPr>
          <w:rFonts w:ascii="黑体" w:hAnsi="黑体" w:eastAsia="黑体" w:cs="黑体"/>
          <w:b/>
          <w:bCs/>
          <w:color w:val="auto"/>
          <w:sz w:val="32"/>
          <w:szCs w:val="32"/>
          <w:highlight w:val="none"/>
        </w:rPr>
      </w:pPr>
      <w:r>
        <w:rPr>
          <w:rFonts w:hint="eastAsia" w:ascii="黑体" w:hAnsi="黑体" w:eastAsia="黑体" w:cs="黑体"/>
          <w:b/>
          <w:color w:val="auto"/>
          <w:sz w:val="32"/>
          <w:szCs w:val="32"/>
          <w:highlight w:val="none"/>
        </w:rPr>
        <w:t xml:space="preserve">南京市政府采购供应商信用记录表暨信用承诺书</w:t>
      </w:r>
      <w:r/>
    </w:p>
    <w:p>
      <w:pPr>
        <w:jc w:val="center"/>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南京市政府采购供应商信用记录表暨信用承诺书</w:t>
      </w:r>
      <w:r/>
    </w:p>
    <w:p>
      <w:pPr>
        <w:spacing w:line="460" w:lineRule="exact"/>
        <w:rPr>
          <w:rFonts w:ascii="宋体" w:hAnsi="宋体" w:cs="宋体"/>
          <w:color w:val="auto"/>
          <w:highlight w:val="none"/>
        </w:rPr>
      </w:pPr>
      <w:r>
        <w:rPr>
          <w:rFonts w:hint="eastAsia" w:ascii="宋体" w:hAnsi="宋体" w:cs="宋体"/>
          <w:color w:val="auto"/>
          <w:highlight w:val="none"/>
        </w:rPr>
        <w:t xml:space="preserve">                                                                   年  月  日</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680"/>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单位名称</w:t>
            </w:r>
            <w:r/>
          </w:p>
        </w:tc>
        <w:tc>
          <w:tcPr>
            <w:tcW w:w="2130"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W w:w="2131"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统一社会信用代码</w:t>
            </w:r>
            <w:r/>
          </w:p>
        </w:tc>
        <w:tc>
          <w:tcPr>
            <w:tcW w:w="2131"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r>
      <w:tr>
        <w:trPr>
          <w:trHeight w:val="680"/>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法定代表人</w:t>
            </w:r>
            <w:r/>
          </w:p>
        </w:tc>
        <w:tc>
          <w:tcPr>
            <w:tcW w:w="2130"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W w:w="2131"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联系人</w:t>
            </w:r>
            <w:r/>
          </w:p>
        </w:tc>
        <w:tc>
          <w:tcPr>
            <w:tcW w:w="2131"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r>
      <w:tr>
        <w:trPr>
          <w:trHeight w:val="680"/>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联系地址</w:t>
            </w:r>
            <w:r/>
          </w:p>
        </w:tc>
        <w:tc>
          <w:tcPr>
            <w:tcW w:w="2130"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W w:w="2131"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联系电话</w:t>
            </w:r>
            <w:r/>
          </w:p>
        </w:tc>
        <w:tc>
          <w:tcPr>
            <w:tcW w:w="2131"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r>
      <w:tr>
        <w:trPr>
          <w:trHeight w:val="680"/>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信用得分</w:t>
            </w:r>
            <w:r/>
          </w:p>
        </w:tc>
        <w:tc>
          <w:tcPr>
            <w:tcW w:w="2130"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W w:w="2131"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星级</w:t>
            </w:r>
            <w:r/>
          </w:p>
        </w:tc>
        <w:tc>
          <w:tcPr>
            <w:tcW w:w="2131" w:type="dxa"/>
            <w:vAlign w:val="center"/>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r>
      <w:tr>
        <w:trPr>
          <w:trHeight w:val="737"/>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诚信档案记录情况</w:t>
            </w:r>
            <w:r/>
          </w:p>
        </w:tc>
        <w:tc>
          <w:tcPr>
            <w:gridSpan w:val="3"/>
            <w:tcW w:w="6392" w:type="dxa"/>
            <w:vAlign w:val="center"/>
            <w:textDirection w:val="lrTb"/>
            <w:noWrap w:val="false"/>
          </w:tcPr>
          <w:p>
            <w:pPr>
              <w:jc w:val="left"/>
              <w:spacing w:line="460" w:lineRule="exact"/>
              <w:rPr>
                <w:rFonts w:ascii="宋体" w:hAnsi="宋体" w:cs="宋体"/>
                <w:color w:val="auto"/>
                <w:highlight w:val="none"/>
              </w:rPr>
            </w:pPr>
            <w:r>
              <w:rPr>
                <w:rFonts w:ascii="宋体" w:hAnsi="宋体" w:cs="宋体"/>
                <w:color w:val="auto"/>
                <w:highlight w:val="none"/>
              </w:rPr>
            </w:r>
            <w:r/>
          </w:p>
          <w:p>
            <w:pPr>
              <w:spacing w:line="460" w:lineRule="exact"/>
              <w:rPr>
                <w:rFonts w:ascii="宋体" w:hAnsi="宋体" w:cs="宋体"/>
                <w:color w:val="auto"/>
                <w:highlight w:val="none"/>
              </w:rPr>
            </w:pPr>
            <w:r>
              <w:rPr>
                <w:rFonts w:ascii="宋体" w:hAnsi="宋体" w:cs="宋体"/>
                <w:color w:val="auto"/>
                <w:highlight w:val="none"/>
              </w:rPr>
            </w:r>
            <w:r/>
          </w:p>
          <w:p>
            <w:pPr>
              <w:pStyle w:val="664"/>
              <w:spacing w:line="460" w:lineRule="exact"/>
              <w:rPr>
                <w:rFonts w:ascii="宋体" w:hAnsi="宋体" w:eastAsia="宋体" w:cs="宋体"/>
                <w:color w:val="auto"/>
                <w:highlight w:val="none"/>
              </w:rPr>
            </w:pPr>
            <w:r>
              <w:rPr>
                <w:rFonts w:ascii="宋体" w:hAnsi="宋体" w:eastAsia="宋体" w:cs="宋体"/>
                <w:color w:val="auto"/>
                <w:highlight w:val="none"/>
              </w:rPr>
            </w:r>
            <w:r/>
          </w:p>
        </w:tc>
      </w:tr>
      <w:tr>
        <w:trPr>
          <w:trHeight w:val="737"/>
        </w:trPr>
        <w:tc>
          <w:tcPr>
            <w:tcW w:w="2130" w:type="dxa"/>
            <w:vAlign w:val="center"/>
            <w:textDirection w:val="lrTb"/>
            <w:noWrap w:val="false"/>
          </w:tcPr>
          <w:p>
            <w:pPr>
              <w:jc w:val="left"/>
              <w:spacing w:line="460" w:lineRule="exact"/>
              <w:rPr>
                <w:rFonts w:ascii="宋体" w:hAnsi="宋体" w:cs="宋体"/>
                <w:color w:val="auto"/>
                <w:highlight w:val="none"/>
              </w:rPr>
            </w:pPr>
            <w:r>
              <w:rPr>
                <w:rFonts w:hint="eastAsia" w:ascii="宋体" w:hAnsi="宋体" w:cs="宋体"/>
                <w:color w:val="auto"/>
                <w:highlight w:val="none"/>
              </w:rPr>
              <w:t xml:space="preserve">信用承诺</w:t>
            </w:r>
            <w:r/>
          </w:p>
        </w:tc>
        <w:tc>
          <w:tcPr>
            <w:gridSpan w:val="3"/>
            <w:tcW w:w="6392" w:type="dxa"/>
            <w:vAlign w:val="center"/>
            <w:textDirection w:val="lrTb"/>
            <w:noWrap w:val="false"/>
          </w:tcPr>
          <w:p>
            <w:pPr>
              <w:ind w:firstLine="420"/>
              <w:spacing w:line="460" w:lineRule="exact"/>
              <w:rPr>
                <w:rFonts w:ascii="宋体" w:hAnsi="宋体" w:cs="宋体"/>
                <w:color w:val="auto"/>
                <w:highlight w:val="none"/>
              </w:rPr>
            </w:pPr>
            <w:r>
              <w:rPr>
                <w:rFonts w:hint="eastAsia" w:ascii="宋体" w:hAnsi="宋体" w:cs="宋体"/>
                <w:color w:val="auto"/>
                <w:highlight w:val="none"/>
              </w:rPr>
              <w:t xml:space="preserve">我公司自愿参加贵(单位)组织的本次采购活动，严格遵守《中华人民共和国政府采购法》及相</w:t>
            </w:r>
            <w:r>
              <w:rPr>
                <w:rFonts w:hint="eastAsia" w:ascii="宋体" w:hAnsi="宋体" w:cs="宋体"/>
                <w:color w:val="auto"/>
                <w:highlight w:val="none"/>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664"/>
              <w:spacing w:line="46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r>
            <w:r/>
          </w:p>
          <w:p>
            <w:pPr>
              <w:pStyle w:val="664"/>
              <w:ind w:firstLine="2520"/>
              <w:spacing w:line="4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供应商名称（盖章）：</w:t>
            </w:r>
            <w:r/>
          </w:p>
          <w:p>
            <w:pPr>
              <w:ind w:firstLine="25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法定代表人（签字）：</w:t>
            </w:r>
            <w:r/>
          </w:p>
          <w:p>
            <w:pPr>
              <w:spacing w:line="460" w:lineRule="exact"/>
              <w:rPr>
                <w:rFonts w:ascii="宋体" w:hAnsi="宋体" w:cs="宋体"/>
                <w:color w:val="auto"/>
                <w:highlight w:val="none"/>
              </w:rPr>
            </w:pPr>
            <w:r>
              <w:rPr>
                <w:rFonts w:hint="eastAsia" w:ascii="宋体" w:hAnsi="宋体" w:cs="宋体"/>
                <w:color w:val="auto"/>
                <w:highlight w:val="none"/>
              </w:rPr>
              <w:t xml:space="preserve">                             年  月  日</w:t>
            </w:r>
            <w:r/>
          </w:p>
        </w:tc>
      </w:tr>
    </w:tbl>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此表仅供参考，供应商应按招标文件要求提供对应网站下载的具有二维码的相关材料</w:t>
      </w:r>
      <w:r>
        <w:rPr>
          <w:rFonts w:hint="eastAsia" w:ascii="宋体" w:hAnsi="宋体" w:cs="宋体"/>
          <w:color w:val="auto"/>
          <w:highlight w:val="none"/>
          <w:lang w:val="zh-CN"/>
        </w:rPr>
        <w:t xml:space="preserve">）</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注：1、供应商在中标（成交）后，应按采购文件要求，将上述由信用承诺书替代的证明材料提交采购人或采购代理机构核验。经核验无误后，由采购人或采购代理机构发出中标（成交）通知书。</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2、信用承诺书替代的证明材料为：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（1）具有独立承担民事责任的能力（提供法人或者其他组织的营业执照）；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（2）具有良好的商业信誉和健全的财务会计制度（提供参加本次政府采购活动前的财务状况报告，法人或者其他组织成立未满一年的可以不提供）；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（3）具有履行合同所必需的设备和专业技术能力（据项目需求提供履行合同所必需的设备和专业技术能力的声明及证明材料）；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（4）有依法缴纳税收和社会保障资金的良好记录（提供参加本次采购活动前依法缴纳税收和社会保障资金的相关材料）；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（5）参加本次采购活动前三年内，在经营活动中没有重大违法或不良征信记录（提供参加本次采购活动前三年内在经营活动中没有重大违法记录的书面声明）。 </w:t>
      </w:r>
      <w:r/>
    </w:p>
    <w:p>
      <w:pPr>
        <w:ind w:firstLine="420"/>
        <w:spacing w:line="460" w:lineRule="exact"/>
        <w:rPr>
          <w:rFonts w:ascii="宋体" w:hAnsi="宋体" w:cs="宋体"/>
          <w:color w:val="auto"/>
          <w:highlight w:val="none"/>
          <w:lang w:val="zh-CN"/>
        </w:rPr>
      </w:pPr>
      <w:r>
        <w:rPr>
          <w:rFonts w:hint="eastAsia" w:ascii="宋体" w:hAnsi="宋体" w:cs="宋体"/>
          <w:color w:val="auto"/>
          <w:highlight w:val="none"/>
          <w:lang w:val="zh-CN"/>
        </w:rPr>
        <w:t xml:space="preserve">（6）法律、行政法规规定的其他条件。</w:t>
      </w:r>
      <w:r/>
    </w:p>
    <w:p>
      <w:pPr>
        <w:rPr>
          <w:color w:val="auto"/>
          <w:highlight w:val="none"/>
        </w:rPr>
      </w:pPr>
      <w:r>
        <w:rPr>
          <w:rFonts w:hint="eastAsia" w:ascii="宋体" w:hAnsi="宋体"/>
          <w:color w:val="auto"/>
          <w:sz w:val="24"/>
          <w:highlight w:val="none"/>
        </w:rPr>
        <w:br w:type="page" w:clear="all"/>
      </w:r>
      <w:r/>
    </w:p>
    <w:p>
      <w:pPr>
        <w:rPr>
          <w:rFonts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929"/>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930"/>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29"/>
        <w:ind w:firstLine="480"/>
        <w:spacing w:line="420" w:lineRule="exact"/>
        <w:rPr>
          <w:color w:val="auto"/>
          <w:sz w:val="24"/>
          <w:szCs w:val="24"/>
          <w:highlight w:val="none"/>
        </w:rPr>
      </w:pPr>
      <w:r>
        <w:rPr>
          <w:color w:val="auto"/>
          <w:sz w:val="24"/>
          <w:szCs w:val="24"/>
          <w:highlight w:val="none"/>
        </w:rPr>
      </w:r>
      <w:r/>
    </w:p>
    <w:p>
      <w:pPr>
        <w:pStyle w:val="929"/>
        <w:ind w:firstLine="480"/>
        <w:spacing w:line="480" w:lineRule="exac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29"/>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29"/>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29"/>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29"/>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29"/>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29"/>
        <w:ind w:firstLine="480"/>
        <w:spacing w:line="480" w:lineRule="exact"/>
        <w:rPr>
          <w:color w:val="auto"/>
          <w:sz w:val="24"/>
          <w:szCs w:val="24"/>
          <w:highlight w:val="none"/>
        </w:rPr>
      </w:pPr>
      <w:r>
        <w:rPr>
          <w:rFonts w:hint="eastAsia"/>
          <w:color w:val="auto"/>
          <w:sz w:val="24"/>
          <w:szCs w:val="24"/>
          <w:highlight w:val="none"/>
        </w:rPr>
        <w:t xml:space="preserve">日    期：</w:t>
      </w:r>
      <w:bookmarkStart w:id="15" w:name="_Hlt26955070"/>
      <w:r/>
      <w:bookmarkEnd w:id="15"/>
      <w:r/>
      <w:bookmarkStart w:id="16" w:name="_格式3__银行出具的资信证明"/>
      <w:r/>
      <w:bookmarkEnd w:id="16"/>
      <w:r/>
      <w:bookmarkStart w:id="17" w:name="_Hlt26671380"/>
      <w:r/>
      <w:bookmarkEnd w:id="17"/>
      <w:r/>
      <w:r/>
    </w:p>
    <w:p>
      <w:pPr>
        <w:pStyle w:val="675"/>
        <w:rPr>
          <w:i/>
          <w:color w:val="auto"/>
          <w:sz w:val="24"/>
          <w:highlight w:val="none"/>
          <w:u w:val="single"/>
        </w:rPr>
      </w:pPr>
      <w:r>
        <w:rPr>
          <w:i/>
          <w:color w:val="auto"/>
          <w:sz w:val="24"/>
          <w:highlight w:val="none"/>
          <w:u w:val="single"/>
        </w:rPr>
      </w:r>
      <w:r/>
    </w:p>
    <w:p>
      <w:pPr>
        <w:pStyle w:val="675"/>
        <w:rPr>
          <w:i/>
          <w:color w:val="auto"/>
          <w:sz w:val="24"/>
          <w:highlight w:val="none"/>
          <w:u w:val="single"/>
        </w:rPr>
      </w:pPr>
      <w:r>
        <w:rPr>
          <w:i/>
          <w:color w:val="auto"/>
          <w:sz w:val="24"/>
          <w:highlight w:val="none"/>
          <w:u w:val="single"/>
        </w:rPr>
      </w:r>
      <w:r/>
    </w:p>
    <w:p>
      <w:pPr>
        <w:pStyle w:val="675"/>
        <w:rPr>
          <w:i/>
          <w:color w:val="auto"/>
          <w:sz w:val="24"/>
          <w:highlight w:val="none"/>
          <w:u w:val="single"/>
        </w:rPr>
      </w:pPr>
      <w:r>
        <w:rPr>
          <w:i/>
          <w:color w:val="auto"/>
          <w:sz w:val="24"/>
          <w:highlight w:val="none"/>
          <w:u w:val="single"/>
        </w:rPr>
      </w:r>
      <w:r/>
    </w:p>
    <w:p>
      <w:pPr>
        <w:pStyle w:val="675"/>
        <w:ind w:firstLine="0"/>
        <w:rPr>
          <w:color w:val="auto"/>
          <w:highlight w:val="none"/>
        </w:rPr>
      </w:pPr>
      <w:r>
        <w:rPr>
          <w:color w:val="auto"/>
          <w:highlight w:val="none"/>
        </w:rPr>
      </w:r>
      <w:r/>
    </w:p>
    <w:p>
      <w:pPr>
        <w:spacing w:line="460" w:lineRule="exact"/>
        <w:rPr>
          <w:rFonts w:ascii="楷体" w:hAnsi="楷体" w:eastAsia="楷体"/>
          <w:bCs/>
          <w:color w:val="auto"/>
          <w:sz w:val="24"/>
          <w:highlight w:val="none"/>
        </w:rPr>
      </w:pPr>
      <w:r>
        <w:rPr>
          <w:rFonts w:ascii="楷体" w:hAnsi="楷体" w:eastAsia="楷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27"/>
        <w:rPr>
          <w:bCs/>
          <w:color w:val="auto"/>
          <w:sz w:val="24"/>
          <w:highlight w:val="none"/>
        </w:rPr>
      </w:pPr>
      <w:r>
        <w:rPr>
          <w:bCs/>
          <w:color w:val="auto"/>
          <w:sz w:val="24"/>
          <w:highlight w:val="none"/>
        </w:rPr>
      </w:r>
      <w:r/>
    </w:p>
    <w:p>
      <w:pPr>
        <w:pStyle w:val="927"/>
        <w:rPr>
          <w:bCs/>
          <w:color w:val="auto"/>
          <w:sz w:val="24"/>
          <w:highlight w:val="none"/>
        </w:rPr>
      </w:pPr>
      <w:r>
        <w:rPr>
          <w:bCs/>
          <w:color w:val="auto"/>
          <w:sz w:val="24"/>
          <w:highlight w:val="none"/>
        </w:rPr>
      </w:r>
      <w:r/>
    </w:p>
    <w:p>
      <w:pPr>
        <w:pStyle w:val="927"/>
        <w:rPr>
          <w:bCs/>
          <w:color w:val="auto"/>
          <w:sz w:val="24"/>
          <w:highlight w:val="none"/>
        </w:rPr>
      </w:pPr>
      <w:r>
        <w:rPr>
          <w:bCs/>
          <w:color w:val="auto"/>
          <w:sz w:val="24"/>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投标函</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致：（招标单位）</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的项目招标文件，我方正式提交投标函，并宣布同意如下内容：</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5.同意向贵方提供贵方可能另外要求的与投标有关的任何证据或资料，并保证我方已提供和将要提供的文件是真实的、准确的。</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7.我方为：</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大型企业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微型企业（在对应</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内</w:t>
      </w:r>
      <w:r>
        <w:rPr>
          <w:rFonts w:hint="eastAsia" w:ascii="宋体" w:hAnsi="宋体"/>
          <w:color w:val="auto"/>
          <w:sz w:val="24"/>
          <w:highlight w:val="none"/>
          <w:lang w:val="zh-CN"/>
        </w:rPr>
        <w:t xml:space="preserve">打</w:t>
      </w:r>
      <w:r>
        <w:rPr>
          <w:rFonts w:hint="eastAsia" w:ascii="宋体" w:hAnsi="宋体" w:cs="Verdana"/>
          <w:color w:val="auto"/>
          <w:sz w:val="24"/>
          <w:highlight w:val="none"/>
          <w:lang w:val="zh-CN"/>
        </w:rPr>
        <w:t xml:space="preserve">“√”</w:t>
      </w:r>
      <w:r>
        <w:rPr>
          <w:rFonts w:hint="eastAsia" w:ascii="宋体" w:hAnsi="宋体"/>
          <w:color w:val="auto"/>
          <w:sz w:val="24"/>
          <w:highlight w:val="none"/>
        </w:rPr>
        <w:t xml:space="preserve">）</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931"/>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931"/>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931"/>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931"/>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ascii="宋体" w:hAnsi="宋体"/>
          <w:color w:val="auto"/>
          <w:sz w:val="24"/>
          <w:highlight w:val="none"/>
        </w:rPr>
      </w:pPr>
      <w:r>
        <w:rPr>
          <w:rFonts w:hint="eastAsia" w:ascii="宋体" w:hAnsi="宋体"/>
          <w:color w:val="auto"/>
          <w:sz w:val="24"/>
          <w:highlight w:val="none"/>
        </w:rPr>
        <w:t xml:space="preserve">投标人名称：（加盖电子公章）</w:t>
      </w:r>
      <w:r/>
    </w:p>
    <w:p>
      <w:pPr>
        <w:pStyle w:val="931"/>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pStyle w:val="931"/>
        <w:ind w:left="420"/>
        <w:spacing w:before="0" w:after="0" w:line="420" w:lineRule="exact"/>
        <w:rPr>
          <w:rFonts w:ascii="宋体" w:hAnsi="宋体"/>
          <w:color w:val="auto"/>
          <w:szCs w:val="21"/>
          <w:highlight w:val="none"/>
        </w:rPr>
      </w:pPr>
      <w:r>
        <w:rPr>
          <w:rFonts w:ascii="宋体" w:hAnsi="宋体"/>
          <w:color w:val="auto"/>
          <w:szCs w:val="21"/>
          <w:highlight w:val="none"/>
        </w:rPr>
      </w:r>
      <w:r/>
    </w:p>
    <w:p>
      <w:pPr>
        <w:pStyle w:val="931"/>
        <w:ind w:left="420"/>
        <w:spacing w:before="0" w:after="0" w:line="420" w:lineRule="exact"/>
        <w:rPr>
          <w:rFonts w:ascii="宋体" w:hAnsi="宋体"/>
          <w:color w:val="auto"/>
          <w:szCs w:val="21"/>
          <w:highlight w:val="none"/>
        </w:rPr>
      </w:pPr>
      <w:r>
        <w:rPr>
          <w:rFonts w:ascii="宋体" w:hAnsi="宋体"/>
          <w:color w:val="auto"/>
          <w:szCs w:val="21"/>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48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开标一览表</w:t>
      </w:r>
      <w:r/>
    </w:p>
    <w:p>
      <w:pPr>
        <w:spacing w:line="480" w:lineRule="auto"/>
        <w:rPr>
          <w:rFonts w:ascii="宋体" w:hAnsi="宋体"/>
          <w:color w:val="auto"/>
          <w:sz w:val="24"/>
          <w:highlight w:val="none"/>
        </w:rPr>
      </w:pPr>
      <w:r>
        <w:rPr>
          <w:rFonts w:hint="eastAsia" w:ascii="宋体" w:hAnsi="宋体"/>
          <w:color w:val="auto"/>
          <w:sz w:val="24"/>
          <w:highlight w:val="none"/>
        </w:rPr>
        <w:t xml:space="preserve">投标人名称：（加盖电子公章）</w:t>
      </w:r>
      <w:r/>
    </w:p>
    <w:p>
      <w:pPr>
        <w:spacing w:line="480" w:lineRule="auto"/>
        <w:rPr>
          <w:color w:val="auto"/>
          <w:sz w:val="24"/>
          <w:highlight w:val="none"/>
        </w:rPr>
      </w:pPr>
      <w:r>
        <w:rPr>
          <w:rFonts w:hint="eastAsia" w:ascii="宋体" w:hAnsi="宋体"/>
          <w:color w:val="auto"/>
          <w:sz w:val="24"/>
          <w:highlight w:val="none"/>
        </w:rPr>
        <w:t xml:space="preserve">项目名称：</w:t>
      </w:r>
      <w:r/>
    </w:p>
    <w:p>
      <w:pPr>
        <w:spacing w:line="480" w:lineRule="auto"/>
        <w:rPr>
          <w:rFonts w:ascii="宋体" w:hAnsi="宋体"/>
          <w:color w:val="auto"/>
          <w:sz w:val="24"/>
          <w:highlight w:val="none"/>
        </w:rPr>
      </w:pPr>
      <w:r>
        <w:rPr>
          <w:rFonts w:hint="eastAsia" w:ascii="宋体" w:hAnsi="宋体"/>
          <w:color w:val="auto"/>
          <w:sz w:val="24"/>
          <w:highlight w:val="none"/>
        </w:rPr>
        <w:t xml:space="preserve">项目编号：                                   分包号：</w:t>
      </w:r>
      <w:r/>
    </w:p>
    <w:tbl>
      <w:tblPr>
        <w:tblStyle w:val="671"/>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jc w:val="center"/>
          <w:trHeight w:val="725"/>
        </w:trPr>
        <w:tc>
          <w:tcPr>
            <w:tcW w:w="9748" w:type="dxa"/>
            <w:vAlign w:val="center"/>
            <w:textDirection w:val="lrTb"/>
            <w:noWrap w:val="false"/>
          </w:tcPr>
          <w:p>
            <w:pPr>
              <w:jc w:val="center"/>
              <w:spacing w:line="480" w:lineRule="auto"/>
              <w:rPr>
                <w:rFonts w:ascii="宋体" w:hAnsi="宋体"/>
                <w:color w:val="auto"/>
                <w:sz w:val="24"/>
                <w:highlight w:val="none"/>
              </w:rPr>
            </w:pPr>
            <w:r>
              <w:rPr>
                <w:rFonts w:hint="eastAsia" w:ascii="宋体" w:hAnsi="宋体" w:cs="宋体"/>
                <w:color w:val="auto"/>
                <w:sz w:val="24"/>
                <w:highlight w:val="none"/>
              </w:rPr>
              <w:t xml:space="preserve">报价优惠率</w:t>
            </w:r>
            <w:r/>
          </w:p>
        </w:tc>
      </w:tr>
      <w:tr>
        <w:trPr>
          <w:cantSplit/>
          <w:jc w:val="center"/>
          <w:trHeight w:val="780"/>
        </w:trPr>
        <w:tc>
          <w:tcPr>
            <w:tcW w:w="9748" w:type="dxa"/>
            <w:vAlign w:val="center"/>
            <w:textDirection w:val="lrTb"/>
            <w:noWrap w:val="false"/>
          </w:tcPr>
          <w:p>
            <w:pPr>
              <w:pStyle w:val="931"/>
              <w:ind w:firstLine="0"/>
              <w:spacing w:before="0" w:after="0" w:line="480" w:lineRule="auto"/>
              <w:rPr>
                <w:rFonts w:ascii="宋体" w:hAnsi="宋体"/>
                <w:color w:val="auto"/>
                <w:szCs w:val="21"/>
                <w:highlight w:val="none"/>
              </w:rPr>
            </w:pPr>
            <w:r>
              <w:rPr>
                <w:rFonts w:hint="eastAsia" w:ascii="宋体" w:hAnsi="宋体" w:cs="宋体"/>
                <w:color w:val="auto"/>
                <w:highlight w:val="none"/>
              </w:rPr>
              <w:t xml:space="preserve">报价优惠率（%）：                             </w:t>
            </w:r>
            <w:r/>
          </w:p>
        </w:tc>
      </w:tr>
    </w:tbl>
    <w:p>
      <w:pPr>
        <w:spacing w:line="480" w:lineRule="auto"/>
        <w:rPr>
          <w:rFonts w:ascii="宋体" w:hAnsi="宋体"/>
          <w:color w:val="auto"/>
          <w:sz w:val="24"/>
          <w:highlight w:val="none"/>
        </w:rPr>
      </w:pPr>
      <w:r>
        <w:rPr>
          <w:rFonts w:ascii="宋体" w:hAnsi="宋体"/>
          <w:color w:val="auto"/>
          <w:sz w:val="24"/>
          <w:highlight w:val="none"/>
        </w:rPr>
      </w:r>
      <w:r/>
    </w:p>
    <w:p>
      <w:pPr>
        <w:ind w:firstLine="480"/>
        <w:spacing w:line="480" w:lineRule="auto"/>
        <w:rPr>
          <w:rFonts w:ascii="黑体" w:hAnsi="黑体" w:eastAsia="黑体"/>
          <w:b/>
          <w:i/>
          <w:color w:val="auto"/>
          <w:sz w:val="32"/>
          <w:szCs w:val="32"/>
          <w:highlight w:val="none"/>
          <w:u w:val="single"/>
        </w:rPr>
      </w:pPr>
      <w:r>
        <w:rPr>
          <w:rFonts w:hint="eastAsia" w:ascii="宋体" w:hAnsi="宋体"/>
          <w:color w:val="auto"/>
          <w:sz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b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olor w:val="auto"/>
          <w:sz w:val="32"/>
          <w:szCs w:val="32"/>
          <w:highlight w:val="none"/>
        </w:rPr>
        <w:t xml:space="preserve">六、</w:t>
      </w:r>
      <w:r>
        <w:rPr>
          <w:rFonts w:hint="eastAsia" w:ascii="黑体" w:hAnsi="黑体" w:eastAsia="黑体" w:cs="Times New Roman"/>
          <w:i w:val="0"/>
          <w:color w:val="auto"/>
          <w:sz w:val="32"/>
          <w:szCs w:val="32"/>
          <w:highlight w:val="none"/>
          <w:u w:val="none"/>
          <w:lang w:val="en-US" w:eastAsia="zh-CN"/>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tbl>
      <w:tblPr>
        <w:tblStyle w:val="671"/>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default" w:ascii="宋体" w:hAnsi="宋体" w:eastAsia="宋体" w:cs="宋体"/>
                <w:color w:val="auto"/>
                <w:sz w:val="21"/>
                <w:szCs w:val="21"/>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cs="宋体"/>
                <w:b w:val="0"/>
                <w:bCs w:val="0"/>
                <w:color w:val="auto"/>
                <w:sz w:val="24"/>
                <w:highlight w:val="none"/>
              </w:rPr>
              <w:t xml:space="preserve">定制特大四格餐盒</w:t>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名称：（</w:t>
      </w:r>
      <w:r>
        <w:rPr>
          <w:rFonts w:hint="eastAsia" w:ascii="宋体" w:hAnsi="宋体" w:eastAsia="宋体" w:cs="Times New Roman"/>
          <w:color w:val="auto"/>
          <w:sz w:val="24"/>
          <w:szCs w:val="24"/>
          <w:highlight w:val="none"/>
          <w:lang w:eastAsia="zh-CN"/>
        </w:rPr>
        <w:t xml:space="preserve">加盖电子</w:t>
      </w:r>
      <w:r>
        <w:rPr>
          <w:rFonts w:hint="eastAsia" w:ascii="宋体" w:hAnsi="宋体" w:eastAsia="宋体" w:cs="Times New Roman"/>
          <w:color w:val="auto"/>
          <w:sz w:val="24"/>
          <w:szCs w:val="24"/>
          <w:highlight w:val="none"/>
          <w:lang w:val="en-US" w:eastAsia="zh-CN"/>
        </w:rPr>
        <w:t xml:space="preserve">公</w:t>
      </w:r>
      <w:r>
        <w:rPr>
          <w:rFonts w:hint="eastAsia" w:ascii="宋体" w:hAnsi="宋体" w:eastAsia="宋体" w:cs="Times New Roman"/>
          <w:color w:val="auto"/>
          <w:sz w:val="24"/>
          <w:szCs w:val="24"/>
          <w:highlight w:val="none"/>
          <w:lang w:eastAsia="zh-CN"/>
        </w:rPr>
        <w:t xml:space="preserve">章</w:t>
      </w:r>
      <w:r>
        <w:rPr>
          <w:rFonts w:hint="eastAsia" w:ascii="宋体" w:hAnsi="宋体" w:eastAsia="宋体" w:cs="Times New Roman"/>
          <w:color w:val="auto"/>
          <w:sz w:val="24"/>
          <w:szCs w:val="24"/>
          <w:highlight w:val="none"/>
          <w:lang w:val="zh-CN" w:eastAsia="zh-CN"/>
        </w:rPr>
        <w:t xml:space="preserve">）</w:t>
      </w:r>
      <w:r/>
    </w:p>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rPr>
        <w:t xml:space="preserve">供应商</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olor w:val="auto"/>
          <w:sz w:val="32"/>
          <w:szCs w:val="32"/>
          <w:highlight w:val="none"/>
          <w:lang w:val="en-US" w:eastAsia="zh-CN"/>
        </w:rPr>
      </w:pPr>
      <w:r>
        <w:rPr>
          <w:rFonts w:hint="eastAsia" w:ascii="黑体" w:hAnsi="黑体" w:eastAsia="黑体"/>
          <w:color w:val="auto"/>
          <w:sz w:val="32"/>
          <w:szCs w:val="32"/>
          <w:highlight w:val="none"/>
          <w:lang w:val="en-US" w:eastAsia="zh-CN"/>
        </w:rPr>
        <w:br w:type="page" w:clear="all"/>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lang w:val="en-US" w:eastAsia="zh-CN"/>
        </w:rPr>
        <w:t xml:space="preserve">七</w:t>
      </w:r>
      <w:r>
        <w:rPr>
          <w:rFonts w:hint="eastAsia" w:ascii="黑体" w:hAnsi="黑体" w:eastAsia="黑体"/>
          <w:color w:val="auto"/>
          <w:sz w:val="32"/>
          <w:szCs w:val="32"/>
          <w:highlight w:val="none"/>
        </w:rPr>
        <w:t xml:space="preserve">、</w:t>
      </w:r>
      <w:bookmarkEnd w:id="14"/>
      <w:r>
        <w:rPr>
          <w:rFonts w:hint="eastAsia" w:ascii="黑体" w:hAnsi="黑体" w:eastAsia="黑体"/>
          <w:color w:val="auto"/>
          <w:sz w:val="32"/>
          <w:szCs w:val="32"/>
          <w:highlight w:val="none"/>
        </w:rPr>
        <w:t xml:space="preserve">技术要求响应及偏离表</w:t>
      </w:r>
      <w:r/>
    </w:p>
    <w:tbl>
      <w:tblPr>
        <w:tblStyle w:val="671"/>
        <w:tblpPr w:horzAnchor="page" w:tblpXSpec="center" w:vertAnchor="text" w:tblpY="72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jc w:val="center"/>
        </w:trPr>
        <w:tc>
          <w:tcPr>
            <w:tcW w:w="74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92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3346" w:type="dxa"/>
            <w:vAlign w:val="center"/>
            <w:textDirection w:val="lrTb"/>
            <w:noWrap w:val="false"/>
          </w:tcPr>
          <w:p>
            <w:pPr>
              <w:jc w:val="center"/>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74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925" w:type="dxa"/>
            <w:textDirection w:val="lrTb"/>
            <w:noWrap w:val="false"/>
          </w:tcPr>
          <w:p>
            <w:pPr>
              <w:jc w:val="center"/>
              <w:rPr>
                <w:color w:val="auto"/>
                <w:highlight w:val="none"/>
              </w:rPr>
            </w:pPr>
            <w:r>
              <w:rPr>
                <w:color w:val="auto"/>
                <w:highlight w:val="none"/>
              </w:rPr>
            </w:r>
            <w:r/>
          </w:p>
          <w:p>
            <w:pPr>
              <w:pStyle w:val="672"/>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699"/>
        <w:jc w:val="center"/>
        <w:spacing w:before="0" w:beforeAutospacing="0" w:after="0" w:afterAutospacing="0"/>
        <w:rPr>
          <w:color w:val="auto"/>
          <w:highlight w:val="none"/>
        </w:rPr>
      </w:pPr>
      <w:r>
        <w:rPr>
          <w:rFonts w:hint="eastAsia" w:ascii="黑体" w:hAnsi="黑体" w:eastAsia="黑体"/>
          <w:color w:val="auto"/>
          <w:sz w:val="32"/>
          <w:szCs w:val="32"/>
          <w:highlight w:val="none"/>
        </w:rPr>
        <w:t xml:space="preserve">技术要求响应及偏离表</w:t>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投标人名称：（加盖电子公章）</w:t>
      </w:r>
      <w:r/>
    </w:p>
    <w:p>
      <w:pPr>
        <w:rPr>
          <w:rFonts w:ascii="宋体" w:hAnsi="宋体"/>
          <w:color w:val="auto"/>
          <w:sz w:val="24"/>
          <w:highlight w:val="none"/>
        </w:rPr>
      </w:pPr>
      <w:r>
        <w:rPr>
          <w:rFonts w:ascii="宋体" w:hAnsi="宋体"/>
          <w:color w:val="auto"/>
          <w:sz w:val="24"/>
          <w:highlight w:val="none"/>
        </w:rPr>
      </w:r>
      <w:r/>
    </w:p>
    <w:p>
      <w:pPr>
        <w:pStyle w:val="699"/>
        <w:ind w:firstLine="480"/>
        <w:jc w:val="both"/>
        <w:spacing w:before="0" w:beforeAutospacing="0" w:after="0" w:afterAutospacing="0" w:line="360" w:lineRule="auto"/>
        <w:rPr>
          <w:color w:val="auto"/>
          <w:highlight w:val="none"/>
        </w:rPr>
      </w:pPr>
      <w:r>
        <w:rPr>
          <w:color w:val="auto"/>
          <w:highlight w:val="none"/>
        </w:rPr>
        <w:t xml:space="preserve">备注： </w:t>
      </w:r>
      <w:r/>
    </w:p>
    <w:p>
      <w:pPr>
        <w:pStyle w:val="699"/>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699"/>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黑体" w:eastAsia="黑体"/>
          <w:iCs/>
          <w:color w:val="auto"/>
          <w:sz w:val="32"/>
          <w:szCs w:val="32"/>
          <w:highlight w:val="none"/>
        </w:rPr>
      </w:pPr>
      <w:r/>
      <w:bookmarkStart w:id="18" w:name="_Hlt26955054"/>
      <w:r/>
      <w:bookmarkEnd w:id="18"/>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lang w:val="en-US" w:eastAsia="zh-CN"/>
        </w:rPr>
        <w:t xml:space="preserve">八</w:t>
      </w:r>
      <w:r>
        <w:rPr>
          <w:rFonts w:hint="eastAsia" w:ascii="黑体" w:hAnsi="黑体" w:eastAsia="黑体"/>
          <w:iCs/>
          <w:color w:val="auto"/>
          <w:sz w:val="32"/>
          <w:szCs w:val="32"/>
          <w:highlight w:val="none"/>
        </w:rPr>
        <w:t xml:space="preserve">、商务要求响应及偏离表</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jc w:val="center"/>
        </w:trPr>
        <w:tc>
          <w:tcPr>
            <w:tcW w:w="835" w:type="dxa"/>
            <w:vAlign w:val="center"/>
            <w:textDirection w:val="lrTb"/>
            <w:noWrap w:val="false"/>
          </w:tcPr>
          <w:p>
            <w:pPr>
              <w:jc w:val="center"/>
              <w:rPr>
                <w:rFonts w:ascii="宋体" w:hAnsi="宋体"/>
                <w:color w:val="auto"/>
                <w:sz w:val="24"/>
                <w:highlight w:val="none"/>
              </w:rPr>
            </w:pPr>
            <w:r/>
            <w:bookmarkStart w:id="19" w:name="_Hlt26671372"/>
            <w:r/>
            <w:bookmarkEnd w:id="19"/>
            <w:r/>
            <w:bookmarkStart w:id="20" w:name="_Hlt26671343"/>
            <w:r/>
            <w:bookmarkEnd w:id="20"/>
            <w:r/>
            <w:bookmarkStart w:id="21" w:name="_Hlt26955056"/>
            <w:r/>
            <w:bookmarkEnd w:id="21"/>
            <w:r/>
            <w:bookmarkStart w:id="22" w:name="_Hlt26955064"/>
            <w:r/>
            <w:bookmarkEnd w:id="22"/>
            <w:r/>
            <w:bookmarkStart w:id="23" w:name="_Hlt26609391"/>
            <w:r/>
            <w:bookmarkEnd w:id="23"/>
            <w:r/>
            <w:bookmarkStart w:id="24" w:name="_Hlt26580838"/>
            <w:r/>
            <w:bookmarkEnd w:id="24"/>
            <w:r/>
            <w:bookmarkStart w:id="25" w:name="_Hlt26782999"/>
            <w:r/>
            <w:bookmarkEnd w:id="25"/>
            <w:r/>
            <w:bookmarkStart w:id="26" w:name="_Hlt24879081"/>
            <w:r/>
            <w:bookmarkEnd w:id="26"/>
            <w:r>
              <w:rPr>
                <w:rFonts w:hint="eastAsia" w:ascii="宋体" w:hAnsi="宋体"/>
                <w:color w:val="auto"/>
                <w:sz w:val="24"/>
                <w:highlight w:val="none"/>
              </w:rPr>
              <w:t xml:space="preserve">序号</w:t>
            </w:r>
            <w:r/>
          </w:p>
        </w:tc>
        <w:tc>
          <w:tcPr>
            <w:tcW w:w="283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3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3346" w:type="dxa"/>
            <w:vAlign w:val="center"/>
            <w:textDirection w:val="lrTb"/>
            <w:noWrap w:val="false"/>
          </w:tcPr>
          <w:p>
            <w:pPr>
              <w:jc w:val="center"/>
              <w:rPr>
                <w:rFonts w:ascii="宋体" w:hAnsi="宋体"/>
                <w:color w:val="auto"/>
                <w:sz w:val="24"/>
                <w:highlight w:val="none"/>
              </w:rPr>
            </w:pPr>
            <w:r>
              <w:rPr>
                <w:rFonts w:hint="eastAsia" w:cs="宋体"/>
                <w:color w:val="auto"/>
                <w:sz w:val="24"/>
                <w:highlight w:val="none"/>
              </w:rPr>
              <w:t xml:space="preserve">正偏离、无偏离或负偏离</w:t>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3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38" w:type="dxa"/>
            <w:textDirection w:val="lrTb"/>
            <w:noWrap w:val="false"/>
          </w:tcPr>
          <w:p>
            <w:pPr>
              <w:jc w:val="center"/>
              <w:rPr>
                <w:color w:val="auto"/>
                <w:highlight w:val="none"/>
              </w:rPr>
            </w:pPr>
            <w:r>
              <w:rPr>
                <w:color w:val="auto"/>
                <w:highlight w:val="none"/>
              </w:rPr>
            </w:r>
            <w:r/>
          </w:p>
          <w:p>
            <w:pPr>
              <w:pStyle w:val="672"/>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346"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699"/>
        <w:jc w:val="both"/>
        <w:spacing w:before="0" w:beforeAutospacing="0" w:after="0" w:afterAutospacing="0"/>
        <w:rPr>
          <w:color w:val="auto"/>
          <w:highlight w:val="none"/>
        </w:rPr>
      </w:pPr>
      <w:r>
        <w:rPr>
          <w:color w:val="auto"/>
          <w:highlight w:val="none"/>
        </w:rPr>
      </w:r>
      <w:r/>
    </w:p>
    <w:p>
      <w:pPr>
        <w:ind w:right="180"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投标人名称：（加盖电子公章）</w:t>
      </w:r>
      <w:r/>
    </w:p>
    <w:p>
      <w:pPr>
        <w:rPr>
          <w:rFonts w:ascii="宋体" w:hAnsi="宋体"/>
          <w:color w:val="auto"/>
          <w:sz w:val="24"/>
          <w:highlight w:val="none"/>
        </w:rPr>
      </w:pPr>
      <w:r>
        <w:rPr>
          <w:rFonts w:ascii="宋体" w:hAnsi="宋体"/>
          <w:color w:val="auto"/>
          <w:sz w:val="24"/>
          <w:highlight w:val="none"/>
        </w:rPr>
      </w:r>
      <w:r/>
    </w:p>
    <w:p>
      <w:pPr>
        <w:pStyle w:val="699"/>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699"/>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699"/>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64"/>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ascii="黑体" w:hAnsi="黑体" w:eastAsia="黑体"/>
          <w:iCs/>
          <w:color w:val="auto"/>
          <w:sz w:val="32"/>
          <w:szCs w:val="32"/>
          <w:highlight w:val="none"/>
        </w:rPr>
      </w:r>
      <w:r/>
    </w:p>
    <w:p>
      <w:pPr>
        <w:rPr>
          <w:rFonts w:ascii="黑体" w:hAnsi="黑体" w:eastAsia="黑体"/>
          <w:iCs/>
          <w:color w:val="auto"/>
          <w:sz w:val="32"/>
          <w:szCs w:val="32"/>
          <w:highlight w:val="none"/>
        </w:rPr>
      </w:pPr>
      <w:r>
        <w:rPr>
          <w:rFonts w:hint="eastAsia" w:ascii="黑体" w:hAnsi="黑体" w:eastAsia="黑体"/>
          <w:iCs/>
          <w:color w:val="auto"/>
          <w:sz w:val="32"/>
          <w:szCs w:val="32"/>
          <w:highlight w:val="none"/>
          <w:lang w:val="en-US" w:eastAsia="zh-CN"/>
        </w:rPr>
        <w:t xml:space="preserve">九</w:t>
      </w:r>
      <w:r>
        <w:rPr>
          <w:rFonts w:hint="eastAsia" w:ascii="黑体" w:hAnsi="黑体" w:eastAsia="黑体"/>
          <w:iCs/>
          <w:color w:val="auto"/>
          <w:sz w:val="32"/>
          <w:szCs w:val="32"/>
          <w:highlight w:val="none"/>
        </w:rPr>
        <w:t xml:space="preserve">、中小企业声明函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项目（采购包号：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2011</w:t>
      </w:r>
      <w:r>
        <w:rPr>
          <w:rFonts w:hint="eastAsia" w:ascii="仿宋_GB2312" w:hAnsi="仿宋_GB2312" w:eastAsia="仿宋_GB2312" w:cs="仿宋_GB2312"/>
          <w:color w:val="auto"/>
          <w:sz w:val="24"/>
          <w:highlight w:val="none"/>
        </w:rPr>
        <w:t xml:space="preserve">〕</w:t>
      </w:r>
      <w:r>
        <w:rPr>
          <w:rFonts w:hint="eastAsia" w:ascii="宋体" w:hAnsi="宋体"/>
          <w:color w:val="auto"/>
          <w:sz w:val="24"/>
          <w:highlight w:val="none"/>
        </w:rPr>
        <w:t xml:space="preserve">300号)的规定，相关企业（含联合体中的小微企业、签订分包意向协议的小微企业）的具体情况如下：</w:t>
      </w:r>
      <w:r/>
    </w:p>
    <w:p>
      <w:pPr>
        <w:ind w:firstLine="360"/>
        <w:spacing w:line="336" w:lineRule="auto"/>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i/>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（标的名称）属于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行业（招标文件中明确的所属行业）；制造商为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（企业名称），从业人员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sz w:val="24"/>
          <w:highlight w:val="none"/>
          <w:vertAlign w:val="superscript"/>
        </w:rPr>
        <w:t xml:space="preserve">1</w:t>
      </w:r>
      <w:r>
        <w:rPr>
          <w:rFonts w:hint="eastAsia" w:ascii="宋体" w:hAnsi="宋体"/>
          <w:color w:val="auto"/>
          <w:sz w:val="24"/>
          <w:highlight w:val="none"/>
        </w:rPr>
        <w:t xml:space="preserve">，属于</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中型企业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小型企业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微型企业。</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pStyle w:val="864"/>
        <w:spacing w:line="336" w:lineRule="auto"/>
        <w:rPr>
          <w:rFonts w:ascii="宋体" w:hAnsi="宋体"/>
          <w:color w:val="auto"/>
          <w:sz w:val="24"/>
          <w:highlight w:val="none"/>
        </w:rPr>
      </w:pPr>
      <w:r>
        <w:rPr>
          <w:rFonts w:ascii="宋体" w:hAnsi="宋体"/>
          <w:color w:val="auto"/>
          <w:sz w:val="24"/>
          <w:highlight w:val="none"/>
        </w:rPr>
      </w:r>
      <w:r/>
    </w:p>
    <w:p>
      <w:pPr>
        <w:spacing w:line="336" w:lineRule="auto"/>
        <w:rPr>
          <w:color w:val="auto"/>
          <w:highlight w:val="none"/>
        </w:rPr>
      </w:pPr>
      <w:r>
        <w:rPr>
          <w:color w:val="auto"/>
          <w:highlight w:val="none"/>
        </w:rPr>
      </w:r>
      <w:r/>
    </w:p>
    <w:p>
      <w:pPr>
        <w:ind w:right="180" w:firstLine="360"/>
        <w:jc w:val="center"/>
        <w:spacing w:line="336" w:lineRule="auto"/>
        <w:rPr>
          <w:rFonts w:ascii="宋体" w:hAnsi="宋体"/>
          <w:color w:val="auto"/>
          <w:sz w:val="24"/>
          <w:highlight w:val="none"/>
        </w:rPr>
      </w:pPr>
      <w:r>
        <w:rPr>
          <w:rFonts w:hint="eastAsia" w:ascii="宋体" w:hAnsi="宋体"/>
          <w:color w:val="auto"/>
          <w:sz w:val="24"/>
          <w:highlight w:val="none"/>
        </w:rPr>
        <w:t xml:space="preserve">                                         企业名称：（加盖电子公章）</w:t>
      </w:r>
      <w:r/>
    </w:p>
    <w:p>
      <w:pPr>
        <w:ind w:firstLine="6000"/>
        <w:spacing w:line="336" w:lineRule="auto"/>
        <w:rPr>
          <w:rFonts w:ascii="宋体" w:hAnsi="宋体"/>
          <w:color w:val="auto"/>
          <w:sz w:val="24"/>
          <w:highlight w:val="none"/>
        </w:rPr>
      </w:pPr>
      <w:r>
        <w:rPr>
          <w:rFonts w:hint="eastAsia"/>
          <w:color w:val="auto"/>
          <w:sz w:val="24"/>
          <w:highlight w:val="none"/>
        </w:rPr>
        <w:t xml:space="preserve">日    期：</w:t>
      </w:r>
      <w:r/>
    </w:p>
    <w:p>
      <w:pPr>
        <w:ind w:firstLine="480"/>
        <w:spacing w:line="336" w:lineRule="auto"/>
        <w:rPr>
          <w:rFonts w:ascii="宋体" w:hAnsi="宋体"/>
          <w:color w:val="auto"/>
          <w:sz w:val="24"/>
          <w:highlight w:val="none"/>
        </w:rPr>
      </w:pPr>
      <w:r>
        <w:rPr>
          <w:rFonts w:hint="eastAsia" w:ascii="宋体" w:hAnsi="宋体"/>
          <w:color w:val="auto"/>
          <w:sz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内打“</w:t>
      </w:r>
      <w:r>
        <w:rPr>
          <w:rFonts w:ascii="Arial" w:hAnsi="Arial" w:cs="Arial"/>
          <w:color w:val="auto"/>
          <w:sz w:val="24"/>
          <w:highlight w:val="none"/>
        </w:rPr>
        <w:t xml:space="preserve">√</w:t>
      </w:r>
      <w:r>
        <w:rPr>
          <w:rFonts w:hint="eastAsia" w:ascii="宋体" w:hAnsi="宋体"/>
          <w:color w:val="auto"/>
          <w:sz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auto"/>
          <w:sz w:val="24"/>
          <w:highlight w:val="none"/>
        </w:rPr>
        <w:t xml:space="preserve">（货物由中小企业制造，即货物由中小企业生产且使用该中小企业商号或者注册商标）</w:t>
      </w:r>
      <w:r>
        <w:rPr>
          <w:rFonts w:hint="eastAsia" w:ascii="宋体" w:hAnsi="宋体"/>
          <w:color w:val="auto"/>
          <w:sz w:val="24"/>
          <w:highlight w:val="none"/>
        </w:rPr>
        <w:t xml:space="preserve">，不对其中涉及的服务的承接商、工程的承建商作出要求。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iCs/>
          <w:color w:val="auto"/>
          <w:sz w:val="32"/>
          <w:szCs w:val="32"/>
          <w:highlight w:val="none"/>
          <w:lang w:val="en-US" w:eastAsia="zh-CN"/>
        </w:rPr>
        <w:t xml:space="preserve">十</w:t>
      </w:r>
      <w:r>
        <w:rPr>
          <w:rFonts w:hint="eastAsia" w:ascii="黑体" w:hAnsi="黑体" w:eastAsia="黑体"/>
          <w:iCs/>
          <w:color w:val="auto"/>
          <w:sz w:val="32"/>
          <w:szCs w:val="32"/>
          <w:highlight w:val="none"/>
        </w:rPr>
        <w:t xml:space="preserve">、</w:t>
      </w:r>
      <w:r>
        <w:rPr>
          <w:rFonts w:hint="eastAsia" w:ascii="黑体" w:hAnsi="黑体" w:eastAsia="黑体"/>
          <w:color w:val="auto"/>
          <w:sz w:val="32"/>
          <w:szCs w:val="32"/>
          <w:highlight w:val="none"/>
        </w:rPr>
        <w:t xml:space="preserve">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（单位名称）采购编号为</w:t>
      </w:r>
      <w:r>
        <w:rPr>
          <w:rFonts w:hint="eastAsia" w:ascii="宋体" w:hAnsi="宋体"/>
          <w:color w:val="auto"/>
          <w:sz w:val="24"/>
          <w:highlight w:val="none"/>
          <w:u w:val="single"/>
        </w:rPr>
        <w:t xml:space="preserve">XXXXXXXXXXXXXXXXXXXXXXXXX</w:t>
      </w:r>
      <w:r>
        <w:rPr>
          <w:rFonts w:hint="eastAsia" w:ascii="宋体" w:hAnsi="宋体"/>
          <w:color w:val="auto"/>
          <w:sz w:val="24"/>
          <w:highlight w:val="none"/>
        </w:rPr>
        <w:t xml:space="preserve">项目（分包号：</w:t>
      </w:r>
      <w:r>
        <w:rPr>
          <w:rFonts w:hint="eastAsia" w:ascii="宋体" w:hAnsi="宋体"/>
          <w:color w:val="auto"/>
          <w:sz w:val="24"/>
          <w:highlight w:val="none"/>
          <w:u w:val="single"/>
        </w:rPr>
        <w:t xml:space="preserve">XXX</w:t>
      </w:r>
      <w:r>
        <w:rPr>
          <w:rFonts w:hint="eastAsia" w:ascii="宋体" w:hAnsi="宋体"/>
          <w:color w:val="auto"/>
          <w:sz w:val="24"/>
          <w:highlight w:val="none"/>
        </w:rPr>
        <w:t xml:space="preserve">）的采购活动，服务全部由本单位提供。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64"/>
        <w:spacing w:line="360" w:lineRule="auto"/>
        <w:rPr>
          <w:rFonts w:ascii="宋体" w:hAnsi="宋体"/>
          <w:color w:val="auto"/>
          <w:sz w:val="24"/>
          <w:highlight w:val="none"/>
        </w:rPr>
      </w:pPr>
      <w:r>
        <w:rPr>
          <w:rFonts w:ascii="宋体" w:hAnsi="宋体"/>
          <w:color w:val="auto"/>
          <w:sz w:val="24"/>
          <w:highlight w:val="none"/>
        </w:rPr>
      </w:r>
      <w:r/>
    </w:p>
    <w:p>
      <w:pPr>
        <w:spacing w:line="360" w:lineRule="auto"/>
        <w:rPr>
          <w:color w:val="auto"/>
          <w:highlight w:val="none"/>
        </w:rPr>
      </w:pPr>
      <w:r>
        <w:rPr>
          <w:color w:val="auto"/>
          <w:highlight w:val="none"/>
        </w:rPr>
      </w:r>
      <w:r/>
    </w:p>
    <w:p>
      <w:pPr>
        <w:ind w:right="180" w:firstLine="360"/>
        <w:jc w:val="center"/>
        <w:spacing w:line="360" w:lineRule="auto"/>
        <w:rPr>
          <w:rFonts w:ascii="宋体" w:hAnsi="宋体"/>
          <w:color w:val="auto"/>
          <w:sz w:val="24"/>
          <w:highlight w:val="none"/>
        </w:rPr>
      </w:pPr>
      <w:r>
        <w:rPr>
          <w:rFonts w:hint="eastAsia" w:ascii="宋体" w:hAnsi="宋体"/>
          <w:color w:val="auto"/>
          <w:sz w:val="24"/>
          <w:highlight w:val="none"/>
        </w:rPr>
        <w:t xml:space="preserve">                                           企业名称：（加盖电子公章）</w:t>
      </w:r>
      <w:r/>
    </w:p>
    <w:p>
      <w:pPr>
        <w:ind w:firstLine="6000"/>
        <w:spacing w:line="360" w:lineRule="auto"/>
        <w:rPr>
          <w:rFonts w:ascii="宋体" w:hAnsi="宋体"/>
          <w:color w:val="auto"/>
          <w:sz w:val="24"/>
          <w:highlight w:val="none"/>
        </w:rPr>
      </w:pPr>
      <w:r>
        <w:rPr>
          <w:rFonts w:hint="eastAsia"/>
          <w:color w:val="auto"/>
          <w:sz w:val="24"/>
          <w:highlight w:val="none"/>
        </w:rPr>
        <w:t xml:space="preserve">日    期：</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4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w:t>
      </w:r>
      <w:r>
        <w:rPr>
          <w:rFonts w:hint="eastAsia" w:ascii="黑体" w:hAnsi="黑体" w:eastAsia="黑体"/>
          <w:color w:val="auto"/>
          <w:sz w:val="32"/>
          <w:szCs w:val="32"/>
          <w:highlight w:val="none"/>
          <w:lang w:val="en-US" w:eastAsia="zh-CN"/>
        </w:rPr>
        <w:t xml:space="preserve">一</w:t>
      </w:r>
      <w:r>
        <w:rPr>
          <w:rFonts w:hint="eastAsia" w:ascii="黑体" w:hAnsi="黑体" w:eastAsia="黑体"/>
          <w:color w:val="auto"/>
          <w:sz w:val="32"/>
          <w:szCs w:val="32"/>
          <w:highlight w:val="none"/>
        </w:rPr>
        <w:t xml:space="preserve">、</w:t>
      </w:r>
      <w:r>
        <w:rPr>
          <w:rFonts w:hint="eastAsia" w:ascii="黑体" w:hAnsi="黑体" w:eastAsia="黑体"/>
          <w:color w:val="auto"/>
          <w:sz w:val="32"/>
          <w:szCs w:val="32"/>
          <w:highlight w:val="none"/>
          <w:lang w:val="zh-CN"/>
        </w:rPr>
        <w:t xml:space="preserve"> 供应商认为与投标有关的其他资料</w:t>
      </w:r>
      <w:r>
        <w:rPr>
          <w:rFonts w:hint="eastAsia" w:ascii="黑体" w:hAnsi="黑体" w:eastAsia="黑体"/>
          <w:color w:val="auto"/>
          <w:sz w:val="32"/>
          <w:szCs w:val="32"/>
          <w:highlight w:val="none"/>
        </w:rPr>
        <w:t xml:space="preserve">(格式自拟)</w:t>
      </w:r>
      <w:r/>
    </w:p>
    <w:p>
      <w:pPr>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黑体_GBK">
    <w:panose1 w:val="020B0503020202020204"/>
  </w:font>
  <w:font w:name="Symbol">
    <w:panose1 w:val="05050102010706020507"/>
  </w:font>
  <w:font w:name="Wingdings">
    <w:panose1 w:val="05000000000000000000"/>
  </w:font>
  <w:font w:name="黑体">
    <w:panose1 w:val="02010609060101010101"/>
  </w:font>
  <w:font w:name="efont">
    <w:panose1 w:val="020B0503020202020204"/>
  </w:font>
  <w:font w:name="Verdana">
    <w:panose1 w:val="020B0604030504040204"/>
  </w:font>
  <w:font w:name="仿宋_GB2312">
    <w:panose1 w:val="02010609060101010101"/>
  </w:font>
  <w:font w:name="Times">
    <w:panose1 w:val="02020603050405020304"/>
  </w:font>
  <w:font w:name="楷体_GB2312">
    <w:panose1 w:val="02010609060101010101"/>
  </w:font>
  <w:font w:name="Consolas">
    <w:panose1 w:val="020B0609020204030204"/>
  </w:font>
  <w:font w:name="仿宋">
    <w:panose1 w:val="02010609060101010101"/>
  </w:font>
  <w:font w:name="等线">
    <w:panose1 w:val="02010600030101010101"/>
  </w:font>
  <w:font w:name="Courier New">
    <w:panose1 w:val="02070309020205020404"/>
  </w:font>
  <w:font w:name="Arial">
    <w:panose1 w:val="020B0604020202020204"/>
  </w:font>
  <w:font w:name="华文细黑">
    <w:panose1 w:val="02010600040101010101"/>
  </w:font>
  <w:font w:name="Cambria">
    <w:panose1 w:val="02040503050406030204"/>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87"/>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1">
    <w:name w:val="Heading 1"/>
    <w:basedOn w:val="660"/>
    <w:next w:val="660"/>
    <w:link w:val="912"/>
    <w:uiPriority w:val="99"/>
    <w:qFormat/>
    <w:pPr>
      <w:keepLines/>
      <w:keepNext/>
      <w:spacing w:before="340" w:after="330" w:line="578" w:lineRule="auto"/>
      <w:outlineLvl w:val="0"/>
    </w:pPr>
    <w:rPr>
      <w:rFonts w:ascii="Calibri" w:hAnsi="Calibri"/>
      <w:b/>
      <w:sz w:val="44"/>
      <w:szCs w:val="20"/>
    </w:rPr>
  </w:style>
  <w:style w:type="paragraph" w:styleId="662">
    <w:name w:val="Heading 2"/>
    <w:basedOn w:val="660"/>
    <w:next w:val="660"/>
    <w:link w:val="898"/>
    <w:uiPriority w:val="99"/>
    <w:qFormat/>
    <w:pPr>
      <w:keepLines/>
      <w:keepNext/>
      <w:spacing w:before="260" w:after="260" w:line="416" w:lineRule="auto"/>
      <w:outlineLvl w:val="1"/>
    </w:pPr>
    <w:rPr>
      <w:rFonts w:ascii="Cambria" w:hAnsi="Cambria"/>
      <w:b/>
      <w:sz w:val="32"/>
      <w:szCs w:val="20"/>
    </w:rPr>
  </w:style>
  <w:style w:type="paragraph" w:styleId="663">
    <w:name w:val="Heading 3"/>
    <w:basedOn w:val="660"/>
    <w:next w:val="660"/>
    <w:uiPriority w:val="0"/>
    <w:unhideWhenUsed/>
    <w:qFormat/>
    <w:pPr>
      <w:keepLines/>
      <w:keepNext/>
      <w:spacing w:before="260" w:after="260" w:line="413" w:lineRule="auto"/>
      <w:outlineLvl w:val="2"/>
    </w:pPr>
    <w:rPr>
      <w:b/>
      <w:sz w:val="32"/>
    </w:rPr>
  </w:style>
  <w:style w:type="paragraph" w:styleId="664">
    <w:name w:val="Heading 4"/>
    <w:basedOn w:val="660"/>
    <w:next w:val="675"/>
    <w:uiPriority w:val="0"/>
    <w:unhideWhenUsed/>
    <w:qFormat/>
    <w:pPr>
      <w:keepLines/>
      <w:keepNext/>
      <w:spacing w:before="120" w:after="120"/>
      <w:outlineLvl w:val="3"/>
    </w:pPr>
    <w:rPr>
      <w:rFonts w:ascii="Cambria" w:hAnsi="Cambria" w:eastAsia="华文细黑"/>
      <w:b/>
      <w:sz w:val="28"/>
      <w:szCs w:val="20"/>
    </w:rPr>
  </w:style>
  <w:style w:type="paragraph" w:styleId="665">
    <w:name w:val="Heading 5"/>
    <w:basedOn w:val="660"/>
    <w:next w:val="660"/>
    <w:link w:val="904"/>
    <w:uiPriority w:val="0"/>
    <w:qFormat/>
    <w:pPr>
      <w:keepLines/>
      <w:keepNext/>
      <w:spacing w:before="280" w:after="290" w:line="376" w:lineRule="auto"/>
      <w:outlineLvl w:val="4"/>
    </w:pPr>
    <w:rPr>
      <w:rFonts w:ascii="Calibri" w:hAnsi="Calibri"/>
      <w:b/>
      <w:bCs/>
      <w:sz w:val="28"/>
      <w:szCs w:val="28"/>
    </w:rPr>
  </w:style>
  <w:style w:type="paragraph" w:styleId="666">
    <w:name w:val="Heading 6"/>
    <w:basedOn w:val="660"/>
    <w:next w:val="660"/>
    <w:link w:val="722"/>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24"/>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902"/>
    <w:uiPriority w:val="0"/>
    <w:qFormat/>
    <w:pPr>
      <w:keepLines/>
      <w:keepNext/>
      <w:spacing w:before="240" w:after="64" w:line="320" w:lineRule="auto"/>
      <w:outlineLvl w:val="8"/>
    </w:pPr>
    <w:rPr>
      <w:rFonts w:ascii="Cambria" w:hAnsi="Cambria"/>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Body Text First Indent 2"/>
    <w:basedOn w:val="673"/>
    <w:next w:val="660"/>
    <w:uiPriority w:val="0"/>
    <w:qFormat/>
    <w:pPr>
      <w:ind w:firstLine="420"/>
      <w:spacing w:line="360" w:lineRule="auto"/>
    </w:pPr>
    <w:rPr>
      <w:rFonts w:ascii="宋体" w:hAnsi="宋体"/>
      <w:sz w:val="21"/>
    </w:rPr>
  </w:style>
  <w:style w:type="paragraph" w:styleId="673">
    <w:name w:val="Body Text Indent"/>
    <w:basedOn w:val="660"/>
    <w:next w:val="674"/>
    <w:link w:val="913"/>
    <w:uiPriority w:val="99"/>
    <w:qFormat/>
    <w:pPr>
      <w:ind w:left="420"/>
      <w:spacing w:after="120"/>
    </w:pPr>
    <w:rPr>
      <w:rFonts w:ascii="Calibri" w:hAnsi="Calibri"/>
      <w:sz w:val="24"/>
      <w:szCs w:val="20"/>
    </w:rPr>
  </w:style>
  <w:style w:type="paragraph" w:styleId="674">
    <w:name w:val="envelope return"/>
    <w:basedOn w:val="660"/>
    <w:uiPriority w:val="0"/>
    <w:qFormat/>
    <w:rPr>
      <w:rFonts w:ascii="Arial" w:hAnsi="Arial" w:cs="宋体"/>
    </w:rPr>
  </w:style>
  <w:style w:type="paragraph" w:styleId="675">
    <w:name w:val="Normal Indent"/>
    <w:basedOn w:val="660"/>
    <w:uiPriority w:val="99"/>
    <w:qFormat/>
    <w:pPr>
      <w:ind w:firstLine="420"/>
    </w:pPr>
  </w:style>
  <w:style w:type="paragraph" w:styleId="676">
    <w:name w:val="toc 7"/>
    <w:basedOn w:val="660"/>
    <w:next w:val="660"/>
    <w:uiPriority w:val="39"/>
    <w:unhideWhenUsed/>
    <w:pPr>
      <w:ind w:left="1701" w:right="0" w:firstLine="0"/>
      <w:spacing w:after="57"/>
    </w:pPr>
  </w:style>
  <w:style w:type="paragraph" w:styleId="677">
    <w:name w:val="Caption"/>
    <w:basedOn w:val="660"/>
    <w:next w:val="660"/>
    <w:uiPriority w:val="35"/>
    <w:semiHidden/>
    <w:unhideWhenUsed/>
    <w:qFormat/>
    <w:pPr>
      <w:spacing w:line="276" w:lineRule="auto"/>
    </w:pPr>
    <w:rPr>
      <w:b/>
      <w:bCs/>
      <w:color w:val="4f81bd" w:themeColor="accent1"/>
      <w:sz w:val="18"/>
      <w:szCs w:val="18"/>
    </w:rPr>
  </w:style>
  <w:style w:type="paragraph" w:styleId="678">
    <w:name w:val="annotation text"/>
    <w:basedOn w:val="660"/>
    <w:link w:val="896"/>
    <w:uiPriority w:val="99"/>
    <w:qFormat/>
    <w:pPr>
      <w:jc w:val="left"/>
    </w:pPr>
    <w:rPr>
      <w:rFonts w:ascii="Calibri" w:hAnsi="Calibri"/>
      <w:sz w:val="24"/>
      <w:szCs w:val="20"/>
    </w:rPr>
  </w:style>
  <w:style w:type="paragraph" w:styleId="679">
    <w:name w:val="Body Text"/>
    <w:basedOn w:val="660"/>
    <w:next w:val="660"/>
    <w:link w:val="911"/>
    <w:uiPriority w:val="99"/>
    <w:qFormat/>
    <w:pPr>
      <w:jc w:val="center"/>
    </w:pPr>
    <w:rPr>
      <w:rFonts w:ascii="Calibri" w:hAnsi="Calibri"/>
      <w:sz w:val="24"/>
      <w:szCs w:val="20"/>
    </w:rPr>
  </w:style>
  <w:style w:type="paragraph" w:styleId="680">
    <w:name w:val="index 4"/>
    <w:basedOn w:val="660"/>
    <w:next w:val="660"/>
    <w:uiPriority w:val="99"/>
    <w:unhideWhenUsed/>
    <w:qFormat/>
    <w:pPr>
      <w:ind w:left="600"/>
    </w:pPr>
  </w:style>
  <w:style w:type="paragraph" w:styleId="681">
    <w:name w:val="toc 5"/>
    <w:basedOn w:val="660"/>
    <w:next w:val="660"/>
    <w:uiPriority w:val="39"/>
    <w:unhideWhenUsed/>
    <w:pPr>
      <w:ind w:left="1134" w:right="0" w:firstLine="0"/>
      <w:spacing w:after="57"/>
    </w:pPr>
  </w:style>
  <w:style w:type="paragraph" w:styleId="682">
    <w:name w:val="toc 3"/>
    <w:basedOn w:val="660"/>
    <w:next w:val="660"/>
    <w:uiPriority w:val="39"/>
    <w:unhideWhenUsed/>
    <w:pPr>
      <w:ind w:left="567" w:right="0" w:firstLine="0"/>
      <w:spacing w:after="57"/>
    </w:pPr>
  </w:style>
  <w:style w:type="paragraph" w:styleId="683">
    <w:name w:val="Plain Text"/>
    <w:basedOn w:val="660"/>
    <w:link w:val="909"/>
    <w:uiPriority w:val="99"/>
    <w:qFormat/>
    <w:pPr>
      <w:jc w:val="left"/>
      <w:widowControl/>
    </w:pPr>
    <w:rPr>
      <w:rFonts w:ascii="宋体" w:hAnsi="Courier New"/>
      <w:szCs w:val="20"/>
    </w:rPr>
  </w:style>
  <w:style w:type="paragraph" w:styleId="684">
    <w:name w:val="toc 8"/>
    <w:basedOn w:val="660"/>
    <w:next w:val="660"/>
    <w:uiPriority w:val="39"/>
    <w:unhideWhenUsed/>
    <w:pPr>
      <w:ind w:left="1984" w:right="0" w:firstLine="0"/>
      <w:spacing w:after="57"/>
    </w:pPr>
  </w:style>
  <w:style w:type="paragraph" w:styleId="685">
    <w:name w:val="endnote text"/>
    <w:basedOn w:val="660"/>
    <w:link w:val="861"/>
    <w:uiPriority w:val="99"/>
    <w:semiHidden/>
    <w:unhideWhenUsed/>
    <w:pPr>
      <w:spacing w:after="0" w:line="240" w:lineRule="auto"/>
    </w:pPr>
    <w:rPr>
      <w:sz w:val="20"/>
    </w:rPr>
  </w:style>
  <w:style w:type="paragraph" w:styleId="686">
    <w:name w:val="Balloon Text"/>
    <w:basedOn w:val="660"/>
    <w:link w:val="900"/>
    <w:uiPriority w:val="99"/>
    <w:semiHidden/>
    <w:qFormat/>
    <w:rPr>
      <w:rFonts w:ascii="Calibri" w:hAnsi="Calibri"/>
      <w:sz w:val="16"/>
      <w:szCs w:val="20"/>
    </w:rPr>
  </w:style>
  <w:style w:type="paragraph" w:styleId="687">
    <w:name w:val="Footer"/>
    <w:basedOn w:val="660"/>
    <w:link w:val="908"/>
    <w:uiPriority w:val="0"/>
    <w:qFormat/>
    <w:pPr>
      <w:jc w:val="left"/>
      <w:tabs>
        <w:tab w:val="center" w:pos="4153" w:leader="none"/>
        <w:tab w:val="right" w:pos="8306" w:leader="none"/>
      </w:tabs>
    </w:pPr>
    <w:rPr>
      <w:rFonts w:ascii="Calibri" w:hAnsi="Calibri"/>
      <w:sz w:val="18"/>
      <w:szCs w:val="20"/>
    </w:rPr>
  </w:style>
  <w:style w:type="paragraph" w:styleId="688">
    <w:name w:val="Header"/>
    <w:basedOn w:val="660"/>
    <w:link w:val="890"/>
    <w:uiPriority w:val="99"/>
    <w:qFormat/>
    <w:pPr>
      <w:jc w:val="center"/>
      <w:tabs>
        <w:tab w:val="center" w:pos="4153" w:leader="none"/>
        <w:tab w:val="right" w:pos="8306" w:leader="none"/>
      </w:tabs>
      <w:pBdr>
        <w:bottom w:val="single" w:color="auto" w:sz="6" w:space="1"/>
      </w:pBdr>
    </w:pPr>
    <w:rPr>
      <w:rFonts w:ascii="Calibri" w:hAnsi="Calibri"/>
      <w:sz w:val="18"/>
      <w:szCs w:val="20"/>
    </w:rPr>
  </w:style>
  <w:style w:type="paragraph" w:styleId="689">
    <w:name w:val="toc 1"/>
    <w:basedOn w:val="660"/>
    <w:next w:val="660"/>
    <w:uiPriority w:val="39"/>
    <w:qFormat/>
  </w:style>
  <w:style w:type="paragraph" w:styleId="690">
    <w:name w:val="toc 4"/>
    <w:basedOn w:val="660"/>
    <w:next w:val="660"/>
    <w:uiPriority w:val="39"/>
    <w:unhideWhenUsed/>
    <w:pPr>
      <w:ind w:left="850" w:right="0" w:firstLine="0"/>
      <w:spacing w:after="57"/>
    </w:pPr>
  </w:style>
  <w:style w:type="paragraph" w:styleId="691">
    <w:name w:val="Subtitle"/>
    <w:basedOn w:val="660"/>
    <w:next w:val="660"/>
    <w:link w:val="889"/>
    <w:uiPriority w:val="0"/>
    <w:qFormat/>
    <w:pPr>
      <w:jc w:val="center"/>
      <w:spacing w:line="312" w:lineRule="auto"/>
      <w:outlineLvl w:val="1"/>
    </w:pPr>
    <w:rPr>
      <w:rFonts w:ascii="Cambria" w:hAnsi="Cambria" w:eastAsia="等线"/>
      <w:b/>
      <w:bCs/>
      <w:sz w:val="32"/>
      <w:szCs w:val="32"/>
    </w:rPr>
  </w:style>
  <w:style w:type="paragraph" w:styleId="692">
    <w:name w:val="footnote text"/>
    <w:basedOn w:val="660"/>
    <w:link w:val="860"/>
    <w:uiPriority w:val="99"/>
    <w:semiHidden/>
    <w:unhideWhenUsed/>
    <w:pPr>
      <w:spacing w:after="40" w:line="240" w:lineRule="auto"/>
    </w:pPr>
    <w:rPr>
      <w:sz w:val="18"/>
    </w:rPr>
  </w:style>
  <w:style w:type="paragraph" w:styleId="693">
    <w:name w:val="toc 6"/>
    <w:basedOn w:val="660"/>
    <w:next w:val="660"/>
    <w:uiPriority w:val="39"/>
    <w:unhideWhenUsed/>
    <w:pPr>
      <w:ind w:left="1417" w:right="0" w:firstLine="0"/>
      <w:spacing w:after="57"/>
    </w:pPr>
  </w:style>
  <w:style w:type="paragraph" w:styleId="694">
    <w:name w:val="table of figures"/>
    <w:basedOn w:val="660"/>
    <w:next w:val="660"/>
    <w:uiPriority w:val="99"/>
    <w:unhideWhenUsed/>
    <w:pPr>
      <w:spacing w:after="0" w:afterAutospacing="0"/>
    </w:pPr>
  </w:style>
  <w:style w:type="paragraph" w:styleId="695">
    <w:name w:val="toc 2"/>
    <w:basedOn w:val="660"/>
    <w:next w:val="660"/>
    <w:uiPriority w:val="39"/>
    <w:qFormat/>
    <w:pPr>
      <w:ind w:left="420"/>
    </w:pPr>
  </w:style>
  <w:style w:type="paragraph" w:styleId="696">
    <w:name w:val="toc 9"/>
    <w:basedOn w:val="660"/>
    <w:next w:val="660"/>
    <w:uiPriority w:val="39"/>
    <w:unhideWhenUsed/>
    <w:pPr>
      <w:ind w:left="2268" w:right="0" w:firstLine="0"/>
      <w:spacing w:after="57"/>
    </w:pPr>
  </w:style>
  <w:style w:type="paragraph" w:styleId="697">
    <w:name w:val="Body Text 2"/>
    <w:basedOn w:val="660"/>
    <w:uiPriority w:val="0"/>
    <w:qFormat/>
    <w:pPr>
      <w:jc w:val="center"/>
      <w:widowControl/>
    </w:pPr>
    <w:rPr>
      <w:rFonts w:ascii="楷体_GB2312" w:eastAsia="楷体_GB2312"/>
      <w:sz w:val="28"/>
      <w:szCs w:val="28"/>
    </w:rPr>
  </w:style>
  <w:style w:type="paragraph" w:styleId="698">
    <w:name w:val="HTML Preformatted"/>
    <w:basedOn w:val="660"/>
    <w:uiPriority w:val="99"/>
    <w:qFormat/>
    <w:rPr>
      <w:rFonts w:ascii="Courier New" w:hAnsi="Courier New" w:cs="Courier New"/>
      <w:sz w:val="20"/>
    </w:rPr>
  </w:style>
  <w:style w:type="paragraph" w:styleId="699">
    <w:name w:val="Normal (Web)"/>
    <w:basedOn w:val="660"/>
    <w:uiPriority w:val="0"/>
    <w:qFormat/>
    <w:pPr>
      <w:jc w:val="left"/>
      <w:spacing w:before="100" w:beforeAutospacing="1" w:after="100" w:afterAutospacing="1"/>
      <w:widowControl/>
    </w:pPr>
    <w:rPr>
      <w:rFonts w:ascii="宋体" w:hAnsi="宋体" w:cs="宋体"/>
      <w:sz w:val="24"/>
    </w:rPr>
  </w:style>
  <w:style w:type="paragraph" w:styleId="700">
    <w:name w:val="Title"/>
    <w:basedOn w:val="660"/>
    <w:next w:val="660"/>
    <w:link w:val="726"/>
    <w:uiPriority w:val="10"/>
    <w:qFormat/>
    <w:pPr>
      <w:contextualSpacing/>
      <w:spacing w:before="300" w:after="200"/>
    </w:pPr>
    <w:rPr>
      <w:sz w:val="48"/>
      <w:szCs w:val="48"/>
    </w:rPr>
  </w:style>
  <w:style w:type="paragraph" w:styleId="701">
    <w:name w:val="annotation subject"/>
    <w:basedOn w:val="678"/>
    <w:next w:val="678"/>
    <w:link w:val="892"/>
    <w:uiPriority w:val="99"/>
    <w:qFormat/>
    <w:rPr>
      <w:b/>
    </w:rPr>
  </w:style>
  <w:style w:type="paragraph" w:styleId="702">
    <w:name w:val="Body Text First Indent"/>
    <w:basedOn w:val="679"/>
    <w:uiPriority w:val="0"/>
    <w:semiHidden/>
    <w:unhideWhenUsed/>
    <w:qFormat/>
    <w:pPr>
      <w:ind w:firstLine="420"/>
    </w:pPr>
  </w:style>
  <w:style w:type="table" w:styleId="703">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uiPriority w:val="0"/>
    <w:qFormat/>
    <w:rPr>
      <w:b/>
    </w:rPr>
  </w:style>
  <w:style w:type="character" w:styleId="705">
    <w:name w:val="endnote reference"/>
    <w:basedOn w:val="670"/>
    <w:uiPriority w:val="99"/>
    <w:semiHidden/>
    <w:unhideWhenUsed/>
    <w:rPr>
      <w:vertAlign w:val="superscript"/>
    </w:rPr>
  </w:style>
  <w:style w:type="character" w:styleId="706">
    <w:name w:val="page number"/>
    <w:uiPriority w:val="99"/>
    <w:qFormat/>
    <w:rPr>
      <w:rFonts w:eastAsia="宋体" w:cs="Times New Roman"/>
      <w:b/>
      <w:spacing w:val="0"/>
      <w:sz w:val="24"/>
      <w:lang w:val="en-US" w:eastAsia="zh-CN"/>
    </w:rPr>
  </w:style>
  <w:style w:type="character" w:styleId="707">
    <w:name w:val="FollowedHyperlink"/>
    <w:uiPriority w:val="99"/>
    <w:unhideWhenUsed/>
    <w:qFormat/>
    <w:rPr>
      <w:color w:val="000000"/>
      <w:sz w:val="18"/>
      <w:szCs w:val="18"/>
      <w:u w:val="none"/>
    </w:rPr>
  </w:style>
  <w:style w:type="character" w:styleId="708">
    <w:name w:val="Emphasis"/>
    <w:uiPriority w:val="99"/>
    <w:qFormat/>
    <w:rPr>
      <w:rFonts w:cs="Times New Roman"/>
      <w:color w:val="cc0000"/>
    </w:rPr>
  </w:style>
  <w:style w:type="character" w:styleId="709">
    <w:name w:val="HTML Definition"/>
    <w:uiPriority w:val="99"/>
    <w:unhideWhenUsed/>
    <w:qFormat/>
    <w:rPr>
      <w:i/>
    </w:rPr>
  </w:style>
  <w:style w:type="character" w:styleId="710">
    <w:name w:val="Hyperlink"/>
    <w:uiPriority w:val="99"/>
    <w:unhideWhenUsed/>
    <w:qFormat/>
    <w:rPr>
      <w:color w:val="000000"/>
      <w:sz w:val="18"/>
      <w:szCs w:val="18"/>
      <w:u w:val="none"/>
    </w:rPr>
  </w:style>
  <w:style w:type="character" w:styleId="711">
    <w:name w:val="HTML Code"/>
    <w:uiPriority w:val="99"/>
    <w:unhideWhenUsed/>
    <w:qFormat/>
    <w:rPr>
      <w:rFonts w:ascii="Courier New" w:hAnsi="Courier New"/>
      <w:sz w:val="20"/>
    </w:rPr>
  </w:style>
  <w:style w:type="character" w:styleId="712">
    <w:name w:val="annotation reference"/>
    <w:uiPriority w:val="99"/>
    <w:qFormat/>
    <w:rPr>
      <w:rFonts w:cs="Times New Roman"/>
      <w:sz w:val="21"/>
    </w:rPr>
  </w:style>
  <w:style w:type="character" w:styleId="713">
    <w:name w:val="HTML Cite"/>
    <w:uiPriority w:val="99"/>
    <w:qFormat/>
    <w:rPr>
      <w:rFonts w:cs="Times New Roman"/>
      <w:color w:val="008000"/>
    </w:rPr>
  </w:style>
  <w:style w:type="character" w:styleId="714">
    <w:name w:val="footnote reference"/>
    <w:basedOn w:val="670"/>
    <w:uiPriority w:val="99"/>
    <w:unhideWhenUsed/>
    <w:rPr>
      <w:vertAlign w:val="superscript"/>
    </w:rPr>
  </w:style>
  <w:style w:type="character" w:styleId="715">
    <w:name w:val="HTML Keyboard"/>
    <w:uiPriority w:val="99"/>
    <w:unhideWhenUsed/>
    <w:qFormat/>
    <w:rPr>
      <w:rFonts w:ascii="Consolas" w:hAnsi="Consolas" w:eastAsia="Consolas" w:cs="Consolas"/>
      <w:color w:val="ffffff"/>
      <w:sz w:val="21"/>
      <w:szCs w:val="21"/>
      <w:shd w:val="clear" w:color="auto" w:fill="333333"/>
    </w:rPr>
  </w:style>
  <w:style w:type="character" w:styleId="716">
    <w:name w:val="HTML Sample"/>
    <w:uiPriority w:val="99"/>
    <w:unhideWhenUsed/>
    <w:qFormat/>
    <w:rPr>
      <w:rFonts w:hint="default" w:ascii="Consolas" w:hAnsi="Consolas" w:eastAsia="Consolas" w:cs="Consolas"/>
      <w:sz w:val="21"/>
      <w:szCs w:val="21"/>
      <w:shd w:val="clear" w:color="auto" w:fill="d9534f"/>
    </w:rPr>
  </w:style>
  <w:style w:type="character" w:styleId="717" w:customStyle="1">
    <w:name w:val="Heading 1 Char"/>
    <w:basedOn w:val="670"/>
    <w:uiPriority w:val="9"/>
    <w:qFormat/>
    <w:rPr>
      <w:rFonts w:ascii="Arial" w:hAnsi="Arial" w:eastAsia="Arial" w:cs="Arial"/>
      <w:sz w:val="40"/>
      <w:szCs w:val="40"/>
    </w:rPr>
  </w:style>
  <w:style w:type="character" w:styleId="718" w:customStyle="1">
    <w:name w:val="Heading 2 Char"/>
    <w:basedOn w:val="670"/>
    <w:uiPriority w:val="9"/>
    <w:rPr>
      <w:rFonts w:ascii="Arial" w:hAnsi="Arial" w:eastAsia="Arial" w:cs="Arial"/>
      <w:sz w:val="34"/>
    </w:rPr>
  </w:style>
  <w:style w:type="character" w:styleId="719" w:customStyle="1">
    <w:name w:val="Heading 3 Char"/>
    <w:basedOn w:val="670"/>
    <w:uiPriority w:val="9"/>
    <w:rPr>
      <w:rFonts w:ascii="Arial" w:hAnsi="Arial" w:eastAsia="Arial" w:cs="Arial"/>
      <w:sz w:val="30"/>
      <w:szCs w:val="30"/>
    </w:rPr>
  </w:style>
  <w:style w:type="character" w:styleId="720" w:customStyle="1">
    <w:name w:val="Heading 4 Char"/>
    <w:basedOn w:val="670"/>
    <w:uiPriority w:val="9"/>
    <w:rPr>
      <w:rFonts w:ascii="Arial" w:hAnsi="Arial" w:eastAsia="Arial" w:cs="Arial"/>
      <w:b/>
      <w:bCs/>
      <w:sz w:val="26"/>
      <w:szCs w:val="26"/>
    </w:rPr>
  </w:style>
  <w:style w:type="character" w:styleId="721" w:customStyle="1">
    <w:name w:val="Heading 5 Char"/>
    <w:basedOn w:val="670"/>
    <w:uiPriority w:val="9"/>
    <w:rPr>
      <w:rFonts w:ascii="Arial" w:hAnsi="Arial" w:eastAsia="Arial" w:cs="Arial"/>
      <w:b/>
      <w:bCs/>
      <w:sz w:val="24"/>
      <w:szCs w:val="24"/>
    </w:rPr>
  </w:style>
  <w:style w:type="character" w:styleId="722" w:customStyle="1">
    <w:name w:val="Heading 6 Char"/>
    <w:basedOn w:val="670"/>
    <w:link w:val="666"/>
    <w:uiPriority w:val="9"/>
    <w:rPr>
      <w:rFonts w:ascii="Arial" w:hAnsi="Arial" w:eastAsia="Arial" w:cs="Arial"/>
      <w:b/>
      <w:bCs/>
      <w:sz w:val="22"/>
      <w:szCs w:val="22"/>
    </w:rPr>
  </w:style>
  <w:style w:type="character" w:styleId="723" w:customStyle="1">
    <w:name w:val="Heading 7 Char"/>
    <w:basedOn w:val="670"/>
    <w:link w:val="667"/>
    <w:uiPriority w:val="9"/>
    <w:rPr>
      <w:rFonts w:ascii="Arial" w:hAnsi="Arial" w:eastAsia="Arial" w:cs="Arial"/>
      <w:b/>
      <w:bCs/>
      <w:i/>
      <w:iCs/>
      <w:sz w:val="22"/>
      <w:szCs w:val="22"/>
    </w:rPr>
  </w:style>
  <w:style w:type="character" w:styleId="724" w:customStyle="1">
    <w:name w:val="Heading 8 Char"/>
    <w:basedOn w:val="670"/>
    <w:link w:val="668"/>
    <w:uiPriority w:val="9"/>
    <w:qFormat/>
    <w:rPr>
      <w:rFonts w:ascii="Arial" w:hAnsi="Arial" w:eastAsia="Arial" w:cs="Arial"/>
      <w:i/>
      <w:iCs/>
      <w:sz w:val="22"/>
      <w:szCs w:val="22"/>
    </w:rPr>
  </w:style>
  <w:style w:type="character" w:styleId="725" w:customStyle="1">
    <w:name w:val="Heading 9 Char"/>
    <w:basedOn w:val="670"/>
    <w:uiPriority w:val="9"/>
    <w:rPr>
      <w:rFonts w:ascii="Arial" w:hAnsi="Arial" w:eastAsia="Arial" w:cs="Arial"/>
      <w:i/>
      <w:iCs/>
      <w:sz w:val="21"/>
      <w:szCs w:val="21"/>
    </w:rPr>
  </w:style>
  <w:style w:type="character" w:styleId="726" w:customStyle="1">
    <w:name w:val="Title Char"/>
    <w:basedOn w:val="670"/>
    <w:link w:val="700"/>
    <w:uiPriority w:val="10"/>
    <w:rPr>
      <w:sz w:val="48"/>
      <w:szCs w:val="48"/>
    </w:rPr>
  </w:style>
  <w:style w:type="character" w:styleId="727" w:customStyle="1">
    <w:name w:val="Subtitle Char"/>
    <w:basedOn w:val="670"/>
    <w:uiPriority w:val="11"/>
    <w:rPr>
      <w:sz w:val="24"/>
      <w:szCs w:val="24"/>
    </w:rPr>
  </w:style>
  <w:style w:type="paragraph" w:styleId="728">
    <w:name w:val="Quote"/>
    <w:basedOn w:val="660"/>
    <w:next w:val="660"/>
    <w:link w:val="729"/>
    <w:uiPriority w:val="29"/>
    <w:qFormat/>
    <w:pPr>
      <w:ind w:left="720" w:right="720"/>
    </w:pPr>
    <w:rPr>
      <w:i/>
    </w:rPr>
  </w:style>
  <w:style w:type="character" w:styleId="729" w:customStyle="1">
    <w:name w:val="Quote Char"/>
    <w:link w:val="728"/>
    <w:uiPriority w:val="29"/>
    <w:rPr>
      <w:i/>
    </w:rPr>
  </w:style>
  <w:style w:type="paragraph" w:styleId="730">
    <w:name w:val="Intense Quote"/>
    <w:basedOn w:val="660"/>
    <w:next w:val="660"/>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rPr>
      <w:i/>
    </w:rPr>
  </w:style>
  <w:style w:type="character" w:styleId="732" w:customStyle="1">
    <w:name w:val="Header Char"/>
    <w:basedOn w:val="670"/>
    <w:uiPriority w:val="99"/>
  </w:style>
  <w:style w:type="character" w:styleId="733" w:customStyle="1">
    <w:name w:val="Footer Char"/>
    <w:basedOn w:val="670"/>
    <w:uiPriority w:val="99"/>
  </w:style>
  <w:style w:type="character" w:styleId="734" w:customStyle="1">
    <w:name w:val="Caption Char"/>
    <w:uiPriority w:val="99"/>
  </w:style>
  <w:style w:type="table" w:styleId="735" w:customStyle="1">
    <w:name w:val="Table Grid Light"/>
    <w:basedOn w:val="67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7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7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7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7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7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7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7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7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7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7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7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7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7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7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7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7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basedOn w:val="67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7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7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7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7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7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7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7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7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basedOn w:val="67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basedOn w:val="67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basedOn w:val="67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basedOn w:val="67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basedOn w:val="67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basedOn w:val="67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basedOn w:val="67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6 Colorful - Accent 1"/>
    <w:basedOn w:val="67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8" w:customStyle="1">
    <w:name w:val="Grid Table 6 Colorful - Accent 2"/>
    <w:basedOn w:val="67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9" w:customStyle="1">
    <w:name w:val="Grid Table 6 Colorful - Accent 3"/>
    <w:basedOn w:val="67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0" w:customStyle="1">
    <w:name w:val="Grid Table 6 Colorful - Accent 4"/>
    <w:basedOn w:val="67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1" w:customStyle="1">
    <w:name w:val="Grid Table 6 Colorful - Accent 5"/>
    <w:basedOn w:val="67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6 Colorful - Accent 6"/>
    <w:basedOn w:val="67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7 Colorful"/>
    <w:basedOn w:val="67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7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7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7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7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7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7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7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7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7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71"/>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7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7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basedOn w:val="6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basedOn w:val="67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basedOn w:val="67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basedOn w:val="67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basedOn w:val="67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basedOn w:val="6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7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basedOn w:val="67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7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7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7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7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basedOn w:val="67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7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basedOn w:val="67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basedOn w:val="67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basedOn w:val="67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basedOn w:val="67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basedOn w:val="67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basedOn w:val="67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9" w:customStyle="1">
    <w:name w:val="List Table 5 Dark - Accent 1"/>
    <w:basedOn w:val="67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0" w:customStyle="1">
    <w:name w:val="List Table 5 Dark - Accent 2"/>
    <w:basedOn w:val="67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1" w:customStyle="1">
    <w:name w:val="List Table 5 Dark - Accent 3"/>
    <w:basedOn w:val="67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2" w:customStyle="1">
    <w:name w:val="List Table 5 Dark - Accent 4"/>
    <w:basedOn w:val="67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3" w:customStyle="1">
    <w:name w:val="List Table 5 Dark - Accent 5"/>
    <w:basedOn w:val="67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4" w:customStyle="1">
    <w:name w:val="List Table 5 Dark - Accent 6"/>
    <w:basedOn w:val="67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5" w:customStyle="1">
    <w:name w:val="List Table 6 Colorful"/>
    <w:basedOn w:val="67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6" w:customStyle="1">
    <w:name w:val="List Table 6 Colorful - Accent 1"/>
    <w:basedOn w:val="67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7" w:customStyle="1">
    <w:name w:val="List Table 6 Colorful - Accent 2"/>
    <w:basedOn w:val="67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8" w:customStyle="1">
    <w:name w:val="List Table 6 Colorful - Accent 3"/>
    <w:basedOn w:val="67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9" w:customStyle="1">
    <w:name w:val="List Table 6 Colorful - Accent 4"/>
    <w:basedOn w:val="67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0" w:customStyle="1">
    <w:name w:val="List Table 6 Colorful - Accent 5"/>
    <w:basedOn w:val="67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1" w:customStyle="1">
    <w:name w:val="List Table 6 Colorful - Accent 6"/>
    <w:basedOn w:val="67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2" w:customStyle="1">
    <w:name w:val="List Table 7 Colorful"/>
    <w:basedOn w:val="671"/>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7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71"/>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71"/>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71"/>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71"/>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7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basedOn w:val="67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7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basedOn w:val="67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basedOn w:val="67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basedOn w:val="67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basedOn w:val="67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basedOn w:val="67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basedOn w:val="67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7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basedOn w:val="67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basedOn w:val="67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basedOn w:val="67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basedOn w:val="67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basedOn w:val="67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692"/>
    <w:uiPriority w:val="99"/>
    <w:rPr>
      <w:sz w:val="18"/>
    </w:rPr>
  </w:style>
  <w:style w:type="character" w:styleId="861" w:customStyle="1">
    <w:name w:val="Endnote Text Char"/>
    <w:link w:val="685"/>
    <w:uiPriority w:val="99"/>
    <w:rPr>
      <w:sz w:val="20"/>
    </w:rPr>
  </w:style>
  <w:style w:type="paragraph" w:styleId="862" w:customStyle="1">
    <w:name w:val="TOC Heading"/>
    <w:uiPriority w:val="39"/>
    <w:unhideWhenUsed/>
    <w:rPr>
      <w:rFonts w:hint="default" w:ascii="Times New Roman" w:hAnsi="Times New Roman" w:eastAsia="宋体" w:cs="Times New Roman"/>
    </w:rPr>
  </w:style>
  <w:style w:type="paragraph" w:styleId="863" w:customStyle="1">
    <w:name w:val="正文文本11"/>
    <w:basedOn w:val="660"/>
    <w:uiPriority w:val="0"/>
    <w:qFormat/>
    <w:rPr>
      <w:rFonts w:ascii="宋体"/>
      <w:sz w:val="28"/>
    </w:rPr>
  </w:style>
  <w:style w:type="paragraph" w:styleId="864" w:customStyle="1">
    <w:name w:val="索引 41"/>
    <w:basedOn w:val="660"/>
    <w:next w:val="660"/>
    <w:uiPriority w:val="0"/>
    <w:semiHidden/>
    <w:qFormat/>
    <w:pPr>
      <w:ind w:left="1260"/>
    </w:pPr>
    <w:rPr>
      <w:rFonts w:ascii="Calibri" w:hAnsi="Calibri" w:eastAsia="Calibri" w:cs="宋体"/>
      <w:sz w:val="20"/>
      <w:lang w:val="zh-CN"/>
    </w:rPr>
  </w:style>
  <w:style w:type="paragraph" w:styleId="865" w:customStyle="1">
    <w:name w:val="列表段落1"/>
    <w:basedOn w:val="660"/>
    <w:next w:val="678"/>
    <w:uiPriority w:val="34"/>
    <w:qFormat/>
    <w:pPr>
      <w:ind w:firstLine="420"/>
    </w:pPr>
  </w:style>
  <w:style w:type="paragraph" w:styleId="866" w:customStyle="1">
    <w:name w:val="表格文字"/>
    <w:basedOn w:val="660"/>
    <w:uiPriority w:val="0"/>
    <w:qFormat/>
    <w:pPr>
      <w:spacing w:before="25" w:after="25" w:line="300" w:lineRule="auto"/>
    </w:pPr>
    <w:rPr>
      <w:rFonts w:ascii="Times" w:hAnsi="Times"/>
      <w:spacing w:val="10"/>
      <w:sz w:val="24"/>
      <w:szCs w:val="20"/>
    </w:rPr>
  </w:style>
  <w:style w:type="paragraph" w:styleId="86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868">
    <w:name w:val="List Paragraph"/>
    <w:basedOn w:val="660"/>
    <w:link w:val="899"/>
    <w:uiPriority w:val="34"/>
    <w:qFormat/>
    <w:pPr>
      <w:ind w:firstLine="420"/>
    </w:pPr>
    <w:rPr>
      <w:rFonts w:ascii="Calibri" w:hAnsi="Calibri"/>
      <w:szCs w:val="22"/>
    </w:rPr>
  </w:style>
  <w:style w:type="paragraph" w:styleId="869" w:customStyle="1">
    <w:name w:val="列出段落2"/>
    <w:basedOn w:val="660"/>
    <w:uiPriority w:val="99"/>
    <w:qFormat/>
    <w:pPr>
      <w:ind w:firstLine="420"/>
    </w:pPr>
  </w:style>
  <w:style w:type="paragraph" w:styleId="8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71" w:customStyle="1">
    <w:name w:val="正文文字缩进"/>
    <w:basedOn w:val="660"/>
    <w:uiPriority w:val="0"/>
    <w:qFormat/>
    <w:pPr>
      <w:ind w:left="180" w:firstLine="360"/>
      <w:jc w:val="left"/>
    </w:pPr>
    <w:rPr>
      <w:sz w:val="24"/>
      <w:szCs w:val="20"/>
    </w:rPr>
  </w:style>
  <w:style w:type="paragraph" w:styleId="872" w:customStyle="1">
    <w:name w:val="列出段落1"/>
    <w:basedOn w:val="660"/>
    <w:uiPriority w:val="99"/>
    <w:qFormat/>
    <w:pPr>
      <w:ind w:firstLine="420"/>
    </w:pPr>
  </w:style>
  <w:style w:type="paragraph" w:styleId="873" w:customStyle="1">
    <w:name w:val="List Paragraph1"/>
    <w:basedOn w:val="660"/>
    <w:uiPriority w:val="34"/>
    <w:qFormat/>
    <w:pPr>
      <w:ind w:firstLine="420"/>
    </w:pPr>
  </w:style>
  <w:style w:type="paragraph" w:styleId="874" w:customStyle="1">
    <w:name w:val="_Style 5"/>
    <w:basedOn w:val="660"/>
    <w:uiPriority w:val="34"/>
    <w:qFormat/>
    <w:pPr>
      <w:ind w:firstLine="420"/>
    </w:pPr>
  </w:style>
  <w:style w:type="paragraph" w:styleId="875" w:customStyle="1">
    <w:name w:val="p0"/>
    <w:basedOn w:val="660"/>
    <w:uiPriority w:val="99"/>
    <w:qFormat/>
    <w:pPr>
      <w:widowControl/>
    </w:pPr>
    <w:rPr>
      <w:b/>
      <w:bCs/>
      <w:sz w:val="24"/>
    </w:rPr>
  </w:style>
  <w:style w:type="paragraph" w:styleId="876" w:customStyle="1">
    <w:name w:val="列出段落3"/>
    <w:basedOn w:val="660"/>
    <w:uiPriority w:val="99"/>
    <w:qFormat/>
    <w:pPr>
      <w:contextualSpacing/>
      <w:ind w:left="720"/>
      <w:jc w:val="left"/>
      <w:widowControl/>
    </w:pPr>
    <w:rPr>
      <w:rFonts w:ascii="Arial" w:hAnsi="Arial" w:eastAsia="黑体"/>
      <w:sz w:val="24"/>
      <w:lang w:eastAsia="en-US"/>
    </w:rPr>
  </w:style>
  <w:style w:type="paragraph" w:styleId="877" w:customStyle="1">
    <w:name w:val="_Style 44"/>
    <w:basedOn w:val="661"/>
    <w:next w:val="660"/>
    <w:uiPriority w:val="39"/>
    <w:qFormat/>
    <w:pPr>
      <w:jc w:val="left"/>
      <w:spacing w:before="480" w:after="0" w:line="276" w:lineRule="auto"/>
      <w:widowControl/>
      <w:outlineLvl w:val="9"/>
    </w:pPr>
    <w:rPr>
      <w:rFonts w:ascii="Cambria" w:hAnsi="Cambria"/>
      <w:bCs/>
      <w:color w:val="365f91"/>
      <w:sz w:val="28"/>
      <w:szCs w:val="28"/>
    </w:rPr>
  </w:style>
  <w:style w:type="paragraph" w:styleId="878" w:customStyle="1">
    <w:name w:val="标题2"/>
    <w:basedOn w:val="662"/>
    <w:next w:val="679"/>
    <w:uiPriority w:val="99"/>
    <w:qFormat/>
    <w:pPr>
      <w:spacing w:before="156" w:after="156" w:line="360" w:lineRule="auto"/>
    </w:pPr>
    <w:rPr>
      <w:sz w:val="24"/>
    </w:rPr>
  </w:style>
  <w:style w:type="paragraph" w:styleId="879" w:customStyle="1">
    <w:name w:val="_Style 3"/>
    <w:basedOn w:val="660"/>
    <w:uiPriority w:val="34"/>
    <w:qFormat/>
    <w:pPr>
      <w:ind w:firstLine="420"/>
    </w:pPr>
  </w:style>
  <w:style w:type="paragraph" w:styleId="880" w:customStyle="1">
    <w:name w:val="文本条款 Char Char"/>
    <w:basedOn w:val="660"/>
    <w:next w:val="675"/>
    <w:uiPriority w:val="99"/>
    <w:qFormat/>
    <w:pPr>
      <w:ind w:firstLine="420"/>
    </w:pPr>
    <w:rPr>
      <w:szCs w:val="20"/>
    </w:rPr>
  </w:style>
  <w:style w:type="paragraph" w:styleId="881" w:customStyle="1">
    <w:name w:val="纯文本1"/>
    <w:basedOn w:val="660"/>
    <w:uiPriority w:val="0"/>
    <w:qFormat/>
    <w:pPr>
      <w:jc w:val="left"/>
      <w:widowControl/>
    </w:pPr>
    <w:rPr>
      <w:rFonts w:ascii="宋体" w:hAnsi="Courier New" w:eastAsia="楷体_GB2312"/>
      <w:sz w:val="26"/>
      <w:szCs w:val="20"/>
    </w:rPr>
  </w:style>
  <w:style w:type="paragraph" w:styleId="882" w:customStyle="1">
    <w:name w:val="石墨文档正文"/>
    <w:uiPriority w:val="0"/>
    <w:qFormat/>
    <w:rPr>
      <w:rFonts w:hint="default" w:ascii="微软雅黑" w:hAnsi="微软雅黑" w:eastAsia="微软雅黑" w:cs="微软雅黑"/>
      <w:sz w:val="24"/>
      <w:szCs w:val="24"/>
      <w:lang w:val="en-US" w:eastAsia="zh-CN" w:bidi="ar-SA"/>
    </w:rPr>
  </w:style>
  <w:style w:type="paragraph" w:styleId="883" w:customStyle="1">
    <w:name w:val="模板正文"/>
    <w:basedOn w:val="660"/>
    <w:uiPriority w:val="0"/>
    <w:qFormat/>
    <w:pPr>
      <w:ind w:firstLine="200"/>
      <w:spacing w:before="120" w:line="360" w:lineRule="auto"/>
    </w:pPr>
    <w:rPr>
      <w:rFonts w:eastAsia="仿宋_GB2312"/>
      <w:sz w:val="24"/>
      <w:szCs w:val="21"/>
    </w:rPr>
  </w:style>
  <w:style w:type="paragraph" w:styleId="884" w:customStyle="1">
    <w:name w:val="文档正文"/>
    <w:basedOn w:val="660"/>
    <w:uiPriority w:val="99"/>
    <w:qFormat/>
    <w:pPr>
      <w:ind w:firstLine="567"/>
      <w:spacing w:line="480" w:lineRule="atLeast"/>
    </w:pPr>
    <w:rPr>
      <w:rFonts w:ascii="Ari" w:eastAsia="Times New Roman"/>
      <w:sz w:val="28"/>
      <w:szCs w:val="20"/>
    </w:rPr>
  </w:style>
  <w:style w:type="paragraph" w:styleId="885" w:customStyle="1">
    <w:name w:val="msolistparagraph"/>
    <w:basedOn w:val="660"/>
    <w:uiPriority w:val="99"/>
    <w:qFormat/>
    <w:pPr>
      <w:ind w:firstLine="420"/>
    </w:pPr>
    <w:rPr>
      <w:rFonts w:ascii="Calibri" w:hAnsi="Calibri"/>
      <w:szCs w:val="22"/>
    </w:rPr>
  </w:style>
  <w:style w:type="paragraph" w:styleId="886" w:customStyle="1">
    <w:name w:val="secretfontt"/>
    <w:basedOn w:val="660"/>
    <w:uiPriority w:val="0"/>
    <w:qFormat/>
    <w:pPr>
      <w:jc w:val="left"/>
    </w:pPr>
    <w:rPr>
      <w:rFonts w:ascii="efont" w:hAnsi="efont" w:eastAsia="efont"/>
      <w:sz w:val="30"/>
      <w:szCs w:val="30"/>
    </w:rPr>
  </w:style>
  <w:style w:type="paragraph" w:styleId="887" w:customStyle="1">
    <w:name w:val="样式1-i2正文"/>
    <w:basedOn w:val="660"/>
    <w:uiPriority w:val="0"/>
    <w:qFormat/>
    <w:pPr>
      <w:ind w:firstLine="200"/>
      <w:spacing w:line="288" w:lineRule="auto"/>
      <w:widowControl/>
    </w:pPr>
    <w:rPr>
      <w:lang w:val="zh-TW" w:eastAsia="zh-TW"/>
    </w:rPr>
  </w:style>
  <w:style w:type="paragraph" w:styleId="888" w:customStyle="1">
    <w:name w:val="列出段落11"/>
    <w:basedOn w:val="660"/>
    <w:uiPriority w:val="99"/>
    <w:qFormat/>
    <w:pPr>
      <w:contextualSpacing/>
      <w:ind w:left="720"/>
      <w:jc w:val="left"/>
      <w:widowControl/>
    </w:pPr>
    <w:rPr>
      <w:rFonts w:ascii="Arial" w:hAnsi="Arial" w:eastAsia="黑体"/>
      <w:sz w:val="24"/>
      <w:lang w:eastAsia="en-US"/>
    </w:rPr>
  </w:style>
  <w:style w:type="character" w:styleId="889" w:customStyle="1">
    <w:name w:val="副标题 Char"/>
    <w:link w:val="691"/>
    <w:uiPriority w:val="0"/>
    <w:qFormat/>
    <w:rPr>
      <w:rFonts w:ascii="Cambria" w:hAnsi="Cambria" w:eastAsia="等线" w:cs="Times New Roman"/>
      <w:b/>
      <w:bCs/>
      <w:sz w:val="32"/>
      <w:szCs w:val="32"/>
    </w:rPr>
  </w:style>
  <w:style w:type="character" w:styleId="890" w:customStyle="1">
    <w:name w:val="页眉 Char"/>
    <w:link w:val="688"/>
    <w:uiPriority w:val="99"/>
    <w:qFormat/>
    <w:rPr>
      <w:sz w:val="18"/>
    </w:rPr>
  </w:style>
  <w:style w:type="character" w:styleId="891" w:customStyle="1">
    <w:name w:val="font51"/>
    <w:uiPriority w:val="0"/>
    <w:qFormat/>
    <w:rPr>
      <w:rFonts w:hint="default" w:ascii="Times New Roman" w:hAnsi="Times New Roman" w:cs="Times New Roman"/>
      <w:color w:val="ff0000"/>
      <w:sz w:val="22"/>
      <w:szCs w:val="22"/>
      <w:u w:val="none"/>
    </w:rPr>
  </w:style>
  <w:style w:type="character" w:styleId="892" w:customStyle="1">
    <w:name w:val="批注主题 Char"/>
    <w:link w:val="701"/>
    <w:uiPriority w:val="99"/>
    <w:qFormat/>
    <w:rPr>
      <w:b/>
      <w:sz w:val="24"/>
    </w:rPr>
  </w:style>
  <w:style w:type="character" w:styleId="893" w:customStyle="1">
    <w:name w:val="font41"/>
    <w:uiPriority w:val="0"/>
    <w:qFormat/>
    <w:rPr>
      <w:rFonts w:hint="eastAsia" w:ascii="宋体" w:hAnsi="宋体" w:eastAsia="宋体" w:cs="宋体"/>
      <w:b/>
      <w:color w:val="000000"/>
      <w:sz w:val="20"/>
      <w:szCs w:val="20"/>
      <w:u w:val="none"/>
    </w:rPr>
  </w:style>
  <w:style w:type="character" w:styleId="894" w:customStyle="1">
    <w:name w:val="Body Text Indent Char1"/>
    <w:uiPriority w:val="99"/>
    <w:semiHidden/>
    <w:qFormat/>
    <w:rPr>
      <w:rFonts w:cs="Times New Roman"/>
      <w:sz w:val="24"/>
      <w:szCs w:val="24"/>
    </w:rPr>
  </w:style>
  <w:style w:type="character" w:styleId="895" w:customStyle="1">
    <w:name w:val="Footer Char1"/>
    <w:uiPriority w:val="99"/>
    <w:semiHidden/>
    <w:qFormat/>
    <w:rPr>
      <w:rFonts w:cs="Times New Roman"/>
      <w:sz w:val="18"/>
      <w:szCs w:val="18"/>
    </w:rPr>
  </w:style>
  <w:style w:type="character" w:styleId="896" w:customStyle="1">
    <w:name w:val="批注文字 Char"/>
    <w:link w:val="678"/>
    <w:uiPriority w:val="99"/>
    <w:qFormat/>
    <w:rPr>
      <w:sz w:val="24"/>
    </w:rPr>
  </w:style>
  <w:style w:type="character" w:styleId="897" w:customStyle="1">
    <w:name w:val="Body Text Char1"/>
    <w:uiPriority w:val="99"/>
    <w:semiHidden/>
    <w:qFormat/>
    <w:rPr>
      <w:rFonts w:cs="Times New Roman"/>
      <w:sz w:val="24"/>
      <w:szCs w:val="24"/>
    </w:rPr>
  </w:style>
  <w:style w:type="character" w:styleId="898" w:customStyle="1">
    <w:name w:val="标题 2 Char"/>
    <w:link w:val="662"/>
    <w:uiPriority w:val="99"/>
    <w:qFormat/>
    <w:rPr>
      <w:rFonts w:ascii="Cambria" w:hAnsi="Cambria" w:cs="Times New Roman"/>
      <w:b/>
      <w:sz w:val="32"/>
    </w:rPr>
  </w:style>
  <w:style w:type="character" w:styleId="899" w:customStyle="1">
    <w:name w:val="列出段落 Char"/>
    <w:link w:val="868"/>
    <w:uiPriority w:val="34"/>
    <w:qFormat/>
    <w:rPr>
      <w:rFonts w:ascii="Calibri" w:hAnsi="Calibri"/>
      <w:sz w:val="21"/>
      <w:szCs w:val="22"/>
    </w:rPr>
  </w:style>
  <w:style w:type="character" w:styleId="900" w:customStyle="1">
    <w:name w:val="批注框文本 Char"/>
    <w:link w:val="686"/>
    <w:uiPriority w:val="99"/>
    <w:semiHidden/>
    <w:qFormat/>
    <w:rPr>
      <w:sz w:val="16"/>
    </w:rPr>
  </w:style>
  <w:style w:type="character" w:styleId="901" w:customStyle="1">
    <w:name w:val="Plain Text Char1"/>
    <w:uiPriority w:val="99"/>
    <w:semiHidden/>
    <w:qFormat/>
    <w:rPr>
      <w:rFonts w:ascii="宋体" w:hAnsi="Courier New" w:cs="Courier New"/>
      <w:sz w:val="21"/>
      <w:szCs w:val="21"/>
    </w:rPr>
  </w:style>
  <w:style w:type="character" w:styleId="902" w:customStyle="1">
    <w:name w:val="标题 9 Char"/>
    <w:link w:val="669"/>
    <w:uiPriority w:val="0"/>
    <w:semiHidden/>
    <w:qFormat/>
    <w:rPr>
      <w:rFonts w:ascii="Cambria" w:hAnsi="Cambria" w:eastAsia="宋体" w:cs="Times New Roman"/>
      <w:sz w:val="21"/>
      <w:szCs w:val="21"/>
    </w:rPr>
  </w:style>
  <w:style w:type="character" w:styleId="903" w:customStyle="1">
    <w:name w:val="Header Char1"/>
    <w:uiPriority w:val="99"/>
    <w:semiHidden/>
    <w:qFormat/>
    <w:rPr>
      <w:rFonts w:cs="Times New Roman"/>
      <w:sz w:val="18"/>
      <w:szCs w:val="18"/>
    </w:rPr>
  </w:style>
  <w:style w:type="character" w:styleId="904" w:customStyle="1">
    <w:name w:val="标题 5 Char"/>
    <w:link w:val="665"/>
    <w:uiPriority w:val="0"/>
    <w:semiHidden/>
    <w:qFormat/>
    <w:rPr>
      <w:rFonts w:ascii="Calibri" w:hAnsi="Calibri"/>
      <w:b/>
      <w:bCs/>
      <w:sz w:val="28"/>
      <w:szCs w:val="28"/>
    </w:rPr>
  </w:style>
  <w:style w:type="character" w:styleId="905" w:customStyle="1">
    <w:name w:val="Balloon Text Char1"/>
    <w:uiPriority w:val="99"/>
    <w:semiHidden/>
    <w:qFormat/>
    <w:rPr>
      <w:rFonts w:cs="Times New Roman"/>
      <w:sz w:val="2"/>
    </w:rPr>
  </w:style>
  <w:style w:type="character" w:styleId="906" w:customStyle="1">
    <w:name w:val="Comment Subject Char1"/>
    <w:uiPriority w:val="99"/>
    <w:semiHidden/>
    <w:qFormat/>
    <w:rPr>
      <w:rFonts w:cs="Times New Roman"/>
      <w:b/>
      <w:bCs/>
      <w:sz w:val="24"/>
      <w:szCs w:val="24"/>
    </w:rPr>
  </w:style>
  <w:style w:type="character" w:styleId="907" w:customStyle="1">
    <w:name w:val="Comment Text Char1"/>
    <w:uiPriority w:val="99"/>
    <w:semiHidden/>
    <w:qFormat/>
    <w:rPr>
      <w:rFonts w:cs="Times New Roman"/>
      <w:sz w:val="24"/>
      <w:szCs w:val="24"/>
    </w:rPr>
  </w:style>
  <w:style w:type="character" w:styleId="908" w:customStyle="1">
    <w:name w:val="页脚 Char"/>
    <w:link w:val="687"/>
    <w:uiPriority w:val="0"/>
    <w:qFormat/>
    <w:rPr>
      <w:sz w:val="18"/>
    </w:rPr>
  </w:style>
  <w:style w:type="character" w:styleId="909" w:customStyle="1">
    <w:name w:val="纯文本 Char"/>
    <w:link w:val="683"/>
    <w:uiPriority w:val="99"/>
    <w:semiHidden/>
    <w:qFormat/>
    <w:rPr>
      <w:rFonts w:ascii="宋体" w:hAnsi="Courier New"/>
      <w:sz w:val="21"/>
    </w:rPr>
  </w:style>
  <w:style w:type="character" w:styleId="910" w:customStyle="1">
    <w:name w:val="hover4"/>
    <w:uiPriority w:val="0"/>
    <w:qFormat/>
    <w:rPr>
      <w:color w:val="999999"/>
    </w:rPr>
  </w:style>
  <w:style w:type="character" w:styleId="911" w:customStyle="1">
    <w:name w:val="正文文本 Char"/>
    <w:link w:val="679"/>
    <w:uiPriority w:val="99"/>
    <w:semiHidden/>
    <w:qFormat/>
    <w:rPr>
      <w:sz w:val="24"/>
    </w:rPr>
  </w:style>
  <w:style w:type="character" w:styleId="912" w:customStyle="1">
    <w:name w:val="标题 1 Char"/>
    <w:link w:val="661"/>
    <w:uiPriority w:val="99"/>
    <w:qFormat/>
    <w:rPr>
      <w:rFonts w:cs="Times New Roman"/>
      <w:b/>
      <w:sz w:val="44"/>
    </w:rPr>
  </w:style>
  <w:style w:type="character" w:styleId="913" w:customStyle="1">
    <w:name w:val="正文文本缩进 Char"/>
    <w:link w:val="673"/>
    <w:uiPriority w:val="99"/>
    <w:semiHidden/>
    <w:qFormat/>
    <w:rPr>
      <w:sz w:val="24"/>
    </w:rPr>
  </w:style>
  <w:style w:type="paragraph" w:styleId="914" w:customStyle="1">
    <w:name w:val="方案正文"/>
    <w:basedOn w:val="660"/>
    <w:uiPriority w:val="0"/>
    <w:qFormat/>
    <w:pPr>
      <w:ind w:firstLine="425"/>
      <w:spacing w:before="120" w:line="360" w:lineRule="auto"/>
    </w:pPr>
    <w:rPr>
      <w:rFonts w:ascii="华文细黑" w:hAnsi="华文细黑" w:eastAsia="华文细黑"/>
      <w:sz w:val="24"/>
    </w:rPr>
  </w:style>
  <w:style w:type="paragraph" w:styleId="91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16" w:customStyle="1">
    <w:name w:val="样式1"/>
    <w:basedOn w:val="660"/>
    <w:uiPriority w:val="0"/>
    <w:qFormat/>
    <w:pPr>
      <w:ind w:left="420" w:hanging="420"/>
      <w:spacing w:before="100" w:beforeAutospacing="1" w:after="100" w:afterAutospacing="1" w:line="360" w:lineRule="auto"/>
      <w:outlineLvl w:val="1"/>
    </w:pPr>
    <w:rPr>
      <w:rFonts w:ascii="宋体" w:hAnsi="宋体" w:cs="宋体"/>
      <w:b/>
      <w:bCs/>
      <w:szCs w:val="21"/>
    </w:rPr>
  </w:style>
  <w:style w:type="paragraph" w:styleId="917">
    <w:name w:val="No Spacing"/>
    <w:uiPriority w:val="1"/>
    <w:qFormat/>
    <w:pPr>
      <w:jc w:val="both"/>
      <w:widowControl w:val="off"/>
    </w:pPr>
    <w:rPr>
      <w:rFonts w:hint="default" w:ascii="Calibri" w:hAnsi="Calibri" w:eastAsia="宋体" w:cs="Times New Roman"/>
      <w:sz w:val="21"/>
      <w:szCs w:val="24"/>
      <w:lang w:val="en-US" w:eastAsia="zh-CN" w:bidi="ar-SA"/>
    </w:rPr>
  </w:style>
  <w:style w:type="character" w:styleId="918" w:customStyle="1">
    <w:name w:val="NormalCharacter"/>
    <w:uiPriority w:val="0"/>
    <w:qFormat/>
  </w:style>
  <w:style w:type="paragraph" w:styleId="919" w:customStyle="1">
    <w:name w:val="Normal_0_2"/>
    <w:uiPriority w:val="0"/>
    <w:qFormat/>
    <w:rPr>
      <w:rFonts w:hint="default" w:ascii="Times New Roman" w:hAnsi="Times New Roman" w:eastAsia="Times New Roman" w:cs="Times New Roman"/>
      <w:sz w:val="24"/>
      <w:szCs w:val="24"/>
      <w:lang w:val="en-US" w:eastAsia="zh-CN" w:bidi="ar-SA"/>
    </w:rPr>
  </w:style>
  <w:style w:type="character" w:styleId="920" w:customStyle="1">
    <w:name w:val="font71"/>
    <w:basedOn w:val="670"/>
    <w:uiPriority w:val="0"/>
    <w:qFormat/>
    <w:rPr>
      <w:rFonts w:hint="eastAsia" w:ascii="宋体" w:hAnsi="宋体" w:eastAsia="宋体" w:cs="宋体"/>
      <w:color w:val="000000"/>
      <w:sz w:val="20"/>
      <w:szCs w:val="20"/>
      <w:u w:val="none"/>
    </w:rPr>
  </w:style>
  <w:style w:type="character" w:styleId="921" w:customStyle="1">
    <w:name w:val="font61"/>
    <w:basedOn w:val="670"/>
    <w:uiPriority w:val="0"/>
    <w:qFormat/>
    <w:rPr>
      <w:rFonts w:hint="eastAsia" w:ascii="宋体" w:hAnsi="宋体" w:eastAsia="宋体" w:cs="宋体"/>
      <w:color w:val="000000"/>
      <w:sz w:val="20"/>
      <w:szCs w:val="20"/>
      <w:u w:val="none"/>
    </w:rPr>
  </w:style>
  <w:style w:type="character" w:styleId="922" w:customStyle="1">
    <w:name w:val="font21"/>
    <w:basedOn w:val="670"/>
    <w:uiPriority w:val="0"/>
    <w:qFormat/>
    <w:rPr>
      <w:rFonts w:hint="eastAsia" w:ascii="宋体" w:hAnsi="宋体" w:eastAsia="宋体" w:cs="宋体"/>
      <w:color w:val="000000"/>
      <w:sz w:val="22"/>
      <w:szCs w:val="22"/>
      <w:u w:val="none"/>
    </w:rPr>
  </w:style>
  <w:style w:type="character" w:styleId="923" w:customStyle="1">
    <w:name w:val="font01"/>
    <w:basedOn w:val="670"/>
    <w:uiPriority w:val="0"/>
    <w:qFormat/>
    <w:rPr>
      <w:rFonts w:hint="eastAsia" w:ascii="宋体" w:hAnsi="宋体" w:eastAsia="宋体" w:cs="宋体"/>
      <w:color w:val="000000"/>
      <w:sz w:val="22"/>
      <w:szCs w:val="22"/>
      <w:u w:val="none"/>
    </w:rPr>
  </w:style>
  <w:style w:type="character" w:styleId="924" w:customStyle="1">
    <w:name w:val="font11"/>
    <w:basedOn w:val="670"/>
    <w:uiPriority w:val="0"/>
    <w:qFormat/>
    <w:rPr>
      <w:rFonts w:hint="eastAsia" w:ascii="宋体" w:hAnsi="宋体" w:eastAsia="宋体" w:cs="宋体"/>
      <w:color w:val="000000"/>
      <w:sz w:val="21"/>
      <w:szCs w:val="21"/>
      <w:u w:val="none"/>
    </w:rPr>
  </w:style>
  <w:style w:type="table" w:styleId="925" w:customStyle="1">
    <w:name w:val="Table Normal"/>
    <w:uiPriority w:val="0"/>
    <w:qFormat/>
    <w:tblPr>
      <w:tblCellMar>
        <w:left w:w="0" w:type="dxa"/>
        <w:top w:w="0" w:type="dxa"/>
        <w:right w:w="0" w:type="dxa"/>
        <w:bottom w:w="0" w:type="dxa"/>
      </w:tblCellMar>
    </w:tblPr>
  </w:style>
  <w:style w:type="paragraph" w:styleId="926" w:customStyle="1">
    <w:name w:val="[Normal]"/>
    <w:uiPriority w:val="0"/>
    <w:qFormat/>
    <w:rPr>
      <w:rFonts w:hint="default" w:ascii="宋体" w:hAnsi="宋体" w:eastAsia="宋体" w:cs="Times New Roman"/>
      <w:sz w:val="24"/>
      <w:szCs w:val="22"/>
      <w:lang w:val="zh-CN" w:eastAsia="zh-CN" w:bidi="ar-SA"/>
    </w:rPr>
  </w:style>
  <w:style w:type="paragraph" w:styleId="927" w:customStyle="1">
    <w:name w:val="正文文本12"/>
    <w:basedOn w:val="660"/>
    <w:uiPriority w:val="1"/>
    <w:qFormat/>
    <w:pPr>
      <w:ind w:left="120"/>
    </w:pPr>
    <w:rPr>
      <w:rFonts w:ascii="宋体" w:hAnsi="宋体" w:cs="宋体"/>
      <w:szCs w:val="21"/>
      <w:lang w:val="zh-CN" w:bidi="zh-CN"/>
    </w:rPr>
  </w:style>
  <w:style w:type="paragraph" w:styleId="928" w:customStyle="1">
    <w:name w:val="正文文本 211"/>
    <w:basedOn w:val="660"/>
    <w:uiPriority w:val="99"/>
    <w:qFormat/>
    <w:pPr>
      <w:jc w:val="center"/>
    </w:pPr>
    <w:rPr>
      <w:b/>
      <w:bCs/>
      <w:sz w:val="20"/>
      <w:szCs w:val="20"/>
    </w:rPr>
  </w:style>
  <w:style w:type="paragraph" w:styleId="929" w:customStyle="1">
    <w:name w:val="Char"/>
    <w:basedOn w:val="660"/>
    <w:uiPriority w:val="0"/>
    <w:qFormat/>
    <w:pPr>
      <w:ind w:firstLine="200"/>
      <w:tabs>
        <w:tab w:val="left" w:pos="360" w:leader="none"/>
      </w:tabs>
    </w:pPr>
    <w:rPr>
      <w:sz w:val="28"/>
      <w:szCs w:val="30"/>
    </w:rPr>
  </w:style>
  <w:style w:type="paragraph" w:styleId="930" w:customStyle="1">
    <w:name w:val="正文文本1"/>
    <w:basedOn w:val="660"/>
    <w:next w:val="660"/>
    <w:uiPriority w:val="0"/>
    <w:semiHidden/>
    <w:qFormat/>
    <w:rPr>
      <w:rFonts w:ascii="Arial" w:hAnsi="Arial" w:eastAsia="Arial" w:cs="Arial"/>
      <w:szCs w:val="21"/>
      <w:lang w:eastAsia="en-US"/>
    </w:rPr>
  </w:style>
  <w:style w:type="paragraph" w:styleId="931" w:customStyle="1">
    <w:name w:val="普通正文"/>
    <w:basedOn w:val="660"/>
    <w:uiPriority w:val="0"/>
    <w:qFormat/>
    <w:pPr>
      <w:ind w:firstLine="480"/>
      <w:jc w:val="left"/>
      <w:spacing w:before="120" w:after="120" w:line="360" w:lineRule="auto"/>
    </w:pPr>
    <w:rPr>
      <w:rFonts w:ascii="Arial" w:hAnsi="Arial"/>
      <w:sz w:val="24"/>
    </w:rPr>
  </w:style>
  <w:style w:type="paragraph" w:styleId="932" w:customStyle="1">
    <w:name w:val="正文首行缩进 211"/>
    <w:basedOn w:val="933"/>
    <w:next w:val="660"/>
    <w:uiPriority w:val="0"/>
    <w:qFormat/>
    <w:pPr>
      <w:ind w:firstLine="420"/>
      <w:spacing w:line="360" w:lineRule="auto"/>
    </w:pPr>
    <w:rPr>
      <w:rFonts w:ascii="宋体" w:hAnsi="宋体" w:eastAsia="宋体"/>
      <w:sz w:val="21"/>
      <w:szCs w:val="20"/>
    </w:rPr>
  </w:style>
  <w:style w:type="paragraph" w:styleId="933" w:customStyle="1">
    <w:name w:val="正文文本缩进1"/>
    <w:basedOn w:val="660"/>
    <w:next w:val="934"/>
    <w:uiPriority w:val="0"/>
    <w:qFormat/>
    <w:pPr>
      <w:ind w:firstLine="645"/>
    </w:pPr>
    <w:rPr>
      <w:rFonts w:ascii="楷体_GB2312" w:eastAsia="楷体_GB2312"/>
      <w:sz w:val="32"/>
      <w:szCs w:val="32"/>
    </w:rPr>
  </w:style>
  <w:style w:type="paragraph" w:styleId="934" w:customStyle="1">
    <w:name w:val="寄信人地址11"/>
    <w:basedOn w:val="660"/>
    <w:uiPriority w:val="0"/>
    <w:qFormat/>
    <w:rPr>
      <w:rFonts w:ascii="Arial" w:hAnsi="Arial" w:cs="宋体"/>
    </w:rPr>
  </w:style>
  <w:style w:type="paragraph" w:styleId="935" w:customStyle="1">
    <w:name w:val="纯文本11"/>
    <w:basedOn w:val="660"/>
    <w:uiPriority w:val="0"/>
    <w:qFormat/>
    <w:rPr>
      <w:rFonts w:ascii="宋体" w:hAnsi="Courier New" w:cs="Courier New"/>
    </w:rPr>
  </w:style>
  <w:style w:type="paragraph" w:styleId="936"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numbering" w:styleId="9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张杨</cp:lastModifiedBy>
  <cp:revision>8</cp:revision>
  <dcterms:created xsi:type="dcterms:W3CDTF">2025-11-10T03:15:00Z</dcterms:created>
  <dcterms:modified xsi:type="dcterms:W3CDTF">2025-12-02T04:44:38Z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GSEDS_HWMT_d46a6755">
    <vt:lpwstr>f24503b8_mFV3wj84Jyk0N8pOlXv9qXM6JeI=_8QYrr0VBXOGxqw/wFmz/ro0oOFPJi8b8htWFn4m0dA00Vo/kmm5av125YAxOHVs0uR7Y+rEfL3HN2trbyscSxbGzqJGqgLG//1g=_27bbdd35</vt:lpwstr>
  </property>
  <property fmtid="{D5CDD505-2E9C-101B-9397-08002B2CF9AE}" pid="4" name="ICV">
    <vt:lpwstr>AD46CD8A7484457D97FE5DB0323358A4</vt:lpwstr>
  </property>
  <property fmtid="{D5CDD505-2E9C-101B-9397-08002B2CF9AE}" pid="5" name="KSOTemplateDocerSaveRecord">
    <vt:lpwstr>eyJoZGlkIjoiYmQ4MTU5N2RhZjcwMmU4MzUyOTkyMTA1NDM5NzA0NWYiLCJ1c2VySWQiOiIyNzIyMDE1NzQifQ==</vt:lpwstr>
  </property>
</Properties>
</file>