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南京脑科医院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高速扫描双光子显微镜及配套设备</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JSZC-320100-HWZX-G2026-0247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0675-266JOC003409</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w:t>
      </w:r>
      <w:r>
        <w:rPr>
          <w:rFonts w:ascii="宋体" w:hAnsi="宋体" w:eastAsia="宋体" w:cs="宋体"/>
          <w:b/>
          <w:bCs/>
          <w:position w:val="-10"/>
          <w:sz w:val="32"/>
          <w:szCs w:val="32"/>
          <w:lang w:eastAsia="zh-CN"/>
        </w:rPr>
        <w:t xml:space="preserve">南京脑科医院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3</w:t>
      </w:r>
      <w:r>
        <w:rPr>
          <w:rFonts w:ascii="宋体" w:hAnsi="宋体" w:eastAsia="宋体" w:cs="宋体"/>
          <w:lang w:eastAsia="zh-CN"/>
        </w:rPr>
        <w:t xml:space="preserve">日</w:t>
      </w:r>
      <w:r>
        <w:rPr>
          <w:rFonts w:ascii="宋体" w:hAnsi="宋体" w:eastAsia="宋体" w:cs="宋体"/>
          <w:lang w:eastAsia="zh-CN"/>
        </w:rPr>
        <w:t xml:space="preserve">9</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ascii="宋体" w:hAnsi="宋体" w:eastAsia="宋体" w:cs="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JSZC-320100-HWZX-G2026-0247</w:t>
      </w:r>
      <w:r>
        <w:rPr>
          <w:rFonts w:ascii="宋体" w:hAnsi="宋体" w:eastAsia="宋体" w:cs="宋体"/>
          <w:lang w:eastAsia="zh-CN"/>
        </w:rPr>
        <w:t xml:space="preserve">，项目代理编号：</w:t>
      </w:r>
      <w:r>
        <w:rPr>
          <w:rFonts w:ascii="宋体" w:hAnsi="宋体" w:eastAsia="宋体" w:cs="宋体"/>
          <w:lang w:eastAsia="zh-CN"/>
        </w:rPr>
        <w:t xml:space="preserve">0675-266JOC003409</w:t>
      </w:r>
      <w:r/>
    </w:p>
    <w:p>
      <w:pPr>
        <w:widowControl w:val="off"/>
        <w:rPr>
          <w:rFonts w:ascii="宋体" w:hAnsi="宋体" w:eastAsia="宋体" w:cs="宋体"/>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r/>
    </w:p>
    <w:p>
      <w:pPr>
        <w:widowControl w:val="off"/>
        <w:rPr>
          <w:rFonts w:ascii="宋体" w:hAnsi="宋体" w:eastAsia="宋体" w:cs="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845.5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686"/>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高速扫描双光子显微镜及配套设备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b/>
                <w:bCs/>
              </w:rPr>
            </w:pPr>
            <w:r>
              <w:rPr>
                <w:rFonts w:hint="eastAsia" w:ascii="宋体" w:hAnsi="宋体" w:eastAsia="宋体" w:cs="宋体"/>
                <w:b/>
                <w:bCs/>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人民币</w:t>
            </w:r>
            <w:r>
              <w:rPr>
                <w:rFonts w:hint="eastAsia" w:ascii="宋体" w:hAnsi="宋体" w:eastAsia="宋体" w:cs="宋体"/>
                <w:b/>
                <w:bCs/>
                <w:lang w:eastAsia="zh-CN"/>
              </w:rPr>
              <w:t xml:space="preserve">845.5</w:t>
            </w:r>
            <w:r>
              <w:rPr>
                <w:rFonts w:ascii="宋体" w:hAnsi="宋体" w:eastAsia="宋体" w:cs="宋体"/>
                <w:b/>
                <w:bCs/>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接受</w:t>
            </w:r>
            <w:r/>
          </w:p>
        </w:tc>
      </w:tr>
    </w:tbl>
    <w:p>
      <w:pPr>
        <w:keepLines/>
        <w:keepNext/>
        <w:widowControl w:val="off"/>
        <w:rPr>
          <w:rFonts w:ascii="宋体" w:hAnsi="宋体" w:eastAsia="宋体" w:cs="宋体"/>
          <w:b/>
          <w:bCs/>
          <w:lang w:eastAsia="zh-CN"/>
        </w:rPr>
      </w:pPr>
      <w:r>
        <w:rPr>
          <w:rFonts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 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w:t>
      </w:r>
      <w:r>
        <w:rPr>
          <w:rFonts w:ascii="宋体" w:hAnsi="宋体" w:eastAsia="宋体" w:cs="宋体"/>
          <w:lang w:eastAsia="zh-CN"/>
        </w:rPr>
        <w:t xml:space="preserve">自公告发布之日起至2026年6月2日23:59（北京时间，法定节假日除外）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w:t>
      </w:r>
      <w:r>
        <w:rPr>
          <w:rFonts w:hint="eastAsia" w:ascii="宋体" w:hAnsi="宋体" w:eastAsia="宋体" w:cs="宋体"/>
          <w:lang w:eastAsia="zh-CN"/>
        </w:rPr>
        <w:t xml:space="preserve">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4"/>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3</w:t>
      </w:r>
      <w:r>
        <w:rPr>
          <w:rFonts w:ascii="宋体" w:hAnsi="宋体" w:eastAsia="宋体" w:cs="宋体"/>
          <w:lang w:eastAsia="zh-CN"/>
        </w:rPr>
        <w:t xml:space="preserve">日</w:t>
      </w:r>
      <w:r>
        <w:rPr>
          <w:rFonts w:ascii="宋体" w:hAnsi="宋体" w:eastAsia="宋体" w:cs="宋体"/>
          <w:lang w:eastAsia="zh-CN"/>
        </w:rPr>
        <w:t xml:space="preserve">9</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招标人：南京脑科医院</w:t>
            </w:r>
            <w:r/>
          </w:p>
          <w:p>
            <w:pPr>
              <w:ind w:left="480"/>
              <w:rPr>
                <w:rFonts w:ascii="宋体" w:hAnsi="宋体" w:eastAsia="宋体" w:cs="宋体"/>
                <w:lang w:eastAsia="zh-CN"/>
              </w:rPr>
            </w:pPr>
            <w:r>
              <w:rPr>
                <w:rFonts w:hint="eastAsia" w:ascii="宋体" w:hAnsi="宋体" w:eastAsia="宋体" w:cs="宋体"/>
                <w:lang w:eastAsia="zh-CN"/>
              </w:rPr>
              <w:t xml:space="preserve">联系人:王老师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电话：025-82296541</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地址：南京市鼓楼区广州路264号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79"/>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80"/>
        <w:ind w:firstLine="436"/>
        <w:spacing w:before="0" w:after="0" w:line="240" w:lineRule="auto"/>
        <w:rPr>
          <w:rStyle w:val="697"/>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697"/>
          <w:rFonts w:hint="eastAsia" w:ascii="宋体" w:hAnsi="宋体" w:cs="宋体"/>
        </w:rPr>
        <w:t xml:space="preserve">一、总则</w:t>
      </w:r>
      <w:bookmarkEnd w:id="29"/>
      <w:r/>
      <w:bookmarkEnd w:id="30"/>
      <w:r/>
      <w:bookmarkEnd w:id="31"/>
      <w:r/>
      <w:bookmarkEnd w:id="32"/>
      <w:r/>
      <w:bookmarkEnd w:id="33"/>
      <w:r/>
      <w:r/>
    </w:p>
    <w:p>
      <w:pPr>
        <w:pStyle w:val="681"/>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1"/>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1"/>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1"/>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0"/>
        <w:ind w:firstLine="436"/>
        <w:spacing w:before="0" w:after="0" w:line="240" w:lineRule="auto"/>
        <w:rPr>
          <w:rStyle w:val="697"/>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697"/>
          <w:rFonts w:hint="eastAsia" w:ascii="宋体" w:hAnsi="宋体" w:cs="宋体"/>
        </w:rPr>
        <w:t xml:space="preserve">二、</w:t>
      </w:r>
      <w:bookmarkEnd w:id="49"/>
      <w:r/>
      <w:bookmarkEnd w:id="50"/>
      <w:r/>
      <w:bookmarkEnd w:id="51"/>
      <w:r/>
      <w:bookmarkEnd w:id="52"/>
      <w:r/>
      <w:bookmarkEnd w:id="53"/>
      <w:r>
        <w:rPr>
          <w:rStyle w:val="697"/>
          <w:rFonts w:hint="eastAsia" w:ascii="宋体" w:hAnsi="宋体" w:cs="宋体"/>
        </w:rPr>
        <w:t xml:space="preserve">招标文件</w:t>
      </w:r>
      <w:r/>
    </w:p>
    <w:p>
      <w:pPr>
        <w:pStyle w:val="681"/>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681"/>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1"/>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0"/>
        <w:ind w:firstLine="481"/>
        <w:spacing w:before="0" w:after="0" w:line="240" w:lineRule="auto"/>
        <w:rPr>
          <w:rStyle w:val="697"/>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97"/>
          <w:rFonts w:hint="eastAsia" w:ascii="宋体" w:hAnsi="宋体" w:cs="宋体"/>
        </w:rPr>
        <w:t xml:space="preserve">三、投标文件的编制</w:t>
      </w:r>
      <w:bookmarkEnd w:id="65"/>
      <w:r/>
      <w:bookmarkEnd w:id="66"/>
      <w:r/>
      <w:bookmarkEnd w:id="67"/>
      <w:r/>
      <w:bookmarkEnd w:id="68"/>
      <w:r/>
      <w:bookmarkEnd w:id="69"/>
      <w:r/>
      <w:bookmarkEnd w:id="70"/>
      <w:r/>
      <w:r/>
    </w:p>
    <w:p>
      <w:pPr>
        <w:pStyle w:val="681"/>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1"/>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94"/>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81"/>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81"/>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681"/>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1"/>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0"/>
        <w:ind w:firstLine="436"/>
        <w:spacing w:before="0" w:after="0" w:line="240" w:lineRule="auto"/>
        <w:rPr>
          <w:rStyle w:val="697"/>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97"/>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97"/>
          <w:rFonts w:ascii="宋体" w:hAnsi="宋体" w:cs="宋体"/>
        </w:rPr>
        <w:outlineLvl w:val="3"/>
      </w:pPr>
      <w:r/>
      <w:bookmarkStart w:id="117" w:name="_Toc513029227"/>
      <w:r/>
      <w:bookmarkStart w:id="118" w:name="_Toc20823299"/>
      <w:r/>
      <w:bookmarkStart w:id="119" w:name="_Toc16938543"/>
      <w:r>
        <w:rPr>
          <w:rStyle w:val="697"/>
          <w:rFonts w:hint="eastAsia" w:ascii="宋体" w:hAnsi="宋体" w:cs="宋体"/>
        </w:rPr>
        <w:t xml:space="preserve">20.投标文件</w:t>
      </w:r>
      <w:bookmarkEnd w:id="117"/>
      <w:r/>
      <w:bookmarkEnd w:id="118"/>
      <w:r/>
      <w:bookmarkEnd w:id="119"/>
      <w:r>
        <w:rPr>
          <w:rStyle w:val="69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97"/>
          <w:rFonts w:ascii="宋体" w:hAnsi="宋体" w:cs="宋体"/>
          <w:bCs w:val="0"/>
        </w:rPr>
        <w:outlineLvl w:val="3"/>
      </w:pPr>
      <w:r/>
      <w:bookmarkStart w:id="120" w:name="_Toc20823300"/>
      <w:r/>
      <w:bookmarkStart w:id="121" w:name="_Toc16938544"/>
      <w:r/>
      <w:bookmarkStart w:id="122" w:name="_Toc513029228"/>
      <w:r>
        <w:rPr>
          <w:rStyle w:val="697"/>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80"/>
        <w:ind w:firstLine="436"/>
        <w:spacing w:before="0" w:after="0" w:line="240" w:lineRule="auto"/>
        <w:rPr>
          <w:rStyle w:val="697"/>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9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9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96"/>
        <w:rPr>
          <w:rFonts w:ascii="宋体" w:hAnsi="宋体"/>
          <w:szCs w:val="24"/>
        </w:rPr>
      </w:pPr>
      <w:r>
        <w:rPr>
          <w:rFonts w:ascii="宋体" w:hAnsi="宋体"/>
          <w:szCs w:val="24"/>
        </w:rPr>
      </w:r>
      <w:r/>
    </w:p>
    <w:p>
      <w:pPr>
        <w:pStyle w:val="681"/>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96"/>
        <w:rPr>
          <w:rFonts w:ascii="宋体" w:hAnsi="宋体"/>
        </w:rPr>
      </w:pPr>
      <w:r>
        <w:rPr>
          <w:rFonts w:ascii="宋体" w:hAnsi="宋体"/>
        </w:rPr>
      </w:r>
      <w:r/>
    </w:p>
    <w:p>
      <w:pPr>
        <w:pStyle w:val="681"/>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4"/>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81"/>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4"/>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0"/>
        <w:ind w:firstLine="436"/>
        <w:spacing w:before="0" w:after="0" w:line="240" w:lineRule="auto"/>
        <w:rPr>
          <w:rStyle w:val="697"/>
          <w:rFonts w:ascii="宋体" w:hAnsi="宋体" w:cs="宋体"/>
        </w:rPr>
      </w:pPr>
      <w:r/>
      <w:bookmarkStart w:id="140" w:name="_Toc25066"/>
      <w:r/>
      <w:bookmarkStart w:id="141" w:name="_Toc120614219"/>
      <w:r>
        <w:rPr>
          <w:rStyle w:val="697"/>
          <w:rFonts w:hint="eastAsia" w:ascii="宋体" w:hAnsi="宋体" w:cs="宋体"/>
        </w:rPr>
        <w:t xml:space="preserve">六、</w:t>
      </w:r>
      <w:bookmarkEnd w:id="137"/>
      <w:r/>
      <w:bookmarkEnd w:id="138"/>
      <w:r/>
      <w:bookmarkEnd w:id="139"/>
      <w:r>
        <w:rPr>
          <w:rStyle w:val="697"/>
          <w:rFonts w:hint="eastAsia" w:ascii="宋体" w:hAnsi="宋体" w:cs="宋体"/>
        </w:rPr>
        <w:t xml:space="preserve">定标</w:t>
      </w:r>
      <w:bookmarkEnd w:id="140"/>
      <w:r/>
      <w:bookmarkEnd w:id="141"/>
      <w:r/>
      <w:r/>
    </w:p>
    <w:p>
      <w:pPr>
        <w:pStyle w:val="681"/>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680"/>
        <w:ind w:firstLine="481"/>
        <w:spacing w:before="0" w:after="0" w:line="240" w:lineRule="auto"/>
        <w:rPr>
          <w:rStyle w:val="697"/>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97"/>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jc w:val="both"/>
        <w:widowControl w:val="off"/>
        <w:rPr>
          <w:rFonts w:ascii="宋体" w:hAnsi="宋体" w:eastAsia="宋体" w:cs="宋体"/>
          <w:position w:val="-10"/>
          <w:lang w:eastAsia="zh-CN"/>
        </w:rPr>
      </w:pPr>
      <w:r/>
      <w:bookmarkStart w:id="154" w:name="_Toc1343"/>
      <w:r>
        <w:rPr>
          <w:rFonts w:hint="eastAsia" w:ascii="宋体" w:hAnsi="宋体" w:eastAsia="宋体" w:cs="宋体"/>
          <w:position w:val="-10"/>
          <w:lang w:eastAsia="zh-CN"/>
        </w:rPr>
        <w:t xml:space="preserve">根据代理协议约定，领取中标通知书时，中标人需以中标金额参照《招标代理服务收费管理暂行办法》(计价格[2002]1980号)(货物)*0.65向招标代理机构一次性交付中标服务费.</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320006607010141124109   交通银行江苏省分行营业部     </w:t>
      </w:r>
      <w:r/>
    </w:p>
    <w:p>
      <w:pPr>
        <w:ind w:firstLine="2650"/>
        <w:rPr>
          <w:lang w:eastAsia="zh-CN"/>
        </w:rPr>
      </w:pPr>
      <w:r>
        <w:rPr>
          <w:rFonts w:hint="eastAsia" w:ascii="宋体" w:hAnsi="宋体" w:eastAsia="宋体" w:cs="宋体"/>
          <w:b/>
          <w:bCs/>
          <w:sz w:val="44"/>
          <w:lang w:eastAsia="zh-CN"/>
        </w:rPr>
        <w:t xml:space="preserve">第三章  </w:t>
      </w:r>
      <w:bookmarkEnd w:id="20"/>
      <w:r/>
      <w:bookmarkEnd w:id="21"/>
      <w:r/>
      <w:bookmarkEnd w:id="22"/>
      <w:r/>
      <w:bookmarkEnd w:id="23"/>
      <w:r/>
      <w:bookmarkEnd w:id="24"/>
      <w:r/>
      <w:bookmarkEnd w:id="154"/>
      <w:r>
        <w:rPr>
          <w:rFonts w:hint="eastAsia" w:ascii="宋体" w:hAnsi="宋体" w:eastAsia="宋体" w:cs="宋体"/>
          <w:b/>
          <w:bCs/>
          <w:sz w:val="44"/>
          <w:lang w:eastAsia="zh-CN"/>
        </w:rPr>
        <w:t xml:space="preserve">合同文本（参考）</w:t>
      </w:r>
      <w:bookmarkStart w:id="155" w:name="_Toc16938559"/>
      <w:r/>
      <w:bookmarkStart w:id="156" w:name="_Toc513029243"/>
      <w:r/>
      <w:bookmarkStart w:id="157" w:name="_Toc20823315"/>
      <w:r/>
      <w:bookmarkEnd w:id="155"/>
      <w:bookmarkEnd w:id="156"/>
      <w:bookmarkEnd w:id="157"/>
      <w:r/>
    </w:p>
    <w:p>
      <w:pPr>
        <w:jc w:val="center"/>
        <w:spacing w:after="156"/>
        <w:rPr>
          <w:rFonts w:hAnsi="宋体"/>
          <w:bCs/>
          <w:sz w:val="30"/>
          <w:szCs w:val="30"/>
          <w:lang w:eastAsia="zh-CN"/>
        </w:rPr>
      </w:pPr>
      <w:r>
        <w:rPr>
          <w:rFonts w:hint="eastAsia" w:hAnsi="宋体"/>
          <w:sz w:val="30"/>
          <w:szCs w:val="30"/>
          <w:lang w:eastAsia="zh-CN"/>
        </w:rPr>
        <w:t xml:space="preserve">南京脑科医院医疗设备购销合同</w:t>
      </w:r>
      <w:r/>
    </w:p>
    <w:p>
      <w:pPr>
        <w:rPr>
          <w:rFonts w:hAnsi="宋体"/>
          <w:b/>
          <w:sz w:val="21"/>
          <w:szCs w:val="21"/>
          <w:lang w:eastAsia="zh-CN"/>
        </w:rPr>
      </w:pPr>
      <w:r>
        <w:rPr>
          <w:rFonts w:hint="eastAsia" w:hAnsi="宋体"/>
          <w:sz w:val="21"/>
          <w:szCs w:val="21"/>
          <w:lang w:eastAsia="zh-CN"/>
        </w:rPr>
        <w:t xml:space="preserve">甲方：南京脑科医院</w:t>
      </w:r>
      <w:r/>
    </w:p>
    <w:p>
      <w:pPr>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南京脑科医院采购项目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）的《采购文件》及乙方的《响应文件》及成交通知书，甲乙双方就医疗设备购销事宜，签订本合同：</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设备名称及金额：</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单价（元）</w:t>
            </w:r>
            <w:r/>
          </w:p>
        </w:tc>
        <w:tc>
          <w:tcPr>
            <w:tcW w:w="1360" w:type="dxa"/>
            <w:vAlign w:val="center"/>
            <w:textDirection w:val="lrTb"/>
            <w:noWrap w:val="false"/>
          </w:tcPr>
          <w:p>
            <w:pPr>
              <w:jc w:val="center"/>
              <w:rPr>
                <w:rFonts w:hAnsi="宋体"/>
                <w:b/>
                <w:sz w:val="21"/>
                <w:szCs w:val="21"/>
              </w:rPr>
            </w:pPr>
            <w:r>
              <w:rPr>
                <w:rFonts w:hint="eastAsia" w:hAnsi="宋体"/>
                <w:sz w:val="21"/>
                <w:szCs w:val="21"/>
              </w:rPr>
              <w:t xml:space="preserve">总金额（元）</w:t>
            </w:r>
            <w:r/>
          </w:p>
        </w:tc>
      </w:tr>
      <w:tr>
        <w:trPr>
          <w:trHeight w:val="369"/>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需提交计量检定证书或进口型式批准证书，乙方提供的产品应保证计量合格，乙方应承担初次计量检测费用。</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的技术标准进行技术验收，验收合格后，双方在甲方《验收合格单》上签字确认。甲方签字并不视为乙方无产品质量问题，乙方仍应对产品质量缺陷或瑕疵负有责任。</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。乙方保证向甲方提供已取得医疗器械注册证的全新原包装合格产品。若乙方所提供的产品因产品资质或质量出现问题，造成罚款或医疗事故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可根据甲方的要求另行安排培训计划。因乙方未培训或者未指导到位造成甲方人员在使用过程中造成的全部损失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的疵劣程度、损坏的范围和甲方所遭受的损失，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质保期满后，乙方负责终身维修，免人工费，只收配件费用。所有随设备配置物品享受同等保修权利。保修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招标文件中要求提供</w:t>
      </w:r>
      <w:bookmarkStart w:id="158" w:name="_Hlk229574740"/>
      <w:r>
        <w:rPr>
          <w:rFonts w:hint="eastAsia" w:ascii="宋体" w:eastAsia="宋体"/>
          <w:b/>
          <w:position w:val="-10"/>
          <w:szCs w:val="20"/>
          <w:lang w:eastAsia="zh-CN"/>
        </w:rPr>
        <w:t xml:space="preserve">证明材料</w:t>
      </w:r>
      <w:bookmarkEnd w:id="158"/>
      <w:r>
        <w:rPr>
          <w:rFonts w:hint="eastAsia" w:ascii="宋体" w:eastAsia="宋体"/>
          <w:b/>
          <w:position w:val="-10"/>
          <w:szCs w:val="20"/>
          <w:lang w:eastAsia="zh-CN"/>
        </w:rPr>
        <w:t xml:space="preserve">的，</w:t>
      </w:r>
      <w:r>
        <w:rPr>
          <w:rFonts w:hint="eastAsia" w:ascii="宋体" w:eastAsia="宋体"/>
          <w:b/>
          <w:position w:val="-10"/>
          <w:szCs w:val="20"/>
          <w:lang w:eastAsia="zh-CN"/>
        </w:rPr>
        <w:t xml:space="preserve">需按上述要求</w:t>
      </w:r>
      <w:r>
        <w:rPr>
          <w:rFonts w:hint="eastAsia" w:ascii="宋体" w:eastAsia="宋体"/>
          <w:b/>
          <w:position w:val="-10"/>
          <w:szCs w:val="20"/>
          <w:lang w:eastAsia="zh-CN"/>
        </w:rPr>
        <w:t xml:space="preserve">提供证明材料，</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widowControl w:val="off"/>
        <w:rPr>
          <w:rFonts w:ascii="宋体" w:hAnsi="宋体" w:eastAsia="宋体"/>
          <w:b/>
        </w:rPr>
      </w:pPr>
      <w:r>
        <w:rPr>
          <w:rFonts w:hint="eastAsia" w:ascii="宋体" w:hAnsi="宋体" w:eastAsia="宋体" w:cs="宋体"/>
          <w:b/>
          <w:bCs/>
          <w:position w:val="-10"/>
          <w:sz w:val="36"/>
          <w:szCs w:val="36"/>
          <w:lang w:eastAsia="zh-CN"/>
        </w:rPr>
        <w:t xml:space="preserve">项目概况</w:t>
      </w:r>
      <w:r/>
    </w:p>
    <w:tbl>
      <w:tblPr>
        <w:tblpPr w:horzAnchor="margin" w:tblpXSpec="center" w:vertAnchor="text" w:tblpY="158" w:leftFromText="180" w:topFromText="0" w:rightFromText="180" w:bottomFromText="0"/>
        <w:tblW w:w="9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rPr>
                <w:rFonts w:ascii="宋体" w:hAnsi="宋体" w:eastAsia="宋体"/>
                <w:b/>
              </w:rPr>
            </w:pPr>
            <w:r>
              <w:rPr>
                <w:rFonts w:hint="eastAsia" w:ascii="宋体" w:hAnsi="宋体" w:eastAsia="宋体"/>
                <w:b/>
              </w:rPr>
              <w:t xml:space="preserve">序号</w:t>
            </w:r>
            <w:r/>
          </w:p>
        </w:tc>
        <w:tc>
          <w:tcPr>
            <w:tcW w:w="2398" w:type="dxa"/>
            <w:vAlign w:val="center"/>
            <w:textDirection w:val="lrTb"/>
            <w:noWrap w:val="false"/>
          </w:tcPr>
          <w:p>
            <w:pPr>
              <w:rPr>
                <w:rFonts w:ascii="宋体" w:hAnsi="宋体" w:eastAsia="宋体"/>
                <w:b/>
              </w:rPr>
            </w:pPr>
            <w:r>
              <w:rPr>
                <w:rFonts w:hint="eastAsia" w:ascii="宋体" w:hAnsi="宋体" w:eastAsia="宋体"/>
                <w:b/>
              </w:rPr>
              <w:t xml:space="preserve">货物名称</w:t>
            </w:r>
            <w:r/>
          </w:p>
        </w:tc>
        <w:tc>
          <w:tcPr>
            <w:tcW w:w="917" w:type="dxa"/>
            <w:vAlign w:val="center"/>
            <w:textDirection w:val="lrTb"/>
            <w:noWrap w:val="false"/>
          </w:tcPr>
          <w:p>
            <w:pPr>
              <w:rPr>
                <w:rFonts w:ascii="宋体" w:hAnsi="宋体" w:eastAsia="宋体"/>
                <w:b/>
              </w:rPr>
            </w:pPr>
            <w:r>
              <w:rPr>
                <w:rFonts w:hint="eastAsia" w:ascii="宋体" w:hAnsi="宋体" w:eastAsia="宋体"/>
                <w:b/>
              </w:rPr>
              <w:t xml:space="preserve">数量</w:t>
            </w:r>
            <w:r/>
          </w:p>
        </w:tc>
        <w:tc>
          <w:tcPr>
            <w:tcW w:w="2240" w:type="dxa"/>
            <w:vAlign w:val="center"/>
            <w:textDirection w:val="lrTb"/>
            <w:noWrap w:val="false"/>
          </w:tcPr>
          <w:p>
            <w:pPr>
              <w:rPr>
                <w:rFonts w:ascii="宋体" w:hAnsi="宋体" w:eastAsia="宋体"/>
                <w:b/>
              </w:rPr>
            </w:pPr>
            <w:r>
              <w:rPr>
                <w:rFonts w:hint="eastAsia" w:ascii="宋体" w:hAnsi="宋体" w:eastAsia="宋体"/>
                <w:b/>
              </w:rPr>
              <w:t xml:space="preserve">交货期</w:t>
            </w:r>
            <w:r/>
          </w:p>
        </w:tc>
        <w:tc>
          <w:tcPr>
            <w:tcW w:w="2539" w:type="dxa"/>
            <w:vAlign w:val="center"/>
            <w:textDirection w:val="lrTb"/>
            <w:noWrap w:val="false"/>
          </w:tcPr>
          <w:p>
            <w:pPr>
              <w:rPr>
                <w:rFonts w:ascii="宋体" w:hAnsi="宋体" w:eastAsia="宋体"/>
                <w:b/>
              </w:rPr>
            </w:pPr>
            <w:r>
              <w:rPr>
                <w:rFonts w:hint="eastAsia" w:ascii="宋体" w:hAnsi="宋体" w:eastAsia="宋体"/>
                <w:b/>
              </w:rPr>
              <w:t xml:space="preserve">交货地点</w:t>
            </w:r>
            <w:r/>
          </w:p>
        </w:tc>
      </w:tr>
      <w:tr>
        <w:trPr>
          <w:trHeight w:val="509"/>
        </w:trPr>
        <w:tc>
          <w:tcPr>
            <w:tcW w:w="1194" w:type="dxa"/>
            <w:vAlign w:val="center"/>
            <w:textDirection w:val="lrTb"/>
            <w:noWrap w:val="false"/>
          </w:tcPr>
          <w:p>
            <w:pPr>
              <w:rPr>
                <w:rFonts w:ascii="宋体" w:hAnsi="宋体" w:eastAsia="宋体"/>
              </w:rPr>
            </w:pPr>
            <w:r>
              <w:rPr>
                <w:rFonts w:hint="eastAsia" w:ascii="宋体" w:hAnsi="宋体" w:eastAsia="宋体"/>
              </w:rPr>
              <w:t xml:space="preserve">1</w:t>
            </w:r>
            <w:r/>
          </w:p>
        </w:tc>
        <w:tc>
          <w:tcPr>
            <w:tcW w:w="2398"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高速扫描双光子显微镜及配套设备</w:t>
            </w:r>
            <w:r/>
          </w:p>
        </w:tc>
        <w:tc>
          <w:tcPr>
            <w:tcW w:w="917" w:type="dxa"/>
            <w:vAlign w:val="center"/>
            <w:textDirection w:val="lrTb"/>
            <w:noWrap w:val="false"/>
          </w:tcPr>
          <w:p>
            <w:pPr>
              <w:rPr>
                <w:rFonts w:ascii="宋体" w:hAnsi="宋体" w:eastAsia="宋体"/>
              </w:rPr>
            </w:pPr>
            <w:r>
              <w:rPr>
                <w:rFonts w:hint="eastAsia" w:ascii="宋体" w:hAnsi="宋体" w:eastAsia="宋体"/>
                <w:lang w:eastAsia="zh-CN"/>
              </w:rPr>
              <w:t xml:space="preserve">1</w:t>
            </w:r>
            <w:r>
              <w:rPr>
                <w:rFonts w:hint="eastAsia" w:ascii="宋体" w:hAnsi="宋体" w:eastAsia="宋体"/>
              </w:rPr>
              <w:t xml:space="preserve">套</w:t>
            </w:r>
            <w:r/>
          </w:p>
        </w:tc>
        <w:tc>
          <w:tcPr>
            <w:tcW w:w="2240" w:type="dxa"/>
            <w:vAlign w:val="center"/>
            <w:textDirection w:val="lrTb"/>
            <w:noWrap w:val="false"/>
          </w:tcPr>
          <w:p>
            <w:pPr>
              <w:rPr>
                <w:rFonts w:ascii="宋体" w:hAnsi="宋体" w:eastAsia="宋体"/>
              </w:rPr>
            </w:pPr>
            <w:r>
              <w:rPr>
                <w:rFonts w:hint="eastAsia" w:ascii="宋体" w:hAnsi="宋体" w:eastAsia="宋体"/>
              </w:rPr>
              <w:t xml:space="preserve">合同签订后</w:t>
            </w:r>
            <w:r>
              <w:rPr>
                <w:rFonts w:hint="eastAsia" w:ascii="宋体" w:hAnsi="宋体" w:eastAsia="宋体"/>
                <w:lang w:eastAsia="zh-CN"/>
              </w:rPr>
              <w:t xml:space="preserve">90</w:t>
            </w:r>
            <w:r>
              <w:rPr>
                <w:rFonts w:hint="eastAsia" w:ascii="宋体" w:hAnsi="宋体" w:eastAsia="宋体"/>
              </w:rPr>
              <w:t xml:space="preserve">天内</w:t>
            </w:r>
            <w:r/>
          </w:p>
        </w:tc>
        <w:tc>
          <w:tcPr>
            <w:tcW w:w="2539"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南京脑科医院指定地点</w:t>
            </w:r>
            <w:r/>
          </w:p>
        </w:tc>
      </w:tr>
    </w:tbl>
    <w:p>
      <w:pPr>
        <w:widowControl w:val="off"/>
        <w:rPr>
          <w:rFonts w:ascii="宋体" w:hAnsi="宋体" w:eastAsia="宋体" w:cs="宋体"/>
          <w:b/>
          <w:bCs/>
          <w:position w:val="-10"/>
          <w:sz w:val="36"/>
          <w:szCs w:val="36"/>
          <w:lang w:eastAsia="zh-CN"/>
        </w:rPr>
      </w:pPr>
      <w:r>
        <w:rPr>
          <w:rFonts w:ascii="宋体" w:hAnsi="宋体" w:eastAsia="宋体" w:cs="宋体"/>
          <w:b/>
          <w:bCs/>
          <w:position w:val="-10"/>
          <w:sz w:val="36"/>
          <w:szCs w:val="36"/>
          <w:lang w:eastAsia="zh-CN"/>
        </w:rPr>
      </w:r>
      <w:r/>
    </w:p>
    <w:p>
      <w:pP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rPr>
          <w:rFonts w:hint="eastAsia" w:ascii="宋体" w:hAnsi="宋体" w:eastAsia="宋体" w:cs="宋体"/>
          <w:b/>
          <w:bCs/>
          <w:position w:val="-10"/>
          <w:sz w:val="36"/>
          <w:szCs w:val="36"/>
          <w:lang w:eastAsia="zh-CN"/>
        </w:rPr>
        <w:t xml:space="preserve">（在响应偏离表中需逐一应答）</w:t>
      </w:r>
      <w:r/>
    </w:p>
    <w:p>
      <w:pPr>
        <w:ind w:firstLine="482"/>
        <w:rPr>
          <w:rFonts w:ascii="宋体" w:hAnsi="宋体" w:eastAsia="宋体"/>
          <w:b/>
          <w:lang w:eastAsia="zh-CN"/>
        </w:rPr>
      </w:pPr>
      <w:r>
        <w:rPr>
          <w:rFonts w:ascii="宋体" w:hAnsi="宋体" w:eastAsia="宋体"/>
          <w:b/>
          <w:lang w:eastAsia="zh-CN"/>
        </w:rPr>
      </w:r>
      <w:r/>
    </w:p>
    <w:p>
      <w:pPr>
        <w:ind w:firstLine="482"/>
        <w:rPr>
          <w:rFonts w:ascii="宋体" w:hAnsi="宋体" w:eastAsia="宋体" w:cstheme="minorEastAsia"/>
          <w:b/>
          <w:lang w:eastAsia="zh-CN"/>
        </w:rPr>
      </w:pPr>
      <w:r>
        <w:rPr>
          <w:rFonts w:hint="eastAsia" w:ascii="宋体" w:hAnsi="宋体" w:eastAsia="宋体" w:cstheme="minorEastAsia"/>
          <w:b/>
          <w:lang w:eastAsia="zh-CN"/>
        </w:rPr>
        <w:t xml:space="preserve">（一）基本性能要求</w:t>
      </w:r>
      <w:r/>
    </w:p>
    <w:p>
      <w:pPr>
        <w:ind w:firstLine="480"/>
        <w:rPr>
          <w:rFonts w:ascii="宋体" w:hAnsi="宋体" w:eastAsia="宋体" w:cs="宋体"/>
        </w:rPr>
      </w:pPr>
      <w:r>
        <w:rPr>
          <w:rFonts w:hint="eastAsia" w:ascii="宋体" w:hAnsi="宋体" w:eastAsia="宋体" w:cs="宋体"/>
          <w:lang w:eastAsia="zh-CN"/>
        </w:rPr>
        <w:t xml:space="preserve">利用长波长双光子激发荧光的工作原理，可对活体动物进行深层组织成像，并结合电生理和行为学设备，完成复杂的生命科学研究。</w:t>
      </w:r>
      <w:r>
        <w:rPr>
          <w:rFonts w:hint="eastAsia" w:ascii="宋体" w:hAnsi="宋体" w:eastAsia="宋体" w:cs="宋体"/>
        </w:rPr>
        <w:t xml:space="preserve">需要：</w:t>
      </w:r>
      <w:r/>
    </w:p>
    <w:p>
      <w:pPr>
        <w:numPr>
          <w:ilvl w:val="0"/>
          <w:numId w:val="9"/>
        </w:numPr>
        <w:ind w:firstLine="480"/>
        <w:widowControl w:val="off"/>
        <w:rPr>
          <w:rFonts w:ascii="宋体" w:hAnsi="宋体" w:eastAsia="宋体" w:cs="宋体"/>
          <w:lang w:eastAsia="zh-CN"/>
        </w:rPr>
      </w:pPr>
      <w:r>
        <w:rPr>
          <w:rFonts w:hint="eastAsia" w:ascii="宋体" w:hAnsi="宋体" w:eastAsia="宋体" w:cs="宋体"/>
          <w:lang w:eastAsia="zh-CN"/>
        </w:rPr>
        <w:t xml:space="preserve">显微镜主机可以旋转以实现成像实验动物脑侧方的脑区</w:t>
      </w:r>
      <w:r>
        <w:rPr>
          <w:rFonts w:hint="eastAsia" w:ascii="宋体" w:hAnsi="宋体" w:cs="宋体"/>
          <w:lang w:eastAsia="zh-CN"/>
        </w:rPr>
        <w:t xml:space="preserve">。</w:t>
      </w:r>
      <w:r/>
    </w:p>
    <w:p>
      <w:pPr>
        <w:numPr>
          <w:ilvl w:val="0"/>
          <w:numId w:val="9"/>
        </w:numPr>
        <w:ind w:firstLine="480"/>
        <w:widowControl w:val="off"/>
        <w:rPr>
          <w:rFonts w:ascii="宋体" w:hAnsi="宋体" w:cs="宋体"/>
          <w:lang w:eastAsia="zh-CN"/>
        </w:rPr>
      </w:pPr>
      <w:r>
        <w:rPr>
          <w:rFonts w:hint="eastAsia" w:ascii="宋体" w:hAnsi="宋体" w:eastAsia="宋体" w:cs="宋体"/>
          <w:lang w:eastAsia="zh-CN"/>
        </w:rPr>
        <w:t xml:space="preserve">需求物镜下无遮挡操作空间大，可以灵活根据实验需求改装调试以适合做行为研究</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3）系统兼顾高分辨率、高速成像和大视野成像，需要完成活体小动物微小结构例如神经元树突棘的成像</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4）需兼顾钙信号功能成像对系统速度的要求</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5）需要有超大的视野去满足跨脑区成像以研究神经环路的需求。</w:t>
      </w:r>
      <w:r/>
    </w:p>
    <w:p>
      <w:pPr>
        <w:ind w:firstLine="480"/>
        <w:rPr>
          <w:rFonts w:ascii="宋体" w:hAnsi="宋体" w:eastAsia="宋体" w:cs="宋体"/>
          <w:lang w:eastAsia="zh-CN"/>
        </w:rPr>
      </w:pPr>
      <w:r>
        <w:rPr>
          <w:rFonts w:hint="eastAsia" w:ascii="宋体" w:hAnsi="宋体" w:eastAsia="宋体" w:cs="宋体"/>
          <w:lang w:eastAsia="zh-CN"/>
        </w:rPr>
        <w:t xml:space="preserve">6）需要一个可调输出波长的激光通道配合一个固定波长通道，实现记录活体信号同时进行光刺激的目的，以及可调波长激光通道还可以实现新型荧光探针的活体成像。</w:t>
      </w:r>
      <w:r/>
    </w:p>
    <w:p>
      <w:pPr>
        <w:ind w:firstLine="480"/>
        <w:rPr>
          <w:rFonts w:ascii="宋体" w:hAnsi="宋体" w:eastAsia="宋体" w:cs="宋体"/>
          <w:lang w:eastAsia="zh-CN"/>
        </w:rPr>
      </w:pPr>
      <w:r>
        <w:rPr>
          <w:rFonts w:hint="eastAsia" w:ascii="宋体" w:hAnsi="宋体" w:eastAsia="宋体" w:cs="宋体"/>
          <w:lang w:eastAsia="zh-CN"/>
        </w:rPr>
        <w:t xml:space="preserve">7）</w:t>
      </w:r>
      <w:r>
        <w:rPr>
          <w:rFonts w:hint="eastAsia" w:ascii="宋体" w:hAnsi="宋体" w:cs="宋体"/>
          <w:lang w:eastAsia="zh-CN"/>
        </w:rPr>
        <w:t xml:space="preserve">★</w:t>
      </w:r>
      <w:r>
        <w:rPr>
          <w:rFonts w:hint="eastAsia" w:ascii="宋体" w:hAnsi="宋体" w:eastAsia="宋体" w:cs="宋体"/>
          <w:lang w:eastAsia="zh-CN"/>
        </w:rPr>
        <w:t xml:space="preserve">每一项元件在产品配置清单中逐项列出，且必须符合下述技术性能参数要求，不可减配。</w:t>
      </w:r>
      <w:r/>
    </w:p>
    <w:p>
      <w:pPr>
        <w:ind w:firstLine="482"/>
        <w:rPr>
          <w:rFonts w:ascii="宋体" w:hAnsi="宋体" w:eastAsia="宋体" w:cs="宋体"/>
          <w:b/>
          <w:lang w:eastAsia="zh-CN"/>
        </w:rPr>
      </w:pPr>
      <w:r>
        <w:rPr>
          <w:rFonts w:ascii="宋体" w:hAnsi="宋体" w:eastAsia="宋体" w:cs="宋体"/>
          <w:b/>
          <w:lang w:eastAsia="zh-CN"/>
        </w:rPr>
      </w:r>
      <w:r/>
    </w:p>
    <w:p>
      <w:pPr>
        <w:ind w:firstLine="482"/>
        <w:rPr>
          <w:rFonts w:ascii="宋体" w:hAnsi="宋体" w:eastAsia="宋体" w:cs="宋体"/>
          <w:b/>
          <w:lang w:eastAsia="zh-CN"/>
        </w:rPr>
      </w:pPr>
      <w:r>
        <w:rPr>
          <w:rFonts w:hint="eastAsia" w:ascii="宋体" w:hAnsi="宋体" w:eastAsia="宋体" w:cs="宋体"/>
          <w:b/>
          <w:lang w:eastAsia="zh-CN"/>
        </w:rPr>
        <w:t xml:space="preserve">（二）技术参数</w:t>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1显微镜主机：</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1.1活体动物定制化正置旋转机身:五维电动控制（X，Y，base-Z，fine-Z，R）；X，Y的行程≥2英寸，精度≤0.5um；fine-Z的行程≥1英寸，精度≤0.1um；base-Z行程≥5英寸，精度≤1um；旋转角度范围≥90度（范围：-45度到+45度），精度≤0.1°。显微镜整机五轴移动，扫描光路的4f系统关系固定不变，样品位置保持不变。</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1.2显微镜整套系统光学镀膜红外透过率高，红外校准范围从680nm-1300nm，适合于双光子各个波长的成像要求。</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1.3显微镜物镜下空间大：物镜到桌面空间≥32cm，方便进行动物行为学实验，放置气浮装置等，左右两则完全无阻挡，完美搭配VR、跑步机、麻醉机等实验器材。</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1.4物镜（</w:t>
      </w:r>
      <w:r>
        <w:rPr>
          <w:rFonts w:hint="eastAsia" w:ascii="宋体" w:hAnsi="宋体" w:cs="宋体"/>
          <w:b/>
          <w:bCs/>
          <w:sz w:val="24"/>
          <w:szCs w:val="24"/>
          <w:u w:val="single"/>
          <w:lang w:eastAsia="zh-CN"/>
        </w:rPr>
        <w:t xml:space="preserve">投标时需单独提供具体品牌型号）</w:t>
      </w:r>
      <w:r>
        <w:rPr>
          <w:rFonts w:hint="eastAsia" w:ascii="宋体" w:hAnsi="宋体" w:cs="宋体"/>
          <w:sz w:val="24"/>
          <w:szCs w:val="24"/>
          <w:lang w:eastAsia="zh-CN"/>
        </w:rPr>
        <w:t xml:space="preserve">：</w:t>
      </w:r>
      <w:r/>
    </w:p>
    <w:p>
      <w:pPr>
        <w:pStyle w:val="712"/>
        <w:numPr>
          <w:ilvl w:val="0"/>
          <w:numId w:val="10"/>
        </w:numPr>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10X超长工作距离复消色差双光子专用物镜：介质空气，数值孔径NA≥0.5，工作距离≥7.77mm。</w:t>
      </w:r>
      <w:r/>
    </w:p>
    <w:p>
      <w:pPr>
        <w:pStyle w:val="712"/>
        <w:numPr>
          <w:ilvl w:val="0"/>
          <w:numId w:val="10"/>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20X长工作距离复消色差双光子专用物镜：介质水，高数值孔径NA≥1.0，工作距离≥2.0mm，z轴分辨率强，纵向拖尾小，用于高分辨结构成像。</w:t>
      </w:r>
      <w:r/>
    </w:p>
    <w:p>
      <w:pPr>
        <w:pStyle w:val="712"/>
        <w:numPr>
          <w:ilvl w:val="0"/>
          <w:numId w:val="10"/>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25x长工作距离双光子专用物镜：介质水，高数值孔径NA≥1.1，工作距离≥2.0mm,配备矫正环，用于深层900um以上的胞体钙成像。</w:t>
      </w:r>
      <w:r/>
    </w:p>
    <w:p>
      <w:pPr>
        <w:pStyle w:val="712"/>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1.5压电陶瓷物镜位移器：步进精度≤3nm，闭环行程≥450微米，共振频率≥90Hz。</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1.6带有长寿命</w:t>
      </w:r>
      <w:r>
        <w:rPr>
          <w:rFonts w:hint="eastAsia" w:ascii="宋体" w:hAnsi="宋体" w:cs="宋体"/>
          <w:sz w:val="24"/>
          <w:szCs w:val="24"/>
          <w:lang w:val="da-DK" w:eastAsia="zh-CN"/>
        </w:rPr>
        <w:t xml:space="preserve">LED</w:t>
      </w:r>
      <w:r>
        <w:rPr>
          <w:rFonts w:hint="eastAsia" w:ascii="宋体" w:hAnsi="宋体" w:cs="宋体"/>
          <w:sz w:val="24"/>
          <w:szCs w:val="24"/>
          <w:lang w:eastAsia="zh-CN"/>
        </w:rPr>
        <w:t xml:space="preserve">荧光照明系统，能够通过相机直接成像观察：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1）宽场荧光照明和观察，长寿命高功率LED光源(470nm)额定寿命≥10000小时，带有扩束和准直光路。</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2）GFP专用荧光滤色镜组，带有激发、发射和分色滤色片。</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3）高敏感科学级sCMOS相机，黑白芯片，像素数量≥210万像素，速度≥50fps(全幅)，动态范围≥16Bit。</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2双光子扫描系统：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2.1超宽视野共轭式扫描系统：采用Resonant-Galvo-Galvo高速共振式三振镜共轭扫描系统。</w:t>
      </w:r>
      <w:r/>
    </w:p>
    <w:p>
      <w:pPr>
        <w:pStyle w:val="712"/>
        <w:ind w:left="0" w:firstLine="480"/>
        <w:spacing w:after="0"/>
        <w:rPr>
          <w:rFonts w:ascii="宋体" w:hAnsi="宋体" w:cs="宋体"/>
          <w:sz w:val="24"/>
          <w:szCs w:val="24"/>
          <w:u w:val="single"/>
          <w:lang w:eastAsia="zh-CN"/>
        </w:rPr>
      </w:pPr>
      <w:r>
        <w:rPr>
          <w:rFonts w:hint="eastAsia" w:ascii="宋体" w:hAnsi="宋体" w:cs="宋体"/>
          <w:sz w:val="24"/>
          <w:szCs w:val="24"/>
          <w:lang w:eastAsia="zh-CN"/>
        </w:rPr>
        <w:t xml:space="preserve">▲2.2通过三振镜实现超宽成像视野成像（非多区域扫描拼图），视场数≥FN40,10X物镜下的实际样品处视野≥2.8mmx2.8mm，以实现同时呈现多脑区以研究神经环路调控作用的实验目的。</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▲2.3共振快速扫描：采用8KHz快速扫描振镜，保持超宽视野FN40的情况下，全幅扫描速度≥30帧/s（512X512），≥400帧/s（512×32）；</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▲2.4共振快扫时，扫描像素从32X32–4096X4096可以连续可调（标明1028X1028和4096X4096时分别的扫描速度），扫描像素选择非固定多档可调；</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2.5</w:t>
      </w:r>
      <w:r>
        <w:rPr>
          <w:rFonts w:ascii="宋体" w:hAnsi="宋体" w:cs="宋体"/>
          <w:sz w:val="24"/>
          <w:szCs w:val="24"/>
          <w:lang w:eastAsia="zh-CN"/>
        </w:rPr>
        <w:t xml:space="preserve"> </w:t>
      </w:r>
      <w:r>
        <w:rPr>
          <w:rFonts w:hint="eastAsia" w:ascii="宋体" w:hAnsi="宋体" w:cs="宋体"/>
          <w:sz w:val="24"/>
          <w:szCs w:val="24"/>
          <w:lang w:eastAsia="zh-CN"/>
        </w:rPr>
        <w:t xml:space="preserve">Zoom倍率从1-16X连续可调，适合于活体结构成像和快速钙信号成像等应用。</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3双光子检测系统：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3.1高信噪比检测模块：14°大角度信号收集检测模块，通过扩大荧光信号收集角度来获取更多的荧光信息，提高了更深层图像的信噪比；</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3.2配置两个外置高灵敏度GaAsPPMT检测器，带有红绿两色全套的滤色片组。</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4计算机工作站和软件：</w:t>
      </w:r>
      <w:r/>
    </w:p>
    <w:p>
      <w:pPr>
        <w:pStyle w:val="712"/>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4.1</w:t>
      </w:r>
      <w:r>
        <w:rPr>
          <w:rFonts w:hint="eastAsia" w:ascii="宋体" w:hAnsi="宋体" w:cs="宋体"/>
          <w:sz w:val="24"/>
          <w:szCs w:val="24"/>
          <w:lang w:eastAsia="zh-CN"/>
        </w:rPr>
        <w:t xml:space="preserve">高性能主流图像工作站，高速接口卡，可选配各种大容量外部存储设备及输出设备。一个搭载在双光子成像系统上用于数据获取和初步处理，内存:64GB,CPU:Pentium3.7GHz或更高,硬盘:2TGBSSD。</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4.2多种扫描方式：除X、Y、Z、t、λ任意组合等常规扫描方式外，还支持点扫描、线扫描（直线和任意曲线）、矩形扫描、双向扫描、序列扫描，ZoomIn扫描等扩展扫描方式。</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4.3离子测量功能：带有streaming模式，能够快速进行离子信号测量。</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4.4长时间</w:t>
      </w:r>
      <w:r>
        <w:rPr>
          <w:rFonts w:hint="eastAsia" w:ascii="宋体" w:hAnsi="宋体" w:cs="宋体"/>
          <w:i/>
          <w:sz w:val="24"/>
          <w:szCs w:val="24"/>
          <w:lang w:eastAsia="zh-CN"/>
        </w:rPr>
        <w:t xml:space="preserve">Invivo</w:t>
      </w:r>
      <w:r>
        <w:rPr>
          <w:rFonts w:hint="eastAsia" w:ascii="宋体" w:hAnsi="宋体" w:cs="宋体"/>
          <w:sz w:val="24"/>
          <w:szCs w:val="24"/>
          <w:lang w:eastAsia="zh-CN"/>
        </w:rPr>
        <w:t xml:space="preserve">成像功能：内嵌的软件模块能够方便编程进行自动长时间活体小动物延时成像，同时具有和其他设备相同通讯互相触发功能。</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4.5大面积嵌入式拼接：样品能作一系列图块拼接成像，形成单张高分辨率的合成图像。配置不同样品的拼接位置、大小和重叠，并启用拼接调整，以校正与物镜非正交的样品。此功能兼容时间序列图像集和3D图像堆栈。</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r/>
    </w:p>
    <w:p>
      <w:pPr>
        <w:pStyle w:val="712"/>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4.7硬件触发系统</w:t>
      </w:r>
      <w:r>
        <w:rPr>
          <w:rFonts w:hint="eastAsia" w:ascii="宋体" w:hAnsi="宋体" w:cs="宋体"/>
          <w:sz w:val="24"/>
          <w:szCs w:val="24"/>
          <w:lang w:eastAsia="zh-CN"/>
        </w:rPr>
        <w:t xml:space="preserve">：通过信号发生器编程操控，可以根据用户需要编程产生数字信号和模拟信号，发出的信号需要接入双光子采集系统进行同步触发采集，显微镜系统需要识别高低电平的转换来实现拍摄的开始和结束。</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5双输出可调波长双光子飞秒脉冲激光器：</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5.1可调波长输出：波长范围≥680nm~1300nm，脉宽≤120飞秒（fs），重频80±0.5MHz，900nm处平均输出功率≥2.5W；</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5.2固定波长输出：波长范围1040nm±5nm，脉宽≤170飞秒（fs），重频80±0.5MHz，平均输出功率≥2.8W。</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b/>
          <w:bCs/>
          <w:sz w:val="24"/>
          <w:szCs w:val="24"/>
          <w:lang w:eastAsia="zh-CN"/>
        </w:rPr>
        <w:t xml:space="preserve">6双光子光遗传学刺激系统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6.1单独的激光引入光路，利用1040nm飞秒脉冲激光进行多点的同步双光子光刺激。</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6.2独立的刺激光路，平行于成像光路，包括扫描透镜、结像透镜和GG双振镜系统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6.3相应的软件控制模块，能够控制成像光路成像的同时进行多点顺序的光刺激</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7数据分析和存储系统：</w:t>
      </w:r>
      <w:r>
        <w:rPr>
          <w:rFonts w:hint="eastAsia" w:ascii="宋体" w:hAnsi="宋体" w:cs="宋体"/>
          <w:b/>
          <w:bCs/>
          <w:lang w:eastAsia="zh-CN"/>
        </w:rPr>
        <w:t xml:space="preserve">（本项中涉及品牌型号表述的，投标产品质量应参照或相当于下列品牌）</w:t>
      </w:r>
      <w:r/>
    </w:p>
    <w:p>
      <w:pPr>
        <w:ind w:firstLine="480"/>
        <w:rPr>
          <w:rFonts w:ascii="宋体" w:hAnsi="宋体" w:eastAsia="宋体" w:cs="宋体"/>
        </w:rPr>
      </w:pPr>
      <w:r>
        <w:rPr>
          <w:rFonts w:hint="eastAsia" w:ascii="宋体" w:hAnsi="宋体" w:eastAsia="宋体" w:cs="宋体"/>
        </w:rPr>
        <w:t xml:space="preserve">7.1高性能数据分析工作站：处理器不低于AMD</w:t>
      </w:r>
      <w:r>
        <w:rPr>
          <w:rFonts w:hint="eastAsia" w:ascii="宋体" w:hAnsi="宋体" w:cs="宋体"/>
        </w:rPr>
        <w:t xml:space="preserve"> </w:t>
      </w:r>
      <w:r>
        <w:rPr>
          <w:rFonts w:hint="eastAsia" w:ascii="宋体" w:hAnsi="宋体" w:eastAsia="宋体" w:cs="宋体"/>
        </w:rPr>
        <w:t xml:space="preserve">RyzenThreadripper</w:t>
      </w:r>
      <w:r>
        <w:rPr>
          <w:rFonts w:hint="eastAsia" w:ascii="宋体" w:hAnsi="宋体" w:cs="宋体"/>
        </w:rPr>
        <w:t xml:space="preserve"> </w:t>
      </w:r>
      <w:r>
        <w:rPr>
          <w:rFonts w:hint="eastAsia" w:ascii="宋体" w:hAnsi="宋体" w:eastAsia="宋体" w:cs="宋体"/>
        </w:rPr>
        <w:t xml:space="preserve">PRO7975WX，32核64线程，基础频率：4.0GHz，最大加速频率：5.3GHz，8通道内存架构，工作站级ECC支持；内存≥512GB</w:t>
      </w:r>
      <w:r>
        <w:rPr>
          <w:rFonts w:hint="eastAsia" w:ascii="宋体" w:hAnsi="宋体" w:cs="宋体"/>
        </w:rPr>
        <w:t xml:space="preserve"> </w:t>
      </w:r>
      <w:r>
        <w:rPr>
          <w:rFonts w:hint="eastAsia" w:ascii="宋体" w:hAnsi="宋体" w:eastAsia="宋体" w:cs="宋体"/>
        </w:rPr>
        <w:t xml:space="preserve">DDR54800MHz</w:t>
      </w:r>
      <w:r>
        <w:rPr>
          <w:rFonts w:hint="eastAsia" w:ascii="宋体" w:hAnsi="宋体" w:cs="宋体"/>
        </w:rPr>
        <w:t xml:space="preserve"> </w:t>
      </w:r>
      <w:r>
        <w:rPr>
          <w:rFonts w:hint="eastAsia" w:ascii="宋体" w:hAnsi="宋体" w:eastAsia="宋体" w:cs="宋体"/>
        </w:rPr>
        <w:t xml:space="preserve">ECCRDIMM，8通道满配，支持在线故障检测与纠正；存储性能系统盘≥4TBNVMePCIe4.0SSD，数据盘≥8TBNVMePCIe4.0SSD；显卡不低于NVIDIARTX</w:t>
      </w:r>
      <w:r>
        <w:rPr>
          <w:rFonts w:hint="eastAsia" w:ascii="宋体" w:hAnsi="宋体" w:cs="宋体"/>
        </w:rPr>
        <w:t xml:space="preserve"> </w:t>
      </w:r>
      <w:r>
        <w:rPr>
          <w:rFonts w:hint="eastAsia" w:ascii="宋体" w:hAnsi="宋体" w:eastAsia="宋体" w:cs="宋体"/>
        </w:rPr>
        <w:t xml:space="preserve">A5000或RTX6000Ada，显存≥48GB</w:t>
      </w:r>
      <w:r>
        <w:rPr>
          <w:rFonts w:hint="eastAsia" w:ascii="宋体" w:hAnsi="宋体" w:cs="宋体"/>
        </w:rPr>
        <w:t xml:space="preserve"> </w:t>
      </w:r>
      <w:r>
        <w:rPr>
          <w:rFonts w:hint="eastAsia" w:ascii="宋体" w:hAnsi="宋体" w:eastAsia="宋体" w:cs="宋体"/>
        </w:rPr>
        <w:t xml:space="preserve">ECCVRAM；网络支持不小于双10GbEthernet。</w:t>
      </w:r>
      <w:r/>
    </w:p>
    <w:p>
      <w:pPr>
        <w:ind w:firstLine="480"/>
        <w:rPr>
          <w:rFonts w:ascii="宋体" w:hAnsi="宋体" w:cs="宋体"/>
          <w:lang w:eastAsia="zh-CN"/>
        </w:rPr>
      </w:pPr>
      <w:r>
        <w:rPr>
          <w:rFonts w:hint="eastAsia" w:ascii="宋体" w:hAnsi="宋体" w:eastAsia="宋体" w:cs="宋体"/>
          <w:lang w:eastAsia="zh-CN"/>
        </w:rPr>
        <w:t xml:space="preserve">7.2数据存储塔：企业级SAN存储阵列（3.5"/12盘位），双控制器64GB缓存，16GbFC光纤接口，含16GbSFP模块×4，企业级SAS硬盘8TB×10，双冗余电源（800W×2），2U标准机架式，含安装导轨。</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cs="宋体"/>
          <w:lang w:eastAsia="zh-CN"/>
        </w:rPr>
      </w:pPr>
      <w:r>
        <w:rPr>
          <w:rFonts w:hint="eastAsia" w:ascii="宋体" w:hAnsi="宋体" w:eastAsia="宋体" w:cs="宋体"/>
          <w:b/>
          <w:bCs/>
          <w:lang w:eastAsia="zh-CN"/>
        </w:rPr>
        <w:t xml:space="preserve">8小动物麻醉系统</w:t>
      </w:r>
      <w:r>
        <w:rPr>
          <w:rFonts w:hint="eastAsia" w:ascii="宋体" w:hAnsi="宋体" w:eastAsia="宋体" w:cs="宋体"/>
          <w:lang w:eastAsia="zh-CN"/>
        </w:rPr>
        <w:t xml:space="preserve">：</w:t>
      </w:r>
      <w:r/>
    </w:p>
    <w:p>
      <w:pPr>
        <w:ind w:firstLine="480"/>
        <w:rPr>
          <w:rFonts w:ascii="宋体" w:hAnsi="宋体" w:cs="宋体"/>
          <w:lang w:eastAsia="zh-CN"/>
        </w:rPr>
      </w:pPr>
      <w:r>
        <w:rPr>
          <w:rFonts w:hint="eastAsia" w:ascii="宋体" w:hAnsi="宋体" w:cs="宋体"/>
          <w:lang w:eastAsia="zh-CN"/>
        </w:rPr>
        <w:t xml:space="preserve">8.1</w:t>
      </w:r>
      <w:r>
        <w:rPr>
          <w:rFonts w:hint="eastAsia" w:ascii="宋体" w:hAnsi="宋体" w:eastAsia="宋体" w:cs="宋体"/>
          <w:lang w:eastAsia="zh-CN"/>
        </w:rPr>
        <w:t xml:space="preserve">诱导和麻醉双通道独立控制，空气泵流速≥20LPM，压18Kpa；麻醉机异氟烷0-5%调节，精度≤0.5%；回收器抽气8-60L/min，噪&lt;50dB；过滤罐饱和增量200g；面罩适配MRI，支架可调节；麻醉剂异氟烷≥90瓶（100ml以上包装规格）。</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9防震台及屏蔽罩：</w:t>
      </w:r>
      <w:r/>
    </w:p>
    <w:p>
      <w:pPr>
        <w:ind w:firstLine="480"/>
        <w:rPr>
          <w:rFonts w:ascii="宋体" w:hAnsi="宋体" w:eastAsia="宋体" w:cs="宋体"/>
          <w:lang w:eastAsia="zh-CN"/>
        </w:rPr>
      </w:pPr>
      <w:r>
        <w:rPr>
          <w:rFonts w:hint="eastAsia" w:ascii="宋体" w:hAnsi="宋体" w:eastAsia="宋体" w:cs="宋体"/>
          <w:lang w:eastAsia="zh-CN"/>
        </w:rPr>
        <w:t xml:space="preserve">9.1气浮式防震台：气浮式主动隔振平台（</w:t>
      </w:r>
      <w:r>
        <w:rPr>
          <w:rFonts w:hint="eastAsia" w:ascii="宋体" w:hAnsi="宋体" w:cs="宋体"/>
          <w:b/>
          <w:bCs/>
          <w:u w:val="single"/>
          <w:lang w:eastAsia="zh-CN"/>
        </w:rPr>
        <w:t xml:space="preserve">投标时需单独</w:t>
      </w:r>
      <w:r>
        <w:rPr>
          <w:rFonts w:hint="eastAsia" w:ascii="宋体" w:hAnsi="宋体" w:eastAsia="宋体" w:cs="宋体"/>
          <w:b/>
          <w:bCs/>
          <w:u w:val="single"/>
          <w:lang w:eastAsia="zh-CN"/>
        </w:rPr>
        <w:t xml:space="preserve">提供具体品牌型号）</w:t>
      </w:r>
      <w:r>
        <w:rPr>
          <w:rFonts w:hint="eastAsia" w:ascii="宋体" w:hAnsi="宋体" w:eastAsia="宋体" w:cs="宋体"/>
          <w:lang w:eastAsia="zh-CN"/>
        </w:rPr>
        <w:t xml:space="preserve">，尺寸1.2mx2mx310mm，公制，顶板平整度为≥0.1mm/平方米，厚度≥5mm.带有静音气泵</w:t>
      </w:r>
      <w:r/>
    </w:p>
    <w:p>
      <w:pPr>
        <w:ind w:firstLine="480"/>
        <w:rPr>
          <w:rFonts w:ascii="宋体" w:hAnsi="宋体" w:eastAsia="宋体" w:cs="宋体"/>
          <w:lang w:eastAsia="zh-CN"/>
        </w:rPr>
      </w:pPr>
      <w:r>
        <w:rPr>
          <w:rFonts w:hint="eastAsia" w:ascii="宋体" w:hAnsi="宋体" w:eastAsia="宋体" w:cs="宋体"/>
          <w:lang w:eastAsia="zh-CN"/>
        </w:rPr>
        <w:t xml:space="preserve">9.2符合显微镜主要元件尺寸规格的屏蔽罩，使动物在隔离的显微镜空间内成像房间，不受如电脑屏幕等设备等干扰的环境中被成像。</w:t>
      </w:r>
      <w:r/>
    </w:p>
    <w:p>
      <w:pPr>
        <w:ind w:firstLine="480"/>
        <w:rPr>
          <w:rFonts w:ascii="宋体" w:hAnsi="宋体" w:cs="宋体"/>
          <w:lang w:eastAsia="zh-CN"/>
        </w:rPr>
      </w:pPr>
      <w:r>
        <w:rPr>
          <w:rFonts w:hint="eastAsia" w:ascii="宋体" w:hAnsi="宋体" w:eastAsia="宋体" w:cs="宋体"/>
          <w:lang w:eastAsia="zh-CN"/>
        </w:rPr>
        <w:t xml:space="preserve">9.3双光子体系及防震台对应尺寸的螺纹转换套件和五金套件，光学接杆和配件套件。</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10激光校准和安全性保护元件：</w:t>
      </w:r>
      <w:r/>
    </w:p>
    <w:p>
      <w:pPr>
        <w:ind w:firstLine="480"/>
        <w:rPr>
          <w:rFonts w:ascii="宋体" w:hAnsi="宋体" w:eastAsia="宋体" w:cs="宋体"/>
          <w:lang w:eastAsia="zh-CN"/>
        </w:rPr>
      </w:pPr>
      <w:r>
        <w:rPr>
          <w:rFonts w:hint="eastAsia" w:ascii="宋体" w:hAnsi="宋体" w:eastAsia="宋体" w:cs="宋体"/>
          <w:lang w:eastAsia="zh-CN"/>
        </w:rPr>
        <w:t xml:space="preserve">10.1激光功率计1套，投射电容式触摸屏，多点触控技术；检测探头2个，大功率硅探头，探测范围500nw-500mW和超薄型探头，探测范围5nW-5mW。</w:t>
      </w:r>
      <w:r/>
    </w:p>
    <w:p>
      <w:pPr>
        <w:ind w:firstLine="480"/>
        <w:rPr>
          <w:rFonts w:ascii="宋体" w:hAnsi="宋体" w:cs="宋体"/>
          <w:lang w:eastAsia="zh-CN"/>
        </w:rPr>
      </w:pPr>
      <w:r>
        <w:rPr>
          <w:rFonts w:hint="eastAsia" w:ascii="宋体" w:hAnsi="宋体" w:eastAsia="宋体" w:cs="宋体"/>
          <w:lang w:eastAsia="zh-CN"/>
        </w:rPr>
        <w:t xml:space="preserve">10.2其他辅助工具：2um以及10um成像体系测试校准用荧光球各1瓶，微米级荧光刻度校准用标尺，NOA61紫外固化光学胶2瓶，紫外固化灯1个，激光安全防护眼镜2个，激光安全标识灯箱1个，激光防护帘1个，Ø3mm/Ø4mm圆形精密盖玻片（颅骨窗用）各6盒，双光子镜头擦镜纸1大盒，Kimwipes擦拭纸2箱。</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cs="宋体"/>
          <w:lang w:eastAsia="zh-CN"/>
        </w:rPr>
        <w:t xml:space="preserve">★</w:t>
      </w:r>
      <w:r>
        <w:rPr>
          <w:rFonts w:hint="eastAsia" w:ascii="宋体" w:hAnsi="宋体" w:eastAsia="宋体" w:cs="宋体"/>
          <w:b/>
          <w:bCs/>
          <w:lang w:eastAsia="zh-CN"/>
        </w:rPr>
        <w:t xml:space="preserve">11配置清单要求</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lang w:eastAsia="zh-CN"/>
        </w:rPr>
        <w:t xml:space="preserve">基于以上参数要求，</w:t>
      </w:r>
      <w:r>
        <w:rPr>
          <w:rFonts w:hint="eastAsia" w:ascii="宋体" w:hAnsi="宋体" w:cs="宋体"/>
          <w:lang w:eastAsia="zh-CN"/>
        </w:rPr>
        <w:t xml:space="preserve">投标时</w:t>
      </w:r>
      <w:r>
        <w:rPr>
          <w:rFonts w:hint="eastAsia" w:ascii="宋体" w:hAnsi="宋体" w:cs="宋体"/>
          <w:b/>
          <w:bCs/>
          <w:u w:val="single"/>
          <w:lang w:eastAsia="zh-CN"/>
        </w:rPr>
        <w:t xml:space="preserve">（报价明细表（</w:t>
      </w:r>
      <w:r>
        <w:rPr>
          <w:rFonts w:hint="eastAsia" w:ascii="宋体" w:hAnsi="宋体" w:eastAsia="宋体" w:cs="宋体"/>
          <w:b/>
          <w:bCs/>
          <w:lang w:eastAsia="zh-CN"/>
        </w:rPr>
        <w:t xml:space="preserve">配置清单</w:t>
      </w:r>
      <w:r>
        <w:rPr>
          <w:rFonts w:hint="eastAsia" w:ascii="宋体" w:hAnsi="宋体" w:cs="宋体"/>
          <w:b/>
          <w:bCs/>
          <w:u w:val="single"/>
          <w:lang w:eastAsia="zh-CN"/>
        </w:rPr>
        <w:t xml:space="preserve">）</w:t>
      </w:r>
      <w:r>
        <w:rPr>
          <w:rFonts w:hint="eastAsia" w:ascii="宋体" w:hAnsi="宋体" w:cs="宋体"/>
          <w:b/>
          <w:bCs/>
          <w:u w:val="single"/>
          <w:lang w:eastAsia="zh-CN"/>
        </w:rPr>
        <w:t xml:space="preserve">3</w:t>
      </w:r>
      <w:r>
        <w:rPr>
          <w:rFonts w:hint="eastAsia" w:ascii="宋体" w:hAnsi="宋体" w:cs="宋体"/>
          <w:b/>
          <w:bCs/>
          <w:u w:val="single"/>
          <w:lang w:eastAsia="zh-CN"/>
        </w:rPr>
        <w:t xml:space="preserve">）</w:t>
      </w:r>
      <w:r>
        <w:rPr>
          <w:rFonts w:hint="eastAsia" w:ascii="宋体" w:hAnsi="宋体" w:cs="宋体"/>
          <w:lang w:eastAsia="zh-CN"/>
        </w:rPr>
        <w:t xml:space="preserve">中需列明详细</w:t>
      </w:r>
      <w:r>
        <w:rPr>
          <w:rFonts w:hint="eastAsia" w:ascii="宋体" w:hAnsi="宋体" w:eastAsia="宋体" w:cs="宋体"/>
          <w:lang w:eastAsia="zh-CN"/>
        </w:rPr>
        <w:t xml:space="preserve">配置清单，显示每一个符合参数要求的元件名称货号和品牌，</w:t>
      </w:r>
      <w:r>
        <w:rPr>
          <w:rFonts w:hint="eastAsia" w:ascii="宋体" w:hAnsi="宋体" w:eastAsia="宋体" w:cs="宋体"/>
          <w:b/>
          <w:bCs/>
          <w:lang w:eastAsia="zh-CN"/>
        </w:rPr>
        <w:t xml:space="preserve">按照以下几个模块分类列出</w:t>
      </w:r>
      <w:r>
        <w:rPr>
          <w:rFonts w:hint="eastAsia" w:ascii="宋体" w:hAnsi="宋体" w:cs="宋体"/>
          <w:b/>
          <w:bCs/>
          <w:lang w:eastAsia="zh-CN"/>
        </w:rPr>
        <w:t xml:space="preserve">（不接受缺漏）</w:t>
      </w:r>
      <w:r>
        <w:rPr>
          <w:rFonts w:hint="eastAsia" w:ascii="宋体" w:hAnsi="宋体" w:eastAsia="宋体" w:cs="宋体"/>
          <w:b/>
          <w:bCs/>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11.1双光子显微镜配置详细清单（包含但不限于旋转机身、电动显微镜多轴控制体系、10x/20x/25x三个多光子专用红外高透过率复消色差物镜、成像用双输出可调飞秒激光器、8kHzRGG三振镜或8kHzRG-GG自由切换振镜扫描单元、RGG三振大视野FN40扫描头、带有长寿命</w:t>
      </w:r>
      <w:r>
        <w:rPr>
          <w:rFonts w:hint="eastAsia" w:ascii="宋体" w:hAnsi="宋体" w:eastAsia="宋体" w:cs="宋体"/>
          <w:lang w:val="da-DK" w:eastAsia="zh-CN"/>
        </w:rPr>
        <w:t xml:space="preserve">LED</w:t>
      </w:r>
      <w:r>
        <w:rPr>
          <w:rFonts w:hint="eastAsia" w:ascii="宋体" w:hAnsi="宋体" w:eastAsia="宋体" w:cs="宋体"/>
          <w:lang w:eastAsia="zh-CN"/>
        </w:rPr>
        <w:t xml:space="preserve">荧光照明系统及sCOMS高速相机、双光子多通道高灵敏检测系统及探测器、压电陶瓷物镜位移器、气浮式空气台、激光功率计、高性能双光子成像配套工作站和软件、UPS不间断电源等完全满足上述1-10项技术要求的所有配套设备）。</w:t>
      </w:r>
      <w:r/>
    </w:p>
    <w:p>
      <w:pPr>
        <w:ind w:firstLine="480"/>
        <w:rPr>
          <w:rFonts w:ascii="宋体" w:hAnsi="宋体" w:eastAsia="宋体" w:cs="宋体"/>
          <w:lang w:eastAsia="zh-CN"/>
        </w:rPr>
      </w:pPr>
      <w:r>
        <w:rPr>
          <w:rFonts w:hint="eastAsia" w:ascii="宋体" w:hAnsi="宋体" w:eastAsia="宋体" w:cs="宋体"/>
          <w:lang w:eastAsia="zh-CN"/>
        </w:rPr>
        <w:t xml:space="preserve">11.2符合上述第6项的成像同步进行的完整光遗传系统</w:t>
      </w:r>
      <w:r/>
    </w:p>
    <w:p>
      <w:pPr>
        <w:ind w:firstLine="480"/>
        <w:rPr>
          <w:rFonts w:ascii="宋体" w:hAnsi="宋体" w:eastAsia="宋体" w:cs="宋体"/>
          <w:lang w:eastAsia="zh-CN"/>
        </w:rPr>
      </w:pPr>
      <w:r>
        <w:rPr>
          <w:rFonts w:hint="eastAsia" w:ascii="宋体" w:hAnsi="宋体" w:eastAsia="宋体" w:cs="宋体"/>
          <w:lang w:eastAsia="zh-CN"/>
        </w:rPr>
        <w:t xml:space="preserve">11.3符合上述第7项的数据分析工作站与存储塔、UPS不间断电源</w:t>
      </w:r>
      <w:r/>
    </w:p>
    <w:p>
      <w:pPr>
        <w:ind w:firstLine="480"/>
        <w:rPr>
          <w:rFonts w:ascii="宋体" w:hAnsi="宋体" w:eastAsia="宋体" w:cs="宋体"/>
          <w:lang w:eastAsia="zh-CN"/>
        </w:rPr>
      </w:pPr>
      <w:r>
        <w:rPr>
          <w:rFonts w:hint="eastAsia" w:ascii="宋体" w:hAnsi="宋体" w:eastAsia="宋体" w:cs="宋体"/>
          <w:lang w:eastAsia="zh-CN"/>
        </w:rPr>
        <w:t xml:space="preserve">11.4预观察用正置荧光显微镜：搭载电动载物台、sCOMS高速相机及软件、荧光模块、多个物镜等。</w:t>
      </w:r>
      <w:r/>
    </w:p>
    <w:p>
      <w:pPr>
        <w:ind w:firstLine="480"/>
        <w:rPr>
          <w:rFonts w:ascii="宋体" w:hAnsi="宋体" w:eastAsia="宋体" w:cs="宋体"/>
          <w:lang w:eastAsia="zh-CN"/>
        </w:rPr>
      </w:pPr>
      <w:r>
        <w:rPr>
          <w:rFonts w:hint="eastAsia" w:ascii="宋体" w:hAnsi="宋体" w:eastAsia="宋体" w:cs="宋体"/>
          <w:lang w:eastAsia="zh-CN"/>
        </w:rPr>
        <w:t xml:space="preserve">11.5符合上述第8项的小动物麻醉装置</w:t>
      </w:r>
      <w:r/>
    </w:p>
    <w:p>
      <w:pPr>
        <w:ind w:firstLine="480"/>
        <w:rPr>
          <w:rFonts w:ascii="宋体" w:hAnsi="宋体" w:eastAsia="宋体" w:cs="宋体"/>
          <w:lang w:eastAsia="zh-CN"/>
        </w:rPr>
      </w:pPr>
      <w:r>
        <w:rPr>
          <w:rFonts w:hint="eastAsia" w:ascii="宋体" w:hAnsi="宋体" w:eastAsia="宋体" w:cs="宋体"/>
          <w:lang w:eastAsia="zh-CN"/>
        </w:rPr>
        <w:t xml:space="preserve">11.6保持成像房间湿度及温度恒定的的工业级除湿机（恒湿机）、空调。</w:t>
      </w:r>
      <w:r/>
    </w:p>
    <w:p>
      <w:pPr>
        <w:tabs>
          <w:tab w:val="left" w:pos="1320" w:leader="none"/>
        </w:tabs>
        <w:rPr>
          <w:rFonts w:ascii="宋体" w:hAnsi="宋体" w:eastAsia="宋体" w:cs="宋体"/>
          <w:lang w:eastAsia="zh-CN"/>
        </w:rPr>
      </w:pPr>
      <w:r>
        <w:rPr>
          <w:rFonts w:ascii="宋体" w:hAnsi="宋体" w:eastAsia="宋体" w:cs="宋体"/>
          <w:lang w:eastAsia="zh-CN"/>
        </w:rPr>
      </w:r>
      <w:r/>
    </w:p>
    <w:p>
      <w:pPr>
        <w:widowControl w:val="off"/>
        <w:rPr>
          <w:lang w:eastAsia="zh-CN"/>
        </w:rPr>
      </w:pPr>
      <w:r>
        <w:rPr>
          <w:rFonts w:hint="eastAsia" w:ascii="宋体" w:hAnsi="宋体" w:eastAsia="宋体" w:cs="宋体"/>
          <w:b/>
          <w:bCs/>
          <w:position w:val="-10"/>
          <w:sz w:val="36"/>
          <w:szCs w:val="36"/>
          <w:lang w:eastAsia="zh-CN"/>
        </w:rPr>
        <w:t xml:space="preserve">商务要求</w:t>
      </w:r>
      <w:r>
        <w:rPr>
          <w:rFonts w:hint="eastAsia" w:ascii="宋体" w:hAnsi="宋体" w:eastAsia="宋体" w:cs="宋体"/>
          <w:b/>
          <w:bCs/>
          <w:position w:val="-10"/>
          <w:sz w:val="36"/>
          <w:szCs w:val="36"/>
          <w:lang w:eastAsia="zh-CN"/>
        </w:rPr>
        <w:t xml:space="preserve">（在响应偏离表中需逐一应答）</w:t>
      </w:r>
      <w:r/>
    </w:p>
    <w:p>
      <w:pPr>
        <w:rPr>
          <w:rFonts w:ascii="宋体" w:hAnsi="宋体" w:eastAsia="宋体" w:cs="宋体"/>
          <w:bCs/>
          <w:lang w:eastAsia="zh-CN"/>
        </w:rPr>
      </w:pPr>
      <w:r>
        <w:rPr>
          <w:rFonts w:hint="eastAsia" w:ascii="宋体" w:hAnsi="宋体" w:eastAsia="宋体" w:cs="宋体"/>
          <w:bCs/>
          <w:lang w:eastAsia="zh-CN"/>
        </w:rPr>
        <w:t xml:space="preserve">一、</w:t>
      </w:r>
      <w:r>
        <w:rPr>
          <w:rFonts w:ascii="宋体" w:hAnsi="宋体" w:eastAsia="宋体" w:cs="黑体"/>
          <w:b/>
          <w:lang w:eastAsia="zh-CN"/>
        </w:rPr>
        <w:t xml:space="preserve">其它要求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1、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 </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hAnsi="宋体" w:cs="宋体"/>
          <w:u w:val="single"/>
          <w:lang w:eastAsia="zh-CN"/>
        </w:rPr>
        <w:t xml:space="preserve">★</w:t>
      </w:r>
      <w:r>
        <w:rPr>
          <w:rFonts w:hint="eastAsia" w:ascii="宋体" w:hAnsi="宋体" w:eastAsia="宋体" w:cs="仿宋"/>
          <w:b/>
          <w:bCs/>
          <w:lang w:eastAsia="zh-CN"/>
        </w:rPr>
        <w:t xml:space="preserve">整机质保以及保修≥</w:t>
      </w:r>
      <w:r>
        <w:rPr>
          <w:rFonts w:ascii="宋体" w:hAnsi="宋体" w:eastAsia="宋体" w:cs="仿宋"/>
          <w:b/>
          <w:bCs/>
          <w:lang w:eastAsia="zh-CN"/>
        </w:rPr>
        <w:t xml:space="preserve">3</w:t>
      </w:r>
      <w:r>
        <w:rPr>
          <w:rFonts w:hint="eastAsia" w:ascii="宋体" w:hAnsi="宋体" w:eastAsia="宋体" w:cs="仿宋"/>
          <w:b/>
          <w:bCs/>
          <w:lang w:eastAsia="zh-CN"/>
        </w:rPr>
        <w:t xml:space="preserve">年</w:t>
      </w:r>
      <w:r>
        <w:rPr>
          <w:rFonts w:hint="eastAsia" w:ascii="宋体" w:hAnsi="宋体" w:eastAsia="宋体" w:cstheme="minorEastAsia"/>
          <w:bCs/>
          <w:lang w:eastAsia="zh-CN"/>
        </w:rPr>
        <w:t xml:space="preserve">。</w:t>
      </w:r>
      <w:r>
        <w:rPr>
          <w:rFonts w:hint="eastAsia" w:ascii="宋体" w:hAnsi="宋体" w:eastAsia="宋体" w:cstheme="minorEastAsia"/>
          <w:bCs/>
          <w:lang w:eastAsia="zh-CN"/>
        </w:rPr>
        <w:t xml:space="preserve">故障2小时内响应， 24小时内解决；如果48小时内不能修复，免费提供备用机。</w:t>
      </w:r>
      <w:r/>
    </w:p>
    <w:p>
      <w:pPr>
        <w:ind w:firstLine="241"/>
        <w:rPr>
          <w:rFonts w:ascii="宋体" w:hAnsi="宋体" w:eastAsia="宋体" w:cs="仿宋"/>
          <w:b/>
          <w:bCs/>
          <w:lang w:eastAsia="zh-CN"/>
        </w:rPr>
      </w:pPr>
      <w:r>
        <w:rPr>
          <w:rFonts w:hint="eastAsia" w:ascii="宋体" w:hAnsi="宋体" w:eastAsia="宋体" w:cs="仿宋"/>
          <w:b/>
          <w:bCs/>
          <w:lang w:eastAsia="zh-CN"/>
        </w:rPr>
        <w:t xml:space="preserve">（★投标人承诺中标后,签订合同前可提供生产企业产品授权书、加盖制造厂商或厂家授权售后机构公章的质保承诺函（与投标文件响应的质保期一致，格式自拟</w:t>
      </w:r>
      <w:r>
        <w:rPr>
          <w:rFonts w:hint="eastAsia" w:ascii="宋体" w:hAnsi="宋体" w:eastAsia="宋体" w:cs="仿宋"/>
          <w:b/>
          <w:bCs/>
          <w:lang w:eastAsia="zh-CN"/>
        </w:rPr>
        <w:t xml:space="preserve">，且相关质保材料中需注明双光子、激光器等所有清单中模块全部原厂直接维保））</w:t>
      </w:r>
      <w:r/>
    </w:p>
    <w:p>
      <w:pPr>
        <w:rPr>
          <w:rFonts w:ascii="宋体" w:hAnsi="宋体" w:eastAsia="宋体" w:cstheme="minorEastAsia"/>
          <w:bCs/>
          <w:lang w:eastAsia="zh-CN"/>
        </w:rPr>
      </w:pPr>
      <w:r>
        <w:rPr>
          <w:rFonts w:hint="eastAsia" w:ascii="宋体" w:hAnsi="宋体" w:eastAsia="宋体" w:cstheme="minorEastAsia"/>
          <w:bCs/>
          <w:lang w:eastAsia="zh-CN"/>
        </w:rPr>
        <w:t xml:space="preserve">3、保证10年内相关零配件的供应。</w:t>
      </w:r>
      <w:r/>
    </w:p>
    <w:p>
      <w:pPr>
        <w:rPr>
          <w:rFonts w:ascii="宋体" w:hAnsi="宋体" w:eastAsia="宋体" w:cstheme="minorEastAsia"/>
          <w:bCs/>
          <w:lang w:eastAsia="zh-CN"/>
        </w:rPr>
      </w:pPr>
      <w:r>
        <w:rPr>
          <w:rFonts w:hint="eastAsia" w:ascii="宋体" w:hAnsi="宋体" w:eastAsia="宋体" w:cstheme="minorEastAsia"/>
          <w:bCs/>
          <w:lang w:eastAsia="zh-CN"/>
        </w:rPr>
        <w:t xml:space="preserve">4、负责免费上门安装、调试、维修和技术支持。</w:t>
      </w:r>
      <w:r/>
    </w:p>
    <w:p>
      <w:pPr>
        <w:rPr>
          <w:rFonts w:ascii="宋体" w:hAnsi="宋体" w:eastAsia="宋体" w:cstheme="minorEastAsia"/>
          <w:bCs/>
          <w:lang w:eastAsia="zh-CN"/>
        </w:rPr>
      </w:pPr>
      <w:r>
        <w:rPr>
          <w:rFonts w:hint="eastAsia" w:ascii="宋体" w:hAnsi="宋体" w:eastAsia="宋体" w:cstheme="minorEastAsia"/>
          <w:bCs/>
          <w:lang w:eastAsia="zh-CN"/>
        </w:rPr>
        <w:t xml:space="preserve">5、提供免费现场操作和维护培训，保证使用人员正确使用设备的各项功能，提供详细的操作指南，以及仪器维护的有关资料。</w:t>
      </w:r>
      <w:r/>
    </w:p>
    <w:p>
      <w:pPr>
        <w:rPr>
          <w:rFonts w:ascii="宋体" w:hAnsi="宋体" w:eastAsia="宋体" w:cstheme="minorEastAsia"/>
          <w:bCs/>
          <w:lang w:eastAsia="zh-CN"/>
        </w:rPr>
      </w:pPr>
      <w:r>
        <w:rPr>
          <w:rFonts w:hint="eastAsia" w:ascii="宋体" w:hAnsi="宋体" w:eastAsia="宋体" w:cstheme="minorEastAsia"/>
          <w:bCs/>
          <w:lang w:eastAsia="zh-CN"/>
        </w:rPr>
        <w:t xml:space="preserve">6、每年提供至少2次回访，确保设备正常使用。</w:t>
      </w:r>
      <w:r/>
    </w:p>
    <w:p>
      <w:pPr>
        <w:rPr>
          <w:rFonts w:ascii="宋体" w:hAnsi="宋体" w:eastAsia="宋体" w:cstheme="minorEastAsia"/>
          <w:bCs/>
          <w:lang w:eastAsia="zh-CN"/>
        </w:rPr>
      </w:pPr>
      <w:r>
        <w:rPr>
          <w:rFonts w:hint="eastAsia" w:ascii="宋体" w:hAnsi="宋体" w:eastAsia="宋体" w:cstheme="minorEastAsia"/>
          <w:bCs/>
          <w:lang w:eastAsia="zh-CN"/>
        </w:rPr>
        <w:t xml:space="preserve">7、如有配套使用耗材的，耗材在省市阳光采购平台中标产品目录内的可优先考虑。</w:t>
      </w:r>
      <w:r/>
    </w:p>
    <w:p>
      <w:pPr>
        <w:rPr>
          <w:rFonts w:ascii="宋体" w:hAnsi="宋体" w:eastAsia="宋体" w:cstheme="minorEastAsia"/>
          <w:bCs/>
          <w:lang w:eastAsia="zh-CN"/>
        </w:rPr>
      </w:pPr>
      <w:r>
        <w:rPr>
          <w:rFonts w:hint="eastAsia" w:ascii="宋体" w:hAnsi="宋体" w:eastAsia="宋体" w:cstheme="minorEastAsia"/>
          <w:bCs/>
          <w:lang w:eastAsia="zh-CN"/>
        </w:rPr>
        <w:t xml:space="preserve">8、在保证兼容性的前提下，终身免费提供软件升级服务。</w:t>
      </w:r>
      <w:r/>
    </w:p>
    <w:p>
      <w:pPr>
        <w:rPr>
          <w:rFonts w:ascii="宋体" w:hAnsi="宋体" w:eastAsia="宋体" w:cstheme="minorEastAsia"/>
          <w:bCs/>
          <w:lang w:eastAsia="zh-CN"/>
        </w:rPr>
      </w:pPr>
      <w:r>
        <w:rPr>
          <w:rFonts w:hint="eastAsia" w:ascii="宋体" w:hAnsi="宋体" w:eastAsia="宋体" w:cstheme="minorEastAsia"/>
          <w:bCs/>
          <w:lang w:eastAsia="zh-CN"/>
        </w:rPr>
        <w:t xml:space="preserve">9、须提供产品主要配件(耗材)供货价格清单并加盖公章。</w:t>
      </w:r>
      <w:r/>
    </w:p>
    <w:p>
      <w:pPr>
        <w:rPr>
          <w:rFonts w:ascii="宋体" w:hAnsi="宋体" w:eastAsia="宋体" w:cstheme="minorEastAsia"/>
          <w:bCs/>
          <w:lang w:eastAsia="zh-CN"/>
        </w:rPr>
      </w:pPr>
      <w:r>
        <w:rPr>
          <w:rFonts w:hint="eastAsia" w:ascii="宋体" w:hAnsi="宋体" w:eastAsia="宋体" w:cstheme="minorEastAsia"/>
          <w:bCs/>
          <w:lang w:eastAsia="zh-CN"/>
        </w:rPr>
        <w:t xml:space="preserve">10、 质量及验收</w:t>
      </w:r>
      <w:r/>
    </w:p>
    <w:p>
      <w:pPr>
        <w:rPr>
          <w:rFonts w:ascii="宋体" w:hAnsi="宋体" w:eastAsia="宋体" w:cstheme="minorEastAsia"/>
          <w:bCs/>
          <w:lang w:eastAsia="zh-CN"/>
        </w:rPr>
      </w:pPr>
      <w:r>
        <w:rPr>
          <w:rFonts w:hint="eastAsia" w:ascii="宋体" w:hAnsi="宋体" w:eastAsia="宋体" w:cstheme="minorEastAsia"/>
          <w:bCs/>
          <w:lang w:eastAsia="zh-CN"/>
        </w:rPr>
        <w:t xml:space="preserve">（1）、乙方交付的货物应当完全符合本合同或者招投标文件所规定的货物、数量和规格要求；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ascii="宋体" w:hAnsi="宋体" w:eastAsia="宋体" w:cstheme="minorEastAsia"/>
          <w:b/>
          <w:lang w:eastAsia="zh-CN"/>
        </w:rPr>
        <w:t xml:space="preserve">交货时间为合同签订后</w:t>
      </w:r>
      <w:r>
        <w:rPr>
          <w:rFonts w:hint="eastAsia" w:ascii="宋体" w:hAnsi="宋体" w:eastAsia="宋体" w:cstheme="minorEastAsia"/>
          <w:b/>
          <w:lang w:eastAsia="zh-CN"/>
        </w:rPr>
        <w:t xml:space="preserve">90</w:t>
      </w:r>
      <w:r>
        <w:rPr>
          <w:rFonts w:hint="eastAsia" w:ascii="宋体" w:hAnsi="宋体" w:eastAsia="宋体" w:cstheme="minorEastAsia"/>
          <w:b/>
          <w:lang w:eastAsia="zh-CN"/>
        </w:rPr>
        <w:t xml:space="preserve">日内</w:t>
      </w:r>
      <w:r>
        <w:rPr>
          <w:rFonts w:hint="eastAsia" w:ascii="宋体" w:hAnsi="宋体" w:eastAsia="宋体" w:cstheme="minorEastAsia"/>
          <w:bCs/>
          <w:lang w:eastAsia="zh-CN"/>
        </w:rPr>
        <w:t xml:space="preserve">；</w:t>
      </w:r>
      <w:r/>
    </w:p>
    <w:p>
      <w:pPr>
        <w:rPr>
          <w:rFonts w:ascii="宋体" w:hAnsi="宋体" w:eastAsia="宋体" w:cstheme="minorEastAsia"/>
          <w:bCs/>
          <w:lang w:eastAsia="zh-CN"/>
        </w:rPr>
      </w:pPr>
      <w:r>
        <w:rPr>
          <w:rFonts w:hint="eastAsia" w:ascii="宋体" w:hAnsi="宋体" w:eastAsia="宋体" w:cstheme="minorEastAsia"/>
          <w:bCs/>
          <w:lang w:eastAsia="zh-CN"/>
        </w:rPr>
        <w:t xml:space="preserve">(3)、乙方须派专人负责将货物运送至甲方指定地点。</w:t>
      </w:r>
      <w:r/>
    </w:p>
    <w:p>
      <w:pPr>
        <w:rPr>
          <w:rFonts w:ascii="宋体" w:hAnsi="宋体" w:eastAsia="宋体" w:cs="宋体"/>
          <w:lang w:eastAsia="zh-CN"/>
        </w:rPr>
      </w:pPr>
      <w:r>
        <w:rPr>
          <w:rFonts w:hint="eastAsia" w:ascii="宋体" w:hAnsi="宋体" w:eastAsia="宋体" w:cstheme="minorEastAsia"/>
          <w:bCs/>
          <w:lang w:eastAsia="zh-CN"/>
        </w:rPr>
        <w:t xml:space="preserve">(4)、在货物安装调试完毕，且完成使用培训后的1个月内对货物进行验收，验收包括：产品合格证或进口设备报关单</w:t>
      </w:r>
      <w:r>
        <w:rPr>
          <w:rFonts w:hint="eastAsia" w:ascii="宋体" w:hAnsi="宋体" w:eastAsia="宋体" w:cstheme="minorEastAsia"/>
          <w:bCs/>
          <w:lang w:eastAsia="zh-CN"/>
        </w:rPr>
        <w:t xml:space="preserve">（进口产品适用）</w:t>
      </w:r>
      <w:r>
        <w:rPr>
          <w:rFonts w:hint="eastAsia" w:ascii="宋体" w:hAnsi="宋体" w:eastAsia="宋体" w:cstheme="minorEastAsia"/>
          <w:bCs/>
          <w:lang w:eastAsia="zh-CN"/>
        </w:rPr>
        <w:t xml:space="preserve">、型号、规格、数量、外观质量、及货物包装是否完好，安装调试是否合格，用户手册、原厂保修卡、随机资料及配件、随机工具等是否齐全，使用人员操作培训是否完成等内容。</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二</w:t>
      </w:r>
      <w:r>
        <w:rPr>
          <w:rFonts w:ascii="宋体" w:hAnsi="宋体" w:eastAsia="宋体"/>
          <w:b/>
          <w:bCs/>
          <w:lang w:eastAsia="zh-CN"/>
        </w:rPr>
        <w:t xml:space="preserve">、</w:t>
      </w:r>
      <w:r>
        <w:rPr>
          <w:rFonts w:hint="eastAsia" w:ascii="宋体" w:hAnsi="宋体" w:eastAsia="宋体" w:cs="方正黑体_GBK"/>
          <w:b/>
          <w:bCs/>
          <w:lang w:eastAsia="zh-CN"/>
        </w:rPr>
        <w:t xml:space="preserve">履约保证金</w:t>
      </w:r>
      <w:r/>
    </w:p>
    <w:p>
      <w:pPr>
        <w:rPr>
          <w:rFonts w:ascii="宋体" w:hAnsi="宋体" w:eastAsia="宋体" w:cs="Courier New"/>
          <w:lang w:eastAsia="zh-CN"/>
        </w:rPr>
      </w:pPr>
      <w:r>
        <w:rPr>
          <w:rFonts w:hint="eastAsia" w:ascii="宋体" w:hAnsi="宋体" w:eastAsia="宋体" w:cs="Courier New"/>
          <w:lang w:eastAsia="zh-CN"/>
        </w:rPr>
        <w:t xml:space="preserve">1 签订合同时，乙方按照合同金额</w:t>
      </w:r>
      <w:r>
        <w:rPr>
          <w:rFonts w:hint="eastAsia" w:ascii="宋体" w:hAnsi="宋体" w:eastAsia="宋体" w:cs="Courier New"/>
          <w:u w:val="single"/>
          <w:lang w:eastAsia="zh-CN"/>
        </w:rPr>
        <w:t xml:space="preserve"> 10 </w:t>
      </w:r>
      <w:r>
        <w:rPr>
          <w:rFonts w:hint="eastAsia" w:ascii="宋体" w:hAnsi="宋体" w:eastAsia="宋体" w:cs="Courier New"/>
          <w:lang w:eastAsia="zh-CN"/>
        </w:rPr>
        <w:t xml:space="preserve">%缴纳履约保证金。合同履行结束后，甲方按以下约定退还：</w:t>
      </w:r>
      <w:r/>
    </w:p>
    <w:p>
      <w:pPr>
        <w:rPr>
          <w:rFonts w:ascii="宋体" w:hAnsi="宋体" w:eastAsia="宋体" w:cs="Courier New"/>
          <w:lang w:eastAsia="zh-CN"/>
        </w:rPr>
      </w:pPr>
      <w:r>
        <w:rPr>
          <w:rFonts w:hint="eastAsia" w:ascii="宋体" w:hAnsi="宋体" w:eastAsia="宋体" w:cs="Courier New"/>
          <w:lang w:eastAsia="zh-CN"/>
        </w:rPr>
        <w:t xml:space="preserve">1.1 退还时间及条件：验收合格且设备正常使用一年后5个工作日内。</w:t>
      </w:r>
      <w:r/>
    </w:p>
    <w:p>
      <w:pPr>
        <w:rPr>
          <w:rFonts w:ascii="宋体" w:hAnsi="宋体" w:eastAsia="宋体" w:cs="Courier New"/>
          <w:lang w:eastAsia="zh-CN"/>
        </w:rPr>
      </w:pPr>
      <w:r>
        <w:rPr>
          <w:rFonts w:hint="eastAsia" w:ascii="宋体" w:hAnsi="宋体" w:eastAsia="宋体" w:cs="Courier New"/>
          <w:lang w:eastAsia="zh-CN"/>
        </w:rPr>
        <w:t xml:space="preserve">1.2 退还方式：扣除违约费用后一次性无息退还。</w:t>
      </w:r>
      <w:r/>
    </w:p>
    <w:p>
      <w:pPr>
        <w:rPr>
          <w:rFonts w:ascii="宋体" w:hAnsi="宋体" w:eastAsia="宋体" w:cs="Courier New"/>
          <w:lang w:eastAsia="zh-CN"/>
        </w:rPr>
      </w:pPr>
      <w:r>
        <w:rPr>
          <w:rFonts w:hint="eastAsia" w:ascii="宋体" w:hAnsi="宋体" w:eastAsia="宋体" w:cs="Courier New"/>
          <w:lang w:eastAsia="zh-CN"/>
        </w:rPr>
        <w:t xml:space="preserve">1.3 不予退还的情形：合同约定的交付期内未履约完成、验收不合格、整改不到位等情形。</w:t>
      </w:r>
      <w:r/>
    </w:p>
    <w:p>
      <w:pPr>
        <w:rPr>
          <w:rFonts w:ascii="宋体" w:hAnsi="宋体" w:eastAsia="宋体" w:cs="Courier New"/>
          <w:lang w:eastAsia="zh-CN"/>
        </w:rPr>
      </w:pPr>
      <w:r>
        <w:rPr>
          <w:rFonts w:hint="eastAsia" w:ascii="宋体" w:hAnsi="宋体" w:eastAsia="宋体" w:cs="Courier New"/>
          <w:lang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eastAsia="宋体" w:cs="Courier New"/>
          <w:lang w:eastAsia="zh-CN"/>
        </w:rPr>
      </w:pPr>
      <w:r>
        <w:rPr>
          <w:rFonts w:hint="eastAsia" w:ascii="宋体" w:hAnsi="宋体" w:eastAsia="宋体" w:cs="Courier New"/>
          <w:lang w:eastAsia="zh-CN"/>
        </w:rPr>
        <w:t xml:space="preserve">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宋体" w:hAnsi="宋体" w:eastAsia="宋体"/>
          <w:lang w:eastAsia="zh-CN"/>
        </w:rPr>
      </w:pPr>
      <w:r>
        <w:rPr>
          <w:rFonts w:ascii="宋体" w:hAnsi="宋体" w:eastAsia="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三</w:t>
      </w:r>
      <w:r>
        <w:rPr>
          <w:rFonts w:hint="eastAsia" w:ascii="宋体" w:hAnsi="宋体" w:eastAsia="宋体"/>
          <w:b/>
          <w:bCs/>
          <w:lang w:eastAsia="zh-CN"/>
        </w:rPr>
        <w:t xml:space="preserve">、</w:t>
      </w:r>
      <w:r>
        <w:rPr>
          <w:rFonts w:hint="eastAsia" w:ascii="宋体" w:hAnsi="宋体" w:eastAsia="宋体" w:cs="方正黑体_GBK"/>
          <w:b/>
          <w:bCs/>
          <w:lang w:eastAsia="zh-CN"/>
        </w:rPr>
        <w:t xml:space="preserve">合同款项支付</w:t>
      </w:r>
      <w:r/>
    </w:p>
    <w:p>
      <w:pPr>
        <w:pStyle w:val="710"/>
        <w:jc w:val="left"/>
        <w:rPr>
          <w:rFonts w:hAnsi="宋体"/>
          <w:sz w:val="24"/>
          <w:szCs w:val="24"/>
          <w:lang w:eastAsia="zh-CN"/>
        </w:rPr>
      </w:pPr>
      <w:r>
        <w:rPr>
          <w:rFonts w:hint="eastAsia" w:hAnsi="宋体"/>
          <w:sz w:val="24"/>
          <w:szCs w:val="24"/>
          <w:lang w:eastAsia="zh-CN"/>
        </w:rPr>
        <w:t xml:space="preserve">1 合同款项的支付方式及时间</w:t>
      </w:r>
      <w:r/>
    </w:p>
    <w:p>
      <w:pPr>
        <w:pStyle w:val="710"/>
        <w:jc w:val="left"/>
        <w:rPr>
          <w:rFonts w:hAnsi="宋体"/>
          <w:sz w:val="24"/>
          <w:szCs w:val="24"/>
          <w:lang w:eastAsia="zh-CN"/>
        </w:rPr>
      </w:pPr>
      <w:r>
        <w:rPr>
          <w:rFonts w:hint="eastAsia" w:hAnsi="宋体"/>
          <w:sz w:val="24"/>
          <w:szCs w:val="24"/>
          <w:lang w:eastAsia="zh-CN"/>
        </w:rPr>
        <w:t xml:space="preserve">1.1 合同签订后，甲方支付合同总价款的50%作为预付款。</w:t>
      </w:r>
      <w:r/>
    </w:p>
    <w:p>
      <w:pPr>
        <w:pStyle w:val="710"/>
        <w:jc w:val="left"/>
        <w:rPr>
          <w:rFonts w:hAnsi="宋体"/>
          <w:sz w:val="24"/>
          <w:szCs w:val="24"/>
          <w:lang w:eastAsia="zh-CN"/>
        </w:rPr>
      </w:pPr>
      <w:r>
        <w:rPr>
          <w:rFonts w:hint="eastAsia" w:hAnsi="宋体"/>
          <w:sz w:val="24"/>
          <w:szCs w:val="24"/>
          <w:lang w:eastAsia="zh-CN"/>
        </w:rPr>
        <w:t xml:space="preserve">1.2 </w:t>
      </w:r>
      <w:r>
        <w:rPr>
          <w:rFonts w:hAnsi="宋体"/>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sz w:val="24"/>
          <w:szCs w:val="24"/>
          <w:lang w:eastAsia="zh-CN"/>
        </w:rPr>
        <w:t xml:space="preserve">。</w:t>
      </w:r>
      <w:r/>
    </w:p>
    <w:p>
      <w:pPr>
        <w:pStyle w:val="710"/>
        <w:jc w:val="left"/>
        <w:rPr>
          <w:rFonts w:hAnsi="宋体"/>
          <w:sz w:val="24"/>
          <w:szCs w:val="24"/>
          <w:lang w:eastAsia="zh-CN"/>
        </w:rPr>
      </w:pPr>
      <w:r>
        <w:rPr>
          <w:rFonts w:hint="eastAsia" w:hAnsi="宋体"/>
          <w:sz w:val="24"/>
          <w:szCs w:val="24"/>
          <w:lang w:eastAsia="zh-CN"/>
        </w:rPr>
        <w:t xml:space="preserve">1.3 满足合同约定支付条件的，甲方收到乙方发票后10个工作日内，将资金支付到合同约定的乙方账户。 </w:t>
      </w:r>
      <w:r/>
    </w:p>
    <w:p>
      <w:pPr>
        <w:pStyle w:val="710"/>
        <w:jc w:val="left"/>
        <w:rPr>
          <w:rFonts w:hAnsi="宋体"/>
          <w:sz w:val="24"/>
          <w:szCs w:val="24"/>
          <w:lang w:eastAsia="zh-CN"/>
        </w:rPr>
      </w:pPr>
      <w:r>
        <w:rPr>
          <w:rFonts w:hint="eastAsia" w:hAnsi="宋体"/>
          <w:sz w:val="24"/>
          <w:szCs w:val="24"/>
          <w:lang w:eastAsia="zh-CN"/>
        </w:rPr>
        <w:t xml:space="preserve">2 根据《保障中小企业款项支付条例》规定，甲方未按合同约定支付款项的，乙方可以</w:t>
      </w:r>
      <w:r>
        <w:rPr>
          <w:rFonts w:hint="eastAsia" w:hAnsi="宋体"/>
          <w:sz w:val="24"/>
          <w:szCs w:val="24"/>
          <w:lang w:eastAsia="zh-CN"/>
        </w:rPr>
        <w:t xml:space="preserve">向有关部门投诉。</w:t>
      </w:r>
      <w:r/>
    </w:p>
    <w:p>
      <w:pPr>
        <w:pStyle w:val="710"/>
        <w:jc w:val="left"/>
        <w:rPr>
          <w:rFonts w:hAnsi="宋体"/>
          <w:sz w:val="24"/>
          <w:szCs w:val="24"/>
          <w:lang w:eastAsia="zh-CN"/>
        </w:rPr>
      </w:pPr>
      <w:r>
        <w:rPr>
          <w:rFonts w:hint="eastAsia" w:hAnsi="宋体"/>
          <w:sz w:val="24"/>
          <w:szCs w:val="24"/>
          <w:lang w:eastAsia="zh-CN"/>
        </w:rPr>
        <w:t xml:space="preserve">3 当采购数量与实际使用数量不一致时，乙方应根据实际使用量供货，合同的最终结算金额按实际使用量乘以成交单价进行计算。</w:t>
      </w:r>
      <w:r/>
    </w:p>
    <w:p>
      <w:pPr>
        <w:rPr>
          <w:rFonts w:ascii="宋体" w:hAnsi="宋体" w:eastAsia="宋体"/>
          <w:lang w:eastAsia="zh-CN"/>
        </w:rPr>
      </w:pPr>
      <w:r>
        <w:rPr>
          <w:rFonts w:ascii="宋体" w:hAnsi="宋体" w:eastAsia="宋体"/>
          <w:lang w:eastAsia="zh-CN"/>
        </w:rPr>
      </w:r>
      <w:r/>
    </w:p>
    <w:p>
      <w:pPr>
        <w:rPr>
          <w:rFonts w:ascii="宋体" w:hAnsi="宋体" w:eastAsia="宋体" w:cs="Courier New"/>
          <w:b/>
          <w:bCs/>
          <w:lang w:eastAsia="zh-CN"/>
        </w:rPr>
      </w:pPr>
      <w:r>
        <w:rPr>
          <w:rFonts w:hint="eastAsia" w:ascii="宋体" w:hAnsi="宋体" w:eastAsia="宋体" w:cs="Courier New"/>
          <w:b/>
          <w:bCs/>
          <w:lang w:eastAsia="zh-CN"/>
        </w:rPr>
        <w:t xml:space="preserve">四、交货期：合同签订后90天内。</w:t>
      </w:r>
      <w:r/>
    </w:p>
    <w:p>
      <w:pPr>
        <w:ind w:firstLine="480"/>
        <w:rPr>
          <w:rFonts w:ascii="宋体" w:hAnsi="宋体" w:eastAsia="宋体" w:cs="Courier New"/>
          <w:lang w:eastAsia="zh-CN"/>
        </w:rPr>
      </w:pPr>
      <w:r>
        <w:rPr>
          <w:rFonts w:hint="eastAsia" w:ascii="宋体" w:hAnsi="宋体" w:eastAsia="宋体" w:cs="Courier New"/>
          <w:lang w:eastAsia="zh-CN"/>
        </w:rPr>
        <w:t xml:space="preserve">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r/>
    </w:p>
    <w:p>
      <w:pPr>
        <w:rPr>
          <w:rFonts w:ascii="宋体" w:hAnsi="宋体" w:eastAsia="宋体"/>
          <w:lang w:eastAsia="zh-CN"/>
        </w:rPr>
      </w:pPr>
      <w:r>
        <w:rPr>
          <w:rFonts w:ascii="宋体" w:hAnsi="宋体" w:eastAsia="宋体"/>
          <w:lang w:eastAsia="zh-CN"/>
        </w:rPr>
      </w:r>
      <w:r/>
    </w:p>
    <w:p>
      <w:pPr>
        <w:ind w:firstLine="240"/>
        <w:rPr>
          <w:rFonts w:ascii="宋体" w:hAnsi="宋体" w:eastAsia="宋体"/>
          <w:b/>
          <w:bCs/>
          <w:lang w:eastAsia="zh-CN"/>
        </w:rPr>
      </w:pPr>
      <w:r>
        <w:rPr>
          <w:rFonts w:hint="eastAsia" w:ascii="宋体" w:hAnsi="宋体" w:eastAsia="宋体"/>
          <w:lang w:eastAsia="zh-CN"/>
        </w:rPr>
        <w:t xml:space="preserve">五</w:t>
      </w:r>
      <w:r>
        <w:rPr>
          <w:rFonts w:hint="eastAsia" w:ascii="宋体" w:hAnsi="宋体" w:eastAsia="宋体"/>
          <w:lang w:eastAsia="zh-CN"/>
        </w:rPr>
        <w:t xml:space="preserve">、</w:t>
      </w:r>
      <w:r>
        <w:rPr>
          <w:rFonts w:hint="eastAsia" w:ascii="宋体" w:hAnsi="宋体" w:eastAsia="宋体"/>
          <w:lang w:eastAsia="zh-CN"/>
        </w:rPr>
        <w:t xml:space="preserve">★提供出保后年维保全保费报价，单独报价不含在投标总价内，具体报价形式：</w:t>
      </w:r>
      <w:r>
        <w:rPr>
          <w:rFonts w:hint="eastAsia" w:ascii="宋体" w:hAnsi="宋体" w:eastAsia="宋体"/>
          <w:b/>
          <w:bCs/>
          <w:lang w:eastAsia="zh-CN"/>
        </w:rPr>
        <w:t xml:space="preserve">出保后年维保全保费用不超过合同总价的___%（具体比例不超过5%）。</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86"/>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5</w:t>
            </w:r>
            <w:r>
              <w:rPr>
                <w:rFonts w:ascii="宋体" w:hAnsi="宋体" w:eastAsia="宋体" w:cs="宋体"/>
                <w:b/>
                <w:bCs/>
                <w:position w:val="-10"/>
                <w:lang w:eastAsia="zh-CN"/>
              </w:rPr>
              <w:t xml:space="preserve">0</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打★号指标为必须满足项，如有负偏离将作为无效报价；</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5</w:t>
            </w:r>
            <w:r>
              <w:rPr>
                <w:rFonts w:ascii="宋体" w:hAnsi="宋体" w:eastAsia="宋体" w:cs="宋体"/>
                <w:position w:val="-10"/>
                <w:lang w:eastAsia="zh-CN"/>
              </w:rPr>
              <w:t xml:space="preserve">0</w:t>
            </w:r>
            <w:r>
              <w:rPr>
                <w:rFonts w:ascii="宋体" w:hAnsi="宋体" w:eastAsia="宋体" w:cs="宋体"/>
                <w:position w:val="-10"/>
                <w:lang w:eastAsia="zh-CN"/>
              </w:rPr>
              <w:t xml:space="preserve">分，正偏离不加分，打▲指标为重要指标，有1项负偏离扣</w:t>
            </w:r>
            <w:r>
              <w:rPr>
                <w:rFonts w:ascii="宋体" w:hAnsi="宋体" w:eastAsia="宋体" w:cs="宋体"/>
                <w:position w:val="-10"/>
                <w:lang w:eastAsia="zh-CN"/>
              </w:rPr>
              <w:t xml:space="preserve">2</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年1月1日（含）以来（时间以合同签订时间为准）与本次投标产品同品牌同</w:t>
            </w:r>
            <w:r>
              <w:rPr>
                <w:rFonts w:ascii="宋体" w:hAnsi="宋体" w:eastAsia="宋体" w:cs="宋体"/>
                <w:b/>
                <w:bCs/>
                <w:position w:val="-10"/>
                <w:lang w:eastAsia="zh-CN"/>
              </w:rPr>
              <w:t xml:space="preserve">型号产品</w:t>
            </w:r>
            <w:r>
              <w:rPr>
                <w:rFonts w:hint="eastAsia" w:ascii="宋体" w:hAnsi="宋体" w:eastAsia="宋体" w:cs="宋体"/>
                <w:b/>
                <w:bCs/>
                <w:position w:val="-10"/>
                <w:lang w:eastAsia="zh-CN"/>
              </w:rPr>
              <w:t xml:space="preserve">（</w:t>
            </w:r>
            <w:r>
              <w:rPr>
                <w:rFonts w:hint="eastAsia" w:ascii="宋体" w:hAnsi="宋体" w:eastAsia="宋体" w:cs="宋体"/>
                <w:b/>
                <w:bCs/>
                <w:position w:val="-10"/>
                <w:lang w:eastAsia="zh-CN"/>
              </w:rPr>
              <w:t xml:space="preserve">双光子显微镜</w:t>
            </w:r>
            <w:r>
              <w:rPr>
                <w:rFonts w:hint="eastAsia" w:ascii="宋体" w:hAnsi="宋体" w:eastAsia="宋体" w:cs="宋体"/>
                <w:b/>
                <w:bCs/>
                <w:position w:val="-10"/>
                <w:lang w:eastAsia="zh-CN"/>
              </w:rPr>
              <w:t xml:space="preserve">）</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w:t>
            </w:r>
            <w:r>
              <w:rPr>
                <w:rFonts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9"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w:t>
      </w:r>
      <w:r>
        <w:rPr>
          <w:rFonts w:ascii="宋体" w:hAnsi="宋体" w:eastAsia="宋体" w:cs="宋体"/>
          <w:position w:val="-10"/>
          <w:lang w:eastAsia="zh-CN"/>
        </w:rPr>
        <w:t xml:space="preserve">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0"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0"/>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7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9"/>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94"/>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94"/>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bookmarkStart w:id="161" w:name="_Hlk229575759"/>
      <w:r>
        <w:rPr>
          <w:rFonts w:hint="eastAsia"/>
          <w:bCs/>
          <w:lang w:eastAsia="zh-CN"/>
        </w:rPr>
        <w:t xml:space="preserve">报价明细表（分项报价表）</w:t>
      </w:r>
      <w:r>
        <w:rPr>
          <w:rFonts w:hint="eastAsia"/>
          <w:bCs/>
          <w:lang w:eastAsia="zh-CN"/>
        </w:rPr>
        <w:t xml:space="preserve">2</w:t>
      </w:r>
      <w:bookmarkEnd w:id="161"/>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94"/>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rFonts w:hint="eastAsia"/>
          <w:lang w:eastAsia="zh-CN"/>
        </w:rPr>
        <w:t xml:space="preserve">           </w:t>
      </w:r>
      <w:r>
        <w:rPr>
          <w:rFonts w:hint="eastAsia"/>
          <w:bCs/>
          <w:lang w:eastAsia="zh-CN"/>
        </w:rPr>
        <w:t xml:space="preserve">报价明细表（配置清单）</w:t>
      </w:r>
      <w:r>
        <w:rPr>
          <w:rFonts w:hint="eastAsia"/>
          <w:bCs/>
          <w:lang w:eastAsia="zh-CN"/>
        </w:rPr>
        <w:t xml:space="preserve">3</w:t>
      </w:r>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bl>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pStyle w:val="694"/>
        <w:rPr>
          <w:color w:val="auto"/>
          <w:lang w:val="en-US"/>
        </w:rPr>
      </w:pPr>
      <w:r>
        <w:rPr>
          <w:color w:val="auto"/>
          <w:lang w:val="en-US"/>
        </w:rPr>
      </w:r>
      <w:r/>
    </w:p>
    <w:p>
      <w:pPr>
        <w:pStyle w:val="694"/>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94"/>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94"/>
        <w:ind w:firstLine="6000"/>
        <w:spacing w:line="360" w:lineRule="auto"/>
        <w:tabs>
          <w:tab w:val="left" w:pos="7098" w:leader="none"/>
        </w:tabs>
        <w:rPr>
          <w:rFonts w:cs="宋体"/>
          <w:b w:val="0"/>
          <w:color w:val="auto"/>
        </w:rPr>
      </w:pPr>
      <w:r>
        <w:rPr>
          <w:rFonts w:cs="宋体"/>
          <w:b w:val="0"/>
          <w:color w:val="auto"/>
        </w:rPr>
      </w:r>
      <w:r/>
    </w:p>
    <w:p>
      <w:pPr>
        <w:pStyle w:val="694"/>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94"/>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94"/>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94"/>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94"/>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94"/>
        <w:rPr>
          <w:color w:val="auto"/>
          <w:lang w:val="en-US"/>
        </w:rPr>
      </w:pPr>
      <w:r>
        <w:rPr>
          <w:color w:val="auto"/>
          <w:lang w:val="en-US"/>
        </w:rPr>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94"/>
        <w:rPr>
          <w:bCs/>
          <w:color w:val="auto"/>
          <w:position w:val="0"/>
          <w:lang w:val="en-US"/>
        </w:rPr>
      </w:pPr>
      <w:r>
        <w:rPr>
          <w:rFonts w:hint="eastAsia"/>
          <w:bCs/>
          <w:color w:val="auto"/>
          <w:position w:val="0"/>
          <w:lang w:val="en-US"/>
        </w:rPr>
        <w:t xml:space="preserve">（五）关于符合本国产品标准的声明函（采购包号：**）</w:t>
      </w:r>
      <w:r/>
    </w:p>
    <w:p>
      <w:pPr>
        <w:pStyle w:val="694"/>
        <w:spacing w:line="360" w:lineRule="auto"/>
        <w:rPr>
          <w:b w:val="0"/>
          <w:color w:val="auto"/>
          <w:position w:val="0"/>
          <w:lang w:val="en-US"/>
        </w:rPr>
      </w:pPr>
      <w:r>
        <w:rPr>
          <w:b w:val="0"/>
          <w:color w:val="auto"/>
          <w:position w:val="0"/>
          <w:lang w:val="en-US"/>
        </w:rPr>
      </w:r>
      <w:r/>
    </w:p>
    <w:p>
      <w:pPr>
        <w:pStyle w:val="701"/>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Style w:val="70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Style w:val="70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94"/>
        <w:spacing w:line="360" w:lineRule="auto"/>
        <w:rPr>
          <w:b w:val="0"/>
          <w:color w:val="auto"/>
          <w:position w:val="0"/>
          <w:lang w:val="en-US"/>
        </w:rPr>
      </w:pPr>
      <w:r>
        <w:rPr>
          <w:b w:val="0"/>
          <w:color w:val="auto"/>
          <w:position w:val="0"/>
          <w:lang w:val="en-US"/>
        </w:rPr>
      </w:r>
      <w:r/>
    </w:p>
    <w:p>
      <w:pPr>
        <w:pStyle w:val="694"/>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4"/>
        <w:spacing w:line="360" w:lineRule="auto"/>
        <w:rPr>
          <w:b w:val="0"/>
          <w:color w:val="auto"/>
          <w:position w:val="0"/>
          <w:lang w:val="en-US"/>
        </w:rPr>
      </w:pPr>
      <w:r>
        <w:rPr>
          <w:b w:val="0"/>
          <w:color w:val="auto"/>
          <w:position w:val="0"/>
          <w:lang w:val="en-US"/>
        </w:rPr>
      </w:r>
      <w:r/>
    </w:p>
    <w:p>
      <w:pPr>
        <w:pStyle w:val="694"/>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4"/>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4"/>
        <w:spacing w:line="360" w:lineRule="auto"/>
        <w:rPr>
          <w:b w:val="0"/>
          <w:color w:val="auto"/>
          <w:position w:val="0"/>
          <w:lang w:val="en-US"/>
        </w:rPr>
      </w:pPr>
      <w:r>
        <w:rPr>
          <w:b w:val="0"/>
          <w:color w:val="auto"/>
          <w:position w:val="0"/>
          <w:lang w:val="en-US"/>
        </w:rPr>
        <w:t xml:space="preserve">__________________</w:t>
      </w:r>
      <w:r/>
    </w:p>
    <w:p>
      <w:pPr>
        <w:pStyle w:val="694"/>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94"/>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4"/>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4"/>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4"/>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4"/>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694"/>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94"/>
        <w:rPr>
          <w:color w:val="auto"/>
          <w:lang w:val="en-US"/>
        </w:rPr>
      </w:pPr>
      <w:r>
        <w:rPr>
          <w:color w:val="auto"/>
          <w:lang w:val="en-US"/>
        </w:rPr>
      </w:r>
      <w:r/>
    </w:p>
    <w:p>
      <w:pPr>
        <w:rPr>
          <w:lang w:eastAsia="zh-CN"/>
        </w:rPr>
      </w:pPr>
      <w:r>
        <w:rPr>
          <w:lang w:eastAsia="zh-CN"/>
        </w:rPr>
      </w:r>
      <w:r/>
    </w:p>
    <w:p>
      <w:pPr>
        <w:pStyle w:val="694"/>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2" w:name="_Hlk142312257"/>
      <w:r>
        <w:rPr>
          <w:rFonts w:hint="eastAsia"/>
          <w:lang w:eastAsia="zh-CN"/>
        </w:rPr>
        <w:t xml:space="preserve">法定代表人授权书</w:t>
      </w:r>
      <w:bookmarkEnd w:id="162"/>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94"/>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694"/>
        <w:rPr>
          <w:color w:val="auto"/>
        </w:rPr>
      </w:pPr>
      <w:r>
        <w:rPr>
          <w:color w:val="auto"/>
        </w:rPr>
      </w:r>
      <w:r/>
    </w:p>
    <w:p>
      <w:pPr>
        <w:rPr>
          <w:lang w:eastAsia="zh-CN"/>
        </w:rPr>
      </w:pPr>
      <w:r>
        <w:rPr>
          <w:lang w:eastAsia="zh-CN"/>
        </w:rPr>
      </w:r>
      <w:r/>
    </w:p>
    <w:p>
      <w:pPr>
        <w:pStyle w:val="694"/>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pStyle w:val="694"/>
        <w:ind w:firstLine="0"/>
        <w:rPr>
          <w:color w:val="auto"/>
          <w:lang w:val="en-US"/>
        </w:rPr>
      </w:pPr>
      <w:r>
        <w:rPr>
          <w:color w:val="auto"/>
          <w:lang w:val="en-US"/>
        </w:rPr>
      </w:r>
      <w:r/>
    </w:p>
    <w:p>
      <w:pPr>
        <w:pStyle w:val="694"/>
        <w:ind w:firstLine="0"/>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506167"/>
      <w:docPartObj>
        <w:docPartGallery w:val="Page Numbers (Bottom of Page)"/>
        <w:docPartUnique w:val="true"/>
      </w:docPartObj>
      <w:rPr/>
    </w:sdtPr>
    <w:sdtContent>
      <w:p>
        <w:pPr>
          <w:pStyle w:val="689"/>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200" w:hanging="360"/>
      </w:pPr>
      <w:rPr>
        <w:rFonts w:hint="default"/>
        <w:color w:val="auto"/>
      </w:r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7">
    <w:multiLevelType w:val="hybridMultilevel"/>
    <w:lvl w:ilvl="0">
      <w:start w:val="1"/>
      <w:numFmt w:val="decimal"/>
      <w:pStyle w:val="6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9">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7"/>
  </w:num>
  <w:num w:numId="2">
    <w:abstractNumId w:val="8"/>
  </w:num>
  <w:num w:numId="3">
    <w:abstractNumId w:val="9"/>
  </w:num>
  <w:num w:numId="4">
    <w:abstractNumId w:val="6"/>
  </w:num>
  <w:num w:numId="5">
    <w:abstractNumId w:val="1"/>
  </w:num>
  <w:num w:numId="6">
    <w:abstractNumId w:val="0"/>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9"/>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3"/>
    <w:link w:val="14"/>
    <w:uiPriority w:val="9"/>
    <w:rPr>
      <w:rFonts w:ascii="Arial" w:hAnsi="Arial" w:eastAsia="Arial" w:cs="Arial"/>
      <w:sz w:val="34"/>
    </w:rPr>
  </w:style>
  <w:style w:type="character" w:styleId="17">
    <w:name w:val="Heading 3 Char"/>
    <w:basedOn w:val="683"/>
    <w:link w:val="680"/>
    <w:uiPriority w:val="9"/>
    <w:rPr>
      <w:rFonts w:ascii="Arial" w:hAnsi="Arial" w:eastAsia="Arial" w:cs="Arial"/>
      <w:sz w:val="30"/>
      <w:szCs w:val="30"/>
    </w:rPr>
  </w:style>
  <w:style w:type="character" w:styleId="19">
    <w:name w:val="Heading 4 Char"/>
    <w:basedOn w:val="683"/>
    <w:link w:val="681"/>
    <w:uiPriority w:val="9"/>
    <w:rPr>
      <w:rFonts w:ascii="Arial" w:hAnsi="Arial" w:eastAsia="Arial" w:cs="Arial"/>
      <w:b/>
      <w:bCs/>
      <w:sz w:val="26"/>
      <w:szCs w:val="26"/>
    </w:rPr>
  </w:style>
  <w:style w:type="character" w:styleId="21">
    <w:name w:val="Heading 5 Char"/>
    <w:basedOn w:val="683"/>
    <w:link w:val="682"/>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87"/>
    <w:uiPriority w:val="99"/>
  </w:style>
  <w:style w:type="character" w:styleId="44">
    <w:name w:val="Footer Char"/>
    <w:basedOn w:val="683"/>
    <w:link w:val="689"/>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qFormat/>
    <w:rPr>
      <w:sz w:val="24"/>
      <w:szCs w:val="24"/>
    </w:rPr>
  </w:style>
  <w:style w:type="paragraph" w:styleId="679">
    <w:name w:val="Heading 1"/>
    <w:basedOn w:val="678"/>
    <w:next w:val="678"/>
    <w:link w:val="691"/>
    <w:uiPriority w:val="9"/>
    <w:qFormat/>
    <w:pPr>
      <w:jc w:val="center"/>
      <w:keepNext/>
      <w:widowControl w:val="off"/>
      <w:outlineLvl w:val="0"/>
    </w:pPr>
    <w:rPr>
      <w:rFonts w:ascii="楷体_GB2312" w:eastAsia="楷体_GB2312"/>
      <w:sz w:val="28"/>
      <w:szCs w:val="28"/>
      <w:lang w:eastAsia="zh-CN"/>
    </w:rPr>
  </w:style>
  <w:style w:type="paragraph" w:styleId="680">
    <w:name w:val="Heading 3"/>
    <w:basedOn w:val="678"/>
    <w:next w:val="696"/>
    <w:link w:val="69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1">
    <w:name w:val="Heading 4"/>
    <w:basedOn w:val="678"/>
    <w:next w:val="696"/>
    <w:link w:val="69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2">
    <w:name w:val="Heading 5"/>
    <w:basedOn w:val="678"/>
    <w:next w:val="678"/>
    <w:link w:val="700"/>
    <w:semiHidden/>
    <w:unhideWhenUsed/>
    <w:qFormat/>
    <w:pPr>
      <w:keepLines/>
      <w:keepNext/>
      <w:spacing w:before="280" w:after="290" w:line="376" w:lineRule="auto"/>
      <w:outlineLvl w:val="4"/>
    </w:pPr>
    <w:rPr>
      <w:b/>
      <w:bCs/>
      <w:sz w:val="28"/>
      <w:szCs w:val="28"/>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table" w:styleId="686" w:customStyle="1">
    <w:name w:val="table"/>
    <w:basedOn w:val="684"/>
    <w:tblPr/>
  </w:style>
  <w:style w:type="paragraph" w:styleId="687">
    <w:name w:val="Header"/>
    <w:basedOn w:val="678"/>
    <w:link w:val="688"/>
    <w:unhideWhenUsed/>
    <w:pPr>
      <w:jc w:val="center"/>
      <w:tabs>
        <w:tab w:val="center" w:pos="4153" w:leader="none"/>
        <w:tab w:val="right" w:pos="8306" w:leader="none"/>
      </w:tabs>
    </w:pPr>
    <w:rPr>
      <w:sz w:val="18"/>
      <w:szCs w:val="18"/>
    </w:rPr>
  </w:style>
  <w:style w:type="character" w:styleId="688" w:customStyle="1">
    <w:name w:val="页眉 字符"/>
    <w:basedOn w:val="683"/>
    <w:link w:val="687"/>
    <w:rPr>
      <w:sz w:val="18"/>
      <w:szCs w:val="18"/>
    </w:rPr>
  </w:style>
  <w:style w:type="paragraph" w:styleId="689">
    <w:name w:val="Footer"/>
    <w:basedOn w:val="678"/>
    <w:link w:val="690"/>
    <w:uiPriority w:val="99"/>
    <w:unhideWhenUsed/>
    <w:pPr>
      <w:tabs>
        <w:tab w:val="center" w:pos="4153" w:leader="none"/>
        <w:tab w:val="right" w:pos="8306" w:leader="none"/>
      </w:tabs>
    </w:pPr>
    <w:rPr>
      <w:sz w:val="18"/>
      <w:szCs w:val="18"/>
    </w:rPr>
  </w:style>
  <w:style w:type="character" w:styleId="690" w:customStyle="1">
    <w:name w:val="页脚 字符"/>
    <w:basedOn w:val="683"/>
    <w:link w:val="689"/>
    <w:uiPriority w:val="99"/>
    <w:rPr>
      <w:sz w:val="18"/>
      <w:szCs w:val="18"/>
    </w:rPr>
  </w:style>
  <w:style w:type="character" w:styleId="691" w:customStyle="1">
    <w:name w:val="标题 1 字符"/>
    <w:basedOn w:val="683"/>
    <w:link w:val="679"/>
    <w:qFormat/>
    <w:rPr>
      <w:rFonts w:ascii="楷体_GB2312" w:eastAsia="楷体_GB2312"/>
      <w:sz w:val="28"/>
      <w:szCs w:val="28"/>
      <w:lang w:eastAsia="zh-CN"/>
    </w:rPr>
  </w:style>
  <w:style w:type="character" w:styleId="692" w:customStyle="1">
    <w:name w:val="标题 3 字符"/>
    <w:basedOn w:val="683"/>
    <w:link w:val="680"/>
    <w:uiPriority w:val="9"/>
    <w:qFormat/>
    <w:rPr>
      <w:rFonts w:eastAsia="宋体"/>
      <w:bCs/>
      <w:position w:val="-10"/>
      <w:sz w:val="32"/>
      <w:szCs w:val="32"/>
      <w:lang w:eastAsia="zh-CN"/>
    </w:rPr>
  </w:style>
  <w:style w:type="character" w:styleId="693" w:customStyle="1">
    <w:name w:val="标题 4 字符"/>
    <w:basedOn w:val="683"/>
    <w:link w:val="681"/>
    <w:uiPriority w:val="9"/>
    <w:qFormat/>
    <w:rPr>
      <w:rFonts w:ascii="Arial" w:hAnsi="Arial" w:eastAsia="黑体"/>
      <w:bCs/>
      <w:position w:val="-10"/>
      <w:sz w:val="28"/>
      <w:szCs w:val="28"/>
      <w:lang w:eastAsia="zh-CN"/>
    </w:rPr>
  </w:style>
  <w:style w:type="paragraph" w:styleId="694">
    <w:name w:val="Body Text"/>
    <w:basedOn w:val="678"/>
    <w:next w:val="678"/>
    <w:link w:val="695"/>
    <w:qFormat/>
    <w:pPr>
      <w:ind w:firstLine="482"/>
      <w:jc w:val="both"/>
      <w:widowControl w:val="off"/>
    </w:pPr>
    <w:rPr>
      <w:rFonts w:ascii="宋体" w:hAnsi="宋体" w:eastAsia="宋体"/>
      <w:b/>
      <w:color w:val="000000"/>
      <w:position w:val="-10"/>
      <w:lang w:val="zh-CN" w:eastAsia="zh-CN"/>
    </w:rPr>
  </w:style>
  <w:style w:type="character" w:styleId="695" w:customStyle="1">
    <w:name w:val="正文文本 字符"/>
    <w:basedOn w:val="683"/>
    <w:link w:val="694"/>
    <w:qFormat/>
    <w:rPr>
      <w:rFonts w:ascii="宋体" w:hAnsi="宋体" w:eastAsia="宋体"/>
      <w:b/>
      <w:color w:val="000000"/>
      <w:position w:val="-10"/>
      <w:sz w:val="24"/>
      <w:szCs w:val="24"/>
      <w:lang w:val="zh-CN" w:eastAsia="zh-CN"/>
    </w:rPr>
  </w:style>
  <w:style w:type="paragraph" w:styleId="696">
    <w:name w:val="Normal Indent"/>
    <w:basedOn w:val="678"/>
    <w:link w:val="699"/>
    <w:qFormat/>
    <w:pPr>
      <w:ind w:firstLine="420"/>
      <w:jc w:val="both"/>
      <w:widowControl w:val="off"/>
    </w:pPr>
    <w:rPr>
      <w:rFonts w:eastAsia="宋体"/>
      <w:b/>
      <w:position w:val="-10"/>
      <w:szCs w:val="20"/>
      <w:lang w:eastAsia="zh-CN"/>
    </w:rPr>
  </w:style>
  <w:style w:type="character" w:styleId="697" w:customStyle="1">
    <w:name w:val="标题 2 Char"/>
    <w:qFormat/>
    <w:rPr>
      <w:rFonts w:ascii="Arial" w:hAnsi="Arial" w:eastAsia="宋体" w:cs="Times New Roman"/>
      <w:b/>
      <w:bCs/>
      <w:sz w:val="28"/>
      <w:szCs w:val="32"/>
      <w:lang w:val="en-US" w:eastAsia="zh-CN" w:bidi="ar-SA"/>
    </w:rPr>
  </w:style>
  <w:style w:type="paragraph" w:styleId="698" w:customStyle="1">
    <w:name w:val="标题6"/>
    <w:basedOn w:val="682"/>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699" w:customStyle="1">
    <w:name w:val="正文缩进 字符"/>
    <w:link w:val="696"/>
    <w:qFormat/>
    <w:rPr>
      <w:rFonts w:eastAsia="宋体"/>
      <w:b/>
      <w:position w:val="-10"/>
      <w:sz w:val="24"/>
      <w:lang w:eastAsia="zh-CN"/>
    </w:rPr>
  </w:style>
  <w:style w:type="character" w:styleId="700" w:customStyle="1">
    <w:name w:val="标题 5 字符"/>
    <w:basedOn w:val="683"/>
    <w:link w:val="682"/>
    <w:semiHidden/>
    <w:rPr>
      <w:b/>
      <w:bCs/>
      <w:sz w:val="28"/>
      <w:szCs w:val="28"/>
    </w:rPr>
  </w:style>
  <w:style w:type="paragraph" w:styleId="701">
    <w:name w:val="Normal (Web)"/>
    <w:basedOn w:val="678"/>
    <w:uiPriority w:val="99"/>
    <w:qFormat/>
    <w:pPr>
      <w:spacing w:before="100" w:beforeAutospacing="1" w:after="100" w:afterAutospacing="1"/>
    </w:pPr>
    <w:rPr>
      <w:rFonts w:ascii="宋体" w:hAnsi="宋体" w:eastAsia="宋体" w:cs="宋体"/>
      <w:b/>
      <w:position w:val="-10"/>
      <w:lang w:eastAsia="zh-CN"/>
    </w:rPr>
  </w:style>
  <w:style w:type="character" w:styleId="702">
    <w:name w:val="Emphasis"/>
    <w:qFormat/>
    <w:rPr>
      <w:rFonts w:ascii="Times New Roman" w:hAnsi="Times New Roman" w:eastAsia="宋体" w:cs="Times New Roman"/>
      <w:i/>
    </w:rPr>
  </w:style>
  <w:style w:type="paragraph" w:styleId="703">
    <w:name w:val="Body Text Indent"/>
    <w:basedOn w:val="678"/>
    <w:link w:val="704"/>
    <w:semiHidden/>
    <w:unhideWhenUsed/>
    <w:pPr>
      <w:ind w:left="420"/>
      <w:spacing w:after="120"/>
    </w:pPr>
  </w:style>
  <w:style w:type="character" w:styleId="704" w:customStyle="1">
    <w:name w:val="正文文本缩进 字符"/>
    <w:basedOn w:val="683"/>
    <w:link w:val="703"/>
    <w:semiHidden/>
    <w:rPr>
      <w:sz w:val="24"/>
      <w:szCs w:val="24"/>
    </w:rPr>
  </w:style>
  <w:style w:type="paragraph" w:styleId="705">
    <w:name w:val="Body Text First Indent 2"/>
    <w:basedOn w:val="703"/>
    <w:link w:val="706"/>
    <w:semiHidden/>
    <w:unhideWhenUsed/>
    <w:pPr>
      <w:ind w:firstLine="420"/>
    </w:pPr>
  </w:style>
  <w:style w:type="character" w:styleId="706" w:customStyle="1">
    <w:name w:val="正文文本首行缩进 2 字符"/>
    <w:basedOn w:val="704"/>
    <w:link w:val="705"/>
    <w:semiHidden/>
    <w:rPr>
      <w:sz w:val="24"/>
      <w:szCs w:val="24"/>
    </w:rPr>
  </w:style>
  <w:style w:type="table" w:styleId="707">
    <w:name w:val="Table Grid"/>
    <w:basedOn w:val="684"/>
    <w:uiPriority w:val="39"/>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列表段落1"/>
    <w:basedOn w:val="678"/>
    <w:uiPriority w:val="34"/>
    <w:qFormat/>
    <w:pPr>
      <w:ind w:firstLine="420"/>
      <w:jc w:val="both"/>
      <w:widowControl w:val="off"/>
    </w:pPr>
    <w:rPr>
      <w:rFonts w:eastAsia="宋体"/>
      <w:sz w:val="21"/>
      <w:szCs w:val="21"/>
      <w:lang w:eastAsia="zh-CN"/>
    </w:rPr>
  </w:style>
  <w:style w:type="paragraph" w:styleId="709">
    <w:name w:val="List Paragraph"/>
    <w:basedOn w:val="678"/>
    <w:uiPriority w:val="34"/>
    <w:qFormat/>
    <w:pPr>
      <w:ind w:firstLine="420"/>
    </w:pPr>
  </w:style>
  <w:style w:type="paragraph" w:styleId="710">
    <w:name w:val="Plain Text"/>
    <w:basedOn w:val="678"/>
    <w:link w:val="711"/>
    <w:pPr>
      <w:jc w:val="both"/>
      <w:widowControl w:val="off"/>
    </w:pPr>
    <w:rPr>
      <w:rFonts w:ascii="宋体" w:hAnsi="Courier New" w:eastAsia="宋体"/>
      <w:sz w:val="20"/>
      <w:szCs w:val="21"/>
    </w:rPr>
  </w:style>
  <w:style w:type="character" w:styleId="711" w:customStyle="1">
    <w:name w:val="纯文本 字符"/>
    <w:basedOn w:val="683"/>
    <w:link w:val="710"/>
    <w:rPr>
      <w:rFonts w:ascii="宋体" w:hAnsi="Courier New" w:eastAsia="宋体"/>
      <w:szCs w:val="21"/>
    </w:rPr>
  </w:style>
  <w:style w:type="paragraph" w:styleId="712" w:customStyle="1">
    <w:name w:val="Body"/>
    <w:qFormat/>
    <w:pPr>
      <w:ind w:left="360"/>
      <w:spacing w:after="240"/>
    </w:pPr>
    <w:rPr>
      <w:rFonts w:ascii="Tahoma" w:hAnsi="Tahoma" w:eastAsia="宋体"/>
    </w:rPr>
  </w:style>
  <w:style w:type="character" w:styleId="713">
    <w:name w:val="annotation reference"/>
    <w:basedOn w:val="683"/>
    <w:rPr>
      <w:sz w:val="21"/>
      <w:szCs w:val="21"/>
    </w:rPr>
  </w:style>
  <w:style w:type="paragraph" w:styleId="714">
    <w:name w:val="annotation text"/>
    <w:basedOn w:val="678"/>
    <w:link w:val="715"/>
    <w:pPr>
      <w:widowControl w:val="off"/>
    </w:pPr>
    <w:rPr>
      <w:rFonts w:eastAsia="宋体"/>
      <w:sz w:val="21"/>
      <w:lang w:eastAsia="zh-CN"/>
    </w:rPr>
  </w:style>
  <w:style w:type="character" w:styleId="715" w:customStyle="1">
    <w:name w:val="批注文字 字符"/>
    <w:basedOn w:val="683"/>
    <w:link w:val="714"/>
    <w:rPr>
      <w:rFonts w:eastAsia="宋体"/>
      <w:sz w:val="21"/>
      <w:szCs w:val="24"/>
      <w:lang w:eastAsia="zh-CN"/>
    </w:rPr>
  </w:style>
  <w:style w:type="paragraph" w:styleId="716">
    <w:name w:val="annotation subject"/>
    <w:basedOn w:val="714"/>
    <w:next w:val="714"/>
    <w:link w:val="717"/>
    <w:semiHidden/>
    <w:unhideWhenUsed/>
    <w:pPr>
      <w:widowControl/>
    </w:pPr>
    <w:rPr>
      <w:rFonts w:eastAsiaTheme="minorEastAsia"/>
      <w:b/>
      <w:bCs/>
      <w:sz w:val="24"/>
      <w:lang w:eastAsia="en-US"/>
    </w:rPr>
  </w:style>
  <w:style w:type="character" w:styleId="717" w:customStyle="1">
    <w:name w:val="批注主题 字符"/>
    <w:basedOn w:val="715"/>
    <w:link w:val="716"/>
    <w:semiHidden/>
    <w:rPr>
      <w:rFonts w:eastAsia="宋体"/>
      <w:b/>
      <w:bCs/>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32</cp:revision>
  <dcterms:created xsi:type="dcterms:W3CDTF">2026-02-25T07:38:00Z</dcterms:created>
  <dcterms:modified xsi:type="dcterms:W3CDTF">2026-06-15T01:38:36Z</dcterms:modified>
</cp:coreProperties>
</file>