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t xml:space="preserve"> </w:t>
      </w:r>
      <w:r>
        <w:rPr>
          <w:rFonts w:ascii="SimSun" w:hAnsi="SimSun" w:eastAsia="SimSun" w:cs="SimSun"/>
          <w:b/>
          <w:color w:val="000000"/>
          <w:sz w:val="48"/>
        </w:rPr>
        <w:t xml:space="preserve">南京脑科医院西门子verio（3.0T MR）维保项目</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招 标 文 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项目编号：JSZC-320100-JCEC-G2026-0114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600" w:right="0" w:firstLine="0"/>
        <w:jc w:val="both"/>
        <w:spacing w:before="210" w:after="21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600" w:right="0" w:firstLine="0"/>
        <w:jc w:val="both"/>
        <w:spacing w:before="210" w:after="21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江苏省设备成套股份有限公司</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2026年05月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0" w:right="0" w:firstLine="0"/>
        <w:jc w:val="both"/>
        <w:spacing w:before="0" w:after="0"/>
        <w:tabs>
          <w:tab w:val="left" w:pos="829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11866" w:history="1">
        <w:r>
          <w:rPr>
            <w:rStyle w:val="802"/>
            <w:rFonts w:ascii="SimSun" w:hAnsi="SimSun" w:eastAsia="SimSun" w:cs="SimSun"/>
            <w:color w:val="000000"/>
            <w:sz w:val="24"/>
            <w:u w:val="single"/>
          </w:rPr>
          <w:t xml:space="preserve">第一章</w:t>
        </w:r>
        <w:r>
          <w:rPr>
            <w:rStyle w:val="802"/>
            <w:rFonts w:ascii="SimSun" w:hAnsi="SimSun" w:eastAsia="SimSun" w:cs="SimSun"/>
            <w:color w:val="000000"/>
            <w:sz w:val="24"/>
            <w:u w:val="none"/>
          </w:rPr>
          <w:t xml:space="preserve"> </w:t>
        </w:r>
        <w:r>
          <w:rPr>
            <w:rStyle w:val="802"/>
            <w:rFonts w:ascii="SimSun" w:hAnsi="SimSun" w:eastAsia="SimSun" w:cs="SimSun"/>
            <w:color w:val="000000"/>
            <w:sz w:val="24"/>
            <w:u w:val="single"/>
          </w:rPr>
          <w:t xml:space="preserve">招标公告</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7593" w:history="1">
        <w:r>
          <w:rPr>
            <w:rStyle w:val="802"/>
            <w:rFonts w:ascii="SimSun" w:hAnsi="SimSun" w:eastAsia="SimSun" w:cs="SimSun"/>
            <w:color w:val="000000"/>
            <w:sz w:val="24"/>
            <w:u w:val="single"/>
          </w:rPr>
          <w:t xml:space="preserve">第二章</w:t>
        </w:r>
        <w:r>
          <w:rPr>
            <w:rStyle w:val="802"/>
            <w:rFonts w:ascii="SimSun" w:hAnsi="SimSun" w:eastAsia="SimSun" w:cs="SimSun"/>
            <w:color w:val="000000"/>
            <w:sz w:val="24"/>
            <w:u w:val="none"/>
          </w:rPr>
          <w:t xml:space="preserve"> </w:t>
        </w:r>
        <w:r>
          <w:rPr>
            <w:rStyle w:val="802"/>
            <w:rFonts w:ascii="SimSun" w:hAnsi="SimSun" w:eastAsia="SimSun" w:cs="SimSun"/>
            <w:color w:val="000000"/>
            <w:sz w:val="24"/>
            <w:u w:val="single"/>
          </w:rPr>
          <w:t xml:space="preserve">投标人须知</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11112" w:history="1">
        <w:r>
          <w:rPr>
            <w:rStyle w:val="802"/>
            <w:rFonts w:ascii="SimSun" w:hAnsi="SimSun" w:eastAsia="SimSun" w:cs="SimSun"/>
            <w:color w:val="000000"/>
            <w:sz w:val="24"/>
            <w:u w:val="single"/>
          </w:rPr>
          <w:t xml:space="preserve">第三章</w:t>
        </w:r>
        <w:r>
          <w:rPr>
            <w:rStyle w:val="802"/>
            <w:rFonts w:ascii="SimSun" w:hAnsi="SimSun" w:eastAsia="SimSun" w:cs="SimSun"/>
            <w:color w:val="000000"/>
            <w:sz w:val="24"/>
            <w:u w:val="none"/>
          </w:rPr>
          <w:t xml:space="preserve"> </w:t>
        </w:r>
        <w:r>
          <w:rPr>
            <w:rStyle w:val="802"/>
            <w:rFonts w:ascii="SimSun" w:hAnsi="SimSun" w:eastAsia="SimSun" w:cs="SimSun"/>
            <w:color w:val="000000"/>
            <w:sz w:val="24"/>
            <w:u w:val="single"/>
          </w:rPr>
          <w:t xml:space="preserve">评标标准</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23380" w:history="1">
        <w:r>
          <w:rPr>
            <w:rStyle w:val="802"/>
            <w:rFonts w:ascii="SimSun" w:hAnsi="SimSun" w:eastAsia="SimSun" w:cs="SimSun"/>
            <w:color w:val="000000"/>
            <w:sz w:val="24"/>
            <w:u w:val="single"/>
          </w:rPr>
          <w:t xml:space="preserve">第四章</w:t>
        </w:r>
        <w:r>
          <w:rPr>
            <w:rStyle w:val="802"/>
            <w:rFonts w:ascii="SimSun" w:hAnsi="SimSun" w:eastAsia="SimSun" w:cs="SimSun"/>
            <w:color w:val="000000"/>
            <w:sz w:val="24"/>
            <w:u w:val="none"/>
          </w:rPr>
          <w:t xml:space="preserve"> </w:t>
        </w:r>
        <w:r>
          <w:rPr>
            <w:rStyle w:val="802"/>
            <w:rFonts w:ascii="SimSun" w:hAnsi="SimSun" w:eastAsia="SimSun" w:cs="SimSun"/>
            <w:color w:val="000000"/>
            <w:sz w:val="24"/>
            <w:u w:val="single"/>
          </w:rPr>
          <w:t xml:space="preserve">采购需求</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5239" w:history="1">
        <w:r>
          <w:rPr>
            <w:rStyle w:val="802"/>
            <w:rFonts w:ascii="SimSun" w:hAnsi="SimSun" w:eastAsia="SimSun" w:cs="SimSun"/>
            <w:color w:val="000000"/>
            <w:sz w:val="24"/>
            <w:u w:val="single"/>
          </w:rPr>
          <w:t xml:space="preserve">第五章</w:t>
        </w:r>
        <w:r>
          <w:rPr>
            <w:rStyle w:val="802"/>
            <w:rFonts w:ascii="SimSun" w:hAnsi="SimSun" w:eastAsia="SimSun" w:cs="SimSun"/>
            <w:color w:val="000000"/>
            <w:sz w:val="24"/>
            <w:u w:val="none"/>
          </w:rPr>
          <w:t xml:space="preserve"> </w:t>
        </w:r>
        <w:r>
          <w:rPr>
            <w:rStyle w:val="802"/>
            <w:rFonts w:ascii="SimSun" w:hAnsi="SimSun" w:eastAsia="SimSun" w:cs="SimSun"/>
            <w:color w:val="000000"/>
            <w:sz w:val="24"/>
            <w:u w:val="single"/>
          </w:rPr>
          <w:t xml:space="preserve">合同主要条款及格式</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6328" w:history="1">
        <w:r>
          <w:rPr>
            <w:rStyle w:val="802"/>
            <w:rFonts w:ascii="SimSun" w:hAnsi="SimSun" w:eastAsia="SimSun" w:cs="SimSun"/>
            <w:color w:val="000000"/>
            <w:sz w:val="24"/>
            <w:u w:val="single"/>
          </w:rPr>
          <w:t xml:space="preserve">第六章</w:t>
        </w:r>
        <w:r>
          <w:rPr>
            <w:rStyle w:val="802"/>
            <w:rFonts w:ascii="SimSun" w:hAnsi="SimSun" w:eastAsia="SimSun" w:cs="SimSun"/>
            <w:color w:val="000000"/>
            <w:sz w:val="24"/>
            <w:u w:val="none"/>
          </w:rPr>
          <w:t xml:space="preserve"> </w:t>
        </w:r>
        <w:r>
          <w:rPr>
            <w:rStyle w:val="802"/>
            <w:rFonts w:ascii="SimSun" w:hAnsi="SimSun" w:eastAsia="SimSun" w:cs="SimSun"/>
            <w:color w:val="000000"/>
            <w:sz w:val="24"/>
            <w:u w:val="single"/>
          </w:rPr>
          <w:t xml:space="preserve">投标文件格式及附件</w:t>
          <w:tab/>
        </w:r>
      </w:hyperlink>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32"/>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4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white"/>
        </w:rPr>
        <w:t xml:space="preserve">  </w:t>
      </w:r>
      <w:r>
        <w:rPr>
          <w:rFonts w:ascii="SimSun" w:hAnsi="SimSun" w:eastAsia="SimSun" w:cs="SimSun"/>
          <w:b/>
          <w:color w:val="000000"/>
          <w:sz w:val="32"/>
        </w:rPr>
        <w:t xml:space="preserve">招标公告</w:t>
      </w:r>
      <w:r/>
    </w:p>
    <w:p>
      <w:pPr>
        <w:ind w:left="0" w:right="0" w:firstLine="369"/>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项目概况</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南京脑科医院西门子verio（3.0T MR）维保项目</w:t>
      </w:r>
      <w:r>
        <w:rPr>
          <w:rFonts w:ascii="SimSun" w:hAnsi="SimSun" w:eastAsia="SimSun" w:cs="SimSun"/>
          <w:color w:val="000000"/>
          <w:spacing w:val="8"/>
          <w:sz w:val="21"/>
        </w:rPr>
        <w:t xml:space="preserve">的潜在投标人应在</w:t>
      </w:r>
      <w:r>
        <w:rPr>
          <w:rFonts w:ascii="SimSun" w:hAnsi="SimSun" w:eastAsia="SimSun" w:cs="SimSun"/>
          <w:color w:val="000000"/>
          <w:sz w:val="21"/>
          <w:u w:val="single"/>
        </w:rPr>
        <w:t xml:space="preserve">江苏政府采购网</w:t>
      </w:r>
      <w:r>
        <w:rPr>
          <w:rFonts w:ascii="SimSun" w:hAnsi="SimSun" w:eastAsia="SimSun" w:cs="SimSun"/>
          <w:color w:val="000000"/>
          <w:spacing w:val="8"/>
          <w:sz w:val="21"/>
        </w:rPr>
        <w:t xml:space="preserve">获取招标文件，并于2026年05月27日14点30分（北京时间）前递交投标文件。</w:t>
      </w:r>
      <w:r/>
    </w:p>
    <w:p>
      <w:pPr>
        <w:ind w:left="0" w:right="0" w:firstLine="369"/>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 </w:t>
      </w:r>
      <w:r>
        <w:rPr>
          <w:rFonts w:ascii="SimSun" w:hAnsi="SimSun" w:eastAsia="SimSun" w:cs="SimSun"/>
          <w:b/>
          <w:color w:val="000000"/>
          <w:spacing w:val="8"/>
          <w:sz w:val="24"/>
        </w:rPr>
        <w:t xml:space="preserve">一、项目基本情况</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1.1项目编号：JSZC-320100-JCEC-G2026-0114  </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1.2项目名称：南京脑科医院西门子verio（3.0T MR）维保项目</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1.3预算金额：225万元/3年（75万元/年）</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1.4最高限价：225万元/3年（75万元/年） </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1.5采购需求：南京脑科医院西门子verio（3.0T MR）维保服务。技术参数详见磋商文件。</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1.6合同履行期限：3年。</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1.8本项目标的所属行业：其他未列明行业。</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1.9本项目（非专门）面向中小企业（或监狱企业或残疾人福利性单位）采购。</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1.10本项目（否）接受联合体投标。</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二、申请人的资格要求</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2.1满足《中华人民共和国政府采购法》第二十二条规定：</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（1）符合《中华人民共和国政府采购法》第二十二条规定，提供《南京市政府采购供应商信用记录表暨信用承诺书》。不适用信用承诺的，应按政府采购信用承诺要求提供证明材料。</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2.2落实政府采购政策需满足的资格要求：无。</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2.3</w:t>
      </w:r>
      <w:r>
        <w:rPr>
          <w:rFonts w:ascii="SimSun" w:hAnsi="SimSun" w:eastAsia="SimSun" w:cs="SimSun"/>
          <w:b/>
          <w:color w:val="000000"/>
          <w:sz w:val="21"/>
        </w:rPr>
        <w:t xml:space="preserve">采购人根据采购项目的特殊要求规定的特定条件，并提供符合特殊要求的证明材料或者情况说明：无。</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2.4拒绝下述供应商参加本次招标活动：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（1）单位负责人为同一人或者存在直接控股、管理关系的不同供应商，不得参加同一合同项下的政府采购活动。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（2）为采购项目提供整体设计、规范编制或者项目管理、监理、检测等服务的供应商，不得参加本项目的采购活动。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（3）供应商被“信用中国”网站（www.creditchina.gov.cn）、“中国政府采购网”(www.ccgp.gov.cn)列入失信被执行人、重大税收违法案件当事人名单、政府采购严重违法失信行为记录名单。</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三、获取招标文件</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3.1时间：自本项目招标公告发布之日至2026年05月13日17时30分（北京时间）。</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3.2地点：江苏政府采购网</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3.3方式：本项目采用网上注册登记方式免费获取</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四、提交投标文件截止时间、开标时间和地点</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4.1 2026年05月27日14点30分（北京时间）</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4.2 提交投标文件地点：江苏省政府采购管理交易系统（苏采云）（以下简称“苏采云”）（网址：</w:t>
      </w:r>
      <w:hyperlink r:id="rId15" w:tooltip="http://jszfcg.jsczt.cn/%EF%BC%89" w:history="1">
        <w:r>
          <w:rPr>
            <w:rStyle w:val="802"/>
            <w:rFonts w:ascii="SimSun" w:hAnsi="SimSun" w:eastAsia="SimSun" w:cs="SimSun"/>
            <w:color w:val="000000"/>
            <w:spacing w:val="8"/>
            <w:sz w:val="21"/>
            <w:u w:val="single"/>
          </w:rPr>
          <w:t xml:space="preserve">http://jszfcg.jsczt.cn/）</w:t>
        </w:r>
      </w:hyperlink>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4.3开标地点：“苏采云”开标大厅</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五、公告期限</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自本公告发布之日起5个工作日。</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六、其他补充事宜</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6.1本项目在南京公共采购信息网、江苏政府采购网、中国政府采购网网站发布公告。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6.2投标人通过“苏采云”（网址：</w:t>
      </w:r>
      <w:hyperlink r:id="rId16" w:tooltip="http://jszfcg.jsczt.cn/%EF%BC%89%E5%8F%82%E4%B8%8E%E6%94%BF%E5%BA%9C%E9%87%87%E8%B4%AD%E9%A1%B9%E7%9B%AE%EF%BC%8C%E9%9C%80%E8%A6%81%E5%8A%9E%E7%90%86%E6%B1%9F%E8%8B%8F%E7%9C%81%E6%94%BF%E5%BA%9C%E9%87%87%E8%B4%AD%E6%95%B0%E5%AD%97%E8%AF%81%E4%B9%A6%E5%8F%8A%E7%94%B5%E5%AD%90%E7%AD%BE%E7%AB%A0%E7%9A%84%EF%BC%8C%E8%AF%A6%E8%A7%81%E8%8B%8F%E9%87%87%E4%BA%91%E5%AE%98%E7%BD%91%E9%A6%96%E9%A1%B5" w:history="1">
        <w:r>
          <w:rPr>
            <w:rStyle w:val="802"/>
            <w:rFonts w:ascii="SimSun" w:hAnsi="SimSun" w:eastAsia="SimSun" w:cs="SimSun"/>
            <w:color w:val="000000"/>
            <w:sz w:val="21"/>
            <w:u w:val="single"/>
          </w:rPr>
          <w:t xml:space="preserve">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hyperlink>
      <w:r/>
      <w:r/>
    </w:p>
    <w:p>
      <w:pPr>
        <w:ind w:left="0" w:right="0" w:firstLine="363"/>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操作手册下载地址：</w:t>
      </w:r>
      <w:hyperlink r:id="rId17" w:tooltip="http://www.ccgp-jiangsu.gov.cn/jiangsu/zlxz/ee/ee3a4bc5a3454aa2b0d9312230633ce9.html" w:history="1">
        <w:r>
          <w:rPr>
            <w:rStyle w:val="802"/>
            <w:rFonts w:ascii="SimSun" w:hAnsi="SimSun" w:eastAsia="SimSun" w:cs="SimSun"/>
            <w:color w:val="000000"/>
            <w:sz w:val="21"/>
            <w:u w:val="single"/>
          </w:rPr>
          <w:t xml:space="preserve">http://www.ccgp-jiangsu.gov.cn/jiangsu/zlxz/ee/ee3a4bc5a3454aa2b0d9312230633ce9.html</w:t>
        </w:r>
      </w:hyperlink>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首次登录“苏采云”系统的新用户，登录网址后，点击“用户注册”--“新CA办理指南”--获取CA后绑定、登录系统--采购项目参与--下载采购文件（文件后缀名为“.kedt”）。</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“苏采云”南京地区客服热线025-83633744、025-83633743。</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有关本次招标的事项若存在变动或修改，请及时关注“江苏政府采购网”（www.ccgp-jiangsu.gov.cn）更正公告。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 勘察现场：无</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w:t>
      </w:r>
      <w:r>
        <w:rPr>
          <w:rFonts w:ascii="SimSun" w:hAnsi="SimSun" w:eastAsia="SimSun" w:cs="SimSun"/>
          <w:b/>
          <w:color w:val="000000"/>
          <w:sz w:val="21"/>
        </w:rPr>
        <w:t xml:space="preserve">投标文件的解密</w:t>
      </w:r>
      <w:r>
        <w:rPr>
          <w:rFonts w:ascii="SimSun" w:hAnsi="SimSun" w:eastAsia="SimSun" w:cs="SimSun"/>
          <w:color w:val="000000"/>
          <w:sz w:val="21"/>
        </w:rPr>
        <w:t xml:space="preserve">：开标当天各投标人及时登录不见面开标大厅，投标文件递交截止时间后，采购人将在系统内公布投标人名单，然后通过开标会议区发出投标文件解密的指令，投标人在开标室按规定时间自行实施远程解密，</w:t>
      </w:r>
      <w:r>
        <w:rPr>
          <w:rFonts w:ascii="SimSun" w:hAnsi="SimSun" w:eastAsia="SimSun" w:cs="SimSun"/>
          <w:b/>
          <w:color w:val="000000"/>
          <w:sz w:val="21"/>
        </w:rPr>
        <w:t xml:space="preserve">投标人解密限定在开标后30分钟之内完成</w:t>
      </w:r>
      <w:r>
        <w:rPr>
          <w:rFonts w:ascii="SimSun" w:hAnsi="SimSun" w:eastAsia="SimSun" w:cs="SimSun"/>
          <w:color w:val="000000"/>
          <w:sz w:val="21"/>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6.5供应商诚信档案管理</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w:t>
      </w:r>
      <w:r>
        <w:rPr>
          <w:rFonts w:ascii="SimSun" w:hAnsi="SimSun" w:eastAsia="SimSun" w:cs="SimSun"/>
          <w:color w:val="000000"/>
          <w:sz w:val="22"/>
          <w:highlight w:val="white"/>
        </w:rPr>
        <w:t xml:space="preserve">1C8EC1E5）登录（未注册的供应商应先点击“供应商注册点这里”并按要求完成注册），然后在“信用记录”模块页面点击“信用记录打印”下载本单位《南京市政府采购供应商信用记录表暨信用承诺书》，由法定代表人签字并盖单位公章，随投标文件一并递交。</w:t>
      </w:r>
      <w:r>
        <w:rPr>
          <w:rFonts w:ascii="SimSun" w:hAnsi="SimSun" w:eastAsia="SimSun" w:cs="SimSun"/>
          <w:b/>
          <w:color w:val="000000"/>
          <w:sz w:val="22"/>
          <w:highlight w:val="white"/>
        </w:rPr>
        <w:t xml:space="preserve">未按要求提供《南京市政府采购供应商信用记录表暨信用承诺书》则该供应商投标文件按无效投标处理。</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在政府采购资格审查环节，供应商只需提供书面《南京市政府采购供应商信用记录表暨信用承诺书》，即可替代以下证明材料：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符合国家相关规定的财务状况报告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依法缴纳税收的证明材料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依法缴纳社会保障资金的证明材料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具备履行政府采购合同所必需的设备和专业技术能力的证明材料；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参加政府采购活动前三年内在经营活动中没有重大违法记录的证明材料；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未被列入失信被执行人、重大税收违法失信主体、政府采购严重违法失信行为记录名单的证明材料。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根据宁财购通[2021]5号文规定，属于该文件列明的不适用信用承诺情形的供应商在资格审查环节仍需提供其满足中华人民共和国政府采购法》第二十二条规定”的证明材料，具体规定见招标文件。供应商在资格审查环节使用信用承诺替代相关证明材料参加南京市政府采购活动，在中标后，应将上述由信用承诺书替代的证明材料提交采购人或采购代理机构核验。经核验无误后，由采购人或采购代理机构发出中标通知书。</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供应商涉及一下情形的，不适用信用承诺：</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供应商被列入严重失信主体名单；</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被相关监管部门做出行政处罚且尚在出发有效期内；</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被其他法律、行政法规规定的不适用信用承诺的情形。</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供应商对信用承诺内容的真实性、合法性、有效性负责。如作出虚假信用承诺，视同为“提供虚假材料谋取中标、成交”的违法行为。</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七、对本次招标提出询问，请按以下方式联系</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7.1采购人信息</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 称：南京脑科医院</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地址：南京鼓楼区广州路264号</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联系方式：王老师 025-82296541</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7.2采购代理机构信息</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 称： 江苏省设备成套股份有限公司</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　址：南京市鼓楼区清江南路18号鼓楼创新广场D栋1004室</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联系方式：钮驰，徐云飞13770552830，13951080552</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电子邮箱：114778553@qq.com</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7.3项目联系方式</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项目联系人：钮驰，徐云飞</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　话：13770552830，13951080552 </w:t>
      </w:r>
      <w:r/>
    </w:p>
    <w:p>
      <w:pPr>
        <w:ind w:left="0" w:right="0" w:firstLine="452"/>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452"/>
        <w:jc w:val="right"/>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采购代理机构：江苏省设备成套股份有限公司</w:t>
      </w:r>
      <w:r/>
    </w:p>
    <w:p>
      <w:pPr>
        <w:ind w:left="0" w:right="0" w:firstLine="452"/>
        <w:jc w:val="right"/>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2026年05月06日</w:t>
      </w:r>
      <w:r/>
    </w:p>
    <w:p>
      <w:pPr>
        <w:ind w:left="0" w:right="0" w:firstLine="45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4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 </w:t>
      </w:r>
      <w:r>
        <w:rPr>
          <w:rFonts w:ascii="SimSun" w:hAnsi="SimSun" w:eastAsia="SimSun" w:cs="SimSun"/>
          <w:b/>
          <w:color w:val="000000"/>
          <w:sz w:val="32"/>
          <w:u w:val="none"/>
        </w:rPr>
        <w:t xml:space="preserve">投标人须知</w:t>
      </w:r>
      <w:r/>
    </w:p>
    <w:p>
      <w:pPr>
        <w:ind w:left="0" w:right="0" w:firstLine="424"/>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 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1、适用法律</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2、定义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2.1“采购人”是指依法进行政府采购的国家机关、事业单位、团体组织。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2.2“投标人（供应商）”是指参加投标竞争，并符合招标文件规定资格条件的法人、其他组织或者自然人。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2.3“采购代理机构”是指集中采购机构和集中采购机构以外的采购代理机构，集中采购机构以外的采购代理机构，是从事采购代理业务的社会中介机构。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2.4“货物和服务”指本招标文件中所述产品及相关服务。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2.5“用户或使用单位”是指使用货物，接受服务的单位。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3、政策功能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3.6进口产品政策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（1）除招标公告载明接受进口产品参加外，不允许进口产品参加。进口产品认定依照《财政部关于政府采购进口产品管理有关问题的通知》（财办库〔2008〕248号）的规定。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（2）允许进口产品参加的，满足需求的国内产品可以参加。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（3）允许进口产品参加的，优先采购向我国企业转让技术、与我国企业签订消化吸收再创新方案的投标人的进口产品。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3.7未按要求提供相关材料的，不享受相关政策。</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二、招标文件构成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4、招标文件组成</w:t>
      </w:r>
      <w:r/>
    </w:p>
    <w:p>
      <w:pPr>
        <w:ind w:left="0" w:right="0" w:firstLine="363"/>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4.1招标文件包括以下主要内容：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（1）招标公告；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（2）投标人须知；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（3）评标标准；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（4）采购需求；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（5）合同主要条款及格式；</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（6）投标文件格式及附件。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如标书制作工具中格式和内容与“南京公共采购信息网/江苏政府采购网/中国政府采购网”发布的招标文件不一致的，以上述网站发布的招标文件为准。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招标的最小单位是标段。招标货物数量及技术要求中未分标段的，投标人对要求提供的货物和服务不得部分投标；招标货物数量及技术要求中已经分标段的，可以以标段为单位投标。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采购代理机构如果要求投标人按照招标文件规定提交备选投标方案的，投标人可以提交备选方案；否则，备选方案将被拒绝。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4.4招标文件中要求的产品品牌或型号，是采购人根据项目所要实现的功能推荐的品牌或型号，仅供投标人参考，并不是限制条件。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5、招标文件的澄清或者修改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投标人应在提交投标文件截止时间前，关注原公告媒体有关本项目的更正公告，根据更正公告内容自行决定是否需要重新制作和提交投标文件，并承担由此产生的相应责任。</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三、投标文件的编制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6、投标文件的语言、计量单位、货币和编制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6.2投标人所使用的计量单位应为国家法定计量单位。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6.3投标人应用人民币报价。投标产品如果是进口产品的，应提供人民币与</w:t>
      </w:r>
      <w:r>
        <w:rPr>
          <w:rFonts w:ascii="SimSun" w:hAnsi="SimSun" w:eastAsia="SimSun" w:cs="SimSun"/>
          <w:b/>
          <w:color w:val="000000"/>
          <w:sz w:val="21"/>
        </w:rPr>
        <w:t xml:space="preserve">外币之间的汇率。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6.4投标文件应按照招标文件的规定编写并制作目录。</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6.5投标人应在投标文件中写清相应的项目编号、项目名称、投标人全称、地址、电话、传真等。</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6.6投标人根据招标文件载明的标的采购项目实际情况，拟在中标后将中标项目的非主体、非关键性工作交由他人完成的，应当在投标文件中载明。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7、联合体投标（如有）</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两个以上的自然人、法人或者其他组织可以组成一个联合体，以一个投标人的身份共同参加政府采购。</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联合体中有同类资质的投标人按照联合体分工承担相同工作的，按照资质等级较低的投标人确定资质等级。</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联合体各方之间应当签订联合体协议，明确约定联合体各方承担的工作和相应的责任，并将联合体协议连同投标文件一同提交。</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以联合体形式参加政府采购活动的，联合体各方不得再单独参加或者与其他投标人另外组成联合体参加同一合同项下的政府采购活动。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8、投标文件的组成</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投标人应当根据招标文件要求编制投标文件，投标文件应对招标文件提出的要求和条件作出实质性响应，并在《商务条款偏离表》和《采购需求偏离表》等处逐条标明满足与否。</w:t>
      </w:r>
      <w:r>
        <w:rPr>
          <w:rFonts w:ascii="SimSun" w:hAnsi="SimSun" w:eastAsia="SimSun" w:cs="SimSun"/>
          <w:b/>
          <w:color w:val="000000"/>
          <w:sz w:val="21"/>
        </w:rPr>
        <w:t xml:space="preserve">对带星号（“*”）的技术条款必须在投标文件中提供技术支持资料（如白皮书、彩页、手册、检测报告等），未提供技术支持资料的，视为未对招标文件实质性要求作出响应，评审时不予认可。</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投标文件由商务、技术、价格以及其他部分内容组成。投标文件目录及有关格式按招标文件“第六章 投标文件格式及附件”的要求编制。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9、投标文件的商务内容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商务部分内容是证明投标人有资格参加投标和中标后有能力履行合同的文件，这些文件应能满足招标的要求，包括但不限于下列文件（</w:t>
      </w:r>
      <w:r>
        <w:rPr>
          <w:rFonts w:ascii="SimSun" w:hAnsi="SimSun" w:eastAsia="SimSun" w:cs="SimSun"/>
          <w:b/>
          <w:color w:val="000000"/>
          <w:sz w:val="21"/>
        </w:rPr>
        <w:t xml:space="preserve">（1）-（6）所述材料不得有缺失或提供不全或不满足招标文件的实质性要求</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（1）投标函（投标申请及声明）（</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（2）法人授权书（格式见第六章）；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（3）投标人资格资信证明文件：</w:t>
      </w:r>
      <w:r/>
    </w:p>
    <w:p>
      <w:pPr>
        <w:numPr>
          <w:ilvl w:val="1"/>
          <w:numId w:val="1"/>
        </w:numPr>
        <w:spacing w:before="240" w:after="24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 2.1《中华人民共和国政府采购法》规定的资格条件证明文件；</w:t>
      </w:r>
      <w:r/>
    </w:p>
    <w:p>
      <w:pPr>
        <w:numPr>
          <w:ilvl w:val="1"/>
          <w:numId w:val="1"/>
        </w:numPr>
        <w:spacing w:before="240" w:after="24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 2.2</w:t>
      </w:r>
      <w:r>
        <w:rPr>
          <w:rFonts w:ascii="SimSun" w:hAnsi="SimSun" w:eastAsia="SimSun" w:cs="SimSun"/>
          <w:color w:val="000000"/>
          <w:spacing w:val="8"/>
          <w:sz w:val="21"/>
        </w:rPr>
        <w:t xml:space="preserve">落实政府采购政策需满足的资格要求；</w:t>
      </w:r>
      <w:r/>
    </w:p>
    <w:p>
      <w:pPr>
        <w:numPr>
          <w:ilvl w:val="1"/>
          <w:numId w:val="1"/>
        </w:numPr>
        <w:spacing w:before="240" w:after="24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 2.3 采购人根据采购项目的特殊要求规定的特定条件证明文件。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（4）开标一览表及附表（</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（5）投标人缴纳投标保证金凭证（不需要）；</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（6）《南京市政府采购供应商信用记录表暨信用承诺书》</w:t>
      </w:r>
      <w:r>
        <w:rPr>
          <w:rFonts w:ascii="SimSun" w:hAnsi="SimSun" w:eastAsia="SimSun" w:cs="SimSun"/>
          <w:b/>
          <w:color w:val="000000"/>
          <w:sz w:val="21"/>
        </w:rPr>
        <w:t xml:space="preserve">（如招标公告中要求提供）；</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（7）《商务条款偏离表》；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（8）第三章评标标准中对应的所需证明材料（如有自行添加）；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（9）要求采购人提供的配合（如有自拟并自行添加）；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（10）其它（投标人认为有必要提供的声明和文件，如有，自行拟定并添加）。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10、投标文件的技术内容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内容是证明投标人提供的货物和服务是合格的、并符合招标文件要求的证明文件，以及对货物和服务的详细说明，这些文件可以是文字资料、图纸、数据或其他证明文件等。提供的货物和服务如与招标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（1）技术说明或服务方案；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（2）《采购需求偏离表》；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（4）投标人拟投入本项目的设备、人员情况一览表；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（5）投标人认为需要提供的其他技术资料。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11、投标文件的价格内容</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11.1价格部分内容是对采购标的价格构成的说明，招标文件如无特别说明，每一项货物及服务仅接受一个价格。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11.2报价应包含本次招标标的有关的所有费用，以及技术资料、支付给员工的工资和国家强制缴纳的各种社会保障资金，以及投标人认为需要的其他费用等</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11.3投标人的任何错漏、优惠、竞争性报价不得作为减轻责任、减少服务、增加收费、降低质量的理由。</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SimSun" w:hAnsi="SimSun" w:eastAsia="SimSun" w:cs="SimSun"/>
          <w:b/>
          <w:color w:val="000000"/>
          <w:sz w:val="21"/>
        </w:rPr>
        <w:t xml:space="preserve">无效投标处理</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 投标人应在《开标一览表》《分项报价表》等标明投标货物和服务的单价、总价以及分项报价等。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11.6对于采用货币报价的项目，开标一览表中的投标总报价应与投标报价明细表中的投标总报价一致，如不一致不作为无效投标处理，评标时以开标一览表中价格为准。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11.7本项目预算为：详见第一章</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12、投标文件的其他部分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其他部分由投标人根据编制投标文件需要提供的其他相关文件组成。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13、投标保证金：/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自开标之日起</w:t>
      </w:r>
      <w:r>
        <w:rPr>
          <w:rFonts w:ascii="SimSun" w:hAnsi="SimSun" w:eastAsia="SimSun" w:cs="SimSun"/>
          <w:b/>
          <w:color w:val="000000"/>
          <w:sz w:val="21"/>
        </w:rPr>
        <w:t xml:space="preserve">90</w:t>
      </w:r>
      <w:r>
        <w:rPr>
          <w:rFonts w:ascii="SimSun" w:hAnsi="SimSun" w:eastAsia="SimSun" w:cs="SimSun"/>
          <w:color w:val="000000"/>
          <w:sz w:val="21"/>
        </w:rPr>
        <w:t xml:space="preserve">天内投标有效</w:t>
      </w:r>
      <w:r>
        <w:rPr>
          <w:rFonts w:ascii="SimSun" w:hAnsi="SimSun" w:eastAsia="SimSun" w:cs="SimSun"/>
          <w:b/>
          <w:color w:val="000000"/>
          <w:sz w:val="21"/>
        </w:rPr>
        <w:t xml:space="preserve">，投标有效期从提交投标文件的截止之日起算。投标文件中承诺的投标有效期应当不少于招标文件中载明的投标有效期。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特殊情况下，在原投标有效期截止之前，招标代理机构可要求投标人同意延长投标有效期，这种要求与答复均应以书面形式提交。接受延长投标有效期的投标人将不会要求和允许修正其投标。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15、投标文件签署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投标文件应按照招标文件要求加盖电子公章，否则视为无效投标。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16、投标费用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投标人应承担所有与准备和参加投标有关的费用，无论招标结果如何，采购代理机构和采购人在任何情况下均无义务和责任承担这些费用。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招标代理服务费：本次招标，中标人按《招标代理服务收费管理暂行办法》（国家发展计划委员会计价格[2002]1980号）代理货物招标收费基准费率的</w:t>
      </w:r>
      <w:r>
        <w:rPr>
          <w:rFonts w:ascii="SimSun" w:hAnsi="SimSun" w:eastAsia="SimSun" w:cs="SimSun"/>
          <w:color w:val="000000"/>
          <w:sz w:val="21"/>
          <w:u w:val="single"/>
        </w:rPr>
        <w:t xml:space="preserve"> 45% </w:t>
      </w:r>
      <w:r>
        <w:rPr>
          <w:rFonts w:ascii="SimSun" w:hAnsi="SimSun" w:eastAsia="SimSun" w:cs="SimSun"/>
          <w:color w:val="000000"/>
          <w:sz w:val="21"/>
        </w:rPr>
        <w:t xml:space="preserve">向招标代理机构支付招标服务费，不足3000元的，按3000元计取。本项费用无需在《报价一览表》中单列。</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16.3本项目的评委费由中标供应商承担，费用请供应商综合考虑计入报价，不另列项目，摊销在报价中。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四、投标文件的递交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17、投标文件的密封和递交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投标人应当按照《操作手册》规定，在招标公告规定的投标截止时间前制作并上传电子投标文件。招标代理机构拒绝接收提交投标文件截止时间后上传的任何电子投标文件。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投标人应当按照《操作手册》规定，在“苏采云”系统规定的时间内对响应文件进行解密</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 中标人在中标后递交2份投标文件，必须保持和苏采云上传的投标文件一致，按照A4幅面打印或复印并进行装订，如有资料超过A4幅面折叠成A4幅面；投标文件装订采用胶装的形式。</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18、有下列情形的投标文件将被拒收：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投标人应当按照《操作手册》规定，在“苏采云”系统规定的时间内对投标文件进行解密。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18.2投标人应充分考虑网络环境、网络带宽等因素可能对投标产生的影响，如因投标人自身原因造成的电子投标文件解密不成功的，做无效投标处理。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19、投标文件的修改和撤回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投标截止时间之后，投标文件不得撤回。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20、诚实信用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20.1投标人应当遵循公平竞争的原则，不得恶意串通，不得妨碍其他投标人的竞争行为，不得损害采购人或者其他投标人的合法权益。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20.2在评标过程中发现投标人有上述情形的，评标委员会应当认定其投标无效，并书面报告本级财政部门。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五、开标、评标与定标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 投标人在开标过程中涉及到的投标文件解密、开标结果确认等工作，应按照《操作手册》规定执行。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21.3投标人不足3家的，不得开标。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21.4 投标人如果对开标过程和开标结果有疑义，应当根据《操作手册》规定提出，“苏采云”系统中《开标记录表》公布后5分钟内未提出的，视同认可开标结果。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21.5公开招标数额标准以上的采购项目，投标截止后投标人不足3家或者通过资格审查或符合性审查的投标人不足3家的，除采购任务取消情形外，按照以下方式处理：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（1）招标文件存在不合理条款或者招标程序不符合规定的，采购人、采购代理机构改正后依法重新招标；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（2）招标文件没有不合理条款、招标程序符合规定，需要采用其他采购方式采购的，采购人依法报财政部门批准，经批准后，可变更为其他采购方式采购。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22、评标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 评标委员会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22.1.1</w:t>
      </w:r>
      <w:r>
        <w:rPr>
          <w:rFonts w:ascii="SimSun" w:hAnsi="SimSun" w:eastAsia="SimSun" w:cs="SimSun"/>
          <w:color w:val="000000"/>
          <w:sz w:val="21"/>
        </w:rPr>
        <w:t xml:space="preserve">评标委员会负责具体评标事务，并独立履行下列职责：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（一）审查、评价投标文件是否符合招标文件的商务、技术等实质性要求；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（二）要求投标人对投标文件有关事项作出澄清或者说明；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（三）对投标文件进行比较和评价；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（四）确定中标候选人名单，以及根据采购人委托直接确定中标人；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（五）向采购人、采购代理机构或者有关部门报告评标中发现的违法行为。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22.1.2 </w:t>
      </w:r>
      <w:r>
        <w:rPr>
          <w:rFonts w:ascii="SimSun" w:hAnsi="SimSun" w:eastAsia="SimSun" w:cs="SimSun"/>
          <w:color w:val="000000"/>
          <w:sz w:val="21"/>
        </w:rPr>
        <w:t xml:space="preserve">评标委员会由采购人代表和有关技术、经济等方面的专家组成，独立开展评审工作。</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  评标程序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22.2.1 投标文件的资格性检查。</w:t>
      </w:r>
      <w:r>
        <w:rPr>
          <w:rFonts w:ascii="SimSun" w:hAnsi="SimSun" w:eastAsia="SimSun" w:cs="SimSun"/>
          <w:color w:val="000000"/>
          <w:sz w:val="21"/>
        </w:rPr>
        <w:t xml:space="preserve">公开招标采购项目开标结束后，采购人或者采购代理机构应当依法对投标人的资格进行审查。合格投标人不足3家的，不得评标。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（1）投标人在“苏采云”系统规定的时间内未成功解密电子投标文件的；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（2）投标人未按照招标文件要求上传电子投标文件的；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（3）同一投标人提交两个（含两个）以上不同的投标报价的；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（4）投标文件未按照招标文件要求加盖电子公章的；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（5）不具备招标文件中规定的资格要求的；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（6）报价超过招标文件中规定的预算金额或者最高限价的；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（7）投标文件含有采购人不能接受的附加条件的；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（8）投标文件内容不全或不符合招标文件中规定的其他实质性要求的；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（9）现行法律、法规、规章和招标文件规定的其他无效情形。</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22.2.2.2未通过资格审查或符合性审查的投标人，代理机构将通过“苏采云”系统告知其具体原因，评标结束后不再接受有关询问。</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22.2.2.3有下列情形之一的予以废标：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（1）符合专业条件的投标人或者对招标文件作实质性响应的投标人不足三家的；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（3）投标人的报价均超过了采购预算，采购人不能支付的；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（4）因苏采云系统故障造成开标不成功的；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（5）因重大变故，采购任务取消的。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（6）投标人以明显低于其他通过符合性审查投标人的报价，有可能影响产品质量或者不能诚信履约的，且不能证明其报价合理性的。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w:t>
      </w:r>
      <w:r>
        <w:rPr>
          <w:rFonts w:ascii="SimSun" w:hAnsi="SimSun" w:eastAsia="SimSun" w:cs="SimSun"/>
          <w:b/>
          <w:color w:val="000000"/>
          <w:sz w:val="21"/>
        </w:rPr>
        <w:t xml:space="preserve">澄清有关问题</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22.2.3.1 评标期间，评委会对投标文件中含义不明确、同类问题表述不一致或者有明显文字和计算错误的内容，有权要求投标人作出必要的澄清、说明或者补正。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投标人的澄清、说明或者补正不得超出投标文件的范围或者改变投标文件的实质性内容。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评委会并非对每个投标人都做澄清要求。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22.2.3.3 接到评委会澄清、说明和补正要求的，投标人如未按规定作出澄清、说明和补正，其风险由投标人自行承担。投标文件报价出现前后不一致的，除招标文件另有规定外，按照下列规定修正：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（1）投标文件中开标一览表（报价表）内容与投标文件中相应内容不一致的，以开标一览表（报价表）为准；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（2）大写金额和小写金额不一致的，以大写金额为准；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（3）单价金额小数点或者百分比有明显错位的，以开标一览表的总价为准，并修改单价；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（4）总价金额与按单价汇总金额不一致的，以单价金额计算结果为准。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22.2.3.4评标委员会认为投标人的报价明显低于其他通过符合性审查投标人的报价，有可能影响产品质量或者不能诚信履约的，将要求其在评标现场合理的时间内提供书面说明，必要时提交相关证明材料；</w:t>
      </w:r>
      <w:r>
        <w:rPr>
          <w:rFonts w:ascii="SimSun" w:hAnsi="SimSun" w:eastAsia="SimSun" w:cs="SimSun"/>
          <w:b/>
          <w:color w:val="000000"/>
          <w:sz w:val="21"/>
        </w:rPr>
        <w:t xml:space="preserve">投标人不能证明其报价合理性的，评标委员会将其作为无效投标处理。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22.2.3.5投标人在开、评标全过程中应保持通讯畅通，及时登录苏采云系统查阅、答复相关信息，并安排专人与代理机构及评委会联系。</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22.2.4比较与评价。评标委员会应当按照招标文件中规定的评标方法和标准，对符合性审查合格的投标文件进行商务和技术评估，综合比较与评价。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22.2.5相同品牌产品的投标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非单一产品采购项目，确定核心产品的方法在招标文件技术需求中载明。多家投标人提供的核心产品品牌相同的，按前两款规定处理。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 评标方法和标准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22.3.1评标方法分为最低评标价法和综合评分法。本次招标的评标方法和标准，详见本招标文件第三章。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22.3.2最低评标价法，是指投标文件满足招标文件全部实质性要求，且投标报价最低的投标人为中标候选人的评标方法。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采用最低评标价法评标时，除了算术修正和落实政府采购政策需进行的价格扣除外，不对投标人的投标价格进行任何调整。</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22.3.3综合评分法，是指投标文件满足招标文件全部实质性要求，且按照评审因素的量化指标评审得分最高的投标人为中标候选人的评标方法。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评审因素，包括价格、技术、商务等。</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评标时，评标委员会各成员应当独立对每个投标人的投标文件进行评价，并汇总每个投标人的得分。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价格分采用低价优先法计算，即满足招标文件要求且投标价格最低的投标报价为评标基准价，其价格分为满分。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评标总得分＝F1×A1＋F2×A2＋……＋Fn×An</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F1、F2……Fn分别为各项评审因素的得分；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A1、A2、……An 分别为各项评审因素所占的权重(A1＋A2＋……＋An＝1)。</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因落实政府采购政策进行价格调整的，以调整后的价格计算评标基准价和投标报价。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22.4评标委员会启动异常低价投标审查的情形和具体要求</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22.4.1参照政府采购货物和服务招标投标管理办法（财政部令第87号）、《关于推动解决政府采购异常低价问题的通知》（财库〔2026〕2号）：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1、评标过程中出现下列情形之一的，评标委员会应当启动异常低价投标审查程序：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（1）投标报价低于全部通过符合性审查投标人投标报价平均值50%的，即投标报价&lt;全部通过符合性审查投标人投标报价平均值×50%；</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（2）投标报价低于通过符合性审查的次低报价投标人投标报价50%的，即投标报价&lt;通过符合性审查的次低报价投标人投标报价×50%；</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（3）投标报价低于本项目最高限价45%的，即投标报价&lt;本项目最高限价×45%；</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（4）评标委员会基于专业判断，认为投标人报价过低，有可能影响产品质量或者不能诚信履约的其他情形；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评标委员会启动异常低价投标审查后，属于以上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以上第（3）项情形的，供应商已随投标文件一并提交相关书面说明及必要的证明材料的，在评标现场可不再重复提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异常低价投标审查的启动原因、审查意见和审查结果应当在评标报告中记录，并随投标人提供的相关书面说明及证明材料，以及评标委员会有关互联网浏览、查询历史一并归档。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23.4 中标通知书对采购人和中标人具有同等法律效力。中标通知书发出后，采购人不得违法改变中标结果，中标人无正当理由不得放弃中标。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 所有投标文件不论中标与否，均不退回。</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24.1评标委员会根据全体评标成员签字的原始评标记录和评标结果编写评标报告。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25、评标过程的保密性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 采购人和采购代理机构将采取必要措施，保证评标在严格保密的情况下进行。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 任何单位和个人不得非法干预、影响评标办法的确定，以及评标过程和结果。</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 凡是与审查、澄清、评价和比较投标的有关资料等，均不向投标人及与评标无关的其他人员透露。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 采购人与中标人应当自中标通知书发出之日起30日内，按照招标文件和中标人投标文件的规定，签订书面合同。所签订的合同不得对招标文件确定的事项和中标人投标文件作实质性修改。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26.2 </w:t>
      </w:r>
      <w:r>
        <w:rPr>
          <w:rFonts w:ascii="SimSun" w:hAnsi="SimSun" w:eastAsia="SimSun" w:cs="SimSun"/>
          <w:color w:val="000000"/>
          <w:sz w:val="21"/>
        </w:rPr>
        <w:t xml:space="preserve">除继续履行将损害国家利益和社会公众利益的，政府采购合同的双方当事人不得擅自变更、中止或者终止合同。</w:t>
      </w:r>
      <w:r>
        <w:rPr>
          <w:rFonts w:ascii="SimSun" w:hAnsi="SimSun" w:eastAsia="SimSun" w:cs="SimSun"/>
          <w:b/>
          <w:color w:val="000000"/>
          <w:sz w:val="21"/>
        </w:rPr>
        <w:t xml:space="preserve">放弃或拒绝签订合同的，中标人不得参加对该项目重新开展的采购活动，中标人应向采购人支付采购人为招标所发生的相关费用，由财政部门列入不良行为记录名单，在一至三年内禁止参加政府采购活动，并予以通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26.3采购人不得向中标人提出任何不合理的要求作为签订合同的条件。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26.4中标人拒绝与采购人签订合同的，采购人可以按照评审报告推荐的中标或者成交候选人名单排序，确定下一候选人为中标或者成交供应商，也可以重新开展政府采购活动。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26.6 采购人与中标人应当根据合同的约定依法履行合同义务。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七、质疑和投诉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27.1供应商对招标活动事项有疑问的，可以向采购代理机构提出询问，采购代理机构将依法作出答复，但答复的内容不涉及商业秘密</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27.2提出质疑的供应商应当是参与所质疑项目采购活动的供应商。潜在供应商已依法获取其可质疑的采购文件的，可以对该文件提出质疑。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以联合体形式参加政府采购活动的，其质疑应当由组成联合体的所有供应商共同提出。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27.3供应商认为采购文件、采购过程和中标结果使自己的合法权益受到损害的，可以在知道或者应知其权益受到损害之日起七个工作日内，将质疑文件原件送达采购人或采购代理机构。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供应商必须在法定质疑期内一次性提出针对同一采购程序环节的质疑。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27.4 供应商提出质疑应当提交质疑函和必要的证明材料。质疑函应当包括下列内容：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（一）供应商的姓名或者名称、地址、邮编、联系人及联系电话；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（二）质疑项目的名称、编号；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（三）具体、明确的质疑事项和与质疑事项相关的请求（具体条款）；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（四）事实依据（具体条款）；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（五）必要的法律依据（具体条款）；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（六）提出质疑的日期。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质疑函应当使用中文。相关当事人提供外文书证或者外国语视听资料的，应当附有中文译本，由翻译机构盖章或者翻译人员签名。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27.5质疑函应当现场提交至采购代理机构联系人处，提交时应出示有效身份证明。未按上述要求提交质疑函的，质疑不予受理。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27.7采购代理机构在收到投标人的书面质疑后将及时组织调查核实，在</w:t>
      </w:r>
      <w:r>
        <w:rPr>
          <w:rFonts w:ascii="SimSun" w:hAnsi="SimSun" w:eastAsia="SimSun" w:cs="SimSun"/>
          <w:b/>
          <w:color w:val="000000"/>
          <w:sz w:val="21"/>
        </w:rPr>
        <w:t xml:space="preserve">七个工作日内</w:t>
      </w:r>
      <w:r>
        <w:rPr>
          <w:rFonts w:ascii="SimSun" w:hAnsi="SimSun" w:eastAsia="SimSun" w:cs="SimSun"/>
          <w:color w:val="000000"/>
          <w:sz w:val="21"/>
        </w:rPr>
        <w:t xml:space="preserve">作出答复，并以书面或在网站公告形式通知质疑投标人和其他有关投标人，答复的内容不涉及商业秘密。</w:t>
      </w:r>
      <w:r/>
    </w:p>
    <w:p>
      <w:pPr>
        <w:ind w:left="0" w:right="0" w:firstLine="420"/>
        <w:jc w:val="both"/>
        <w:spacing w:before="0" w:after="0" w:line="41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28.1质疑供应商对采购代理机构的答复不满意或者采购代理机构未在规定的时间内作出答复的，可以在答复期满后十五个工作日内向同级政府采购监督管理部门投诉。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28.2供应商投诉应当有明确的请求和必要的证明材料。供应商投诉的事项不得超出已质疑事项的范围。</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28.3投诉人对政府采购监督管理部门的投诉处理决定不服或者政府采购监督管理部门逾期未作处理的，可以依法申请行政复议或者向人民法院提起行政诉讼。</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 投诉人有下列行为之一的，属于严重失信行为，由财政部门列入不良行为记录名单，禁止其一至三年内参加政府采购活动。</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（1）投诉人在全国范围12个月内三次以上投诉查无实据的；</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（2）采用捏造事实、提供虚假材料或者以非法手段取得证明材料等方式进行虚假、恶意投诉。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证据来源的合法性存在明显疑问，投诉人无法证明其取得方式合法的，视为以非法手段取得证明材料。</w:t>
      </w:r>
      <w:r/>
    </w:p>
    <w:p>
      <w:pPr>
        <w:numPr>
          <w:ilvl w:val="0"/>
          <w:numId w:val="2"/>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其它</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29.1本项目根据江苏省财政厅关于加强政府绿色采购有关事项的通知（苏财购〔2023〕65号）规定，执行绿色采购需求标准。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4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Sun" w:hAnsi="SimSun" w:eastAsia="SimSun" w:cs="SimSun"/>
          <w:b/>
          <w:color w:val="000000"/>
          <w:sz w:val="32"/>
          <w:u w:val="none"/>
        </w:rPr>
        <w:t xml:space="preserve">第三章评标标准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9"/>
        <w:gridCol w:w="1255"/>
        <w:gridCol w:w="772"/>
        <w:gridCol w:w="6528"/>
      </w:tblGrid>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2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评分标准</w:t>
            </w:r>
            <w:r/>
          </w:p>
        </w:tc>
      </w:tr>
      <w:tr>
        <w:trPr>
          <w:trHeight w:val="17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价格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8"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价格分采用低价优先法计算，即满足采购文件要求且投标价格最低的投标报价为评标基准价，其价格分为满分20分。其他供应商的价格分按照下列公式计算，保留小数点后2位：投标报价得分=（评标基准价／投标报价）×20</w:t>
            </w:r>
            <w:r/>
          </w:p>
        </w:tc>
      </w:tr>
      <w:tr>
        <w:trPr>
          <w:trHeight w:val="12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需求响应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8"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完全满足招标文件第四部分采购需求（一）服务要求的得满分，每负偏离一项扣3分，扣完为止。</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注：参数明确要求提供证明材料的，须按要求在投标文件中提供证明文件等相关材料，且均需在技术响应偏差表详尽真实的提供偏差情况及证明材料页码，否则视为负偏离。</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零备件仓库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8"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供应商在国内设有零备件仓库，提供零备件仓库地址及联系人、联系电话备查，提供一个得3分，最多得6分，未提供或提供的资料不全不得分。</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须提供仓库不动产产权证（证书上须明确体现供应商名称和面积）或租赁合同（租赁合同中须明确体现供应商的名称和面积）。</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维保工程师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8分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8"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投入本项目的维保工程师具有西门子品牌磁共振维保或维修培训证书的，每有一个得2分，最高得8分。（须提供磁共振维保或维修培训证书复印件加盖投标单位公章，并提供工程师投标前三个月内任意一月在本单位或本单位委托外服、子公司购买的社保证明，提供资料不全或不提供不得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培训服务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8"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能提供认证的临床应用专家定期进行课堂或上门式的培训服务，包括但不仅限于临床扫描、图像处理和相应业务拓展的专业支持，提供详细的说明材料及讲师清单者得3分，说明不够具体或者不提供者不得分。</w:t>
            </w:r>
            <w:r/>
          </w:p>
        </w:tc>
      </w:tr>
      <w:tr>
        <w:trPr>
          <w:trHeight w:val="41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维保方案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8"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项目需求提供维保的项目管理、项目实施流程及进度安排、对采购单位工程师及使用科室的培训计划安排、维保措施、为项目配备合理技术支持的方案（包含但不限于），根据其方案内容表述非常完整充实、方案表述非常清晰细化、方案计划逻辑非常严谨，进度安排非常科学合理，方案实际操作非常可行有效，采购人工程师及使用科室的培训安排非常合理，流程非常严谨，维保措施非常全面，技术支持好，优于采购需求的得10分；表述完整充实、方案表述清晰细化、方案计划逻辑严谨，进度安排科学合理，方案实际操作可行有效，采购人工程师及使用科室的培训安排合</w:t>
            </w:r>
            <w:r>
              <w:rPr>
                <w:rFonts w:ascii="FangSong" w:hAnsi="FangSong" w:eastAsia="FangSong" w:cs="FangSong"/>
                <w:color w:val="000000"/>
                <w:sz w:val="24"/>
              </w:rPr>
              <w:t xml:space="preserve">理，流程严谨，维保措施全面，技术支持好，满足采购需求的得7分；表述比较完整充实、方案表述比较清晰细化、方案计划比较逻辑严谨，进度安排较科学合理，方案实际操作比较可行有效，采购人工程师及使用科室的培训安排比较合理，流程比较严谨，维保措施比较全面，技术支持较好的得4分；表述完整一般充实、方案表述一般清晰细化、方案计划逻辑一般严谨，进度安排一般科学合理，方案实际操作一般可行有效，采购人工程师及使用科室的培训安排一般合理，流程一般严谨，维保措施一般全面，技术支持一般好，基本满足采购需求或经过优化可以满足采购需求的得</w:t>
            </w:r>
            <w:r>
              <w:rPr>
                <w:rFonts w:ascii="FangSong" w:hAnsi="FangSong" w:eastAsia="FangSong" w:cs="FangSong"/>
                <w:color w:val="000000"/>
                <w:sz w:val="24"/>
              </w:rPr>
              <w:t xml:space="preserve">1分；与本项目不符合或不提供不得分。</w:t>
            </w:r>
            <w:r/>
          </w:p>
        </w:tc>
      </w:tr>
      <w:tr>
        <w:trPr>
          <w:trHeight w:val="2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拟派人员的管理制度及安全管理方案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7分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8"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项目需求制定拟派人员的管理制度及安全管理方案，管理制度、人员培训、人员资质、人员安排、人员服务能力、人员安全管理的方案（包含但不限于），根据其方案的内容完善具体、人员安排合理、分工明确、人员管理措施有效、人员资质强且服务经验丰富、人员培训定期有效、人员安全保障能力好，优于采购需求的得7分；方案的内容比较完善具体、人员安排比较合理、分工比较明确、人员管理措施比较有效、人员资质较强且服务经验比较丰富、人员培训规律有效、人员安全保障能力较好，基本满足采购需求或经过优化可以满足采购需求的得4分；方案的内容一般完</w:t>
            </w:r>
            <w:r>
              <w:rPr>
                <w:rFonts w:ascii="FangSong" w:hAnsi="FangSong" w:eastAsia="FangSong" w:cs="FangSong"/>
                <w:color w:val="000000"/>
                <w:sz w:val="24"/>
              </w:rPr>
              <w:t xml:space="preserve">善具体、人员安排一般合理、分工一般明确、人员管理措施一般有效、人员资质一般且服务经验一般、人员培训一般有效、人员安全保障能力一般的得1分；与本项目不符合或不提供不得分。</w:t>
            </w:r>
            <w:r/>
          </w:p>
        </w:tc>
      </w:tr>
      <w:tr>
        <w:trPr>
          <w:trHeight w:val="1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售后服务方案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7分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8"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项目需求提供售后服务方案、售后人员安排、响应时间、售后措施（包含但不限于），售后服务方案合理全面且详细，响应时间迅速，服务人员齐全，技术人员专业素养高且有经验，售后措施完善有效，优于采购需求得7分；售后方案较合理，响应时间较迅速，服务人员较齐全，管理力量比较雄厚，技术人员专业素养较高且有一定经验，售后措施比较丰富，符合采购需求得4分；售后服务方案简单，响应时间速度较慢，服务人员较少，专业素养较低或没有经验，售后措施较少得1分；与本项目不符合或不提供不得分。</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应急方案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7分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8"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应急方案的应急预案、应急处理、应急人员安排、时效性、与对紧急事故做出快速、正确的反应、应急处理后确保临床工作正常开展的方案（包含但不限于）。应急预案全面、应急处理迅速有效、应急人员安排充分、时效性短，对紧急事故能够做出快速、正确的反应，应急处理后完全能确保临床工作的正常开展，优于采购需求得7分；应急预案比较全面、应急处理比较迅速有效、应急人员安排比较充分、时效性较短，对紧急事故能够做出比较快速、正确的反应，应急处理后能确保临床工作的正常开展，满足采购需求得4分；应急预案简单、应急处理较慢、应急人员安排不</w:t>
            </w:r>
            <w:r>
              <w:rPr>
                <w:rFonts w:ascii="FangSong" w:hAnsi="FangSong" w:eastAsia="FangSong" w:cs="FangSong"/>
                <w:color w:val="000000"/>
                <w:sz w:val="24"/>
              </w:rPr>
              <w:t xml:space="preserve">太充分、时效性较长，对紧急事故能够做出的反应较慢，应急处理后基本能确保临床工作的正常开展，基本满足采购需求或经过优化可以满足采购需求得1分；与本项目不符合或不提供不得分。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8" w:type="dxa"/>
            <w:vAlign w:val="center"/>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供应商提供2023年1月1日以来（以合同签订时间为准）磁共振维修或维保服务业绩的，每提供一个得3分，最高得9分。须提供合同复印件加盖公章，合同须有双方清晰盖章及项目名称，提供不全不得分。</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1.所有认证、证明和业绩均以有效清晰的证明文件的复印件为依据。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2.小微企业价格扣除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3.监狱和戒毒企业的价格扣除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本项目对监狱和戒毒企业，给予10%的价格扣除，用扣除后的价格参与评审。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监狱企业需提供由省级以上监狱管理局、戒毒管理局（含新疆生产建设兵团）出具的属于监狱企业的证明文件。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监狱企业标准请参照《关于政府采购支持监狱企业发展有关问题的通知》（财库〔2014〕68号）。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4.残疾人福利性单位的价格扣除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本项目对残疾人福利性单位，给予10%的价格扣除，用扣除后的价格参与评审。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残疾人福利性单位需提供《残疾人福利性单位声明函》。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残疾人福利性单位标准请参照《关于促进残疾人就业政府采购政策的通知》（财库〔2017〕141号）。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监狱企业、残疾人福利性单位属于小型、微型企业的，不重复享受政策。</w:t>
        <w:br w:type="page" w:clear="all"/>
      </w:r>
      <w:r/>
    </w:p>
    <w:p>
      <w:pPr>
        <w:pStyle w:val="64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采购需求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一、货物需求一览表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87"/>
        <w:gridCol w:w="3541"/>
        <w:gridCol w:w="1304"/>
        <w:gridCol w:w="2539"/>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服务地点</w:t>
            </w:r>
            <w:r/>
          </w:p>
        </w:tc>
      </w:tr>
      <w:tr>
        <w:trPr>
          <w:trHeight w:val="5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西门子verio（3.0T MR）</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南京脑科医院指定地点</w:t>
            </w:r>
            <w:r/>
          </w:p>
        </w:tc>
      </w:tr>
    </w:tbl>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numPr>
          <w:ilvl w:val="0"/>
          <w:numId w:val="3"/>
        </w:numP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技术参数及要求</w:t>
      </w:r>
      <w:r>
        <w:rPr>
          <w:rFonts w:ascii="SimSun" w:hAnsi="SimSun" w:eastAsia="SimSun" w:cs="SimSun"/>
          <w:b/>
          <w:color w:val="000000"/>
          <w:sz w:val="24"/>
        </w:rPr>
        <w:t xml:space="preserve">（逐一应答）</w:t>
      </w:r>
      <w:r/>
    </w:p>
    <w:p>
      <w:pPr>
        <w:ind w:left="1"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（一）基本要求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1、医学影像科核磁3.0T(门诊)年度维修保养全保服务。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c0c0c"/>
          <w:sz w:val="21"/>
        </w:rPr>
        <w:t xml:space="preserve">设备：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c0c0c"/>
          <w:sz w:val="21"/>
        </w:rPr>
        <w:t xml:space="preserve">MAGNETOM Verio</w:t>
      </w:r>
      <w:r/>
    </w:p>
    <w:p>
      <w:pPr>
        <w:ind w:left="0" w:right="0" w:firstLine="0"/>
        <w:jc w:val="both"/>
        <w:spacing w:before="54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（二）技术参数及要求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1、提供7*24小时免费电话或远程技术支持，1小时内电话响应，24小时内到达现场，48小时内排除故障。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全年至少两次现场预防性维护保养服务,包括设备清洁、性能测试及校准、必要的机械或电气的检查，以及紧急性质的维修，并定期对设备的数据进行备份，确保该设备及其配套仪器设备能正常运行。服务结束，须向院方出示包含服务详细内容的工单或验收报告，由使用部门及设备科签署验收意见后，交由设备科存档。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3、承诺服务期内所提供的备件或配套软件均为原厂授权同型号产品，提供源溯证明材料，保证更换备件后设备持续稳定的运行。须提供原厂盖章的承诺函。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4、更换零件加快业务。承诺提供备件优先保供服务，故障停机时间不超过48小时.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5、承诺由原厂认证授权的工程师上门服务，提供工程师相关资质证书。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6、保证全年开机率不低于95%。95%以下每降低1%，当期保修服务天数延长7天。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7、服务期内定期安排专人进行现场回访，收集使用方和管理者想法和建议，及时跟进反馈。</w:t>
      </w:r>
      <w:r/>
    </w:p>
    <w:p>
      <w:pPr>
        <w:ind w:left="0" w:right="0" w:firstLine="0"/>
        <w:jc w:val="both"/>
        <w:spacing w:before="31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（三）其它要求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1、在华东地区有备件仓库，保证本项目涉及设备的原厂配件供应。</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2、在南京市设有1个、相邻省市不少于3个五年以上稳定的常驻服务机构（人员），其中人员具有本项目涉及设备的原厂培训并考核合格的资质证明材料。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（四）付款方式：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服务满半年并考核合格后支付本年度合同款50%，本年度服务期满并考核合格后支付本年度剩余尾款50%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green"/>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（五）服务期：3年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合同采取一年一延续。甲方对乙方服务质量一年一考核，经甲方根据合同中考核条款考核合格后，合同继续履行一年，双方签订延续合同，最多续签二年。如甲方考核不合格，考核期结束后，合同自动终止。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（六）考核内容：</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02"/>
        <w:gridCol w:w="2922"/>
        <w:gridCol w:w="2578"/>
        <w:gridCol w:w="1252"/>
      </w:tblGrid>
      <w:tr>
        <w:trPr>
          <w:trHeight w:val="740"/>
        </w:trPr>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医疗设备维保服务供应商履约评价表</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5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使用科室：</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设备型号：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起止日期：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售后服务总体评价：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合格□    不合格□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服务评分标准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得分</w:t>
            </w:r>
            <w:r/>
          </w:p>
        </w:tc>
      </w:tr>
      <w:tr>
        <w:trPr>
          <w:trHeight w:val="700"/>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2602" w:type="dxa"/>
            <w:vAlign w:val="center"/>
            <w:vMerge w:val="restart"/>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具体评价内容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1、服务及时性 （在合同和投标文件中约定的时间内响应服务要求，超时一次扣5分，扣完为止。）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2、服务有效性（在合同和投标文件中约定的时间内完成故障修复，超时一次扣5分，扣完为止。）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3、服务态度（因服务态度问题被用户投诉（经核实有效的投诉）一次扣5分，扣完为止）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4、服务频次≥2（按合同和投标文件中约定完成定期巡检，遗漏一次扣10分，扣完为止。）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5、服务档案记录（按要求准确、及时地提交服务日志、巡检报告等文档，缺失一份或文档内容不符合要求扣5分，扣完为止。）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总分(60分合格）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扣分说明：</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使用科室签名：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设备科签名: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 合同主要条款</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（以下为成交后签订本项目合同的通用条款，成交供应商不得提出实质性修改，关于专用条款将由采购人与成交供应商结合本项目具体情况协商后签订）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01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合同编号：</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采购合同（服务类模板）</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甲方（采购人）：南京脑科医院</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乙方（供应商）：</w:t>
      </w:r>
      <w:r>
        <w:rPr>
          <w:rFonts w:ascii="FangSong" w:hAnsi="FangSong" w:eastAsia="FangSong" w:cs="FangSong"/>
          <w:color w:val="000000"/>
          <w:sz w:val="24"/>
          <w:u w:val="single"/>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项目编号：</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采购代理机构：</w:t>
      </w:r>
      <w:r>
        <w:rPr>
          <w:rFonts w:ascii="FangSong" w:hAnsi="FangSong" w:eastAsia="FangSong" w:cs="FangSong"/>
          <w:color w:val="000000"/>
          <w:sz w:val="24"/>
          <w:u w:val="single"/>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合同编号：</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签订时间：</w:t>
      </w:r>
      <w:r>
        <w:rPr>
          <w:rFonts w:ascii="FangSong" w:hAnsi="FangSong" w:eastAsia="FangSong" w:cs="FangSong"/>
          <w:color w:val="000000"/>
          <w:sz w:val="24"/>
          <w:u w:val="single"/>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根据《中华人民共和国民法典》等法律、法规规定，按照</w:t>
      </w:r>
      <w:r>
        <w:rPr>
          <w:rFonts w:ascii="FangSong" w:hAnsi="FangSong" w:eastAsia="FangSong" w:cs="FangSong"/>
          <w:color w:val="000000"/>
          <w:sz w:val="24"/>
          <w:u w:val="single"/>
        </w:rPr>
        <w:t xml:space="preserve">XXX项目名称（项目编号：XXX） </w:t>
      </w:r>
      <w:r>
        <w:rPr>
          <w:rFonts w:ascii="FangSong" w:hAnsi="FangSong" w:eastAsia="FangSong" w:cs="FangSong"/>
          <w:color w:val="000000"/>
          <w:sz w:val="24"/>
        </w:rPr>
        <w:t xml:space="preserve">采购文件、投标（响应）文件规定条款和中标（成交）供应商承诺，甲方向乙方购置相关服务，双方同意以下内容（包括合同表一、附件）。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第一条　服务内容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1.乙方所提供的服务必须与采购文件和承诺相一致。服务内容、时限、完成标准、服务费见下表（表一：服务内容一览表）。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5"/>
        <w:gridCol w:w="1752"/>
        <w:gridCol w:w="1680"/>
        <w:gridCol w:w="1320"/>
        <w:gridCol w:w="3578"/>
      </w:tblGrid>
      <w:tr>
        <w:trPr>
          <w:trHeight w:val="67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服务内容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合同履行期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完成标准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服务费（元）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0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55"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合计金额：大写人民币</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元整（¥</w:t>
            </w:r>
            <w:r>
              <w:rPr>
                <w:rFonts w:ascii="FangSong" w:hAnsi="FangSong" w:eastAsia="FangSong" w:cs="FangSong"/>
                <w:color w:val="000000"/>
                <w:sz w:val="24"/>
                <w:u w:val="single"/>
              </w:rPr>
              <w:t xml:space="preserve">       .00</w:t>
            </w:r>
            <w:r>
              <w:rPr>
                <w:rFonts w:ascii="FangSong" w:hAnsi="FangSong" w:eastAsia="FangSong" w:cs="FangSong"/>
                <w:color w:val="000000"/>
                <w:sz w:val="24"/>
              </w:rPr>
              <w:t xml:space="preserve">）。</w:t>
            </w:r>
            <w:r/>
          </w:p>
        </w:tc>
      </w:tr>
    </w:tbl>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如果乙方在工作中因自身过错而发生任何错误或遗漏，乙方应无条件更正，而不得向甲方另外收取服务费，并就因此而对甲方造成的损失承担赔偿责任，若因甲方原因造成工作的延误，将由甲方承担相应的损失。赔偿以合同表一所载明的该项服务内容对应的服务费为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3.合同采取一年一延续。甲方对乙方服务质量一年一考核，经甲方根据合同中考核条款考核合格后，合同继续履行一年，双方签订延续合同，最多续签二年。如甲方考核不合格，考核期结束后，合同自动终止。</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4.乙方的服务承诺：</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乙方接到甲方通过电话、信函传真、电子邮件、网上提交等方式提出关于表一所列服务的请求后，在两个有效工作日内给予响应并提供服务。若乙方未予以响应，视为乙方认可甲方要求，乙方必须按照请求执行。</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（2）乙方提供给甲方的服务，必须按照合同表一规定的标准进行。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第二条　服务费及支付方式</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本合同约定服务费包含所有乙方提供合同约定产品和服务的报酬及乙方提供合同中产品和服务所支出的必要的税、费及安装费用、验收费、送检费、技术服务费（包括技术资料、图纸提供等）、伴随服务及因产品本身及供货相关的费用等，甲方在上述合同价款之外不再向乙方支付其他任何费用。本合同执行中相关的一切税费均由乙方负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2.甲乙双方一致同意项目服务费按阶段以人民币形式支付。</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single"/>
        </w:rPr>
        <w:t xml:space="preserve">3.具体的付款方式：自合同签订，服务满半年并考核合格后支付本年度合同款50%，本年度服务期满并考核合格后支付本年度剩余尾款50%。</w:t>
      </w:r>
      <w:r/>
    </w:p>
    <w:p>
      <w:pPr>
        <w:ind w:left="-61" w:right="0" w:firstLine="514"/>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4.有关发票方面的任何问题，甲方应在收到发票后及时书面通知乙方，乙方应及时作出解释或解决问题，以使甲方能按时付款。</w:t>
      </w:r>
      <w:r/>
    </w:p>
    <w:p>
      <w:pPr>
        <w:ind w:left="-61" w:right="0" w:firstLine="514"/>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5.乙方将自行承担项目实施范围内合理的差旅费用。</w:t>
      </w:r>
      <w:r/>
    </w:p>
    <w:p>
      <w:pPr>
        <w:ind w:left="-61" w:right="0" w:firstLine="514"/>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6.乙方同意免除项目杂费。</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第三条技术资料</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1．乙方应按采购文件规定的时间向甲方提供有关技术资料。</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2．没有甲方事先书面同意，乙方不得将由甲方提供的有关合同或任何合同条文、规格、计划、图纸、样品或资料提供给与履行本合同无关的任何其他人。接触本合同的任何人员，均应注意保密。</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第四条知识产权</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应保证甲方在使用、接受本合同中产品和服务（或其任何一部分）时不得侵犯第三方的专利权、版权、商标权和工业设计权等知识产权。如甲方因本合同的签订以及使用本合同约定的服务而受到任何第三方的侵权索赔并遭受损失的，乙方应对甲方遭受的一切损失承担赔偿责任。</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第五条产权担保</w:t>
      </w:r>
      <w:r/>
    </w:p>
    <w:p>
      <w:pPr>
        <w:ind w:left="0" w:right="0" w:firstLine="315"/>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乙方保证所交付标的无任何抵押、查封等产权瑕疵。</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第六条　履约保证金 </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本项目无履约保证金。</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single"/>
        </w:rPr>
        <w:t xml:space="preserve">第七条合同履行期</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合同履行期【】年，从年月日至年月日止。</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single"/>
        </w:rPr>
        <w:t xml:space="preserve">第八条 验收标准</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1．根据国家有关规定、甲方谈判采购文件的要求、乙方的投标文件的承诺以及合同约定的内容和验收标准进行验收。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第九条　合同的变更、终止与转让</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1.乙方不得擅自转让其应履行的合同义务。</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2.双方除非事先得到对方的书面同意或本合同另有约定，任何一方不得将本合同项下的任何权利、义务、责任转让给任何第三方。</w:t>
      </w:r>
      <w:r/>
    </w:p>
    <w:p>
      <w:pPr>
        <w:ind w:left="56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第十条违约责任</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1.乙方应提供符合本合同约定和行业规范及惯例的专业化服务，如果达不到甲方的要求，乙方应立即更换人员或改进方法，以达到甲方要求。乙方如因服务错误、失误等原因导致甲方解除合同，乙方应承担全部责任外，还应退还甲方全部服务费。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乙方如果未按本合同约定的服务内容和方式履行合同项下义务，则甲方可以采取必要的补救措施，由此产生的风险和费用将由乙方承担。同时，甲方有权决定是否继续履行合同。如果甲方解除合同，则乙方应退还全部服务费并承担由此而给甲方造成的损失。</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3.乙方逾期完成服务的，乙方应按本合同约定服务费总金额每日3‰比例向甲方支付违约金，由甲方从待付款中扣除；逾期超过约定日期15个工作日不能完成服务的，甲方可解除本合同。</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乙方因逾期完成服务或因其他违约行为导致甲方解除合同的，在要求乙方承担上述责任外，乙方应向甲方支付本合同约定服务费总金额20%比例的违约金，如造成甲方损失超过违约金的，超出部分由乙方继续承担赔偿责任。</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凡乙方违约，甲方有权终止合同，另行组织采购；按合同约定及法律规定追究乙方的违约责任，并将乙方录入甲方不良行为供应商名录，视情节轻重决定是否上报江苏省财政厅，涉嫌犯罪的，移送司法机关处理。</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6．乙方在承担上述违约责任后，仍应继续履行合同规定的义务（甲方解除合同的除外）。甲方未能及时追究乙方的任何一项违约责任并不表明甲方放弃追究乙方该项或其他违约责任。</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w:t>
      </w:r>
      <w:r>
        <w:rPr>
          <w:rFonts w:ascii="FangSong" w:hAnsi="FangSong" w:eastAsia="FangSong" w:cs="FangSong"/>
          <w:color w:val="000000"/>
          <w:sz w:val="24"/>
          <w:u w:val="single"/>
        </w:rPr>
        <w:t xml:space="preserve">本项目杜绝安全事故的发生，乙方承诺在履约过程中采取必要的安全防护措施、在整个合同履行期间妥善保护好维保现场人员人身及财产安全，避免发生安全事故；乙方在维保过程中发生的各种安全事故，一切责任由乙方承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第十一条　争议处理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甲乙双方如对本合同约定条款的理解存在歧义或在本合同履行过程中发生争议，双方应友好协商解决，协商不能解决的，任何一方均同意甲方所在地人民法院提起诉讼。</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第十二条 不可抗力</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不可抗力”是指所有超出本合同双方控制范围的事件，该事件应不可预见，或虽然可以预见，但通过合理努力无法阻止或避免其发生，且这类事件发生于本合同签字之后，并且阻止任何一方全部或部分履行本合同。</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由于不可抗力事件，致使任何一方不能履行其在本合同项下的义务，该方不承担由此给另一方造成的损失；该方应及时通知另一方其不能履行或延迟履行合同义务的原因，并应尽快向另一方提供有关发生不可抗力的证明文件，按事故对本合同的影响程度，双方协商是否终止本合同，或部分免除本合同的义务。</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第十三条 其他</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1.合同表一和合同附件是本合同不可分割的组成部分，与本合同具有同等法律效力。</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2.本合同未尽事宜，由甲乙双方负责人协商后达成书面补充协议，补充协议具备与本合同同等法律效力。</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3.对本合同内容的任何修改和变更需要用书面形式，并经双方签字盖章后生效。</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4.甲方是本合同唯一的合法缔约者，除甲方特别书面授权外，甲方子公司、分公司或者管理人员、雇员等盖章或签字，均不代表甲方意志，甲方不承担法律责任。</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第十四条　签订本合同依据</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1.甲方发出的采购文件、中标（成交）通知书；</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2.乙方提供的投标（响应）文件；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3.投标承诺书。</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第十五条　</w:t>
      </w:r>
      <w:r>
        <w:rPr>
          <w:rFonts w:ascii="FangSong" w:hAnsi="FangSong" w:eastAsia="FangSong" w:cs="FangSong"/>
          <w:color w:val="000000"/>
          <w:sz w:val="24"/>
        </w:rPr>
        <w:t xml:space="preserve">本合同一式</w:t>
      </w:r>
      <w:r>
        <w:rPr>
          <w:rFonts w:ascii="FangSong" w:hAnsi="FangSong" w:eastAsia="FangSong" w:cs="FangSong"/>
          <w:color w:val="000000"/>
          <w:sz w:val="24"/>
          <w:u w:val="single"/>
        </w:rPr>
        <w:t xml:space="preserve">陆</w:t>
      </w:r>
      <w:r>
        <w:rPr>
          <w:rFonts w:ascii="FangSong" w:hAnsi="FangSong" w:eastAsia="FangSong" w:cs="FangSong"/>
          <w:color w:val="000000"/>
          <w:sz w:val="24"/>
        </w:rPr>
        <w:t xml:space="preserve">份，甲方</w:t>
      </w:r>
      <w:r>
        <w:rPr>
          <w:rFonts w:ascii="FangSong" w:hAnsi="FangSong" w:eastAsia="FangSong" w:cs="FangSong"/>
          <w:color w:val="000000"/>
          <w:sz w:val="24"/>
          <w:u w:val="single"/>
        </w:rPr>
        <w:t xml:space="preserve">肆</w:t>
      </w:r>
      <w:r>
        <w:rPr>
          <w:rFonts w:ascii="FangSong" w:hAnsi="FangSong" w:eastAsia="FangSong" w:cs="FangSong"/>
          <w:color w:val="000000"/>
          <w:sz w:val="24"/>
        </w:rPr>
        <w:t xml:space="preserve">份，乙方</w:t>
      </w:r>
      <w:r>
        <w:rPr>
          <w:rFonts w:ascii="FangSong" w:hAnsi="FangSong" w:eastAsia="FangSong" w:cs="FangSong"/>
          <w:color w:val="000000"/>
          <w:sz w:val="24"/>
          <w:u w:val="single"/>
        </w:rPr>
        <w:t xml:space="preserve">贰</w:t>
      </w:r>
      <w:r>
        <w:rPr>
          <w:rFonts w:ascii="FangSong" w:hAnsi="FangSong" w:eastAsia="FangSong" w:cs="FangSong"/>
          <w:color w:val="000000"/>
          <w:sz w:val="24"/>
        </w:rPr>
        <w:t xml:space="preserve">份。（如有需要可另增加）</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本合同自甲乙双方签字盖章后生效。</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528"/>
        <w:gridCol w:w="4530"/>
      </w:tblGrid>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28"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甲方（公章）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0"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乙方（公章）</w:t>
            </w:r>
            <w:r/>
          </w:p>
        </w:tc>
      </w:tr>
      <w:tr>
        <w:trPr>
          <w:trHeight w:val="2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28"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单位地址：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0"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单位地址：</w:t>
            </w:r>
            <w:r/>
          </w:p>
        </w:tc>
      </w:tr>
      <w:tr>
        <w:trPr>
          <w:trHeight w:val="8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28"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法定代表人（或委托代理人）</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（签字）：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0"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法定代表人（或委托代理人）</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（签字）：</w:t>
            </w:r>
            <w:r/>
          </w:p>
        </w:tc>
      </w:tr>
      <w:tr>
        <w:trPr>
          <w:trHeight w:val="4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28"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0"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电话：</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28"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开户银行：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0"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开户银行：</w:t>
            </w:r>
            <w:r/>
          </w:p>
        </w:tc>
      </w:tr>
      <w:tr>
        <w:trPr>
          <w:trHeight w:val="4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28"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账号：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0"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账号：</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28"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年   月    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0"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年   月   日</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4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 投标文件格式及附件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投标文件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投标人：（加盖电子公章）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  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目录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（注：供应商根据本章附件顺序编制投标文件并制作目录（须生成页码））</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附件一、投标申请及声明格式</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投标申请及声明</w:t>
      </w:r>
      <w:r/>
    </w:p>
    <w:p>
      <w:pPr>
        <w:ind w:left="0" w:right="0" w:firstLine="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致：江苏省设备成套股份有限公司</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SimSun" w:hAnsi="SimSun" w:eastAsia="SimSun" w:cs="SimSun"/>
          <w:color w:val="000000"/>
          <w:sz w:val="21"/>
          <w:u w:val="single"/>
        </w:rPr>
        <w:t xml:space="preserve">           （</w:t>
      </w:r>
      <w:r>
        <w:rPr>
          <w:rFonts w:ascii="SimSun" w:hAnsi="SimSun" w:eastAsia="SimSun" w:cs="SimSun"/>
          <w:color w:val="000000"/>
          <w:sz w:val="21"/>
        </w:rPr>
        <w:t xml:space="preserve">项目名称） </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（项目编号）投标邀请，正式授权下述签字人</w:t>
      </w:r>
      <w:r>
        <w:rPr>
          <w:rFonts w:ascii="SimSun" w:hAnsi="SimSun" w:eastAsia="SimSun" w:cs="SimSun"/>
          <w:color w:val="000000"/>
          <w:sz w:val="21"/>
          <w:u w:val="single"/>
        </w:rPr>
        <w:t xml:space="preserve">           </w:t>
      </w:r>
      <w:r>
        <w:rPr>
          <w:rFonts w:ascii="SimSun" w:hAnsi="SimSun" w:eastAsia="SimSun" w:cs="SimSun"/>
          <w:color w:val="000000"/>
          <w:sz w:val="21"/>
        </w:rPr>
        <w:t xml:space="preserve">(姓名和职务)代表投标人</w:t>
      </w:r>
      <w:r>
        <w:rPr>
          <w:rFonts w:ascii="SimSun" w:hAnsi="SimSun" w:eastAsia="SimSun" w:cs="SimSun"/>
          <w:color w:val="000000"/>
          <w:sz w:val="21"/>
          <w:u w:val="single"/>
        </w:rPr>
        <w:t xml:space="preserve">     </w:t>
      </w:r>
      <w:r>
        <w:rPr>
          <w:rFonts w:ascii="SimSun" w:hAnsi="SimSun" w:eastAsia="SimSun" w:cs="SimSun"/>
          <w:color w:val="000000"/>
          <w:sz w:val="21"/>
        </w:rPr>
        <w:t xml:space="preserve">（投标人名称），提交投标文件。</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据此函，签字人兹宣布声明和承诺如下：</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1、我们的资格条件完全符合政府采购法和本次招标要求，我们同意并向贵方提供了与投标有关的所有证据和资料。</w:t>
      </w:r>
      <w:r/>
    </w:p>
    <w:p>
      <w:pPr>
        <w:ind w:left="1470" w:right="0" w:hanging="105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2、按招标要求，我们的投标总报价详见开标一览表。</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3、本项目服务时间为：</w:t>
      </w:r>
      <w:r>
        <w:rPr>
          <w:rFonts w:ascii="SimSun" w:hAnsi="SimSun" w:eastAsia="SimSun" w:cs="SimSun"/>
          <w:color w:val="000000"/>
          <w:sz w:val="21"/>
          <w:u w:val="single"/>
        </w:rPr>
        <w:t xml:space="preserve">  满足招标文件要求</w:t>
      </w:r>
      <w:r>
        <w:rPr>
          <w:rFonts w:ascii="SimSun" w:hAnsi="SimSun" w:eastAsia="SimSun" w:cs="SimSun"/>
          <w:color w:val="000000"/>
          <w:sz w:val="21"/>
        </w:rPr>
        <w:t xml:space="preserve">。</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4、我们已详细阅读全部招标文件及其有效补充文件，我们放弃对招标文件任何误解的权利，提交投标文件后，不对招标文件本身提出质疑。</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5、我们同意从规定的开标日期起遵循本投标文件，并在规定的投标有效期期满之前均具有约束力。</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6、一旦我方中标，我方将根据招标文件的规定及我方投标承诺严格履行合同。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8、与本投标有关的正式联系方式为：</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w:t>
      </w:r>
      <w:r>
        <w:rPr>
          <w:rFonts w:ascii="SimSun" w:hAnsi="SimSun" w:eastAsia="SimSun" w:cs="SimSun"/>
          <w:color w:val="000000"/>
          <w:sz w:val="21"/>
          <w:u w:val="single"/>
        </w:rPr>
        <w:t xml:space="preserve">                 </w:t>
      </w:r>
      <w:r>
        <w:rPr>
          <w:rFonts w:ascii="SimSun" w:hAnsi="SimSun" w:eastAsia="SimSun" w:cs="SimSun"/>
          <w:color w:val="000000"/>
          <w:sz w:val="21"/>
        </w:rPr>
        <w:t xml:space="preserve">（加盖电子公章）</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附件二、法定代表人授权书格式</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法人授权书</w:t>
      </w:r>
      <w:r/>
    </w:p>
    <w:p>
      <w:pPr>
        <w:ind w:left="0" w:right="0" w:firstLine="480"/>
        <w:spacing w:before="240" w:after="240" w:line="41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（被授权人姓名）作为我方参加编号为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本授权书自______年____月____日起生效，特此声明。</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84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被授权人的身份证的复印件: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附件三、开标一览表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开标一览表</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7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项目名称：项目编号：</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69"/>
        <w:gridCol w:w="1469"/>
        <w:gridCol w:w="6156"/>
      </w:tblGrid>
      <w:tr>
        <w:trPr>
          <w:trHeight w:val="1198"/>
        </w:trPr>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136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投标总价</w:t>
            </w:r>
            <w:r/>
          </w:p>
        </w:tc>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146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合计</w:t>
            </w:r>
            <w:r/>
          </w:p>
        </w:tc>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6156"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小写：人民币            元    </w:t>
            </w:r>
            <w:r/>
          </w:p>
          <w:p>
            <w:pPr>
              <w:ind w:left="0" w:right="0" w:firstLine="47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大写：人民币                     </w:t>
            </w:r>
            <w:r/>
          </w:p>
        </w:tc>
      </w:tr>
      <w:tr>
        <w:trPr>
          <w:trHeight w:val="829"/>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36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服务期</w:t>
            </w:r>
            <w:r/>
          </w:p>
        </w:tc>
        <w:tc>
          <w:tcPr>
            <w:gridSpan w:val="2"/>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7625" w:type="dxa"/>
            <w:vAlign w:val="center"/>
            <w:textDirection w:val="lrTb"/>
            <w:noWrap w:val="false"/>
          </w:tcPr>
          <w:p>
            <w:pPr>
              <w:ind w:left="0" w:right="0" w:firstLine="474"/>
              <w:jc w:val="both"/>
              <w:spacing w:before="0" w:after="0" w:line="439" w:lineRule="atLeast"/>
              <w:tabs>
                <w:tab w:val="left" w:pos="362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满足招标文件要求。</w:t>
            </w:r>
            <w:r/>
          </w:p>
        </w:tc>
      </w:tr>
      <w:tr>
        <w:trPr>
          <w:trHeight w:val="1206"/>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3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投标标的是否全部由小微企业（含视同小微企业）提供</w:t>
            </w:r>
            <w:r/>
          </w:p>
        </w:tc>
        <w:tc>
          <w:tcPr>
            <w:gridSpan w:val="2"/>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7625" w:type="dxa"/>
            <w:vAlign w:val="center"/>
            <w:textDirection w:val="lrTb"/>
            <w:noWrap w:val="false"/>
          </w:tcPr>
          <w:p>
            <w:pPr>
              <w:ind w:left="0" w:right="0" w:firstLine="47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（填写“是”或“否）</w:t>
            </w:r>
            <w:r/>
          </w:p>
        </w:tc>
      </w:tr>
      <w:tr>
        <w:trPr>
          <w:trHeight w:val="1206"/>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3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c>
          <w:tcPr>
            <w:gridSpan w:val="2"/>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76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注：1.本开标一览表的格式以苏采云系统中为准。</w:t>
            </w:r>
            <w:r/>
          </w:p>
          <w:p>
            <w:pPr>
              <w:ind w:left="0" w:right="0" w:firstLine="47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2.以上价格指三年服务总价。</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numPr>
          <w:ilvl w:val="0"/>
          <w:numId w:val="4"/>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本项目仅接受一个价格，不得填报有选择性报价方案。如有优惠条款须注明，但不得影响报价，影响项目履约交付。</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投标标的是否全部由小微企业提供”栏内填写“是”或“否”。如填写“是”，投标人应按招标文件要求提供《中小企业声明函》、《残疾人福利性单位声明函》、《属于监狱企业的证明文件》。如未按要求提供、填写，不享受价格扣除。</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附表——分项报价表格式</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89"/>
        <w:gridCol w:w="1683"/>
        <w:gridCol w:w="1568"/>
        <w:gridCol w:w="1385"/>
        <w:gridCol w:w="1222"/>
        <w:gridCol w:w="1758"/>
        <w:gridCol w:w="991"/>
      </w:tblGrid>
      <w:tr>
        <w:trPr>
          <w:trHeight w:val="10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费用简述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单价</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合价</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4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3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2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140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报价合计</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（一年）</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24"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小写：人民币</w:t>
            </w:r>
            <w:r>
              <w:rPr>
                <w:rFonts w:ascii="SimSun" w:hAnsi="SimSun" w:eastAsia="SimSun" w:cs="SimSun"/>
                <w:b/>
                <w:color w:val="000000"/>
                <w:sz w:val="21"/>
                <w:u w:val="single"/>
              </w:rPr>
              <w:t xml:space="preserve">            </w:t>
            </w:r>
            <w:r>
              <w:rPr>
                <w:rFonts w:ascii="SimSun" w:hAnsi="SimSun" w:eastAsia="SimSun" w:cs="SimSun"/>
                <w:b/>
                <w:color w:val="000000"/>
                <w:sz w:val="21"/>
              </w:rPr>
              <w:t xml:space="preserve">元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大写：人民币</w:t>
            </w:r>
            <w:r/>
          </w:p>
        </w:tc>
      </w:tr>
      <w:tr>
        <w:trPr>
          <w:trHeight w:val="140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报价总计</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（三年）</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24"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小写：人民币</w:t>
            </w:r>
            <w:r>
              <w:rPr>
                <w:rFonts w:ascii="SimSun" w:hAnsi="SimSun" w:eastAsia="SimSun" w:cs="SimSun"/>
                <w:b/>
                <w:color w:val="000000"/>
                <w:sz w:val="21"/>
                <w:u w:val="single"/>
              </w:rPr>
              <w:t xml:space="preserve">            </w:t>
            </w:r>
            <w:r>
              <w:rPr>
                <w:rFonts w:ascii="SimSun" w:hAnsi="SimSun" w:eastAsia="SimSun" w:cs="SimSun"/>
                <w:b/>
                <w:color w:val="000000"/>
                <w:sz w:val="21"/>
              </w:rPr>
              <w:t xml:space="preserve">元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大写：人民币</w:t>
            </w:r>
            <w:r/>
          </w:p>
        </w:tc>
      </w:tr>
    </w:tbl>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1.此报价包含所需的全部费用，采购人不再另行支付任何费用。</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附件四、采购需求偏离表格式</w:t>
      </w:r>
      <w:r/>
    </w:p>
    <w:p>
      <w:pPr>
        <w:ind w:left="435"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84"/>
        <w:spacing w:before="0" w:after="0" w:line="85" w:lineRule="atLeast"/>
        <w:tabs>
          <w:tab w:val="left" w:pos="539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tab/>
        <w:t xml:space="preserve">项目编号：  </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2"/>
        <w:gridCol w:w="1678"/>
        <w:gridCol w:w="1931"/>
        <w:gridCol w:w="3012"/>
        <w:gridCol w:w="1246"/>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条款内容</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说明：投标文件采购需求部分内容响应存在正偏离或负偏离的，请在本表中逐条列出。未列出的，视为响应招标文件要求。如果行数不够，请自行增加。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附件五、商务条款偏离表格式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商务条款偏离表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
        <w:spacing w:before="0" w:after="0" w:line="85" w:lineRule="atLeast"/>
        <w:tabs>
          <w:tab w:val="left" w:pos="536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tab/>
        <w:t xml:space="preserve">项目编号：         </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0"/>
        <w:gridCol w:w="1679"/>
        <w:gridCol w:w="2488"/>
        <w:gridCol w:w="3004"/>
        <w:gridCol w:w="1201"/>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条款内容</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说明：投标文件商务部分内容响应存在正偏离或负偏离的，请在本表中逐条列出。未列出的，视为响应招标文件要求。如果行数不够，请自行增加。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附件六、技术说明与服务方案</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技术方案及服务承诺应根据采购人对项目的要求、评标标准的要求及项目本身的特点编写，内容应包括但不限于以下内容：</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附件七、拟参与本项目服务人员一览表</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拟参与本项目服务人员一览表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28"/>
        <w:gridCol w:w="886"/>
        <w:gridCol w:w="655"/>
        <w:gridCol w:w="701"/>
        <w:gridCol w:w="1121"/>
        <w:gridCol w:w="920"/>
        <w:gridCol w:w="1008"/>
        <w:gridCol w:w="982"/>
        <w:gridCol w:w="872"/>
        <w:gridCol w:w="840"/>
        <w:gridCol w:w="84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执业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证书号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相关工作年限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附件八、 投标人类似业绩情况表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投标人类似业绩情况表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4"/>
        <w:gridCol w:w="1540"/>
        <w:gridCol w:w="1401"/>
        <w:gridCol w:w="980"/>
        <w:gridCol w:w="1021"/>
        <w:gridCol w:w="1498"/>
        <w:gridCol w:w="1120"/>
        <w:gridCol w:w="112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获奖</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签约及服务</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联系人及电话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1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附件九：企业声明函格式</w:t>
      </w:r>
      <w:r/>
    </w:p>
    <w:p>
      <w:pPr>
        <w:ind w:left="0" w:right="0" w:firstLine="0"/>
        <w:jc w:val="center"/>
        <w:spacing w:before="312"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中小企业声明函（工程、服务）</w:t>
      </w:r>
      <w:r/>
    </w:p>
    <w:p>
      <w:pPr>
        <w:ind w:left="0" w:right="0" w:firstLine="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46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）；承建（承接）企业为（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ab/>
      </w:r>
      <w:r>
        <w:rPr>
          <w:rFonts w:ascii="SimSun" w:hAnsi="SimSun" w:eastAsia="SimSun" w:cs="SimSun"/>
          <w:color w:val="000000"/>
          <w:sz w:val="21"/>
        </w:rPr>
        <w:t xml:space="preserve">人，营业收入为</w:t>
      </w:r>
      <w:r>
        <w:rPr>
          <w:rFonts w:ascii="SimSun" w:hAnsi="SimSun" w:eastAsia="SimSun" w:cs="SimSun"/>
          <w:color w:val="000000"/>
          <w:sz w:val="21"/>
          <w:u w:val="single"/>
        </w:rPr>
        <w:tab/>
      </w:r>
      <w:r>
        <w:rPr>
          <w:rFonts w:ascii="SimSun" w:hAnsi="SimSun" w:eastAsia="SimSun" w:cs="SimSun"/>
          <w:color w:val="000000"/>
          <w:sz w:val="21"/>
        </w:rPr>
        <w:t xml:space="preserve">万元，资产总额为</w:t>
      </w:r>
      <w:r>
        <w:rPr>
          <w:rFonts w:ascii="SimSun" w:hAnsi="SimSun" w:eastAsia="SimSun" w:cs="SimSun"/>
          <w:color w:val="000000"/>
          <w:sz w:val="21"/>
          <w:u w:val="single"/>
        </w:rPr>
        <w:tab/>
      </w:r>
      <w:r>
        <w:rPr>
          <w:rFonts w:ascii="SimSun" w:hAnsi="SimSun" w:eastAsia="SimSun" w:cs="SimSun"/>
          <w:color w:val="000000"/>
          <w:sz w:val="21"/>
        </w:rPr>
        <w:t xml:space="preserve">万元</w:t>
      </w:r>
      <w:r>
        <w:rPr>
          <w:rFonts w:ascii="SimSun" w:hAnsi="SimSun" w:eastAsia="SimSun" w:cs="SimSun"/>
          <w:color w:val="000000"/>
          <w:sz w:val="21"/>
          <w:vertAlign w:val="superscript"/>
        </w:rPr>
        <w:t xml:space="preserve">1</w:t>
      </w:r>
      <w:r>
        <w:rPr>
          <w:rFonts w:ascii="SimSun" w:hAnsi="SimSun" w:eastAsia="SimSun" w:cs="SimSun"/>
          <w:color w:val="000000"/>
          <w:sz w:val="21"/>
        </w:rPr>
        <w:t xml:space="preserve">，属于（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）；承建（承接）企业为（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ab/>
      </w:r>
      <w:r>
        <w:rPr>
          <w:rFonts w:ascii="SimSun" w:hAnsi="SimSun" w:eastAsia="SimSun" w:cs="SimSun"/>
          <w:color w:val="000000"/>
          <w:sz w:val="21"/>
        </w:rPr>
        <w:t xml:space="preserve">人，营业收入为</w:t>
      </w:r>
      <w:r>
        <w:rPr>
          <w:rFonts w:ascii="SimSun" w:hAnsi="SimSun" w:eastAsia="SimSun" w:cs="SimSun"/>
          <w:color w:val="000000"/>
          <w:sz w:val="21"/>
          <w:u w:val="single"/>
        </w:rPr>
        <w:tab/>
      </w:r>
      <w:r>
        <w:rPr>
          <w:rFonts w:ascii="SimSun" w:hAnsi="SimSun" w:eastAsia="SimSun" w:cs="SimSun"/>
          <w:color w:val="000000"/>
          <w:sz w:val="21"/>
        </w:rPr>
        <w:t xml:space="preserve">万元，资产总额为</w:t>
      </w:r>
      <w:r>
        <w:rPr>
          <w:rFonts w:ascii="SimSun" w:hAnsi="SimSun" w:eastAsia="SimSun" w:cs="SimSun"/>
          <w:color w:val="000000"/>
          <w:sz w:val="21"/>
          <w:u w:val="single"/>
        </w:rPr>
        <w:tab/>
      </w:r>
      <w:r>
        <w:rPr>
          <w:rFonts w:ascii="SimSun" w:hAnsi="SimSun" w:eastAsia="SimSun" w:cs="SimSun"/>
          <w:color w:val="000000"/>
          <w:sz w:val="21"/>
        </w:rPr>
        <w:t xml:space="preserve">万元，属于（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企业名称（加盖电子公章）：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残疾人福利性单位声明函</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单位名称（加盖电子公章）：</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节能产品认证证书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环境标志产品认证证书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进口产品转让技术、消化吸收再创新方案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（对于允许进口产品参加的项目）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附件十、无重大违法记录声明格式</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江苏省设备成套股份有限公司：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3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我单位（供应商名称）郑重声明：</w:t>
      </w:r>
      <w:r/>
    </w:p>
    <w:p>
      <w:pPr>
        <w:ind w:left="0" w:right="0" w:firstLine="30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我单位参加政府采购活动前3年内在经营活动中（</w:t>
      </w:r>
      <w:r>
        <w:rPr>
          <w:rFonts w:ascii="SimSun" w:hAnsi="SimSun" w:eastAsia="SimSun" w:cs="SimSun"/>
          <w:b/>
          <w:i/>
          <w:color w:val="000000"/>
          <w:sz w:val="21"/>
          <w:u w:val="single"/>
        </w:rPr>
        <w:t xml:space="preserve">在下划线上如实填写：有或没有</w:t>
      </w:r>
      <w:r>
        <w:rPr>
          <w:rFonts w:ascii="SimSun" w:hAnsi="SimSun" w:eastAsia="SimSun" w:cs="SimSun"/>
          <w:color w:val="000000"/>
          <w:sz w:val="21"/>
        </w:rPr>
        <w:t xml:space="preserve">）</w:t>
      </w:r>
      <w:r>
        <w:rPr>
          <w:rFonts w:ascii="SimSun" w:hAnsi="SimSun" w:eastAsia="SimSun" w:cs="SimSun"/>
          <w:b/>
          <w:color w:val="000000"/>
          <w:sz w:val="21"/>
        </w:rPr>
        <w:t xml:space="preserve">重大违法记录，且不是失信被执行人、重大税收违法案件当事人名单、政府采购严重违法失信行为记录名单的供应商。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10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声明人：（加盖电子公章）</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w:t>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附件十一、 资格资信证明文件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附件十二、 联合体协议及联合体授权委托书（如允许联合体）</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附件十三、《南京市政府采购供应商信用记录表暨信用承诺书》（网站在线打印）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4191000" cy="496252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933104" name=""/>
                        <pic:cNvPicPr>
                          <a:picLocks noChangeAspect="1"/>
                        </pic:cNvPicPr>
                        <pic:nvPr/>
                      </pic:nvPicPr>
                      <pic:blipFill>
                        <a:blip/>
                        <a:stretch/>
                      </pic:blipFill>
                      <pic:spPr bwMode="auto">
                        <a:xfrm>
                          <a:off x="0" y="0"/>
                          <a:ext cx="4190999" cy="4962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30.0pt;height:390.8pt;mso-wrap-distance-left:0.0pt;mso-wrap-distance-top:0.0pt;mso-wrap-distance-right:0.0pt;mso-wrap-distance-bottom:0.0pt;" stroked="false">
                <v:path textboxrect="0,0,0,0"/>
              </v:shape>
            </w:pict>
          </mc:Fallback>
        </mc:AlternateContent>
      </w: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附件十四、其他</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FangSong">
    <w:panose1 w:val="02010609060101010101"/>
  </w:font>
  <w:font w:name="Times New Roman">
    <w:panose1 w:val="02020603050405020304"/>
  </w:font>
  <w:font w:name="Calibri">
    <w:panose1 w:val="020F0502020204030204"/>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decimal"/>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decimal"/>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decimal"/>
      <w:isLgl w:val="false"/>
      <w:suff w:val="tab"/>
      <w:lvlText w:val="%9."/>
      <w:lvlJc w:val="right"/>
      <w:pPr>
        <w:ind w:left="3990" w:hanging="420"/>
      </w:pPr>
    </w:lvl>
  </w:abstractNum>
  <w:abstractNum w:abstractNumId="1">
    <w:multiLevelType w:val="hybridMultilevel"/>
    <w:lvl w:ilvl="0">
      <w:start w:val="29"/>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2">
    <w:name w:val="Heading 1"/>
    <w:link w:val="643"/>
    <w:uiPriority w:val="9"/>
    <w:qFormat/>
    <w:pPr>
      <w:keepLines/>
      <w:keepNext/>
      <w:spacing w:before="480" w:after="200"/>
      <w:outlineLvl w:val="0"/>
    </w:pPr>
    <w:rPr>
      <w:rFonts w:ascii="Arial" w:hAnsi="Arial" w:eastAsia="Arial" w:cs="Arial"/>
      <w:sz w:val="40"/>
      <w:szCs w:val="40"/>
    </w:rPr>
  </w:style>
  <w:style w:type="character" w:styleId="643">
    <w:name w:val="Heading 1 Char"/>
    <w:link w:val="642"/>
    <w:uiPriority w:val="9"/>
    <w:rPr>
      <w:rFonts w:ascii="Arial" w:hAnsi="Arial" w:eastAsia="Arial" w:cs="Arial"/>
      <w:sz w:val="40"/>
      <w:szCs w:val="40"/>
    </w:rPr>
  </w:style>
  <w:style w:type="paragraph" w:styleId="644">
    <w:name w:val="Heading 2"/>
    <w:link w:val="645"/>
    <w:uiPriority w:val="9"/>
    <w:unhideWhenUsed/>
    <w:qFormat/>
    <w:pPr>
      <w:keepLines/>
      <w:keepNext/>
      <w:spacing w:before="360" w:after="200"/>
      <w:outlineLvl w:val="1"/>
    </w:pPr>
    <w:rPr>
      <w:rFonts w:ascii="Arial" w:hAnsi="Arial" w:eastAsia="Arial" w:cs="Arial"/>
      <w:sz w:val="34"/>
    </w:rPr>
  </w:style>
  <w:style w:type="character" w:styleId="645">
    <w:name w:val="Heading 2 Char"/>
    <w:link w:val="644"/>
    <w:uiPriority w:val="9"/>
    <w:rPr>
      <w:rFonts w:ascii="Arial" w:hAnsi="Arial" w:eastAsia="Arial" w:cs="Arial"/>
      <w:sz w:val="34"/>
    </w:rPr>
  </w:style>
  <w:style w:type="paragraph" w:styleId="646">
    <w:name w:val="Heading 3"/>
    <w:link w:val="647"/>
    <w:uiPriority w:val="9"/>
    <w:unhideWhenUsed/>
    <w:qFormat/>
    <w:pPr>
      <w:keepLines/>
      <w:keepNext/>
      <w:spacing w:before="320" w:after="200"/>
      <w:outlineLvl w:val="2"/>
    </w:pPr>
    <w:rPr>
      <w:rFonts w:ascii="Arial" w:hAnsi="Arial" w:eastAsia="Arial" w:cs="Arial"/>
      <w:sz w:val="30"/>
      <w:szCs w:val="30"/>
    </w:rPr>
  </w:style>
  <w:style w:type="character" w:styleId="647">
    <w:name w:val="Heading 3 Char"/>
    <w:link w:val="646"/>
    <w:uiPriority w:val="9"/>
    <w:rPr>
      <w:rFonts w:ascii="Arial" w:hAnsi="Arial" w:eastAsia="Arial" w:cs="Arial"/>
      <w:sz w:val="30"/>
      <w:szCs w:val="30"/>
    </w:rPr>
  </w:style>
  <w:style w:type="paragraph" w:styleId="648">
    <w:name w:val="Heading 4"/>
    <w:link w:val="649"/>
    <w:uiPriority w:val="9"/>
    <w:unhideWhenUsed/>
    <w:qFormat/>
    <w:pPr>
      <w:keepLines/>
      <w:keepNext/>
      <w:spacing w:before="320" w:after="200"/>
      <w:outlineLvl w:val="3"/>
    </w:pPr>
    <w:rPr>
      <w:rFonts w:ascii="Arial" w:hAnsi="Arial" w:eastAsia="Arial" w:cs="Arial"/>
      <w:b/>
      <w:bCs/>
      <w:sz w:val="26"/>
      <w:szCs w:val="26"/>
    </w:rPr>
  </w:style>
  <w:style w:type="character" w:styleId="649">
    <w:name w:val="Heading 4 Char"/>
    <w:link w:val="648"/>
    <w:uiPriority w:val="9"/>
    <w:rPr>
      <w:rFonts w:ascii="Arial" w:hAnsi="Arial" w:eastAsia="Arial" w:cs="Arial"/>
      <w:b/>
      <w:bCs/>
      <w:sz w:val="26"/>
      <w:szCs w:val="26"/>
    </w:rPr>
  </w:style>
  <w:style w:type="paragraph" w:styleId="650">
    <w:name w:val="Heading 5"/>
    <w:link w:val="651"/>
    <w:uiPriority w:val="9"/>
    <w:unhideWhenUsed/>
    <w:qFormat/>
    <w:pPr>
      <w:keepLines/>
      <w:keepNext/>
      <w:spacing w:before="320" w:after="200"/>
      <w:outlineLvl w:val="4"/>
    </w:pPr>
    <w:rPr>
      <w:rFonts w:ascii="Arial" w:hAnsi="Arial" w:eastAsia="Arial" w:cs="Arial"/>
      <w:b/>
      <w:bCs/>
      <w:sz w:val="24"/>
      <w:szCs w:val="24"/>
    </w:rPr>
  </w:style>
  <w:style w:type="character" w:styleId="651">
    <w:name w:val="Heading 5 Char"/>
    <w:link w:val="650"/>
    <w:uiPriority w:val="9"/>
    <w:rPr>
      <w:rFonts w:ascii="Arial" w:hAnsi="Arial" w:eastAsia="Arial" w:cs="Arial"/>
      <w:b/>
      <w:bCs/>
      <w:sz w:val="24"/>
      <w:szCs w:val="24"/>
    </w:rPr>
  </w:style>
  <w:style w:type="paragraph" w:styleId="652">
    <w:name w:val="Heading 6"/>
    <w:link w:val="653"/>
    <w:uiPriority w:val="9"/>
    <w:unhideWhenUsed/>
    <w:qFormat/>
    <w:pPr>
      <w:keepLines/>
      <w:keepNext/>
      <w:spacing w:before="320" w:after="200"/>
      <w:outlineLvl w:val="5"/>
    </w:pPr>
    <w:rPr>
      <w:rFonts w:ascii="Arial" w:hAnsi="Arial" w:eastAsia="Arial" w:cs="Arial"/>
      <w:b/>
      <w:bCs/>
      <w:sz w:val="22"/>
      <w:szCs w:val="22"/>
    </w:rPr>
  </w:style>
  <w:style w:type="character" w:styleId="653">
    <w:name w:val="Heading 6 Char"/>
    <w:link w:val="652"/>
    <w:uiPriority w:val="9"/>
    <w:rPr>
      <w:rFonts w:ascii="Arial" w:hAnsi="Arial" w:eastAsia="Arial" w:cs="Arial"/>
      <w:b/>
      <w:bCs/>
      <w:sz w:val="22"/>
      <w:szCs w:val="22"/>
    </w:rPr>
  </w:style>
  <w:style w:type="paragraph" w:styleId="654">
    <w:name w:val="Heading 7"/>
    <w:link w:val="655"/>
    <w:uiPriority w:val="9"/>
    <w:unhideWhenUsed/>
    <w:qFormat/>
    <w:pPr>
      <w:keepLines/>
      <w:keepNext/>
      <w:spacing w:before="320" w:after="200"/>
      <w:outlineLvl w:val="6"/>
    </w:pPr>
    <w:rPr>
      <w:rFonts w:ascii="Arial" w:hAnsi="Arial" w:eastAsia="Arial" w:cs="Arial"/>
      <w:b/>
      <w:bCs/>
      <w:i/>
      <w:iCs/>
      <w:sz w:val="22"/>
      <w:szCs w:val="22"/>
    </w:rPr>
  </w:style>
  <w:style w:type="character" w:styleId="655">
    <w:name w:val="Heading 7 Char"/>
    <w:link w:val="654"/>
    <w:uiPriority w:val="9"/>
    <w:rPr>
      <w:rFonts w:ascii="Arial" w:hAnsi="Arial" w:eastAsia="Arial" w:cs="Arial"/>
      <w:b/>
      <w:bCs/>
      <w:i/>
      <w:iCs/>
      <w:sz w:val="22"/>
      <w:szCs w:val="22"/>
    </w:rPr>
  </w:style>
  <w:style w:type="paragraph" w:styleId="656">
    <w:name w:val="Heading 8"/>
    <w:link w:val="657"/>
    <w:uiPriority w:val="9"/>
    <w:unhideWhenUsed/>
    <w:qFormat/>
    <w:pPr>
      <w:keepLines/>
      <w:keepNext/>
      <w:spacing w:before="320" w:after="200"/>
      <w:outlineLvl w:val="7"/>
    </w:pPr>
    <w:rPr>
      <w:rFonts w:ascii="Arial" w:hAnsi="Arial" w:eastAsia="Arial" w:cs="Arial"/>
      <w:i/>
      <w:iCs/>
      <w:sz w:val="22"/>
      <w:szCs w:val="22"/>
    </w:rPr>
  </w:style>
  <w:style w:type="character" w:styleId="657">
    <w:name w:val="Heading 8 Char"/>
    <w:link w:val="656"/>
    <w:uiPriority w:val="9"/>
    <w:rPr>
      <w:rFonts w:ascii="Arial" w:hAnsi="Arial" w:eastAsia="Arial" w:cs="Arial"/>
      <w:i/>
      <w:iCs/>
      <w:sz w:val="22"/>
      <w:szCs w:val="22"/>
    </w:rPr>
  </w:style>
  <w:style w:type="paragraph" w:styleId="658">
    <w:name w:val="Heading 9"/>
    <w:link w:val="659"/>
    <w:uiPriority w:val="9"/>
    <w:unhideWhenUsed/>
    <w:qFormat/>
    <w:pPr>
      <w:keepLines/>
      <w:keepNext/>
      <w:spacing w:before="320" w:after="200"/>
      <w:outlineLvl w:val="8"/>
    </w:pPr>
    <w:rPr>
      <w:rFonts w:ascii="Arial" w:hAnsi="Arial" w:eastAsia="Arial" w:cs="Arial"/>
      <w:i/>
      <w:iCs/>
      <w:sz w:val="21"/>
      <w:szCs w:val="21"/>
    </w:rPr>
  </w:style>
  <w:style w:type="character" w:styleId="659">
    <w:name w:val="Heading 9 Char"/>
    <w:link w:val="658"/>
    <w:uiPriority w:val="9"/>
    <w:rPr>
      <w:rFonts w:ascii="Arial" w:hAnsi="Arial" w:eastAsia="Arial" w:cs="Arial"/>
      <w:i/>
      <w:iCs/>
      <w:sz w:val="21"/>
      <w:szCs w:val="21"/>
    </w:rPr>
  </w:style>
  <w:style w:type="paragraph" w:styleId="660">
    <w:name w:val="List Paragraph"/>
    <w:uiPriority w:val="34"/>
    <w:qFormat/>
    <w:pPr>
      <w:contextualSpacing/>
      <w:ind w:left="720"/>
    </w:pPr>
  </w:style>
  <w:style w:type="paragraph" w:styleId="661">
    <w:name w:val="No Spacing"/>
    <w:uiPriority w:val="1"/>
    <w:qFormat/>
    <w:pPr>
      <w:spacing w:before="0" w:after="0" w:line="240" w:lineRule="auto"/>
    </w:pPr>
  </w:style>
  <w:style w:type="paragraph" w:styleId="662">
    <w:name w:val="Title"/>
    <w:link w:val="663"/>
    <w:uiPriority w:val="10"/>
    <w:qFormat/>
    <w:pPr>
      <w:contextualSpacing/>
      <w:spacing w:before="300" w:after="200"/>
    </w:pPr>
    <w:rPr>
      <w:sz w:val="48"/>
      <w:szCs w:val="48"/>
    </w:rPr>
  </w:style>
  <w:style w:type="character" w:styleId="663">
    <w:name w:val="Title Char"/>
    <w:link w:val="662"/>
    <w:uiPriority w:val="10"/>
    <w:rPr>
      <w:sz w:val="48"/>
      <w:szCs w:val="48"/>
    </w:rPr>
  </w:style>
  <w:style w:type="paragraph" w:styleId="664">
    <w:name w:val="Subtitle"/>
    <w:link w:val="665"/>
    <w:uiPriority w:val="11"/>
    <w:qFormat/>
    <w:pPr>
      <w:spacing w:before="200" w:after="200"/>
    </w:pPr>
    <w:rPr>
      <w:sz w:val="24"/>
      <w:szCs w:val="24"/>
    </w:rPr>
  </w:style>
  <w:style w:type="character" w:styleId="665">
    <w:name w:val="Subtitle Char"/>
    <w:link w:val="664"/>
    <w:uiPriority w:val="11"/>
    <w:rPr>
      <w:sz w:val="24"/>
      <w:szCs w:val="24"/>
    </w:rPr>
  </w:style>
  <w:style w:type="paragraph" w:styleId="666">
    <w:name w:val="Quote"/>
    <w:link w:val="667"/>
    <w:uiPriority w:val="29"/>
    <w:qFormat/>
    <w:pPr>
      <w:ind w:left="720" w:right="720"/>
    </w:pPr>
    <w:rPr>
      <w:i/>
    </w:rPr>
  </w:style>
  <w:style w:type="character" w:styleId="667">
    <w:name w:val="Quote Char"/>
    <w:link w:val="666"/>
    <w:uiPriority w:val="29"/>
    <w:rPr>
      <w:i/>
    </w:rPr>
  </w:style>
  <w:style w:type="paragraph" w:styleId="668">
    <w:name w:val="Intense Quote"/>
    <w:link w:val="6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9">
    <w:name w:val="Intense Quote Char"/>
    <w:link w:val="668"/>
    <w:uiPriority w:val="30"/>
    <w:rPr>
      <w:i/>
    </w:rPr>
  </w:style>
  <w:style w:type="paragraph" w:styleId="670">
    <w:name w:val="Header"/>
    <w:link w:val="671"/>
    <w:uiPriority w:val="99"/>
    <w:unhideWhenUsed/>
    <w:pPr>
      <w:spacing w:after="0" w:line="240" w:lineRule="auto"/>
      <w:tabs>
        <w:tab w:val="center" w:pos="7143" w:leader="none"/>
        <w:tab w:val="right" w:pos="14287" w:leader="none"/>
      </w:tabs>
    </w:pPr>
  </w:style>
  <w:style w:type="character" w:styleId="671">
    <w:name w:val="Header Char"/>
    <w:link w:val="670"/>
    <w:uiPriority w:val="99"/>
  </w:style>
  <w:style w:type="paragraph" w:styleId="672">
    <w:name w:val="Footer"/>
    <w:link w:val="675"/>
    <w:uiPriority w:val="99"/>
    <w:unhideWhenUsed/>
    <w:pPr>
      <w:spacing w:after="0" w:line="240" w:lineRule="auto"/>
      <w:tabs>
        <w:tab w:val="center" w:pos="7143" w:leader="none"/>
        <w:tab w:val="right" w:pos="14287" w:leader="none"/>
      </w:tabs>
    </w:pPr>
  </w:style>
  <w:style w:type="character" w:styleId="673">
    <w:name w:val="Footer Char"/>
    <w:link w:val="672"/>
    <w:uiPriority w:val="99"/>
  </w:style>
  <w:style w:type="paragraph" w:styleId="674">
    <w:name w:val="Caption"/>
    <w:uiPriority w:val="35"/>
    <w:semiHidden/>
    <w:unhideWhenUsed/>
    <w:qFormat/>
    <w:pPr>
      <w:spacing w:line="276" w:lineRule="auto"/>
    </w:pPr>
    <w:rPr>
      <w:b/>
      <w:bCs/>
      <w:color w:val="4f81bd" w:themeColor="accent1"/>
      <w:sz w:val="18"/>
      <w:szCs w:val="18"/>
    </w:rPr>
  </w:style>
  <w:style w:type="character" w:styleId="675">
    <w:name w:val="Caption Char"/>
    <w:basedOn w:val="674"/>
    <w:link w:val="672"/>
    <w:uiPriority w:val="99"/>
  </w:style>
  <w:style w:type="table" w:styleId="67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2">
    <w:name w:val="Hyperlink"/>
    <w:uiPriority w:val="99"/>
    <w:unhideWhenUsed/>
    <w:rPr>
      <w:color w:val="0000ff" w:themeColor="hyperlink"/>
      <w:u w:val="single"/>
    </w:rPr>
  </w:style>
  <w:style w:type="paragraph" w:styleId="803">
    <w:name w:val="footnote text"/>
    <w:link w:val="804"/>
    <w:uiPriority w:val="99"/>
    <w:semiHidden/>
    <w:unhideWhenUsed/>
    <w:pPr>
      <w:spacing w:after="40" w:line="240" w:lineRule="auto"/>
    </w:pPr>
    <w:rPr>
      <w:sz w:val="18"/>
    </w:rPr>
  </w:style>
  <w:style w:type="character" w:styleId="804">
    <w:name w:val="Footnote Text Char"/>
    <w:link w:val="803"/>
    <w:uiPriority w:val="99"/>
    <w:rPr>
      <w:sz w:val="18"/>
    </w:rPr>
  </w:style>
  <w:style w:type="character" w:styleId="805">
    <w:name w:val="footnote reference"/>
    <w:uiPriority w:val="99"/>
    <w:unhideWhenUsed/>
    <w:rPr>
      <w:vertAlign w:val="superscript"/>
    </w:rPr>
  </w:style>
  <w:style w:type="paragraph" w:styleId="806">
    <w:name w:val="endnote text"/>
    <w:link w:val="807"/>
    <w:uiPriority w:val="99"/>
    <w:semiHidden/>
    <w:unhideWhenUsed/>
    <w:pPr>
      <w:spacing w:after="0" w:line="240" w:lineRule="auto"/>
    </w:pPr>
    <w:rPr>
      <w:sz w:val="20"/>
    </w:rPr>
  </w:style>
  <w:style w:type="character" w:styleId="807">
    <w:name w:val="Endnote Text Char"/>
    <w:link w:val="806"/>
    <w:uiPriority w:val="99"/>
    <w:rPr>
      <w:sz w:val="20"/>
    </w:rPr>
  </w:style>
  <w:style w:type="character" w:styleId="808">
    <w:name w:val="endnote reference"/>
    <w:uiPriority w:val="99"/>
    <w:semiHidden/>
    <w:unhideWhenUsed/>
    <w:rPr>
      <w:vertAlign w:val="superscript"/>
    </w:rPr>
  </w:style>
  <w:style w:type="paragraph" w:styleId="809">
    <w:name w:val="toc 1"/>
    <w:uiPriority w:val="39"/>
    <w:unhideWhenUsed/>
    <w:pPr>
      <w:ind w:left="0" w:right="0" w:firstLine="0"/>
      <w:spacing w:after="57"/>
    </w:pPr>
  </w:style>
  <w:style w:type="paragraph" w:styleId="810">
    <w:name w:val="toc 2"/>
    <w:uiPriority w:val="39"/>
    <w:unhideWhenUsed/>
    <w:pPr>
      <w:ind w:left="283" w:right="0" w:firstLine="0"/>
      <w:spacing w:after="57"/>
    </w:pPr>
  </w:style>
  <w:style w:type="paragraph" w:styleId="811">
    <w:name w:val="toc 3"/>
    <w:uiPriority w:val="39"/>
    <w:unhideWhenUsed/>
    <w:pPr>
      <w:ind w:left="567" w:right="0" w:firstLine="0"/>
      <w:spacing w:after="57"/>
    </w:pPr>
  </w:style>
  <w:style w:type="paragraph" w:styleId="812">
    <w:name w:val="toc 4"/>
    <w:uiPriority w:val="39"/>
    <w:unhideWhenUsed/>
    <w:pPr>
      <w:ind w:left="850" w:right="0" w:firstLine="0"/>
      <w:spacing w:after="57"/>
    </w:pPr>
  </w:style>
  <w:style w:type="paragraph" w:styleId="813">
    <w:name w:val="toc 5"/>
    <w:uiPriority w:val="39"/>
    <w:unhideWhenUsed/>
    <w:pPr>
      <w:ind w:left="1134" w:right="0" w:firstLine="0"/>
      <w:spacing w:after="57"/>
    </w:pPr>
  </w:style>
  <w:style w:type="paragraph" w:styleId="814">
    <w:name w:val="toc 6"/>
    <w:uiPriority w:val="39"/>
    <w:unhideWhenUsed/>
    <w:pPr>
      <w:ind w:left="1417" w:right="0" w:firstLine="0"/>
      <w:spacing w:after="57"/>
    </w:pPr>
  </w:style>
  <w:style w:type="paragraph" w:styleId="815">
    <w:name w:val="toc 7"/>
    <w:uiPriority w:val="39"/>
    <w:unhideWhenUsed/>
    <w:pPr>
      <w:ind w:left="1701" w:right="0" w:firstLine="0"/>
      <w:spacing w:after="57"/>
    </w:pPr>
  </w:style>
  <w:style w:type="paragraph" w:styleId="816">
    <w:name w:val="toc 8"/>
    <w:uiPriority w:val="39"/>
    <w:unhideWhenUsed/>
    <w:pPr>
      <w:ind w:left="1984" w:right="0" w:firstLine="0"/>
      <w:spacing w:after="57"/>
    </w:pPr>
  </w:style>
  <w:style w:type="paragraph" w:styleId="817">
    <w:name w:val="toc 9"/>
    <w:uiPriority w:val="39"/>
    <w:unhideWhenUsed/>
    <w:pPr>
      <w:ind w:left="2268" w:right="0" w:firstLine="0"/>
      <w:spacing w:after="57"/>
    </w:pPr>
  </w:style>
  <w:style w:type="paragraph" w:styleId="818">
    <w:name w:val="TOC Heading"/>
    <w:uiPriority w:val="39"/>
    <w:unhideWhenUsed/>
  </w:style>
  <w:style w:type="paragraph" w:styleId="819">
    <w:name w:val="table of figures"/>
    <w:uiPriority w:val="99"/>
    <w:unhideWhenUsed/>
    <w:pPr>
      <w:spacing w:after="0" w:afterAutospacing="0"/>
    </w:pPr>
  </w:style>
  <w:style w:type="character" w:styleId="820" w:default="1">
    <w:name w:val="Default Paragraph Font"/>
    <w:uiPriority w:val="1"/>
    <w:semiHidden/>
    <w:unhideWhenUsed/>
  </w:style>
  <w:style w:type="numbering" w:styleId="821" w:default="1">
    <w:name w:val="No List"/>
    <w:uiPriority w:val="99"/>
    <w:semiHidden/>
    <w:unhideWhenUsed/>
  </w:style>
  <w:style w:type="paragraph" w:styleId="822" w:default="1">
    <w:name w:val="Normal"/>
    <w:qFormat/>
  </w:style>
  <w:style w:type="table" w:styleId="82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866"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593"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112"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3380"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239"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6328" TargetMode="External"/><Relationship Id="rId15" Type="http://schemas.openxmlformats.org/officeDocument/2006/relationships/hyperlink" Target="http://jszfcg.jsczt.cn/%EF%BC%89" TargetMode="External"/><Relationship Id="rId16" Type="http://schemas.openxmlformats.org/officeDocument/2006/relationships/hyperlink" Target="http://jszfcg.jsczt.cn/%EF%BC%89%E5%8F%82%E4%B8%8E%E6%94%BF%E5%BA%9C%E9%87%87%E8%B4%AD%E9%A1%B9%E7%9B%AE%EF%BC%8C%E9%9C%80%E8%A6%81%E5%8A%9E%E7%90%86%E6%B1%9F%E8%8B%8F%E7%9C%81%E6%94%BF%E5%BA%9C%E9%87%87%E8%B4%AD%E6%95%B0%E5%AD%97%E8%AF%81%E4%B9%A6%E5%8F%8A%E7%94%B5%E5%AD%90%E7%AD%BE%E7%AB%A0%E7%9A%84%EF%BC%8C%E8%AF%A6%E8%A7%81%E8%8B%8F%E9%87%87%E4%BA%91%E5%AE%98%E7%BD%91%E9%A6%96%E9%A1%B5" TargetMode="External"/><Relationship Id="rId17"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钮驰</cp:lastModifiedBy>
  <cp:revision>2</cp:revision>
  <dcterms:created xsi:type="dcterms:W3CDTF">2026-04-30T05:22:38Z</dcterms:created>
  <dcterms:modified xsi:type="dcterms:W3CDTF">2026-04-30T07:04:12Z</dcterms:modified>
</cp:coreProperties>
</file>