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36"/>
        <w:ind w:firstLine="0"/>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r>
      <w:r/>
    </w:p>
    <w:p>
      <w:pPr>
        <w:pStyle w:val="1236"/>
        <w:ind w:firstLine="0"/>
        <w:jc w:val="center"/>
        <w:rPr>
          <w:rFonts w:hint="eastAsia" w:ascii="黑体" w:hAnsi="黑体" w:eastAsia="黑体" w:cs="黑体"/>
          <w:b w:val="0"/>
          <w:bCs w:val="0"/>
          <w:color w:val="auto"/>
          <w:sz w:val="84"/>
          <w:highlight w:val="none"/>
        </w:rPr>
      </w:pPr>
      <w:r>
        <w:rPr>
          <w:rFonts w:hint="eastAsia" w:ascii="黑体" w:hAnsi="黑体" w:eastAsia="黑体" w:cs="黑体"/>
          <w:b w:val="0"/>
          <w:bCs w:val="0"/>
          <w:color w:val="auto"/>
          <w:sz w:val="96"/>
          <w:szCs w:val="28"/>
          <w:highlight w:val="none"/>
        </w:rPr>
        <w:t xml:space="preserve">竞争性磋商文件</w:t>
      </w:r>
      <w:r/>
    </w:p>
    <w:p>
      <w:pPr>
        <w:pStyle w:val="1236"/>
        <w:ind w:firstLine="0"/>
        <w:jc w:val="center"/>
        <w:rPr>
          <w:rFonts w:hint="eastAsia" w:ascii="黑体" w:hAnsi="黑体" w:eastAsia="黑体" w:cs="黑体"/>
          <w:b w:val="0"/>
          <w:bCs w:val="0"/>
          <w:color w:val="auto"/>
          <w:sz w:val="52"/>
          <w:szCs w:val="20"/>
          <w:highlight w:val="none"/>
        </w:rPr>
      </w:pPr>
      <w:r>
        <w:rPr>
          <w:rFonts w:hint="eastAsia" w:ascii="黑体" w:hAnsi="黑体" w:eastAsia="黑体" w:cs="黑体"/>
          <w:b w:val="0"/>
          <w:bCs w:val="0"/>
          <w:color w:val="auto"/>
          <w:sz w:val="52"/>
          <w:szCs w:val="20"/>
          <w:highlight w:val="none"/>
        </w:rPr>
        <w:t xml:space="preserve">（服务类）</w:t>
      </w:r>
      <w:r/>
    </w:p>
    <w:p>
      <w:pPr>
        <w:pStyle w:val="1236"/>
        <w:ind w:firstLine="160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236"/>
        <w:ind w:firstLine="0"/>
        <w:jc w:val="center"/>
        <w:rPr>
          <w:rFonts w:hint="eastAsia" w:ascii="黑体" w:hAnsi="黑体" w:eastAsia="黑体" w:cs="黑体"/>
          <w:b w:val="0"/>
          <w:bCs w:val="0"/>
          <w:color w:val="auto"/>
          <w:sz w:val="32"/>
          <w:highlight w:val="none"/>
          <w:lang w:eastAsia="zh-CN"/>
        </w:rPr>
      </w:pPr>
      <w:r/>
      <w:bookmarkStart w:id="0" w:name="_Toc5072"/>
      <w:r/>
      <w:bookmarkStart w:id="1" w:name="_Toc21520"/>
      <w:r/>
      <w:bookmarkStart w:id="2" w:name="_Toc5939"/>
      <w:r>
        <w:rPr>
          <w:rFonts w:hint="eastAsia" w:ascii="黑体" w:hAnsi="黑体" w:eastAsia="黑体" w:cs="黑体"/>
          <w:b w:val="0"/>
          <w:bCs w:val="0"/>
          <w:color w:val="auto"/>
          <w:sz w:val="32"/>
          <w:highlight w:val="none"/>
        </w:rPr>
        <w:t xml:space="preserve">采购人名称：</w:t>
      </w:r>
      <w:bookmarkEnd w:id="0"/>
      <w:r>
        <w:rPr>
          <w:rFonts w:hint="eastAsia" w:ascii="黑体" w:hAnsi="黑体" w:eastAsia="黑体" w:cs="黑体"/>
          <w:b w:val="0"/>
          <w:bCs w:val="0"/>
          <w:color w:val="auto"/>
          <w:sz w:val="32"/>
          <w:highlight w:val="none"/>
          <w:lang w:eastAsia="zh-CN"/>
        </w:rPr>
        <w:t xml:space="preserve">南京市人力资源和社会保障信息管理中心</w:t>
      </w:r>
      <w:r/>
    </w:p>
    <w:p>
      <w:pPr>
        <w:pStyle w:val="1236"/>
        <w:ind w:firstLine="0"/>
        <w:jc w:val="center"/>
        <w:rPr>
          <w:rFonts w:hint="eastAsia" w:ascii="黑体" w:hAnsi="黑体" w:eastAsia="黑体" w:cs="黑体"/>
          <w:b w:val="0"/>
          <w:bCs w:val="0"/>
          <w:color w:val="auto"/>
          <w:sz w:val="32"/>
          <w:highlight w:val="none"/>
          <w:lang w:eastAsia="zh-CN"/>
        </w:rPr>
      </w:pPr>
      <w:r>
        <w:rPr>
          <w:rFonts w:hint="eastAsia" w:ascii="黑体" w:hAnsi="黑体" w:eastAsia="黑体" w:cs="黑体"/>
          <w:b w:val="0"/>
          <w:bCs w:val="0"/>
          <w:color w:val="auto"/>
          <w:sz w:val="32"/>
          <w:highlight w:val="none"/>
        </w:rPr>
        <w:t xml:space="preserve">项目名称：</w:t>
      </w:r>
      <w:r>
        <w:rPr>
          <w:rFonts w:hint="eastAsia" w:ascii="黑体" w:hAnsi="黑体" w:eastAsia="黑体" w:cs="黑体"/>
          <w:b w:val="0"/>
          <w:bCs w:val="0"/>
          <w:color w:val="auto"/>
          <w:sz w:val="32"/>
          <w:highlight w:val="none"/>
          <w:lang w:eastAsia="zh-CN"/>
        </w:rPr>
        <w:t xml:space="preserve">2026年度江苏省人社一体化信息平台南京社会保险运维项目</w:t>
      </w:r>
      <w:r/>
    </w:p>
    <w:p>
      <w:pPr>
        <w:pStyle w:val="1236"/>
        <w:ind w:firstLine="0"/>
        <w:jc w:val="center"/>
        <w:rPr>
          <w:rFonts w:hint="eastAsia"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t xml:space="preserve">“苏采云”项目编号：JSZC-320100-JSQC-C2026-0023</w:t>
      </w:r>
      <w:r/>
    </w:p>
    <w:p>
      <w:pPr>
        <w:pStyle w:val="1236"/>
        <w:ind w:firstLine="0"/>
        <w:jc w:val="center"/>
        <w:rPr>
          <w:rFonts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t xml:space="preserve">柒采内部编号：QC-2026060416G</w:t>
      </w:r>
      <w:bookmarkEnd w:id="1"/>
      <w:r/>
      <w:bookmarkEnd w:id="2"/>
      <w:r/>
      <w:r/>
    </w:p>
    <w:p>
      <w:pPr>
        <w:pStyle w:val="1236"/>
        <w:ind w:firstLine="0"/>
        <w:jc w:val="center"/>
        <w:rPr>
          <w:rFonts w:hint="eastAsia"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r>
      <w:r/>
    </w:p>
    <w:p>
      <w:pPr>
        <w:ind w:left="2100" w:hanging="2100"/>
        <w:rPr>
          <w:rFonts w:hint="eastAsia" w:ascii="黑体" w:hAnsi="黑体" w:eastAsia="黑体" w:cs="黑体"/>
          <w:b w:val="0"/>
          <w:bCs w:val="0"/>
          <w:color w:val="auto"/>
          <w:sz w:val="30"/>
          <w:szCs w:val="30"/>
          <w:highlight w:val="none"/>
        </w:rPr>
      </w:pPr>
      <w:r>
        <w:rPr>
          <w:rFonts w:hint="eastAsia" w:ascii="黑体" w:hAnsi="黑体" w:eastAsia="黑体" w:cs="黑体"/>
          <w:b w:val="0"/>
          <w:bCs w:val="0"/>
          <w:color w:val="auto"/>
          <w:highlight w:val="none"/>
        </w:rPr>
        <w:t xml:space="preserve">           </w:t>
      </w:r>
      <w:r>
        <w:rPr>
          <w:rFonts w:hint="eastAsia" w:ascii="黑体" w:hAnsi="黑体" w:eastAsia="黑体" w:cs="黑体"/>
          <w:b w:val="0"/>
          <w:bCs w:val="0"/>
          <w:color w:val="auto"/>
          <w:sz w:val="30"/>
          <w:szCs w:val="30"/>
          <w:highlight w:val="none"/>
        </w:rPr>
        <w:t xml:space="preserve">   </w:t>
      </w:r>
      <w:r>
        <w:rPr>
          <w:rFonts w:hint="eastAsia" w:ascii="黑体" w:hAnsi="黑体" w:eastAsia="黑体" w:cs="黑体"/>
          <w:b w:val="0"/>
          <w:bCs w:val="0"/>
          <w:color w:val="auto"/>
          <w:highlight w:val="none"/>
        </w:rPr>
        <w:t xml:space="preserve">  </w:t>
      </w:r>
      <w:r>
        <w:rPr>
          <w:rFonts w:hint="eastAsia" w:ascii="黑体" w:hAnsi="黑体" w:eastAsia="黑体" w:cs="黑体"/>
          <w:b w:val="0"/>
          <w:bCs w:val="0"/>
          <w:color w:val="auto"/>
          <w:sz w:val="30"/>
          <w:szCs w:val="30"/>
          <w:highlight w:val="none"/>
        </w:rPr>
        <w:t xml:space="preserve"> </w:t>
      </w:r>
      <w:r/>
    </w:p>
    <w:p>
      <w:pPr>
        <w:pStyle w:val="1236"/>
        <w:ind w:firstLine="0"/>
        <w:spacing w:before="0" w:after="0"/>
        <w:rPr>
          <w:rFonts w:hint="eastAsia" w:ascii="黑体" w:hAnsi="黑体" w:eastAsia="黑体" w:cs="黑体"/>
          <w:b w:val="0"/>
          <w:bCs w:val="0"/>
          <w:color w:val="auto"/>
          <w:highlight w:val="none"/>
        </w:rPr>
      </w:pPr>
      <w:r>
        <w:rPr>
          <w:rFonts w:hint="eastAsia" w:ascii="黑体" w:hAnsi="黑体" w:eastAsia="黑体" w:cs="黑体"/>
          <w:b w:val="0"/>
          <w:bCs w:val="0"/>
          <w:color w:val="auto"/>
          <w:highlight w:val="none"/>
        </w:rPr>
      </w:r>
      <w:r/>
    </w:p>
    <w:p>
      <w:pPr>
        <w:pStyle w:val="1236"/>
        <w:ind w:firstLine="0"/>
        <w:spacing w:before="0" w:after="0"/>
        <w:rPr>
          <w:rFonts w:hint="eastAsia" w:ascii="黑体" w:hAnsi="黑体" w:eastAsia="黑体" w:cs="黑体"/>
          <w:b w:val="0"/>
          <w:bCs w:val="0"/>
          <w:color w:val="auto"/>
          <w:highlight w:val="none"/>
        </w:rPr>
      </w:pPr>
      <w:r>
        <w:rPr>
          <w:rFonts w:hint="eastAsia" w:ascii="黑体" w:hAnsi="黑体" w:eastAsia="黑体" w:cs="黑体"/>
          <w:b w:val="0"/>
          <w:bCs w:val="0"/>
          <w:color w:val="auto"/>
          <w:highlight w:val="none"/>
        </w:rPr>
      </w:r>
      <w:r/>
    </w:p>
    <w:p>
      <w:pPr>
        <w:pStyle w:val="1236"/>
        <w:ind w:firstLine="0"/>
        <w:jc w:val="center"/>
        <w:rPr>
          <w:rFonts w:hint="eastAsia" w:ascii="黑体" w:hAnsi="黑体" w:eastAsia="黑体" w:cs="黑体"/>
          <w:b w:val="0"/>
          <w:bCs w:val="0"/>
          <w:color w:val="auto"/>
          <w:sz w:val="32"/>
          <w:highlight w:val="none"/>
        </w:rPr>
      </w:pPr>
      <w:r/>
      <w:bookmarkStart w:id="3" w:name="_Toc1928"/>
      <w:r>
        <w:rPr>
          <w:rFonts w:hint="eastAsia" w:ascii="黑体" w:hAnsi="黑体" w:eastAsia="黑体" w:cs="黑体"/>
          <w:b w:val="0"/>
          <w:bCs w:val="0"/>
          <w:color w:val="auto"/>
          <w:sz w:val="32"/>
          <w:highlight w:val="none"/>
        </w:rPr>
        <w:t xml:space="preserve">江苏柒采招标代理有限公司</w:t>
      </w:r>
      <w:bookmarkEnd w:id="3"/>
      <w:r/>
      <w:r/>
    </w:p>
    <w:p>
      <w:pPr>
        <w:pStyle w:val="1236"/>
        <w:ind w:firstLine="0"/>
        <w:jc w:val="center"/>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202</w:t>
      </w:r>
      <w:r>
        <w:rPr>
          <w:rFonts w:hint="eastAsia" w:ascii="黑体" w:hAnsi="黑体" w:eastAsia="黑体" w:cs="黑体"/>
          <w:b w:val="0"/>
          <w:bCs w:val="0"/>
          <w:color w:val="auto"/>
          <w:sz w:val="32"/>
          <w:highlight w:val="none"/>
          <w:lang w:val="en-US" w:eastAsia="zh-CN"/>
        </w:rPr>
        <w:t xml:space="preserve">6</w:t>
      </w:r>
      <w:r>
        <w:rPr>
          <w:rFonts w:hint="eastAsia" w:ascii="黑体" w:hAnsi="黑体" w:eastAsia="黑体" w:cs="黑体"/>
          <w:b w:val="0"/>
          <w:bCs w:val="0"/>
          <w:color w:val="auto"/>
          <w:sz w:val="32"/>
          <w:highlight w:val="none"/>
        </w:rPr>
        <w:t xml:space="preserve">年</w:t>
      </w:r>
      <w:r>
        <w:rPr>
          <w:rFonts w:hint="eastAsia" w:ascii="黑体" w:hAnsi="黑体" w:eastAsia="黑体" w:cs="黑体"/>
          <w:b w:val="0"/>
          <w:bCs w:val="0"/>
          <w:color w:val="auto"/>
          <w:sz w:val="32"/>
          <w:highlight w:val="none"/>
          <w:lang w:val="en-US" w:eastAsia="zh-CN"/>
        </w:rPr>
        <w:t xml:space="preserve">06</w:t>
      </w:r>
      <w:r>
        <w:rPr>
          <w:rFonts w:hint="eastAsia" w:ascii="黑体" w:hAnsi="黑体" w:eastAsia="黑体" w:cs="黑体"/>
          <w:b w:val="0"/>
          <w:bCs w:val="0"/>
          <w:color w:val="auto"/>
          <w:sz w:val="32"/>
          <w:highlight w:val="none"/>
        </w:rPr>
        <w:t xml:space="preserve">月</w:t>
      </w:r>
      <w:r/>
    </w:p>
    <w:p>
      <w:pPr>
        <w:pStyle w:val="1236"/>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rPr>
          <w:rFonts w:hint="eastAsia" w:ascii="黑体" w:hAnsi="黑体" w:eastAsia="黑体" w:cs="黑体"/>
          <w:b w:val="0"/>
          <w:bCs/>
          <w:color w:val="auto"/>
          <w:sz w:val="44"/>
          <w:highlight w:val="none"/>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cols w:num="1" w:sep="0" w:space="1701" w:equalWidth="1"/>
          <w:docGrid w:linePitch="360"/>
          <w:titlePg/>
        </w:sectPr>
        <w:outlineLvl w:val="0"/>
      </w:pPr>
      <w:r/>
      <w:bookmarkStart w:id="4" w:name="_Toc20795"/>
      <w:r/>
      <w:bookmarkStart w:id="5" w:name="_Toc8884"/>
      <w:r/>
      <w:bookmarkStart w:id="6" w:name="_Toc12646"/>
      <w:r/>
      <w:bookmarkStart w:id="7" w:name="_Toc13076"/>
      <w:r/>
      <w:bookmarkStart w:id="8" w:name="_Toc28368"/>
      <w:r/>
      <w:bookmarkStart w:id="9" w:name="_Toc30922"/>
      <w:r/>
      <w:bookmarkStart w:id="10" w:name="_Toc702"/>
      <w:r/>
      <w:bookmarkStart w:id="11" w:name="_Toc22662"/>
      <w:r/>
      <w:bookmarkStart w:id="12" w:name="_Toc6862"/>
      <w:r/>
      <w:bookmarkStart w:id="13" w:name="_Toc28121"/>
      <w:r/>
      <w:bookmarkStart w:id="14" w:name="_Toc18348"/>
      <w:r/>
      <w:bookmarkStart w:id="15" w:name="_Toc31754"/>
      <w:r/>
      <w:bookmarkStart w:id="16" w:name="_Toc28980"/>
      <w:r/>
      <w:bookmarkStart w:id="17" w:name="_Toc14101"/>
      <w:r/>
      <w:bookmarkStart w:id="18" w:name="_Toc14955"/>
      <w:r/>
      <w:bookmarkStart w:id="19" w:name="_Toc24887"/>
      <w:r/>
      <w:bookmarkStart w:id="20" w:name="_Toc1396"/>
      <w:r/>
      <w:bookmarkStart w:id="21" w:name="_Toc9943"/>
      <w:r/>
      <w:bookmarkStart w:id="22" w:name="_Toc24790"/>
      <w:r/>
      <w:bookmarkStart w:id="23" w:name="_Toc32275"/>
      <w:r/>
      <w:bookmarkStart w:id="24" w:name="_Toc26783"/>
      <w:r/>
      <w:bookmarkStart w:id="25" w:name="_Toc24442"/>
      <w:r/>
      <w:bookmarkStart w:id="26" w:name="_Toc31733"/>
      <w:r/>
      <w:bookmarkStart w:id="27" w:name="_Toc22919"/>
      <w:r/>
      <w:bookmarkStart w:id="28" w:name="_Toc16984"/>
      <w:r/>
      <w:bookmarkStart w:id="29" w:name="_Toc16552"/>
      <w:r/>
      <w:bookmarkStart w:id="30" w:name="_Toc28686"/>
      <w:r/>
      <w:bookmarkStart w:id="31" w:name="_Toc31974"/>
      <w:r/>
      <w:bookmarkStart w:id="32" w:name="_Toc120614210"/>
      <w:r/>
      <w:bookmarkStart w:id="33" w:name="_Toc479757206"/>
      <w:r/>
      <w:bookmarkStart w:id="34" w:name="_Toc16938516"/>
      <w:r/>
      <w:bookmarkStart w:id="35" w:name="_Toc20823272"/>
      <w:r/>
      <w:bookmarkStart w:id="36" w:name="_Toc523127445"/>
      <w:r/>
      <w:bookmarkStart w:id="37" w:name="_Toc513029200"/>
      <w:r/>
      <w:r/>
    </w:p>
    <w:p>
      <w:pPr>
        <w:jc w:val="center"/>
        <w:rPr>
          <w:rFonts w:hint="eastAsia" w:ascii="宋体" w:hAnsi="宋体" w:eastAsia="宋体" w:cs="宋体"/>
          <w:b/>
          <w:color w:val="auto"/>
          <w:sz w:val="36"/>
          <w:szCs w:val="36"/>
          <w:highlight w:val="none"/>
        </w:rPr>
        <w:outlineLvl w:val="0"/>
      </w:pPr>
      <w:r/>
      <w:bookmarkStart w:id="38" w:name="_Toc25979"/>
      <w:r/>
      <w:bookmarkStart w:id="39" w:name="_Toc18643"/>
      <w:r/>
      <w:bookmarkStart w:id="40" w:name="_Toc14793"/>
      <w:r/>
      <w:bookmarkStart w:id="41" w:name="_Toc22446"/>
      <w:r/>
      <w:bookmarkStart w:id="42" w:name="_Toc12859"/>
      <w:r/>
      <w:bookmarkStart w:id="43" w:name="_Toc27743"/>
      <w:r/>
      <w:bookmarkStart w:id="44" w:name="_Toc31848"/>
      <w:r>
        <w:rPr>
          <w:rFonts w:hint="eastAsia" w:ascii="黑体" w:hAnsi="黑体" w:eastAsia="黑体" w:cs="黑体"/>
          <w:b w:val="0"/>
          <w:bCs/>
          <w:color w:val="auto"/>
          <w:sz w:val="36"/>
          <w:szCs w:val="36"/>
          <w:highlight w:val="none"/>
        </w:rPr>
        <w:t xml:space="preserve">目  录</w:t>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8"/>
      <w:r/>
      <w:bookmarkEnd w:id="39"/>
      <w:r/>
      <w:bookmarkEnd w:id="40"/>
      <w:r/>
      <w:bookmarkEnd w:id="41"/>
      <w:r/>
      <w:bookmarkEnd w:id="42"/>
      <w:r/>
      <w:bookmarkEnd w:id="43"/>
      <w:r/>
      <w:bookmarkEnd w:id="44"/>
      <w:r/>
      <w:r/>
    </w:p>
    <w:p>
      <w:pPr>
        <w:pStyle w:val="1170"/>
        <w:tabs>
          <w:tab w:val="right" w:pos="9180" w:leader="dot"/>
        </w:tabs>
        <w:rPr>
          <w:color w:val="auto"/>
          <w:highlight w:val="none"/>
        </w:rPr>
      </w:pPr>
      <w:r>
        <w:rPr>
          <w:rFonts w:hint="eastAsia" w:ascii="黑体" w:hAnsi="黑体" w:eastAsia="黑体" w:cs="黑体"/>
          <w:b w:val="0"/>
          <w:bCs w:val="0"/>
          <w:color w:val="auto"/>
          <w:sz w:val="21"/>
          <w:szCs w:val="21"/>
          <w:highlight w:val="none"/>
        </w:rPr>
        <w:fldChar w:fldCharType="begin"/>
      </w:r>
      <w:r>
        <w:rPr>
          <w:rFonts w:hint="eastAsia" w:ascii="黑体" w:hAnsi="黑体" w:eastAsia="黑体" w:cs="黑体"/>
          <w:b w:val="0"/>
          <w:bCs w:val="0"/>
          <w:color w:val="auto"/>
          <w:sz w:val="21"/>
          <w:szCs w:val="21"/>
          <w:highlight w:val="none"/>
        </w:rPr>
        <w:instrText xml:space="preserve">TOC \o "1-2" \h \u </w:instrText>
      </w:r>
      <w:r>
        <w:rPr>
          <w:rFonts w:hint="eastAsia" w:ascii="黑体" w:hAnsi="黑体" w:eastAsia="黑体" w:cs="黑体"/>
          <w:b w:val="0"/>
          <w:bCs w:val="0"/>
          <w:color w:val="auto"/>
          <w:sz w:val="21"/>
          <w:szCs w:val="21"/>
          <w:highlight w:val="none"/>
        </w:rPr>
        <w:fldChar w:fldCharType="separate"/>
      </w:r>
      <w:r>
        <w:rPr>
          <w:rFonts w:hint="eastAsia" w:ascii="黑体" w:hAnsi="黑体" w:eastAsia="黑体" w:cs="黑体"/>
          <w:bCs w:val="0"/>
          <w:color w:val="auto"/>
          <w:szCs w:val="21"/>
          <w:highlight w:val="none"/>
        </w:rPr>
        <w:fldChar w:fldCharType="begin"/>
      </w:r>
      <w:r>
        <w:rPr>
          <w:rFonts w:hint="eastAsia" w:ascii="黑体" w:hAnsi="黑体" w:eastAsia="黑体" w:cs="黑体"/>
          <w:bCs w:val="0"/>
          <w:color w:val="auto"/>
          <w:szCs w:val="21"/>
          <w:highlight w:val="none"/>
        </w:rPr>
        <w:instrText xml:space="preserve"> HYPERLINK \l _Toc6075 </w:instrText>
      </w:r>
      <w:r>
        <w:rPr>
          <w:rFonts w:hint="eastAsia" w:ascii="黑体" w:hAnsi="黑体" w:eastAsia="黑体" w:cs="黑体"/>
          <w:bCs w:val="0"/>
          <w:color w:val="auto"/>
          <w:szCs w:val="21"/>
          <w:highlight w:val="none"/>
        </w:rPr>
        <w:fldChar w:fldCharType="separate"/>
      </w:r>
      <w:r>
        <w:rPr>
          <w:rFonts w:hint="eastAsia" w:ascii="黑体" w:hAnsi="黑体" w:eastAsia="黑体" w:cs="黑体"/>
          <w:bCs/>
          <w:color w:val="auto"/>
          <w:szCs w:val="36"/>
          <w:highlight w:val="none"/>
        </w:rPr>
        <w:t xml:space="preserve">第一章  磋商邀请</w:t>
      </w:r>
      <w:r>
        <w:rPr>
          <w:color w:val="auto"/>
          <w:highlight w:val="none"/>
        </w:rPr>
        <w:tab/>
      </w:r>
      <w:r>
        <w:rPr>
          <w:color w:val="auto"/>
          <w:highlight w:val="none"/>
        </w:rPr>
        <w:fldChar w:fldCharType="begin"/>
      </w:r>
      <w:r>
        <w:rPr>
          <w:color w:val="auto"/>
          <w:highlight w:val="none"/>
        </w:rPr>
        <w:instrText xml:space="preserve"> PAGEREF _Toc6075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黑体" w:hAnsi="黑体" w:eastAsia="黑体" w:cs="黑体"/>
          <w:bCs w:val="0"/>
          <w:color w:val="auto"/>
          <w:szCs w:val="21"/>
          <w:highlight w:val="none"/>
        </w:rPr>
        <w:fldChar w:fldCharType="end"/>
      </w:r>
      <w:r/>
    </w:p>
    <w:p>
      <w:pPr>
        <w:pStyle w:val="1170"/>
        <w:tabs>
          <w:tab w:val="right" w:pos="9180" w:leader="dot"/>
        </w:tabs>
        <w:rPr>
          <w:color w:val="auto"/>
          <w:highlight w:val="none"/>
        </w:rPr>
      </w:pPr>
      <w:r>
        <w:rPr>
          <w:rFonts w:hint="eastAsia" w:ascii="黑体" w:hAnsi="黑体" w:eastAsia="黑体" w:cs="黑体"/>
          <w:bCs w:val="0"/>
          <w:color w:val="auto"/>
          <w:szCs w:val="21"/>
          <w:highlight w:val="none"/>
        </w:rPr>
        <w:fldChar w:fldCharType="begin"/>
      </w:r>
      <w:r>
        <w:rPr>
          <w:rFonts w:hint="eastAsia" w:ascii="黑体" w:hAnsi="黑体" w:eastAsia="黑体" w:cs="黑体"/>
          <w:bCs w:val="0"/>
          <w:color w:val="auto"/>
          <w:szCs w:val="21"/>
          <w:highlight w:val="none"/>
        </w:rPr>
        <w:instrText xml:space="preserve"> HYPERLINK \l _Toc30688 </w:instrText>
      </w:r>
      <w:r>
        <w:rPr>
          <w:rFonts w:hint="eastAsia" w:ascii="黑体" w:hAnsi="黑体" w:eastAsia="黑体" w:cs="黑体"/>
          <w:bCs w:val="0"/>
          <w:color w:val="auto"/>
          <w:szCs w:val="21"/>
          <w:highlight w:val="none"/>
        </w:rPr>
        <w:fldChar w:fldCharType="separate"/>
      </w:r>
      <w:r>
        <w:rPr>
          <w:rFonts w:hint="eastAsia" w:ascii="黑体" w:hAnsi="黑体" w:eastAsia="黑体" w:cs="黑体"/>
          <w:bCs/>
          <w:color w:val="auto"/>
          <w:szCs w:val="36"/>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_Toc30688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黑体" w:hAnsi="黑体" w:eastAsia="黑体" w:cs="黑体"/>
          <w:bCs w:val="0"/>
          <w:color w:val="auto"/>
          <w:szCs w:val="21"/>
          <w:highlight w:val="none"/>
        </w:rPr>
        <w:fldChar w:fldCharType="end"/>
      </w:r>
      <w:r/>
    </w:p>
    <w:p>
      <w:pPr>
        <w:pStyle w:val="1170"/>
        <w:tabs>
          <w:tab w:val="right" w:pos="9180" w:leader="dot"/>
        </w:tabs>
        <w:rPr>
          <w:color w:val="auto"/>
          <w:highlight w:val="none"/>
        </w:rPr>
      </w:pPr>
      <w:r>
        <w:rPr>
          <w:rFonts w:hint="eastAsia" w:ascii="黑体" w:hAnsi="黑体" w:eastAsia="黑体" w:cs="黑体"/>
          <w:bCs w:val="0"/>
          <w:color w:val="auto"/>
          <w:szCs w:val="21"/>
          <w:highlight w:val="none"/>
        </w:rPr>
        <w:fldChar w:fldCharType="begin"/>
      </w:r>
      <w:r>
        <w:rPr>
          <w:rFonts w:hint="eastAsia" w:ascii="黑体" w:hAnsi="黑体" w:eastAsia="黑体" w:cs="黑体"/>
          <w:bCs w:val="0"/>
          <w:color w:val="auto"/>
          <w:szCs w:val="21"/>
          <w:highlight w:val="none"/>
        </w:rPr>
        <w:instrText xml:space="preserve"> HYPERLINK \l _Toc21500 </w:instrText>
      </w:r>
      <w:r>
        <w:rPr>
          <w:rFonts w:hint="eastAsia" w:ascii="黑体" w:hAnsi="黑体" w:eastAsia="黑体" w:cs="黑体"/>
          <w:bCs w:val="0"/>
          <w:color w:val="auto"/>
          <w:szCs w:val="21"/>
          <w:highlight w:val="none"/>
        </w:rPr>
        <w:fldChar w:fldCharType="separate"/>
      </w:r>
      <w:r>
        <w:rPr>
          <w:rFonts w:hint="eastAsia" w:ascii="黑体" w:hAnsi="黑体" w:eastAsia="黑体" w:cs="黑体"/>
          <w:bCs/>
          <w:color w:val="auto"/>
          <w:szCs w:val="36"/>
          <w:highlight w:val="none"/>
        </w:rPr>
        <w:t xml:space="preserve">第</w:t>
      </w:r>
      <w:r>
        <w:rPr>
          <w:rFonts w:hint="eastAsia" w:ascii="黑体" w:hAnsi="黑体" w:eastAsia="黑体" w:cs="黑体"/>
          <w:bCs/>
          <w:color w:val="auto"/>
          <w:szCs w:val="36"/>
          <w:highlight w:val="none"/>
          <w:lang w:val="en-US" w:eastAsia="zh-CN"/>
        </w:rPr>
        <w:t xml:space="preserve">三</w:t>
      </w:r>
      <w:r>
        <w:rPr>
          <w:rFonts w:hint="eastAsia" w:ascii="黑体" w:hAnsi="黑体" w:eastAsia="黑体" w:cs="黑体"/>
          <w:bCs/>
          <w:color w:val="auto"/>
          <w:szCs w:val="36"/>
          <w:highlight w:val="none"/>
        </w:rPr>
        <w:t xml:space="preserve">章  评审方法与评审标准</w:t>
      </w:r>
      <w:r>
        <w:rPr>
          <w:color w:val="auto"/>
          <w:highlight w:val="none"/>
        </w:rPr>
        <w:tab/>
      </w:r>
      <w:r>
        <w:rPr>
          <w:color w:val="auto"/>
          <w:highlight w:val="none"/>
        </w:rPr>
        <w:fldChar w:fldCharType="begin"/>
      </w:r>
      <w:r>
        <w:rPr>
          <w:color w:val="auto"/>
          <w:highlight w:val="none"/>
        </w:rPr>
        <w:instrText xml:space="preserve"> PAGEREF _Toc21500 \h </w:instrText>
      </w:r>
      <w:r>
        <w:rPr>
          <w:color w:val="auto"/>
          <w:highlight w:val="none"/>
        </w:rPr>
        <w:fldChar w:fldCharType="separate"/>
      </w:r>
      <w:r>
        <w:rPr>
          <w:color w:val="auto"/>
          <w:highlight w:val="none"/>
        </w:rPr>
        <w:t xml:space="preserve">17</w:t>
      </w:r>
      <w:r>
        <w:rPr>
          <w:color w:val="auto"/>
          <w:highlight w:val="none"/>
        </w:rPr>
        <w:fldChar w:fldCharType="end"/>
      </w:r>
      <w:r>
        <w:rPr>
          <w:rFonts w:hint="eastAsia" w:ascii="黑体" w:hAnsi="黑体" w:eastAsia="黑体" w:cs="黑体"/>
          <w:bCs w:val="0"/>
          <w:color w:val="auto"/>
          <w:szCs w:val="21"/>
          <w:highlight w:val="none"/>
        </w:rPr>
        <w:fldChar w:fldCharType="end"/>
      </w:r>
      <w:r/>
    </w:p>
    <w:p>
      <w:pPr>
        <w:pStyle w:val="1170"/>
        <w:tabs>
          <w:tab w:val="right" w:pos="9180" w:leader="dot"/>
        </w:tabs>
        <w:rPr>
          <w:color w:val="auto"/>
          <w:highlight w:val="none"/>
        </w:rPr>
      </w:pPr>
      <w:r>
        <w:rPr>
          <w:rFonts w:hint="eastAsia" w:ascii="黑体" w:hAnsi="黑体" w:eastAsia="黑体" w:cs="黑体"/>
          <w:bCs w:val="0"/>
          <w:color w:val="auto"/>
          <w:szCs w:val="21"/>
          <w:highlight w:val="none"/>
        </w:rPr>
        <w:fldChar w:fldCharType="begin"/>
      </w:r>
      <w:r>
        <w:rPr>
          <w:rFonts w:hint="eastAsia" w:ascii="黑体" w:hAnsi="黑体" w:eastAsia="黑体" w:cs="黑体"/>
          <w:bCs w:val="0"/>
          <w:color w:val="auto"/>
          <w:szCs w:val="21"/>
          <w:highlight w:val="none"/>
        </w:rPr>
        <w:instrText xml:space="preserve"> HYPERLINK \l _Toc14217 </w:instrText>
      </w:r>
      <w:r>
        <w:rPr>
          <w:rFonts w:hint="eastAsia" w:ascii="黑体" w:hAnsi="黑体" w:eastAsia="黑体" w:cs="黑体"/>
          <w:bCs w:val="0"/>
          <w:color w:val="auto"/>
          <w:szCs w:val="21"/>
          <w:highlight w:val="none"/>
        </w:rPr>
        <w:fldChar w:fldCharType="separate"/>
      </w:r>
      <w:r>
        <w:rPr>
          <w:rFonts w:hint="eastAsia" w:ascii="黑体" w:hAnsi="黑体" w:eastAsia="黑体" w:cs="黑体"/>
          <w:bCs/>
          <w:color w:val="auto"/>
          <w:szCs w:val="36"/>
          <w:highlight w:val="none"/>
        </w:rPr>
        <w:t xml:space="preserve">第四章 </w:t>
      </w:r>
      <w:r>
        <w:rPr>
          <w:rFonts w:hint="eastAsia" w:ascii="黑体" w:hAnsi="黑体" w:eastAsia="黑体" w:cs="黑体"/>
          <w:bCs/>
          <w:color w:val="auto"/>
          <w:szCs w:val="36"/>
          <w:highlight w:val="none"/>
          <w:lang w:val="en-US" w:eastAsia="zh-CN"/>
        </w:rPr>
        <w:t xml:space="preserve"> </w:t>
      </w:r>
      <w:r>
        <w:rPr>
          <w:rFonts w:hint="eastAsia" w:ascii="黑体" w:hAnsi="黑体" w:eastAsia="黑体" w:cs="黑体"/>
          <w:bCs/>
          <w:color w:val="auto"/>
          <w:szCs w:val="36"/>
          <w:highlight w:val="none"/>
          <w:lang w:eastAsia="zh-CN"/>
        </w:rPr>
        <w:t xml:space="preserve">采购</w:t>
      </w:r>
      <w:r>
        <w:rPr>
          <w:rFonts w:hint="eastAsia" w:ascii="黑体" w:hAnsi="黑体" w:eastAsia="黑体" w:cs="黑体"/>
          <w:bCs/>
          <w:color w:val="auto"/>
          <w:szCs w:val="36"/>
          <w:highlight w:val="none"/>
          <w:lang w:val="en-US" w:eastAsia="zh-CN"/>
        </w:rPr>
        <w:t xml:space="preserve">项目</w:t>
      </w:r>
      <w:r>
        <w:rPr>
          <w:rFonts w:hint="eastAsia" w:ascii="黑体" w:hAnsi="黑体" w:eastAsia="黑体" w:cs="黑体"/>
          <w:bCs/>
          <w:color w:val="auto"/>
          <w:szCs w:val="36"/>
          <w:highlight w:val="none"/>
          <w:lang w:eastAsia="zh-CN"/>
        </w:rPr>
        <w:t xml:space="preserve">需求</w:t>
      </w:r>
      <w:r>
        <w:rPr>
          <w:color w:val="auto"/>
          <w:highlight w:val="none"/>
        </w:rPr>
        <w:tab/>
      </w:r>
      <w:r>
        <w:rPr>
          <w:color w:val="auto"/>
          <w:highlight w:val="none"/>
        </w:rPr>
        <w:fldChar w:fldCharType="begin"/>
      </w:r>
      <w:r>
        <w:rPr>
          <w:color w:val="auto"/>
          <w:highlight w:val="none"/>
        </w:rPr>
        <w:instrText xml:space="preserve"> PAGEREF _Toc14217 \h </w:instrText>
      </w:r>
      <w:r>
        <w:rPr>
          <w:color w:val="auto"/>
          <w:highlight w:val="none"/>
        </w:rPr>
        <w:fldChar w:fldCharType="separate"/>
      </w:r>
      <w:r>
        <w:rPr>
          <w:color w:val="auto"/>
          <w:highlight w:val="none"/>
        </w:rPr>
        <w:t xml:space="preserve">22</w:t>
      </w:r>
      <w:r>
        <w:rPr>
          <w:color w:val="auto"/>
          <w:highlight w:val="none"/>
        </w:rPr>
        <w:fldChar w:fldCharType="end"/>
      </w:r>
      <w:r>
        <w:rPr>
          <w:rFonts w:hint="eastAsia" w:ascii="黑体" w:hAnsi="黑体" w:eastAsia="黑体" w:cs="黑体"/>
          <w:bCs w:val="0"/>
          <w:color w:val="auto"/>
          <w:szCs w:val="21"/>
          <w:highlight w:val="none"/>
        </w:rPr>
        <w:fldChar w:fldCharType="end"/>
      </w:r>
      <w:r/>
    </w:p>
    <w:p>
      <w:pPr>
        <w:pStyle w:val="1170"/>
        <w:tabs>
          <w:tab w:val="right" w:pos="9180" w:leader="dot"/>
        </w:tabs>
        <w:rPr>
          <w:color w:val="auto"/>
          <w:highlight w:val="none"/>
        </w:rPr>
      </w:pPr>
      <w:r>
        <w:rPr>
          <w:rFonts w:hint="eastAsia" w:ascii="黑体" w:hAnsi="黑体" w:eastAsia="黑体" w:cs="黑体"/>
          <w:bCs w:val="0"/>
          <w:color w:val="auto"/>
          <w:szCs w:val="21"/>
          <w:highlight w:val="none"/>
        </w:rPr>
        <w:fldChar w:fldCharType="begin"/>
      </w:r>
      <w:r>
        <w:rPr>
          <w:rFonts w:hint="eastAsia" w:ascii="黑体" w:hAnsi="黑体" w:eastAsia="黑体" w:cs="黑体"/>
          <w:bCs w:val="0"/>
          <w:color w:val="auto"/>
          <w:szCs w:val="21"/>
          <w:highlight w:val="none"/>
        </w:rPr>
        <w:instrText xml:space="preserve"> HYPERLINK \l _Toc27518 </w:instrText>
      </w:r>
      <w:r>
        <w:rPr>
          <w:rFonts w:hint="eastAsia" w:ascii="黑体" w:hAnsi="黑体" w:eastAsia="黑体" w:cs="黑体"/>
          <w:bCs w:val="0"/>
          <w:color w:val="auto"/>
          <w:szCs w:val="21"/>
          <w:highlight w:val="none"/>
        </w:rPr>
        <w:fldChar w:fldCharType="separate"/>
      </w:r>
      <w:r>
        <w:rPr>
          <w:rFonts w:hint="eastAsia" w:ascii="黑体" w:hAnsi="黑体" w:eastAsia="黑体" w:cs="黑体"/>
          <w:color w:val="auto"/>
          <w:szCs w:val="36"/>
          <w:highlight w:val="none"/>
          <w:lang w:val="en-US" w:eastAsia="zh-CN"/>
        </w:rPr>
        <w:t xml:space="preserve">第五章  采购合同文本（服务类）</w:t>
      </w:r>
      <w:r>
        <w:rPr>
          <w:color w:val="auto"/>
          <w:highlight w:val="none"/>
        </w:rPr>
        <w:tab/>
      </w:r>
      <w:r>
        <w:rPr>
          <w:color w:val="auto"/>
          <w:highlight w:val="none"/>
        </w:rPr>
        <w:fldChar w:fldCharType="begin"/>
      </w:r>
      <w:r>
        <w:rPr>
          <w:color w:val="auto"/>
          <w:highlight w:val="none"/>
        </w:rPr>
        <w:instrText xml:space="preserve"> PAGEREF _Toc27518 \h </w:instrText>
      </w:r>
      <w:r>
        <w:rPr>
          <w:color w:val="auto"/>
          <w:highlight w:val="none"/>
        </w:rPr>
        <w:fldChar w:fldCharType="separate"/>
      </w:r>
      <w:r>
        <w:rPr>
          <w:color w:val="auto"/>
          <w:highlight w:val="none"/>
        </w:rPr>
        <w:t xml:space="preserve">29</w:t>
      </w:r>
      <w:r>
        <w:rPr>
          <w:color w:val="auto"/>
          <w:highlight w:val="none"/>
        </w:rPr>
        <w:fldChar w:fldCharType="end"/>
      </w:r>
      <w:r>
        <w:rPr>
          <w:rFonts w:hint="eastAsia" w:ascii="黑体" w:hAnsi="黑体" w:eastAsia="黑体" w:cs="黑体"/>
          <w:bCs w:val="0"/>
          <w:color w:val="auto"/>
          <w:szCs w:val="21"/>
          <w:highlight w:val="none"/>
        </w:rPr>
        <w:fldChar w:fldCharType="end"/>
      </w:r>
      <w:r/>
    </w:p>
    <w:p>
      <w:pPr>
        <w:pStyle w:val="1170"/>
        <w:tabs>
          <w:tab w:val="right" w:pos="9180" w:leader="dot"/>
        </w:tabs>
        <w:rPr>
          <w:color w:val="auto"/>
          <w:highlight w:val="none"/>
        </w:rPr>
      </w:pPr>
      <w:r>
        <w:rPr>
          <w:rFonts w:hint="eastAsia" w:ascii="黑体" w:hAnsi="黑体" w:eastAsia="黑体" w:cs="黑体"/>
          <w:bCs w:val="0"/>
          <w:color w:val="auto"/>
          <w:szCs w:val="21"/>
          <w:highlight w:val="none"/>
        </w:rPr>
        <w:fldChar w:fldCharType="begin"/>
      </w:r>
      <w:r>
        <w:rPr>
          <w:rFonts w:hint="eastAsia" w:ascii="黑体" w:hAnsi="黑体" w:eastAsia="黑体" w:cs="黑体"/>
          <w:bCs w:val="0"/>
          <w:color w:val="auto"/>
          <w:szCs w:val="21"/>
          <w:highlight w:val="none"/>
        </w:rPr>
        <w:instrText xml:space="preserve"> HYPERLINK \l _Toc8159 </w:instrText>
      </w:r>
      <w:r>
        <w:rPr>
          <w:rFonts w:hint="eastAsia" w:ascii="黑体" w:hAnsi="黑体" w:eastAsia="黑体" w:cs="黑体"/>
          <w:bCs w:val="0"/>
          <w:color w:val="auto"/>
          <w:szCs w:val="21"/>
          <w:highlight w:val="none"/>
        </w:rPr>
        <w:fldChar w:fldCharType="separate"/>
      </w:r>
      <w:r>
        <w:rPr>
          <w:rFonts w:hint="eastAsia" w:ascii="黑体" w:hAnsi="黑体" w:eastAsia="黑体" w:cs="黑体"/>
          <w:bCs/>
          <w:color w:val="auto"/>
          <w:szCs w:val="36"/>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_Toc8159 \h </w:instrText>
      </w:r>
      <w:r>
        <w:rPr>
          <w:color w:val="auto"/>
          <w:highlight w:val="none"/>
        </w:rPr>
        <w:fldChar w:fldCharType="separate"/>
      </w:r>
      <w:r>
        <w:rPr>
          <w:color w:val="auto"/>
          <w:highlight w:val="none"/>
        </w:rPr>
        <w:t xml:space="preserve">35</w:t>
      </w:r>
      <w:r>
        <w:rPr>
          <w:color w:val="auto"/>
          <w:highlight w:val="none"/>
        </w:rPr>
        <w:fldChar w:fldCharType="end"/>
      </w:r>
      <w:r>
        <w:rPr>
          <w:rFonts w:hint="eastAsia" w:ascii="黑体" w:hAnsi="黑体" w:eastAsia="黑体" w:cs="黑体"/>
          <w:bCs w:val="0"/>
          <w:color w:val="auto"/>
          <w:szCs w:val="21"/>
          <w:highlight w:val="none"/>
        </w:rPr>
        <w:fldChar w:fldCharType="end"/>
      </w:r>
      <w:r/>
    </w:p>
    <w:p>
      <w:pPr>
        <w:pStyle w:val="1177"/>
        <w:tabs>
          <w:tab w:val="right" w:pos="9180" w:leader="dot"/>
        </w:tabs>
        <w:rPr>
          <w:color w:val="auto"/>
          <w:highlight w:val="none"/>
        </w:rPr>
      </w:pPr>
      <w:r>
        <w:rPr>
          <w:color w:val="auto"/>
          <w:highlight w:val="none"/>
        </w:rPr>
      </w:r>
      <w:r/>
    </w:p>
    <w:p>
      <w:pPr>
        <w:keepLines w:val="0"/>
        <w:keepNext w:val="0"/>
        <w:pageBreakBefore w:val="0"/>
        <w:spacing w:line="360" w:lineRule="auto"/>
        <w:widowControl w:val="off"/>
        <w:rPr>
          <w:rFonts w:hint="eastAsia" w:ascii="宋体" w:hAnsi="宋体" w:eastAsia="宋体" w:cs="宋体"/>
          <w:color w:val="auto"/>
          <w:highlight w:val="none"/>
        </w:rPr>
      </w:pPr>
      <w:r>
        <w:rPr>
          <w:rFonts w:hint="eastAsia" w:ascii="黑体" w:hAnsi="黑体" w:eastAsia="黑体" w:cs="黑体"/>
          <w:bCs w:val="0"/>
          <w:color w:val="auto"/>
          <w:szCs w:val="21"/>
          <w:highlight w:val="none"/>
        </w:rPr>
        <w:fldChar w:fldCharType="end"/>
      </w:r>
      <w:r/>
    </w:p>
    <w:p>
      <w:pPr>
        <w:pStyle w:val="1134"/>
        <w:rPr>
          <w:rFonts w:hint="eastAsia" w:ascii="宋体" w:hAnsi="宋体" w:eastAsia="宋体" w:cs="宋体"/>
          <w:b/>
          <w:bCs/>
          <w:color w:val="auto"/>
          <w:sz w:val="40"/>
          <w:szCs w:val="40"/>
          <w:highlight w:val="none"/>
        </w:rPr>
        <w:sectPr>
          <w:footerReference w:type="default" r:id="rId13"/>
          <w:footerReference w:type="first" r:id="rId14"/>
          <w:footnotePr/>
          <w:endnotePr/>
          <w:type w:val="nextPage"/>
          <w:pgSz w:w="11906" w:h="16838" w:orient="portrait"/>
          <w:pgMar w:top="1418" w:right="1361" w:bottom="1418" w:left="1365" w:header="851" w:footer="907" w:gutter="0"/>
          <w:pgNumType w:start="1"/>
          <w:cols w:num="1" w:sep="0" w:space="1701" w:equalWidth="1"/>
          <w:docGrid w:linePitch="360"/>
          <w:titlePg/>
        </w:sectPr>
      </w:pPr>
      <w:r/>
      <w:bookmarkStart w:id="45" w:name="_Toc10055"/>
      <w:r/>
      <w:r/>
    </w:p>
    <w:p>
      <w:pPr>
        <w:pStyle w:val="1134"/>
        <w:rPr>
          <w:rFonts w:hint="eastAsia" w:ascii="黑体" w:hAnsi="黑体" w:eastAsia="黑体" w:cs="黑体"/>
          <w:b/>
          <w:bCs/>
          <w:color w:val="auto"/>
          <w:sz w:val="36"/>
          <w:szCs w:val="36"/>
          <w:highlight w:val="none"/>
        </w:rPr>
      </w:pPr>
      <w:r/>
      <w:bookmarkStart w:id="46" w:name="_Toc6075"/>
      <w:r>
        <w:rPr>
          <w:rFonts w:hint="eastAsia" w:ascii="黑体" w:hAnsi="黑体" w:eastAsia="黑体" w:cs="黑体"/>
          <w:b/>
          <w:bCs/>
          <w:color w:val="auto"/>
          <w:sz w:val="36"/>
          <w:szCs w:val="36"/>
          <w:highlight w:val="none"/>
        </w:rPr>
        <w:t xml:space="preserve">第一章  </w:t>
      </w:r>
      <w:bookmarkEnd w:id="32"/>
      <w:r>
        <w:rPr>
          <w:rFonts w:hint="eastAsia" w:ascii="黑体" w:hAnsi="黑体" w:eastAsia="黑体" w:cs="黑体"/>
          <w:b/>
          <w:bCs/>
          <w:color w:val="auto"/>
          <w:sz w:val="36"/>
          <w:szCs w:val="36"/>
          <w:highlight w:val="none"/>
        </w:rPr>
        <w:t xml:space="preserve">磋商邀请</w:t>
      </w:r>
      <w:bookmarkEnd w:id="45"/>
      <w:r/>
      <w:bookmarkEnd w:id="46"/>
      <w:r/>
      <w:r/>
    </w:p>
    <w:p>
      <w:pPr>
        <w:ind w:firstLine="420"/>
        <w:jc w:val="left"/>
        <w:pageBreakBefore w:val="0"/>
        <w:spacing w:line="360" w:lineRule="auto"/>
        <w:shd w:val="clear" w:color="auto" w:fill="ffffff"/>
        <w:widowControl/>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rPr>
        <w:t xml:space="preserve">受</w:t>
      </w:r>
      <w:r>
        <w:rPr>
          <w:rFonts w:hint="eastAsia" w:ascii="宋体" w:hAnsi="宋体" w:cs="宋体"/>
          <w:b w:val="0"/>
          <w:bCs w:val="0"/>
          <w:color w:val="auto"/>
          <w:sz w:val="22"/>
          <w:szCs w:val="22"/>
          <w:highlight w:val="none"/>
          <w:lang w:eastAsia="zh-CN"/>
        </w:rPr>
        <w:t xml:space="preserve">南京市人力资源和社会保障信息管理中心</w:t>
      </w:r>
      <w:r>
        <w:rPr>
          <w:rFonts w:hint="eastAsia" w:ascii="宋体" w:hAnsi="宋体" w:eastAsia="宋体" w:cs="宋体"/>
          <w:b w:val="0"/>
          <w:bCs w:val="0"/>
          <w:color w:val="auto"/>
          <w:sz w:val="22"/>
          <w:szCs w:val="22"/>
          <w:highlight w:val="none"/>
        </w:rPr>
        <w:t xml:space="preserve">的委托，江苏柒采招标代理有限公司就</w:t>
      </w:r>
      <w:r>
        <w:rPr>
          <w:rFonts w:hint="eastAsia" w:ascii="宋体" w:hAnsi="宋体" w:cs="宋体"/>
          <w:b w:val="0"/>
          <w:bCs w:val="0"/>
          <w:color w:val="auto"/>
          <w:sz w:val="22"/>
          <w:szCs w:val="22"/>
          <w:highlight w:val="none"/>
          <w:lang w:eastAsia="zh-CN"/>
        </w:rPr>
        <w:t xml:space="preserve">2026年度江苏省人社一体化信息平台南京社会保险运维项目</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color w:val="auto"/>
          <w:sz w:val="22"/>
          <w:szCs w:val="22"/>
          <w:highlight w:val="none"/>
        </w:rPr>
        <w:t xml:space="preserve">项目编号：</w:t>
      </w:r>
      <w:r>
        <w:rPr>
          <w:rFonts w:hint="eastAsia" w:ascii="宋体" w:hAnsi="宋体" w:cs="宋体"/>
          <w:b w:val="0"/>
          <w:bCs w:val="0"/>
          <w:color w:val="auto"/>
          <w:sz w:val="22"/>
          <w:szCs w:val="22"/>
          <w:highlight w:val="none"/>
          <w:lang w:eastAsia="zh-CN"/>
        </w:rPr>
        <w:t xml:space="preserve">JSZC-320100-JSQC-C2026-0023</w:t>
      </w:r>
      <w:r>
        <w:rPr>
          <w:rFonts w:hint="eastAsia" w:ascii="宋体" w:hAnsi="宋体" w:eastAsia="宋体" w:cs="宋体"/>
          <w:color w:val="auto"/>
          <w:sz w:val="22"/>
          <w:szCs w:val="22"/>
          <w:highlight w:val="none"/>
        </w:rPr>
        <w:t xml:space="preserve">)实施政府采购，本次采购</w:t>
      </w:r>
      <w:r>
        <w:rPr>
          <w:rFonts w:hint="eastAsia" w:ascii="宋体" w:hAnsi="宋体" w:eastAsia="宋体" w:cs="宋体"/>
          <w:b w:val="0"/>
          <w:bCs w:val="0"/>
          <w:color w:val="auto"/>
          <w:sz w:val="22"/>
          <w:szCs w:val="22"/>
          <w:highlight w:val="none"/>
        </w:rPr>
        <w:t xml:space="preserve">采用竞争性磋商方</w:t>
      </w:r>
      <w:r>
        <w:rPr>
          <w:rFonts w:hint="eastAsia" w:ascii="宋体" w:hAnsi="宋体" w:eastAsia="宋体" w:cs="宋体"/>
          <w:color w:val="auto"/>
          <w:sz w:val="22"/>
          <w:szCs w:val="22"/>
          <w:highlight w:val="none"/>
        </w:rPr>
        <w:t xml:space="preserve">式，欢迎符合条件的供应商参加磋商。</w:t>
      </w:r>
      <w:r/>
    </w:p>
    <w:p>
      <w:pPr>
        <w:ind w:firstLine="442"/>
        <w:keepLines w:val="0"/>
        <w:keepNext w:val="0"/>
        <w:pageBreakBefore w:val="0"/>
        <w:spacing w:line="360" w:lineRule="auto"/>
        <w:widowControl w:val="off"/>
        <w:rPr>
          <w:rFonts w:hint="eastAsia" w:ascii="宋体" w:hAnsi="宋体" w:eastAsia="宋体" w:cs="宋体"/>
          <w:b/>
          <w:bCs/>
          <w:color w:val="auto"/>
          <w:sz w:val="22"/>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auto"/>
          <w:sz w:val="22"/>
          <w:szCs w:val="22"/>
          <w:highlight w:val="none"/>
        </w:rPr>
        <w:t xml:space="preserve">项目概况</w:t>
      </w:r>
      <w:r/>
    </w:p>
    <w:p>
      <w:pPr>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color w:val="auto"/>
          <w:sz w:val="22"/>
          <w:szCs w:val="22"/>
          <w:highlight w:val="none"/>
          <w:lang w:eastAsia="zh-CN"/>
        </w:rPr>
        <w:t xml:space="preserve">2026年度江苏省人社一体化信息平台南京社会保险运维项目</w:t>
      </w:r>
      <w:r>
        <w:rPr>
          <w:rFonts w:hint="eastAsia" w:ascii="宋体" w:hAnsi="宋体" w:eastAsia="宋体" w:cs="宋体"/>
          <w:b w:val="0"/>
          <w:bCs w:val="0"/>
          <w:color w:val="auto"/>
          <w:sz w:val="22"/>
          <w:szCs w:val="22"/>
          <w:highlight w:val="none"/>
        </w:rPr>
        <w:t xml:space="preserve">的潜在供应商</w:t>
      </w:r>
      <w:r>
        <w:rPr>
          <w:rFonts w:hint="eastAsia" w:ascii="宋体" w:hAnsi="宋体" w:eastAsia="宋体" w:cs="宋体"/>
          <w:b w:val="0"/>
          <w:bCs w:val="0"/>
          <w:color w:val="auto"/>
          <w:sz w:val="22"/>
          <w:szCs w:val="22"/>
          <w:highlight w:val="none"/>
          <w:lang w:val="en-US" w:eastAsia="zh-CN"/>
        </w:rPr>
        <w:t xml:space="preserve">应在</w:t>
      </w:r>
      <w:r>
        <w:rPr>
          <w:rFonts w:hint="eastAsia" w:ascii="宋体" w:hAnsi="宋体" w:eastAsia="宋体" w:cs="宋体"/>
          <w:b w:val="0"/>
          <w:bCs w:val="0"/>
          <w:color w:val="auto"/>
          <w:sz w:val="22"/>
          <w:szCs w:val="22"/>
          <w:highlight w:val="none"/>
        </w:rPr>
        <w:t xml:space="preserve">江苏政府采购网“苏采云”系统中免费下载</w:t>
      </w:r>
      <w:r>
        <w:rPr>
          <w:rFonts w:hint="eastAsia" w:ascii="宋体" w:hAnsi="宋体" w:eastAsia="宋体" w:cs="宋体"/>
          <w:b w:val="0"/>
          <w:bCs w:val="0"/>
          <w:color w:val="auto"/>
          <w:sz w:val="22"/>
          <w:szCs w:val="22"/>
          <w:highlight w:val="none"/>
          <w:lang w:val="en-US" w:eastAsia="zh-CN"/>
        </w:rPr>
        <w:t xml:space="preserve">采购</w:t>
      </w:r>
      <w:r>
        <w:rPr>
          <w:rFonts w:hint="eastAsia" w:ascii="宋体" w:hAnsi="宋体" w:eastAsia="宋体" w:cs="宋体"/>
          <w:b w:val="0"/>
          <w:bCs w:val="0"/>
          <w:color w:val="auto"/>
          <w:sz w:val="22"/>
          <w:szCs w:val="22"/>
          <w:highlight w:val="none"/>
        </w:rPr>
        <w:t xml:space="preserve">文件，并于</w:t>
      </w:r>
      <w:bookmarkStart w:id="47" w:name="OLE_LINK12"/>
      <w:r/>
      <w:bookmarkStart w:id="48" w:name="OLE_LINK5"/>
      <w:r>
        <w:rPr>
          <w:rFonts w:hint="eastAsia" w:ascii="宋体" w:hAnsi="宋体" w:eastAsia="宋体" w:cs="宋体"/>
          <w:b w:val="0"/>
          <w:bCs w:val="0"/>
          <w:color w:val="auto"/>
          <w:sz w:val="22"/>
          <w:szCs w:val="22"/>
          <w:highlight w:val="none"/>
          <w:lang w:eastAsia="zh-CN"/>
        </w:rPr>
        <w:t xml:space="preserve">202</w:t>
      </w:r>
      <w:r>
        <w:rPr>
          <w:rFonts w:hint="eastAsia" w:ascii="宋体" w:hAnsi="宋体" w:cs="宋体"/>
          <w:b w:val="0"/>
          <w:bCs w:val="0"/>
          <w:color w:val="auto"/>
          <w:sz w:val="22"/>
          <w:szCs w:val="22"/>
          <w:highlight w:val="none"/>
          <w:lang w:val="en-US" w:eastAsia="zh-CN"/>
        </w:rPr>
        <w:t xml:space="preserve">6</w:t>
      </w:r>
      <w:r>
        <w:rPr>
          <w:rFonts w:hint="eastAsia" w:ascii="宋体" w:hAnsi="宋体" w:eastAsia="宋体" w:cs="宋体"/>
          <w:b w:val="0"/>
          <w:bCs w:val="0"/>
          <w:color w:val="auto"/>
          <w:sz w:val="22"/>
          <w:szCs w:val="22"/>
          <w:highlight w:val="none"/>
          <w:lang w:eastAsia="zh-CN"/>
        </w:rPr>
        <w:t xml:space="preserve">年</w:t>
      </w:r>
      <w:r>
        <w:rPr>
          <w:rFonts w:hint="eastAsia" w:ascii="宋体" w:hAnsi="宋体" w:cs="宋体"/>
          <w:b w:val="0"/>
          <w:bCs w:val="0"/>
          <w:color w:val="auto"/>
          <w:sz w:val="22"/>
          <w:szCs w:val="22"/>
          <w:highlight w:val="none"/>
          <w:lang w:val="en-US" w:eastAsia="zh-CN"/>
        </w:rPr>
        <w:t xml:space="preserve">06</w:t>
      </w:r>
      <w:r>
        <w:rPr>
          <w:rFonts w:hint="eastAsia" w:ascii="宋体" w:hAnsi="宋体" w:eastAsia="宋体" w:cs="宋体"/>
          <w:b w:val="0"/>
          <w:bCs w:val="0"/>
          <w:color w:val="auto"/>
          <w:sz w:val="22"/>
          <w:szCs w:val="22"/>
          <w:highlight w:val="none"/>
          <w:lang w:eastAsia="zh-CN"/>
        </w:rPr>
        <w:t xml:space="preserve">月</w:t>
      </w:r>
      <w:r>
        <w:rPr>
          <w:rFonts w:hint="eastAsia" w:ascii="宋体" w:hAnsi="宋体" w:cs="宋体"/>
          <w:b w:val="0"/>
          <w:bCs w:val="0"/>
          <w:color w:val="auto"/>
          <w:sz w:val="22"/>
          <w:szCs w:val="22"/>
          <w:highlight w:val="none"/>
          <w:lang w:val="en-US" w:eastAsia="zh-CN"/>
        </w:rPr>
        <w:t xml:space="preserve">22</w:t>
      </w:r>
      <w:r>
        <w:rPr>
          <w:rFonts w:hint="eastAsia" w:ascii="宋体" w:hAnsi="宋体" w:eastAsia="宋体" w:cs="宋体"/>
          <w:b w:val="0"/>
          <w:bCs w:val="0"/>
          <w:color w:val="auto"/>
          <w:sz w:val="22"/>
          <w:szCs w:val="22"/>
          <w:highlight w:val="none"/>
          <w:lang w:eastAsia="zh-CN"/>
        </w:rPr>
        <w:t xml:space="preserve">日</w:t>
      </w:r>
      <w:r>
        <w:rPr>
          <w:rFonts w:hint="eastAsia" w:ascii="宋体" w:hAnsi="宋体" w:cs="宋体"/>
          <w:b w:val="0"/>
          <w:bCs w:val="0"/>
          <w:color w:val="auto"/>
          <w:sz w:val="22"/>
          <w:szCs w:val="22"/>
          <w:highlight w:val="none"/>
          <w:lang w:val="en-US" w:eastAsia="zh-CN"/>
        </w:rPr>
        <w:t xml:space="preserve">10</w:t>
      </w:r>
      <w:r>
        <w:rPr>
          <w:rFonts w:hint="eastAsia" w:ascii="宋体" w:hAnsi="宋体" w:eastAsia="宋体" w:cs="宋体"/>
          <w:b w:val="0"/>
          <w:bCs w:val="0"/>
          <w:color w:val="auto"/>
          <w:sz w:val="22"/>
          <w:szCs w:val="22"/>
          <w:highlight w:val="none"/>
          <w:lang w:eastAsia="zh-CN"/>
        </w:rPr>
        <w:t xml:space="preserve">时</w:t>
      </w:r>
      <w:r>
        <w:rPr>
          <w:rFonts w:hint="eastAsia" w:ascii="宋体" w:hAnsi="宋体" w:eastAsia="宋体" w:cs="宋体"/>
          <w:b w:val="0"/>
          <w:bCs w:val="0"/>
          <w:color w:val="auto"/>
          <w:sz w:val="22"/>
          <w:szCs w:val="22"/>
          <w:highlight w:val="none"/>
          <w:lang w:val="en-US" w:eastAsia="zh-CN"/>
        </w:rPr>
        <w:t xml:space="preserve">00</w:t>
      </w:r>
      <w:r>
        <w:rPr>
          <w:rFonts w:hint="eastAsia" w:ascii="宋体" w:hAnsi="宋体" w:eastAsia="宋体" w:cs="宋体"/>
          <w:b w:val="0"/>
          <w:bCs w:val="0"/>
          <w:color w:val="auto"/>
          <w:sz w:val="22"/>
          <w:szCs w:val="22"/>
          <w:highlight w:val="none"/>
          <w:lang w:eastAsia="zh-CN"/>
        </w:rPr>
        <w:t xml:space="preserve">分</w:t>
      </w:r>
      <w:r>
        <w:rPr>
          <w:rFonts w:hint="eastAsia" w:ascii="宋体" w:hAnsi="宋体" w:eastAsia="宋体" w:cs="宋体"/>
          <w:b w:val="0"/>
          <w:bCs w:val="0"/>
          <w:color w:val="auto"/>
          <w:sz w:val="22"/>
          <w:szCs w:val="22"/>
          <w:highlight w:val="none"/>
        </w:rPr>
        <w:t xml:space="preserve">（北京时间）</w:t>
      </w:r>
      <w:bookmarkEnd w:id="47"/>
      <w:r/>
      <w:bookmarkEnd w:id="48"/>
      <w:r>
        <w:rPr>
          <w:rFonts w:hint="eastAsia" w:ascii="宋体" w:hAnsi="宋体" w:eastAsia="宋体" w:cs="宋体"/>
          <w:b w:val="0"/>
          <w:bCs w:val="0"/>
          <w:color w:val="auto"/>
          <w:sz w:val="22"/>
          <w:szCs w:val="22"/>
          <w:highlight w:val="none"/>
        </w:rPr>
        <w:t xml:space="preserve">前递交响应文件。</w:t>
      </w:r>
      <w:r/>
    </w:p>
    <w:p>
      <w:pPr>
        <w:pStyle w:val="1135"/>
        <w:ind w:firstLine="341"/>
        <w:jc w:val="both"/>
        <w:pageBreakBefore w:val="0"/>
        <w:spacing w:before="0" w:after="0" w:line="360" w:lineRule="auto"/>
        <w:rPr>
          <w:rFonts w:hint="eastAsia" w:ascii="黑体" w:hAnsi="黑体" w:eastAsia="黑体" w:cs="黑体"/>
          <w:b w:val="0"/>
          <w:bCs w:val="0"/>
          <w:color w:val="auto"/>
          <w:sz w:val="22"/>
          <w:szCs w:val="22"/>
          <w:highlight w:val="none"/>
        </w:rPr>
      </w:pPr>
      <w:r/>
      <w:bookmarkStart w:id="49" w:name="_Toc38985263"/>
      <w:r/>
      <w:bookmarkStart w:id="50" w:name="_Toc35393790"/>
      <w:r/>
      <w:bookmarkStart w:id="51" w:name="_Toc6738"/>
      <w:r/>
      <w:bookmarkStart w:id="52" w:name="_Toc31798"/>
      <w:r/>
      <w:bookmarkStart w:id="53" w:name="_Toc9072"/>
      <w:r/>
      <w:bookmarkStart w:id="54" w:name="_Toc28359079"/>
      <w:r/>
      <w:bookmarkStart w:id="55" w:name="_Toc9101"/>
      <w:r/>
      <w:bookmarkStart w:id="56" w:name="_Toc28359002"/>
      <w:r/>
      <w:bookmarkStart w:id="57" w:name="_Toc35393621"/>
      <w:r/>
      <w:bookmarkStart w:id="58" w:name="_Hlk24379207"/>
      <w:r>
        <w:rPr>
          <w:rFonts w:hint="eastAsia" w:ascii="黑体" w:hAnsi="黑体" w:eastAsia="黑体" w:cs="黑体"/>
          <w:b w:val="0"/>
          <w:bCs w:val="0"/>
          <w:color w:val="auto"/>
          <w:sz w:val="22"/>
          <w:szCs w:val="22"/>
          <w:highlight w:val="none"/>
        </w:rPr>
        <w:t xml:space="preserve">一、项目基本情况</w:t>
      </w:r>
      <w:bookmarkEnd w:id="49"/>
      <w:r/>
      <w:bookmarkEnd w:id="50"/>
      <w:r/>
      <w:bookmarkEnd w:id="51"/>
      <w:r/>
      <w:bookmarkEnd w:id="52"/>
      <w:r/>
      <w:bookmarkEnd w:id="53"/>
      <w:r/>
      <w:bookmarkEnd w:id="54"/>
      <w:r/>
      <w:bookmarkEnd w:id="55"/>
      <w:r/>
      <w:bookmarkEnd w:id="56"/>
      <w:r/>
      <w:bookmarkEnd w:id="57"/>
      <w:r/>
      <w:r/>
    </w:p>
    <w:p>
      <w:pPr>
        <w:ind w:firstLine="440"/>
        <w:pageBreakBefore w:val="0"/>
        <w:spacing w:line="360" w:lineRule="auto"/>
        <w:rPr>
          <w:rFonts w:hint="eastAsia" w:ascii="宋体" w:hAnsi="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1.1</w:t>
      </w:r>
      <w:r>
        <w:rPr>
          <w:rFonts w:hint="eastAsia" w:ascii="宋体" w:hAnsi="宋体" w:eastAsia="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JSZC-320100-JSQC-C2026-0023</w:t>
      </w:r>
      <w:r/>
    </w:p>
    <w:p>
      <w:pPr>
        <w:ind w:firstLine="44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2026年度江苏省人社一体化信息平台南京社会保险运维项目</w:t>
      </w:r>
      <w:bookmarkEnd w:id="58"/>
      <w:r/>
      <w:r/>
    </w:p>
    <w:p>
      <w:pPr>
        <w:ind w:firstLine="44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1.3</w:t>
      </w:r>
      <w:r>
        <w:rPr>
          <w:rFonts w:hint="eastAsia" w:ascii="宋体" w:hAnsi="宋体" w:eastAsia="宋体" w:cs="宋体"/>
          <w:color w:val="auto"/>
          <w:sz w:val="22"/>
          <w:szCs w:val="22"/>
          <w:highlight w:val="none"/>
          <w:lang w:eastAsia="zh-CN"/>
        </w:rPr>
        <w:t xml:space="preserve">采购方式</w:t>
      </w:r>
      <w:r>
        <w:rPr>
          <w:rFonts w:hint="eastAsia" w:ascii="宋体" w:hAnsi="宋体" w:eastAsia="宋体" w:cs="宋体"/>
          <w:color w:val="auto"/>
          <w:sz w:val="22"/>
          <w:szCs w:val="22"/>
          <w:highlight w:val="none"/>
        </w:rPr>
        <w:t xml:space="preserve">：竞争性磋商</w:t>
      </w:r>
      <w:r/>
    </w:p>
    <w:p>
      <w:pPr>
        <w:ind w:firstLine="44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1.4</w:t>
      </w:r>
      <w:r>
        <w:rPr>
          <w:rFonts w:hint="eastAsia" w:ascii="宋体" w:hAnsi="宋体" w:eastAsia="宋体" w:cs="宋体"/>
          <w:color w:val="auto"/>
          <w:sz w:val="22"/>
          <w:szCs w:val="22"/>
          <w:highlight w:val="none"/>
        </w:rPr>
        <w:t xml:space="preserve">预算金额</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含税</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bookmarkStart w:id="59" w:name="OLE_LINK14"/>
      <w:r>
        <w:rPr>
          <w:rFonts w:hint="eastAsia" w:ascii="宋体" w:hAnsi="宋体" w:eastAsia="宋体" w:cs="宋体"/>
          <w:color w:val="auto"/>
          <w:sz w:val="22"/>
          <w:szCs w:val="22"/>
          <w:highlight w:val="none"/>
        </w:rPr>
        <w:t xml:space="preserve">人民币</w:t>
      </w:r>
      <w:bookmarkEnd w:id="59"/>
      <w:r>
        <w:rPr>
          <w:rFonts w:hint="eastAsia" w:ascii="宋体" w:hAnsi="宋体" w:cs="宋体"/>
          <w:b w:val="0"/>
          <w:bCs w:val="0"/>
          <w:color w:val="auto"/>
          <w:sz w:val="22"/>
          <w:szCs w:val="22"/>
          <w:highlight w:val="none"/>
          <w:lang w:val="en-US" w:eastAsia="zh-CN"/>
        </w:rPr>
        <w:t xml:space="preserve">265万元</w:t>
      </w:r>
      <w:r>
        <w:rPr>
          <w:rFonts w:hint="eastAsia" w:ascii="宋体" w:hAnsi="宋体" w:cs="宋体"/>
          <w:color w:val="auto"/>
          <w:sz w:val="22"/>
          <w:szCs w:val="22"/>
          <w:highlight w:val="none"/>
          <w:lang w:eastAsia="zh-CN"/>
        </w:rPr>
        <w:t xml:space="preserve">。</w:t>
      </w:r>
      <w:r/>
    </w:p>
    <w:p>
      <w:pPr>
        <w:ind w:firstLine="420"/>
        <w:jc w:val="left"/>
        <w:pageBreakBefore w:val="0"/>
        <w:spacing w:line="360" w:lineRule="auto"/>
        <w:shd w:val="clear" w:color="auto" w:fill="ffffff"/>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最高限价</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含税</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：人民币</w:t>
      </w:r>
      <w:r>
        <w:rPr>
          <w:rFonts w:hint="eastAsia" w:ascii="宋体" w:hAnsi="宋体" w:cs="宋体"/>
          <w:b w:val="0"/>
          <w:bCs w:val="0"/>
          <w:color w:val="auto"/>
          <w:sz w:val="22"/>
          <w:szCs w:val="22"/>
          <w:highlight w:val="none"/>
          <w:lang w:val="en-US" w:eastAsia="zh-CN"/>
        </w:rPr>
        <w:t xml:space="preserve">265万元</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投标</w:t>
      </w:r>
      <w:r>
        <w:rPr>
          <w:rFonts w:hint="eastAsia" w:ascii="宋体" w:hAnsi="宋体" w:cs="宋体"/>
          <w:color w:val="auto"/>
          <w:sz w:val="22"/>
          <w:szCs w:val="22"/>
          <w:highlight w:val="none"/>
          <w:lang w:val="en-US" w:eastAsia="zh-CN"/>
        </w:rPr>
        <w:t xml:space="preserve">价格</w:t>
      </w:r>
      <w:r>
        <w:rPr>
          <w:rFonts w:hint="eastAsia" w:ascii="宋体" w:hAnsi="宋体" w:eastAsia="宋体" w:cs="宋体"/>
          <w:color w:val="auto"/>
          <w:sz w:val="22"/>
          <w:szCs w:val="22"/>
          <w:highlight w:val="none"/>
        </w:rPr>
        <w:t xml:space="preserve">超过最高限价按无效</w:t>
      </w:r>
      <w:r>
        <w:rPr>
          <w:rFonts w:hint="eastAsia" w:ascii="宋体" w:hAnsi="宋体" w:eastAsia="宋体" w:cs="宋体"/>
          <w:color w:val="auto"/>
          <w:sz w:val="22"/>
          <w:szCs w:val="22"/>
          <w:highlight w:val="none"/>
          <w:lang w:val="en-US" w:eastAsia="en-US"/>
        </w:rPr>
        <w:t xml:space="preserve">响应文件</w:t>
      </w:r>
      <w:r>
        <w:rPr>
          <w:rFonts w:hint="eastAsia" w:ascii="宋体" w:hAnsi="宋体" w:eastAsia="宋体" w:cs="宋体"/>
          <w:color w:val="auto"/>
          <w:sz w:val="22"/>
          <w:szCs w:val="22"/>
          <w:highlight w:val="none"/>
        </w:rPr>
        <w:t xml:space="preserve">处理</w:t>
      </w:r>
      <w:r>
        <w:rPr>
          <w:rFonts w:hint="eastAsia" w:ascii="宋体" w:hAnsi="宋体" w:eastAsia="宋体" w:cs="宋体"/>
          <w:color w:val="auto"/>
          <w:sz w:val="22"/>
          <w:szCs w:val="22"/>
          <w:highlight w:val="none"/>
          <w:lang w:eastAsia="zh-CN"/>
        </w:rPr>
        <w:t xml:space="preserve">。</w:t>
      </w:r>
      <w:r/>
    </w:p>
    <w:p>
      <w:pPr>
        <w:ind w:firstLine="44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1.6</w:t>
      </w:r>
      <w:r>
        <w:rPr>
          <w:rFonts w:hint="eastAsia" w:ascii="宋体" w:hAnsi="宋体" w:eastAsia="宋体" w:cs="宋体"/>
          <w:color w:val="auto"/>
          <w:sz w:val="22"/>
          <w:szCs w:val="22"/>
          <w:highlight w:val="none"/>
        </w:rPr>
        <w:t xml:space="preserve">采购需求：结合江苏省人社一体化信息平台、南京市人社城乡一体化信息系统和南京市公共就业服务能力提升示范项目运维需求，南京市人力资源和社会保障局需要通过本项目实现江苏省人社一体化信息平台的南京市社会保险部分运维保障，南京市人社城乡一体化信息系统社会保险、机关事业养老保险、老农保等应用软件运维保障</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南京市公共就业服务能力提升示范项目就业人才知识图谱、就业创业资金监管、就业服务一卡通分析展示、就业服务经办分级展示四个</w:t>
      </w:r>
      <w:r>
        <w:rPr>
          <w:rFonts w:hint="eastAsia" w:ascii="宋体" w:hAnsi="宋体" w:eastAsia="宋体" w:cs="宋体"/>
          <w:color w:val="auto"/>
          <w:sz w:val="22"/>
          <w:szCs w:val="22"/>
          <w:highlight w:val="none"/>
          <w:lang w:val="en-US" w:eastAsia="zh-CN"/>
        </w:rPr>
        <w:t xml:space="preserve">应用软件</w:t>
      </w:r>
      <w:r>
        <w:rPr>
          <w:rFonts w:hint="eastAsia" w:ascii="宋体" w:hAnsi="宋体" w:eastAsia="宋体" w:cs="宋体"/>
          <w:color w:val="auto"/>
          <w:sz w:val="22"/>
          <w:szCs w:val="22"/>
          <w:highlight w:val="none"/>
        </w:rPr>
        <w:t xml:space="preserve">运维保障</w:t>
      </w:r>
      <w:r>
        <w:rPr>
          <w:rFonts w:hint="eastAsia" w:ascii="宋体" w:hAnsi="宋体" w:eastAsia="宋体" w:cs="宋体"/>
          <w:color w:val="auto"/>
          <w:sz w:val="22"/>
          <w:szCs w:val="22"/>
          <w:highlight w:val="none"/>
          <w:lang w:eastAsia="zh-CN"/>
        </w:rPr>
        <w:t xml:space="preserve">，包括工单处理、系统培训、数据统计分析、个性化功能支持以及其他应急情况的处理等，按需做好南京人社其它创新应用技术支撑工作及软件适配，以确保社会保险业务正常运行和持续发展。</w:t>
      </w:r>
      <w:r/>
    </w:p>
    <w:p>
      <w:pPr>
        <w:ind w:firstLine="440"/>
        <w:pageBreakBefore w:val="0"/>
        <w:spacing w:line="360" w:lineRule="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val="en-US" w:eastAsia="zh-CN"/>
        </w:rPr>
        <w:t xml:space="preserve">1.7</w:t>
      </w:r>
      <w:r>
        <w:rPr>
          <w:rFonts w:hint="eastAsia" w:ascii="宋体" w:hAnsi="宋体" w:eastAsia="宋体" w:cs="宋体"/>
          <w:color w:val="auto"/>
          <w:sz w:val="22"/>
          <w:szCs w:val="22"/>
          <w:highlight w:val="none"/>
        </w:rPr>
        <w:t xml:space="preserve">合同履行期限：</w:t>
      </w:r>
      <w:r>
        <w:rPr>
          <w:rFonts w:hint="eastAsia" w:ascii="宋体" w:hAnsi="宋体" w:eastAsia="宋体" w:cs="宋体"/>
          <w:color w:val="auto"/>
          <w:sz w:val="22"/>
          <w:szCs w:val="22"/>
          <w:highlight w:val="none"/>
          <w:lang w:eastAsia="zh-CN"/>
        </w:rPr>
        <w:t xml:space="preserve">自合同签订之日起一年</w:t>
      </w:r>
      <w:r>
        <w:rPr>
          <w:rFonts w:hint="eastAsia" w:ascii="宋体" w:hAnsi="宋体" w:eastAsia="宋体" w:cs="宋体"/>
          <w:color w:val="auto"/>
          <w:sz w:val="22"/>
          <w:szCs w:val="22"/>
          <w:highlight w:val="none"/>
          <w:lang w:val="en-US" w:eastAsia="zh-CN"/>
        </w:rPr>
        <w:t xml:space="preserve">。</w:t>
      </w:r>
      <w:r/>
    </w:p>
    <w:p>
      <w:pPr>
        <w:ind w:firstLine="440"/>
        <w:pageBreakBefore w:val="0"/>
        <w:spacing w:line="360" w:lineRule="auto"/>
        <w:rPr>
          <w:rFonts w:hint="eastAsia" w:ascii="宋体" w:hAnsi="宋体" w:eastAsia="宋体" w:cs="宋体"/>
          <w:color w:val="auto"/>
          <w:sz w:val="22"/>
          <w:szCs w:val="22"/>
          <w:highlight w:val="none"/>
          <w:lang w:val="en-US" w:eastAsia="zh-CN"/>
        </w:rPr>
      </w:pPr>
      <w:r/>
      <w:bookmarkStart w:id="60" w:name="_Toc11258"/>
      <w:r/>
      <w:bookmarkStart w:id="61" w:name="_Toc35393791"/>
      <w:r/>
      <w:bookmarkStart w:id="62" w:name="_Toc28359080"/>
      <w:r/>
      <w:bookmarkStart w:id="63" w:name="_Toc28359003"/>
      <w:r/>
      <w:bookmarkStart w:id="64" w:name="_Toc35393622"/>
      <w:r/>
      <w:bookmarkStart w:id="65" w:name="_Toc38985264"/>
      <w:r>
        <w:rPr>
          <w:rFonts w:hint="eastAsia" w:ascii="宋体" w:hAnsi="宋体" w:eastAsia="宋体" w:cs="宋体"/>
          <w:color w:val="auto"/>
          <w:sz w:val="22"/>
          <w:szCs w:val="22"/>
          <w:highlight w:val="none"/>
          <w:lang w:val="en-US" w:eastAsia="zh-CN"/>
        </w:rPr>
        <w:t xml:space="preserve">1.8本项目（是/否）接受联合体投标：否。</w:t>
      </w:r>
      <w:r/>
    </w:p>
    <w:p>
      <w:pPr>
        <w:pStyle w:val="1135"/>
        <w:ind w:firstLine="341"/>
        <w:jc w:val="both"/>
        <w:pageBreakBefore w:val="0"/>
        <w:spacing w:before="0" w:after="0" w:line="360" w:lineRule="auto"/>
        <w:rPr>
          <w:rFonts w:hint="eastAsia" w:ascii="黑体" w:hAnsi="黑体" w:eastAsia="黑体" w:cs="黑体"/>
          <w:b w:val="0"/>
          <w:bCs w:val="0"/>
          <w:color w:val="auto"/>
          <w:sz w:val="22"/>
          <w:szCs w:val="22"/>
          <w:highlight w:val="none"/>
        </w:rPr>
      </w:pPr>
      <w:r/>
      <w:bookmarkStart w:id="66" w:name="_Toc14057"/>
      <w:r/>
      <w:bookmarkStart w:id="67" w:name="_Toc9644"/>
      <w:r/>
      <w:bookmarkStart w:id="68" w:name="_Toc23142"/>
      <w:r>
        <w:rPr>
          <w:rFonts w:hint="eastAsia" w:ascii="黑体" w:hAnsi="黑体" w:eastAsia="黑体" w:cs="黑体"/>
          <w:b w:val="0"/>
          <w:bCs w:val="0"/>
          <w:color w:val="auto"/>
          <w:sz w:val="22"/>
          <w:szCs w:val="22"/>
          <w:highlight w:val="none"/>
        </w:rPr>
        <w:t xml:space="preserve">二、供应商的资格要求</w:t>
      </w:r>
      <w:bookmarkEnd w:id="60"/>
      <w:r/>
      <w:bookmarkEnd w:id="61"/>
      <w:r/>
      <w:bookmarkEnd w:id="62"/>
      <w:r/>
      <w:bookmarkEnd w:id="63"/>
      <w:r/>
      <w:bookmarkEnd w:id="64"/>
      <w:r/>
      <w:bookmarkEnd w:id="65"/>
      <w:r/>
      <w:bookmarkEnd w:id="66"/>
      <w:r/>
      <w:bookmarkEnd w:id="67"/>
      <w:r/>
      <w:bookmarkEnd w:id="68"/>
      <w:r/>
      <w:r/>
    </w:p>
    <w:p>
      <w:pPr>
        <w:ind w:firstLine="440"/>
        <w:pageBreakBefore w:val="0"/>
        <w:spacing w:line="360" w:lineRule="auto"/>
        <w:rPr>
          <w:rFonts w:hint="eastAsia" w:ascii="宋体" w:hAnsi="宋体" w:eastAsia="宋体" w:cs="宋体"/>
          <w:color w:val="auto"/>
          <w:sz w:val="22"/>
          <w:szCs w:val="22"/>
          <w:highlight w:val="none"/>
        </w:rPr>
      </w:pPr>
      <w:r/>
      <w:bookmarkStart w:id="69" w:name="_Toc35393623"/>
      <w:r/>
      <w:bookmarkStart w:id="70" w:name="_Toc35393792"/>
      <w:r/>
      <w:bookmarkStart w:id="71" w:name="_Toc28359004"/>
      <w:r/>
      <w:bookmarkStart w:id="72" w:name="_Toc28359081"/>
      <w:r/>
      <w:bookmarkStart w:id="73" w:name="_Toc38985265"/>
      <w:r/>
      <w:bookmarkStart w:id="74" w:name="_Toc9794"/>
      <w:r/>
      <w:bookmarkStart w:id="75" w:name="_Toc35393627"/>
      <w:r/>
      <w:bookmarkStart w:id="76" w:name="_Toc28359085"/>
      <w:r/>
      <w:bookmarkStart w:id="77" w:name="_Toc35393796"/>
      <w:r/>
      <w:bookmarkStart w:id="78" w:name="_Toc38985269"/>
      <w:r/>
      <w:bookmarkStart w:id="79" w:name="_Toc14169"/>
      <w:r/>
      <w:bookmarkStart w:id="80" w:name="_Toc28359008"/>
      <w:r>
        <w:rPr>
          <w:rFonts w:hint="eastAsia" w:ascii="宋体" w:hAnsi="宋体" w:eastAsia="宋体" w:cs="宋体"/>
          <w:color w:val="auto"/>
          <w:sz w:val="22"/>
          <w:szCs w:val="22"/>
          <w:highlight w:val="none"/>
          <w:lang w:val="en-US" w:eastAsia="zh-CN"/>
        </w:rPr>
        <w:t xml:space="preserve">（一）</w:t>
      </w:r>
      <w:r>
        <w:rPr>
          <w:rFonts w:hint="eastAsia" w:ascii="宋体" w:hAnsi="宋体" w:eastAsia="宋体" w:cs="宋体"/>
          <w:color w:val="auto"/>
          <w:sz w:val="22"/>
          <w:szCs w:val="22"/>
          <w:highlight w:val="none"/>
        </w:rPr>
        <w:t xml:space="preserve">满足《中华人民共和国政府采购法》第二十二条规定，并提供下列材料：</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（1）具有独立承担民事责任的能力；</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（2）具有良好的商业信誉和健全的财务会计制度；</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（3）具有履行合同所必需的设备和专业技术能力；</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（4）有依法缴纳税收的社会保障资金的良好记录；</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（5）参加采购活动前三年内，在经营活动中没有重大违法记录；</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（6）法律法规规定的其他条件。</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备注：依据南京市财政局“关于在政府采购中推行信用承诺制的通知”，政府采购供应商只需在资格审查环节针对以上6项提供满足相应条件的书面承诺书（南京市政府采购供应商信用记录表暨信用承诺书）</w:t>
      </w:r>
      <w:r>
        <w:rPr>
          <w:rFonts w:hint="eastAsia" w:ascii="宋体" w:hAnsi="宋体" w:eastAsia="宋体" w:cs="宋体"/>
          <w:color w:val="auto"/>
          <w:sz w:val="22"/>
          <w:szCs w:val="22"/>
          <w:highlight w:val="none"/>
          <w:lang w:val="en-US" w:eastAsia="zh-CN"/>
        </w:rPr>
        <w:t xml:space="preserve">和提供法人或者其他组织的营业执照等证明材料，自然人的身份证明</w:t>
      </w:r>
      <w:r>
        <w:rPr>
          <w:rFonts w:hint="eastAsia" w:ascii="宋体" w:hAnsi="宋体" w:eastAsia="宋体" w:cs="宋体"/>
          <w:color w:val="auto"/>
          <w:sz w:val="22"/>
          <w:szCs w:val="22"/>
          <w:highlight w:val="none"/>
        </w:rPr>
        <w:t xml:space="preserve">。供应商在中标（成交）后，应按采购文件要求，将由信用承诺书替代的证明材料提交采购人或采购代理机构核验。经核验无误后，由采购人或采购代理机构发出中标（成交）通知书。</w:t>
      </w:r>
      <w:r>
        <w:rPr>
          <w:rFonts w:hint="eastAsia" w:ascii="宋体" w:hAnsi="宋体" w:eastAsia="宋体" w:cs="宋体"/>
          <w:color w:val="auto"/>
          <w:sz w:val="22"/>
          <w:szCs w:val="22"/>
          <w:highlight w:val="none"/>
          <w:lang w:val="en-US" w:eastAsia="zh-CN"/>
        </w:rPr>
        <w:t xml:space="preserve">如供应商既未提供在线打印的“</w:t>
      </w:r>
      <w:r>
        <w:rPr>
          <w:rFonts w:hint="eastAsia" w:ascii="宋体" w:hAnsi="宋体" w:eastAsia="宋体" w:cs="宋体"/>
          <w:color w:val="auto"/>
          <w:sz w:val="22"/>
          <w:szCs w:val="22"/>
          <w:highlight w:val="none"/>
          <w:lang w:val="en-US"/>
        </w:rPr>
        <w:t xml:space="preserve">《南京市政府采购供应商信用记录表》</w:t>
      </w:r>
      <w:r>
        <w:rPr>
          <w:rFonts w:hint="eastAsia" w:ascii="宋体" w:hAnsi="宋体" w:eastAsia="宋体" w:cs="宋体"/>
          <w:color w:val="auto"/>
          <w:sz w:val="22"/>
          <w:szCs w:val="22"/>
          <w:highlight w:val="none"/>
          <w:lang w:val="en-US" w:eastAsia="zh-CN"/>
        </w:rPr>
        <w:t xml:space="preserve">”，也未提供以上6项的相关证明材料，将会被作为无效投标处理。</w:t>
      </w:r>
      <w:r/>
    </w:p>
    <w:p>
      <w:pPr>
        <w:ind w:firstLine="442"/>
        <w:keepLines w:val="0"/>
        <w:keepNext w:val="0"/>
        <w:pageBreakBefore w:val="0"/>
        <w:spacing w:line="36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（二）</w:t>
      </w:r>
      <w:r>
        <w:rPr>
          <w:rFonts w:hint="eastAsia" w:ascii="宋体" w:hAnsi="宋体" w:eastAsia="宋体" w:cs="宋体"/>
          <w:b/>
          <w:bCs/>
          <w:color w:val="auto"/>
          <w:sz w:val="22"/>
          <w:szCs w:val="22"/>
          <w:highlight w:val="none"/>
        </w:rPr>
        <w:t xml:space="preserve">落实政府采购政策需满足的资格要求：</w:t>
      </w:r>
      <w:bookmarkStart w:id="81" w:name="OLE_LINK204"/>
      <w:r/>
      <w:bookmarkStart w:id="82" w:name="OLE_LINK19"/>
      <w:r>
        <w:rPr>
          <w:rFonts w:hint="eastAsia" w:ascii="宋体" w:hAnsi="宋体" w:eastAsia="宋体" w:cs="宋体"/>
          <w:b w:val="0"/>
          <w:bCs w:val="0"/>
          <w:color w:val="auto"/>
          <w:sz w:val="22"/>
          <w:szCs w:val="22"/>
          <w:highlight w:val="none"/>
        </w:rPr>
        <w:t xml:space="preserve">无</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val="en-US" w:eastAsia="zh-CN"/>
        </w:rPr>
        <w:t xml:space="preserve">本项目不属于专门面向中小企业采购项目</w:t>
      </w:r>
      <w:bookmarkEnd w:id="81"/>
      <w:r>
        <w:rPr>
          <w:rFonts w:hint="eastAsia" w:ascii="宋体" w:hAnsi="宋体" w:eastAsia="宋体" w:cs="宋体"/>
          <w:b w:val="0"/>
          <w:bCs w:val="0"/>
          <w:color w:val="auto"/>
          <w:sz w:val="22"/>
          <w:szCs w:val="22"/>
          <w:highlight w:val="none"/>
          <w:lang w:val="en-US" w:eastAsia="zh-CN"/>
        </w:rPr>
        <w:t xml:space="preserve">，执行价格扣除优惠政策。</w:t>
      </w:r>
      <w:r/>
    </w:p>
    <w:p>
      <w:pPr>
        <w:ind w:firstLine="442"/>
        <w:keepLines w:val="0"/>
        <w:keepNext w:val="0"/>
        <w:pageBreakBefore w:val="0"/>
        <w:spacing w:line="360" w:lineRule="auto"/>
        <w:widowControl w:val="off"/>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（三）本项目的特定资格要求：</w:t>
      </w:r>
      <w:r>
        <w:rPr>
          <w:rFonts w:hint="eastAsia" w:ascii="宋体" w:hAnsi="宋体" w:cs="宋体"/>
          <w:b/>
          <w:bCs/>
          <w:color w:val="auto"/>
          <w:sz w:val="22"/>
          <w:szCs w:val="22"/>
          <w:highlight w:val="none"/>
          <w:lang w:val="en-US" w:eastAsia="zh-CN"/>
        </w:rPr>
        <w:t xml:space="preserve">无</w:t>
      </w:r>
      <w:r/>
    </w:p>
    <w:p>
      <w:pPr>
        <w:ind w:firstLine="442"/>
        <w:keepLines w:val="0"/>
        <w:keepNext w:val="0"/>
        <w:pageBreakBefore w:val="0"/>
        <w:spacing w:line="360" w:lineRule="auto"/>
        <w:widowControl w:val="off"/>
        <w:rPr>
          <w:rFonts w:hint="eastAsia" w:ascii="宋体" w:hAnsi="宋体" w:eastAsia="宋体" w:cs="宋体"/>
          <w:b/>
          <w:bCs/>
          <w:color w:val="auto"/>
          <w:sz w:val="22"/>
          <w:szCs w:val="22"/>
          <w:highlight w:val="none"/>
          <w:u w:val="none"/>
          <w:lang w:eastAsia="zh-CN"/>
        </w:rPr>
      </w:pPr>
      <w:r/>
      <w:bookmarkStart w:id="83" w:name="OLE_LINK205"/>
      <w:r>
        <w:rPr>
          <w:rFonts w:hint="eastAsia" w:ascii="宋体" w:hAnsi="宋体" w:eastAsia="宋体" w:cs="宋体"/>
          <w:b/>
          <w:bCs/>
          <w:color w:val="auto"/>
          <w:sz w:val="22"/>
          <w:szCs w:val="22"/>
          <w:highlight w:val="none"/>
          <w:u w:val="none"/>
          <w:lang w:val="en-US" w:eastAsia="zh-CN"/>
        </w:rPr>
        <w:t xml:space="preserve">（四）</w:t>
      </w:r>
      <w:r>
        <w:rPr>
          <w:rFonts w:hint="eastAsia" w:ascii="宋体" w:hAnsi="宋体" w:eastAsia="宋体" w:cs="宋体"/>
          <w:b/>
          <w:bCs/>
          <w:color w:val="auto"/>
          <w:sz w:val="22"/>
          <w:szCs w:val="22"/>
          <w:highlight w:val="none"/>
          <w:u w:val="none"/>
        </w:rPr>
        <w:t xml:space="preserve">本项目</w:t>
      </w:r>
      <w:r>
        <w:rPr>
          <w:rFonts w:hint="eastAsia" w:ascii="宋体" w:hAnsi="宋体" w:eastAsia="宋体" w:cs="宋体"/>
          <w:b/>
          <w:bCs/>
          <w:color w:val="auto"/>
          <w:sz w:val="22"/>
          <w:szCs w:val="22"/>
          <w:highlight w:val="none"/>
          <w:u w:val="none"/>
          <w:lang w:eastAsia="zh-CN"/>
        </w:rPr>
        <w:t xml:space="preserve">不允许分包、转包。</w:t>
      </w:r>
      <w:bookmarkEnd w:id="83"/>
      <w:r/>
      <w:bookmarkEnd w:id="82"/>
      <w:r/>
      <w:r/>
    </w:p>
    <w:p>
      <w:pPr>
        <w:ind w:firstLine="440"/>
        <w:keepLines w:val="0"/>
        <w:keepNext w:val="0"/>
        <w:pageBreakBefore w:val="0"/>
        <w:spacing w:line="36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（五）拒绝下述供应商参加本次采购活动：</w:t>
      </w:r>
      <w:r/>
    </w:p>
    <w:p>
      <w:pPr>
        <w:ind w:left="239" w:firstLine="22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1.负责人为同一人或者存在直接控股、管理关系的不同供应商，不得参加同一合同项下的政府采购活动。</w:t>
      </w:r>
      <w:r/>
    </w:p>
    <w:p>
      <w:pPr>
        <w:ind w:left="239" w:firstLine="22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2.为采购项目提供整体设计、规范编制或者项目管理、监理、检测等服务的供应商，不得参加本项目的采购活动。</w:t>
      </w:r>
      <w:r/>
    </w:p>
    <w:p>
      <w:pPr>
        <w:ind w:left="239" w:firstLine="22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3.供应商被“信用中国”（www.creditchina.gov.cn）、“中国政府采购网”(www.ccgp.gov.cn）等网站列入失信被执行人、重大税收违法案件当事人名单、政府采购严重违法失信行为记录名单。</w:t>
      </w:r>
      <w:r/>
    </w:p>
    <w:p>
      <w:pPr>
        <w:pStyle w:val="1137"/>
        <w:ind w:firstLine="372"/>
        <w:keepLines/>
        <w:keepNext/>
        <w:pageBreakBefore w:val="0"/>
        <w:spacing w:before="0" w:after="0" w:line="360" w:lineRule="auto"/>
        <w:widowControl w:val="off"/>
        <w:rPr>
          <w:rFonts w:ascii="黑体" w:hAnsi="黑体" w:eastAsia="黑体" w:cs="黑体"/>
          <w:b w:val="0"/>
          <w:bCs w:val="0"/>
          <w:color w:val="auto"/>
          <w:sz w:val="24"/>
          <w:szCs w:val="24"/>
          <w:highlight w:val="none"/>
          <w:lang w:val="en-US" w:eastAsia="zh-CN"/>
        </w:rPr>
        <w:outlineLvl w:val="1"/>
      </w:pPr>
      <w:r/>
      <w:bookmarkStart w:id="84" w:name="_Toc23404"/>
      <w:r/>
      <w:bookmarkStart w:id="85" w:name="_Toc30251"/>
      <w:r/>
      <w:bookmarkStart w:id="86" w:name="_Toc7332"/>
      <w:r/>
      <w:bookmarkStart w:id="87" w:name="_Toc22475"/>
      <w:r/>
      <w:bookmarkStart w:id="88" w:name="_Toc15158"/>
      <w:r/>
      <w:bookmarkStart w:id="89" w:name="OLE_LINK22"/>
      <w:r>
        <w:rPr>
          <w:rFonts w:hint="eastAsia" w:ascii="黑体" w:hAnsi="黑体" w:eastAsia="黑体" w:cs="黑体"/>
          <w:b w:val="0"/>
          <w:bCs w:val="0"/>
          <w:color w:val="auto"/>
          <w:sz w:val="24"/>
          <w:szCs w:val="24"/>
          <w:highlight w:val="none"/>
        </w:rPr>
        <w:t xml:space="preserve">三、获取</w:t>
      </w:r>
      <w:bookmarkEnd w:id="69"/>
      <w:r/>
      <w:bookmarkEnd w:id="70"/>
      <w:r/>
      <w:bookmarkEnd w:id="71"/>
      <w:r/>
      <w:bookmarkEnd w:id="72"/>
      <w:r/>
      <w:bookmarkEnd w:id="73"/>
      <w:r/>
      <w:bookmarkEnd w:id="84"/>
      <w:r/>
      <w:bookmarkEnd w:id="85"/>
      <w:r>
        <w:rPr>
          <w:rFonts w:hint="eastAsia" w:ascii="黑体" w:hAnsi="黑体" w:eastAsia="黑体" w:cs="黑体"/>
          <w:b w:val="0"/>
          <w:bCs w:val="0"/>
          <w:color w:val="auto"/>
          <w:sz w:val="24"/>
          <w:szCs w:val="24"/>
          <w:highlight w:val="none"/>
          <w:lang w:eastAsia="zh-CN"/>
        </w:rPr>
        <w:t xml:space="preserve">采购文件</w:t>
      </w:r>
      <w:bookmarkEnd w:id="86"/>
      <w:r/>
      <w:bookmarkEnd w:id="87"/>
      <w:r/>
      <w:bookmarkEnd w:id="88"/>
      <w:r/>
      <w:bookmarkEnd w:id="89"/>
      <w:r/>
      <w:r/>
    </w:p>
    <w:p>
      <w:pPr>
        <w:ind w:firstLine="539"/>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outlineLvl w:val="9"/>
      </w:pPr>
      <w:r/>
      <w:bookmarkStart w:id="90" w:name="_Toc28359005"/>
      <w:r/>
      <w:bookmarkStart w:id="91" w:name="_Toc28359082"/>
      <w:r/>
      <w:bookmarkStart w:id="92" w:name="_Toc7070"/>
      <w:r/>
      <w:bookmarkStart w:id="93" w:name="_Toc35393793"/>
      <w:r/>
      <w:bookmarkStart w:id="94" w:name="_Toc38985266"/>
      <w:r/>
      <w:bookmarkStart w:id="95" w:name="_Toc35393624"/>
      <w:r>
        <w:rPr>
          <w:rFonts w:hint="eastAsia" w:ascii="宋体" w:hAnsi="宋体" w:eastAsia="宋体" w:cs="宋体"/>
          <w:b w:val="0"/>
          <w:bCs w:val="0"/>
          <w:color w:val="auto"/>
          <w:sz w:val="22"/>
          <w:szCs w:val="22"/>
          <w:highlight w:val="none"/>
          <w:lang w:val="en-US" w:eastAsia="zh-CN" w:bidi="ar-SA"/>
        </w:rPr>
        <w:t xml:space="preserve">获取时间：自采购公告发布之日起5个工作日。</w:t>
      </w:r>
      <w:r/>
    </w:p>
    <w:p>
      <w:pPr>
        <w:ind w:firstLine="54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获取地点：</w:t>
      </w:r>
      <w:bookmarkStart w:id="96" w:name="OLE_LINK177"/>
      <w:r>
        <w:rPr>
          <w:rFonts w:hint="eastAsia" w:ascii="宋体" w:hAnsi="宋体" w:eastAsia="宋体" w:cs="宋体"/>
          <w:b w:val="0"/>
          <w:bCs w:val="0"/>
          <w:color w:val="auto"/>
          <w:sz w:val="22"/>
          <w:szCs w:val="22"/>
          <w:highlight w:val="none"/>
          <w:lang w:val="en-US" w:eastAsia="zh-CN" w:bidi="ar-SA"/>
        </w:rPr>
        <w:t xml:space="preserve">江苏政府采购网“苏采云”系统</w:t>
      </w:r>
      <w:bookmarkEnd w:id="96"/>
      <w:r>
        <w:rPr>
          <w:rFonts w:hint="eastAsia" w:ascii="宋体" w:hAnsi="宋体" w:eastAsia="宋体" w:cs="宋体"/>
          <w:b w:val="0"/>
          <w:bCs w:val="0"/>
          <w:color w:val="auto"/>
          <w:sz w:val="22"/>
          <w:szCs w:val="22"/>
          <w:highlight w:val="none"/>
          <w:lang w:val="en-US" w:eastAsia="zh-CN" w:bidi="ar-SA"/>
        </w:rPr>
        <w:t xml:space="preserve">。</w:t>
      </w:r>
      <w:r/>
    </w:p>
    <w:p>
      <w:pPr>
        <w:ind w:firstLine="54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获取方式：</w:t>
      </w:r>
      <w:r/>
    </w:p>
    <w:p>
      <w:pPr>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rPr>
      </w:pPr>
      <w:r/>
      <w:bookmarkStart w:id="97" w:name="OLE_LINK212"/>
      <w:r>
        <w:rPr>
          <w:rFonts w:hint="eastAsia" w:ascii="宋体" w:hAnsi="宋体" w:eastAsia="宋体" w:cs="宋体"/>
          <w:b w:val="0"/>
          <w:bCs w:val="0"/>
          <w:color w:val="auto"/>
          <w:sz w:val="22"/>
          <w:szCs w:val="22"/>
          <w:highlight w:val="none"/>
          <w:lang w:val="en-US" w:eastAsia="zh-CN"/>
        </w:rPr>
        <w:t xml:space="preserve">供应商登录江苏政府采购网，在网站首页点击“苏采云”系统自行免费下载</w:t>
      </w:r>
      <w:r>
        <w:rPr>
          <w:rFonts w:hint="eastAsia" w:ascii="宋体" w:hAnsi="宋体" w:eastAsia="宋体" w:cs="宋体"/>
          <w:b w:val="0"/>
          <w:bCs w:val="0"/>
          <w:color w:val="auto"/>
          <w:sz w:val="22"/>
          <w:szCs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u w:val="none"/>
        </w:rPr>
      </w:pPr>
      <w:r>
        <w:rPr>
          <w:rFonts w:hint="eastAsia" w:ascii="宋体" w:hAnsi="宋体" w:eastAsia="宋体" w:cs="宋体"/>
          <w:b w:val="0"/>
          <w:bCs w:val="0"/>
          <w:color w:val="auto"/>
          <w:sz w:val="22"/>
          <w:szCs w:val="22"/>
          <w:highlight w:val="none"/>
          <w:lang w:val="en-US" w:eastAsia="zh-CN"/>
        </w:rPr>
        <w:t xml:space="preserve">步骤如下：</w:t>
      </w:r>
      <w:r>
        <w:rPr>
          <w:rFonts w:hint="eastAsia" w:ascii="宋体" w:hAnsi="宋体" w:eastAsia="宋体" w:cs="宋体"/>
          <w:b w:val="0"/>
          <w:bCs w:val="0"/>
          <w:color w:val="auto"/>
          <w:sz w:val="22"/>
          <w:szCs w:val="22"/>
          <w:highlight w:val="none"/>
        </w:rPr>
        <w:t xml:space="preserve">供应商</w:t>
      </w:r>
      <w:r>
        <w:rPr>
          <w:rFonts w:hint="eastAsia" w:ascii="宋体" w:hAnsi="宋体" w:eastAsia="宋体" w:cs="宋体"/>
          <w:b w:val="0"/>
          <w:bCs w:val="0"/>
          <w:color w:val="auto"/>
          <w:sz w:val="22"/>
          <w:szCs w:val="22"/>
          <w:highlight w:val="none"/>
          <w:lang w:eastAsia="zh-CN"/>
        </w:rPr>
        <w:t xml:space="preserve">登录</w:t>
      </w:r>
      <w:r>
        <w:rPr>
          <w:rFonts w:hint="eastAsia" w:ascii="宋体" w:hAnsi="宋体" w:eastAsia="宋体" w:cs="宋体"/>
          <w:b w:val="0"/>
          <w:bCs w:val="0"/>
          <w:color w:val="auto"/>
          <w:sz w:val="22"/>
          <w:szCs w:val="22"/>
          <w:highlight w:val="none"/>
        </w:rPr>
        <w:t xml:space="preserve">“江苏政府采购网”，在网站首页点击“苏采云”→使用CA锁登录系统(新用户</w:t>
      </w:r>
      <w:r>
        <w:rPr>
          <w:rFonts w:hint="eastAsia" w:ascii="宋体" w:hAnsi="宋体" w:eastAsia="宋体" w:cs="宋体"/>
          <w:b w:val="0"/>
          <w:bCs w:val="0"/>
          <w:color w:val="auto"/>
          <w:sz w:val="22"/>
          <w:szCs w:val="22"/>
          <w:highlight w:val="none"/>
          <w:lang w:val="en-US" w:eastAsia="zh-CN"/>
        </w:rPr>
        <w:t xml:space="preserve">应</w:t>
      </w:r>
      <w:r>
        <w:rPr>
          <w:rFonts w:hint="eastAsia" w:ascii="宋体" w:hAnsi="宋体" w:eastAsia="宋体" w:cs="宋体"/>
          <w:b w:val="0"/>
          <w:bCs w:val="0"/>
          <w:color w:val="auto"/>
          <w:sz w:val="22"/>
          <w:szCs w:val="22"/>
          <w:highlight w:val="none"/>
        </w:rPr>
        <w:t xml:space="preserve">进行“平台用户注册”)→“项目参与”进行登记，在“可参与项目”中选择“我要参与”，参与成功后到“已参与项目”界面中找到该项目下载文件并进行操</w:t>
      </w:r>
      <w:bookmarkStart w:id="98" w:name="OLE_LINK85"/>
      <w:r>
        <w:rPr>
          <w:rFonts w:hint="eastAsia" w:ascii="宋体" w:hAnsi="宋体" w:eastAsia="宋体" w:cs="宋体"/>
          <w:b w:val="0"/>
          <w:bCs w:val="0"/>
          <w:color w:val="auto"/>
          <w:sz w:val="22"/>
          <w:szCs w:val="22"/>
          <w:highlight w:val="none"/>
        </w:rPr>
        <w:t xml:space="preserve">作</w:t>
      </w:r>
      <w:bookmarkEnd w:id="98"/>
      <w:r>
        <w:rPr>
          <w:rFonts w:hint="eastAsia" w:ascii="宋体" w:hAnsi="宋体" w:eastAsia="宋体" w:cs="宋体"/>
          <w:b w:val="0"/>
          <w:bCs w:val="0"/>
          <w:color w:val="auto"/>
          <w:sz w:val="22"/>
          <w:szCs w:val="22"/>
          <w:highlight w:val="none"/>
        </w:rPr>
        <w:t xml:space="preserve">。</w:t>
      </w:r>
      <w:bookmarkEnd w:id="97"/>
      <w:r/>
      <w:r/>
    </w:p>
    <w:p>
      <w:pPr>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采购文件</w:t>
      </w:r>
      <w:r>
        <w:rPr>
          <w:rFonts w:hint="eastAsia" w:ascii="宋体" w:hAnsi="宋体" w:eastAsia="宋体" w:cs="宋体"/>
          <w:b w:val="0"/>
          <w:bCs w:val="0"/>
          <w:color w:val="auto"/>
          <w:sz w:val="22"/>
          <w:szCs w:val="22"/>
          <w:highlight w:val="none"/>
        </w:rPr>
        <w:t xml:space="preserve">工本费（售价）：人民币</w:t>
      </w:r>
      <w:r>
        <w:rPr>
          <w:rFonts w:hint="eastAsia" w:ascii="宋体" w:hAnsi="宋体" w:eastAsia="宋体" w:cs="宋体"/>
          <w:b w:val="0"/>
          <w:bCs w:val="0"/>
          <w:color w:val="auto"/>
          <w:sz w:val="22"/>
          <w:szCs w:val="22"/>
          <w:highlight w:val="none"/>
          <w:lang w:val="en-US" w:eastAsia="zh-CN"/>
        </w:rPr>
        <w:t xml:space="preserve">0</w:t>
      </w:r>
      <w:r>
        <w:rPr>
          <w:rFonts w:hint="eastAsia" w:ascii="宋体" w:hAnsi="宋体" w:eastAsia="宋体" w:cs="宋体"/>
          <w:b w:val="0"/>
          <w:bCs w:val="0"/>
          <w:color w:val="auto"/>
          <w:sz w:val="22"/>
          <w:szCs w:val="22"/>
          <w:highlight w:val="none"/>
        </w:rPr>
        <w:t xml:space="preserve">元</w:t>
      </w:r>
      <w:r>
        <w:rPr>
          <w:rFonts w:hint="eastAsia" w:ascii="宋体" w:hAnsi="宋体" w:eastAsia="宋体" w:cs="宋体"/>
          <w:b w:val="0"/>
          <w:bCs w:val="0"/>
          <w:color w:val="auto"/>
          <w:sz w:val="22"/>
          <w:szCs w:val="22"/>
          <w:highlight w:val="none"/>
          <w:lang w:eastAsia="zh-CN"/>
        </w:rPr>
        <w:t xml:space="preserve">。</w:t>
      </w:r>
      <w:r/>
    </w:p>
    <w:p>
      <w:pPr>
        <w:pStyle w:val="1137"/>
        <w:ind w:firstLine="372"/>
        <w:keepLines/>
        <w:keepNext/>
        <w:pageBreakBefore w:val="0"/>
        <w:spacing w:before="0" w:after="0" w:line="360" w:lineRule="auto"/>
        <w:widowControl w:val="off"/>
        <w:rPr>
          <w:rFonts w:hint="eastAsia" w:ascii="黑体" w:hAnsi="黑体" w:eastAsia="黑体" w:cs="黑体"/>
          <w:b w:val="0"/>
          <w:bCs w:val="0"/>
          <w:color w:val="auto"/>
          <w:sz w:val="24"/>
          <w:szCs w:val="24"/>
          <w:highlight w:val="none"/>
        </w:rPr>
        <w:outlineLvl w:val="1"/>
      </w:pPr>
      <w:r/>
      <w:bookmarkStart w:id="99" w:name="_Toc19261"/>
      <w:r/>
      <w:bookmarkStart w:id="100" w:name="_Toc20568"/>
      <w:r/>
      <w:bookmarkStart w:id="101" w:name="_Toc8429"/>
      <w:r/>
      <w:bookmarkStart w:id="102" w:name="_Toc3036"/>
      <w:r/>
      <w:bookmarkStart w:id="103" w:name="OLE_LINK23"/>
      <w:r>
        <w:rPr>
          <w:rFonts w:hint="eastAsia" w:ascii="黑体" w:hAnsi="黑体" w:eastAsia="黑体" w:cs="黑体"/>
          <w:b w:val="0"/>
          <w:bCs w:val="0"/>
          <w:color w:val="auto"/>
          <w:sz w:val="24"/>
          <w:szCs w:val="24"/>
          <w:highlight w:val="none"/>
        </w:rPr>
        <w:t xml:space="preserve">四、提交</w:t>
      </w:r>
      <w:bookmarkEnd w:id="90"/>
      <w:r/>
      <w:bookmarkEnd w:id="91"/>
      <w:r>
        <w:rPr>
          <w:rFonts w:hint="eastAsia" w:ascii="黑体" w:hAnsi="黑体" w:eastAsia="黑体" w:cs="黑体"/>
          <w:b w:val="0"/>
          <w:bCs w:val="0"/>
          <w:color w:val="auto"/>
          <w:sz w:val="24"/>
          <w:szCs w:val="24"/>
          <w:highlight w:val="none"/>
          <w:lang w:eastAsia="zh-CN"/>
        </w:rPr>
        <w:t xml:space="preserve">响应文件</w:t>
      </w:r>
      <w:bookmarkEnd w:id="92"/>
      <w:r/>
      <w:bookmarkEnd w:id="93"/>
      <w:r/>
      <w:bookmarkEnd w:id="94"/>
      <w:r/>
      <w:bookmarkEnd w:id="95"/>
      <w:r/>
      <w:bookmarkEnd w:id="99"/>
      <w:r/>
      <w:bookmarkEnd w:id="100"/>
      <w:r/>
      <w:bookmarkEnd w:id="101"/>
      <w:r/>
      <w:bookmarkEnd w:id="102"/>
      <w:r/>
      <w:bookmarkEnd w:id="103"/>
      <w:r/>
      <w:r/>
    </w:p>
    <w:p>
      <w:pPr>
        <w:ind w:firstLine="44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outlineLvl w:val="9"/>
      </w:pPr>
      <w:r/>
      <w:bookmarkStart w:id="104" w:name="_Toc35393794"/>
      <w:r/>
      <w:bookmarkStart w:id="105" w:name="_Toc35393625"/>
      <w:r/>
      <w:bookmarkStart w:id="106" w:name="_Toc28359084"/>
      <w:r/>
      <w:bookmarkStart w:id="107" w:name="_Toc38985267"/>
      <w:r/>
      <w:bookmarkStart w:id="108" w:name="_Toc28359007"/>
      <w:r>
        <w:rPr>
          <w:rFonts w:hint="eastAsia" w:ascii="宋体" w:hAnsi="宋体" w:eastAsia="宋体" w:cs="宋体"/>
          <w:b w:val="0"/>
          <w:bCs w:val="0"/>
          <w:color w:val="auto"/>
          <w:sz w:val="22"/>
          <w:szCs w:val="22"/>
          <w:highlight w:val="none"/>
          <w:lang w:val="en-US" w:eastAsia="zh-CN" w:bidi="ar-SA"/>
        </w:rPr>
        <w:t xml:space="preserve">提交响应文件截止时间、开</w:t>
      </w:r>
      <w:bookmarkStart w:id="109" w:name="OLE_LINK201"/>
      <w:r>
        <w:rPr>
          <w:rFonts w:hint="eastAsia" w:ascii="宋体" w:hAnsi="宋体" w:eastAsia="宋体" w:cs="宋体"/>
          <w:b w:val="0"/>
          <w:bCs w:val="0"/>
          <w:color w:val="auto"/>
          <w:sz w:val="22"/>
          <w:szCs w:val="22"/>
          <w:highlight w:val="none"/>
          <w:lang w:val="en-US" w:eastAsia="zh-CN" w:bidi="ar-SA"/>
        </w:rPr>
        <w:t xml:space="preserve">标</w:t>
      </w:r>
      <w:bookmarkEnd w:id="109"/>
      <w:r>
        <w:rPr>
          <w:rFonts w:hint="eastAsia" w:ascii="宋体" w:hAnsi="宋体" w:eastAsia="宋体" w:cs="宋体"/>
          <w:b w:val="0"/>
          <w:bCs w:val="0"/>
          <w:color w:val="auto"/>
          <w:sz w:val="22"/>
          <w:szCs w:val="22"/>
          <w:highlight w:val="none"/>
          <w:lang w:val="en-US" w:eastAsia="zh-CN" w:bidi="ar-SA"/>
        </w:rPr>
        <w:t xml:space="preserve">时间：</w:t>
      </w:r>
      <w:r>
        <w:rPr>
          <w:rFonts w:hint="eastAsia" w:ascii="宋体" w:hAnsi="宋体" w:cs="宋体"/>
          <w:b w:val="0"/>
          <w:bCs w:val="0"/>
          <w:color w:val="auto"/>
          <w:sz w:val="22"/>
          <w:szCs w:val="22"/>
          <w:highlight w:val="none"/>
          <w:lang w:val="en-US" w:eastAsia="zh-CN" w:bidi="ar-SA"/>
        </w:rPr>
        <w:t xml:space="preserve">2026年</w:t>
      </w:r>
      <w:r>
        <w:rPr>
          <w:rFonts w:hint="eastAsia" w:ascii="宋体" w:hAnsi="宋体" w:eastAsia="宋体" w:cs="宋体"/>
          <w:b w:val="0"/>
          <w:bCs w:val="0"/>
          <w:color w:val="auto"/>
          <w:sz w:val="22"/>
          <w:szCs w:val="22"/>
          <w:highlight w:val="none"/>
          <w:lang w:val="en-US" w:eastAsia="zh-CN" w:bidi="ar-SA"/>
        </w:rPr>
        <w:t xml:space="preserve">06月22日10时00分（北京时间）</w:t>
      </w:r>
      <w:r/>
    </w:p>
    <w:p>
      <w:pPr>
        <w:ind w:firstLine="44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提交响应文件地点：江苏省政府采购管理交易系统（苏采云）（以下简称“苏采云”）（网址</w:t>
      </w:r>
      <w:bookmarkStart w:id="110" w:name="OLE_LINK99"/>
      <w:r>
        <w:rPr>
          <w:rFonts w:hint="eastAsia" w:ascii="宋体" w:hAnsi="宋体" w:eastAsia="宋体" w:cs="宋体"/>
          <w:b w:val="0"/>
          <w:bCs w:val="0"/>
          <w:color w:val="auto"/>
          <w:sz w:val="22"/>
          <w:szCs w:val="22"/>
          <w:highlight w:val="none"/>
          <w:lang w:val="en-US" w:eastAsia="zh-CN" w:bidi="ar-SA"/>
        </w:rPr>
        <w:t xml:space="preserve">：</w:t>
      </w:r>
      <w:bookmarkEnd w:id="110"/>
      <w:r>
        <w:rPr>
          <w:rFonts w:hint="eastAsia" w:ascii="宋体" w:hAnsi="宋体" w:eastAsia="宋体" w:cs="宋体"/>
          <w:b w:val="0"/>
          <w:bCs w:val="0"/>
          <w:color w:val="auto"/>
          <w:sz w:val="22"/>
          <w:szCs w:val="22"/>
          <w:highlight w:val="none"/>
          <w:lang w:val="en-US" w:eastAsia="zh-CN" w:bidi="ar-SA"/>
        </w:rPr>
        <w:t xml:space="preserve">http://jszfcg.jsczt.cn/）。</w:t>
      </w:r>
      <w:r/>
    </w:p>
    <w:p>
      <w:pPr>
        <w:ind w:firstLine="44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开标地点：</w:t>
      </w:r>
      <w:bookmarkStart w:id="111" w:name="OLE_LINK170"/>
      <w:r/>
      <w:bookmarkStart w:id="112" w:name="OLE_LINK213"/>
      <w:r>
        <w:rPr>
          <w:rFonts w:hint="eastAsia" w:ascii="宋体" w:hAnsi="宋体" w:eastAsia="宋体" w:cs="宋体"/>
          <w:b w:val="0"/>
          <w:bCs w:val="0"/>
          <w:color w:val="auto"/>
          <w:sz w:val="22"/>
          <w:szCs w:val="22"/>
          <w:highlight w:val="none"/>
          <w:lang w:val="en-US" w:eastAsia="zh-CN" w:bidi="ar-SA"/>
        </w:rPr>
        <w:t xml:space="preserve">江苏省政府采购交易系统（以下简称“苏采云系统”）</w:t>
      </w:r>
      <w:bookmarkEnd w:id="111"/>
      <w:r>
        <w:rPr>
          <w:rFonts w:hint="eastAsia" w:ascii="宋体" w:hAnsi="宋体" w:eastAsia="宋体" w:cs="宋体"/>
          <w:b w:val="0"/>
          <w:bCs w:val="0"/>
          <w:color w:val="auto"/>
          <w:sz w:val="22"/>
          <w:szCs w:val="22"/>
          <w:highlight w:val="none"/>
          <w:lang w:val="en-US" w:eastAsia="zh-CN" w:bidi="ar-SA"/>
        </w:rPr>
        <w:t xml:space="preserve">网上开标大厅。</w:t>
      </w:r>
      <w:bookmarkEnd w:id="112"/>
      <w:r/>
      <w:r/>
    </w:p>
    <w:p>
      <w:pPr>
        <w:pageBreakBefore w:val="0"/>
        <w:spacing w:line="360" w:lineRule="auto"/>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注释：</w:t>
      </w:r>
      <w:r/>
    </w:p>
    <w:p>
      <w:pPr>
        <w:numPr>
          <w:ilvl w:val="0"/>
          <w:numId w:val="0"/>
        </w:numPr>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1.线上开标：开标当日，供应商不必抵达开标现场，仅需在任意地点通过</w:t>
      </w:r>
      <w:bookmarkStart w:id="113" w:name="OLE_LINK109"/>
      <w:r>
        <w:rPr>
          <w:rFonts w:hint="eastAsia" w:ascii="宋体" w:hAnsi="宋体" w:eastAsia="宋体" w:cs="宋体"/>
          <w:b w:val="0"/>
          <w:bCs w:val="0"/>
          <w:color w:val="auto"/>
          <w:sz w:val="22"/>
          <w:szCs w:val="22"/>
          <w:highlight w:val="none"/>
          <w:lang w:val="en-US" w:eastAsia="zh-CN" w:bidi="ar-SA"/>
        </w:rPr>
        <w:t xml:space="preserve">“苏采云”系统</w:t>
      </w:r>
      <w:bookmarkEnd w:id="113"/>
      <w:r>
        <w:rPr>
          <w:rFonts w:hint="eastAsia" w:ascii="宋体" w:hAnsi="宋体" w:eastAsia="宋体" w:cs="宋体"/>
          <w:b w:val="0"/>
          <w:bCs w:val="0"/>
          <w:color w:val="auto"/>
          <w:sz w:val="22"/>
          <w:szCs w:val="22"/>
          <w:highlight w:val="none"/>
          <w:lang w:val="en-US" w:eastAsia="zh-CN" w:bidi="ar-SA"/>
        </w:rPr>
        <w:t xml:space="preserve">（网址：http://jszfcg.jsczt.cn/）“开标大厅”参与开标过程）。</w:t>
      </w:r>
      <w:r/>
    </w:p>
    <w:p>
      <w:pPr>
        <w:numPr>
          <w:ilvl w:val="0"/>
          <w:numId w:val="0"/>
        </w:numPr>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2.响应文件的解密：开标当天各供应商及时登录</w:t>
      </w:r>
      <w:bookmarkStart w:id="114" w:name="OLE_LINK119"/>
      <w:r>
        <w:rPr>
          <w:rFonts w:hint="eastAsia" w:ascii="宋体" w:hAnsi="宋体" w:eastAsia="宋体" w:cs="宋体"/>
          <w:b w:val="0"/>
          <w:bCs w:val="0"/>
          <w:color w:val="auto"/>
          <w:sz w:val="22"/>
          <w:szCs w:val="22"/>
          <w:highlight w:val="none"/>
          <w:lang w:val="en-US" w:eastAsia="zh-CN" w:bidi="ar-SA"/>
        </w:rPr>
        <w:t xml:space="preserve">“苏采云”系统</w:t>
      </w:r>
      <w:bookmarkEnd w:id="114"/>
      <w:r>
        <w:rPr>
          <w:rFonts w:hint="eastAsia" w:ascii="宋体" w:hAnsi="宋体" w:eastAsia="宋体" w:cs="宋体"/>
          <w:b w:val="0"/>
          <w:bCs w:val="0"/>
          <w:color w:val="auto"/>
          <w:sz w:val="22"/>
          <w:szCs w:val="22"/>
          <w:highlight w:val="none"/>
          <w:lang w:val="en-US" w:eastAsia="zh-CN" w:bidi="ar-SA"/>
        </w:rPr>
        <w:t xml:space="preserve">进入开标大厅，响应文件递交截止时间后，招标代理机构将在系统内查看供应商名单，然后通过开标会议区发出响应文件解密的指令。</w:t>
      </w:r>
      <w:r/>
    </w:p>
    <w:p>
      <w:pPr>
        <w:numPr>
          <w:ilvl w:val="0"/>
          <w:numId w:val="0"/>
        </w:numPr>
        <w:ind w:firstLine="442"/>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供应商应在开标大厅按规定时间自行实施远程解密，供应商解密限定在开标后30分钟之内完成。</w:t>
      </w:r>
      <w:r/>
    </w:p>
    <w:p>
      <w:pPr>
        <w:numPr>
          <w:ilvl w:val="0"/>
          <w:numId w:val="0"/>
        </w:numPr>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因供应商网络与电源不稳定、未按操作手册要求配置软硬件、解密锁发生故障或用错、故意不按要求时限内完成解密等自身原因，导致响应文件在规定时间内未能解密、解密失败或解密超时，视为供应商撤销其响应文件，系统内响应文件将被退回。</w:t>
      </w:r>
      <w:r/>
    </w:p>
    <w:p>
      <w:pPr>
        <w:numPr>
          <w:ilvl w:val="0"/>
          <w:numId w:val="0"/>
        </w:numPr>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因招标代理机构原因或</w:t>
      </w:r>
      <w:bookmarkStart w:id="115" w:name="OLE_LINK123"/>
      <w:r>
        <w:rPr>
          <w:rFonts w:hint="eastAsia" w:ascii="宋体" w:hAnsi="宋体" w:eastAsia="宋体" w:cs="宋体"/>
          <w:b w:val="0"/>
          <w:bCs w:val="0"/>
          <w:color w:val="auto"/>
          <w:sz w:val="22"/>
          <w:szCs w:val="22"/>
          <w:highlight w:val="none"/>
          <w:lang w:val="en-US" w:eastAsia="zh-CN" w:bidi="ar-SA"/>
        </w:rPr>
        <w:t xml:space="preserve">“苏采云”系统</w:t>
      </w:r>
      <w:bookmarkEnd w:id="115"/>
      <w:r>
        <w:rPr>
          <w:rFonts w:hint="eastAsia" w:ascii="宋体" w:hAnsi="宋体" w:eastAsia="宋体" w:cs="宋体"/>
          <w:b w:val="0"/>
          <w:bCs w:val="0"/>
          <w:color w:val="auto"/>
          <w:sz w:val="22"/>
          <w:szCs w:val="22"/>
          <w:highlight w:val="none"/>
          <w:lang w:val="en-US" w:eastAsia="zh-CN" w:bidi="ar-SA"/>
        </w:rPr>
        <w:t xml:space="preserve">发生故障，导致无法按时完成响应文件解密或开、评标工作无法进行的，可根据实际情况相应延迟解密时间或调整开、评标时间。</w:t>
      </w:r>
      <w:r/>
    </w:p>
    <w:p>
      <w:pPr>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3.本项目在限定的解密时间内，只要有一家供应商解密成功，即视为</w:t>
      </w:r>
      <w:bookmarkStart w:id="116" w:name="OLE_LINK125"/>
      <w:r>
        <w:rPr>
          <w:rFonts w:hint="eastAsia" w:ascii="宋体" w:hAnsi="宋体" w:eastAsia="宋体" w:cs="宋体"/>
          <w:b w:val="0"/>
          <w:bCs w:val="0"/>
          <w:color w:val="auto"/>
          <w:sz w:val="22"/>
          <w:szCs w:val="22"/>
          <w:highlight w:val="none"/>
          <w:lang w:val="en-US" w:eastAsia="zh-CN" w:bidi="ar-SA"/>
        </w:rPr>
        <w:t xml:space="preserve">“苏采云”系统</w:t>
      </w:r>
      <w:bookmarkEnd w:id="116"/>
      <w:r>
        <w:rPr>
          <w:rFonts w:hint="eastAsia" w:ascii="宋体" w:hAnsi="宋体" w:eastAsia="宋体" w:cs="宋体"/>
          <w:b w:val="0"/>
          <w:bCs w:val="0"/>
          <w:color w:val="auto"/>
          <w:sz w:val="22"/>
          <w:szCs w:val="22"/>
          <w:highlight w:val="none"/>
          <w:lang w:val="en-US" w:eastAsia="zh-CN" w:bidi="ar-SA"/>
        </w:rPr>
        <w:t xml:space="preserve">运行无故障。</w:t>
      </w:r>
      <w:r/>
    </w:p>
    <w:p>
      <w:pPr>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4.若供应商已领取副锁（含多把副锁）请注意正、副锁的使用差别。</w:t>
      </w:r>
      <w:r/>
    </w:p>
    <w:p>
      <w:pPr>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5.因供应商自身软硬件配备不齐全或发生故障等问题而导致在交互过程中，出现不稳定或中断等情况的，由供应商自身承担一切后果。</w:t>
      </w:r>
      <w:r/>
    </w:p>
    <w:p>
      <w:pPr>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6.供应商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bookmarkStart w:id="117" w:name="OLE_LINK171"/>
      <w:r/>
      <w:r/>
    </w:p>
    <w:p>
      <w:pPr>
        <w:ind w:firstLine="480"/>
        <w:keepLines w:val="0"/>
        <w:keepNext w:val="0"/>
        <w:pageBreakBefore w:val="0"/>
        <w:spacing w:line="360" w:lineRule="auto"/>
        <w:widowControl w:val="off"/>
        <w:rPr>
          <w:rFonts w:hint="eastAsia" w:ascii="黑体" w:hAnsi="黑体" w:eastAsia="黑体" w:cs="黑体"/>
          <w:b w:val="0"/>
          <w:bCs w:val="0"/>
          <w:color w:val="auto"/>
          <w:sz w:val="24"/>
          <w:szCs w:val="24"/>
          <w:highlight w:val="none"/>
          <w:lang w:val="en-US" w:eastAsia="zh-CN" w:bidi="ar-SA"/>
        </w:rPr>
        <w:outlineLvl w:val="1"/>
      </w:pPr>
      <w:r/>
      <w:bookmarkStart w:id="118" w:name="_Toc11495"/>
      <w:r/>
      <w:bookmarkStart w:id="119" w:name="_Toc22430"/>
      <w:r/>
      <w:bookmarkStart w:id="120" w:name="_Toc29721"/>
      <w:r>
        <w:rPr>
          <w:rFonts w:hint="eastAsia" w:ascii="黑体" w:hAnsi="黑体" w:eastAsia="黑体" w:cs="黑体"/>
          <w:b w:val="0"/>
          <w:bCs w:val="0"/>
          <w:color w:val="auto"/>
          <w:sz w:val="24"/>
          <w:szCs w:val="24"/>
          <w:highlight w:val="none"/>
          <w:lang w:val="en-US" w:eastAsia="zh-CN" w:bidi="ar-SA"/>
        </w:rPr>
        <w:t xml:space="preserve">五、</w:t>
      </w:r>
      <w:bookmarkStart w:id="121" w:name="OLE_LINK175"/>
      <w:r>
        <w:rPr>
          <w:rFonts w:hint="eastAsia" w:ascii="黑体" w:hAnsi="黑体" w:eastAsia="黑体" w:cs="黑体"/>
          <w:b w:val="0"/>
          <w:bCs w:val="0"/>
          <w:color w:val="auto"/>
          <w:sz w:val="24"/>
          <w:szCs w:val="24"/>
          <w:highlight w:val="none"/>
          <w:lang w:val="en-US" w:eastAsia="zh-CN" w:bidi="ar-SA"/>
        </w:rPr>
        <w:t xml:space="preserve">供应商</w:t>
      </w:r>
      <w:bookmarkEnd w:id="121"/>
      <w:r>
        <w:rPr>
          <w:rFonts w:hint="eastAsia" w:ascii="黑体" w:hAnsi="黑体" w:eastAsia="黑体" w:cs="黑体"/>
          <w:b w:val="0"/>
          <w:bCs w:val="0"/>
          <w:color w:val="auto"/>
          <w:sz w:val="24"/>
          <w:szCs w:val="24"/>
          <w:highlight w:val="none"/>
          <w:lang w:val="en-US" w:eastAsia="zh-CN" w:bidi="ar-SA"/>
        </w:rPr>
        <w:t xml:space="preserve">访问“苏采云”系统的网络地址和方法</w:t>
      </w:r>
      <w:bookmarkEnd w:id="118"/>
      <w:r/>
      <w:bookmarkEnd w:id="119"/>
      <w:r/>
      <w:bookmarkEnd w:id="120"/>
      <w:r/>
      <w:bookmarkEnd w:id="117"/>
      <w:r/>
      <w:r/>
    </w:p>
    <w:p>
      <w:pPr>
        <w:ind w:firstLine="660"/>
        <w:pageBreakBefore w:val="0"/>
        <w:spacing w:line="360" w:lineRule="auto"/>
        <w:rPr>
          <w:rFonts w:hint="eastAsia" w:ascii="宋体" w:hAnsi="宋体" w:eastAsia="宋体" w:cs="宋体"/>
          <w:b w:val="0"/>
          <w:bCs w:val="0"/>
          <w:color w:val="auto"/>
          <w:sz w:val="22"/>
          <w:szCs w:val="22"/>
          <w:highlight w:val="none"/>
          <w:lang w:val="en-US" w:eastAsia="zh-CN" w:bidi="ar-SA"/>
        </w:rPr>
      </w:pPr>
      <w:r/>
      <w:bookmarkStart w:id="122" w:name="OLE_LINK214"/>
      <w:r>
        <w:rPr>
          <w:rFonts w:hint="eastAsia" w:ascii="宋体" w:hAnsi="宋体" w:eastAsia="宋体" w:cs="宋体"/>
          <w:b w:val="0"/>
          <w:bCs w:val="0"/>
          <w:color w:val="auto"/>
          <w:sz w:val="22"/>
          <w:szCs w:val="22"/>
          <w:highlight w:val="none"/>
          <w:lang w:val="en-US" w:eastAsia="zh-CN" w:bidi="ar-SA"/>
        </w:rPr>
        <w:t xml:space="preserve">5.1</w:t>
      </w:r>
      <w:bookmarkStart w:id="123" w:name="OLE_LINK173"/>
      <w:r>
        <w:rPr>
          <w:rFonts w:hint="eastAsia" w:ascii="宋体" w:hAnsi="宋体" w:eastAsia="宋体" w:cs="宋体"/>
          <w:b w:val="0"/>
          <w:bCs w:val="0"/>
          <w:color w:val="auto"/>
          <w:sz w:val="22"/>
          <w:szCs w:val="22"/>
          <w:highlight w:val="none"/>
          <w:lang w:val="en-US" w:eastAsia="zh-CN" w:bidi="ar-SA"/>
        </w:rPr>
        <w:t xml:space="preserve">供应商应通过“苏采云”系统（网址：http://jszfcg.jsczt.cn/）参与政府采购项目。</w:t>
      </w:r>
      <w:bookmarkEnd w:id="123"/>
      <w:r/>
      <w:r/>
    </w:p>
    <w:p>
      <w:pPr>
        <w:ind w:firstLine="660"/>
        <w:pageBreakBefore w:val="0"/>
        <w:spacing w:line="360" w:lineRule="auto"/>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5.2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下载地址：</w:t>
      </w:r>
      <w:bookmarkStart w:id="124" w:name="OLE_LINK172"/>
      <w:r/>
      <w:r/>
    </w:p>
    <w:p>
      <w:pPr>
        <w:pageBreakBefore w:val="0"/>
        <w:spacing w:line="360" w:lineRule="auto"/>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http://www.ccgp-jiangsu.gov.cn/jiangsu/zlxz/ee/ee3a4bc5a3454aa2b0d9312230633ce9.html</w:t>
      </w:r>
      <w:bookmarkEnd w:id="124"/>
      <w:r/>
      <w:r/>
    </w:p>
    <w:p>
      <w:pPr>
        <w:ind w:firstLine="660"/>
        <w:pageBreakBefore w:val="0"/>
        <w:spacing w:line="360" w:lineRule="auto"/>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5.3“CA数字证书”的获取：</w:t>
      </w:r>
      <w:r/>
    </w:p>
    <w:p>
      <w:pPr>
        <w:ind w:firstLine="660"/>
        <w:pageBreakBefore w:val="0"/>
        <w:spacing w:line="360" w:lineRule="auto"/>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p>
    <w:p>
      <w:pPr>
        <w:ind w:firstLine="660"/>
        <w:pageBreakBefore w:val="0"/>
        <w:spacing w:line="360" w:lineRule="auto"/>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5.4响应文件（后缀名为“.kedt”）、供应商操作手册及政府采购客户端工具可通过“苏采云”系统--已报名项目--报名详情页面内相应链接进行下载。</w:t>
      </w:r>
      <w:r/>
    </w:p>
    <w:p>
      <w:pPr>
        <w:ind w:firstLine="660"/>
        <w:pageBreakBefore w:val="0"/>
        <w:spacing w:line="360" w:lineRule="auto"/>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5.5招标代理机构将数据电文形式的采购文件加载至“苏采云”系统，供潜在供应商下载或者查阅。</w:t>
      </w:r>
      <w:r/>
    </w:p>
    <w:p>
      <w:pPr>
        <w:ind w:firstLine="440"/>
        <w:keepLines w:val="0"/>
        <w:keepNext w:val="0"/>
        <w:pageBreakBefore w:val="0"/>
        <w:spacing w:line="360" w:lineRule="auto"/>
        <w:widowControl w:val="off"/>
        <w:rPr>
          <w:rFonts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5.6请潜在供应商提前安装相应的控件（详见《江苏省政府采购管理交易系统（苏采云）供应商操作手册》）并使用谷歌浏览器登录“苏采云”系统参加项目线上开评标。</w:t>
      </w:r>
      <w:bookmarkEnd w:id="122"/>
      <w:r/>
      <w:r/>
    </w:p>
    <w:p>
      <w:pPr>
        <w:pStyle w:val="1137"/>
        <w:ind w:firstLine="372"/>
        <w:keepLines/>
        <w:keepNext/>
        <w:pageBreakBefore w:val="0"/>
        <w:spacing w:before="0" w:after="0" w:line="360" w:lineRule="auto"/>
        <w:widowControl w:val="off"/>
        <w:rPr>
          <w:rFonts w:hint="eastAsia" w:ascii="黑体" w:hAnsi="黑体" w:eastAsia="黑体" w:cs="黑体"/>
          <w:b w:val="0"/>
          <w:bCs w:val="0"/>
          <w:color w:val="auto"/>
          <w:sz w:val="24"/>
          <w:szCs w:val="24"/>
          <w:highlight w:val="none"/>
        </w:rPr>
        <w:outlineLvl w:val="1"/>
      </w:pPr>
      <w:r/>
      <w:bookmarkStart w:id="125" w:name="_Toc5094"/>
      <w:r/>
      <w:bookmarkStart w:id="126" w:name="_Toc21128"/>
      <w:r/>
      <w:bookmarkStart w:id="127" w:name="_Toc22005"/>
      <w:r/>
      <w:bookmarkStart w:id="128" w:name="_Toc4654"/>
      <w:r>
        <w:rPr>
          <w:rFonts w:hint="eastAsia" w:ascii="黑体" w:hAnsi="黑体" w:eastAsia="黑体" w:cs="黑体"/>
          <w:b w:val="0"/>
          <w:bCs w:val="0"/>
          <w:color w:val="auto"/>
          <w:sz w:val="24"/>
          <w:szCs w:val="24"/>
          <w:highlight w:val="none"/>
          <w:lang w:val="en-US" w:eastAsia="zh-CN"/>
        </w:rPr>
        <w:t xml:space="preserve">六</w:t>
      </w:r>
      <w:r>
        <w:rPr>
          <w:rFonts w:hint="eastAsia" w:ascii="黑体" w:hAnsi="黑体" w:eastAsia="黑体" w:cs="黑体"/>
          <w:b w:val="0"/>
          <w:bCs w:val="0"/>
          <w:color w:val="auto"/>
          <w:sz w:val="24"/>
          <w:szCs w:val="24"/>
          <w:highlight w:val="none"/>
        </w:rPr>
        <w:t xml:space="preserve">、公告期限</w:t>
      </w:r>
      <w:bookmarkEnd w:id="104"/>
      <w:r/>
      <w:bookmarkEnd w:id="105"/>
      <w:r/>
      <w:bookmarkEnd w:id="106"/>
      <w:r/>
      <w:bookmarkEnd w:id="107"/>
      <w:r/>
      <w:bookmarkEnd w:id="108"/>
      <w:r/>
      <w:bookmarkEnd w:id="125"/>
      <w:r/>
      <w:bookmarkEnd w:id="126"/>
      <w:r/>
      <w:bookmarkEnd w:id="127"/>
      <w:r/>
      <w:bookmarkEnd w:id="128"/>
      <w:r/>
      <w:r/>
    </w:p>
    <w:p>
      <w:pPr>
        <w:ind w:firstLine="440"/>
        <w:pageBreakBefore w:val="0"/>
        <w:spacing w:line="360" w:lineRule="auto"/>
        <w:rPr>
          <w:rFonts w:hint="eastAsia" w:ascii="宋体" w:hAnsi="宋体" w:eastAsia="宋体" w:cs="宋体"/>
          <w:color w:val="auto"/>
          <w:sz w:val="22"/>
          <w:szCs w:val="22"/>
          <w:highlight w:val="none"/>
        </w:rPr>
      </w:pPr>
      <w:r/>
      <w:bookmarkStart w:id="129" w:name="_Toc35393795"/>
      <w:r/>
      <w:bookmarkStart w:id="130" w:name="_Toc35393626"/>
      <w:r/>
      <w:bookmarkStart w:id="131" w:name="_Toc38985268"/>
      <w:r>
        <w:rPr>
          <w:rFonts w:hint="eastAsia" w:ascii="宋体" w:hAnsi="宋体" w:eastAsia="宋体" w:cs="宋体"/>
          <w:color w:val="auto"/>
          <w:sz w:val="22"/>
          <w:szCs w:val="22"/>
          <w:highlight w:val="none"/>
        </w:rPr>
        <w:t xml:space="preserve">自本公告发布之日起5个工作日。</w:t>
      </w:r>
      <w:r/>
    </w:p>
    <w:p>
      <w:pPr>
        <w:pStyle w:val="1137"/>
        <w:ind w:firstLine="372"/>
        <w:keepLines/>
        <w:keepNext/>
        <w:pageBreakBefore w:val="0"/>
        <w:spacing w:before="0" w:after="0" w:line="360" w:lineRule="auto"/>
        <w:widowControl w:val="off"/>
        <w:rPr>
          <w:rFonts w:hint="eastAsia" w:ascii="黑体" w:hAnsi="黑体" w:eastAsia="黑体" w:cs="黑体"/>
          <w:b w:val="0"/>
          <w:bCs w:val="0"/>
          <w:color w:val="auto"/>
          <w:sz w:val="24"/>
          <w:szCs w:val="24"/>
          <w:highlight w:val="none"/>
        </w:rPr>
        <w:outlineLvl w:val="1"/>
      </w:pPr>
      <w:r/>
      <w:bookmarkStart w:id="132" w:name="_Toc21286"/>
      <w:r/>
      <w:bookmarkStart w:id="133" w:name="_Toc16566"/>
      <w:r/>
      <w:bookmarkStart w:id="134" w:name="_Toc11996"/>
      <w:r/>
      <w:bookmarkStart w:id="135" w:name="_Toc32212"/>
      <w:r/>
      <w:bookmarkStart w:id="136" w:name="_Toc10661"/>
      <w:r/>
      <w:bookmarkStart w:id="137" w:name="OLE_LINK24"/>
      <w:r>
        <w:rPr>
          <w:rFonts w:hint="eastAsia" w:ascii="黑体" w:hAnsi="黑体" w:eastAsia="黑体" w:cs="黑体"/>
          <w:b w:val="0"/>
          <w:bCs w:val="0"/>
          <w:color w:val="auto"/>
          <w:sz w:val="24"/>
          <w:szCs w:val="24"/>
          <w:highlight w:val="none"/>
          <w:lang w:val="en-US" w:eastAsia="zh-CN"/>
        </w:rPr>
        <w:t xml:space="preserve">七</w:t>
      </w:r>
      <w:r>
        <w:rPr>
          <w:rFonts w:hint="eastAsia" w:ascii="黑体" w:hAnsi="黑体" w:eastAsia="黑体" w:cs="黑体"/>
          <w:b w:val="0"/>
          <w:bCs w:val="0"/>
          <w:color w:val="auto"/>
          <w:sz w:val="24"/>
          <w:szCs w:val="24"/>
          <w:highlight w:val="none"/>
        </w:rPr>
        <w:t xml:space="preserve">、</w:t>
      </w:r>
      <w:r>
        <w:rPr>
          <w:rFonts w:hint="eastAsia" w:ascii="黑体" w:hAnsi="黑体" w:eastAsia="黑体" w:cs="黑体"/>
          <w:b w:val="0"/>
          <w:bCs w:val="0"/>
          <w:color w:val="auto"/>
          <w:sz w:val="24"/>
          <w:szCs w:val="24"/>
          <w:highlight w:val="none"/>
          <w:lang w:eastAsia="zh-CN"/>
        </w:rPr>
        <w:t xml:space="preserve">其他</w:t>
      </w:r>
      <w:r>
        <w:rPr>
          <w:rFonts w:hint="eastAsia" w:ascii="黑体" w:hAnsi="黑体" w:eastAsia="黑体" w:cs="黑体"/>
          <w:b w:val="0"/>
          <w:bCs w:val="0"/>
          <w:color w:val="auto"/>
          <w:sz w:val="24"/>
          <w:szCs w:val="24"/>
          <w:highlight w:val="none"/>
        </w:rPr>
        <w:t xml:space="preserve">补充事宜</w:t>
      </w:r>
      <w:bookmarkEnd w:id="129"/>
      <w:r/>
      <w:bookmarkEnd w:id="130"/>
      <w:r/>
      <w:bookmarkEnd w:id="131"/>
      <w:r/>
      <w:bookmarkEnd w:id="132"/>
      <w:r/>
      <w:bookmarkEnd w:id="133"/>
      <w:r/>
      <w:bookmarkEnd w:id="134"/>
      <w:r/>
      <w:bookmarkEnd w:id="135"/>
      <w:r/>
      <w:bookmarkEnd w:id="136"/>
      <w:r/>
      <w:bookmarkEnd w:id="137"/>
      <w:r/>
      <w:r/>
    </w:p>
    <w:p>
      <w:pPr>
        <w:ind w:firstLine="440"/>
        <w:pageBreakBefore w:val="0"/>
        <w:spacing w:line="360" w:lineRule="auto"/>
        <w:rPr>
          <w:rFonts w:hint="eastAsia" w:ascii="宋体" w:hAnsi="宋体" w:eastAsia="宋体" w:cs="宋体"/>
          <w:color w:val="auto"/>
          <w:sz w:val="22"/>
          <w:szCs w:val="22"/>
          <w:highlight w:val="none"/>
          <w:lang w:val="en-US" w:eastAsia="zh-CN"/>
        </w:rPr>
      </w:pPr>
      <w:r/>
      <w:bookmarkStart w:id="138" w:name="OLE_LINK216"/>
      <w:r>
        <w:rPr>
          <w:rFonts w:hint="eastAsia" w:ascii="宋体" w:hAnsi="宋体" w:eastAsia="宋体" w:cs="宋体"/>
          <w:color w:val="auto"/>
          <w:sz w:val="22"/>
          <w:szCs w:val="22"/>
          <w:highlight w:val="none"/>
          <w:lang w:val="en-US" w:eastAsia="zh-CN"/>
        </w:rPr>
        <w:t xml:space="preserve">根据南京市财政局颁发的《南京市政府采购供应商信用管理工作暂行办法》（宁财规〔2019〕10号）和《关于在政府采购活动中推行信用承诺制的通知》（宁财购通〔2021〕5号）的规定，参加南京地区政府采购活动的供应商，应以书面形式向采购人或政府采购代理机构作出信用承诺。供应商应尽早做好承诺工作，点击“南京公共采购信息网”首页 （https://njgc.jfh.com/）</w:t>
      </w:r>
      <w:r/>
    </w:p>
    <w:p>
      <w:pPr>
        <w:ind w:firstLine="44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“南京市政府采购供应商诚信档案”系统链接打开系统页面</w:t>
      </w:r>
      <w:r/>
    </w:p>
    <w:p>
      <w:pPr>
        <w:ind w:firstLine="44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（http://180.101.238.212:8280/hodeframe2018_cxda/index.action;jsessionid=769BA9C8E1729422E7173B991C8EC1E5）</w:t>
      </w:r>
      <w:r/>
    </w:p>
    <w:p>
      <w:pPr>
        <w:ind w:firstLine="44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登录（未注册的供应商应先点击“供应商注册点这里”并按要求完成注册），然后在“信用记录”模块页面点击“信用记录打印”下载本单位《南京市政府采购供应商信用记录表暨信用承诺书》，由法定代表人签字并加盖单位公章，随投标文件一并上传至“苏采云”系统。未按要求提供《南京市政府采购供应商信用记录表暨信用承诺书》则该供应商投标文件按无效投标处理。</w:t>
      </w:r>
      <w:r/>
    </w:p>
    <w:p>
      <w:pPr>
        <w:ind w:firstLine="44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在政府采购资格审查环节，供应商只需提供书面《南京市政府采购供应商信用记录表暨信用承诺书》，即可替代以下证明材料：</w:t>
      </w:r>
      <w:r/>
    </w:p>
    <w:p>
      <w:pPr>
        <w:ind w:firstLine="44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（1）符合国家相关规定的财务状况报告；</w:t>
      </w:r>
      <w:r/>
    </w:p>
    <w:p>
      <w:pPr>
        <w:ind w:firstLine="44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（2）依法缴纳税收的证明材料；</w:t>
      </w:r>
      <w:r/>
    </w:p>
    <w:p>
      <w:pPr>
        <w:ind w:firstLine="44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（3）依法缴纳社会保障资金的证明材料；</w:t>
      </w:r>
      <w:r/>
    </w:p>
    <w:p>
      <w:pPr>
        <w:ind w:firstLine="44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（4）具备履行政府采购合同所必需的设备和专业技术能力的证明材料；</w:t>
      </w:r>
      <w:r/>
    </w:p>
    <w:p>
      <w:pPr>
        <w:ind w:firstLine="44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（5）参加政府采购活动前三年内在经营活动中没有重大违法记录的证明材料；</w:t>
      </w:r>
      <w:r/>
    </w:p>
    <w:p>
      <w:pPr>
        <w:ind w:firstLine="44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（6）未被列入失信被执行人、重大税收违法失信主体名单、政府采购严重违法失信行为记录名单的证明材料。</w:t>
      </w:r>
      <w:r/>
    </w:p>
    <w:p>
      <w:pPr>
        <w:ind w:firstLine="44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firstLine="44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供应商涉及以下情形的，不适用信用承诺：</w:t>
      </w:r>
      <w:r/>
    </w:p>
    <w:p>
      <w:pPr>
        <w:ind w:firstLine="44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（1）供应商被列入严重失信主体名单；</w:t>
      </w:r>
      <w:r/>
    </w:p>
    <w:p>
      <w:pPr>
        <w:ind w:firstLine="44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（2）被相关监管部门做出行政处罚且尚在处罚有效期内；</w:t>
      </w:r>
      <w:r/>
    </w:p>
    <w:p>
      <w:pPr>
        <w:ind w:firstLine="44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（3）被其他法律、行政法规规定的不适用信用承诺的情形。</w:t>
      </w:r>
      <w:r/>
    </w:p>
    <w:p>
      <w:pPr>
        <w:ind w:firstLine="44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供应商对信用承诺内容的真实性、合法性、有效性负责。如作出虚假信用承诺，视同为“提供虚假材料谋取中标”的违法行为。</w:t>
      </w:r>
      <w:r/>
    </w:p>
    <w:p>
      <w:pPr>
        <w:ind w:firstLine="44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公示媒体：</w:t>
      </w:r>
      <w:bookmarkStart w:id="139" w:name="OLE_LINK31"/>
      <w:r>
        <w:rPr>
          <w:rFonts w:hint="eastAsia" w:ascii="宋体" w:hAnsi="宋体" w:eastAsia="宋体" w:cs="宋体"/>
          <w:color w:val="auto"/>
          <w:sz w:val="22"/>
          <w:szCs w:val="22"/>
          <w:highlight w:val="none"/>
          <w:lang w:val="en-US" w:eastAsia="zh-CN"/>
        </w:rPr>
        <w:t xml:space="preserve">南京公共采购信息网</w:t>
      </w:r>
      <w:bookmarkEnd w:id="139"/>
      <w:r>
        <w:rPr>
          <w:rFonts w:hint="eastAsia" w:ascii="宋体" w:hAnsi="宋体" w:eastAsia="宋体" w:cs="宋体"/>
          <w:color w:val="auto"/>
          <w:sz w:val="22"/>
          <w:szCs w:val="22"/>
          <w:highlight w:val="none"/>
          <w:lang w:val="en-US" w:eastAsia="zh-CN"/>
        </w:rPr>
        <w:t xml:space="preserve">。</w:t>
      </w:r>
      <w:bookmarkEnd w:id="138"/>
      <w:r/>
      <w:r/>
    </w:p>
    <w:p>
      <w:pPr>
        <w:ind w:firstLine="44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有关本次招标事项若存在变动或修改，敬请及时关注江苏柒采招标代理有限公司在南京公共采购信息网发布的更正公告。</w:t>
      </w:r>
      <w:r/>
    </w:p>
    <w:p>
      <w:pPr>
        <w:ind w:firstLine="44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对</w:t>
      </w:r>
      <w:r>
        <w:rPr>
          <w:rFonts w:hint="eastAsia" w:ascii="宋体" w:hAnsi="宋体" w:eastAsia="宋体" w:cs="宋体"/>
          <w:color w:val="auto"/>
          <w:sz w:val="22"/>
          <w:szCs w:val="22"/>
          <w:highlight w:val="none"/>
          <w:lang w:val="en-US" w:eastAsia="zh-CN"/>
        </w:rPr>
        <w:t xml:space="preserve">项目采购文件</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供应商的</w:t>
      </w:r>
      <w:r>
        <w:rPr>
          <w:rFonts w:hint="eastAsia" w:ascii="宋体" w:hAnsi="宋体" w:eastAsia="宋体" w:cs="宋体"/>
          <w:color w:val="auto"/>
          <w:sz w:val="22"/>
          <w:szCs w:val="22"/>
          <w:highlight w:val="none"/>
        </w:rPr>
        <w:t xml:space="preserve">资格要求、服务合同</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评审</w:t>
      </w:r>
      <w:r>
        <w:rPr>
          <w:rFonts w:hint="eastAsia" w:ascii="宋体" w:hAnsi="宋体" w:eastAsia="宋体" w:cs="宋体"/>
          <w:color w:val="auto"/>
          <w:sz w:val="22"/>
          <w:szCs w:val="22"/>
          <w:highlight w:val="none"/>
        </w:rPr>
        <w:t xml:space="preserve">办法和</w:t>
      </w:r>
      <w:r>
        <w:rPr>
          <w:rFonts w:hint="eastAsia" w:ascii="宋体" w:hAnsi="宋体" w:eastAsia="宋体" w:cs="宋体"/>
          <w:color w:val="auto"/>
          <w:sz w:val="22"/>
          <w:szCs w:val="22"/>
          <w:highlight w:val="none"/>
          <w:lang w:val="en-US" w:eastAsia="zh-CN"/>
        </w:rPr>
        <w:t xml:space="preserve">评审</w:t>
      </w:r>
      <w:r>
        <w:rPr>
          <w:rFonts w:hint="eastAsia" w:ascii="宋体" w:hAnsi="宋体" w:eastAsia="宋体" w:cs="宋体"/>
          <w:color w:val="auto"/>
          <w:sz w:val="22"/>
          <w:szCs w:val="22"/>
          <w:highlight w:val="none"/>
        </w:rPr>
        <w:t xml:space="preserve">标准）的询问、质疑由招标代理机构</w:t>
      </w:r>
      <w:r>
        <w:rPr>
          <w:rFonts w:hint="eastAsia" w:ascii="宋体" w:hAnsi="宋体" w:eastAsia="宋体" w:cs="宋体"/>
          <w:color w:val="auto"/>
          <w:sz w:val="22"/>
          <w:szCs w:val="22"/>
          <w:highlight w:val="none"/>
          <w:lang w:val="en-US" w:eastAsia="zh-CN"/>
        </w:rPr>
        <w:t xml:space="preserve">接收、答复</w:t>
      </w:r>
      <w:r>
        <w:rPr>
          <w:rFonts w:hint="eastAsia" w:ascii="宋体" w:hAnsi="宋体" w:eastAsia="宋体" w:cs="宋体"/>
          <w:color w:val="auto"/>
          <w:sz w:val="22"/>
          <w:szCs w:val="22"/>
          <w:highlight w:val="none"/>
          <w:lang w:eastAsia="zh-CN"/>
        </w:rPr>
        <w:t xml:space="preserve">。</w:t>
      </w:r>
      <w:r/>
    </w:p>
    <w:p>
      <w:pPr>
        <w:ind w:firstLine="44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对在</w:t>
      </w:r>
      <w:bookmarkStart w:id="140" w:name="OLE_LINK130"/>
      <w:r>
        <w:rPr>
          <w:rFonts w:hint="eastAsia" w:ascii="宋体" w:hAnsi="宋体" w:eastAsia="宋体" w:cs="宋体"/>
          <w:color w:val="auto"/>
          <w:sz w:val="22"/>
          <w:szCs w:val="22"/>
          <w:highlight w:val="none"/>
        </w:rPr>
        <w:t xml:space="preserve">“苏采云”系统</w:t>
      </w:r>
      <w:bookmarkEnd w:id="140"/>
      <w:r>
        <w:rPr>
          <w:rFonts w:hint="eastAsia" w:ascii="宋体" w:hAnsi="宋体" w:eastAsia="宋体" w:cs="宋体"/>
          <w:color w:val="auto"/>
          <w:sz w:val="22"/>
          <w:szCs w:val="22"/>
          <w:highlight w:val="none"/>
          <w:lang w:val="en-US" w:eastAsia="zh-CN"/>
        </w:rPr>
        <w:t xml:space="preserve">操作</w:t>
      </w:r>
      <w:r>
        <w:rPr>
          <w:rFonts w:hint="eastAsia" w:ascii="宋体" w:hAnsi="宋体" w:eastAsia="宋体" w:cs="宋体"/>
          <w:color w:val="auto"/>
          <w:sz w:val="22"/>
          <w:szCs w:val="22"/>
          <w:highlight w:val="none"/>
        </w:rPr>
        <w:t xml:space="preserve">阶段的询问请向“苏采云”系统</w:t>
      </w:r>
      <w:r>
        <w:rPr>
          <w:rFonts w:hint="eastAsia" w:ascii="宋体" w:hAnsi="宋体" w:eastAsia="宋体" w:cs="宋体"/>
          <w:color w:val="auto"/>
          <w:sz w:val="22"/>
          <w:szCs w:val="22"/>
          <w:highlight w:val="none"/>
          <w:lang w:val="en-US" w:eastAsia="zh-CN"/>
        </w:rPr>
        <w:t xml:space="preserve">运维</w:t>
      </w:r>
      <w:r>
        <w:rPr>
          <w:rFonts w:hint="eastAsia" w:ascii="宋体" w:hAnsi="宋体" w:eastAsia="宋体" w:cs="宋体"/>
          <w:color w:val="auto"/>
          <w:sz w:val="22"/>
          <w:szCs w:val="22"/>
          <w:highlight w:val="none"/>
        </w:rPr>
        <w:t xml:space="preserve">人员提出。（“苏采云”南京地区客服热线025-83633744、025-83633743）。</w:t>
      </w:r>
      <w:r/>
    </w:p>
    <w:p>
      <w:pPr>
        <w:pStyle w:val="1135"/>
        <w:ind w:firstLine="372"/>
        <w:jc w:val="both"/>
        <w:pageBreakBefore w:val="0"/>
        <w:spacing w:before="0" w:after="0" w:line="360" w:lineRule="auto"/>
        <w:rPr>
          <w:rFonts w:hint="eastAsia" w:ascii="黑体" w:hAnsi="黑体" w:eastAsia="黑体" w:cs="黑体"/>
          <w:b w:val="0"/>
          <w:bCs w:val="0"/>
          <w:color w:val="auto"/>
          <w:sz w:val="24"/>
          <w:szCs w:val="24"/>
          <w:highlight w:val="none"/>
        </w:rPr>
      </w:pPr>
      <w:r/>
      <w:bookmarkStart w:id="141" w:name="_Toc24808"/>
      <w:r/>
      <w:bookmarkStart w:id="142" w:name="_Toc11500"/>
      <w:r>
        <w:rPr>
          <w:rFonts w:hint="eastAsia" w:ascii="黑体" w:hAnsi="黑体" w:eastAsia="黑体" w:cs="黑体"/>
          <w:b w:val="0"/>
          <w:bCs w:val="0"/>
          <w:color w:val="auto"/>
          <w:sz w:val="24"/>
          <w:szCs w:val="24"/>
          <w:highlight w:val="none"/>
          <w:lang w:val="en-US" w:eastAsia="zh-CN"/>
        </w:rPr>
        <w:t xml:space="preserve">八</w:t>
      </w:r>
      <w:r>
        <w:rPr>
          <w:rFonts w:hint="eastAsia" w:ascii="黑体" w:hAnsi="黑体" w:eastAsia="黑体" w:cs="黑体"/>
          <w:b w:val="0"/>
          <w:bCs w:val="0"/>
          <w:color w:val="auto"/>
          <w:sz w:val="24"/>
          <w:szCs w:val="24"/>
          <w:highlight w:val="none"/>
        </w:rPr>
        <w:t xml:space="preserve">、本次磋商联系方式</w:t>
      </w:r>
      <w:bookmarkEnd w:id="74"/>
      <w:r/>
      <w:bookmarkEnd w:id="75"/>
      <w:r/>
      <w:bookmarkEnd w:id="76"/>
      <w:r/>
      <w:bookmarkEnd w:id="77"/>
      <w:r/>
      <w:bookmarkEnd w:id="78"/>
      <w:r/>
      <w:bookmarkEnd w:id="79"/>
      <w:r/>
      <w:bookmarkEnd w:id="80"/>
      <w:r/>
      <w:bookmarkEnd w:id="141"/>
      <w:r/>
      <w:bookmarkEnd w:id="142"/>
      <w:r/>
      <w:r/>
    </w:p>
    <w:p>
      <w:pPr>
        <w:jc w:val="left"/>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2"/>
          <w:szCs w:val="22"/>
          <w:highlight w:val="none"/>
        </w:rPr>
        <w:t xml:space="preserve">1.采购人信息</w:t>
      </w:r>
      <w:r/>
    </w:p>
    <w:p>
      <w:pPr>
        <w:ind w:left="1054" w:hanging="275"/>
        <w:jc w:val="left"/>
        <w:pageBreakBefore w:val="0"/>
        <w:spacing w:line="360" w:lineRule="auto"/>
        <w:rPr>
          <w:rFonts w:hint="eastAsia" w:ascii="宋体" w:hAnsi="宋体" w:eastAsia="宋体" w:cs="宋体"/>
          <w:color w:val="auto"/>
          <w:sz w:val="22"/>
          <w:szCs w:val="22"/>
          <w:highlight w:val="none"/>
          <w:lang w:eastAsia="zh-CN"/>
        </w:rPr>
      </w:pPr>
      <w:r/>
      <w:bookmarkStart w:id="143" w:name="_Toc28359086"/>
      <w:r/>
      <w:bookmarkStart w:id="144" w:name="_Toc28359009"/>
      <w:r>
        <w:rPr>
          <w:rFonts w:hint="eastAsia" w:ascii="宋体" w:hAnsi="宋体" w:eastAsia="宋体" w:cs="宋体"/>
          <w:color w:val="auto"/>
          <w:sz w:val="22"/>
          <w:szCs w:val="22"/>
          <w:highlight w:val="none"/>
        </w:rPr>
        <w:t xml:space="preserve">名称：</w:t>
      </w:r>
      <w:r>
        <w:rPr>
          <w:rFonts w:hint="eastAsia" w:ascii="宋体" w:hAnsi="宋体" w:cs="宋体"/>
          <w:color w:val="auto"/>
          <w:sz w:val="22"/>
          <w:szCs w:val="22"/>
          <w:highlight w:val="none"/>
          <w:lang w:eastAsia="zh-CN"/>
        </w:rPr>
        <w:t xml:space="preserve">南京市人力资源和社会保障信息管理中心</w:t>
      </w:r>
      <w:r/>
    </w:p>
    <w:p>
      <w:pPr>
        <w:ind w:left="1054" w:hanging="275"/>
        <w:jc w:val="left"/>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地址：</w:t>
      </w:r>
      <w:r>
        <w:rPr>
          <w:rFonts w:hint="eastAsia" w:ascii="宋体" w:hAnsi="宋体" w:cs="宋体"/>
          <w:color w:val="auto"/>
          <w:sz w:val="22"/>
          <w:szCs w:val="22"/>
          <w:highlight w:val="none"/>
          <w:lang w:eastAsia="zh-CN"/>
        </w:rPr>
        <w:t xml:space="preserve">南京市秦淮区游府西街53号</w:t>
      </w:r>
      <w:r/>
    </w:p>
    <w:p>
      <w:pPr>
        <w:ind w:left="1054" w:hanging="275"/>
        <w:jc w:val="left"/>
        <w:pageBreakBefore w:val="0"/>
        <w:spacing w:line="360" w:lineRule="auto"/>
        <w:rPr>
          <w:rFonts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联系人：</w:t>
      </w:r>
      <w:r>
        <w:rPr>
          <w:rFonts w:hint="eastAsia" w:ascii="宋体" w:hAnsi="宋体" w:cs="宋体"/>
          <w:color w:val="auto"/>
          <w:sz w:val="22"/>
          <w:szCs w:val="22"/>
          <w:highlight w:val="none"/>
          <w:lang w:val="en-US" w:eastAsia="zh-CN"/>
        </w:rPr>
        <w:t xml:space="preserve">曾先生</w:t>
      </w:r>
      <w:r/>
    </w:p>
    <w:p>
      <w:pPr>
        <w:ind w:left="1054" w:hanging="275"/>
        <w:jc w:val="left"/>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联系方式：</w:t>
      </w:r>
      <w:r>
        <w:rPr>
          <w:rFonts w:hint="eastAsia" w:ascii="宋体" w:hAnsi="宋体" w:cs="宋体"/>
          <w:color w:val="auto"/>
          <w:sz w:val="22"/>
          <w:szCs w:val="22"/>
          <w:highlight w:val="none"/>
          <w:lang w:eastAsia="zh-CN"/>
        </w:rPr>
        <w:t xml:space="preserve">025-84501880</w:t>
      </w:r>
      <w:r>
        <w:rPr>
          <w:rFonts w:hint="eastAsia" w:ascii="宋体" w:hAnsi="宋体" w:cs="宋体"/>
          <w:color w:val="auto"/>
          <w:sz w:val="22"/>
          <w:szCs w:val="22"/>
          <w:highlight w:val="none"/>
          <w:lang w:eastAsia="zh-CN"/>
        </w:rPr>
        <w:tab/>
      </w:r>
      <w:bookmarkEnd w:id="143"/>
      <w:r/>
      <w:bookmarkEnd w:id="144"/>
      <w:r/>
      <w:r/>
    </w:p>
    <w:p>
      <w:pPr>
        <w:ind w:firstLine="663"/>
        <w:jc w:val="left"/>
        <w:pageBreakBefore w:val="0"/>
        <w:spacing w:line="36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2.招标代理信息</w:t>
      </w:r>
      <w:r/>
    </w:p>
    <w:p>
      <w:pPr>
        <w:ind w:firstLine="66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名称：江苏柒采招标代理有限公司</w:t>
      </w:r>
      <w:r/>
    </w:p>
    <w:p>
      <w:pPr>
        <w:ind w:firstLine="66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地址：南京市建邺区奥体大街68号（新城科技园国际研发</w:t>
      </w:r>
      <w:r>
        <w:rPr>
          <w:rFonts w:hint="eastAsia" w:ascii="宋体" w:hAnsi="宋体" w:eastAsia="宋体" w:cs="宋体"/>
          <w:color w:val="auto"/>
          <w:sz w:val="22"/>
          <w:szCs w:val="22"/>
          <w:highlight w:val="none"/>
          <w:lang w:eastAsia="zh-CN"/>
        </w:rPr>
        <w:t xml:space="preserve">总部园</w:t>
      </w:r>
      <w:r>
        <w:rPr>
          <w:rFonts w:hint="eastAsia" w:ascii="宋体" w:hAnsi="宋体" w:eastAsia="宋体" w:cs="宋体"/>
          <w:color w:val="auto"/>
          <w:sz w:val="22"/>
          <w:szCs w:val="22"/>
          <w:highlight w:val="none"/>
        </w:rPr>
        <w:t xml:space="preserve">）3幢6楼</w:t>
      </w:r>
      <w:r/>
    </w:p>
    <w:p>
      <w:pPr>
        <w:ind w:firstLine="66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联系人：</w:t>
      </w:r>
      <w:r>
        <w:rPr>
          <w:rFonts w:hint="eastAsia" w:ascii="宋体" w:hAnsi="宋体" w:cs="宋体"/>
          <w:color w:val="auto"/>
          <w:sz w:val="22"/>
          <w:szCs w:val="22"/>
          <w:highlight w:val="none"/>
          <w:lang w:eastAsia="zh-CN"/>
        </w:rPr>
        <w:t xml:space="preserve">倪斌</w:t>
      </w:r>
      <w:r>
        <w:rPr>
          <w:rFonts w:hint="eastAsia" w:ascii="宋体" w:hAnsi="宋体" w:eastAsia="宋体" w:cs="宋体"/>
          <w:color w:val="auto"/>
          <w:sz w:val="22"/>
          <w:szCs w:val="22"/>
          <w:highlight w:val="none"/>
          <w:lang w:eastAsia="zh-CN"/>
        </w:rPr>
        <w:t xml:space="preserve">、李金楠</w:t>
      </w:r>
      <w:r/>
    </w:p>
    <w:p>
      <w:pPr>
        <w:ind w:firstLine="660"/>
        <w:pageBreakBefore w:val="0"/>
        <w:spacing w:line="360" w:lineRule="auto"/>
        <w:rPr>
          <w:rFonts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联系方式：</w:t>
      </w:r>
      <w:bookmarkStart w:id="145" w:name="_Toc28359087"/>
      <w:r/>
      <w:bookmarkStart w:id="146" w:name="_Toc28359010"/>
      <w:r>
        <w:rPr>
          <w:rFonts w:hint="eastAsia" w:ascii="宋体" w:hAnsi="宋体" w:eastAsia="宋体" w:cs="宋体"/>
          <w:color w:val="auto"/>
          <w:sz w:val="22"/>
          <w:szCs w:val="22"/>
          <w:highlight w:val="none"/>
        </w:rPr>
        <w:t xml:space="preserve">025-83370296-</w:t>
      </w:r>
      <w:r>
        <w:rPr>
          <w:rFonts w:hint="eastAsia" w:ascii="宋体" w:hAnsi="宋体" w:cs="宋体"/>
          <w:color w:val="auto"/>
          <w:sz w:val="22"/>
          <w:szCs w:val="22"/>
          <w:highlight w:val="none"/>
          <w:lang w:eastAsia="zh-CN"/>
        </w:rPr>
        <w:t xml:space="preserve">705</w:t>
      </w:r>
      <w:bookmarkEnd w:id="145"/>
      <w:r/>
      <w:bookmarkEnd w:id="146"/>
      <w:r/>
      <w:r/>
    </w:p>
    <w:p>
      <w:pPr>
        <w:pStyle w:val="1135"/>
        <w:ind w:firstLine="372"/>
        <w:jc w:val="both"/>
        <w:pageBreakBefore w:val="0"/>
        <w:spacing w:before="0" w:after="0" w:line="360" w:lineRule="auto"/>
        <w:rPr>
          <w:rFonts w:hint="eastAsia" w:ascii="黑体" w:hAnsi="黑体" w:eastAsia="黑体" w:cs="黑体"/>
          <w:b w:val="0"/>
          <w:bCs w:val="0"/>
          <w:color w:val="auto"/>
          <w:sz w:val="24"/>
          <w:szCs w:val="24"/>
          <w:highlight w:val="none"/>
        </w:rPr>
      </w:pPr>
      <w:r/>
      <w:bookmarkStart w:id="147" w:name="_Toc12781"/>
      <w:r/>
      <w:bookmarkStart w:id="148" w:name="_Toc5689"/>
      <w:r/>
      <w:bookmarkStart w:id="149" w:name="_Toc2685"/>
      <w:r/>
      <w:bookmarkStart w:id="150" w:name="_Toc2268"/>
      <w:r>
        <w:rPr>
          <w:rFonts w:hint="eastAsia" w:ascii="黑体" w:hAnsi="黑体" w:eastAsia="黑体" w:cs="黑体"/>
          <w:b w:val="0"/>
          <w:bCs w:val="0"/>
          <w:color w:val="auto"/>
          <w:sz w:val="24"/>
          <w:szCs w:val="24"/>
          <w:highlight w:val="none"/>
          <w:lang w:val="en-US" w:eastAsia="zh-CN"/>
        </w:rPr>
        <w:t xml:space="preserve">九</w:t>
      </w:r>
      <w:r>
        <w:rPr>
          <w:rFonts w:hint="eastAsia" w:ascii="黑体" w:hAnsi="黑体" w:eastAsia="黑体" w:cs="黑体"/>
          <w:b w:val="0"/>
          <w:bCs w:val="0"/>
          <w:color w:val="auto"/>
          <w:sz w:val="24"/>
          <w:szCs w:val="24"/>
          <w:highlight w:val="none"/>
        </w:rPr>
        <w:t xml:space="preserve">、其</w:t>
      </w:r>
      <w:bookmarkEnd w:id="147"/>
      <w:r/>
      <w:bookmarkEnd w:id="148"/>
      <w:r>
        <w:rPr>
          <w:rFonts w:hint="eastAsia" w:ascii="黑体" w:hAnsi="黑体" w:eastAsia="黑体" w:cs="黑体"/>
          <w:b w:val="0"/>
          <w:bCs w:val="0"/>
          <w:color w:val="auto"/>
          <w:sz w:val="24"/>
          <w:szCs w:val="24"/>
          <w:highlight w:val="none"/>
        </w:rPr>
        <w:t xml:space="preserve">它</w:t>
      </w:r>
      <w:bookmarkEnd w:id="149"/>
      <w:r/>
      <w:bookmarkEnd w:id="150"/>
      <w:r/>
      <w:r/>
    </w:p>
    <w:p>
      <w:pPr>
        <w:ind w:firstLine="66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1.采购项目需要落实的政府采购政策： </w:t>
      </w:r>
      <w:r/>
    </w:p>
    <w:p>
      <w:pPr>
        <w:ind w:firstLine="66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等政府采购政策文件。</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请供应商在获取竞争性磋商文件后，认真阅读各项内容，按照竞争性磋商文件的要求详细填写和编制响应文件，进行必要的准备，并按竞争性磋商文件确定的时间、地点准时参加磋商活动。</w:t>
      </w:r>
      <w:r/>
    </w:p>
    <w:p>
      <w:pPr>
        <w:numPr>
          <w:ilvl w:val="0"/>
          <w:numId w:val="0"/>
        </w:numPr>
        <w:ind w:firstLine="440"/>
        <w:keepLines w:val="0"/>
        <w:keepNext w:val="0"/>
        <w:pageBreakBefore w:val="0"/>
        <w:spacing w:line="360" w:lineRule="auto"/>
        <w:widowControl w:val="off"/>
        <w:rPr>
          <w:rFonts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3.代理费发票申请，请登录“江苏柒采招标代理有限公司”官网（http://www.jsqczb.cn/sy），点击“下载专区”，获取“开票信息填写”文件。</w:t>
      </w:r>
      <w:r/>
    </w:p>
    <w:p>
      <w:pPr>
        <w:pStyle w:val="1134"/>
        <w:rPr>
          <w:rFonts w:hint="eastAsia" w:ascii="宋体" w:hAnsi="宋体" w:eastAsia="宋体" w:cs="宋体"/>
          <w:b/>
          <w:bCs/>
          <w:color w:val="auto"/>
          <w:sz w:val="44"/>
          <w:szCs w:val="44"/>
          <w:highlight w:val="none"/>
        </w:rPr>
      </w:pPr>
      <w:r/>
      <w:bookmarkStart w:id="151" w:name="_Toc120614211"/>
      <w:r/>
      <w:bookmarkStart w:id="152" w:name="_Toc738"/>
      <w:r>
        <w:rPr>
          <w:rFonts w:hint="eastAsia" w:ascii="黑体" w:hAnsi="黑体" w:eastAsia="黑体" w:cs="黑体"/>
          <w:b/>
          <w:bCs/>
          <w:color w:val="auto"/>
          <w:sz w:val="36"/>
          <w:szCs w:val="36"/>
          <w:highlight w:val="none"/>
        </w:rPr>
        <w:br w:type="page" w:clear="all"/>
      </w:r>
      <w:bookmarkStart w:id="153" w:name="_Toc30688"/>
      <w:r>
        <w:rPr>
          <w:rFonts w:hint="eastAsia" w:ascii="黑体" w:hAnsi="黑体" w:eastAsia="黑体" w:cs="黑体"/>
          <w:b/>
          <w:bCs/>
          <w:color w:val="auto"/>
          <w:sz w:val="36"/>
          <w:szCs w:val="36"/>
          <w:highlight w:val="none"/>
        </w:rPr>
        <w:t xml:space="preserve">第二章  </w:t>
      </w:r>
      <w:bookmarkEnd w:id="33"/>
      <w:r/>
      <w:bookmarkEnd w:id="34"/>
      <w:r/>
      <w:bookmarkEnd w:id="35"/>
      <w:r/>
      <w:bookmarkEnd w:id="36"/>
      <w:r/>
      <w:bookmarkEnd w:id="37"/>
      <w:r/>
      <w:bookmarkEnd w:id="151"/>
      <w:r/>
      <w:bookmarkStart w:id="154" w:name="_Toc120614213"/>
      <w:r/>
      <w:bookmarkStart w:id="155" w:name="_Toc513029202"/>
      <w:r/>
      <w:bookmarkStart w:id="156" w:name="_Toc16938518"/>
      <w:r/>
      <w:bookmarkStart w:id="157" w:name="_Toc20823274"/>
      <w:r>
        <w:rPr>
          <w:rFonts w:hint="eastAsia" w:ascii="黑体" w:hAnsi="黑体" w:eastAsia="黑体" w:cs="黑体"/>
          <w:b/>
          <w:bCs/>
          <w:color w:val="auto"/>
          <w:sz w:val="36"/>
          <w:szCs w:val="36"/>
          <w:highlight w:val="none"/>
        </w:rPr>
        <w:t xml:space="preserve">供应商须知</w:t>
      </w:r>
      <w:bookmarkEnd w:id="152"/>
      <w:r/>
      <w:bookmarkEnd w:id="153"/>
      <w:r/>
      <w:bookmarkEnd w:id="154"/>
      <w:r/>
      <w:bookmarkEnd w:id="155"/>
      <w:r/>
      <w:bookmarkEnd w:id="156"/>
      <w:r/>
      <w:bookmarkEnd w:id="157"/>
      <w:r/>
      <w:r/>
    </w:p>
    <w:p>
      <w:pPr>
        <w:jc w:val="center"/>
        <w:spacing w:before="145" w:line="360" w:lineRule="auto"/>
        <w:widowControl/>
        <w:rPr>
          <w:rFonts w:hint="eastAsia" w:ascii="黑体" w:hAnsi="黑体" w:eastAsia="黑体" w:cs="黑体"/>
          <w:b w:val="0"/>
          <w:bCs w:val="0"/>
          <w:color w:val="auto"/>
          <w:sz w:val="28"/>
          <w:szCs w:val="28"/>
          <w:highlight w:val="none"/>
        </w:rPr>
        <w:outlineLvl w:val="1"/>
      </w:pPr>
      <w:r/>
      <w:bookmarkStart w:id="158" w:name="_Toc5988"/>
      <w:r/>
      <w:bookmarkStart w:id="159" w:name="_Toc22634"/>
      <w:r/>
      <w:bookmarkStart w:id="160" w:name="_Toc16938519"/>
      <w:r/>
      <w:bookmarkStart w:id="161" w:name="_Toc120614214"/>
      <w:r/>
      <w:bookmarkStart w:id="162" w:name="_Toc20823275"/>
      <w:r/>
      <w:bookmarkStart w:id="163" w:name="_Toc513029203"/>
      <w:r/>
      <w:bookmarkStart w:id="164" w:name="_Toc24056"/>
      <w:r>
        <w:rPr>
          <w:rFonts w:hint="eastAsia" w:ascii="黑体" w:hAnsi="黑体" w:eastAsia="黑体" w:cs="黑体"/>
          <w:b w:val="0"/>
          <w:bCs w:val="0"/>
          <w:color w:val="auto"/>
          <w:sz w:val="28"/>
          <w:szCs w:val="28"/>
          <w:highlight w:val="none"/>
        </w:rPr>
        <w:t xml:space="preserve">供应商须知前附表</w:t>
      </w:r>
      <w:bookmarkEnd w:id="158"/>
      <w:r/>
      <w:bookmarkEnd w:id="159"/>
      <w:r/>
      <w:r/>
    </w:p>
    <w:tbl>
      <w:tblPr>
        <w:tblStyle w:val="958"/>
        <w:tblW w:w="95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2147"/>
        <w:gridCol w:w="6690"/>
      </w:tblGrid>
      <w:tr>
        <w:trPr>
          <w:jc w:val="center"/>
          <w:trHeight w:val="610"/>
        </w:trPr>
        <w:tc>
          <w:tcPr>
            <w:tcW w:w="721" w:type="dxa"/>
            <w:vAlign w:val="center"/>
            <w:textDirection w:val="lrTb"/>
            <w:noWrap w:val="false"/>
          </w:tcPr>
          <w:p>
            <w:pPr>
              <w:jc w:val="cente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序号</w:t>
            </w:r>
            <w:r/>
          </w:p>
        </w:tc>
        <w:tc>
          <w:tcPr>
            <w:tcW w:w="2147" w:type="dxa"/>
            <w:vAlign w:val="center"/>
            <w:textDirection w:val="lrTb"/>
            <w:noWrap w:val="false"/>
          </w:tcPr>
          <w:p>
            <w:pPr>
              <w:jc w:val="cente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名  称</w:t>
            </w:r>
            <w:r/>
          </w:p>
        </w:tc>
        <w:tc>
          <w:tcPr>
            <w:tcW w:w="6690" w:type="dxa"/>
            <w:vAlign w:val="center"/>
            <w:textDirection w:val="lrTb"/>
            <w:noWrap w:val="false"/>
          </w:tcPr>
          <w:p>
            <w:pPr>
              <w:jc w:val="cente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内  容</w:t>
            </w:r>
            <w:r/>
          </w:p>
        </w:tc>
      </w:tr>
      <w:tr>
        <w:trPr>
          <w:jc w:val="center"/>
          <w:trHeight w:val="913"/>
        </w:trPr>
        <w:tc>
          <w:tcPr>
            <w:tcW w:w="721"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2147"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w:t>
            </w:r>
            <w:r/>
          </w:p>
        </w:tc>
        <w:tc>
          <w:tcPr>
            <w:tcW w:w="6690" w:type="dxa"/>
            <w:vAlign w:val="center"/>
            <w:textDirection w:val="lrTb"/>
            <w:noWrap w:val="false"/>
          </w:tcPr>
          <w:p>
            <w:pPr>
              <w:jc w:val="left"/>
              <w:spacing w:line="36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名 称：</w:t>
            </w:r>
            <w:r>
              <w:rPr>
                <w:rFonts w:hint="eastAsia" w:ascii="宋体" w:hAnsi="宋体" w:cs="宋体"/>
                <w:color w:val="auto"/>
                <w:sz w:val="22"/>
                <w:szCs w:val="22"/>
                <w:highlight w:val="none"/>
                <w:lang w:eastAsia="zh-CN"/>
              </w:rPr>
              <w:t xml:space="preserve">南京市人力资源和社会保障信息管理中心</w:t>
            </w:r>
            <w:r/>
          </w:p>
          <w:p>
            <w:pPr>
              <w:jc w:val="left"/>
              <w:spacing w:line="36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地址：</w:t>
            </w:r>
            <w:r>
              <w:rPr>
                <w:rFonts w:hint="eastAsia" w:ascii="宋体" w:hAnsi="宋体" w:eastAsia="宋体" w:cs="宋体"/>
                <w:color w:val="auto"/>
                <w:sz w:val="22"/>
                <w:szCs w:val="22"/>
                <w:highlight w:val="none"/>
                <w:lang w:eastAsia="zh-CN"/>
              </w:rPr>
              <w:t xml:space="preserve">江苏省</w:t>
            </w:r>
            <w:r>
              <w:rPr>
                <w:rFonts w:hint="eastAsia" w:ascii="宋体" w:hAnsi="宋体" w:cs="宋体"/>
                <w:color w:val="auto"/>
                <w:sz w:val="22"/>
                <w:szCs w:val="22"/>
                <w:highlight w:val="none"/>
                <w:lang w:eastAsia="zh-CN"/>
              </w:rPr>
              <w:t xml:space="preserve">南京市秦淮区游府西街53号</w:t>
            </w:r>
            <w:r/>
          </w:p>
          <w:p>
            <w:pPr>
              <w:jc w:val="left"/>
              <w:spacing w:line="36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联系人：</w:t>
            </w:r>
            <w:r>
              <w:rPr>
                <w:rFonts w:hint="eastAsia" w:ascii="宋体" w:hAnsi="宋体" w:cs="宋体"/>
                <w:color w:val="auto"/>
                <w:sz w:val="22"/>
                <w:szCs w:val="22"/>
                <w:highlight w:val="none"/>
                <w:lang w:eastAsia="zh-CN"/>
              </w:rPr>
              <w:t xml:space="preserve">曾先生</w:t>
            </w:r>
            <w:r/>
          </w:p>
          <w:p>
            <w:pPr>
              <w:jc w:val="left"/>
              <w:spacing w:line="36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联系方式：</w:t>
            </w:r>
            <w:r>
              <w:rPr>
                <w:rFonts w:hint="eastAsia" w:ascii="宋体" w:hAnsi="宋体" w:cs="宋体"/>
                <w:color w:val="auto"/>
                <w:sz w:val="22"/>
                <w:szCs w:val="22"/>
                <w:highlight w:val="none"/>
                <w:lang w:eastAsia="zh-CN"/>
              </w:rPr>
              <w:t xml:space="preserve">025-84501880</w:t>
            </w:r>
            <w:r/>
          </w:p>
        </w:tc>
      </w:tr>
      <w:tr>
        <w:trPr>
          <w:jc w:val="center"/>
          <w:trHeight w:val="1519"/>
        </w:trPr>
        <w:tc>
          <w:tcPr>
            <w:tcW w:w="721"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W w:w="2147"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招标代理机构</w:t>
            </w:r>
            <w:r/>
          </w:p>
        </w:tc>
        <w:tc>
          <w:tcPr>
            <w:tcW w:w="6690" w:type="dxa"/>
            <w:vAlign w:val="center"/>
            <w:textDirection w:val="lrTb"/>
            <w:noWrap w:val="false"/>
          </w:tcPr>
          <w:p>
            <w:pP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名称：江苏柒采招标代理有限公司</w:t>
            </w:r>
            <w:r/>
          </w:p>
          <w:p>
            <w:pP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地址：江苏省南京市建邺区奥体大街68号（新城科技园国际研发</w:t>
            </w:r>
            <w:r>
              <w:rPr>
                <w:rFonts w:hint="eastAsia" w:ascii="宋体" w:hAnsi="宋体" w:eastAsia="宋体" w:cs="宋体"/>
                <w:color w:val="auto"/>
                <w:sz w:val="22"/>
                <w:szCs w:val="22"/>
                <w:highlight w:val="none"/>
                <w:lang w:eastAsia="zh-CN"/>
              </w:rPr>
              <w:t xml:space="preserve">总部园</w:t>
            </w:r>
            <w:r>
              <w:rPr>
                <w:rFonts w:hint="eastAsia" w:ascii="宋体" w:hAnsi="宋体" w:eastAsia="宋体" w:cs="宋体"/>
                <w:color w:val="auto"/>
                <w:sz w:val="22"/>
                <w:szCs w:val="22"/>
                <w:highlight w:val="none"/>
              </w:rPr>
              <w:t xml:space="preserve">）3幢6楼</w:t>
            </w:r>
            <w:r/>
          </w:p>
          <w:p>
            <w:pPr>
              <w:spacing w:line="36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联系人：</w:t>
            </w:r>
            <w:r>
              <w:rPr>
                <w:rFonts w:hint="eastAsia" w:ascii="宋体" w:hAnsi="宋体" w:cs="宋体"/>
                <w:color w:val="auto"/>
                <w:sz w:val="22"/>
                <w:szCs w:val="22"/>
                <w:highlight w:val="none"/>
                <w:lang w:eastAsia="zh-CN"/>
              </w:rPr>
              <w:t xml:space="preserve">倪斌</w:t>
            </w:r>
            <w:r>
              <w:rPr>
                <w:rFonts w:hint="eastAsia" w:ascii="宋体" w:hAnsi="宋体" w:eastAsia="宋体" w:cs="宋体"/>
                <w:color w:val="auto"/>
                <w:sz w:val="22"/>
                <w:szCs w:val="22"/>
                <w:highlight w:val="none"/>
                <w:lang w:eastAsia="zh-CN"/>
              </w:rPr>
              <w:t xml:space="preserve">、李金楠</w:t>
            </w:r>
            <w:r/>
          </w:p>
          <w:p>
            <w:pP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联系方式：025-83370296-</w:t>
            </w:r>
            <w:r>
              <w:rPr>
                <w:rFonts w:hint="eastAsia" w:ascii="宋体" w:hAnsi="宋体" w:cs="宋体"/>
                <w:color w:val="auto"/>
                <w:sz w:val="22"/>
                <w:szCs w:val="22"/>
                <w:highlight w:val="none"/>
                <w:lang w:eastAsia="zh-CN"/>
              </w:rPr>
              <w:t xml:space="preserve">705</w:t>
            </w:r>
            <w:r/>
          </w:p>
        </w:tc>
      </w:tr>
      <w:tr>
        <w:trPr>
          <w:jc w:val="center"/>
          <w:trHeight w:val="671"/>
        </w:trPr>
        <w:tc>
          <w:tcPr>
            <w:tcW w:w="721"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W w:w="2147"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p>
        </w:tc>
        <w:tc>
          <w:tcPr>
            <w:tcW w:w="6690" w:type="dxa"/>
            <w:vAlign w:val="center"/>
            <w:textDirection w:val="lrTb"/>
            <w:noWrap w:val="false"/>
          </w:tcPr>
          <w:p>
            <w:pPr>
              <w:spacing w:line="360" w:lineRule="auto"/>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2026年度江苏省人社一体化信息平台南京社会保险运维项目</w:t>
            </w:r>
            <w:r/>
          </w:p>
        </w:tc>
      </w:tr>
      <w:tr>
        <w:trPr>
          <w:jc w:val="center"/>
          <w:trHeight w:val="341"/>
        </w:trPr>
        <w:tc>
          <w:tcPr>
            <w:tcW w:w="721"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tcW w:w="2147"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rPr>
              <w:t xml:space="preserve">项目编号</w:t>
            </w:r>
            <w:r/>
          </w:p>
        </w:tc>
        <w:tc>
          <w:tcPr>
            <w:tcW w:w="6690" w:type="dxa"/>
            <w:vAlign w:val="center"/>
            <w:textDirection w:val="lrTb"/>
            <w:noWrap w:val="false"/>
          </w:tcPr>
          <w:p>
            <w:pPr>
              <w:spacing w:line="360" w:lineRule="auto"/>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JSZC-320100-JSQC-C2026-0023</w:t>
            </w:r>
            <w:r/>
          </w:p>
        </w:tc>
      </w:tr>
      <w:tr>
        <w:trPr>
          <w:jc w:val="center"/>
          <w:trHeight w:val="341"/>
        </w:trPr>
        <w:tc>
          <w:tcPr>
            <w:tcW w:w="721"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tcW w:w="2147"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预算金额</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含税</w:t>
            </w:r>
            <w:r>
              <w:rPr>
                <w:rFonts w:hint="eastAsia" w:ascii="宋体" w:hAnsi="宋体" w:eastAsia="宋体" w:cs="宋体"/>
                <w:color w:val="auto"/>
                <w:sz w:val="22"/>
                <w:szCs w:val="22"/>
                <w:highlight w:val="none"/>
                <w:lang w:eastAsia="zh-CN"/>
              </w:rPr>
              <w:t xml:space="preserve">）</w:t>
            </w:r>
            <w:r/>
          </w:p>
        </w:tc>
        <w:tc>
          <w:tcPr>
            <w:tcW w:w="6690" w:type="dxa"/>
            <w:vAlign w:val="center"/>
            <w:textDirection w:val="lrTb"/>
            <w:noWrap w:val="false"/>
          </w:tcPr>
          <w:p>
            <w:pPr>
              <w:spacing w:line="36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人民币</w:t>
            </w:r>
            <w:r>
              <w:rPr>
                <w:rFonts w:hint="eastAsia" w:ascii="宋体" w:hAnsi="宋体" w:cs="宋体"/>
                <w:b w:val="0"/>
                <w:bCs w:val="0"/>
                <w:color w:val="auto"/>
                <w:sz w:val="22"/>
                <w:szCs w:val="22"/>
                <w:highlight w:val="none"/>
                <w:lang w:val="en-US" w:eastAsia="zh-CN"/>
              </w:rPr>
              <w:t xml:space="preserve">265万元</w:t>
            </w:r>
            <w:r>
              <w:rPr>
                <w:rFonts w:hint="eastAsia" w:ascii="宋体" w:hAnsi="宋体" w:eastAsia="宋体" w:cs="宋体"/>
                <w:color w:val="auto"/>
                <w:sz w:val="22"/>
                <w:szCs w:val="22"/>
                <w:highlight w:val="none"/>
                <w:lang w:eastAsia="zh-CN"/>
              </w:rPr>
              <w:t xml:space="preserve">。</w:t>
            </w:r>
            <w:r/>
          </w:p>
        </w:tc>
      </w:tr>
      <w:tr>
        <w:trPr>
          <w:jc w:val="center"/>
          <w:trHeight w:val="341"/>
        </w:trPr>
        <w:tc>
          <w:tcPr>
            <w:tcW w:w="721"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p>
        </w:tc>
        <w:tc>
          <w:tcPr>
            <w:tcW w:w="2147"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项目实施地点</w:t>
            </w:r>
            <w:r/>
          </w:p>
        </w:tc>
        <w:tc>
          <w:tcPr>
            <w:tcW w:w="6690" w:type="dxa"/>
            <w:vAlign w:val="center"/>
            <w:textDirection w:val="lrTb"/>
            <w:noWrap w:val="false"/>
          </w:tcPr>
          <w:p>
            <w:pP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江苏省南京市</w:t>
            </w:r>
            <w:r>
              <w:rPr>
                <w:rFonts w:hint="eastAsia" w:ascii="宋体" w:hAnsi="宋体" w:eastAsia="宋体" w:cs="宋体"/>
                <w:color w:val="auto"/>
                <w:sz w:val="22"/>
                <w:szCs w:val="22"/>
                <w:highlight w:val="none"/>
              </w:rPr>
              <w:t xml:space="preserve">。</w:t>
            </w:r>
            <w:r/>
          </w:p>
        </w:tc>
      </w:tr>
      <w:tr>
        <w:trPr>
          <w:jc w:val="center"/>
          <w:trHeight w:val="671"/>
        </w:trPr>
        <w:tc>
          <w:tcPr>
            <w:tcW w:w="721"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r/>
          </w:p>
        </w:tc>
        <w:tc>
          <w:tcPr>
            <w:tcW w:w="2147" w:type="dxa"/>
            <w:vAlign w:val="center"/>
            <w:textDirection w:val="lrTb"/>
            <w:noWrap w:val="false"/>
          </w:tcPr>
          <w:p>
            <w:pP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现场勘查/集中答疑</w:t>
            </w:r>
            <w:r/>
          </w:p>
        </w:tc>
        <w:tc>
          <w:tcPr>
            <w:tcW w:w="6690" w:type="dxa"/>
            <w:vAlign w:val="center"/>
            <w:textDirection w:val="lrTb"/>
            <w:noWrap w:val="false"/>
          </w:tcPr>
          <w:p>
            <w:pP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本项目不组织集中勘察及答疑，供应商如对采购需求有疑问，请咨询采购单位联系人。</w:t>
            </w:r>
            <w:r/>
          </w:p>
        </w:tc>
      </w:tr>
      <w:tr>
        <w:trPr>
          <w:jc w:val="center"/>
          <w:trHeight w:val="472"/>
        </w:trPr>
        <w:tc>
          <w:tcPr>
            <w:tcW w:w="721" w:type="dxa"/>
            <w:vAlign w:val="center"/>
            <w:vMerge w:val="restart"/>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r/>
          </w:p>
        </w:tc>
        <w:tc>
          <w:tcPr>
            <w:tcW w:w="2147" w:type="dxa"/>
            <w:vAlign w:val="center"/>
            <w:vMerge w:val="restart"/>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磋商保证金</w:t>
            </w:r>
            <w:r/>
          </w:p>
        </w:tc>
        <w:tc>
          <w:tcPr>
            <w:tcW w:w="6690" w:type="dxa"/>
            <w:vAlign w:val="center"/>
            <w:textDirection w:val="lrTb"/>
            <w:noWrap w:val="false"/>
          </w:tcPr>
          <w:p>
            <w:pPr>
              <w:spacing w:line="360" w:lineRule="auto"/>
              <w:widowControl/>
              <w:rPr>
                <w:rFonts w:hint="eastAsia" w:ascii="宋体" w:hAnsi="宋体" w:eastAsia="宋体" w:cs="宋体"/>
                <w:color w:val="auto"/>
                <w:sz w:val="22"/>
                <w:szCs w:val="22"/>
                <w:highlight w:val="none"/>
              </w:rPr>
            </w:pPr>
            <w:r>
              <w:rPr>
                <w:rFonts w:ascii="Wingdings 2" w:hAnsi="Wingdings 2" w:eastAsia="Wingdings 2" w:cs="Wingdings 2"/>
                <w:b/>
                <w:bCs/>
                <w:color w:val="auto"/>
                <w:sz w:val="22"/>
                <w:szCs w:val="22"/>
                <w:highlight w:val="none"/>
              </w:rPr>
              <w:t xml:space="preserve">R</w:t>
            </w:r>
            <w:r>
              <w:rPr>
                <w:rFonts w:hint="eastAsia" w:ascii="宋体" w:hAnsi="宋体" w:eastAsia="宋体" w:cs="宋体"/>
                <w:b/>
                <w:bCs/>
                <w:color w:val="auto"/>
                <w:sz w:val="22"/>
                <w:szCs w:val="22"/>
                <w:highlight w:val="none"/>
              </w:rPr>
              <w:t xml:space="preserve">不要求提供</w:t>
            </w:r>
            <w:r/>
          </w:p>
        </w:tc>
      </w:tr>
      <w:tr>
        <w:trPr>
          <w:jc w:val="center"/>
          <w:trHeight w:val="2011"/>
        </w:trPr>
        <w:tc>
          <w:tcPr>
            <w:tcW w:w="721" w:type="dxa"/>
            <w:vAlign w:val="center"/>
            <w:vMerge w:val="continue"/>
            <w:textDirection w:val="lrTb"/>
            <w:noWrap w:val="false"/>
          </w:tcPr>
          <w:p>
            <w:pPr>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7" w:type="dxa"/>
            <w:vAlign w:val="center"/>
            <w:vMerge w:val="continue"/>
            <w:textDirection w:val="lrTb"/>
            <w:noWrap w:val="false"/>
          </w:tcPr>
          <w:p>
            <w:pPr>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690" w:type="dxa"/>
            <w:vAlign w:val="center"/>
            <w:textDirection w:val="lrTb"/>
            <w:noWrap w:val="false"/>
          </w:tcPr>
          <w:p>
            <w:pPr>
              <w:spacing w:line="360" w:lineRule="auto"/>
              <w:widowControl/>
              <w:rPr>
                <w:rFonts w:hint="eastAsia" w:ascii="宋体" w:hAnsi="宋体" w:eastAsia="宋体" w:cs="宋体"/>
                <w:color w:val="auto"/>
                <w:sz w:val="22"/>
                <w:szCs w:val="22"/>
                <w:highlight w:val="none"/>
              </w:rPr>
            </w:pPr>
            <w:r>
              <w:rPr>
                <w:rFonts w:ascii="Wingdings 2" w:hAnsi="Wingdings 2" w:eastAsia="Wingdings 2" w:cs="Wingdings 2"/>
                <w:color w:val="auto"/>
                <w:sz w:val="22"/>
                <w:szCs w:val="22"/>
                <w:highlight w:val="none"/>
              </w:rPr>
              <w:t xml:space="preserve">£</w:t>
            </w:r>
            <w:r>
              <w:rPr>
                <w:rFonts w:hint="eastAsia" w:ascii="宋体" w:hAnsi="宋体" w:eastAsia="宋体" w:cs="宋体"/>
                <w:color w:val="auto"/>
                <w:sz w:val="22"/>
                <w:szCs w:val="22"/>
                <w:highlight w:val="none"/>
              </w:rPr>
              <w:t xml:space="preserve">要求提供。数额不得超过采购项目预算金额的2%，本项目的磋商保证金为人民币______元，提交方式为______。</w:t>
            </w:r>
            <w:r/>
          </w:p>
          <w:p>
            <w:pP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收款人户名：</w:t>
            </w:r>
            <w:r/>
          </w:p>
          <w:p>
            <w:pP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开户银行：</w:t>
            </w:r>
            <w:r/>
          </w:p>
          <w:p>
            <w:pP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银行账号：</w:t>
            </w:r>
            <w:r/>
          </w:p>
          <w:p>
            <w:pP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注：以电汇方式递交磋商保证金须在电汇凭据附言栏中写明项目编号、分包号及用途(磋商保证金)。</w:t>
            </w:r>
            <w:r/>
          </w:p>
        </w:tc>
      </w:tr>
      <w:tr>
        <w:trPr>
          <w:jc w:val="center"/>
          <w:trHeight w:val="1013"/>
        </w:trPr>
        <w:tc>
          <w:tcPr>
            <w:tcW w:w="721"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p>
        </w:tc>
        <w:tc>
          <w:tcPr>
            <w:tcW w:w="214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响应</w:t>
            </w:r>
            <w:r>
              <w:rPr>
                <w:rFonts w:hint="eastAsia" w:ascii="宋体" w:hAnsi="宋体" w:eastAsia="宋体" w:cs="宋体"/>
                <w:color w:val="auto"/>
                <w:sz w:val="22"/>
                <w:szCs w:val="22"/>
                <w:highlight w:val="none"/>
              </w:rPr>
              <w:t xml:space="preserve">文件接收</w:t>
            </w:r>
            <w:r>
              <w:rPr>
                <w:rFonts w:hint="eastAsia" w:ascii="宋体" w:hAnsi="宋体" w:eastAsia="宋体" w:cs="宋体"/>
                <w:color w:val="auto"/>
                <w:sz w:val="22"/>
                <w:szCs w:val="22"/>
                <w:highlight w:val="none"/>
                <w:lang w:val="en-US" w:eastAsia="zh-CN"/>
              </w:rPr>
              <w:t xml:space="preserve">截止时间</w:t>
            </w:r>
            <w:r/>
          </w:p>
        </w:tc>
        <w:tc>
          <w:tcPr>
            <w:tcW w:w="6690" w:type="dxa"/>
            <w:vAlign w:val="center"/>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响应</w:t>
            </w:r>
            <w:r>
              <w:rPr>
                <w:rFonts w:hint="eastAsia" w:ascii="宋体" w:hAnsi="宋体" w:eastAsia="宋体" w:cs="宋体"/>
                <w:color w:val="auto"/>
                <w:sz w:val="22"/>
                <w:szCs w:val="22"/>
                <w:highlight w:val="none"/>
              </w:rPr>
              <w:t xml:space="preserve">文件</w:t>
            </w:r>
            <w:r>
              <w:rPr>
                <w:rFonts w:hint="eastAsia" w:ascii="宋体" w:hAnsi="宋体" w:eastAsia="宋体" w:cs="宋体"/>
                <w:color w:val="auto"/>
                <w:sz w:val="22"/>
                <w:szCs w:val="22"/>
                <w:highlight w:val="none"/>
                <w:lang w:val="en-US" w:eastAsia="zh-CN"/>
              </w:rPr>
              <w:t xml:space="preserve">接收截止</w:t>
            </w:r>
            <w:r>
              <w:rPr>
                <w:rFonts w:hint="eastAsia" w:ascii="宋体" w:hAnsi="宋体" w:eastAsia="宋体" w:cs="宋体"/>
                <w:color w:val="auto"/>
                <w:sz w:val="22"/>
                <w:szCs w:val="22"/>
                <w:highlight w:val="none"/>
              </w:rPr>
              <w:t xml:space="preserve">时间：</w:t>
            </w:r>
            <w:r>
              <w:rPr>
                <w:rFonts w:hint="eastAsia" w:ascii="宋体" w:hAnsi="宋体" w:eastAsia="宋体" w:cs="宋体"/>
                <w:b/>
                <w:bCs/>
                <w:color w:val="auto"/>
                <w:sz w:val="22"/>
                <w:szCs w:val="22"/>
                <w:highlight w:val="none"/>
                <w:lang w:eastAsia="zh-CN"/>
              </w:rPr>
              <w:t xml:space="preserve">202</w:t>
            </w:r>
            <w:r>
              <w:rPr>
                <w:rFonts w:hint="eastAsia" w:ascii="宋体" w:hAnsi="宋体" w:cs="宋体"/>
                <w:b/>
                <w:bCs/>
                <w:color w:val="auto"/>
                <w:sz w:val="22"/>
                <w:szCs w:val="22"/>
                <w:highlight w:val="none"/>
                <w:lang w:val="en-US" w:eastAsia="zh-CN"/>
              </w:rPr>
              <w:t xml:space="preserve">6</w:t>
            </w:r>
            <w:r>
              <w:rPr>
                <w:rFonts w:hint="eastAsia" w:ascii="宋体" w:hAnsi="宋体" w:eastAsia="宋体" w:cs="宋体"/>
                <w:b/>
                <w:bCs/>
                <w:color w:val="auto"/>
                <w:sz w:val="22"/>
                <w:szCs w:val="22"/>
                <w:highlight w:val="none"/>
                <w:lang w:eastAsia="zh-CN"/>
              </w:rPr>
              <w:t xml:space="preserve">年</w:t>
            </w:r>
            <w:r>
              <w:rPr>
                <w:rFonts w:hint="eastAsia" w:ascii="宋体" w:hAnsi="宋体" w:eastAsia="宋体" w:cs="宋体"/>
                <w:b/>
                <w:bCs/>
                <w:color w:val="auto"/>
                <w:sz w:val="22"/>
                <w:szCs w:val="22"/>
                <w:highlight w:val="none"/>
                <w:lang w:val="en-US" w:eastAsia="zh-CN"/>
              </w:rPr>
              <w:t xml:space="preserve">06</w:t>
            </w:r>
            <w:r>
              <w:rPr>
                <w:rFonts w:hint="eastAsia" w:ascii="宋体" w:hAnsi="宋体" w:eastAsia="宋体" w:cs="宋体"/>
                <w:b/>
                <w:bCs/>
                <w:color w:val="auto"/>
                <w:sz w:val="22"/>
                <w:szCs w:val="22"/>
                <w:highlight w:val="none"/>
                <w:lang w:eastAsia="zh-CN"/>
              </w:rPr>
              <w:t xml:space="preserve">月</w:t>
            </w:r>
            <w:r>
              <w:rPr>
                <w:rFonts w:hint="eastAsia" w:ascii="宋体" w:hAnsi="宋体" w:eastAsia="宋体" w:cs="宋体"/>
                <w:b/>
                <w:bCs/>
                <w:color w:val="auto"/>
                <w:sz w:val="22"/>
                <w:szCs w:val="22"/>
                <w:highlight w:val="none"/>
                <w:lang w:val="en-US" w:eastAsia="zh-CN"/>
              </w:rPr>
              <w:t xml:space="preserve">22</w:t>
            </w:r>
            <w:r>
              <w:rPr>
                <w:rFonts w:hint="eastAsia" w:ascii="宋体" w:hAnsi="宋体" w:eastAsia="宋体" w:cs="宋体"/>
                <w:b/>
                <w:bCs/>
                <w:color w:val="auto"/>
                <w:sz w:val="22"/>
                <w:szCs w:val="22"/>
                <w:highlight w:val="none"/>
                <w:lang w:eastAsia="zh-CN"/>
              </w:rPr>
              <w:t xml:space="preserve">日</w:t>
            </w:r>
            <w:r>
              <w:rPr>
                <w:rFonts w:hint="eastAsia" w:ascii="宋体" w:hAnsi="宋体" w:eastAsia="宋体" w:cs="宋体"/>
                <w:b/>
                <w:bCs/>
                <w:color w:val="auto"/>
                <w:sz w:val="22"/>
                <w:szCs w:val="22"/>
                <w:highlight w:val="none"/>
                <w:lang w:val="en-US" w:eastAsia="zh-CN"/>
              </w:rPr>
              <w:t xml:space="preserve">10</w:t>
            </w:r>
            <w:r>
              <w:rPr>
                <w:rFonts w:hint="eastAsia" w:ascii="宋体" w:hAnsi="宋体" w:eastAsia="宋体" w:cs="宋体"/>
                <w:b/>
                <w:bCs/>
                <w:color w:val="auto"/>
                <w:sz w:val="22"/>
                <w:szCs w:val="22"/>
                <w:highlight w:val="none"/>
                <w:lang w:eastAsia="zh-CN"/>
              </w:rPr>
              <w:t xml:space="preserve">时</w:t>
            </w:r>
            <w:r>
              <w:rPr>
                <w:rFonts w:hint="eastAsia" w:ascii="宋体" w:hAnsi="宋体" w:eastAsia="宋体" w:cs="宋体"/>
                <w:b/>
                <w:bCs/>
                <w:color w:val="auto"/>
                <w:sz w:val="22"/>
                <w:szCs w:val="22"/>
                <w:highlight w:val="none"/>
                <w:lang w:val="en-US" w:eastAsia="zh-CN"/>
              </w:rPr>
              <w:t xml:space="preserve">00</w:t>
            </w:r>
            <w:r>
              <w:rPr>
                <w:rFonts w:hint="eastAsia" w:ascii="宋体" w:hAnsi="宋体" w:eastAsia="宋体" w:cs="宋体"/>
                <w:b/>
                <w:bCs/>
                <w:color w:val="auto"/>
                <w:sz w:val="22"/>
                <w:szCs w:val="22"/>
                <w:highlight w:val="none"/>
                <w:lang w:eastAsia="zh-CN"/>
              </w:rPr>
              <w:t xml:space="preserve">分</w:t>
            </w:r>
            <w:r>
              <w:rPr>
                <w:rFonts w:hint="eastAsia" w:ascii="宋体" w:hAnsi="宋体" w:eastAsia="宋体" w:cs="宋体"/>
                <w:b w:val="0"/>
                <w:bCs w:val="0"/>
                <w:color w:val="auto"/>
                <w:sz w:val="22"/>
                <w:szCs w:val="22"/>
                <w:highlight w:val="none"/>
              </w:rPr>
              <w:t xml:space="preserve">（北京时间）</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接收地点：江苏省政府采购管理交易系统（苏采云）（以下简称“苏采云”）（网址：http://jszfcg.jsczt.cn/）。</w:t>
            </w:r>
            <w:r/>
          </w:p>
        </w:tc>
      </w:tr>
      <w:tr>
        <w:trPr>
          <w:jc w:val="center"/>
          <w:trHeight w:val="1000"/>
        </w:trPr>
        <w:tc>
          <w:tcPr>
            <w:tcW w:w="721"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tcW w:w="214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响应</w:t>
            </w:r>
            <w:r>
              <w:rPr>
                <w:rFonts w:hint="eastAsia" w:ascii="宋体" w:hAnsi="宋体" w:eastAsia="宋体" w:cs="宋体"/>
                <w:color w:val="auto"/>
                <w:sz w:val="22"/>
                <w:szCs w:val="22"/>
                <w:highlight w:val="none"/>
              </w:rPr>
              <w:t xml:space="preserve">文件</w:t>
            </w:r>
            <w:r>
              <w:rPr>
                <w:rFonts w:hint="eastAsia" w:ascii="宋体" w:hAnsi="宋体" w:eastAsia="宋体" w:cs="宋体"/>
                <w:color w:val="auto"/>
                <w:sz w:val="22"/>
                <w:szCs w:val="22"/>
                <w:highlight w:val="none"/>
                <w:lang w:val="en-US" w:eastAsia="zh-CN"/>
              </w:rPr>
              <w:t xml:space="preserve">解密开始时间</w:t>
            </w:r>
            <w:r/>
          </w:p>
        </w:tc>
        <w:tc>
          <w:tcPr>
            <w:tcW w:w="6690" w:type="dxa"/>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响应</w:t>
            </w:r>
            <w:r>
              <w:rPr>
                <w:rFonts w:hint="eastAsia" w:ascii="宋体" w:hAnsi="宋体" w:eastAsia="宋体" w:cs="宋体"/>
                <w:color w:val="auto"/>
                <w:sz w:val="22"/>
                <w:szCs w:val="22"/>
                <w:highlight w:val="none"/>
              </w:rPr>
              <w:t xml:space="preserve">文件解密开始时间：</w:t>
            </w:r>
            <w:r>
              <w:rPr>
                <w:rFonts w:hint="eastAsia" w:ascii="宋体" w:hAnsi="宋体" w:eastAsia="宋体" w:cs="宋体"/>
                <w:b/>
                <w:bCs/>
                <w:color w:val="auto"/>
                <w:sz w:val="22"/>
                <w:szCs w:val="22"/>
                <w:highlight w:val="none"/>
                <w:lang w:val="en-US" w:eastAsia="zh-CN"/>
              </w:rPr>
              <w:t xml:space="preserve">2026年06月22日10时00分</w:t>
            </w:r>
            <w:r>
              <w:rPr>
                <w:rFonts w:hint="eastAsia" w:ascii="宋体" w:hAnsi="宋体" w:eastAsia="宋体" w:cs="宋体"/>
                <w:color w:val="auto"/>
                <w:sz w:val="22"/>
                <w:szCs w:val="22"/>
                <w:highlight w:val="none"/>
              </w:rPr>
              <w:t xml:space="preserve">（北京时间）</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解密地点：江苏省政府采购交易系统（以下简称“苏采云系统”）网上开标大厅（网址：http://jszfcg.jsczt.cn/）。</w:t>
            </w:r>
            <w:r/>
          </w:p>
        </w:tc>
      </w:tr>
      <w:tr>
        <w:trPr>
          <w:jc w:val="center"/>
          <w:trHeight w:val="341"/>
        </w:trPr>
        <w:tc>
          <w:tcPr>
            <w:tcW w:w="721"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p>
        </w:tc>
        <w:tc>
          <w:tcPr>
            <w:tcW w:w="2147"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响应文件数量</w:t>
            </w:r>
            <w:r/>
          </w:p>
        </w:tc>
        <w:tc>
          <w:tcPr>
            <w:tcW w:w="6690" w:type="dxa"/>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w:t>
            </w:r>
            <w:r>
              <w:rPr>
                <w:rFonts w:hint="eastAsia" w:ascii="宋体" w:hAnsi="宋体" w:eastAsia="宋体" w:cs="宋体"/>
                <w:color w:val="auto"/>
                <w:sz w:val="22"/>
                <w:szCs w:val="22"/>
                <w:highlight w:val="none"/>
                <w:lang w:val="en-US" w:eastAsia="zh-CN"/>
              </w:rPr>
              <w:t xml:space="preserve">响应</w:t>
            </w:r>
            <w:r>
              <w:rPr>
                <w:rFonts w:hint="eastAsia" w:ascii="宋体" w:hAnsi="宋体" w:eastAsia="宋体" w:cs="宋体"/>
                <w:color w:val="auto"/>
                <w:sz w:val="22"/>
                <w:szCs w:val="22"/>
                <w:highlight w:val="none"/>
              </w:rPr>
              <w:t xml:space="preserve">文件：1份。</w:t>
            </w:r>
            <w:r/>
          </w:p>
        </w:tc>
      </w:tr>
      <w:tr>
        <w:trPr>
          <w:jc w:val="center"/>
          <w:trHeight w:val="341"/>
        </w:trPr>
        <w:tc>
          <w:tcPr>
            <w:tcW w:w="721"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w:t>
            </w:r>
            <w:r/>
          </w:p>
        </w:tc>
        <w:tc>
          <w:tcPr>
            <w:tcW w:w="2147"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响应文件有效期</w:t>
            </w:r>
            <w:r/>
          </w:p>
        </w:tc>
        <w:tc>
          <w:tcPr>
            <w:tcW w:w="6690" w:type="dxa"/>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响应截止时间后</w:t>
            </w:r>
            <w:r>
              <w:rPr>
                <w:rFonts w:hint="eastAsia" w:ascii="宋体" w:hAnsi="宋体" w:eastAsia="宋体" w:cs="宋体"/>
                <w:color w:val="auto"/>
                <w:sz w:val="22"/>
                <w:szCs w:val="22"/>
                <w:highlight w:val="none"/>
                <w:lang w:val="en-US" w:eastAsia="zh-CN"/>
              </w:rPr>
              <w:t xml:space="preserve">60</w:t>
            </w:r>
            <w:r>
              <w:rPr>
                <w:rFonts w:hint="eastAsia" w:ascii="宋体" w:hAnsi="宋体" w:eastAsia="宋体" w:cs="宋体"/>
                <w:color w:val="auto"/>
                <w:sz w:val="22"/>
                <w:szCs w:val="22"/>
                <w:highlight w:val="none"/>
              </w:rPr>
              <w:t xml:space="preserve">天。</w:t>
            </w:r>
            <w:r/>
          </w:p>
        </w:tc>
      </w:tr>
      <w:tr>
        <w:trPr>
          <w:jc w:val="center"/>
          <w:trHeight w:val="2156"/>
        </w:trPr>
        <w:tc>
          <w:tcPr>
            <w:tcW w:w="721"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p>
        </w:tc>
        <w:tc>
          <w:tcPr>
            <w:tcW w:w="2147"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招标代理服务费</w:t>
            </w:r>
            <w:r/>
          </w:p>
        </w:tc>
        <w:tc>
          <w:tcPr>
            <w:tcW w:w="6690" w:type="dxa"/>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本项目招标代理服务费和专家评审费由采购人支付。</w:t>
            </w:r>
            <w:r/>
          </w:p>
        </w:tc>
      </w:tr>
    </w:tbl>
    <w:p>
      <w:pPr>
        <w:ind w:firstLine="2040"/>
        <w:spacing w:after="145" w:line="360" w:lineRule="auto"/>
        <w:rPr>
          <w:rFonts w:hint="eastAsia" w:ascii="黑体" w:hAnsi="黑体" w:eastAsia="黑体" w:cs="黑体"/>
          <w:b/>
          <w:bCs/>
          <w:color w:val="auto"/>
          <w:sz w:val="24"/>
          <w:highlight w:val="none"/>
        </w:rPr>
      </w:pPr>
      <w:r/>
      <w:bookmarkStart w:id="165" w:name="_Toc1000"/>
      <w:r>
        <w:rPr>
          <w:rFonts w:hint="eastAsia" w:ascii="黑体" w:hAnsi="黑体" w:eastAsia="黑体" w:cs="黑体"/>
          <w:bCs/>
          <w:color w:val="auto"/>
          <w:sz w:val="24"/>
          <w:highlight w:val="none"/>
        </w:rPr>
        <w:br w:type="page" w:clear="all"/>
      </w:r>
      <w:r>
        <w:rPr>
          <w:rFonts w:hint="eastAsia" w:ascii="黑体" w:hAnsi="黑体" w:eastAsia="黑体" w:cs="黑体"/>
          <w:bCs/>
          <w:color w:val="auto"/>
          <w:sz w:val="24"/>
          <w:highlight w:val="none"/>
        </w:rPr>
        <w:t xml:space="preserve">（参加竞争性磋商的供应商以下简称“磋商供应商”）</w:t>
      </w:r>
      <w:r/>
    </w:p>
    <w:p>
      <w:pPr>
        <w:pStyle w:val="1137"/>
        <w:ind w:firstLine="434"/>
        <w:spacing w:before="0" w:after="0" w:line="360" w:lineRule="auto"/>
        <w:rPr>
          <w:rFonts w:hint="eastAsia" w:ascii="黑体" w:hAnsi="黑体" w:eastAsia="黑体" w:cs="黑体"/>
          <w:b w:val="0"/>
          <w:bCs w:val="0"/>
          <w:color w:val="auto"/>
          <w:sz w:val="28"/>
          <w:szCs w:val="28"/>
          <w:highlight w:val="none"/>
        </w:rPr>
      </w:pPr>
      <w:r/>
      <w:bookmarkStart w:id="166" w:name="_Toc5735"/>
      <w:r>
        <w:rPr>
          <w:rFonts w:hint="eastAsia" w:ascii="黑体" w:hAnsi="黑体" w:eastAsia="黑体" w:cs="黑体"/>
          <w:b w:val="0"/>
          <w:bCs w:val="0"/>
          <w:color w:val="auto"/>
          <w:sz w:val="28"/>
          <w:szCs w:val="28"/>
          <w:highlight w:val="none"/>
        </w:rPr>
        <w:t xml:space="preserve">一、总则</w:t>
      </w:r>
      <w:bookmarkEnd w:id="160"/>
      <w:r/>
      <w:bookmarkEnd w:id="161"/>
      <w:r/>
      <w:bookmarkEnd w:id="162"/>
      <w:r/>
      <w:bookmarkEnd w:id="163"/>
      <w:r/>
      <w:bookmarkEnd w:id="164"/>
      <w:r/>
      <w:bookmarkEnd w:id="165"/>
      <w:r/>
      <w:bookmarkEnd w:id="166"/>
      <w:r/>
      <w:r/>
    </w:p>
    <w:p>
      <w:pPr>
        <w:pStyle w:val="1138"/>
        <w:ind w:firstLine="361"/>
        <w:spacing w:before="0" w:after="0" w:line="240" w:lineRule="auto"/>
        <w:rPr>
          <w:rFonts w:hint="eastAsia" w:ascii="宋体" w:hAnsi="宋体" w:eastAsia="宋体" w:cs="宋体"/>
          <w:color w:val="auto"/>
          <w:sz w:val="24"/>
          <w:szCs w:val="24"/>
          <w:highlight w:val="none"/>
        </w:rPr>
      </w:pPr>
      <w:r/>
      <w:bookmarkStart w:id="167" w:name="_Hlt16619475"/>
      <w:r/>
      <w:bookmarkEnd w:id="167"/>
      <w:r/>
      <w:bookmarkStart w:id="168" w:name="_Toc458694821"/>
      <w:r/>
      <w:bookmarkStart w:id="169" w:name="_Toc513029204"/>
      <w:r/>
      <w:bookmarkStart w:id="170" w:name="_Toc16938520"/>
      <w:r/>
      <w:bookmarkStart w:id="171" w:name="_Toc20823276"/>
      <w:r>
        <w:rPr>
          <w:rFonts w:hint="eastAsia" w:ascii="宋体" w:hAnsi="宋体" w:eastAsia="宋体" w:cs="宋体"/>
          <w:color w:val="auto"/>
          <w:sz w:val="24"/>
          <w:szCs w:val="24"/>
          <w:highlight w:val="none"/>
        </w:rPr>
        <w:t xml:space="preserve">1</w:t>
      </w:r>
      <w:bookmarkEnd w:id="168"/>
      <w:r>
        <w:rPr>
          <w:rFonts w:hint="eastAsia" w:ascii="宋体" w:hAnsi="宋体" w:eastAsia="宋体" w:cs="宋体"/>
          <w:color w:val="auto"/>
          <w:sz w:val="24"/>
          <w:szCs w:val="24"/>
          <w:highlight w:val="none"/>
        </w:rPr>
        <w:t xml:space="preserve">.</w:t>
      </w:r>
      <w:bookmarkEnd w:id="169"/>
      <w:r/>
      <w:bookmarkEnd w:id="170"/>
      <w:r/>
      <w:bookmarkEnd w:id="171"/>
      <w:r>
        <w:rPr>
          <w:rFonts w:hint="eastAsia" w:ascii="宋体" w:hAnsi="宋体" w:eastAsia="宋体" w:cs="宋体"/>
          <w:color w:val="auto"/>
          <w:sz w:val="24"/>
          <w:szCs w:val="24"/>
          <w:highlight w:val="none"/>
          <w:lang w:eastAsia="zh-CN"/>
        </w:rPr>
        <w:t xml:space="preserve">采购方式</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本次采取竞争性磋商的方式，本竞争性磋商文件（以下简称磋商文件）仅适用此项目。</w:t>
      </w:r>
      <w:r/>
    </w:p>
    <w:p>
      <w:pPr>
        <w:pStyle w:val="1138"/>
        <w:ind w:firstLine="361"/>
        <w:spacing w:before="0" w:after="0" w:line="240" w:lineRule="auto"/>
        <w:rPr>
          <w:rFonts w:hint="eastAsia" w:ascii="宋体" w:hAnsi="宋体" w:eastAsia="宋体" w:cs="宋体"/>
          <w:color w:val="auto"/>
          <w:sz w:val="24"/>
          <w:szCs w:val="24"/>
          <w:highlight w:val="none"/>
        </w:rPr>
      </w:pPr>
      <w:r/>
      <w:bookmarkStart w:id="172" w:name="_Toc16938521"/>
      <w:r/>
      <w:bookmarkStart w:id="173" w:name="_Toc20823277"/>
      <w:r/>
      <w:bookmarkStart w:id="174" w:name="_Toc513029205"/>
      <w:r>
        <w:rPr>
          <w:rFonts w:hint="eastAsia" w:ascii="宋体" w:hAnsi="宋体" w:eastAsia="宋体" w:cs="宋体"/>
          <w:color w:val="auto"/>
          <w:sz w:val="24"/>
          <w:szCs w:val="24"/>
          <w:highlight w:val="none"/>
        </w:rPr>
        <w:t xml:space="preserve">2.合格的</w:t>
      </w:r>
      <w:bookmarkEnd w:id="172"/>
      <w:r/>
      <w:bookmarkEnd w:id="173"/>
      <w:r/>
      <w:bookmarkEnd w:id="174"/>
      <w:r>
        <w:rPr>
          <w:rFonts w:hint="eastAsia" w:ascii="宋体" w:hAnsi="宋体" w:eastAsia="宋体" w:cs="宋体"/>
          <w:color w:val="auto"/>
          <w:sz w:val="24"/>
          <w:szCs w:val="24"/>
          <w:highlight w:val="none"/>
        </w:rPr>
        <w:t xml:space="preserve">磋商供应商</w:t>
      </w:r>
      <w:r/>
    </w:p>
    <w:p>
      <w:pPr>
        <w:ind w:firstLine="440"/>
        <w:spacing w:line="288" w:lineRule="auto"/>
        <w:rPr>
          <w:rFonts w:hint="eastAsia" w:ascii="宋体" w:hAnsi="宋体" w:eastAsia="宋体" w:cs="宋体"/>
          <w:color w:val="auto"/>
          <w:sz w:val="22"/>
          <w:szCs w:val="22"/>
          <w:highlight w:val="none"/>
        </w:rPr>
      </w:pPr>
      <w:r/>
      <w:bookmarkStart w:id="175" w:name="_Toc20823278"/>
      <w:r/>
      <w:bookmarkStart w:id="176" w:name="_Toc513029206"/>
      <w:r/>
      <w:bookmarkStart w:id="177" w:name="_Toc16938522"/>
      <w:r>
        <w:rPr>
          <w:rFonts w:hint="eastAsia" w:ascii="宋体" w:hAnsi="宋体" w:eastAsia="宋体" w:cs="宋体"/>
          <w:color w:val="auto"/>
          <w:sz w:val="22"/>
          <w:szCs w:val="22"/>
          <w:highlight w:val="none"/>
        </w:rPr>
        <w:t xml:space="preserve">2.1满足本磋商文件“磋商邀请”中供应商资格要求的规定。</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满足本磋商文件实质性要求和条件的规定。</w:t>
      </w:r>
      <w:r/>
    </w:p>
    <w:p>
      <w:pPr>
        <w:pStyle w:val="1138"/>
        <w:ind w:firstLine="361"/>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3.适用法律</w:t>
      </w:r>
      <w:bookmarkEnd w:id="175"/>
      <w:r/>
      <w:bookmarkEnd w:id="176"/>
      <w:r/>
      <w:bookmarkEnd w:id="177"/>
      <w:r/>
      <w:r/>
    </w:p>
    <w:p>
      <w:pPr>
        <w:ind w:firstLine="440"/>
        <w:spacing w:line="288" w:lineRule="auto"/>
        <w:rPr>
          <w:rFonts w:hint="eastAsia" w:ascii="宋体" w:hAnsi="宋体" w:eastAsia="宋体" w:cs="宋体"/>
          <w:color w:val="auto"/>
          <w:sz w:val="22"/>
          <w:szCs w:val="22"/>
          <w:highlight w:val="none"/>
        </w:rPr>
      </w:pPr>
      <w:r/>
      <w:bookmarkStart w:id="178" w:name="_Toc462564067"/>
      <w:r/>
      <w:bookmarkStart w:id="179" w:name="_Toc513029207"/>
      <w:r/>
      <w:bookmarkStart w:id="180" w:name="_Toc20823279"/>
      <w:r/>
      <w:bookmarkStart w:id="181" w:name="_Toc16938523"/>
      <w:r>
        <w:rPr>
          <w:rFonts w:hint="eastAsia" w:ascii="宋体" w:hAnsi="宋体" w:eastAsia="宋体" w:cs="宋体"/>
          <w:color w:val="auto"/>
          <w:sz w:val="22"/>
          <w:szCs w:val="22"/>
          <w:highlight w:val="none"/>
        </w:rPr>
        <w:t xml:space="preserve">3.1</w:t>
      </w:r>
      <w:r>
        <w:rPr>
          <w:rFonts w:hint="eastAsia" w:ascii="宋体" w:hAnsi="宋体" w:eastAsia="宋体" w:cs="宋体"/>
          <w:color w:val="auto"/>
          <w:sz w:val="22"/>
          <w:szCs w:val="22"/>
          <w:highlight w:val="none"/>
          <w:lang w:val="zh-CN"/>
        </w:rPr>
        <w:t xml:space="preserve">《中华人民共和国政府采购法》、《中华人民共和国政府采购法实施条例》、《政府采购竞争性磋商采购方式管理暂行办法》等有关法律、规章和规定等。</w:t>
      </w:r>
      <w:r/>
    </w:p>
    <w:p>
      <w:pPr>
        <w:pStyle w:val="1138"/>
        <w:ind w:firstLine="361"/>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4.政策功能</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政府采购促进中小企业发展，在政府采购活动中，供应商提供的服务符合下列情形的，享受中小企业扶持政策：</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（1）在服务采购项目中，服务由中小企业承接，即提供服务的人员为中小企业依照《中华人民共和国劳动合同法》订立劳动合同的从业人员。</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（2）以联合体形式参加政府采购活动，联合体各方均为中小企业的，联合体视同中小企业。其中，联合体各方均为小微企业的，联合体视同小微企业。</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（3）中小企业供应商参加政府采购活动，应当出具《中小企业声明函》(格式见后附件)，否则不得享受相关中小企业扶持政策。</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（4）中小企业，是指在中华人民共和国境内依法设立，依据国务院批准的中小企业划分标准(详见《关于印发中小企业划型标准规定的通知》工信部联企业〔2011〕300 号及《国家 统计局关于印发〈统计上大</w:t>
      </w:r>
      <w:r>
        <w:rPr>
          <w:rFonts w:hint="eastAsia" w:ascii="宋体" w:hAnsi="宋体" w:eastAsia="宋体" w:cs="宋体"/>
          <w:color w:val="auto"/>
          <w:sz w:val="22"/>
          <w:szCs w:val="22"/>
          <w:highlight w:val="none"/>
          <w:lang w:eastAsia="zh-CN"/>
        </w:rPr>
        <w:t xml:space="preserve">中小</w:t>
      </w:r>
      <w:r>
        <w:rPr>
          <w:rFonts w:hint="eastAsia" w:ascii="宋体" w:hAnsi="宋体" w:eastAsia="宋体" w:cs="宋体"/>
          <w:color w:val="auto"/>
          <w:sz w:val="22"/>
          <w:szCs w:val="22"/>
          <w:highlight w:val="none"/>
        </w:rPr>
        <w:t xml:space="preserve">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政府采购支持监狱和戒毒企业发展政策，监狱和戒毒企业提供的产品和服务在评审时 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 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 号。</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4.5 提供的产品属于信息安全产品的，供应商应当选择经国家认证的信息安全产品投标，并提供由中国信息安全认证中心按国家标准认证颁发的有效认证证书复印件。</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4.6 提供的产品属于政府强制采购节能产品的，供应商应当选择依据国家标准中二级能效 (水效)指标认证的节能产品投标，并提供有效的节能产品认证证书复印件。</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4.7 提供的产品属于环境标志产品的,供应商应当选择依据相关标准的最新版本认证的环境标志产品投标,并提供有效的环境标志产品认证证书复印件。</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4.8根据《国务院办公厅关于在政府采购中实施本国产品标准及相关政策的通知》（国办发〔2025〕34号），鼓励供应商提供本国产品参加本项目采购活动。</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（1）既有本国产品又有非本国产品参与竞争的，对本国产品的报价给予20%的价格扣除，用扣除后的价格参与评审；</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（2）采购项目或采购包中含有多种产品，</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提供的本国产品成本之和占该</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提供的全部产品成本之和的比例达到80%以上时，对该</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提供的全部产品的总报价给予20%的价格扣除，用扣除后的价格参与评审。</w:t>
      </w:r>
      <w:r/>
    </w:p>
    <w:p>
      <w:pPr>
        <w:ind w:firstLine="440"/>
        <w:spacing w:line="288" w:lineRule="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评审中需对供应商出具的《关于符合本国产品标准的声明函》进行审查，审查要</w:t>
      </w:r>
      <w:r>
        <w:rPr>
          <w:rFonts w:hint="eastAsia" w:ascii="宋体" w:hAnsi="宋体" w:eastAsia="宋体" w:cs="宋体"/>
          <w:color w:val="auto"/>
          <w:sz w:val="22"/>
          <w:szCs w:val="22"/>
          <w:highlight w:val="none"/>
        </w:rPr>
        <w:t xml:space="preserve">求按照《关于贯彻落实〈国务院办公厅关于在政府采购中实施本国产品标准及相关政策的通知〉的意见》（财库〔2025〕30号）执行。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要求的，供应商提供的相关产品视为不符合本国产品标准。</w:t>
      </w:r>
      <w:r/>
    </w:p>
    <w:p>
      <w:pPr>
        <w:ind w:firstLine="440"/>
        <w:spacing w:line="288" w:lineRule="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4.9</w:t>
      </w:r>
      <w:bookmarkStart w:id="333" w:name="_GoBack"/>
      <w:r/>
      <w:bookmarkEnd w:id="333"/>
      <w:r>
        <w:rPr>
          <w:rFonts w:hint="eastAsia" w:ascii="宋体" w:hAnsi="宋体" w:eastAsia="宋体" w:cs="宋体"/>
          <w:color w:val="auto"/>
          <w:sz w:val="22"/>
          <w:szCs w:val="22"/>
          <w:highlight w:val="none"/>
        </w:rPr>
        <w:t xml:space="preserve">未按要求提供相关材料的，不享受相关政策。</w:t>
      </w:r>
      <w:r/>
    </w:p>
    <w:p>
      <w:pPr>
        <w:pStyle w:val="1138"/>
        <w:ind w:firstLine="361"/>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5.磋商费用</w:t>
      </w:r>
      <w:bookmarkEnd w:id="178"/>
      <w:r/>
      <w:bookmarkEnd w:id="179"/>
      <w:r/>
      <w:bookmarkEnd w:id="180"/>
      <w:r/>
      <w:bookmarkEnd w:id="181"/>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5.1供应商应承担所有与准备和参加磋商有关的费用，无论磋商结果如何，江苏柒采招标代理有限公司（以下简称招标代理）和采购人在任何情况下均无义务和责任承担这些费用。</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5.2本次招标代理收取标书工本费与成交服务费，具体详见第一章 磋商邀请及第二章 供应商须知前附表。 </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5.3本次采购专家评审费按实际发生收取。</w:t>
      </w:r>
      <w:r/>
    </w:p>
    <w:p>
      <w:pPr>
        <w:pStyle w:val="1138"/>
        <w:ind w:firstLine="361"/>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6.磋商文件的约束力</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供应商一旦参加本项目采购活动，即被认为接受了本磋商文件的规定和约束。</w:t>
      </w:r>
      <w:r/>
    </w:p>
    <w:p>
      <w:pPr>
        <w:pStyle w:val="1137"/>
        <w:ind w:firstLine="434"/>
        <w:spacing w:before="0" w:after="0" w:line="360" w:lineRule="auto"/>
        <w:rPr>
          <w:rFonts w:hint="eastAsia" w:ascii="黑体" w:hAnsi="黑体" w:eastAsia="黑体" w:cs="黑体"/>
          <w:b w:val="0"/>
          <w:bCs w:val="0"/>
          <w:color w:val="auto"/>
          <w:sz w:val="28"/>
          <w:szCs w:val="28"/>
          <w:highlight w:val="none"/>
        </w:rPr>
      </w:pPr>
      <w:r/>
      <w:bookmarkStart w:id="182" w:name="_Toc16938525"/>
      <w:r/>
      <w:bookmarkStart w:id="183" w:name="_Toc20823281"/>
      <w:r/>
      <w:bookmarkStart w:id="184" w:name="_Toc513029209"/>
      <w:r/>
      <w:bookmarkStart w:id="185" w:name="_Toc120614215"/>
      <w:r/>
      <w:bookmarkStart w:id="186" w:name="_Toc11598"/>
      <w:r/>
      <w:bookmarkStart w:id="187" w:name="_Toc29366"/>
      <w:r/>
      <w:bookmarkStart w:id="188" w:name="_Toc14044"/>
      <w:r>
        <w:rPr>
          <w:rFonts w:hint="eastAsia" w:ascii="黑体" w:hAnsi="黑体" w:eastAsia="黑体" w:cs="黑体"/>
          <w:b w:val="0"/>
          <w:bCs w:val="0"/>
          <w:color w:val="auto"/>
          <w:sz w:val="28"/>
          <w:szCs w:val="28"/>
          <w:highlight w:val="none"/>
        </w:rPr>
        <w:t xml:space="preserve">二、</w:t>
      </w:r>
      <w:bookmarkEnd w:id="182"/>
      <w:r/>
      <w:bookmarkEnd w:id="183"/>
      <w:r/>
      <w:bookmarkEnd w:id="184"/>
      <w:r/>
      <w:bookmarkEnd w:id="185"/>
      <w:r/>
      <w:bookmarkEnd w:id="186"/>
      <w:r/>
      <w:bookmarkEnd w:id="187"/>
      <w:r>
        <w:rPr>
          <w:rFonts w:hint="eastAsia" w:ascii="黑体" w:hAnsi="黑体" w:eastAsia="黑体" w:cs="黑体"/>
          <w:b w:val="0"/>
          <w:bCs w:val="0"/>
          <w:color w:val="auto"/>
          <w:sz w:val="28"/>
          <w:szCs w:val="28"/>
          <w:highlight w:val="none"/>
        </w:rPr>
        <w:t xml:space="preserve">磋商文件</w:t>
      </w:r>
      <w:bookmarkEnd w:id="188"/>
      <w:r/>
      <w:r/>
    </w:p>
    <w:p>
      <w:pPr>
        <w:pStyle w:val="1138"/>
        <w:ind w:firstLine="361"/>
        <w:spacing w:before="0" w:after="0" w:line="240" w:lineRule="auto"/>
        <w:rPr>
          <w:rFonts w:hint="eastAsia" w:ascii="宋体" w:hAnsi="宋体" w:eastAsia="宋体" w:cs="宋体"/>
          <w:color w:val="auto"/>
          <w:sz w:val="24"/>
          <w:szCs w:val="24"/>
          <w:highlight w:val="none"/>
        </w:rPr>
      </w:pPr>
      <w:r/>
      <w:bookmarkStart w:id="189" w:name="_Toc16938526"/>
      <w:r/>
      <w:bookmarkStart w:id="190" w:name="_Toc513029210"/>
      <w:r/>
      <w:bookmarkStart w:id="191" w:name="_Toc20823282"/>
      <w:r>
        <w:rPr>
          <w:rFonts w:hint="eastAsia" w:ascii="宋体" w:hAnsi="宋体" w:eastAsia="宋体" w:cs="宋体"/>
          <w:color w:val="auto"/>
          <w:sz w:val="24"/>
          <w:szCs w:val="24"/>
          <w:highlight w:val="none"/>
        </w:rPr>
        <w:t xml:space="preserve">7.磋商文件构成</w:t>
      </w:r>
      <w:bookmarkEnd w:id="189"/>
      <w:r/>
      <w:bookmarkEnd w:id="190"/>
      <w:r/>
      <w:bookmarkEnd w:id="191"/>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磋商文件由以下部分组成：</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（1）磋商邀请</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（2）供应商须知</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（3）合同文本</w:t>
      </w:r>
      <w:r/>
    </w:p>
    <w:p>
      <w:pPr>
        <w:ind w:firstLine="440"/>
        <w:spacing w:line="288"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eastAsia="zh-CN"/>
        </w:rPr>
        <w:t xml:space="preserve">采购需求</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（5）评审方法与评审标准</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（6）响应文件格式</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请仔细检查磋商文件是否齐全，如有缺漏请立即与招标代理联系解决。</w:t>
      </w:r>
      <w:r/>
    </w:p>
    <w:p>
      <w:pPr>
        <w:ind w:firstLine="440"/>
        <w:spacing w:line="288" w:lineRule="auto"/>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rPr>
        <w:t xml:space="preserve">7.2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138"/>
        <w:ind w:firstLine="361"/>
        <w:spacing w:before="0" w:after="0" w:line="240" w:lineRule="auto"/>
        <w:rPr>
          <w:rFonts w:hint="eastAsia" w:ascii="宋体" w:hAnsi="宋体" w:eastAsia="宋体" w:cs="宋体"/>
          <w:color w:val="auto"/>
          <w:sz w:val="24"/>
          <w:highlight w:val="none"/>
        </w:rPr>
      </w:pPr>
      <w:r/>
      <w:bookmarkStart w:id="192" w:name="_Toc20823283"/>
      <w:r/>
      <w:bookmarkStart w:id="193" w:name="_Toc462564070"/>
      <w:r/>
      <w:bookmarkStart w:id="194" w:name="_Toc16938527"/>
      <w:r/>
      <w:bookmarkStart w:id="195" w:name="_Toc513029211"/>
      <w:r>
        <w:rPr>
          <w:rFonts w:hint="eastAsia" w:ascii="宋体" w:hAnsi="宋体" w:eastAsia="宋体" w:cs="宋体"/>
          <w:color w:val="auto"/>
          <w:sz w:val="24"/>
          <w:szCs w:val="24"/>
          <w:highlight w:val="none"/>
        </w:rPr>
        <w:t xml:space="preserve">8.磋商文件的澄清</w:t>
      </w:r>
      <w:bookmarkEnd w:id="192"/>
      <w:r/>
      <w:bookmarkEnd w:id="193"/>
      <w:r/>
      <w:bookmarkEnd w:id="194"/>
      <w:r/>
      <w:bookmarkEnd w:id="195"/>
      <w:r/>
      <w:bookmarkStart w:id="196" w:name="_Toc462564071"/>
      <w:r/>
      <w:bookmarkStart w:id="197" w:name="_Toc20823284"/>
      <w:r/>
      <w:bookmarkStart w:id="198" w:name="_Toc513029212"/>
      <w:r/>
      <w:bookmarkStart w:id="199" w:name="_Toc16938528"/>
      <w:r>
        <w:rPr>
          <w:rFonts w:hint="eastAsia" w:ascii="宋体" w:hAnsi="宋体" w:eastAsia="宋体" w:cs="宋体"/>
          <w:color w:val="auto"/>
          <w:sz w:val="24"/>
          <w:szCs w:val="24"/>
          <w:highlight w:val="none"/>
        </w:rPr>
        <w:t xml:space="preserve">及修改</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任何要求对磋商文件进行澄清的供应商，均应在提交首次响应文件截止时间5日前按磋商邀请中的通讯地址，以书面形式通知招标代理。提交首次响应文件截止之日前，招标代理可以对已发出的磋商文件进行必要的澄清或者修改，澄清或者修改的内容作为磋商文件的组成部分。澄清或者修改的内容可能影响响应文件编制的，招标代理将在提交首次响应文件截止时间至少5日前，在</w:t>
      </w:r>
      <w:r>
        <w:rPr>
          <w:rFonts w:hint="eastAsia" w:ascii="宋体" w:hAnsi="宋体" w:eastAsia="宋体" w:cs="宋体"/>
          <w:color w:val="auto"/>
          <w:sz w:val="22"/>
          <w:szCs w:val="22"/>
          <w:highlight w:val="none"/>
          <w:lang w:eastAsia="zh-CN"/>
        </w:rPr>
        <w:t xml:space="preserve">江苏政府采购网</w:t>
      </w:r>
      <w:r>
        <w:rPr>
          <w:rFonts w:hint="eastAsia" w:ascii="宋体" w:hAnsi="宋体" w:eastAsia="宋体" w:cs="宋体"/>
          <w:color w:val="auto"/>
          <w:sz w:val="22"/>
          <w:szCs w:val="22"/>
          <w:highlight w:val="none"/>
        </w:rPr>
        <w:t xml:space="preserve">上发布书面更正公告形式通知所有获取磋商文件的供应商。不足5日的，招标代理应当顺延提交首次响应文件截止时间。</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8.2招标代理可以视采购项目的具体情况，组织供应商进行现场考察或召开磋商前答疑会，但不单独或分别组织只有一个供应商参加的现场 考察和答疑会。</w:t>
      </w:r>
      <w:bookmarkEnd w:id="196"/>
      <w:r/>
      <w:bookmarkEnd w:id="197"/>
      <w:r/>
      <w:bookmarkEnd w:id="198"/>
      <w:r/>
      <w:bookmarkEnd w:id="199"/>
      <w:r/>
      <w:r/>
    </w:p>
    <w:p>
      <w:pPr>
        <w:pStyle w:val="1137"/>
        <w:ind w:firstLine="434"/>
        <w:spacing w:before="0" w:after="0" w:line="360" w:lineRule="auto"/>
        <w:rPr>
          <w:rFonts w:hint="eastAsia" w:ascii="黑体" w:hAnsi="黑体" w:eastAsia="黑体" w:cs="黑体"/>
          <w:b w:val="0"/>
          <w:bCs w:val="0"/>
          <w:color w:val="auto"/>
          <w:sz w:val="28"/>
          <w:szCs w:val="28"/>
          <w:highlight w:val="none"/>
        </w:rPr>
      </w:pPr>
      <w:r/>
      <w:bookmarkStart w:id="200" w:name="_Toc14577351"/>
      <w:r/>
      <w:bookmarkStart w:id="201" w:name="_Toc462564072"/>
      <w:r/>
      <w:bookmarkStart w:id="202" w:name="_Toc20771"/>
      <w:r/>
      <w:bookmarkStart w:id="203" w:name="_Toc513029213"/>
      <w:r/>
      <w:bookmarkStart w:id="204" w:name="_Toc61149553"/>
      <w:r/>
      <w:bookmarkStart w:id="205" w:name="_Toc16938548"/>
      <w:r/>
      <w:bookmarkStart w:id="206" w:name="_Toc513029232"/>
      <w:r/>
      <w:bookmarkStart w:id="207" w:name="_Toc20823304"/>
      <w:r>
        <w:rPr>
          <w:rFonts w:hint="eastAsia" w:ascii="黑体" w:hAnsi="黑体" w:eastAsia="黑体" w:cs="黑体"/>
          <w:b w:val="0"/>
          <w:bCs w:val="0"/>
          <w:color w:val="auto"/>
          <w:sz w:val="28"/>
          <w:szCs w:val="28"/>
          <w:highlight w:val="none"/>
        </w:rPr>
        <w:t xml:space="preserve">三、响应文件的编制</w:t>
      </w:r>
      <w:bookmarkEnd w:id="200"/>
      <w:r/>
      <w:bookmarkEnd w:id="201"/>
      <w:r/>
      <w:bookmarkEnd w:id="202"/>
      <w:r/>
      <w:bookmarkEnd w:id="203"/>
      <w:r/>
      <w:bookmarkEnd w:id="204"/>
      <w:r/>
      <w:r/>
    </w:p>
    <w:p>
      <w:pPr>
        <w:pStyle w:val="1138"/>
        <w:ind w:firstLine="361"/>
        <w:spacing w:before="0" w:after="0" w:line="240" w:lineRule="auto"/>
        <w:rPr>
          <w:rFonts w:hint="eastAsia" w:ascii="宋体" w:hAnsi="宋体" w:eastAsia="宋体" w:cs="宋体"/>
          <w:color w:val="auto"/>
          <w:sz w:val="24"/>
          <w:szCs w:val="24"/>
          <w:highlight w:val="none"/>
        </w:rPr>
      </w:pPr>
      <w:r/>
      <w:bookmarkStart w:id="208" w:name="_Toc513029223"/>
      <w:r/>
      <w:bookmarkStart w:id="209" w:name="_Toc61149561"/>
      <w:r/>
      <w:bookmarkStart w:id="210" w:name="_Toc14577361"/>
      <w:r>
        <w:rPr>
          <w:rFonts w:hint="eastAsia" w:ascii="宋体" w:hAnsi="宋体" w:eastAsia="宋体" w:cs="宋体"/>
          <w:color w:val="auto"/>
          <w:sz w:val="24"/>
          <w:szCs w:val="24"/>
          <w:highlight w:val="none"/>
        </w:rPr>
        <w:t xml:space="preserve">9.磋商响应文件份数和签署</w:t>
      </w:r>
      <w:bookmarkEnd w:id="208"/>
      <w:r/>
      <w:bookmarkEnd w:id="209"/>
      <w:r/>
      <w:bookmarkEnd w:id="210"/>
      <w:r/>
      <w:r/>
    </w:p>
    <w:p>
      <w:pPr>
        <w:ind w:firstLine="440"/>
        <w:spacing w:line="288"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9.1磋商供应商应严格按照</w:t>
      </w:r>
      <w:r>
        <w:rPr>
          <w:rFonts w:hint="eastAsia" w:ascii="宋体" w:hAnsi="宋体" w:eastAsia="宋体" w:cs="宋体"/>
          <w:color w:val="auto"/>
          <w:sz w:val="22"/>
          <w:szCs w:val="22"/>
          <w:highlight w:val="none"/>
          <w:lang w:val="en-US" w:eastAsia="zh-CN"/>
        </w:rPr>
        <w:t xml:space="preserve">竞争性磋商文件的</w:t>
      </w:r>
      <w:r>
        <w:rPr>
          <w:rFonts w:hint="eastAsia" w:ascii="宋体" w:hAnsi="宋体" w:eastAsia="宋体" w:cs="宋体"/>
          <w:color w:val="auto"/>
          <w:sz w:val="22"/>
          <w:szCs w:val="22"/>
          <w:highlight w:val="none"/>
        </w:rPr>
        <w:t xml:space="preserve">要求准备磋商响应文件（以下简称响应文件），</w:t>
      </w:r>
      <w:r>
        <w:rPr>
          <w:rFonts w:hint="eastAsia" w:ascii="宋体" w:hAnsi="宋体" w:eastAsia="宋体" w:cs="宋体"/>
          <w:color w:val="auto"/>
          <w:sz w:val="22"/>
          <w:szCs w:val="22"/>
          <w:highlight w:val="none"/>
          <w:lang w:val="en-US" w:eastAsia="zh-CN"/>
        </w:rPr>
        <w:t xml:space="preserve">并</w:t>
      </w:r>
      <w:r>
        <w:rPr>
          <w:rFonts w:hint="eastAsia" w:ascii="宋体" w:hAnsi="宋体" w:eastAsia="宋体" w:cs="宋体"/>
          <w:color w:val="auto"/>
          <w:sz w:val="22"/>
          <w:szCs w:val="22"/>
          <w:highlight w:val="none"/>
        </w:rPr>
        <w:t xml:space="preserve">应严格按照</w:t>
      </w:r>
      <w:r>
        <w:rPr>
          <w:rFonts w:hint="eastAsia" w:ascii="宋体" w:hAnsi="宋体" w:eastAsia="宋体" w:cs="宋体"/>
          <w:color w:val="auto"/>
          <w:sz w:val="22"/>
          <w:szCs w:val="22"/>
          <w:highlight w:val="none"/>
          <w:lang w:val="en-US" w:eastAsia="zh-CN"/>
        </w:rPr>
        <w:t xml:space="preserve">竞争性磋商</w:t>
      </w:r>
      <w:r>
        <w:rPr>
          <w:rFonts w:hint="eastAsia" w:ascii="宋体" w:hAnsi="宋体" w:eastAsia="宋体" w:cs="宋体"/>
          <w:color w:val="auto"/>
          <w:sz w:val="22"/>
          <w:szCs w:val="22"/>
          <w:highlight w:val="none"/>
        </w:rPr>
        <w:t xml:space="preserve">文件要求的份数准备</w:t>
      </w:r>
      <w:r>
        <w:rPr>
          <w:rFonts w:hint="eastAsia" w:ascii="宋体" w:hAnsi="宋体" w:eastAsia="宋体" w:cs="宋体"/>
          <w:color w:val="auto"/>
          <w:sz w:val="22"/>
          <w:szCs w:val="22"/>
          <w:highlight w:val="none"/>
          <w:lang w:val="en-US" w:eastAsia="zh-CN"/>
        </w:rPr>
        <w:t xml:space="preserve">响应</w:t>
      </w:r>
      <w:r>
        <w:rPr>
          <w:rFonts w:hint="eastAsia" w:ascii="宋体" w:hAnsi="宋体" w:eastAsia="宋体" w:cs="宋体"/>
          <w:color w:val="auto"/>
          <w:sz w:val="22"/>
          <w:szCs w:val="22"/>
          <w:highlight w:val="none"/>
        </w:rPr>
        <w:t xml:space="preserve">文件</w:t>
      </w:r>
      <w:r>
        <w:rPr>
          <w:rFonts w:hint="eastAsia" w:ascii="宋体" w:hAnsi="宋体" w:eastAsia="宋体" w:cs="宋体"/>
          <w:color w:val="auto"/>
          <w:sz w:val="22"/>
          <w:szCs w:val="22"/>
          <w:highlight w:val="none"/>
          <w:lang w:eastAsia="zh-CN"/>
        </w:rPr>
        <w:t xml:space="preserve">。</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电子</w:t>
      </w:r>
      <w:r>
        <w:rPr>
          <w:rFonts w:hint="eastAsia" w:ascii="宋体" w:hAnsi="宋体" w:eastAsia="宋体" w:cs="宋体"/>
          <w:color w:val="auto"/>
          <w:sz w:val="22"/>
          <w:szCs w:val="22"/>
          <w:highlight w:val="none"/>
        </w:rPr>
        <w:t xml:space="preserve">响应文件中，除磋商文件规定的可提交</w:t>
      </w:r>
      <w:r>
        <w:rPr>
          <w:rFonts w:hint="eastAsia" w:ascii="宋体" w:hAnsi="宋体" w:eastAsia="宋体" w:cs="宋体"/>
          <w:color w:val="auto"/>
          <w:sz w:val="22"/>
          <w:szCs w:val="22"/>
          <w:highlight w:val="none"/>
          <w:lang w:val="en-US" w:eastAsia="zh-CN"/>
        </w:rPr>
        <w:t xml:space="preserve">原件</w:t>
      </w:r>
      <w:r>
        <w:rPr>
          <w:rFonts w:hint="eastAsia" w:ascii="宋体" w:hAnsi="宋体" w:eastAsia="宋体" w:cs="宋体"/>
          <w:color w:val="auto"/>
          <w:sz w:val="22"/>
          <w:szCs w:val="22"/>
          <w:highlight w:val="none"/>
        </w:rPr>
        <w:t xml:space="preserve">外，其他文件均须提交</w:t>
      </w:r>
      <w:r>
        <w:rPr>
          <w:rFonts w:hint="eastAsia" w:ascii="宋体" w:hAnsi="宋体" w:eastAsia="宋体" w:cs="宋体"/>
          <w:color w:val="auto"/>
          <w:sz w:val="22"/>
          <w:szCs w:val="22"/>
          <w:highlight w:val="none"/>
          <w:lang w:val="en-US" w:eastAsia="zh-CN"/>
        </w:rPr>
        <w:t xml:space="preserve">复印件</w:t>
      </w:r>
      <w:r>
        <w:rPr>
          <w:rFonts w:hint="eastAsia" w:ascii="宋体" w:hAnsi="宋体" w:eastAsia="宋体" w:cs="宋体"/>
          <w:color w:val="auto"/>
          <w:sz w:val="22"/>
          <w:szCs w:val="22"/>
          <w:highlight w:val="none"/>
        </w:rPr>
        <w:t xml:space="preserve">，文字材料需打印或用不褪色墨水书写，响应文件</w:t>
      </w:r>
      <w:r>
        <w:rPr>
          <w:rFonts w:hint="eastAsia" w:ascii="宋体" w:hAnsi="宋体" w:eastAsia="宋体" w:cs="宋体"/>
          <w:color w:val="auto"/>
          <w:sz w:val="22"/>
          <w:szCs w:val="22"/>
          <w:highlight w:val="none"/>
          <w:lang w:val="en-US" w:eastAsia="zh-CN"/>
        </w:rPr>
        <w:t xml:space="preserve">应</w:t>
      </w:r>
      <w:r>
        <w:rPr>
          <w:rFonts w:hint="eastAsia" w:ascii="宋体" w:hAnsi="宋体" w:eastAsia="宋体" w:cs="宋体"/>
          <w:color w:val="auto"/>
          <w:sz w:val="22"/>
          <w:szCs w:val="22"/>
          <w:highlight w:val="none"/>
        </w:rPr>
        <w:t xml:space="preserve">经法定代表人或授权代表签字和加盖磋商供应商公章。本磋商文件所表述（指定）的公章是指刻有供应商法定名称的印章，不包括合同、财务、税务、发票等形式的业务专用章。</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 除磋商供应商对错处做必要修改外，响应文件不得行间插字、涂改或增删。如有修改错漏处，必须由响应文件签署人签字或盖章。</w:t>
      </w:r>
      <w:r/>
    </w:p>
    <w:p>
      <w:pPr>
        <w:pStyle w:val="1138"/>
        <w:ind w:firstLine="361"/>
        <w:spacing w:before="0" w:after="0" w:line="240" w:lineRule="auto"/>
        <w:rPr>
          <w:rFonts w:hint="eastAsia" w:ascii="宋体" w:hAnsi="宋体" w:eastAsia="宋体" w:cs="宋体"/>
          <w:color w:val="auto"/>
          <w:sz w:val="24"/>
          <w:szCs w:val="24"/>
          <w:highlight w:val="none"/>
        </w:rPr>
      </w:pPr>
      <w:r/>
      <w:bookmarkStart w:id="211" w:name="_Toc462564074"/>
      <w:r/>
      <w:bookmarkStart w:id="212" w:name="_Toc14577353"/>
      <w:r/>
      <w:bookmarkStart w:id="213" w:name="_Toc513029215"/>
      <w:r/>
      <w:bookmarkStart w:id="214" w:name="_Toc61149555"/>
      <w:r/>
      <w:bookmarkStart w:id="215" w:name="_Toc513029214"/>
      <w:r/>
      <w:bookmarkStart w:id="216" w:name="_Toc61149554"/>
      <w:r/>
      <w:bookmarkStart w:id="217" w:name="_Toc14577352"/>
      <w:r/>
      <w:bookmarkStart w:id="218" w:name="_Toc462564073"/>
      <w:r>
        <w:rPr>
          <w:rFonts w:hint="eastAsia" w:ascii="宋体" w:hAnsi="宋体" w:eastAsia="宋体" w:cs="宋体"/>
          <w:color w:val="auto"/>
          <w:sz w:val="24"/>
          <w:szCs w:val="24"/>
          <w:highlight w:val="none"/>
        </w:rPr>
        <w:t xml:space="preserve">10.响应文件</w:t>
      </w:r>
      <w:bookmarkEnd w:id="211"/>
      <w:r/>
      <w:bookmarkEnd w:id="212"/>
      <w:r/>
      <w:bookmarkEnd w:id="213"/>
      <w:r/>
      <w:bookmarkEnd w:id="214"/>
      <w:r>
        <w:rPr>
          <w:rFonts w:hint="eastAsia" w:ascii="宋体" w:hAnsi="宋体" w:eastAsia="宋体" w:cs="宋体"/>
          <w:color w:val="auto"/>
          <w:sz w:val="24"/>
          <w:szCs w:val="24"/>
          <w:highlight w:val="none"/>
        </w:rPr>
        <w:t xml:space="preserve">编制要求</w:t>
      </w:r>
      <w:bookmarkEnd w:id="215"/>
      <w:r/>
      <w:bookmarkEnd w:id="216"/>
      <w:r/>
      <w:bookmarkEnd w:id="217"/>
      <w:r/>
      <w:bookmarkEnd w:id="218"/>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10.1磋商供应商提交的响应文件以及磋商供应商与招标代理及采购人就有关磋商的所有来往函电均应使用简体中文。磋商文件中既有中文也有外文的，以中文意义为准。</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 除技术性能另有规定外，响应文件所使用的度量衡单位，均须采用国家法定计量单位。</w:t>
      </w:r>
      <w:r/>
    </w:p>
    <w:p>
      <w:pPr>
        <w:pStyle w:val="1138"/>
        <w:ind w:firstLine="361"/>
        <w:spacing w:before="0" w:after="0" w:line="240" w:lineRule="auto"/>
        <w:rPr>
          <w:rFonts w:hint="eastAsia" w:ascii="宋体" w:hAnsi="宋体" w:eastAsia="宋体" w:cs="宋体"/>
          <w:color w:val="auto"/>
          <w:sz w:val="24"/>
          <w:szCs w:val="24"/>
          <w:highlight w:val="none"/>
        </w:rPr>
      </w:pPr>
      <w:r/>
      <w:bookmarkStart w:id="219" w:name="_Toc513029219"/>
      <w:r/>
      <w:bookmarkStart w:id="220" w:name="_Toc61149558"/>
      <w:r/>
      <w:bookmarkStart w:id="221" w:name="_Toc14577357"/>
      <w:r/>
      <w:bookmarkStart w:id="222" w:name="_Toc513029217"/>
      <w:r/>
      <w:bookmarkStart w:id="223" w:name="_Toc61149557"/>
      <w:r/>
      <w:bookmarkStart w:id="224" w:name="_Toc14577355"/>
      <w:r>
        <w:rPr>
          <w:rFonts w:hint="eastAsia" w:ascii="宋体" w:hAnsi="宋体" w:eastAsia="宋体" w:cs="宋体"/>
          <w:color w:val="auto"/>
          <w:sz w:val="24"/>
          <w:szCs w:val="24"/>
          <w:highlight w:val="none"/>
        </w:rPr>
        <w:t xml:space="preserve">11.参加磋商供应商资格的文件</w:t>
      </w:r>
      <w:bookmarkEnd w:id="219"/>
      <w:r/>
      <w:bookmarkEnd w:id="220"/>
      <w:r/>
      <w:bookmarkEnd w:id="221"/>
      <w:r>
        <w:rPr>
          <w:rFonts w:hint="eastAsia" w:ascii="宋体" w:hAnsi="宋体" w:eastAsia="宋体" w:cs="宋体"/>
          <w:color w:val="auto"/>
          <w:sz w:val="24"/>
          <w:szCs w:val="24"/>
          <w:highlight w:val="none"/>
        </w:rPr>
        <w:t xml:space="preserve">证明</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11.1磋商供应商应提交证明其有资格参加磋商和成交后有能力独立履行合同的文件，并作为其响应文件的一部分。</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11.2磋商供应商除必须具有履行合同所需提供的设备以及服务的能力外，还必须具备相应的财务、技术方面的能力。</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11.3磋商供应商应填写并提交磋商文件所附的“资格证明文件”。</w:t>
      </w:r>
      <w:r/>
    </w:p>
    <w:p>
      <w:pPr>
        <w:pStyle w:val="1138"/>
        <w:ind w:firstLine="361"/>
        <w:spacing w:before="0"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12.磋商响应</w:t>
      </w:r>
      <w:bookmarkEnd w:id="222"/>
      <w:r/>
      <w:bookmarkEnd w:id="223"/>
      <w:r/>
      <w:bookmarkEnd w:id="224"/>
      <w:r>
        <w:rPr>
          <w:rFonts w:hint="eastAsia" w:ascii="宋体" w:hAnsi="宋体" w:eastAsia="宋体" w:cs="宋体"/>
          <w:color w:val="auto"/>
          <w:sz w:val="24"/>
          <w:szCs w:val="24"/>
          <w:highlight w:val="none"/>
          <w:lang w:eastAsia="zh-CN"/>
        </w:rPr>
        <w:t xml:space="preserve">报价一览表</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 磋商供应商应按照磋商文件规定格式填报磋商响应</w:t>
      </w:r>
      <w:r>
        <w:rPr>
          <w:rFonts w:hint="eastAsia" w:ascii="宋体" w:hAnsi="宋体" w:eastAsia="宋体" w:cs="宋体"/>
          <w:color w:val="auto"/>
          <w:sz w:val="22"/>
          <w:szCs w:val="22"/>
          <w:highlight w:val="none"/>
          <w:lang w:eastAsia="zh-CN"/>
        </w:rPr>
        <w:t xml:space="preserve">报价一览表</w:t>
      </w:r>
      <w:r>
        <w:rPr>
          <w:rFonts w:hint="eastAsia" w:ascii="宋体" w:hAnsi="宋体" w:eastAsia="宋体" w:cs="宋体"/>
          <w:color w:val="auto"/>
          <w:sz w:val="22"/>
          <w:szCs w:val="22"/>
          <w:highlight w:val="none"/>
        </w:rPr>
        <w:t xml:space="preserve">。</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12.2标的物</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详见</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12.3有关费用处理</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本次采购磋商供应商的报价应包括为完成本项目发生的所有费用，本磋商文件中另有规定的除外。</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12.4其它费用处理</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磋商文件未列明，而磋商供应商认为必须的费用也须列入报价。</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12.5报价采用的货币</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响应文件中的单价和总价，无特殊规定的采用人民币报价，以元为单位标注。磋商文件中另有规定的按规定执行。</w:t>
      </w:r>
      <w:r/>
    </w:p>
    <w:p>
      <w:pPr>
        <w:ind w:firstLine="440"/>
        <w:spacing w:line="288" w:lineRule="auto"/>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rPr>
        <w:t xml:space="preserve">12.6 磋商响应</w:t>
      </w:r>
      <w:r>
        <w:rPr>
          <w:rFonts w:hint="eastAsia" w:ascii="宋体" w:hAnsi="宋体" w:eastAsia="宋体" w:cs="宋体"/>
          <w:color w:val="auto"/>
          <w:sz w:val="22"/>
          <w:szCs w:val="22"/>
          <w:highlight w:val="none"/>
          <w:lang w:eastAsia="zh-CN"/>
        </w:rPr>
        <w:t xml:space="preserve">报价一览表</w:t>
      </w:r>
      <w:r>
        <w:rPr>
          <w:rFonts w:hint="eastAsia" w:ascii="宋体" w:hAnsi="宋体" w:eastAsia="宋体" w:cs="宋体"/>
          <w:color w:val="auto"/>
          <w:sz w:val="22"/>
          <w:szCs w:val="22"/>
          <w:highlight w:val="none"/>
        </w:rPr>
        <w:t xml:space="preserve">上的价格应按磋商文件规定填写。</w:t>
      </w:r>
      <w:r/>
    </w:p>
    <w:p>
      <w:pPr>
        <w:pStyle w:val="1138"/>
        <w:ind w:firstLine="361"/>
        <w:spacing w:before="0" w:after="0" w:line="240" w:lineRule="auto"/>
        <w:rPr>
          <w:rFonts w:hint="eastAsia" w:ascii="宋体" w:hAnsi="宋体" w:eastAsia="宋体" w:cs="宋体"/>
          <w:color w:val="auto"/>
          <w:sz w:val="24"/>
          <w:szCs w:val="24"/>
          <w:highlight w:val="none"/>
        </w:rPr>
      </w:pPr>
      <w:r/>
      <w:bookmarkStart w:id="225" w:name="_Toc513029221"/>
      <w:r/>
      <w:bookmarkStart w:id="226" w:name="_Toc61149559"/>
      <w:r/>
      <w:bookmarkStart w:id="227" w:name="_Toc14577359"/>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响应方案</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13.1提供为完成本项目的总体实施方案。</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13.2对磋商文件中</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的技术与商务条款要求逐项作出应答，并提供依据或说明。</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13.3磋商供应商认为需要的其他技术文件或说明。</w:t>
      </w:r>
      <w:bookmarkEnd w:id="225"/>
      <w:r/>
      <w:bookmarkEnd w:id="226"/>
      <w:r/>
      <w:bookmarkEnd w:id="227"/>
      <w:r/>
      <w:r/>
    </w:p>
    <w:p>
      <w:pPr>
        <w:pStyle w:val="1137"/>
        <w:ind w:firstLine="434"/>
        <w:spacing w:before="0" w:after="0" w:line="360" w:lineRule="auto"/>
        <w:rPr>
          <w:rFonts w:hint="eastAsia" w:ascii="黑体" w:hAnsi="黑体" w:eastAsia="黑体" w:cs="黑体"/>
          <w:b w:val="0"/>
          <w:bCs w:val="0"/>
          <w:color w:val="auto"/>
          <w:sz w:val="28"/>
          <w:szCs w:val="28"/>
          <w:highlight w:val="none"/>
        </w:rPr>
      </w:pPr>
      <w:r/>
      <w:bookmarkStart w:id="228" w:name="_Toc513029224"/>
      <w:r/>
      <w:bookmarkStart w:id="229" w:name="_Toc61149562"/>
      <w:r/>
      <w:bookmarkStart w:id="230" w:name="_Toc26124"/>
      <w:r/>
      <w:bookmarkStart w:id="231" w:name="_Toc14577362"/>
      <w:r>
        <w:rPr>
          <w:rFonts w:hint="eastAsia" w:ascii="黑体" w:hAnsi="黑体" w:eastAsia="黑体" w:cs="黑体"/>
          <w:b w:val="0"/>
          <w:bCs w:val="0"/>
          <w:color w:val="auto"/>
          <w:sz w:val="28"/>
          <w:szCs w:val="28"/>
          <w:highlight w:val="none"/>
        </w:rPr>
        <w:t xml:space="preserve">四、响应文件的递交</w:t>
      </w:r>
      <w:bookmarkEnd w:id="228"/>
      <w:r/>
      <w:bookmarkEnd w:id="229"/>
      <w:r/>
      <w:bookmarkEnd w:id="230"/>
      <w:r/>
      <w:bookmarkEnd w:id="231"/>
      <w:r/>
      <w:r/>
    </w:p>
    <w:p>
      <w:pPr>
        <w:pStyle w:val="1138"/>
        <w:ind w:firstLine="361"/>
        <w:spacing w:before="0" w:after="0" w:line="240" w:lineRule="auto"/>
        <w:rPr>
          <w:rFonts w:hint="eastAsia" w:ascii="宋体" w:hAnsi="宋体" w:eastAsia="宋体" w:cs="宋体"/>
          <w:color w:val="auto"/>
          <w:sz w:val="24"/>
          <w:szCs w:val="24"/>
          <w:highlight w:val="none"/>
        </w:rPr>
      </w:pPr>
      <w:r/>
      <w:bookmarkStart w:id="232" w:name="_Toc14577363"/>
      <w:r/>
      <w:bookmarkStart w:id="233" w:name="_Toc61149563"/>
      <w:r/>
      <w:bookmarkStart w:id="234" w:name="_Toc462564084"/>
      <w:r/>
      <w:bookmarkStart w:id="235" w:name="_Toc513029225"/>
      <w:r>
        <w:rPr>
          <w:rFonts w:hint="eastAsia" w:ascii="宋体" w:hAnsi="宋体" w:eastAsia="宋体" w:cs="宋体"/>
          <w:color w:val="auto"/>
          <w:sz w:val="24"/>
          <w:szCs w:val="24"/>
          <w:highlight w:val="none"/>
        </w:rPr>
        <w:t xml:space="preserve">14.响应文件的</w:t>
      </w:r>
      <w:r>
        <w:rPr>
          <w:rFonts w:hint="eastAsia" w:ascii="宋体" w:hAnsi="宋体" w:eastAsia="宋体" w:cs="宋体"/>
          <w:color w:val="auto"/>
          <w:sz w:val="24"/>
          <w:szCs w:val="24"/>
          <w:highlight w:val="none"/>
          <w:lang w:val="en-US" w:eastAsia="zh-CN"/>
        </w:rPr>
        <w:t xml:space="preserve">加密</w:t>
      </w:r>
      <w:bookmarkEnd w:id="232"/>
      <w:r/>
      <w:bookmarkEnd w:id="233"/>
      <w:r/>
      <w:bookmarkEnd w:id="234"/>
      <w:r/>
      <w:bookmarkEnd w:id="235"/>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14.1磋商供应商应将响应文件</w:t>
      </w:r>
      <w:r>
        <w:rPr>
          <w:rFonts w:hint="eastAsia" w:ascii="宋体" w:hAnsi="宋体" w:eastAsia="宋体" w:cs="宋体"/>
          <w:color w:val="auto"/>
          <w:sz w:val="22"/>
          <w:szCs w:val="22"/>
          <w:highlight w:val="none"/>
          <w:lang w:val="en-US" w:eastAsia="zh-CN"/>
        </w:rPr>
        <w:t xml:space="preserve">加密</w:t>
      </w:r>
      <w:r>
        <w:rPr>
          <w:rFonts w:hint="eastAsia" w:ascii="宋体" w:hAnsi="宋体" w:eastAsia="宋体" w:cs="宋体"/>
          <w:color w:val="auto"/>
          <w:sz w:val="22"/>
          <w:szCs w:val="22"/>
          <w:highlight w:val="none"/>
        </w:rPr>
        <w:t xml:space="preserve">。</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w:t>
      </w:r>
      <w:r>
        <w:rPr>
          <w:rFonts w:hint="eastAsia" w:ascii="宋体" w:hAnsi="宋体" w:eastAsia="宋体" w:cs="宋体"/>
          <w:color w:val="auto"/>
          <w:sz w:val="22"/>
          <w:szCs w:val="22"/>
          <w:highlight w:val="none"/>
          <w:lang w:val="en-US" w:eastAsia="zh-CN"/>
        </w:rPr>
        <w:t xml:space="preserve">加密</w:t>
      </w:r>
      <w:r>
        <w:rPr>
          <w:rFonts w:hint="eastAsia" w:ascii="宋体" w:hAnsi="宋体" w:eastAsia="宋体" w:cs="宋体"/>
          <w:color w:val="auto"/>
          <w:sz w:val="22"/>
          <w:szCs w:val="22"/>
          <w:highlight w:val="none"/>
        </w:rPr>
        <w:t xml:space="preserve">的响应文件应：</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（1）按磋商邀请中注明的地址送达规定地点；</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（2）注明参加磋商项目名称、项目编号及参加的分包号；</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14.3如果</w:t>
      </w:r>
      <w:r>
        <w:rPr>
          <w:rFonts w:hint="eastAsia" w:ascii="宋体" w:hAnsi="宋体" w:eastAsia="宋体" w:cs="宋体"/>
          <w:color w:val="auto"/>
          <w:sz w:val="22"/>
          <w:szCs w:val="22"/>
          <w:highlight w:val="none"/>
          <w:lang w:val="en-US" w:eastAsia="zh-CN"/>
        </w:rPr>
        <w:t xml:space="preserve">电子响应文件未加密</w:t>
      </w:r>
      <w:r>
        <w:rPr>
          <w:rFonts w:hint="eastAsia" w:ascii="宋体" w:hAnsi="宋体" w:eastAsia="宋体" w:cs="宋体"/>
          <w:color w:val="auto"/>
          <w:sz w:val="22"/>
          <w:szCs w:val="22"/>
          <w:highlight w:val="none"/>
        </w:rPr>
        <w:t xml:space="preserve">，招标代理对误投或过早启封概不负责。对由此造成提前开封的响应文件，招标代理将予以拒绝，作无效响应处理。</w:t>
      </w:r>
      <w:r/>
    </w:p>
    <w:p>
      <w:pPr>
        <w:pStyle w:val="1138"/>
        <w:ind w:firstLine="361"/>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15.响应文件开启时间</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15.1招标代理收到响应文件的时间不得迟于本磋商文件规定的响应文件接收截止时间。</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15.2招标代理可通过修改磋商文件自行决定酌情推迟响应文件接收截止时间，在此情况下，磋商供应商的所有权利和义务以及受制的响应文件接收截止时间均应以延长后新的响应文件接收截止时间为准。</w:t>
      </w:r>
      <w:r/>
    </w:p>
    <w:p>
      <w:pPr>
        <w:pStyle w:val="1138"/>
        <w:ind w:firstLine="361"/>
        <w:spacing w:before="0" w:after="0" w:line="240" w:lineRule="auto"/>
        <w:rPr>
          <w:rFonts w:hint="eastAsia" w:ascii="宋体" w:hAnsi="宋体" w:eastAsia="宋体" w:cs="宋体"/>
          <w:color w:val="auto"/>
          <w:sz w:val="24"/>
          <w:szCs w:val="24"/>
          <w:highlight w:val="none"/>
        </w:rPr>
      </w:pPr>
      <w:r/>
      <w:bookmarkStart w:id="236" w:name="_Toc61149565"/>
      <w:r/>
      <w:bookmarkStart w:id="237" w:name="_Toc513029227"/>
      <w:r/>
      <w:bookmarkStart w:id="238" w:name="_Toc14577365"/>
      <w:r>
        <w:rPr>
          <w:rFonts w:hint="eastAsia" w:ascii="宋体" w:hAnsi="宋体" w:eastAsia="宋体" w:cs="宋体"/>
          <w:color w:val="auto"/>
          <w:sz w:val="24"/>
          <w:szCs w:val="24"/>
          <w:highlight w:val="none"/>
        </w:rPr>
        <w:t xml:space="preserve">16.迟交的响应文件</w:t>
      </w:r>
      <w:bookmarkEnd w:id="236"/>
      <w:r/>
      <w:bookmarkEnd w:id="237"/>
      <w:r/>
      <w:bookmarkEnd w:id="238"/>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16.1招标代理将拒绝在规定的响应文件接收截止时间后接收响应文件。</w:t>
      </w:r>
      <w:r/>
    </w:p>
    <w:p>
      <w:pPr>
        <w:pStyle w:val="1138"/>
        <w:ind w:firstLine="361"/>
        <w:spacing w:before="0" w:after="0" w:line="240" w:lineRule="auto"/>
        <w:rPr>
          <w:rFonts w:hint="eastAsia" w:ascii="宋体" w:hAnsi="宋体" w:eastAsia="宋体" w:cs="宋体"/>
          <w:color w:val="auto"/>
          <w:sz w:val="24"/>
          <w:szCs w:val="24"/>
          <w:highlight w:val="none"/>
        </w:rPr>
      </w:pPr>
      <w:r/>
      <w:bookmarkStart w:id="239" w:name="_Toc14577366"/>
      <w:r/>
      <w:bookmarkStart w:id="240" w:name="_Toc61149566"/>
      <w:r/>
      <w:bookmarkStart w:id="241" w:name="_Toc513029228"/>
      <w:r>
        <w:rPr>
          <w:rFonts w:hint="eastAsia" w:ascii="宋体" w:hAnsi="宋体" w:eastAsia="宋体" w:cs="宋体"/>
          <w:color w:val="auto"/>
          <w:sz w:val="24"/>
          <w:szCs w:val="24"/>
          <w:highlight w:val="none"/>
        </w:rPr>
        <w:t xml:space="preserve">17.响应文件的修改和撤回</w:t>
      </w:r>
      <w:bookmarkEnd w:id="239"/>
      <w:r/>
      <w:bookmarkEnd w:id="240"/>
      <w:r/>
      <w:bookmarkEnd w:id="241"/>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17.1磋商供应商在递交响应文件后，可以修改或撤回其磋商响应文件，但这种修改和撤回，必须在规定的响应文件接收截止时间前。</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 磋商供应商在提交最后报价之前，可以根据磋商情况退出磋商。</w:t>
      </w:r>
      <w:r/>
    </w:p>
    <w:p>
      <w:pPr>
        <w:pStyle w:val="1138"/>
        <w:ind w:firstLine="361"/>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18.磋商响应有效期</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 磋商响应有效期为招标代理规定的响应文件接收截止时间后六十（60）天。磋商响应有效期比规定短的将被视为非实质性响应性而予以拒绝。</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18.2 在特殊情况下，招标代理于原磋商响应有效期满之前，可向磋商供应商提出延长磋商响应有效期的要求。这种要求与答复均应采用书面形式。磋商供应商可以拒绝招标代理的这一要求而放弃磋商响应，同意延长磋商响应有效期的磋商供应商既不能要求也不允许修改其响应文件，同时受磋商响应有效期约束的所有权利与义务均延长至新的有效期。</w:t>
      </w:r>
      <w:r/>
    </w:p>
    <w:p>
      <w:pPr>
        <w:pStyle w:val="1137"/>
        <w:ind w:firstLine="434"/>
        <w:spacing w:before="0" w:after="0" w:line="360" w:lineRule="auto"/>
        <w:rPr>
          <w:rFonts w:hint="eastAsia" w:ascii="黑体" w:hAnsi="黑体" w:eastAsia="黑体" w:cs="黑体"/>
          <w:b w:val="0"/>
          <w:bCs w:val="0"/>
          <w:color w:val="auto"/>
          <w:sz w:val="28"/>
          <w:szCs w:val="28"/>
          <w:highlight w:val="none"/>
        </w:rPr>
      </w:pPr>
      <w:r/>
      <w:bookmarkStart w:id="242" w:name="_Toc14342"/>
      <w:r>
        <w:rPr>
          <w:rFonts w:hint="eastAsia" w:ascii="黑体" w:hAnsi="黑体" w:eastAsia="黑体" w:cs="黑体"/>
          <w:b w:val="0"/>
          <w:bCs w:val="0"/>
          <w:color w:val="auto"/>
          <w:sz w:val="28"/>
          <w:szCs w:val="28"/>
          <w:highlight w:val="none"/>
        </w:rPr>
        <w:t xml:space="preserve">五、磋商与评审</w:t>
      </w:r>
      <w:bookmarkEnd w:id="242"/>
      <w:r/>
      <w:r/>
    </w:p>
    <w:p>
      <w:pPr>
        <w:pStyle w:val="1138"/>
        <w:ind w:firstLine="361"/>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19.磋商仪式</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19.1招标代理将在磋商邀请中规定的时间和地点组织磋商开始仪式，仪式由招标代理主持，磋商供应商应委派</w:t>
      </w:r>
      <w:r>
        <w:rPr>
          <w:rFonts w:hint="eastAsia" w:ascii="宋体" w:hAnsi="宋体" w:eastAsia="宋体" w:cs="宋体"/>
          <w:color w:val="auto"/>
          <w:sz w:val="22"/>
          <w:szCs w:val="22"/>
          <w:highlight w:val="none"/>
          <w:lang w:val="en-US" w:eastAsia="zh-CN"/>
        </w:rPr>
        <w:t xml:space="preserve">授权代表人</w:t>
      </w:r>
      <w:r>
        <w:rPr>
          <w:rFonts w:hint="eastAsia" w:ascii="宋体" w:hAnsi="宋体" w:eastAsia="宋体" w:cs="宋体"/>
          <w:color w:val="auto"/>
          <w:sz w:val="22"/>
          <w:szCs w:val="22"/>
          <w:highlight w:val="none"/>
        </w:rPr>
        <w:t xml:space="preserve">准时参加。</w:t>
      </w:r>
      <w:r/>
    </w:p>
    <w:p>
      <w:pPr>
        <w:pStyle w:val="1138"/>
        <w:ind w:firstLine="361"/>
        <w:spacing w:before="0" w:after="0" w:line="240" w:lineRule="auto"/>
        <w:rPr>
          <w:rFonts w:hint="eastAsia" w:ascii="宋体" w:hAnsi="宋体" w:eastAsia="宋体" w:cs="宋体"/>
          <w:color w:val="auto"/>
          <w:sz w:val="24"/>
          <w:szCs w:val="24"/>
          <w:highlight w:val="none"/>
        </w:rPr>
      </w:pPr>
      <w:r/>
      <w:bookmarkStart w:id="243" w:name="_Toc16938547"/>
      <w:r/>
      <w:bookmarkStart w:id="244" w:name="_Toc20823303"/>
      <w:r/>
      <w:bookmarkStart w:id="245" w:name="_Toc513029231"/>
      <w:r>
        <w:rPr>
          <w:rFonts w:hint="eastAsia" w:ascii="宋体" w:hAnsi="宋体" w:eastAsia="宋体" w:cs="宋体"/>
          <w:color w:val="auto"/>
          <w:sz w:val="24"/>
          <w:szCs w:val="24"/>
          <w:highlight w:val="none"/>
        </w:rPr>
        <w:t xml:space="preserve">20.磋商小组</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20.1 磋商开始仪式结束后，招标代理将立即组织磋商小组进行评审。</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20.2 磋商小组由政府采购评审专家、采购人代表组成，且人员构成符合政府采购有关规定。</w:t>
      </w:r>
      <w:r/>
    </w:p>
    <w:p>
      <w:pPr>
        <w:pStyle w:val="1138"/>
        <w:ind w:firstLine="361"/>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21.磋商评审过程的保密</w:t>
      </w:r>
      <w:bookmarkEnd w:id="243"/>
      <w:r/>
      <w:bookmarkEnd w:id="244"/>
      <w:r/>
      <w:bookmarkEnd w:id="245"/>
      <w:r>
        <w:rPr>
          <w:rFonts w:hint="eastAsia" w:ascii="宋体" w:hAnsi="宋体" w:eastAsia="宋体" w:cs="宋体"/>
          <w:color w:val="auto"/>
          <w:sz w:val="24"/>
          <w:szCs w:val="24"/>
          <w:highlight w:val="none"/>
        </w:rPr>
        <w:t xml:space="preserve">与公正</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21.1磋商小组、采购人和招标代理工作人员、相关监督人员等与评审工作有关的人员，对评审情况以及在评审过程中获悉的国家秘密、商业秘密负有保密责任。</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21.2在磋商评审过程中，磋商供应商不得以任何行为影响磋商评审过程，否则其响应文件将被作为无效响应文件。</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pStyle w:val="1138"/>
        <w:ind w:firstLine="361"/>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22.评审过程的澄清、说明和更正</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22.2接到磋商小组要求的供应商应派人按磋商小组通知的时间</w:t>
      </w:r>
      <w:r>
        <w:rPr>
          <w:rFonts w:hint="eastAsia" w:ascii="宋体" w:hAnsi="宋体" w:eastAsia="宋体" w:cs="宋体"/>
          <w:color w:val="auto"/>
          <w:sz w:val="22"/>
          <w:szCs w:val="22"/>
          <w:highlight w:val="none"/>
          <w:lang w:val="en-US" w:eastAsia="zh-CN"/>
        </w:rPr>
        <w:t xml:space="preserve">内</w:t>
      </w:r>
      <w:r>
        <w:rPr>
          <w:rFonts w:hint="eastAsia" w:ascii="宋体" w:hAnsi="宋体" w:eastAsia="宋体" w:cs="宋体"/>
          <w:color w:val="auto"/>
          <w:sz w:val="22"/>
          <w:szCs w:val="22"/>
          <w:highlight w:val="none"/>
        </w:rPr>
        <w:t xml:space="preserve">做出书面澄清、说明或更正。供应商的澄清、说明或者更正应当由法定代表人或授权代表签字或者加盖公章。由授权代表签字的，应当附法人授权书。供应商为自然人的，应当由本人签字并附身份证明。</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22.3 接到磋商小组澄清要求的供应商如未按规定做出澄清，其风险由供应商自行承担。</w:t>
      </w:r>
      <w:r/>
    </w:p>
    <w:p>
      <w:pPr>
        <w:pStyle w:val="1138"/>
        <w:ind w:firstLine="361"/>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23.对响应文件的初审</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23.1响应文件初审分为资格性检查和符合性检查。</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资格性检查：依据法律法规和磋商文件的规定，对响应文件中的资格证明文件进行审查，以确定供应商是否具备参加磋商的资格。</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磋商小组在进行资格性审查的同时，</w:t>
      </w:r>
      <w:r>
        <w:rPr>
          <w:rFonts w:hint="eastAsia" w:ascii="宋体" w:hAnsi="宋体" w:eastAsia="宋体" w:cs="宋体"/>
          <w:color w:val="auto"/>
          <w:sz w:val="22"/>
          <w:szCs w:val="22"/>
          <w:highlight w:val="none"/>
          <w:lang w:val="zh-CN"/>
        </w:rPr>
        <w:t xml:space="preserve">将在</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zh-CN"/>
        </w:rPr>
        <w:t xml:space="preserve">信用中国</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zh-CN"/>
        </w:rPr>
        <w:t xml:space="preserve">网站</w:t>
      </w:r>
      <w:r>
        <w:rPr>
          <w:rFonts w:hint="eastAsia" w:ascii="宋体" w:hAnsi="宋体" w:eastAsia="宋体" w:cs="宋体"/>
          <w:color w:val="auto"/>
          <w:sz w:val="22"/>
          <w:szCs w:val="22"/>
          <w:highlight w:val="none"/>
        </w:rPr>
        <w:t xml:space="preserve">（www.creditchina.gov.cn）</w:t>
      </w:r>
      <w:r>
        <w:rPr>
          <w:rFonts w:hint="eastAsia" w:ascii="宋体" w:hAnsi="宋体" w:eastAsia="宋体" w:cs="宋体"/>
          <w:color w:val="auto"/>
          <w:sz w:val="22"/>
          <w:szCs w:val="22"/>
          <w:highlight w:val="none"/>
          <w:lang w:val="zh-CN"/>
        </w:rPr>
        <w:t xml:space="preserve">和</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zh-CN"/>
        </w:rPr>
        <w:t xml:space="preserve">中国政府采购网</w:t>
      </w:r>
      <w:r>
        <w:rPr>
          <w:rFonts w:hint="eastAsia" w:ascii="宋体" w:hAnsi="宋体" w:eastAsia="宋体" w:cs="宋体"/>
          <w:color w:val="auto"/>
          <w:sz w:val="22"/>
          <w:szCs w:val="22"/>
          <w:highlight w:val="none"/>
        </w:rPr>
        <w:t xml:space="preserve">"(www.ccgp.gov.cn)查询供应商的信用记录，以确定供应商是否具备参加磋商的资格。查询结果将以网页打印的形式留存并归档。</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符合性检查：依据磋商文件的规定，从响应文件的有效性、完整性和对磋商文件的响应程度进行审查，以确定是否对磋商文件的实质性要求作出响应。</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23.2在正式磋商之前，磋商小组将首先审查每份响应文件是否实质性响应了磋商文件的要求。实质性响应的响应文件应该是与磋商文件要求的条款、条件和规格相符，没有重大负偏离或保留。</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23.3 被认定为未实质性响应磋商文件的响应文件的情形</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（1）未按照磋商文件规定要求</w:t>
      </w:r>
      <w:r>
        <w:rPr>
          <w:rFonts w:hint="eastAsia" w:ascii="宋体" w:hAnsi="宋体" w:eastAsia="宋体" w:cs="宋体"/>
          <w:color w:val="auto"/>
          <w:sz w:val="22"/>
          <w:szCs w:val="22"/>
          <w:highlight w:val="none"/>
          <w:lang w:val="en-US" w:eastAsia="zh-CN"/>
        </w:rPr>
        <w:t xml:space="preserve">加密</w:t>
      </w:r>
      <w:r>
        <w:rPr>
          <w:rFonts w:hint="eastAsia" w:ascii="宋体" w:hAnsi="宋体" w:eastAsia="宋体" w:cs="宋体"/>
          <w:color w:val="auto"/>
          <w:sz w:val="22"/>
          <w:szCs w:val="22"/>
          <w:highlight w:val="none"/>
        </w:rPr>
        <w:t xml:space="preserve">的；</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（2）同一供应商提交两个以上（含两个）不同的响应文件或者磋商响应报价的；</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（3）供应商不符合磋商文件中规定的合格磋商供应商资格要求的；</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（4）不符合法律、法规和磋商文件中规定的其他实质性要求和条件的；</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（5）其他法律、法规及本磋商文件规定的属于未实质性响应的响应文件的情形；</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（6）供应商被 “信用中国”网站（www.creditchina.gov.cn）列入失信被执行人或重大税收违法案件当事人名单或政府采购严重失信行为记录名单。或查询“信用中国”网站后发现供应商存在不符合《中华人民共和国政府采购法》第二十二条规定条件的情形。</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（7）本项目采购产品被财政部、国家发改委、生态环境部等列入“节能产品目录清单”、“环境标志产品目录清单”强制采购范围，而供应商所响应的产品不在强制采购范围内的。</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23.4 未实质性响应磋商文件的响应文件按无效响应处理，磋商小组将予以拒绝，供应商不得通过修改或撤销不合要求的偏离或保留而使其响应文件成为实质性响应的文件。</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23.5 磋商小组将允许修正响应文件中不构成重大负偏离的、微小的、非正规的、不一致的或不规则的地方，但这些修改不能影响任何供应商相应的名次排列。</w:t>
      </w:r>
      <w:r/>
    </w:p>
    <w:p>
      <w:pPr>
        <w:pStyle w:val="1138"/>
        <w:ind w:firstLine="361"/>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24.磋商程序及评审方法和标准</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24.1磋商程序</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24.1.1 对于通过资格性和符合性审查的供应商，磋商小组所有成员将集中与单一供应商分别进行磋商。</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24.1.2 磋商文件能够详细列明采购标的的技术、服务要求的，磋商结束后，磋商小组将要求所有实质性响应的供应商在规定时间内提交最后报价。</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最后报价是供应商响应文件的有效组成部分。符合《政府采购竞争性磋商</w:t>
      </w:r>
      <w:r>
        <w:rPr>
          <w:rFonts w:hint="eastAsia" w:ascii="宋体" w:hAnsi="宋体" w:eastAsia="宋体" w:cs="宋体"/>
          <w:color w:val="auto"/>
          <w:sz w:val="22"/>
          <w:szCs w:val="22"/>
          <w:highlight w:val="none"/>
          <w:lang w:eastAsia="zh-CN"/>
        </w:rPr>
        <w:t xml:space="preserve">采购方式</w:t>
      </w:r>
      <w:r>
        <w:rPr>
          <w:rFonts w:hint="eastAsia" w:ascii="宋体" w:hAnsi="宋体" w:eastAsia="宋体" w:cs="宋体"/>
          <w:color w:val="auto"/>
          <w:sz w:val="22"/>
          <w:szCs w:val="22"/>
          <w:highlight w:val="none"/>
        </w:rPr>
        <w:t xml:space="preserve">管理暂行办法》第三条第四项及《财政部关于竞争性磋商</w:t>
      </w:r>
      <w:r>
        <w:rPr>
          <w:rFonts w:hint="eastAsia" w:ascii="宋体" w:hAnsi="宋体" w:eastAsia="宋体" w:cs="宋体"/>
          <w:color w:val="auto"/>
          <w:sz w:val="22"/>
          <w:szCs w:val="22"/>
          <w:highlight w:val="none"/>
          <w:lang w:eastAsia="zh-CN"/>
        </w:rPr>
        <w:t xml:space="preserve">采购方式</w:t>
      </w:r>
      <w:r>
        <w:rPr>
          <w:rFonts w:hint="eastAsia" w:ascii="宋体" w:hAnsi="宋体" w:eastAsia="宋体" w:cs="宋体"/>
          <w:color w:val="auto"/>
          <w:sz w:val="22"/>
          <w:szCs w:val="22"/>
          <w:highlight w:val="none"/>
        </w:rPr>
        <w:t xml:space="preserve">管理暂行办法有关问题的补充通知》（财库[2015]124号）规定情形的，提交最后报价的供应商可以为2家。</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24.1.3 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24.2 评审方法和标准</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24.2.1评审方法。经磋商确定最终采购需求和提交最后报价的供应商后，由磋商小组采用综合评分法对提交最后报价的供应商的响应文件和最后报价进行综合评分。</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24.2.2评审标准</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见本磋商文件第五章规定。</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24.3采购活动终止的情况</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出现下列情形之一的，本次竞争性磋商采购活动将被终止：</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（1）因情况变化，不再符合规定的竞争性磋商</w:t>
      </w:r>
      <w:r>
        <w:rPr>
          <w:rFonts w:hint="eastAsia" w:ascii="宋体" w:hAnsi="宋体" w:eastAsia="宋体" w:cs="宋体"/>
          <w:color w:val="auto"/>
          <w:sz w:val="22"/>
          <w:szCs w:val="22"/>
          <w:highlight w:val="none"/>
          <w:lang w:eastAsia="zh-CN"/>
        </w:rPr>
        <w:t xml:space="preserve">采购方式</w:t>
      </w:r>
      <w:r>
        <w:rPr>
          <w:rFonts w:hint="eastAsia" w:ascii="宋体" w:hAnsi="宋体" w:eastAsia="宋体" w:cs="宋体"/>
          <w:color w:val="auto"/>
          <w:sz w:val="22"/>
          <w:szCs w:val="22"/>
          <w:highlight w:val="none"/>
        </w:rPr>
        <w:t xml:space="preserve">适用情形的；</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（2）出现影响采购公正的违法、违规行为的；</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（3）除本磋商文件第24.1.2条第三款规定的情形外，在采购过程中符合要求的供应商或者报价未超过采购预算的供应商不足3家的。</w:t>
      </w:r>
      <w:r/>
    </w:p>
    <w:p>
      <w:pPr>
        <w:pStyle w:val="1137"/>
        <w:ind w:firstLine="434"/>
        <w:spacing w:before="0" w:after="0" w:line="360" w:lineRule="auto"/>
        <w:rPr>
          <w:rFonts w:hint="eastAsia" w:ascii="黑体" w:hAnsi="黑体" w:eastAsia="黑体" w:cs="黑体"/>
          <w:b w:val="0"/>
          <w:bCs w:val="0"/>
          <w:color w:val="auto"/>
          <w:sz w:val="28"/>
          <w:szCs w:val="28"/>
          <w:highlight w:val="none"/>
        </w:rPr>
      </w:pPr>
      <w:r/>
      <w:bookmarkStart w:id="246" w:name="_Toc7209"/>
      <w:r>
        <w:rPr>
          <w:rFonts w:hint="eastAsia" w:ascii="黑体" w:hAnsi="黑体" w:eastAsia="黑体" w:cs="黑体"/>
          <w:b w:val="0"/>
          <w:bCs w:val="0"/>
          <w:color w:val="auto"/>
          <w:sz w:val="28"/>
          <w:szCs w:val="28"/>
          <w:highlight w:val="none"/>
        </w:rPr>
        <w:t xml:space="preserve">六、成交</w:t>
      </w:r>
      <w:bookmarkEnd w:id="246"/>
      <w:r/>
      <w:r/>
    </w:p>
    <w:p>
      <w:pPr>
        <w:pStyle w:val="1138"/>
        <w:ind w:firstLine="361"/>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25.确定成交单位</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25.1 磋商小组根据综合评分情况，按照评审得分由高到低顺序推荐3名成交候选供应商，并编写评审报告。符合本文件第24.1.2条情形的，可以推荐2名成交候选供应商。评审得分相同的，按照最后报价由低到高的顺序推荐。评审得分且最后报价相同的，按照技术指标优劣顺序推荐。</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竞争性磋商文件未规定的采取随机抽取方式确定，其他同品牌同型号供应商不作为成交候选人。</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25.2采购人从评审报告提出的成交候选供应商中，按照排序由高到低的原则确定成交供应商。采购人确定成交供应商后，招标代理将在“</w:t>
      </w:r>
      <w:r>
        <w:rPr>
          <w:rFonts w:hint="eastAsia" w:ascii="宋体" w:hAnsi="宋体" w:eastAsia="宋体" w:cs="宋体"/>
          <w:color w:val="auto"/>
          <w:sz w:val="22"/>
          <w:szCs w:val="22"/>
          <w:highlight w:val="none"/>
          <w:lang w:eastAsia="zh-CN"/>
        </w:rPr>
        <w:t xml:space="preserve">江苏政府采购网</w:t>
      </w:r>
      <w:r>
        <w:rPr>
          <w:rFonts w:hint="eastAsia" w:ascii="宋体" w:hAnsi="宋体" w:eastAsia="宋体" w:cs="宋体"/>
          <w:color w:val="auto"/>
          <w:sz w:val="22"/>
          <w:szCs w:val="22"/>
          <w:highlight w:val="none"/>
        </w:rPr>
        <w:t xml:space="preserve">”发布成交结果公告，公告期限为1个工作日。</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结果确定后，招标代理将向成交供应商发出成交通知书。招标代理将以中国邮政EMS的形式向成交供应商寄送成交通知书，请供应商务必准确填写《法人授权书》，如因相关信息错误导致成交通知书无法寄达，招标代理将不再寄送成交通知书，由此造成的不利后果由供应商自行承担。</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25.3若有充分证据证明，成交供应商出现下列情况之一的，一经查实，将被取消成交资格：</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（1）提供虚假材料谋取成交的；</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（2）与评审专家、采购人、其他供应商或者招标代理工作人员恶意串通的；</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（3）向评审专家、采购人或招标代理工作人员行贿或者提供其他不正当利益的；</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（4）恶意竞争，最后报价明显低于其自身合理成本且又无法提供证明的；</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（5）不满足本磋商文件规定的实质性要求，但在评审过程中又未被磋商小组发现的；</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（6）成交后无正当理由拒不与采购人签订政府采购合同或者未按照磋商文件确定的事项签订政府采购合同；</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（7）将政府采购合同转包；</w:t>
      </w:r>
      <w:r/>
    </w:p>
    <w:p>
      <w:pPr>
        <w:pStyle w:val="1138"/>
        <w:ind w:firstLine="361"/>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26.质疑处理</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26.1 提出质疑的供应商应当是参与所质疑项目采购活动的供应商。潜在供应商依法获取其可质疑的磋商文件的，可以对磋商文件提出质疑。</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部分的质疑，潜在供应商应向采购人提出，由采购人负责答复。</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部分以外内容的质疑，潜在供应商应向招标代理提出，由招标代理负责答复。</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26.2供应商认为磋商文件、采购过程和采购结果使自己的权益受到损害的，可以在知道或应知其权益受到损害之日起七个工作日内，以书面形式向招标代理或采购人提出质疑。上述应知其权益受到损害之日，是指：</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（1）对可以质疑的磋商文件提出质疑的，为收到磋商文件之日或者磋商文件公告期限届满之日；</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（2）对采购过程提出质疑的，为各采购程序环节结束之日；</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（3）对成交结果提出质疑的，为成交结果公告期限届满之日。</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供应商应当在法定质疑期内一次性提出针对同一采购程序环节的质疑。供应商如在法定期限内对同一采购程序环节提出多次质疑的，招标代理、采购人将只对供应商第一次质疑作出答复。</w:t>
      </w:r>
      <w:r/>
    </w:p>
    <w:p>
      <w:pPr>
        <w:ind w:firstLine="440"/>
        <w:spacing w:line="288"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26</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zh-CN"/>
        </w:rPr>
        <w:t xml:space="preserve">质疑必须以参加磋商的法定代表人或授权代表（响应文件中所确定的）原件送达的方式提交。</w:t>
      </w:r>
      <w:r/>
    </w:p>
    <w:p>
      <w:pPr>
        <w:ind w:firstLine="440"/>
        <w:spacing w:line="288"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26.4</w:t>
      </w:r>
      <w:r>
        <w:rPr>
          <w:rFonts w:hint="eastAsia" w:ascii="宋体" w:hAnsi="宋体" w:eastAsia="宋体" w:cs="宋体"/>
          <w:color w:val="auto"/>
          <w:sz w:val="22"/>
          <w:szCs w:val="22"/>
          <w:highlight w:val="none"/>
          <w:lang w:val="zh-CN"/>
        </w:rPr>
        <w:t xml:space="preserve">未参加磋商活动的供应商或在磋商活动中自身权益未受到损害的供应商所提出的质疑不予受理。</w:t>
      </w:r>
      <w:r/>
    </w:p>
    <w:p>
      <w:pPr>
        <w:ind w:firstLine="440"/>
        <w:spacing w:line="288"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26</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val="zh-CN"/>
        </w:rPr>
        <w:t xml:space="preserve">质疑函应当包括下列内容：</w:t>
      </w:r>
      <w:r/>
    </w:p>
    <w:p>
      <w:pPr>
        <w:ind w:firstLine="440"/>
        <w:spacing w:line="288"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zh-CN"/>
        </w:rPr>
        <w:t xml:space="preserve">质疑供应商的名称、地址、邮编、联系人、联系电话；</w:t>
      </w:r>
      <w:r/>
    </w:p>
    <w:p>
      <w:pPr>
        <w:ind w:firstLine="440"/>
        <w:spacing w:line="288"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val="zh-CN"/>
        </w:rPr>
        <w:t xml:space="preserve">具体的质疑事项及明确的请求；</w:t>
      </w:r>
      <w:r/>
    </w:p>
    <w:p>
      <w:pPr>
        <w:ind w:firstLine="440"/>
        <w:spacing w:line="288"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zh-CN"/>
        </w:rPr>
        <w:t xml:space="preserve">认为自己合法权益受到损害或可能受到损害的相关证据材料；</w:t>
      </w:r>
      <w:r/>
    </w:p>
    <w:p>
      <w:pPr>
        <w:ind w:firstLine="440"/>
        <w:spacing w:line="288"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val="zh-CN"/>
        </w:rPr>
        <w:t xml:space="preserve">提起质疑的日期；</w:t>
      </w:r>
      <w:r/>
    </w:p>
    <w:p>
      <w:pPr>
        <w:ind w:firstLine="440"/>
        <w:spacing w:line="288"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p>
    <w:p>
      <w:pPr>
        <w:ind w:firstLine="440"/>
        <w:spacing w:line="288"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26</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6招标</w:t>
      </w:r>
      <w:r>
        <w:rPr>
          <w:rFonts w:hint="eastAsia" w:ascii="宋体" w:hAnsi="宋体" w:eastAsia="宋体" w:cs="宋体"/>
          <w:color w:val="auto"/>
          <w:sz w:val="22"/>
          <w:szCs w:val="22"/>
          <w:highlight w:val="none"/>
          <w:lang w:val="zh-CN"/>
        </w:rPr>
        <w:t xml:space="preserve">代理机构收到质疑函后，将对质疑的形式和内容进行审查，如质疑函内容、格式不符合规定，招标代理机构将告知质疑人进行补正。</w:t>
      </w:r>
      <w:r/>
    </w:p>
    <w:p>
      <w:pPr>
        <w:ind w:firstLine="440"/>
        <w:spacing w:line="288"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26</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7</w:t>
      </w:r>
      <w:r>
        <w:rPr>
          <w:rFonts w:hint="eastAsia" w:ascii="宋体" w:hAnsi="宋体" w:eastAsia="宋体" w:cs="宋体"/>
          <w:color w:val="auto"/>
          <w:sz w:val="22"/>
          <w:szCs w:val="22"/>
          <w:highlight w:val="none"/>
          <w:lang w:val="zh-CN"/>
        </w:rPr>
        <w:t xml:space="preserve">质疑人应当在法定质疑期限内进行补正并重新提交质疑函，拒不补正或者在法定期限内未重新提交质疑函的，为无效质疑，招标代理机构有权不予受理。</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26.8 以下情形的质疑不予受理</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26.8.1 内容不符合《政府采购质疑和投诉办法》第十二条规定的质疑。</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26.8.2 超出政府采购法定期限的质疑。</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26.8.3 以传真、电子邮件等方式递交的非原件形式的质疑。</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26.8.4 未参加磋商活动的供应商或在磋商活动中自身权益未受到损害的供应商所提出的质疑。</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26.8.5供应商组成联合体参加磋商，联合体中任何一方或多方未按要求签字、盖章、加盖公章的质疑。</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26.9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p>
    <w:p>
      <w:pPr>
        <w:pStyle w:val="1137"/>
        <w:ind w:firstLine="434"/>
        <w:spacing w:before="0" w:after="0" w:line="360" w:lineRule="auto"/>
        <w:rPr>
          <w:rFonts w:hint="eastAsia" w:ascii="黑体" w:hAnsi="黑体" w:eastAsia="黑体" w:cs="黑体"/>
          <w:b w:val="0"/>
          <w:bCs w:val="0"/>
          <w:color w:val="auto"/>
          <w:sz w:val="28"/>
          <w:szCs w:val="28"/>
          <w:highlight w:val="none"/>
        </w:rPr>
      </w:pPr>
      <w:r/>
      <w:bookmarkStart w:id="247" w:name="_Toc31999"/>
      <w:r>
        <w:rPr>
          <w:rFonts w:hint="eastAsia" w:ascii="黑体" w:hAnsi="黑体" w:eastAsia="黑体" w:cs="黑体"/>
          <w:b w:val="0"/>
          <w:bCs w:val="0"/>
          <w:color w:val="auto"/>
          <w:sz w:val="28"/>
          <w:szCs w:val="28"/>
          <w:highlight w:val="none"/>
        </w:rPr>
        <w:t xml:space="preserve">七、合同签订相关事项</w:t>
      </w:r>
      <w:bookmarkEnd w:id="247"/>
      <w:r/>
      <w:r/>
    </w:p>
    <w:p>
      <w:pPr>
        <w:pStyle w:val="1138"/>
        <w:ind w:firstLine="361"/>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27.成交通知书</w:t>
      </w:r>
      <w:r/>
    </w:p>
    <w:p>
      <w:pPr>
        <w:ind w:firstLine="440"/>
        <w:spacing w:line="288"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27</w:t>
      </w:r>
      <w:r>
        <w:rPr>
          <w:rFonts w:hint="eastAsia" w:ascii="宋体" w:hAnsi="宋体" w:eastAsia="宋体" w:cs="宋体"/>
          <w:color w:val="auto"/>
          <w:sz w:val="22"/>
          <w:szCs w:val="22"/>
          <w:highlight w:val="none"/>
          <w:lang w:val="zh-CN"/>
        </w:rPr>
        <w:t xml:space="preserve">.l 成交结果确定后，招标代理将向成交人发出成交通知书。请成交人在成交结果公示期满后，主动与项目负责人联系领取成交通知书。</w:t>
      </w:r>
      <w:r/>
    </w:p>
    <w:p>
      <w:pPr>
        <w:ind w:firstLine="440"/>
        <w:spacing w:line="288"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28</w:t>
      </w:r>
      <w:r>
        <w:rPr>
          <w:rFonts w:hint="eastAsia" w:ascii="宋体" w:hAnsi="宋体" w:eastAsia="宋体" w:cs="宋体"/>
          <w:color w:val="auto"/>
          <w:sz w:val="22"/>
          <w:szCs w:val="22"/>
          <w:highlight w:val="none"/>
          <w:lang w:val="zh-CN"/>
        </w:rPr>
        <w:t xml:space="preserve">.2成交通知书将是合同的一个组成部分。对采购人和成交人均具有法律效力。成交通知书发出后，采购人改变成交结果的，或者成交人放弃成交项目的，应当依法承担法律责任。</w:t>
      </w:r>
      <w:r/>
    </w:p>
    <w:p>
      <w:pPr>
        <w:pStyle w:val="1138"/>
        <w:ind w:firstLine="361"/>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28.签订合同</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28.l成交供应商应当在成交通知书发出之日起三十日内，按照磋商文件确定的事项与采购人签订政府采购合同。</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28.2 磋商文件、成交供应商的响应文件及磋商采购过程中有关澄清、承诺文件均应作为合同附件。</w:t>
      </w:r>
      <w:r/>
    </w:p>
    <w:p>
      <w:pPr>
        <w:ind w:firstLine="44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bookmarkEnd w:id="205"/>
      <w:r/>
      <w:bookmarkEnd w:id="206"/>
      <w:r/>
      <w:bookmarkEnd w:id="207"/>
      <w:r/>
      <w:r/>
    </w:p>
    <w:p>
      <w:pPr>
        <w:pStyle w:val="1160"/>
        <w:ind w:left="1260"/>
        <w:rPr>
          <w:rFonts w:hint="eastAsia" w:ascii="宋体" w:hAnsi="宋体" w:eastAsia="宋体" w:cs="宋体"/>
          <w:color w:val="auto"/>
          <w:highlight w:val="none"/>
        </w:rPr>
      </w:pPr>
      <w:r/>
      <w:bookmarkStart w:id="248" w:name="_Toc513029242"/>
      <w:r/>
      <w:bookmarkStart w:id="249" w:name="_Toc20823314"/>
      <w:r/>
      <w:bookmarkStart w:id="250" w:name="_Toc479757207"/>
      <w:r/>
      <w:bookmarkStart w:id="251" w:name="_Toc16938558"/>
      <w:r/>
      <w:bookmarkStart w:id="252" w:name="_Toc12061422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0"/>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0"/>
        <w:ind w:left="0"/>
        <w:rPr>
          <w:rFonts w:hint="eastAsia" w:ascii="宋体" w:hAnsi="宋体" w:eastAsia="宋体" w:cs="宋体"/>
          <w:color w:val="auto"/>
          <w:highlight w:val="none"/>
        </w:rPr>
      </w:pPr>
      <w:r>
        <w:rPr>
          <w:rFonts w:hint="eastAsia" w:ascii="宋体" w:hAnsi="宋体" w:eastAsia="宋体" w:cs="宋体"/>
          <w:color w:val="auto"/>
          <w:highlight w:val="none"/>
        </w:rPr>
      </w:r>
      <w:bookmarkEnd w:id="248"/>
      <w:r/>
      <w:bookmarkEnd w:id="249"/>
      <w:r/>
      <w:bookmarkEnd w:id="250"/>
      <w:r/>
      <w:bookmarkEnd w:id="251"/>
      <w:r/>
      <w:bookmarkEnd w:id="252"/>
      <w:r/>
      <w:r/>
    </w:p>
    <w:p>
      <w:pPr>
        <w:pStyle w:val="1134"/>
        <w:rPr>
          <w:rFonts w:hint="eastAsia" w:ascii="宋体" w:hAnsi="宋体" w:eastAsia="宋体" w:cs="宋体"/>
          <w:color w:val="auto"/>
          <w:highlight w:val="none"/>
        </w:rPr>
      </w:pPr>
      <w:r/>
      <w:bookmarkStart w:id="253" w:name="_Toc8018"/>
      <w:r/>
      <w:bookmarkStart w:id="254" w:name="_Hlt16619350"/>
      <w:r/>
      <w:bookmarkStart w:id="255" w:name="_Toc16938590"/>
      <w:r/>
      <w:bookmarkStart w:id="256" w:name="_Toc120614244"/>
      <w:r/>
      <w:bookmarkStart w:id="257" w:name="_Toc20823346"/>
      <w:r/>
      <w:bookmarkStart w:id="258" w:name="_Toc462564139"/>
      <w:r/>
      <w:bookmarkStart w:id="259" w:name="_Toc479757211"/>
      <w:r>
        <w:rPr>
          <w:rFonts w:hint="eastAsia" w:ascii="宋体" w:hAnsi="宋体" w:eastAsia="宋体" w:cs="宋体"/>
          <w:bCs/>
          <w:color w:val="auto"/>
          <w:sz w:val="44"/>
          <w:highlight w:val="none"/>
        </w:rPr>
        <w:br w:type="page" w:clear="all"/>
      </w:r>
      <w:bookmarkStart w:id="260" w:name="_Toc21500"/>
      <w:r>
        <w:rPr>
          <w:rFonts w:hint="eastAsia" w:ascii="黑体" w:hAnsi="黑体" w:eastAsia="黑体" w:cs="黑体"/>
          <w:b/>
          <w:bCs/>
          <w:color w:val="auto"/>
          <w:sz w:val="36"/>
          <w:szCs w:val="36"/>
          <w:highlight w:val="none"/>
        </w:rPr>
        <w:t xml:space="preserve">第</w:t>
      </w:r>
      <w:r>
        <w:rPr>
          <w:rFonts w:hint="eastAsia" w:ascii="黑体" w:hAnsi="黑体" w:eastAsia="黑体" w:cs="黑体"/>
          <w:b/>
          <w:bCs/>
          <w:color w:val="auto"/>
          <w:sz w:val="36"/>
          <w:szCs w:val="36"/>
          <w:highlight w:val="none"/>
          <w:lang w:val="en-US" w:eastAsia="zh-CN"/>
        </w:rPr>
        <w:t xml:space="preserve">三</w:t>
      </w:r>
      <w:r>
        <w:rPr>
          <w:rFonts w:hint="eastAsia" w:ascii="黑体" w:hAnsi="黑体" w:eastAsia="黑体" w:cs="黑体"/>
          <w:b/>
          <w:bCs/>
          <w:color w:val="auto"/>
          <w:sz w:val="36"/>
          <w:szCs w:val="36"/>
          <w:highlight w:val="none"/>
        </w:rPr>
        <w:t xml:space="preserve">章  评审方法与评审标准</w:t>
      </w:r>
      <w:bookmarkEnd w:id="253"/>
      <w:r/>
      <w:bookmarkEnd w:id="260"/>
      <w:r/>
      <w:r/>
    </w:p>
    <w:p>
      <w:pPr>
        <w:pStyle w:val="1236"/>
        <w:ind w:firstLine="512"/>
        <w:keepLines w:val="0"/>
        <w:keepNext w:val="0"/>
        <w:pageBreakBefore w:val="0"/>
        <w:spacing w:before="0" w:after="0"/>
        <w:widowControl w:val="off"/>
        <w:rPr>
          <w:rFonts w:hint="eastAsia" w:ascii="黑体" w:hAnsi="黑体" w:eastAsia="黑体" w:cs="黑体"/>
          <w:b w:val="0"/>
          <w:bCs/>
          <w:color w:val="auto"/>
          <w:sz w:val="28"/>
          <w:szCs w:val="28"/>
          <w:highlight w:val="none"/>
          <w:lang w:val="en-US" w:eastAsia="zh-CN"/>
        </w:rPr>
        <w:outlineLvl w:val="1"/>
      </w:pPr>
      <w:r/>
      <w:bookmarkStart w:id="261" w:name="_Toc19234"/>
      <w:r>
        <w:rPr>
          <w:rFonts w:hint="eastAsia" w:ascii="黑体" w:hAnsi="黑体" w:eastAsia="黑体" w:cs="黑体"/>
          <w:b w:val="0"/>
          <w:bCs/>
          <w:color w:val="auto"/>
          <w:sz w:val="28"/>
          <w:szCs w:val="28"/>
          <w:highlight w:val="none"/>
          <w:lang w:val="en-US" w:eastAsia="zh-CN"/>
        </w:rPr>
        <w:t xml:space="preserve">一、定标办法</w:t>
      </w:r>
      <w:bookmarkEnd w:id="261"/>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综合评分法的，评审结果按评审后综合得分由高到低顺序排列。得分相同的，按投标响应报价由低到高顺序排列。得分且投标响应报价相同的，按客观分得分由高到低顺序排列。投标响应文件满足磋商文件全部实质性要求，评审委员会按照评审因素的量化指标推荐评审综合排名前三的响应人为成交候选人。在采购人授权情况下，确定评审综合排名第一的为成交人。</w:t>
      </w:r>
      <w:r/>
    </w:p>
    <w:p>
      <w:pPr>
        <w:pStyle w:val="1236"/>
        <w:ind w:firstLine="512"/>
        <w:keepLines w:val="0"/>
        <w:keepNext w:val="0"/>
        <w:pageBreakBefore w:val="0"/>
        <w:spacing w:before="0" w:after="0"/>
        <w:widowControl w:val="off"/>
        <w:rPr>
          <w:rFonts w:hint="eastAsia" w:ascii="黑体" w:hAnsi="黑体" w:eastAsia="黑体" w:cs="黑体"/>
          <w:b w:val="0"/>
          <w:bCs/>
          <w:color w:val="auto"/>
          <w:sz w:val="28"/>
          <w:szCs w:val="28"/>
          <w:highlight w:val="none"/>
          <w:lang w:val="en-US" w:eastAsia="zh-CN"/>
        </w:rPr>
        <w:outlineLvl w:val="1"/>
      </w:pPr>
      <w:r/>
      <w:bookmarkStart w:id="262" w:name="_Toc20283"/>
      <w:r/>
      <w:bookmarkStart w:id="263" w:name="_Toc20085"/>
      <w:r>
        <w:rPr>
          <w:rFonts w:hint="eastAsia" w:ascii="黑体" w:hAnsi="黑体" w:eastAsia="黑体" w:cs="黑体"/>
          <w:b w:val="0"/>
          <w:bCs/>
          <w:color w:val="auto"/>
          <w:sz w:val="28"/>
          <w:szCs w:val="28"/>
          <w:highlight w:val="none"/>
          <w:lang w:val="en-US" w:eastAsia="zh-CN"/>
        </w:rPr>
        <w:t xml:space="preserve">二、政府采购政策功能落实</w:t>
      </w:r>
      <w:bookmarkEnd w:id="262"/>
      <w:r/>
      <w:bookmarkEnd w:id="263"/>
      <w:r/>
      <w:r/>
    </w:p>
    <w:p>
      <w:pPr>
        <w:ind w:firstLine="420"/>
        <w:rPr>
          <w:rFonts w:hint="eastAsia" w:ascii="宋体" w:hAnsi="宋体" w:eastAsia="宋体" w:cs="宋体"/>
          <w:color w:val="auto"/>
          <w:sz w:val="21"/>
          <w:szCs w:val="21"/>
          <w:highlight w:val="none"/>
        </w:rPr>
      </w:pPr>
      <w:r/>
      <w:bookmarkStart w:id="264" w:name="_Toc8920"/>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rPr>
        <w:t xml:space="preserve">企业价格扣除</w:t>
      </w:r>
      <w:bookmarkEnd w:id="264"/>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（1）本项目对小型和微型企业提供的服务给予10%的扣除价格，用扣除后的价格参与评审。</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按照磋商文件的要求提供相应的《</w:t>
      </w: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rPr>
        <w:t xml:space="preserve">企业声明函》。</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（3）企业标准请参照《关于印发中小企业划型标准规定的通知》（工信部联企业[2011]300号）文件规定自行填写。</w:t>
      </w:r>
      <w:r/>
    </w:p>
    <w:p>
      <w:pPr>
        <w:ind w:firstLine="420"/>
        <w:rPr>
          <w:rFonts w:hint="eastAsia" w:ascii="宋体" w:hAnsi="宋体" w:eastAsia="宋体" w:cs="宋体"/>
          <w:color w:val="auto"/>
          <w:sz w:val="21"/>
          <w:szCs w:val="21"/>
          <w:highlight w:val="none"/>
        </w:rPr>
      </w:pPr>
      <w:r/>
      <w:bookmarkStart w:id="265" w:name="_Toc17382"/>
      <w:r>
        <w:rPr>
          <w:rFonts w:hint="eastAsia" w:ascii="宋体" w:hAnsi="宋体" w:eastAsia="宋体" w:cs="宋体"/>
          <w:color w:val="auto"/>
          <w:sz w:val="21"/>
          <w:szCs w:val="21"/>
          <w:highlight w:val="none"/>
        </w:rPr>
        <w:t xml:space="preserve">2.残疾人福利单位价格扣除</w:t>
      </w:r>
      <w:bookmarkEnd w:id="265"/>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（1）本项目对残疾人福利性单位视同小型、微型企业，给予10%的价格扣除，用扣除后的价格参与评审。</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（2）残疾人福利单位需按照磋商文件的要求提供《残疾人福利性单位声明函》。</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ind w:firstLine="420"/>
        <w:rPr>
          <w:rFonts w:hint="eastAsia" w:ascii="宋体" w:hAnsi="宋体" w:eastAsia="宋体" w:cs="宋体"/>
          <w:color w:val="auto"/>
          <w:sz w:val="21"/>
          <w:szCs w:val="21"/>
          <w:highlight w:val="none"/>
        </w:rPr>
      </w:pPr>
      <w:r/>
      <w:bookmarkStart w:id="266" w:name="_Toc31547"/>
      <w:r>
        <w:rPr>
          <w:rFonts w:hint="eastAsia" w:ascii="宋体" w:hAnsi="宋体" w:eastAsia="宋体" w:cs="宋体"/>
          <w:color w:val="auto"/>
          <w:sz w:val="21"/>
          <w:szCs w:val="21"/>
          <w:highlight w:val="none"/>
        </w:rPr>
        <w:t xml:space="preserve">3.监狱和戒毒企业价格扣除</w:t>
      </w:r>
      <w:bookmarkEnd w:id="266"/>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（1）本项目对监狱和戒毒企业（简称监狱企业）视同小型、微型企业，给予10%的价格扣除，用扣除后的价格参与评审。</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6、联合体各方均为小型、微型企业（残疾人福利单位、监狱企业）的，联合体享受10%价格扣除，用扣除后的价格参与评审。</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7、本项目</w:t>
      </w:r>
      <w:r>
        <w:rPr>
          <w:rFonts w:hint="eastAsia" w:ascii="宋体" w:hAnsi="宋体" w:eastAsia="宋体" w:cs="宋体"/>
          <w:color w:val="auto"/>
          <w:sz w:val="21"/>
          <w:szCs w:val="21"/>
          <w:highlight w:val="none"/>
        </w:rPr>
        <w:t xml:space="preserve">采购标的对应的中小企业划分标准所属行业：</w:t>
      </w:r>
      <w:r>
        <w:rPr>
          <w:rFonts w:hint="eastAsia" w:ascii="宋体" w:hAnsi="宋体" w:cs="宋体"/>
          <w:color w:val="auto"/>
          <w:sz w:val="21"/>
          <w:szCs w:val="21"/>
          <w:highlight w:val="none"/>
          <w:lang w:eastAsia="zh-CN"/>
        </w:rPr>
        <w:t xml:space="preserve">软件和信息技术服务业</w:t>
      </w:r>
      <w:r>
        <w:rPr>
          <w:rFonts w:hint="eastAsia" w:ascii="宋体"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pStyle w:val="1236"/>
        <w:ind w:firstLine="512"/>
        <w:keepLines w:val="0"/>
        <w:keepNext w:val="0"/>
        <w:pageBreakBefore w:val="0"/>
        <w:spacing w:before="0" w:after="0"/>
        <w:widowControl w:val="off"/>
        <w:rPr>
          <w:rFonts w:hint="eastAsia" w:ascii="黑体" w:hAnsi="黑体" w:eastAsia="黑体" w:cs="黑体"/>
          <w:b w:val="0"/>
          <w:bCs/>
          <w:color w:val="auto"/>
          <w:sz w:val="28"/>
          <w:szCs w:val="28"/>
          <w:highlight w:val="none"/>
          <w:lang w:val="en-US" w:eastAsia="zh-CN"/>
        </w:rPr>
        <w:outlineLvl w:val="1"/>
      </w:pPr>
      <w:r/>
      <w:bookmarkStart w:id="267" w:name="_Toc24449"/>
      <w:r>
        <w:rPr>
          <w:rFonts w:hint="eastAsia" w:ascii="黑体" w:hAnsi="黑体" w:eastAsia="黑体" w:cs="黑体"/>
          <w:b w:val="0"/>
          <w:bCs/>
          <w:color w:val="auto"/>
          <w:sz w:val="28"/>
          <w:szCs w:val="28"/>
          <w:highlight w:val="none"/>
          <w:lang w:val="en-US" w:eastAsia="zh-CN"/>
        </w:rPr>
        <w:t xml:space="preserve">三、政府采购异常低价问题处理方式</w:t>
      </w:r>
      <w:bookmarkEnd w:id="267"/>
      <w:r/>
      <w:r/>
    </w:p>
    <w:p>
      <w:pPr>
        <w:ind w:firstLine="420"/>
        <w:spacing w:line="360" w:lineRule="auto"/>
        <w:rPr>
          <w:rFonts w:hint="eastAsia" w:ascii="宋体" w:eastAsia="宋体" w:cs="宋体"/>
          <w:color w:val="auto"/>
          <w:sz w:val="21"/>
          <w:szCs w:val="21"/>
          <w:highlight w:val="none"/>
          <w:lang w:bidi="ar-SA"/>
        </w:rPr>
      </w:pPr>
      <w:r/>
      <w:bookmarkStart w:id="268" w:name="_Toc6081"/>
      <w:r>
        <w:rPr>
          <w:rFonts w:hint="eastAsia" w:ascii="宋体" w:eastAsia="宋体" w:cs="宋体"/>
          <w:color w:val="auto"/>
          <w:sz w:val="21"/>
          <w:szCs w:val="21"/>
          <w:highlight w:val="none"/>
          <w:lang w:bidi="ar-SA"/>
        </w:rPr>
        <w:t xml:space="preserve">1.根据《关于推动解决政府采购异常低价问题的通知》(财库〔2026〕2号)要求，政府采购评标中出现下列情形之一的，评标委员会应当启动异常低价投标审查程序:</w:t>
      </w:r>
      <w:r/>
    </w:p>
    <w:p>
      <w:pPr>
        <w:ind w:firstLine="420"/>
        <w:spacing w:line="360" w:lineRule="auto"/>
        <w:rPr>
          <w:rFonts w:hint="eastAsia" w:ascii="宋体" w:eastAsia="宋体" w:cs="宋体"/>
          <w:color w:val="auto"/>
          <w:sz w:val="21"/>
          <w:szCs w:val="21"/>
          <w:highlight w:val="none"/>
          <w:lang w:bidi="ar-SA"/>
        </w:rPr>
      </w:pPr>
      <w:r>
        <w:rPr>
          <w:rFonts w:hint="eastAsia" w:ascii="宋体" w:eastAsia="宋体" w:cs="宋体"/>
          <w:color w:val="auto"/>
          <w:sz w:val="21"/>
          <w:szCs w:val="21"/>
          <w:highlight w:val="none"/>
          <w:lang w:bidi="ar-SA"/>
        </w:rPr>
        <w:t xml:space="preserve">（1）投标报价低于全部通过符合性审查供应商投标报价平均值50%的，即投标报价&lt;全部通过符合性审查供应商投标报价平均值×50%；</w:t>
      </w:r>
      <w:r/>
    </w:p>
    <w:p>
      <w:pPr>
        <w:ind w:firstLine="420"/>
        <w:spacing w:line="360" w:lineRule="auto"/>
        <w:rPr>
          <w:rFonts w:hint="eastAsia" w:ascii="宋体" w:eastAsia="宋体" w:cs="宋体"/>
          <w:color w:val="auto"/>
          <w:sz w:val="21"/>
          <w:szCs w:val="21"/>
          <w:highlight w:val="none"/>
          <w:lang w:bidi="ar-SA"/>
        </w:rPr>
      </w:pPr>
      <w:r>
        <w:rPr>
          <w:rFonts w:hint="eastAsia" w:ascii="宋体" w:eastAsia="宋体" w:cs="宋体"/>
          <w:color w:val="auto"/>
          <w:sz w:val="21"/>
          <w:szCs w:val="21"/>
          <w:highlight w:val="none"/>
          <w:lang w:bidi="ar-SA"/>
        </w:rPr>
        <w:t xml:space="preserve">（2）投标报价低于通过符合性审查的次低报价供应商投标报价50%的，即投标报价&lt;通过符合性审查的次低报价供应商投标报价×50%；</w:t>
      </w:r>
      <w:r/>
    </w:p>
    <w:p>
      <w:pPr>
        <w:ind w:firstLine="420"/>
        <w:spacing w:line="360" w:lineRule="auto"/>
        <w:rPr>
          <w:rFonts w:hint="eastAsia" w:ascii="宋体" w:eastAsia="宋体" w:cs="宋体"/>
          <w:color w:val="auto"/>
          <w:sz w:val="21"/>
          <w:szCs w:val="21"/>
          <w:highlight w:val="none"/>
          <w:lang w:bidi="ar-SA"/>
        </w:rPr>
      </w:pPr>
      <w:r>
        <w:rPr>
          <w:rFonts w:hint="eastAsia" w:ascii="宋体" w:eastAsia="宋体" w:cs="宋体"/>
          <w:color w:val="auto"/>
          <w:sz w:val="21"/>
          <w:szCs w:val="21"/>
          <w:highlight w:val="none"/>
          <w:lang w:bidi="ar-SA"/>
        </w:rPr>
        <w:t xml:space="preserve">（3）投标报价低于采购项目最高限价45%的，即投标报价&lt;采购项目最高限价×45%；</w:t>
      </w:r>
      <w:r/>
    </w:p>
    <w:p>
      <w:pPr>
        <w:ind w:firstLine="420"/>
        <w:spacing w:line="360" w:lineRule="auto"/>
        <w:rPr>
          <w:rFonts w:hint="eastAsia" w:ascii="宋体" w:eastAsia="宋体" w:cs="宋体"/>
          <w:color w:val="auto"/>
          <w:sz w:val="21"/>
          <w:szCs w:val="21"/>
          <w:highlight w:val="none"/>
          <w:lang w:bidi="ar-SA"/>
        </w:rPr>
      </w:pPr>
      <w:r>
        <w:rPr>
          <w:rFonts w:hint="eastAsia" w:ascii="宋体" w:eastAsia="宋体" w:cs="宋体"/>
          <w:color w:val="auto"/>
          <w:sz w:val="21"/>
          <w:szCs w:val="21"/>
          <w:highlight w:val="none"/>
          <w:lang w:bidi="ar-SA"/>
        </w:rPr>
        <w:t xml:space="preserve">（4）评标委员会基于专业判断，认为供应商报价过低，有可能影响产品质量或者不能诚信履约的其他情形。</w:t>
      </w:r>
      <w:r/>
    </w:p>
    <w:p>
      <w:pPr>
        <w:ind w:firstLine="420"/>
        <w:spacing w:line="360" w:lineRule="auto"/>
        <w:rPr>
          <w:rFonts w:hint="eastAsia" w:ascii="宋体" w:eastAsia="宋体" w:cs="宋体"/>
          <w:color w:val="auto"/>
          <w:sz w:val="21"/>
          <w:szCs w:val="21"/>
          <w:highlight w:val="none"/>
          <w:lang w:bidi="ar-SA"/>
        </w:rPr>
      </w:pPr>
      <w:r>
        <w:rPr>
          <w:rFonts w:hint="eastAsia" w:ascii="宋体" w:eastAsia="宋体" w:cs="宋体"/>
          <w:color w:val="auto"/>
          <w:sz w:val="21"/>
          <w:szCs w:val="21"/>
          <w:highlight w:val="none"/>
          <w:lang w:bidi="ar-SA"/>
        </w:rPr>
        <w:t xml:space="preserve">2.评标委员会启动异常低价响应审查后，属于前述第1项至第4项情形的，应当要求相关供应商在评标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标现场可不再重复提交。</w:t>
      </w:r>
      <w:r/>
    </w:p>
    <w:p>
      <w:pPr>
        <w:ind w:firstLine="420"/>
        <w:spacing w:line="360" w:lineRule="auto"/>
        <w:rPr>
          <w:rFonts w:hint="eastAsia" w:ascii="宋体" w:eastAsia="宋体" w:cs="宋体"/>
          <w:color w:val="auto"/>
          <w:sz w:val="21"/>
          <w:szCs w:val="21"/>
          <w:highlight w:val="none"/>
          <w:lang w:bidi="ar-SA"/>
        </w:rPr>
      </w:pPr>
      <w:r>
        <w:rPr>
          <w:rFonts w:hint="eastAsia" w:ascii="宋体" w:eastAsia="宋体" w:cs="宋体"/>
          <w:color w:val="auto"/>
          <w:sz w:val="21"/>
          <w:szCs w:val="21"/>
          <w:highlight w:val="none"/>
          <w:lang w:bidi="ar-SA"/>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p>
    <w:p>
      <w:pPr>
        <w:ind w:firstLine="420"/>
        <w:spacing w:line="360" w:lineRule="auto"/>
        <w:rPr>
          <w:rFonts w:hint="eastAsia" w:ascii="宋体" w:eastAsia="宋体" w:cs="宋体"/>
          <w:color w:val="auto"/>
          <w:sz w:val="21"/>
          <w:szCs w:val="21"/>
          <w:highlight w:val="none"/>
          <w:lang w:bidi="ar-SA"/>
        </w:rPr>
      </w:pPr>
      <w:r>
        <w:rPr>
          <w:rFonts w:hint="eastAsia" w:ascii="宋体" w:eastAsia="宋体" w:cs="宋体"/>
          <w:color w:val="auto"/>
          <w:sz w:val="21"/>
          <w:szCs w:val="21"/>
          <w:highlight w:val="none"/>
          <w:lang w:bidi="ar-SA"/>
        </w:rPr>
        <w:t xml:space="preserve">采购人、采购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20"/>
        <w:spacing w:line="360" w:lineRule="auto"/>
        <w:rPr>
          <w:rFonts w:hint="eastAsia" w:ascii="宋体" w:eastAsia="宋体" w:cs="宋体"/>
          <w:color w:val="auto"/>
          <w:sz w:val="21"/>
          <w:szCs w:val="21"/>
          <w:highlight w:val="none"/>
          <w:lang w:bidi="ar-SA"/>
        </w:rPr>
      </w:pPr>
      <w:r>
        <w:rPr>
          <w:rFonts w:hint="eastAsia" w:ascii="宋体" w:eastAsia="宋体" w:cs="宋体"/>
          <w:color w:val="auto"/>
          <w:sz w:val="21"/>
          <w:szCs w:val="21"/>
          <w:highlight w:val="none"/>
          <w:lang w:bidi="ar-SA"/>
        </w:rPr>
        <w:t xml:space="preserve">异常低价响应审查的启动原因、审查意见和审查结果应当在评标报告中记录，并随供应商提供的相关书面说明及证明材料，以及评标委员会有关互联网浏览、查询历史一并归档。</w:t>
      </w:r>
      <w:r/>
    </w:p>
    <w:p>
      <w:pPr>
        <w:pStyle w:val="1236"/>
        <w:ind w:firstLine="512"/>
        <w:keepLines w:val="0"/>
        <w:keepNext w:val="0"/>
        <w:pageBreakBefore w:val="0"/>
        <w:spacing w:before="0" w:after="0"/>
        <w:widowControl w:val="off"/>
        <w:rPr>
          <w:rFonts w:hint="eastAsia" w:ascii="黑体" w:hAnsi="黑体" w:eastAsia="黑体" w:cs="黑体"/>
          <w:b w:val="0"/>
          <w:bCs/>
          <w:color w:val="auto"/>
          <w:sz w:val="28"/>
          <w:szCs w:val="28"/>
          <w:highlight w:val="none"/>
        </w:rPr>
        <w:outlineLvl w:val="1"/>
      </w:pPr>
      <w:r>
        <w:rPr>
          <w:rFonts w:hint="eastAsia" w:ascii="黑体" w:hAnsi="黑体" w:eastAsia="黑体" w:cs="黑体"/>
          <w:b w:val="0"/>
          <w:bCs/>
          <w:color w:val="auto"/>
          <w:sz w:val="28"/>
          <w:szCs w:val="28"/>
          <w:highlight w:val="none"/>
          <w:lang w:val="en-US" w:eastAsia="zh-CN"/>
        </w:rPr>
        <w:t xml:space="preserve">四</w:t>
      </w:r>
      <w:r>
        <w:rPr>
          <w:rFonts w:hint="eastAsia" w:ascii="黑体" w:hAnsi="黑体" w:eastAsia="黑体" w:cs="黑体"/>
          <w:b w:val="0"/>
          <w:bCs/>
          <w:color w:val="auto"/>
          <w:sz w:val="28"/>
          <w:szCs w:val="28"/>
          <w:highlight w:val="none"/>
        </w:rPr>
        <w:t xml:space="preserve">、评审办法和评审标准</w:t>
      </w:r>
      <w:bookmarkEnd w:id="268"/>
      <w:r/>
      <w:r/>
    </w:p>
    <w:tbl>
      <w:tblPr>
        <w:tblStyle w:val="958"/>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cs="宋体" w:asciiTheme="minorEastAsia" w:hAnsiTheme="minorEastAsia" w:eastAsiaTheme="minorEastAsia"/>
                <w:b/>
                <w:bCs/>
                <w:color w:val="auto"/>
                <w:spacing w:val="-2"/>
                <w:szCs w:val="21"/>
                <w:highlight w:val="none"/>
              </w:rPr>
            </w:pPr>
            <w:r>
              <w:rPr>
                <w:rFonts w:hint="eastAsia" w:asciiTheme="minorEastAsia" w:hAnsiTheme="minorEastAsia" w:eastAsiaTheme="minorEastAsia"/>
                <w:b/>
                <w:bCs/>
                <w:color w:val="auto"/>
                <w:szCs w:val="21"/>
                <w:highlight w:val="none"/>
              </w:rPr>
              <w:t xml:space="preserve">序号</w:t>
            </w:r>
            <w:r/>
          </w:p>
        </w:tc>
        <w:tc>
          <w:tcPr>
            <w:tcW w:w="1039" w:type="dxa"/>
            <w:vAlign w:val="center"/>
            <w:textDirection w:val="lrTb"/>
            <w:noWrap w:val="false"/>
          </w:tcPr>
          <w:p>
            <w:pPr>
              <w:jc w:val="center"/>
              <w:spacing w:line="360" w:lineRule="auto"/>
              <w:rPr>
                <w:rFonts w:cs="宋体" w:asciiTheme="minorEastAsia" w:hAnsiTheme="minorEastAsia" w:eastAsiaTheme="minorEastAsia"/>
                <w:b/>
                <w:bCs/>
                <w:color w:val="auto"/>
                <w:spacing w:val="-2"/>
                <w:szCs w:val="21"/>
                <w:highlight w:val="none"/>
              </w:rPr>
            </w:pPr>
            <w:r>
              <w:rPr>
                <w:rFonts w:hint="eastAsia" w:asciiTheme="minorEastAsia" w:hAnsiTheme="minorEastAsia" w:eastAsiaTheme="minorEastAsia"/>
                <w:b/>
                <w:bCs/>
                <w:color w:val="auto"/>
                <w:szCs w:val="21"/>
                <w:highlight w:val="none"/>
              </w:rPr>
              <w:t xml:space="preserve">评分因素</w:t>
            </w:r>
            <w:r/>
          </w:p>
        </w:tc>
        <w:tc>
          <w:tcPr>
            <w:tcW w:w="6800" w:type="dxa"/>
            <w:vAlign w:val="center"/>
            <w:textDirection w:val="lrTb"/>
            <w:noWrap w:val="false"/>
          </w:tcPr>
          <w:p>
            <w:pPr>
              <w:jc w:val="center"/>
              <w:spacing w:line="360" w:lineRule="auto"/>
              <w:rPr>
                <w:rFonts w:cs="宋体" w:asciiTheme="minorEastAsia" w:hAnsiTheme="minorEastAsia" w:eastAsiaTheme="minorEastAsia"/>
                <w:b/>
                <w:bCs/>
                <w:color w:val="auto"/>
                <w:spacing w:val="-2"/>
                <w:szCs w:val="21"/>
                <w:highlight w:val="none"/>
              </w:rPr>
            </w:pPr>
            <w:r>
              <w:rPr>
                <w:rFonts w:hint="eastAsia" w:asciiTheme="minorEastAsia" w:hAnsiTheme="minorEastAsia" w:eastAsiaTheme="minorEastAsia"/>
                <w:b/>
                <w:bCs/>
                <w:color w:val="auto"/>
                <w:szCs w:val="21"/>
                <w:highlight w:val="none"/>
              </w:rPr>
              <w:t xml:space="preserve">评审标准</w:t>
            </w:r>
            <w:r/>
          </w:p>
        </w:tc>
        <w:tc>
          <w:tcPr>
            <w:tcW w:w="575" w:type="dxa"/>
            <w:vAlign w:val="center"/>
            <w:textDirection w:val="lrTb"/>
            <w:noWrap w:val="false"/>
          </w:tcPr>
          <w:p>
            <w:pPr>
              <w:jc w:val="center"/>
              <w:spacing w:line="360" w:lineRule="auto"/>
              <w:rPr>
                <w:rFonts w:cs="宋体" w:asciiTheme="minorEastAsia" w:hAnsiTheme="minorEastAsia" w:eastAsiaTheme="minorEastAsia"/>
                <w:b/>
                <w:bCs/>
                <w:color w:val="auto"/>
                <w:spacing w:val="-2"/>
                <w:szCs w:val="21"/>
                <w:highlight w:val="none"/>
              </w:rPr>
            </w:pPr>
            <w:r>
              <w:rPr>
                <w:rFonts w:hint="eastAsia" w:asciiTheme="minorEastAsia" w:hAnsiTheme="minorEastAsia" w:eastAsiaTheme="minorEastAsia"/>
                <w:b/>
                <w:bCs/>
                <w:color w:val="auto"/>
                <w:szCs w:val="21"/>
                <w:highlight w:val="none"/>
              </w:rPr>
              <w:t xml:space="preserve">分值</w:t>
            </w:r>
            <w:r/>
          </w:p>
        </w:tc>
        <w:tc>
          <w:tcPr>
            <w:tcW w:w="789" w:type="dxa"/>
            <w:vAlign w:val="center"/>
            <w:textDirection w:val="lrTb"/>
            <w:noWrap w:val="false"/>
          </w:tcPr>
          <w:p>
            <w:pPr>
              <w:jc w:val="center"/>
              <w:spacing w:line="360" w:lineRule="auto"/>
              <w:rPr>
                <w:rFonts w:cs="宋体" w:asciiTheme="minorEastAsia" w:hAnsiTheme="minorEastAsia" w:eastAsiaTheme="minorEastAsia"/>
                <w:b/>
                <w:bCs/>
                <w:color w:val="auto"/>
                <w:spacing w:val="-2"/>
                <w:szCs w:val="21"/>
                <w:highlight w:val="none"/>
              </w:rPr>
            </w:pPr>
            <w:r>
              <w:rPr>
                <w:rFonts w:hint="eastAsia" w:asciiTheme="minorEastAsia" w:hAnsiTheme="minorEastAsia" w:eastAsiaTheme="minorEastAsia"/>
                <w:b/>
                <w:bCs/>
                <w:color w:val="auto"/>
                <w:szCs w:val="21"/>
                <w:highlight w:val="none"/>
              </w:rPr>
              <w:t xml:space="preserve">类型</w:t>
            </w:r>
            <w:r/>
          </w:p>
        </w:tc>
      </w:tr>
      <w:tr>
        <w:trPr>
          <w:jc w:val="center"/>
          <w:trHeight w:val="460"/>
        </w:trPr>
        <w:tc>
          <w:tcPr>
            <w:gridSpan w:val="5"/>
            <w:tcW w:w="9724" w:type="dxa"/>
            <w:vAlign w:val="center"/>
            <w:textDirection w:val="lrTb"/>
            <w:noWrap w:val="false"/>
          </w:tcPr>
          <w:p>
            <w:pPr>
              <w:jc w:val="cente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pacing w:val="-3"/>
                <w:szCs w:val="21"/>
                <w:highlight w:val="none"/>
              </w:rPr>
              <w:t xml:space="preserve">一、</w:t>
            </w:r>
            <w:r>
              <w:rPr>
                <w:rFonts w:cs="宋体" w:asciiTheme="minorEastAsia" w:hAnsiTheme="minorEastAsia" w:eastAsiaTheme="minorEastAsia"/>
                <w:b/>
                <w:bCs/>
                <w:color w:val="auto"/>
                <w:spacing w:val="-3"/>
                <w:szCs w:val="21"/>
                <w:highlight w:val="none"/>
              </w:rPr>
              <w:t xml:space="preserve">价</w:t>
            </w:r>
            <w:r>
              <w:rPr>
                <w:rFonts w:cs="宋体" w:asciiTheme="minorEastAsia" w:hAnsiTheme="minorEastAsia" w:eastAsiaTheme="minorEastAsia"/>
                <w:b/>
                <w:bCs/>
                <w:color w:val="auto"/>
                <w:spacing w:val="-2"/>
                <w:szCs w:val="21"/>
                <w:highlight w:val="none"/>
              </w:rPr>
              <w:t xml:space="preserve">格</w:t>
            </w:r>
            <w:bookmarkStart w:id="269" w:name="OLE_LINK30"/>
            <w:r>
              <w:rPr>
                <w:rFonts w:hint="eastAsia" w:cs="宋体" w:asciiTheme="minorEastAsia" w:hAnsiTheme="minorEastAsia" w:eastAsiaTheme="minorEastAsia"/>
                <w:b/>
                <w:bCs/>
                <w:color w:val="auto"/>
                <w:spacing w:val="-2"/>
                <w:szCs w:val="21"/>
                <w:highlight w:val="none"/>
              </w:rPr>
              <w:t xml:space="preserve"> </w:t>
            </w:r>
            <w:bookmarkEnd w:id="269"/>
            <w:r>
              <w:rPr>
                <w:rFonts w:hint="eastAsia" w:cs="宋体" w:asciiTheme="minorEastAsia" w:hAnsiTheme="minorEastAsia" w:eastAsiaTheme="minorEastAsia"/>
                <w:b/>
                <w:bCs/>
                <w:color w:val="auto"/>
                <w:spacing w:val="-2"/>
                <w:szCs w:val="21"/>
                <w:highlight w:val="none"/>
              </w:rPr>
              <w:t xml:space="preserve">10分</w:t>
            </w:r>
            <w:r/>
          </w:p>
        </w:tc>
      </w:tr>
      <w:tr>
        <w:trPr>
          <w:jc w:val="center"/>
          <w:trHeight w:val="398"/>
        </w:trPr>
        <w:tc>
          <w:tcPr>
            <w:tcW w:w="521" w:type="dxa"/>
            <w:vAlign w:val="center"/>
            <w:textDirection w:val="lrTb"/>
            <w:noWrap w:val="false"/>
          </w:tcPr>
          <w:p>
            <w:pPr>
              <w:jc w:val="cente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tcW w:w="1039" w:type="dxa"/>
            <w:vAlign w:val="center"/>
            <w:textDirection w:val="lrTb"/>
            <w:noWrap w:val="false"/>
          </w:tcPr>
          <w:p>
            <w:pPr>
              <w:jc w:val="cente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价格</w:t>
            </w:r>
            <w:r/>
          </w:p>
        </w:tc>
        <w:tc>
          <w:tcPr>
            <w:tcW w:w="6800" w:type="dxa"/>
            <w:vAlign w:val="center"/>
            <w:textDirection w:val="lrTb"/>
            <w:noWrap w:val="false"/>
          </w:tcPr>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用低价优先法计算，即满足磋商文件要求且最终报价最低的供应商的价格为磋商基准价，其价格分为满分。其他供应商的价格分统一按照下列公式计算：磋商报价得分=（磋商基准价/最后磋商报价）×10（小数点后保留两位小数）</w:t>
            </w:r>
            <w:r/>
          </w:p>
        </w:tc>
        <w:tc>
          <w:tcPr>
            <w:tcW w:w="575" w:type="dxa"/>
            <w:vAlign w:val="center"/>
            <w:textDirection w:val="lrTb"/>
            <w:noWrap w:val="false"/>
          </w:tcPr>
          <w:p>
            <w:pPr>
              <w:jc w:val="cente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tcW w:w="789" w:type="dxa"/>
            <w:vAlign w:val="center"/>
            <w:textDirection w:val="lrTb"/>
            <w:noWrap w:val="false"/>
          </w:tcPr>
          <w:p>
            <w:pPr>
              <w:jc w:val="cente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价格分</w:t>
            </w:r>
            <w:r/>
          </w:p>
        </w:tc>
      </w:tr>
      <w:tr>
        <w:trPr>
          <w:jc w:val="center"/>
          <w:trHeight w:val="448"/>
        </w:trPr>
        <w:tc>
          <w:tcPr>
            <w:gridSpan w:val="5"/>
            <w:tcW w:w="9724" w:type="dxa"/>
            <w:vAlign w:val="center"/>
            <w:textDirection w:val="lrTb"/>
            <w:noWrap w:val="false"/>
          </w:tcPr>
          <w:p>
            <w:pPr>
              <w:jc w:val="cente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color w:val="auto"/>
                <w:szCs w:val="21"/>
                <w:highlight w:val="none"/>
              </w:rPr>
              <w:t xml:space="preserve">二、技术</w:t>
            </w:r>
            <w:r>
              <w:rPr>
                <w:rFonts w:hint="eastAsia" w:cs="宋体" w:asciiTheme="minorEastAsia" w:hAnsiTheme="minorEastAsia" w:eastAsiaTheme="minorEastAsia"/>
                <w:b/>
                <w:bCs/>
                <w:color w:val="auto"/>
                <w:spacing w:val="-2"/>
                <w:szCs w:val="21"/>
                <w:highlight w:val="none"/>
              </w:rPr>
              <w:t xml:space="preserve">54</w:t>
            </w:r>
            <w:r>
              <w:rPr>
                <w:rFonts w:hint="eastAsia" w:cs="宋体" w:asciiTheme="minorEastAsia" w:hAnsiTheme="minorEastAsia" w:eastAsiaTheme="minorEastAsia"/>
                <w:b/>
                <w:color w:val="auto"/>
                <w:szCs w:val="21"/>
                <w:highlight w:val="none"/>
              </w:rPr>
              <w:t xml:space="preserve">分</w:t>
            </w:r>
            <w:r/>
          </w:p>
        </w:tc>
      </w:tr>
      <w:tr>
        <w:trPr>
          <w:jc w:val="center"/>
          <w:trHeight w:val="398"/>
        </w:trPr>
        <w:tc>
          <w:tcPr>
            <w:tcW w:w="521" w:type="dxa"/>
            <w:vAlign w:val="center"/>
            <w:textDirection w:val="lrTb"/>
            <w:noWrap w:val="false"/>
          </w:tcPr>
          <w:p>
            <w:pPr>
              <w:jc w:val="center"/>
              <w:spacing w:line="360" w:lineRule="auto"/>
              <w:rPr>
                <w:rFonts w:cs="宋体" w:asciiTheme="minorEastAsia" w:hAnsiTheme="minorEastAsia" w:eastAsiaTheme="minorEastAsia"/>
                <w:color w:val="auto"/>
                <w:spacing w:val="-2"/>
                <w:szCs w:val="21"/>
                <w:highlight w:val="none"/>
              </w:rPr>
            </w:pPr>
            <w:r>
              <w:rPr>
                <w:rFonts w:hint="eastAsia" w:cs="宋体" w:asciiTheme="minorEastAsia" w:hAnsiTheme="minorEastAsia" w:eastAsiaTheme="minorEastAsia"/>
                <w:color w:val="auto"/>
                <w:spacing w:val="-2"/>
                <w:szCs w:val="21"/>
                <w:highlight w:val="none"/>
              </w:rPr>
              <w:t xml:space="preserve">1</w:t>
            </w:r>
            <w:r/>
          </w:p>
        </w:tc>
        <w:tc>
          <w:tcPr>
            <w:tcW w:w="1039" w:type="dxa"/>
            <w:vAlign w:val="center"/>
            <w:textDirection w:val="lrTb"/>
            <w:noWrap w:val="false"/>
          </w:tcPr>
          <w:p>
            <w:pPr>
              <w:jc w:val="left"/>
              <w:spacing w:line="360" w:lineRule="auto"/>
              <w:rPr>
                <w:rFonts w:cs="宋体" w:asciiTheme="minorEastAsia" w:hAnsiTheme="minorEastAsia" w:eastAsiaTheme="minorEastAsia"/>
                <w:color w:val="auto"/>
                <w:spacing w:val="-2"/>
                <w:szCs w:val="21"/>
                <w:highlight w:val="none"/>
              </w:rPr>
            </w:pPr>
            <w:r>
              <w:rPr>
                <w:rFonts w:hint="eastAsia" w:cs="宋体" w:asciiTheme="minorEastAsia" w:hAnsiTheme="minorEastAsia" w:eastAsiaTheme="minorEastAsia"/>
                <w:color w:val="auto"/>
                <w:spacing w:val="-2"/>
                <w:szCs w:val="21"/>
                <w:highlight w:val="none"/>
              </w:rPr>
              <w:t xml:space="preserve">总体目标理解及运维方案</w:t>
            </w:r>
            <w:r/>
          </w:p>
        </w:tc>
        <w:tc>
          <w:tcPr>
            <w:tcW w:w="6800" w:type="dxa"/>
            <w:vAlign w:val="center"/>
            <w:textDirection w:val="lrTb"/>
            <w:noWrap w:val="false"/>
          </w:tcPr>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评委根据供应商对江苏省人社一体化信息平台和南京人社城乡一体化信息系统建设现状与问题的理解和认识，提供对本项目总体的运维目标、运维思路及运维方案等进行综合评分：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供应商对总体的运维目标有充分认识和理解，运维思路最清晰，运维方案全面合理、可操作性强且有不同于其他供应商特色举措，得10分；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供应商对总体的运维目标认识有瑕疵，运维思路清晰，运维方案齐全、具有实际可操作性，得7分；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供应商对总体的运维目标认识与理解少，运维思路不清晰，运维方案有欠缺、条理不清晰，得4分；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未提供方案的不得分。</w:t>
            </w:r>
            <w:r/>
          </w:p>
        </w:tc>
        <w:tc>
          <w:tcPr>
            <w:tcW w:w="575" w:type="dxa"/>
            <w:vAlign w:val="center"/>
            <w:textDirection w:val="lrTb"/>
            <w:noWrap w:val="false"/>
          </w:tcPr>
          <w:p>
            <w:pPr>
              <w:jc w:val="cente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tcW w:w="789" w:type="dxa"/>
            <w:vAlign w:val="center"/>
            <w:textDirection w:val="lrTb"/>
            <w:noWrap w:val="false"/>
          </w:tcPr>
          <w:p>
            <w:pPr>
              <w:jc w:val="center"/>
              <w:spacing w:line="360" w:lineRule="auto"/>
              <w:rPr>
                <w:rFonts w:cs="宋体" w:asciiTheme="minorEastAsia" w:hAnsiTheme="minorEastAsia" w:eastAsiaTheme="minorEastAsia"/>
                <w:color w:val="auto"/>
                <w:szCs w:val="21"/>
                <w:highlight w:val="none"/>
              </w:rPr>
            </w:pPr>
            <w:r/>
            <w:bookmarkStart w:id="270" w:name="OLE_LINK35"/>
            <w:r>
              <w:rPr>
                <w:rFonts w:hint="eastAsia" w:cs="宋体" w:asciiTheme="minorEastAsia" w:hAnsiTheme="minorEastAsia" w:eastAsiaTheme="minorEastAsia"/>
                <w:color w:val="auto"/>
                <w:spacing w:val="-6"/>
                <w:szCs w:val="21"/>
                <w:highlight w:val="none"/>
              </w:rPr>
              <w:t xml:space="preserve">主观分</w:t>
            </w:r>
            <w:bookmarkEnd w:id="270"/>
            <w:r/>
            <w:r/>
          </w:p>
        </w:tc>
      </w:tr>
      <w:tr>
        <w:trPr>
          <w:jc w:val="center"/>
          <w:trHeight w:val="398"/>
        </w:trPr>
        <w:tc>
          <w:tcPr>
            <w:tcW w:w="521" w:type="dxa"/>
            <w:vAlign w:val="center"/>
            <w:textDirection w:val="lrTb"/>
            <w:noWrap w:val="false"/>
          </w:tcPr>
          <w:p>
            <w:pPr>
              <w:jc w:val="center"/>
              <w:spacing w:line="360" w:lineRule="auto"/>
              <w:rPr>
                <w:rFonts w:cs="宋体" w:asciiTheme="minorEastAsia" w:hAnsiTheme="minorEastAsia" w:eastAsiaTheme="minorEastAsia"/>
                <w:color w:val="auto"/>
                <w:spacing w:val="-2"/>
                <w:szCs w:val="21"/>
                <w:highlight w:val="none"/>
              </w:rPr>
            </w:pPr>
            <w:r>
              <w:rPr>
                <w:rFonts w:hint="eastAsia" w:cs="宋体" w:asciiTheme="minorEastAsia" w:hAnsiTheme="minorEastAsia" w:eastAsiaTheme="minorEastAsia"/>
                <w:color w:val="auto"/>
                <w:spacing w:val="-2"/>
                <w:szCs w:val="21"/>
                <w:highlight w:val="none"/>
              </w:rPr>
              <w:t xml:space="preserve">2</w:t>
            </w:r>
            <w:r/>
          </w:p>
        </w:tc>
        <w:tc>
          <w:tcPr>
            <w:tcW w:w="1039" w:type="dxa"/>
            <w:vAlign w:val="center"/>
            <w:textDirection w:val="lrTb"/>
            <w:noWrap w:val="false"/>
          </w:tcPr>
          <w:p>
            <w:pPr>
              <w:jc w:val="left"/>
              <w:spacing w:line="360" w:lineRule="auto"/>
              <w:rPr>
                <w:rFonts w:cs="宋体" w:asciiTheme="minorEastAsia" w:hAnsiTheme="minorEastAsia" w:eastAsiaTheme="minorEastAsia"/>
                <w:color w:val="auto"/>
                <w:spacing w:val="-2"/>
                <w:szCs w:val="21"/>
                <w:highlight w:val="none"/>
              </w:rPr>
            </w:pPr>
            <w:r>
              <w:rPr>
                <w:rFonts w:hint="eastAsia" w:cs="宋体" w:asciiTheme="minorEastAsia" w:hAnsiTheme="minorEastAsia" w:eastAsiaTheme="minorEastAsia"/>
                <w:color w:val="auto"/>
                <w:spacing w:val="-2"/>
                <w:szCs w:val="21"/>
                <w:highlight w:val="none"/>
              </w:rPr>
              <w:t xml:space="preserve">需求及难点分析</w:t>
            </w:r>
            <w:r/>
          </w:p>
        </w:tc>
        <w:tc>
          <w:tcPr>
            <w:tcW w:w="6800" w:type="dxa"/>
            <w:vAlign w:val="center"/>
            <w:textDirection w:val="lrTb"/>
            <w:noWrap w:val="false"/>
          </w:tcPr>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评委根据供应商针对采购文件中业务需求，提出的需求分析、重难点问题分析以及应对策略等内容进行综合评分：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需求分析内容全面，贴合实际，难点分析准确，应对策略科学合理，得10分；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需求分析齐全，难点分析有瑕疵，应对策略具有实际可操作性，得7分；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需求分析内容不全面，未贴合实际，难点分析有欠缺，应对策略不科学合理，得4分；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未提供方案的不得分。</w:t>
            </w:r>
            <w:r/>
          </w:p>
        </w:tc>
        <w:tc>
          <w:tcPr>
            <w:tcW w:w="575" w:type="dxa"/>
            <w:vAlign w:val="center"/>
            <w:textDirection w:val="lrTb"/>
            <w:noWrap w:val="false"/>
          </w:tcPr>
          <w:p>
            <w:pPr>
              <w:jc w:val="cente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tcW w:w="789" w:type="dxa"/>
            <w:vAlign w:val="center"/>
            <w:textDirection w:val="lrTb"/>
            <w:noWrap w:val="false"/>
          </w:tcPr>
          <w:p>
            <w:pPr>
              <w:jc w:val="center"/>
              <w:spacing w:line="360" w:lineRule="auto"/>
              <w:rPr>
                <w:rFonts w:cs="宋体" w:asciiTheme="minorEastAsia" w:hAnsiTheme="minorEastAsia" w:eastAsiaTheme="minorEastAsia"/>
                <w:color w:val="auto"/>
                <w:spacing w:val="-6"/>
                <w:szCs w:val="21"/>
                <w:highlight w:val="none"/>
              </w:rPr>
            </w:pPr>
            <w:r>
              <w:rPr>
                <w:rFonts w:hint="eastAsia" w:cs="宋体" w:asciiTheme="minorEastAsia" w:hAnsiTheme="minorEastAsia" w:eastAsiaTheme="minorEastAsia"/>
                <w:color w:val="auto"/>
                <w:spacing w:val="-6"/>
                <w:szCs w:val="21"/>
                <w:highlight w:val="none"/>
              </w:rPr>
              <w:t xml:space="preserve">主观分</w:t>
            </w:r>
            <w:r/>
          </w:p>
        </w:tc>
      </w:tr>
      <w:tr>
        <w:trPr>
          <w:jc w:val="center"/>
          <w:trHeight w:val="398"/>
        </w:trPr>
        <w:tc>
          <w:tcPr>
            <w:tcW w:w="521" w:type="dxa"/>
            <w:vAlign w:val="center"/>
            <w:textDirection w:val="lrTb"/>
            <w:noWrap w:val="false"/>
          </w:tcPr>
          <w:p>
            <w:pPr>
              <w:jc w:val="center"/>
              <w:spacing w:line="360" w:lineRule="auto"/>
              <w:rPr>
                <w:rFonts w:cs="宋体" w:asciiTheme="minorEastAsia" w:hAnsiTheme="minorEastAsia" w:eastAsiaTheme="minorEastAsia"/>
                <w:color w:val="auto"/>
                <w:spacing w:val="-2"/>
                <w:szCs w:val="21"/>
                <w:highlight w:val="none"/>
              </w:rPr>
            </w:pPr>
            <w:r>
              <w:rPr>
                <w:rFonts w:hint="eastAsia" w:cs="宋体" w:asciiTheme="minorEastAsia" w:hAnsiTheme="minorEastAsia" w:eastAsiaTheme="minorEastAsia"/>
                <w:color w:val="auto"/>
                <w:spacing w:val="-2"/>
                <w:szCs w:val="21"/>
                <w:highlight w:val="none"/>
              </w:rPr>
              <w:t xml:space="preserve">3</w:t>
            </w:r>
            <w:r/>
          </w:p>
        </w:tc>
        <w:tc>
          <w:tcPr>
            <w:tcW w:w="1039" w:type="dxa"/>
            <w:vAlign w:val="center"/>
            <w:textDirection w:val="lrTb"/>
            <w:noWrap w:val="false"/>
          </w:tcPr>
          <w:p>
            <w:pPr>
              <w:jc w:val="left"/>
              <w:spacing w:before="68" w:line="288" w:lineRule="auto"/>
              <w:rPr>
                <w:rFonts w:cs="宋体" w:asciiTheme="minorEastAsia" w:hAnsiTheme="minorEastAsia" w:eastAsiaTheme="minorEastAsia"/>
                <w:color w:val="auto"/>
                <w:spacing w:val="-2"/>
                <w:szCs w:val="21"/>
                <w:highlight w:val="none"/>
              </w:rPr>
            </w:pPr>
            <w:r>
              <w:rPr>
                <w:rFonts w:hint="eastAsia" w:ascii="宋体" w:hAnsi="宋体" w:cs="宋体"/>
                <w:color w:val="auto"/>
                <w:spacing w:val="-2"/>
                <w:highlight w:val="none"/>
              </w:rPr>
              <w:t xml:space="preserve">实施方案 </w:t>
            </w:r>
            <w:r/>
          </w:p>
        </w:tc>
        <w:tc>
          <w:tcPr>
            <w:tcW w:w="6800" w:type="dxa"/>
            <w:vAlign w:val="center"/>
            <w:textDirection w:val="lrTb"/>
            <w:noWrap w:val="false"/>
          </w:tcPr>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评委根据供应商对本运维项目提出的实施方案（至少包含：进度安排、进度控制，组织架构，风险控制管理，质量保障措施等）进行综合评分：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实施方案全面，具有合理的进度安排、组织架构，具有良好的进度控制、风险控制管理，质量保障措施贴合实际，可操作性强，得10分；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实施方案齐全，进度安排、组织架构有瑕疵，有一定进度控制、风险控制管理，质量保障措施有瑕疵、具有实际可操作性，得7分；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实施方案不全面，进度安排、组织架构不合理，缺少进度控制、风险控制管理，质量保障措施未贴合实际，缺乏可操作性，得4分；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未提供方案的不得分。</w:t>
            </w:r>
            <w:r/>
          </w:p>
        </w:tc>
        <w:tc>
          <w:tcPr>
            <w:tcW w:w="575" w:type="dxa"/>
            <w:vAlign w:val="center"/>
            <w:textDirection w:val="lrTb"/>
            <w:noWrap w:val="false"/>
          </w:tcPr>
          <w:p>
            <w:pPr>
              <w:jc w:val="cente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tcW w:w="789" w:type="dxa"/>
            <w:vAlign w:val="center"/>
            <w:textDirection w:val="lrTb"/>
            <w:noWrap w:val="false"/>
          </w:tcPr>
          <w:p>
            <w:pPr>
              <w:jc w:val="center"/>
              <w:spacing w:line="360" w:lineRule="auto"/>
              <w:rPr>
                <w:rFonts w:cs="宋体" w:asciiTheme="minorEastAsia" w:hAnsiTheme="minorEastAsia" w:eastAsiaTheme="minorEastAsia"/>
                <w:color w:val="auto"/>
                <w:spacing w:val="-6"/>
                <w:szCs w:val="21"/>
                <w:highlight w:val="none"/>
              </w:rPr>
            </w:pPr>
            <w:r>
              <w:rPr>
                <w:rFonts w:hint="eastAsia" w:cs="宋体" w:asciiTheme="minorEastAsia" w:hAnsiTheme="minorEastAsia" w:eastAsiaTheme="minorEastAsia"/>
                <w:color w:val="auto"/>
                <w:spacing w:val="-6"/>
                <w:szCs w:val="21"/>
                <w:highlight w:val="none"/>
              </w:rPr>
              <w:t xml:space="preserve">主观分</w:t>
            </w:r>
            <w:r/>
          </w:p>
        </w:tc>
      </w:tr>
      <w:tr>
        <w:trPr>
          <w:jc w:val="center"/>
          <w:trHeight w:val="398"/>
        </w:trPr>
        <w:tc>
          <w:tcPr>
            <w:tcW w:w="521" w:type="dxa"/>
            <w:vAlign w:val="center"/>
            <w:textDirection w:val="lrTb"/>
            <w:noWrap w:val="false"/>
          </w:tcPr>
          <w:p>
            <w:pPr>
              <w:jc w:val="center"/>
              <w:spacing w:line="360" w:lineRule="auto"/>
              <w:rPr>
                <w:rFonts w:cs="宋体" w:asciiTheme="minorEastAsia" w:hAnsiTheme="minorEastAsia" w:eastAsiaTheme="minorEastAsia"/>
                <w:color w:val="auto"/>
                <w:spacing w:val="-2"/>
                <w:szCs w:val="21"/>
                <w:highlight w:val="none"/>
              </w:rPr>
            </w:pPr>
            <w:r>
              <w:rPr>
                <w:rFonts w:hint="eastAsia" w:cs="宋体" w:asciiTheme="minorEastAsia" w:hAnsiTheme="minorEastAsia" w:eastAsiaTheme="minorEastAsia"/>
                <w:color w:val="auto"/>
                <w:spacing w:val="-2"/>
                <w:szCs w:val="21"/>
                <w:highlight w:val="none"/>
              </w:rPr>
              <w:t xml:space="preserve">4</w:t>
            </w:r>
            <w:r/>
          </w:p>
        </w:tc>
        <w:tc>
          <w:tcPr>
            <w:tcW w:w="1039" w:type="dxa"/>
            <w:vAlign w:val="center"/>
            <w:textDirection w:val="lrTb"/>
            <w:noWrap w:val="false"/>
          </w:tcPr>
          <w:p>
            <w:pPr>
              <w:jc w:val="left"/>
              <w:spacing w:before="68" w:line="288" w:lineRule="auto"/>
              <w:rPr>
                <w:rFonts w:cs="宋体" w:asciiTheme="minorEastAsia" w:hAnsiTheme="minorEastAsia" w:eastAsiaTheme="minorEastAsia"/>
                <w:color w:val="auto"/>
                <w:spacing w:val="-2"/>
                <w:szCs w:val="21"/>
                <w:highlight w:val="none"/>
              </w:rPr>
            </w:pPr>
            <w:r>
              <w:rPr>
                <w:rFonts w:hint="eastAsia" w:ascii="宋体" w:hAnsi="宋体" w:cs="宋体"/>
                <w:color w:val="auto"/>
                <w:spacing w:val="-2"/>
                <w:highlight w:val="none"/>
              </w:rPr>
              <w:t xml:space="preserve">测试方案</w:t>
            </w:r>
            <w:r/>
          </w:p>
        </w:tc>
        <w:tc>
          <w:tcPr>
            <w:tcW w:w="6800" w:type="dxa"/>
            <w:vAlign w:val="center"/>
            <w:textDirection w:val="lrTb"/>
            <w:noWrap w:val="false"/>
          </w:tcPr>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评委根据供应商提供的测试方案（至少包括：测试目标、测试内容、测试缺陷记录与管理等内容）进行综合评分：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测试方案全面合理、测试内容条理清晰，测试缺陷记录与管理方案完整准确，可操作性强且有不同于其他供应商特色举措，得6分；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测试方案齐全、测试内容条理有瑕疵，测试缺陷记录与管理方案具有实际可操作性，得4分；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测试方案有欠缺、测试内容条理不清晰，测试缺陷记录与管理方案有欠缺，项目实施效果差，得2分；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未提供方案的不得分。</w:t>
            </w:r>
            <w:r/>
          </w:p>
        </w:tc>
        <w:tc>
          <w:tcPr>
            <w:tcW w:w="575" w:type="dxa"/>
            <w:vAlign w:val="center"/>
            <w:textDirection w:val="lrTb"/>
            <w:noWrap w:val="false"/>
          </w:tcPr>
          <w:p>
            <w:pPr>
              <w:jc w:val="cente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tcW w:w="789" w:type="dxa"/>
            <w:vAlign w:val="center"/>
            <w:textDirection w:val="lrTb"/>
            <w:noWrap w:val="false"/>
          </w:tcPr>
          <w:p>
            <w:pPr>
              <w:jc w:val="center"/>
              <w:spacing w:line="360" w:lineRule="auto"/>
              <w:rPr>
                <w:rFonts w:cs="宋体" w:asciiTheme="minorEastAsia" w:hAnsiTheme="minorEastAsia" w:eastAsiaTheme="minorEastAsia"/>
                <w:color w:val="auto"/>
                <w:spacing w:val="-6"/>
                <w:szCs w:val="21"/>
                <w:highlight w:val="none"/>
              </w:rPr>
            </w:pPr>
            <w:r>
              <w:rPr>
                <w:rFonts w:hint="eastAsia" w:cs="宋体" w:asciiTheme="minorEastAsia" w:hAnsiTheme="minorEastAsia" w:eastAsiaTheme="minorEastAsia"/>
                <w:color w:val="auto"/>
                <w:spacing w:val="-6"/>
                <w:szCs w:val="21"/>
                <w:highlight w:val="none"/>
              </w:rPr>
              <w:t xml:space="preserve">主观分</w:t>
            </w:r>
            <w:r/>
          </w:p>
        </w:tc>
      </w:tr>
      <w:tr>
        <w:trPr>
          <w:jc w:val="center"/>
          <w:trHeight w:val="398"/>
        </w:trPr>
        <w:tc>
          <w:tcPr>
            <w:tcW w:w="521" w:type="dxa"/>
            <w:vAlign w:val="center"/>
            <w:textDirection w:val="lrTb"/>
            <w:noWrap w:val="false"/>
          </w:tcPr>
          <w:p>
            <w:pPr>
              <w:jc w:val="center"/>
              <w:spacing w:line="360" w:lineRule="auto"/>
              <w:rPr>
                <w:rFonts w:cs="宋体" w:asciiTheme="minorEastAsia" w:hAnsiTheme="minorEastAsia" w:eastAsiaTheme="minorEastAsia"/>
                <w:color w:val="auto"/>
                <w:spacing w:val="-2"/>
                <w:szCs w:val="21"/>
                <w:highlight w:val="none"/>
              </w:rPr>
            </w:pPr>
            <w:r>
              <w:rPr>
                <w:rFonts w:hint="eastAsia" w:cs="宋体" w:asciiTheme="minorEastAsia" w:hAnsiTheme="minorEastAsia" w:eastAsiaTheme="minorEastAsia"/>
                <w:color w:val="auto"/>
                <w:spacing w:val="-2"/>
                <w:szCs w:val="21"/>
                <w:highlight w:val="none"/>
              </w:rPr>
              <w:t xml:space="preserve">5</w:t>
            </w:r>
            <w:r/>
          </w:p>
        </w:tc>
        <w:tc>
          <w:tcPr>
            <w:tcW w:w="1039" w:type="dxa"/>
            <w:vAlign w:val="center"/>
            <w:textDirection w:val="lrTb"/>
            <w:noWrap w:val="false"/>
          </w:tcPr>
          <w:p>
            <w:pPr>
              <w:jc w:val="center"/>
              <w:spacing w:line="288" w:lineRule="auto"/>
              <w:rPr>
                <w:rFonts w:ascii="宋体" w:hAnsi="宋体" w:cs="宋体"/>
                <w:color w:val="auto"/>
                <w:spacing w:val="-2"/>
                <w:highlight w:val="none"/>
              </w:rPr>
            </w:pPr>
            <w:r>
              <w:rPr>
                <w:rFonts w:hint="eastAsia" w:ascii="宋体" w:hAnsi="宋体" w:cs="宋体"/>
                <w:color w:val="auto"/>
                <w:highlight w:val="none"/>
              </w:rPr>
              <w:t xml:space="preserve">安全管理方案</w:t>
            </w:r>
            <w:r/>
          </w:p>
        </w:tc>
        <w:tc>
          <w:tcPr>
            <w:tcW w:w="6800" w:type="dxa"/>
            <w:vAlign w:val="center"/>
            <w:textDirection w:val="lrTb"/>
            <w:noWrap w:val="false"/>
          </w:tcPr>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依照安全等级保护三级标准，评委根据供应商提供的安全管理方案（至少包含：系统安全策略、安全管理策略等内容）进行综合评分：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安全管理方案全面合理、系统安全策略条理清晰，安全管理策略完整准确，可操作性强且有不同于其他供应商特色举措，得6分；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安全管理方案齐全、系统安全策略条理有瑕疵，安全管理策略完整，具有实际可操作性，得4分；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安全管理方案有欠缺、系统安全策略条理不清晰，缺乏</w:t>
            </w:r>
            <w:r>
              <w:rPr>
                <w:rFonts w:hint="eastAsia" w:eastAsia="宋体" w:cs="宋体" w:asciiTheme="minorEastAsia" w:hAnsiTheme="minorEastAsia"/>
                <w:color w:val="auto"/>
                <w:szCs w:val="21"/>
                <w:highlight w:val="none"/>
                <w:lang w:val="en-US" w:eastAsia="zh-CN"/>
              </w:rPr>
              <w:t xml:space="preserve">安</w:t>
            </w:r>
            <w:r>
              <w:rPr>
                <w:rFonts w:hint="eastAsia" w:cs="宋体" w:asciiTheme="minorEastAsia" w:hAnsiTheme="minorEastAsia" w:eastAsiaTheme="minorEastAsia"/>
                <w:color w:val="auto"/>
                <w:szCs w:val="21"/>
                <w:highlight w:val="none"/>
              </w:rPr>
              <w:t xml:space="preserve">全管理策略，项目实施效果差，得2分；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未提供方案的不得分。</w:t>
            </w:r>
            <w:r/>
          </w:p>
        </w:tc>
        <w:tc>
          <w:tcPr>
            <w:tcW w:w="575" w:type="dxa"/>
            <w:vAlign w:val="center"/>
            <w:textDirection w:val="lrTb"/>
            <w:noWrap w:val="false"/>
          </w:tcPr>
          <w:p>
            <w:pPr>
              <w:jc w:val="cente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tcW w:w="789" w:type="dxa"/>
            <w:vAlign w:val="center"/>
            <w:textDirection w:val="lrTb"/>
            <w:noWrap w:val="false"/>
          </w:tcPr>
          <w:p>
            <w:pPr>
              <w:jc w:val="center"/>
              <w:spacing w:line="360" w:lineRule="auto"/>
              <w:rPr>
                <w:rFonts w:cs="宋体" w:asciiTheme="minorEastAsia" w:hAnsiTheme="minorEastAsia" w:eastAsiaTheme="minorEastAsia"/>
                <w:color w:val="auto"/>
                <w:spacing w:val="-6"/>
                <w:szCs w:val="21"/>
                <w:highlight w:val="none"/>
              </w:rPr>
            </w:pPr>
            <w:r>
              <w:rPr>
                <w:rFonts w:hint="eastAsia" w:cs="宋体" w:asciiTheme="minorEastAsia" w:hAnsiTheme="minorEastAsia" w:eastAsiaTheme="minorEastAsia"/>
                <w:color w:val="auto"/>
                <w:spacing w:val="-6"/>
                <w:szCs w:val="21"/>
                <w:highlight w:val="none"/>
              </w:rPr>
              <w:t xml:space="preserve">主观分</w:t>
            </w:r>
            <w:r/>
          </w:p>
        </w:tc>
      </w:tr>
      <w:tr>
        <w:trPr>
          <w:jc w:val="center"/>
          <w:trHeight w:val="398"/>
        </w:trPr>
        <w:tc>
          <w:tcPr>
            <w:tcW w:w="521" w:type="dxa"/>
            <w:vAlign w:val="center"/>
            <w:textDirection w:val="lrTb"/>
            <w:noWrap w:val="false"/>
          </w:tcPr>
          <w:p>
            <w:pPr>
              <w:jc w:val="center"/>
              <w:spacing w:line="360" w:lineRule="auto"/>
              <w:rPr>
                <w:rFonts w:cs="宋体" w:asciiTheme="minorEastAsia" w:hAnsiTheme="minorEastAsia" w:eastAsiaTheme="minorEastAsia"/>
                <w:color w:val="auto"/>
                <w:spacing w:val="-2"/>
                <w:szCs w:val="21"/>
                <w:highlight w:val="none"/>
              </w:rPr>
            </w:pPr>
            <w:r>
              <w:rPr>
                <w:rFonts w:hint="eastAsia" w:cs="宋体" w:asciiTheme="minorEastAsia" w:hAnsiTheme="minorEastAsia" w:eastAsiaTheme="minorEastAsia"/>
                <w:color w:val="auto"/>
                <w:spacing w:val="-2"/>
                <w:szCs w:val="21"/>
                <w:highlight w:val="none"/>
              </w:rPr>
              <w:t xml:space="preserve">6</w:t>
            </w:r>
            <w:r/>
          </w:p>
        </w:tc>
        <w:tc>
          <w:tcPr>
            <w:tcW w:w="1039" w:type="dxa"/>
            <w:vAlign w:val="center"/>
            <w:textDirection w:val="lrTb"/>
            <w:noWrap w:val="false"/>
          </w:tcPr>
          <w:p>
            <w:pPr>
              <w:pStyle w:val="979"/>
              <w:jc w:val="center"/>
              <w:spacing w:before="0" w:beforeAutospacing="0" w:after="0" w:afterAutospacing="0" w:line="0" w:lineRule="atLeast"/>
              <w:rPr>
                <w:color w:val="auto"/>
                <w:spacing w:val="-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sz w:val="21"/>
                <w:szCs w:val="21"/>
                <w:highlight w:val="none"/>
              </w:rPr>
              <w:t xml:space="preserve">技术培训方案</w:t>
            </w:r>
            <w:r/>
          </w:p>
        </w:tc>
        <w:tc>
          <w:tcPr>
            <w:tcW w:w="6800" w:type="dxa"/>
            <w:vAlign w:val="center"/>
            <w:textDirection w:val="lrTb"/>
            <w:noWrap w:val="false"/>
          </w:tcPr>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评委根据供应商提供的技术培训方案（至少包含：培训计划、师资力量、培训内容等）进行综合评分：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培训方案全面合理有效，具有详细的培训计划，培训师资力量专业、培训内容可操作性强且有不同于其他供应商特色举措，得6分。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培训方案齐全，有一定的培训计划，有培训师资力量，培训内容有瑕疵，具有实际可操作性，得4分。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培训方案片面，不具有执行有效性，培训计划内容粗糙，培训师资力量欠缺、培训内容不详细，项目实施效果差，得2分。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未提供方案的不得分。</w:t>
            </w:r>
            <w:r/>
          </w:p>
        </w:tc>
        <w:tc>
          <w:tcPr>
            <w:tcW w:w="575" w:type="dxa"/>
            <w:vAlign w:val="center"/>
            <w:textDirection w:val="lrTb"/>
            <w:noWrap w:val="false"/>
          </w:tcPr>
          <w:p>
            <w:pPr>
              <w:jc w:val="cente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tcW w:w="789" w:type="dxa"/>
            <w:vAlign w:val="center"/>
            <w:textDirection w:val="lrTb"/>
            <w:noWrap w:val="false"/>
          </w:tcPr>
          <w:p>
            <w:pPr>
              <w:jc w:val="center"/>
              <w:spacing w:line="360" w:lineRule="auto"/>
              <w:rPr>
                <w:rFonts w:cs="宋体" w:asciiTheme="minorEastAsia" w:hAnsiTheme="minorEastAsia" w:eastAsiaTheme="minorEastAsia"/>
                <w:color w:val="auto"/>
                <w:spacing w:val="-6"/>
                <w:szCs w:val="21"/>
                <w:highlight w:val="none"/>
              </w:rPr>
            </w:pPr>
            <w:r>
              <w:rPr>
                <w:rFonts w:hint="eastAsia" w:cs="宋体" w:asciiTheme="minorEastAsia" w:hAnsiTheme="minorEastAsia" w:eastAsiaTheme="minorEastAsia"/>
                <w:color w:val="auto"/>
                <w:spacing w:val="-6"/>
                <w:szCs w:val="21"/>
                <w:highlight w:val="none"/>
              </w:rPr>
              <w:t xml:space="preserve">主观分</w:t>
            </w:r>
            <w:r/>
          </w:p>
        </w:tc>
      </w:tr>
      <w:tr>
        <w:trPr>
          <w:jc w:val="center"/>
          <w:trHeight w:val="398"/>
        </w:trPr>
        <w:tc>
          <w:tcPr>
            <w:tcW w:w="521" w:type="dxa"/>
            <w:vAlign w:val="center"/>
            <w:textDirection w:val="lrTb"/>
            <w:noWrap w:val="false"/>
          </w:tcPr>
          <w:p>
            <w:pPr>
              <w:jc w:val="center"/>
              <w:spacing w:line="360" w:lineRule="auto"/>
              <w:rPr>
                <w:rFonts w:cs="宋体" w:asciiTheme="minorEastAsia" w:hAnsiTheme="minorEastAsia" w:eastAsiaTheme="minorEastAsia"/>
                <w:color w:val="auto"/>
                <w:spacing w:val="-2"/>
                <w:szCs w:val="21"/>
                <w:highlight w:val="none"/>
              </w:rPr>
            </w:pPr>
            <w:r>
              <w:rPr>
                <w:rFonts w:hint="eastAsia" w:cs="宋体" w:asciiTheme="minorEastAsia" w:hAnsiTheme="minorEastAsia" w:eastAsiaTheme="minorEastAsia"/>
                <w:color w:val="auto"/>
                <w:spacing w:val="-2"/>
                <w:szCs w:val="21"/>
                <w:highlight w:val="none"/>
              </w:rPr>
              <w:t xml:space="preserve">7</w:t>
            </w:r>
            <w:r/>
          </w:p>
        </w:tc>
        <w:tc>
          <w:tcPr>
            <w:tcW w:w="1039" w:type="dxa"/>
            <w:vAlign w:val="center"/>
            <w:textDirection w:val="lrTb"/>
            <w:noWrap w:val="false"/>
          </w:tcPr>
          <w:p>
            <w:pPr>
              <w:pStyle w:val="979"/>
              <w:jc w:val="center"/>
              <w:spacing w:before="0" w:beforeAutospacing="0" w:after="0" w:afterAutospacing="0" w:line="0" w:lineRule="atLeast"/>
              <w:rPr>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sz w:val="21"/>
                <w:szCs w:val="21"/>
                <w:highlight w:val="none"/>
              </w:rPr>
              <w:t xml:space="preserve">维保服务方案</w:t>
            </w:r>
            <w:r/>
          </w:p>
        </w:tc>
        <w:tc>
          <w:tcPr>
            <w:tcW w:w="6800" w:type="dxa"/>
            <w:vAlign w:val="center"/>
            <w:textDirection w:val="lrTb"/>
            <w:noWrap w:val="false"/>
          </w:tcPr>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评委根据供应商提供的维保服务方案（至少包含：维保服务流程、巡检及问题处理机制、应急保障实施组织方案、售后服务体系、服务内容、服务人员及响应时间等）进行综合评分：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维保服务流程科学标准，具有合理的巡检及问题处理机制；应急保障方案科学合理、响应时间迅速，售后服务方案针对性强、可行性强、能高效推进项目实施的，得6分。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维保服务流程科学，有巡检及问题处理机制，对应急保障方案具有实际可行性、售后服务方案齐全、响应时间较为迅速、服务人员匹配基本满足需求，能推进项目实施的，得4分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维保服务流程混乱，巡检及问题处理内容粗糙，应急保障方案条理不清晰，响应时间缓慢，服务人员匹配有欠缺，项目实施效果较差的，得2分。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未提供方案的不得分。</w:t>
            </w:r>
            <w:r/>
          </w:p>
        </w:tc>
        <w:tc>
          <w:tcPr>
            <w:tcW w:w="575" w:type="dxa"/>
            <w:vAlign w:val="center"/>
            <w:textDirection w:val="lrTb"/>
            <w:noWrap w:val="false"/>
          </w:tcPr>
          <w:p>
            <w:pPr>
              <w:jc w:val="cente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tcW w:w="789" w:type="dxa"/>
            <w:vAlign w:val="center"/>
            <w:textDirection w:val="lrTb"/>
            <w:noWrap w:val="false"/>
          </w:tcPr>
          <w:p>
            <w:pPr>
              <w:jc w:val="center"/>
              <w:spacing w:line="360" w:lineRule="auto"/>
              <w:rPr>
                <w:rFonts w:cs="宋体" w:asciiTheme="minorEastAsia" w:hAnsiTheme="minorEastAsia" w:eastAsiaTheme="minorEastAsia"/>
                <w:color w:val="auto"/>
                <w:spacing w:val="-6"/>
                <w:szCs w:val="21"/>
                <w:highlight w:val="none"/>
              </w:rPr>
            </w:pPr>
            <w:r>
              <w:rPr>
                <w:rFonts w:hint="eastAsia" w:cs="宋体" w:asciiTheme="minorEastAsia" w:hAnsiTheme="minorEastAsia" w:eastAsiaTheme="minorEastAsia"/>
                <w:color w:val="auto"/>
                <w:spacing w:val="-6"/>
                <w:szCs w:val="21"/>
                <w:highlight w:val="none"/>
              </w:rPr>
              <w:t xml:space="preserve">主观分</w:t>
            </w:r>
            <w:r/>
          </w:p>
        </w:tc>
      </w:tr>
      <w:tr>
        <w:trPr>
          <w:jc w:val="center"/>
          <w:trHeight w:val="323"/>
        </w:trPr>
        <w:tc>
          <w:tcPr>
            <w:gridSpan w:val="5"/>
            <w:tcW w:w="9724" w:type="dxa"/>
            <w:vAlign w:val="center"/>
            <w:textDirection w:val="lrTb"/>
            <w:noWrap w:val="false"/>
          </w:tcPr>
          <w:p>
            <w:pPr>
              <w:jc w:val="cente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color w:val="auto"/>
                <w:szCs w:val="21"/>
                <w:highlight w:val="none"/>
              </w:rPr>
              <w:t xml:space="preserve">三、商务36分</w:t>
            </w:r>
            <w:r/>
          </w:p>
        </w:tc>
      </w:tr>
      <w:tr>
        <w:trPr>
          <w:jc w:val="center"/>
          <w:trHeight w:val="410"/>
        </w:trPr>
        <w:tc>
          <w:tcPr>
            <w:tcW w:w="521" w:type="dxa"/>
            <w:vAlign w:val="center"/>
            <w:textDirection w:val="lrTb"/>
            <w:noWrap w:val="false"/>
          </w:tcPr>
          <w:p>
            <w:pPr>
              <w:jc w:val="center"/>
              <w:spacing w:line="360" w:lineRule="auto"/>
              <w:rPr>
                <w:rFonts w:cs="宋体" w:asciiTheme="minorEastAsia" w:hAnsiTheme="minorEastAsia" w:eastAsiaTheme="minorEastAsia"/>
                <w:color w:val="auto"/>
                <w:spacing w:val="-2"/>
                <w:szCs w:val="21"/>
                <w:highlight w:val="none"/>
              </w:rPr>
            </w:pPr>
            <w:r>
              <w:rPr>
                <w:rFonts w:hint="eastAsia" w:cs="宋体" w:asciiTheme="minorEastAsia" w:hAnsiTheme="minorEastAsia" w:eastAsiaTheme="minorEastAsia"/>
                <w:color w:val="auto"/>
                <w:spacing w:val="-2"/>
                <w:szCs w:val="21"/>
                <w:highlight w:val="none"/>
              </w:rPr>
              <w:t xml:space="preserve">1</w:t>
            </w:r>
            <w:r/>
          </w:p>
        </w:tc>
        <w:tc>
          <w:tcPr>
            <w:tcW w:w="1039" w:type="dxa"/>
            <w:vAlign w:val="center"/>
            <w:textDirection w:val="lrTb"/>
            <w:noWrap w:val="false"/>
          </w:tcPr>
          <w:p>
            <w:pPr>
              <w:jc w:val="center"/>
              <w:spacing w:line="360" w:lineRule="auto"/>
              <w:rPr>
                <w:rFonts w:cs="宋体" w:asciiTheme="minorEastAsia" w:hAnsiTheme="minorEastAsia" w:eastAsiaTheme="minorEastAsia"/>
                <w:color w:val="auto"/>
                <w:spacing w:val="-1"/>
                <w:szCs w:val="21"/>
                <w:highlight w:val="none"/>
              </w:rPr>
            </w:pPr>
            <w:r>
              <w:rPr>
                <w:rFonts w:hint="eastAsia" w:cs="宋体" w:asciiTheme="minorEastAsia" w:hAnsiTheme="minorEastAsia" w:eastAsiaTheme="minorEastAsia"/>
                <w:color w:val="auto"/>
                <w:spacing w:val="-1"/>
                <w:szCs w:val="21"/>
                <w:highlight w:val="none"/>
              </w:rPr>
              <w:t xml:space="preserve">业绩</w:t>
            </w:r>
            <w:r/>
          </w:p>
        </w:tc>
        <w:tc>
          <w:tcPr>
            <w:tcW w:w="6800" w:type="dxa"/>
            <w:vAlign w:val="center"/>
            <w:textDirection w:val="lrTb"/>
            <w:noWrap w:val="false"/>
          </w:tcPr>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供应商提供自202</w:t>
            </w:r>
            <w:r>
              <w:rPr>
                <w:rFonts w:hint="eastAsia" w:cs="宋体" w:asciiTheme="minorEastAsia" w:hAnsiTheme="minorEastAsia" w:eastAsiaTheme="minorEastAsia"/>
                <w:color w:val="auto"/>
                <w:szCs w:val="21"/>
                <w:highlight w:val="none"/>
                <w:lang w:val="en-US" w:eastAsia="zh-CN"/>
              </w:rPr>
              <w:t xml:space="preserve">3</w:t>
            </w:r>
            <w:r>
              <w:rPr>
                <w:rFonts w:hint="eastAsia" w:cs="宋体" w:asciiTheme="minorEastAsia" w:hAnsiTheme="minorEastAsia" w:eastAsiaTheme="minorEastAsia"/>
                <w:color w:val="auto"/>
                <w:szCs w:val="21"/>
                <w:highlight w:val="none"/>
              </w:rPr>
              <w:t xml:space="preserve">年7月1日（含，以合同签订时间为准）至今，承担过的类似系统开发或运维项目业绩，每提供一个业绩的得3分，最多得9分。</w:t>
            </w:r>
            <w:r/>
          </w:p>
          <w:p>
            <w:pPr>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（需提供业绩合同关键页复印件及用户联系人、联系电话并加盖公章。关键页包括但不限于合同服务内容、合同签订时间、合同双方盖章页等，且能反映相关信息，未提供或未按要求提供的不得分。）</w:t>
            </w:r>
            <w:r/>
          </w:p>
        </w:tc>
        <w:tc>
          <w:tcPr>
            <w:tcW w:w="575" w:type="dxa"/>
            <w:vAlign w:val="center"/>
            <w:textDirection w:val="lrTb"/>
            <w:noWrap w:val="false"/>
          </w:tcPr>
          <w:p>
            <w:pPr>
              <w:jc w:val="cente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w:t>
            </w:r>
            <w:r/>
          </w:p>
        </w:tc>
        <w:tc>
          <w:tcPr>
            <w:tcW w:w="789" w:type="dxa"/>
            <w:vAlign w:val="center"/>
            <w:textDirection w:val="lrTb"/>
            <w:noWrap w:val="false"/>
          </w:tcPr>
          <w:p>
            <w:pPr>
              <w:jc w:val="center"/>
              <w:spacing w:line="360" w:lineRule="auto"/>
              <w:rPr>
                <w:rFonts w:cs="宋体" w:asciiTheme="minorEastAsia" w:hAnsiTheme="minorEastAsia" w:eastAsiaTheme="minorEastAsia"/>
                <w:color w:val="auto"/>
                <w:spacing w:val="-6"/>
                <w:szCs w:val="21"/>
                <w:highlight w:val="none"/>
              </w:rPr>
            </w:pPr>
            <w:r>
              <w:rPr>
                <w:rFonts w:hint="eastAsia" w:cs="宋体" w:asciiTheme="minorEastAsia" w:hAnsiTheme="minorEastAsia" w:eastAsiaTheme="minorEastAsia"/>
                <w:color w:val="auto"/>
                <w:spacing w:val="-6"/>
                <w:szCs w:val="21"/>
                <w:highlight w:val="none"/>
              </w:rPr>
              <w:t xml:space="preserve">客观分</w:t>
            </w:r>
            <w:r/>
          </w:p>
        </w:tc>
      </w:tr>
      <w:tr>
        <w:trPr>
          <w:jc w:val="center"/>
          <w:trHeight w:val="410"/>
        </w:trPr>
        <w:tc>
          <w:tcPr>
            <w:tcW w:w="521" w:type="dxa"/>
            <w:vAlign w:val="center"/>
            <w:textDirection w:val="lrTb"/>
            <w:noWrap w:val="false"/>
          </w:tcPr>
          <w:p>
            <w:pPr>
              <w:jc w:val="center"/>
              <w:spacing w:line="360" w:lineRule="auto"/>
              <w:rPr>
                <w:rFonts w:cs="宋体" w:asciiTheme="minorEastAsia" w:hAnsiTheme="minorEastAsia" w:eastAsiaTheme="minorEastAsia"/>
                <w:color w:val="auto"/>
                <w:spacing w:val="-2"/>
                <w:szCs w:val="21"/>
                <w:highlight w:val="none"/>
              </w:rPr>
            </w:pPr>
            <w:r>
              <w:rPr>
                <w:rFonts w:hint="eastAsia" w:cs="宋体" w:asciiTheme="minorEastAsia" w:hAnsiTheme="minorEastAsia" w:eastAsiaTheme="minorEastAsia"/>
                <w:color w:val="auto"/>
                <w:spacing w:val="-2"/>
                <w:szCs w:val="21"/>
                <w:highlight w:val="none"/>
              </w:rPr>
              <w:t xml:space="preserve">2</w:t>
            </w:r>
            <w:r/>
          </w:p>
        </w:tc>
        <w:tc>
          <w:tcPr>
            <w:shd w:val="clear" w:color="auto" w:fill="auto"/>
            <w:tcW w:w="1039" w:type="dxa"/>
            <w:vAlign w:val="center"/>
            <w:textDirection w:val="lrTb"/>
            <w:noWrap w:val="false"/>
          </w:tcPr>
          <w:p>
            <w:pPr>
              <w:jc w:val="center"/>
              <w:spacing w:line="288" w:lineRule="auto"/>
              <w:rPr>
                <w:rFonts w:ascii="宋体" w:hAnsi="宋体" w:cs="宋体"/>
                <w:color w:val="auto"/>
                <w:highlight w:val="none"/>
              </w:rPr>
            </w:pPr>
            <w:r>
              <w:rPr>
                <w:rFonts w:hint="eastAsia" w:ascii="宋体" w:hAnsi="宋体" w:cs="宋体"/>
                <w:color w:val="auto"/>
                <w:highlight w:val="none"/>
              </w:rPr>
              <w:t xml:space="preserve">项目经理能力</w:t>
            </w:r>
            <w:r/>
          </w:p>
        </w:tc>
        <w:tc>
          <w:tcPr>
            <w:shd w:val="clear" w:color="auto" w:fill="auto"/>
            <w:tcW w:w="6800" w:type="dxa"/>
            <w:vAlign w:val="center"/>
            <w:textDirection w:val="lrTb"/>
            <w:noWrap w:val="false"/>
          </w:tcPr>
          <w:p>
            <w:pPr>
              <w:pStyle w:val="979"/>
              <w:spacing w:before="0" w:beforeAutospacing="0" w:after="0" w:afterAutospacing="0" w:line="360" w:lineRule="auto"/>
              <w:rPr>
                <w:color w:val="auto"/>
                <w:sz w:val="21"/>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sz w:val="21"/>
                <w:szCs w:val="22"/>
                <w:highlight w:val="none"/>
              </w:rPr>
              <w:t xml:space="preserve">供应商拟投入本项目的项目经理具有人社一体化信息平台开发或运维经验的得6分。</w:t>
            </w:r>
            <w:r/>
          </w:p>
          <w:p>
            <w:pPr>
              <w:pStyle w:val="979"/>
              <w:spacing w:before="0" w:beforeAutospacing="0" w:after="0" w:afterAutospacing="0" w:line="360" w:lineRule="auto"/>
              <w:rPr>
                <w:color w:val="auto"/>
                <w:sz w:val="21"/>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sz w:val="21"/>
                <w:szCs w:val="22"/>
                <w:highlight w:val="none"/>
              </w:rPr>
              <w:t xml:space="preserve">注：需提供人员工作经验证明函并加盖供应商公章，否则不得分。</w:t>
            </w:r>
            <w:r/>
          </w:p>
        </w:tc>
        <w:tc>
          <w:tcPr>
            <w:tcW w:w="575" w:type="dxa"/>
            <w:vAlign w:val="center"/>
            <w:textDirection w:val="lrTb"/>
            <w:noWrap w:val="false"/>
          </w:tcPr>
          <w:p>
            <w:pPr>
              <w:jc w:val="cente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tcW w:w="789" w:type="dxa"/>
            <w:vAlign w:val="center"/>
            <w:textDirection w:val="lrTb"/>
            <w:noWrap w:val="false"/>
          </w:tcPr>
          <w:p>
            <w:pPr>
              <w:jc w:val="center"/>
              <w:spacing w:line="360" w:lineRule="auto"/>
              <w:rPr>
                <w:rFonts w:cs="宋体" w:asciiTheme="minorEastAsia" w:hAnsiTheme="minorEastAsia" w:eastAsiaTheme="minorEastAsia"/>
                <w:color w:val="auto"/>
                <w:spacing w:val="-6"/>
                <w:szCs w:val="21"/>
                <w:highlight w:val="none"/>
              </w:rPr>
            </w:pPr>
            <w:r>
              <w:rPr>
                <w:rFonts w:hint="eastAsia" w:cs="宋体" w:asciiTheme="minorEastAsia" w:hAnsiTheme="minorEastAsia" w:eastAsiaTheme="minorEastAsia"/>
                <w:color w:val="auto"/>
                <w:spacing w:val="-6"/>
                <w:szCs w:val="21"/>
                <w:highlight w:val="none"/>
              </w:rPr>
              <w:t xml:space="preserve">客观分</w:t>
            </w:r>
            <w:r/>
          </w:p>
        </w:tc>
      </w:tr>
      <w:tr>
        <w:trPr>
          <w:jc w:val="center"/>
          <w:trHeight w:val="410"/>
        </w:trPr>
        <w:tc>
          <w:tcPr>
            <w:tcW w:w="521" w:type="dxa"/>
            <w:vAlign w:val="center"/>
            <w:textDirection w:val="lrTb"/>
            <w:noWrap w:val="false"/>
          </w:tcPr>
          <w:p>
            <w:pPr>
              <w:jc w:val="center"/>
              <w:spacing w:line="360" w:lineRule="auto"/>
              <w:rPr>
                <w:rFonts w:cs="宋体" w:asciiTheme="minorEastAsia" w:hAnsiTheme="minorEastAsia" w:eastAsiaTheme="minorEastAsia"/>
                <w:color w:val="auto"/>
                <w:spacing w:val="-2"/>
                <w:szCs w:val="21"/>
                <w:highlight w:val="none"/>
              </w:rPr>
            </w:pPr>
            <w:r>
              <w:rPr>
                <w:rFonts w:hint="eastAsia" w:cs="宋体" w:asciiTheme="minorEastAsia" w:hAnsiTheme="minorEastAsia" w:eastAsiaTheme="minorEastAsia"/>
                <w:color w:val="auto"/>
                <w:spacing w:val="-2"/>
                <w:szCs w:val="21"/>
                <w:highlight w:val="none"/>
              </w:rPr>
              <w:t xml:space="preserve">3</w:t>
            </w:r>
            <w:r/>
          </w:p>
        </w:tc>
        <w:tc>
          <w:tcPr>
            <w:shd w:val="clear" w:color="auto" w:fill="auto"/>
            <w:tcW w:w="1039" w:type="dxa"/>
            <w:vAlign w:val="center"/>
            <w:textDirection w:val="lrTb"/>
            <w:noWrap w:val="false"/>
          </w:tcPr>
          <w:p>
            <w:pPr>
              <w:jc w:val="center"/>
              <w:spacing w:line="288" w:lineRule="auto"/>
              <w:rPr>
                <w:rFonts w:ascii="宋体" w:hAnsi="宋体" w:cs="宋体"/>
                <w:color w:val="auto"/>
                <w:highlight w:val="none"/>
              </w:rPr>
            </w:pPr>
            <w:r>
              <w:rPr>
                <w:rFonts w:hint="eastAsia" w:ascii="宋体" w:hAnsi="宋体" w:cs="宋体"/>
                <w:color w:val="auto"/>
                <w:highlight w:val="none"/>
              </w:rPr>
              <w:t xml:space="preserve">技术人员能力</w:t>
            </w:r>
            <w:r/>
          </w:p>
        </w:tc>
        <w:tc>
          <w:tcPr>
            <w:shd w:val="clear" w:color="auto" w:fill="auto"/>
            <w:tcW w:w="6800" w:type="dxa"/>
            <w:vAlign w:val="center"/>
            <w:textDirection w:val="lrTb"/>
            <w:noWrap w:val="false"/>
          </w:tcPr>
          <w:p>
            <w:pPr>
              <w:pStyle w:val="979"/>
              <w:spacing w:before="0" w:beforeAutospacing="0" w:after="0" w:afterAutospacing="0" w:line="360" w:lineRule="auto"/>
              <w:rPr>
                <w:color w:val="auto"/>
                <w:sz w:val="21"/>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sz w:val="21"/>
                <w:szCs w:val="22"/>
                <w:highlight w:val="none"/>
              </w:rPr>
              <w:t xml:space="preserve">供应商拟投入本项目的</w:t>
            </w:r>
            <w:r>
              <w:rPr>
                <w:rFonts w:hint="eastAsia"/>
                <w:color w:val="auto"/>
                <w:sz w:val="21"/>
                <w:szCs w:val="22"/>
                <w:highlight w:val="none"/>
                <w:lang w:val="en-US" w:eastAsia="zh-CN"/>
              </w:rPr>
              <w:t xml:space="preserve">驻场</w:t>
            </w:r>
            <w:r>
              <w:rPr>
                <w:rFonts w:hint="eastAsia"/>
                <w:color w:val="auto"/>
                <w:sz w:val="21"/>
                <w:szCs w:val="22"/>
                <w:highlight w:val="none"/>
              </w:rPr>
              <w:t xml:space="preserve">技术人员（除项目经理外）</w:t>
            </w:r>
            <w:r>
              <w:rPr>
                <w:rFonts w:hint="eastAsia"/>
                <w:color w:val="auto"/>
                <w:sz w:val="21"/>
                <w:szCs w:val="22"/>
                <w:highlight w:val="none"/>
                <w:lang w:val="en-US" w:eastAsia="zh-CN"/>
              </w:rPr>
              <w:t xml:space="preserve">中有</w:t>
            </w:r>
            <w:r>
              <w:rPr>
                <w:rFonts w:hint="eastAsia"/>
                <w:color w:val="auto"/>
                <w:sz w:val="21"/>
                <w:szCs w:val="22"/>
                <w:highlight w:val="none"/>
              </w:rPr>
              <w:t xml:space="preserve">三名具有人社一体化信息平台开发或运维经验的得</w:t>
            </w:r>
            <w:r>
              <w:rPr>
                <w:color w:val="auto"/>
                <w:sz w:val="21"/>
                <w:szCs w:val="22"/>
                <w:highlight w:val="none"/>
              </w:rPr>
              <w:t xml:space="preserve">6</w:t>
            </w:r>
            <w:r>
              <w:rPr>
                <w:rFonts w:hint="eastAsia"/>
                <w:color w:val="auto"/>
                <w:sz w:val="21"/>
                <w:szCs w:val="22"/>
                <w:highlight w:val="none"/>
              </w:rPr>
              <w:t xml:space="preserve">分；在此基础上每多提供一名具有人社一体化信息平台开发或运维经验</w:t>
            </w:r>
            <w:r>
              <w:rPr>
                <w:rFonts w:hint="eastAsia"/>
                <w:color w:val="auto"/>
                <w:sz w:val="21"/>
                <w:szCs w:val="22"/>
                <w:highlight w:val="none"/>
                <w:lang w:val="en-US" w:eastAsia="zh-CN"/>
              </w:rPr>
              <w:t xml:space="preserve">的驻场</w:t>
            </w:r>
            <w:r>
              <w:rPr>
                <w:rFonts w:hint="eastAsia"/>
                <w:color w:val="auto"/>
                <w:sz w:val="21"/>
                <w:szCs w:val="22"/>
                <w:highlight w:val="none"/>
              </w:rPr>
              <w:t xml:space="preserve">人员加1分，最多加</w:t>
            </w:r>
            <w:r>
              <w:rPr>
                <w:rFonts w:hint="eastAsia"/>
                <w:color w:val="auto"/>
                <w:sz w:val="21"/>
                <w:szCs w:val="22"/>
                <w:highlight w:val="none"/>
                <w:lang w:val="en-US" w:eastAsia="zh-CN"/>
              </w:rPr>
              <w:t xml:space="preserve">6</w:t>
            </w:r>
            <w:r>
              <w:rPr>
                <w:rFonts w:hint="eastAsia"/>
                <w:color w:val="auto"/>
                <w:sz w:val="21"/>
                <w:szCs w:val="22"/>
                <w:highlight w:val="none"/>
              </w:rPr>
              <w:t xml:space="preserve">分。不满足三人的本项不得分，本项最多得1</w:t>
            </w:r>
            <w:r>
              <w:rPr>
                <w:rFonts w:hint="eastAsia"/>
                <w:color w:val="auto"/>
                <w:sz w:val="21"/>
                <w:szCs w:val="22"/>
                <w:highlight w:val="none"/>
                <w:lang w:val="en-US" w:eastAsia="zh-CN"/>
              </w:rPr>
              <w:t xml:space="preserve">2</w:t>
            </w:r>
            <w:r>
              <w:rPr>
                <w:rFonts w:hint="eastAsia"/>
                <w:color w:val="auto"/>
                <w:sz w:val="21"/>
                <w:szCs w:val="22"/>
                <w:highlight w:val="none"/>
              </w:rPr>
              <w:t xml:space="preserve">分。</w:t>
            </w:r>
            <w:r/>
          </w:p>
          <w:p>
            <w:pPr>
              <w:pStyle w:val="979"/>
              <w:spacing w:before="0" w:beforeAutospacing="0" w:after="0" w:afterAutospacing="0" w:line="360" w:lineRule="auto"/>
              <w:rPr>
                <w:color w:val="auto"/>
                <w:sz w:val="21"/>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sz w:val="21"/>
                <w:szCs w:val="22"/>
                <w:highlight w:val="none"/>
              </w:rPr>
              <w:t xml:space="preserve">注：需提供人员工作经验证明函并加盖供应商公章，否则不得分。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lang w:val="en-US" w:eastAsia="zh-CN"/>
              </w:rPr>
              <w:t xml:space="preserve">2</w:t>
            </w:r>
            <w:r/>
          </w:p>
        </w:tc>
        <w:tc>
          <w:tcPr>
            <w:tcW w:w="789" w:type="dxa"/>
            <w:vAlign w:val="center"/>
            <w:textDirection w:val="lrTb"/>
            <w:noWrap w:val="false"/>
          </w:tcPr>
          <w:p>
            <w:pPr>
              <w:jc w:val="center"/>
              <w:spacing w:line="360" w:lineRule="auto"/>
              <w:rPr>
                <w:rFonts w:cs="宋体" w:asciiTheme="minorEastAsia" w:hAnsiTheme="minorEastAsia" w:eastAsiaTheme="minorEastAsia"/>
                <w:color w:val="auto"/>
                <w:spacing w:val="-6"/>
                <w:szCs w:val="21"/>
                <w:highlight w:val="none"/>
              </w:rPr>
            </w:pPr>
            <w:r>
              <w:rPr>
                <w:rFonts w:hint="eastAsia" w:cs="宋体" w:asciiTheme="minorEastAsia" w:hAnsiTheme="minorEastAsia" w:eastAsiaTheme="minorEastAsia"/>
                <w:color w:val="auto"/>
                <w:spacing w:val="-6"/>
                <w:szCs w:val="21"/>
                <w:highlight w:val="none"/>
              </w:rPr>
              <w:t xml:space="preserve">客观分</w:t>
            </w:r>
            <w:r/>
          </w:p>
        </w:tc>
      </w:tr>
      <w:tr>
        <w:trPr>
          <w:jc w:val="center"/>
          <w:trHeight w:val="410"/>
        </w:trPr>
        <w:tc>
          <w:tcPr>
            <w:tcW w:w="521" w:type="dxa"/>
            <w:vAlign w:val="center"/>
            <w:textDirection w:val="lrTb"/>
            <w:noWrap w:val="false"/>
          </w:tcPr>
          <w:p>
            <w:pPr>
              <w:jc w:val="center"/>
              <w:spacing w:line="360" w:lineRule="auto"/>
              <w:rPr>
                <w:rFonts w:cs="宋体" w:asciiTheme="minorEastAsia" w:hAnsiTheme="minorEastAsia" w:eastAsiaTheme="minorEastAsia"/>
                <w:color w:val="auto"/>
                <w:spacing w:val="-2"/>
                <w:szCs w:val="21"/>
                <w:highlight w:val="none"/>
              </w:rPr>
            </w:pPr>
            <w:r>
              <w:rPr>
                <w:rFonts w:hint="eastAsia" w:cs="宋体" w:asciiTheme="minorEastAsia" w:hAnsiTheme="minorEastAsia" w:eastAsiaTheme="minorEastAsia"/>
                <w:color w:val="auto"/>
                <w:spacing w:val="-2"/>
                <w:szCs w:val="21"/>
                <w:highlight w:val="none"/>
              </w:rPr>
              <w:t xml:space="preserve">4</w:t>
            </w:r>
            <w:r/>
          </w:p>
        </w:tc>
        <w:tc>
          <w:tcPr>
            <w:shd w:val="clear" w:color="auto" w:fill="auto"/>
            <w:tcW w:w="1039" w:type="dxa"/>
            <w:vAlign w:val="center"/>
            <w:textDirection w:val="lrTb"/>
            <w:noWrap w:val="false"/>
          </w:tcPr>
          <w:p>
            <w:pPr>
              <w:jc w:val="left"/>
              <w:spacing w:line="288" w:lineRule="auto"/>
              <w:rPr>
                <w:rFonts w:ascii="宋体" w:hAnsi="宋体" w:cs="宋体"/>
                <w:color w:val="auto"/>
                <w:highlight w:val="none"/>
              </w:rPr>
            </w:pPr>
            <w:r>
              <w:rPr>
                <w:rFonts w:hint="eastAsia" w:ascii="宋体" w:hAnsi="宋体" w:cs="宋体"/>
                <w:color w:val="auto"/>
                <w:highlight w:val="none"/>
              </w:rPr>
              <w:t xml:space="preserve">服务承诺</w:t>
            </w:r>
            <w:r/>
          </w:p>
        </w:tc>
        <w:tc>
          <w:tcPr>
            <w:shd w:val="clear" w:color="auto" w:fill="auto"/>
            <w:tcW w:w="6800" w:type="dxa"/>
            <w:vAlign w:val="center"/>
            <w:textDirection w:val="lrTb"/>
            <w:noWrap w:val="false"/>
          </w:tcPr>
          <w:p>
            <w:pPr>
              <w:pStyle w:val="979"/>
              <w:spacing w:before="0" w:beforeAutospacing="0" w:after="0" w:afterAutospacing="0" w:line="360" w:lineRule="auto"/>
              <w:rPr>
                <w:color w:val="auto"/>
                <w:sz w:val="21"/>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sz w:val="21"/>
                <w:szCs w:val="22"/>
                <w:highlight w:val="none"/>
              </w:rPr>
              <w:t xml:space="preserve">供应商承诺拟投入本项目的项目经理在项目合同期内不变更的得</w:t>
            </w:r>
            <w:r>
              <w:rPr>
                <w:rFonts w:hint="eastAsia"/>
                <w:color w:val="auto"/>
                <w:sz w:val="21"/>
                <w:szCs w:val="22"/>
                <w:highlight w:val="none"/>
                <w:lang w:val="en-US" w:eastAsia="zh-CN"/>
              </w:rPr>
              <w:t xml:space="preserve">6</w:t>
            </w:r>
            <w:r>
              <w:rPr>
                <w:rFonts w:hint="eastAsia"/>
                <w:color w:val="auto"/>
                <w:sz w:val="21"/>
                <w:szCs w:val="22"/>
                <w:highlight w:val="none"/>
              </w:rPr>
              <w:t xml:space="preserve">分。</w:t>
            </w:r>
            <w:r/>
          </w:p>
          <w:p>
            <w:pPr>
              <w:pStyle w:val="979"/>
              <w:spacing w:before="0" w:beforeAutospacing="0" w:after="0" w:afterAutospacing="0" w:line="360" w:lineRule="auto"/>
              <w:rPr>
                <w:color w:val="auto"/>
                <w:sz w:val="21"/>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sz w:val="21"/>
                <w:szCs w:val="22"/>
                <w:highlight w:val="none"/>
              </w:rPr>
              <w:t xml:space="preserve">供应商拟投入本项目的技术人员（除项目经理外）在项目合同期内不变更</w:t>
            </w:r>
            <w:r>
              <w:rPr>
                <w:rFonts w:hint="eastAsia"/>
                <w:color w:val="auto"/>
                <w:sz w:val="21"/>
                <w:szCs w:val="22"/>
                <w:highlight w:val="none"/>
                <w:lang w:val="en-US" w:eastAsia="zh-CN"/>
              </w:rPr>
              <w:t xml:space="preserve">的</w:t>
            </w:r>
            <w:r>
              <w:rPr>
                <w:rFonts w:hint="eastAsia"/>
                <w:color w:val="auto"/>
                <w:sz w:val="21"/>
                <w:szCs w:val="22"/>
                <w:highlight w:val="none"/>
              </w:rPr>
              <w:t xml:space="preserve">得</w:t>
            </w:r>
            <w:r>
              <w:rPr>
                <w:rFonts w:hint="eastAsia"/>
                <w:color w:val="auto"/>
                <w:sz w:val="21"/>
                <w:szCs w:val="22"/>
                <w:highlight w:val="none"/>
                <w:lang w:val="en-US" w:eastAsia="zh-CN"/>
              </w:rPr>
              <w:t xml:space="preserve">3</w:t>
            </w:r>
            <w:r>
              <w:rPr>
                <w:rFonts w:hint="eastAsia"/>
                <w:color w:val="auto"/>
                <w:sz w:val="21"/>
                <w:szCs w:val="22"/>
                <w:highlight w:val="none"/>
              </w:rPr>
              <w:t xml:space="preserve">分。</w:t>
            </w:r>
            <w:r/>
          </w:p>
          <w:p>
            <w:pPr>
              <w:pStyle w:val="979"/>
              <w:spacing w:before="0" w:beforeAutospacing="0" w:after="0" w:afterAutospacing="0" w:line="360" w:lineRule="auto"/>
              <w:rPr>
                <w:color w:val="auto"/>
                <w:sz w:val="21"/>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sz w:val="21"/>
                <w:szCs w:val="22"/>
                <w:highlight w:val="none"/>
              </w:rPr>
              <w:t xml:space="preserve">本项最高得</w:t>
            </w:r>
            <w:r>
              <w:rPr>
                <w:rFonts w:hint="eastAsia"/>
                <w:color w:val="auto"/>
                <w:sz w:val="21"/>
                <w:szCs w:val="22"/>
                <w:highlight w:val="none"/>
                <w:lang w:val="en-US" w:eastAsia="zh-CN"/>
              </w:rPr>
              <w:t xml:space="preserve">9</w:t>
            </w:r>
            <w:r>
              <w:rPr>
                <w:rFonts w:hint="eastAsia"/>
                <w:color w:val="auto"/>
                <w:sz w:val="21"/>
                <w:szCs w:val="22"/>
                <w:highlight w:val="none"/>
              </w:rPr>
              <w:t xml:space="preserve">分。（提供承诺函并加盖公章，格式自拟，未提供或未按要求提供的不得分。）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lang w:val="en-US" w:eastAsia="zh-CN"/>
              </w:rPr>
              <w:t xml:space="preserve">9</w:t>
            </w:r>
            <w:r/>
          </w:p>
        </w:tc>
        <w:tc>
          <w:tcPr>
            <w:tcW w:w="789" w:type="dxa"/>
            <w:vAlign w:val="center"/>
            <w:textDirection w:val="lrTb"/>
            <w:noWrap w:val="false"/>
          </w:tcPr>
          <w:p>
            <w:pPr>
              <w:jc w:val="center"/>
              <w:spacing w:line="360" w:lineRule="auto"/>
              <w:rPr>
                <w:rFonts w:cs="宋体" w:asciiTheme="minorEastAsia" w:hAnsiTheme="minorEastAsia" w:eastAsiaTheme="minorEastAsia"/>
                <w:color w:val="auto"/>
                <w:spacing w:val="-6"/>
                <w:szCs w:val="21"/>
                <w:highlight w:val="none"/>
              </w:rPr>
            </w:pPr>
            <w:r>
              <w:rPr>
                <w:rFonts w:hint="eastAsia" w:cs="宋体" w:asciiTheme="minorEastAsia" w:hAnsiTheme="minorEastAsia" w:eastAsiaTheme="minorEastAsia"/>
                <w:color w:val="auto"/>
                <w:spacing w:val="-6"/>
                <w:szCs w:val="21"/>
                <w:highlight w:val="none"/>
              </w:rPr>
              <w:t xml:space="preserve">客观分</w:t>
            </w:r>
            <w:r/>
          </w:p>
        </w:tc>
      </w:tr>
    </w:tbl>
    <w:p>
      <w:pPr>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备注</w:t>
      </w:r>
      <w:r>
        <w:rPr>
          <w:rFonts w:hint="eastAsia" w:ascii="宋体" w:hAnsi="宋体" w:eastAsia="宋体" w:cs="宋体"/>
          <w:b/>
          <w:bCs/>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供应商应对响应文件中提供的证明材料</w:t>
      </w:r>
      <w:r>
        <w:rPr>
          <w:rFonts w:hint="eastAsia" w:ascii="宋体" w:hAnsi="宋体" w:eastAsia="宋体" w:cs="宋体"/>
          <w:color w:val="auto"/>
          <w:highlight w:val="none"/>
          <w:lang w:val="en-US" w:eastAsia="zh-CN"/>
        </w:rPr>
        <w:t xml:space="preserve">或</w:t>
      </w:r>
      <w:r>
        <w:rPr>
          <w:rFonts w:hint="eastAsia" w:ascii="宋体" w:hAnsi="宋体" w:eastAsia="宋体" w:cs="宋体"/>
          <w:color w:val="auto"/>
          <w:highlight w:val="none"/>
        </w:rPr>
        <w:t xml:space="preserve">相关承诺的真实性负责，如有虚假，一经查实，采购人或招标代理机构有权取消其成交资格，并</w:t>
      </w:r>
      <w:r>
        <w:rPr>
          <w:rFonts w:hint="eastAsia" w:ascii="宋体" w:hAnsi="宋体" w:eastAsia="宋体" w:cs="宋体"/>
          <w:color w:val="auto"/>
          <w:highlight w:val="none"/>
          <w:lang w:val="en-US" w:eastAsia="zh-CN"/>
        </w:rPr>
        <w:t xml:space="preserve">参照</w:t>
      </w:r>
      <w:r>
        <w:rPr>
          <w:rFonts w:hint="eastAsia" w:ascii="宋体" w:hAnsi="宋体" w:eastAsia="宋体" w:cs="宋体"/>
          <w:color w:val="auto"/>
          <w:highlight w:val="none"/>
        </w:rPr>
        <w:t xml:space="preserve">《中华人民共和国政府采购法》相关条例进行处罚。</w:t>
      </w:r>
      <w:r/>
    </w:p>
    <w:p>
      <w:pPr>
        <w:pStyle w:val="1134"/>
        <w:rPr>
          <w:rFonts w:hint="eastAsia" w:ascii="宋体" w:hAnsi="宋体" w:eastAsia="黑体" w:cs="宋体"/>
          <w:color w:val="auto"/>
          <w:sz w:val="24"/>
          <w:szCs w:val="24"/>
          <w:highlight w:val="none"/>
          <w:lang w:eastAsia="zh-CN"/>
        </w:rPr>
      </w:pPr>
      <w:r/>
      <w:bookmarkStart w:id="271" w:name="_Toc2521"/>
      <w:r>
        <w:rPr>
          <w:rFonts w:hint="eastAsia" w:ascii="宋体" w:hAnsi="宋体" w:eastAsia="宋体" w:cs="宋体"/>
          <w:bCs/>
          <w:color w:val="auto"/>
          <w:sz w:val="44"/>
          <w:highlight w:val="none"/>
        </w:rPr>
        <w:br w:type="page" w:clear="all"/>
      </w:r>
      <w:bookmarkEnd w:id="271"/>
      <w:r/>
      <w:bookmarkStart w:id="272" w:name="_Toc14217"/>
      <w:r>
        <w:rPr>
          <w:rFonts w:hint="eastAsia" w:ascii="黑体" w:hAnsi="黑体" w:eastAsia="黑体" w:cs="黑体"/>
          <w:b/>
          <w:bCs/>
          <w:color w:val="auto"/>
          <w:sz w:val="36"/>
          <w:szCs w:val="36"/>
          <w:highlight w:val="none"/>
        </w:rPr>
        <w:t xml:space="preserve">第</w:t>
      </w:r>
      <w:bookmarkEnd w:id="254"/>
      <w:r>
        <w:rPr>
          <w:rFonts w:hint="eastAsia" w:ascii="黑体" w:hAnsi="黑体" w:eastAsia="黑体" w:cs="黑体"/>
          <w:b/>
          <w:bCs/>
          <w:color w:val="auto"/>
          <w:sz w:val="36"/>
          <w:szCs w:val="36"/>
          <w:highlight w:val="none"/>
        </w:rPr>
        <w:t xml:space="preserve">四章 </w:t>
      </w:r>
      <w:bookmarkEnd w:id="255"/>
      <w:r/>
      <w:bookmarkEnd w:id="256"/>
      <w:r/>
      <w:bookmarkEnd w:id="257"/>
      <w:r>
        <w:rPr>
          <w:rFonts w:hint="eastAsia" w:ascii="黑体" w:hAnsi="黑体" w:eastAsia="黑体" w:cs="黑体"/>
          <w:b/>
          <w:bCs/>
          <w:color w:val="auto"/>
          <w:sz w:val="36"/>
          <w:szCs w:val="36"/>
          <w:highlight w:val="none"/>
          <w:lang w:val="en-US" w:eastAsia="zh-CN"/>
        </w:rPr>
        <w:t xml:space="preserve"> </w:t>
      </w:r>
      <w:r>
        <w:rPr>
          <w:rFonts w:hint="eastAsia" w:ascii="黑体" w:hAnsi="黑体" w:eastAsia="黑体" w:cs="黑体"/>
          <w:b/>
          <w:bCs/>
          <w:color w:val="auto"/>
          <w:sz w:val="36"/>
          <w:szCs w:val="36"/>
          <w:highlight w:val="none"/>
          <w:lang w:eastAsia="zh-CN"/>
        </w:rPr>
        <w:t xml:space="preserve">采购</w:t>
      </w:r>
      <w:r>
        <w:rPr>
          <w:rFonts w:hint="eastAsia" w:ascii="黑体" w:hAnsi="黑体" w:eastAsia="黑体" w:cs="黑体"/>
          <w:b/>
          <w:bCs/>
          <w:color w:val="auto"/>
          <w:sz w:val="36"/>
          <w:szCs w:val="36"/>
          <w:highlight w:val="none"/>
          <w:lang w:val="en-US" w:eastAsia="zh-CN"/>
        </w:rPr>
        <w:t xml:space="preserve">项目</w:t>
      </w:r>
      <w:r>
        <w:rPr>
          <w:rFonts w:hint="eastAsia" w:ascii="黑体" w:hAnsi="黑体" w:eastAsia="黑体" w:cs="黑体"/>
          <w:b/>
          <w:bCs/>
          <w:color w:val="auto"/>
          <w:sz w:val="36"/>
          <w:szCs w:val="36"/>
          <w:highlight w:val="none"/>
          <w:lang w:eastAsia="zh-CN"/>
        </w:rPr>
        <w:t xml:space="preserve">需求</w:t>
      </w:r>
      <w:bookmarkEnd w:id="272"/>
      <w:r/>
      <w:r/>
    </w:p>
    <w:p>
      <w:pPr>
        <w:ind w:firstLine="442"/>
        <w:spacing w:line="360" w:lineRule="auto"/>
        <w:rPr>
          <w:rFonts w:hint="eastAsia" w:ascii="宋体" w:hAnsi="宋体" w:eastAsia="宋体" w:cs="宋体"/>
          <w:b/>
          <w:bCs/>
          <w:color w:val="auto"/>
          <w:sz w:val="22"/>
          <w:szCs w:val="22"/>
          <w:highlight w:val="none"/>
        </w:rPr>
      </w:pPr>
      <w:r/>
      <w:bookmarkStart w:id="273" w:name="_Toc26554093"/>
      <w:r/>
      <w:bookmarkStart w:id="274" w:name="_Toc120614281"/>
      <w:r/>
      <w:bookmarkStart w:id="275" w:name="_Toc49090575"/>
      <w:r/>
      <w:bookmarkStart w:id="276" w:name="_Toc31537"/>
      <w:r>
        <w:rPr>
          <w:rFonts w:hint="eastAsia" w:ascii="宋体" w:hAnsi="宋体" w:eastAsia="宋体" w:cs="宋体"/>
          <w:b/>
          <w:bCs/>
          <w:color w:val="auto"/>
          <w:sz w:val="22"/>
          <w:szCs w:val="22"/>
          <w:highlight w:val="none"/>
        </w:rPr>
        <w:t xml:space="preserve">一、项目名称</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2026年度江苏省人社一体化信息平台南京社会保险</w:t>
      </w:r>
      <w:r>
        <w:rPr>
          <w:rFonts w:hint="eastAsia" w:ascii="宋体" w:hAnsi="宋体" w:eastAsia="宋体" w:cs="宋体"/>
          <w:color w:val="auto"/>
          <w:sz w:val="22"/>
          <w:szCs w:val="22"/>
          <w:highlight w:val="none"/>
        </w:rPr>
        <w:t xml:space="preserve">运维项目</w:t>
      </w:r>
      <w:r/>
    </w:p>
    <w:p>
      <w:pPr>
        <w:ind w:firstLine="44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二、项目概况</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（一）项目背景</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确保江苏省社会保险省级统筹和“放管服”改革各项任务落地落实，从2020年6月起全面启动省人社一体化信息平台建设。以群众需求为导向，以省集中建设为重点，以云平台架构为基础，全力推进公共就业、社会保险、人才人事和劳动关系等各类人社系统的省级集中和有机融合，着</w:t>
      </w:r>
      <w:r>
        <w:rPr>
          <w:rFonts w:hint="eastAsia" w:ascii="宋体" w:hAnsi="宋体" w:eastAsia="宋体" w:cs="宋体"/>
          <w:color w:val="auto"/>
          <w:sz w:val="22"/>
          <w:szCs w:val="22"/>
          <w:highlight w:val="none"/>
        </w:rPr>
        <w:t xml:space="preserve">力打造全省“政策、流程、业务、标准、系统、数据、管理、服务”8统一的人力资源社会保障一体化信息平台，依托于业务、技术、数据、管理、软硬件集成一体化协同运行，真正实现“全省一体化、业务在线化、治理数据化、服务智能化”的转型升级和服务创新。省人社一体化信息平台是省、市、县（市区）、街道（乡镇）、社区（村）5级人社经办业务、行政审批和公共服务的大平台，是纵向集中统一、横向集约整合、纵横联动协同的大平台，是全省人社全业务、省集中、紧耦合的大平台。总体上技术架构新、系统数量多、统一标准难、复杂程度高、开发运维难度大。</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按照《省人力资源社会保障一体化信息平台建设方案》、《关于加快推进省人社一体化信息平台第三批次切换上线工作的通知》、《省人社一体化信息平台第三批次切换上线工作计划》要求，省人社一体化信息平台2021年8月在南京上线运行。省人社一体化信息平台在南京上线后，养老、工伤、失业三险统一使用省人社一体化信息平台办理，社会保险和劳动就业培训板块本地化改造功能、老机关事业养老保险系统、老农保系统、运维平台系统、权限管理系统、统一门户系统、各部门本地统计查询功能</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南京市公共就业服务能力提升示范</w:t>
      </w:r>
      <w:r>
        <w:rPr>
          <w:rFonts w:hint="eastAsia" w:ascii="宋体" w:hAnsi="宋体" w:eastAsia="宋体" w:cs="宋体"/>
          <w:bCs/>
          <w:color w:val="auto"/>
          <w:sz w:val="22"/>
          <w:szCs w:val="22"/>
          <w:highlight w:val="none"/>
          <w:lang w:val="en-US" w:eastAsia="zh-CN"/>
        </w:rPr>
        <w:t xml:space="preserve">系统</w:t>
      </w:r>
      <w:r>
        <w:rPr>
          <w:rFonts w:hint="eastAsia" w:ascii="宋体" w:hAnsi="宋体" w:eastAsia="宋体" w:cs="宋体"/>
          <w:color w:val="auto"/>
          <w:sz w:val="22"/>
          <w:szCs w:val="22"/>
          <w:highlight w:val="none"/>
        </w:rPr>
        <w:t xml:space="preserve">在南京人社城乡一体化信息系统中运行办理。</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（二）建设目标</w:t>
      </w:r>
      <w:r/>
    </w:p>
    <w:p>
      <w:pPr>
        <w:ind w:firstLine="440"/>
        <w:spacing w:line="360" w:lineRule="auto"/>
        <w:rPr>
          <w:rFonts w:hint="eastAsia" w:ascii="宋体" w:hAnsi="宋体" w:eastAsia="宋体" w:cs="宋体"/>
          <w:color w:val="auto"/>
          <w:sz w:val="22"/>
          <w:szCs w:val="22"/>
          <w:highlight w:val="none"/>
          <w:lang w:val="en-US"/>
        </w:rPr>
      </w:pPr>
      <w:r>
        <w:rPr>
          <w:rFonts w:hint="eastAsia" w:ascii="宋体" w:hAnsi="宋体" w:eastAsia="宋体" w:cs="宋体"/>
          <w:bCs/>
          <w:color w:val="auto"/>
          <w:sz w:val="22"/>
          <w:szCs w:val="22"/>
          <w:highlight w:val="none"/>
        </w:rPr>
        <w:t xml:space="preserve">结合江苏省人社一体化信息平台、南京市人社城乡一体化信息系统和南京市公共就业服务能力提升示范项目运维需求，南京市人力资源和社会保障局需要通过本项目实现江苏省人社一体化信息平台的南京市社会保险部分运维保障，南京市人社城乡一体化信息系统社会保险、机关事业养老保险、老农保等应用软件运维保障</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南京市公共就业服务能力提升示范项目就业人才知识图谱、就业创业资金监管、就业服务一卡通分析展示、就业服务经办分级展示四个</w:t>
      </w:r>
      <w:r>
        <w:rPr>
          <w:rFonts w:hint="eastAsia" w:ascii="宋体" w:hAnsi="宋体" w:eastAsia="宋体" w:cs="宋体"/>
          <w:bCs/>
          <w:color w:val="auto"/>
          <w:sz w:val="22"/>
          <w:szCs w:val="22"/>
          <w:highlight w:val="none"/>
          <w:lang w:val="en-US" w:eastAsia="zh-CN"/>
        </w:rPr>
        <w:t xml:space="preserve">应用软件</w:t>
      </w:r>
      <w:r>
        <w:rPr>
          <w:rFonts w:hint="eastAsia" w:ascii="宋体" w:hAnsi="宋体" w:eastAsia="宋体" w:cs="宋体"/>
          <w:bCs/>
          <w:color w:val="auto"/>
          <w:sz w:val="22"/>
          <w:szCs w:val="22"/>
          <w:highlight w:val="none"/>
        </w:rPr>
        <w:t xml:space="preserve">运维保障</w:t>
      </w:r>
      <w:r>
        <w:rPr>
          <w:rFonts w:hint="eastAsia" w:ascii="宋体" w:hAnsi="宋体" w:eastAsia="宋体" w:cs="宋体"/>
          <w:bCs/>
          <w:color w:val="auto"/>
          <w:sz w:val="22"/>
          <w:szCs w:val="22"/>
          <w:highlight w:val="none"/>
          <w:lang w:eastAsia="zh-CN"/>
        </w:rPr>
        <w:t xml:space="preserve">，包括工单处理、系统培训、数据统计分析、个性化功能支持以及其他应急情况的处理等，按需做好南京人社其它创新应用技术支撑工作及软件适配，以确保社会保险业务正常运行和持续发展。</w:t>
      </w:r>
      <w:r>
        <w:rPr>
          <w:rFonts w:hint="eastAsia" w:ascii="宋体" w:hAnsi="宋体" w:eastAsia="宋体" w:cs="宋体"/>
          <w:bCs/>
          <w:color w:val="auto"/>
          <w:sz w:val="22"/>
          <w:szCs w:val="22"/>
          <w:highlight w:val="none"/>
          <w:lang w:val="en-US" w:eastAsia="zh-CN"/>
        </w:rPr>
        <w:t xml:space="preserve"> </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（三）项目建设遵循标准</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遵循国家、行业及地方现行的规范和标准。</w:t>
      </w:r>
      <w:r/>
    </w:p>
    <w:p>
      <w:pPr>
        <w:ind w:firstLine="44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三、产品清单</w:t>
      </w:r>
      <w:r/>
    </w:p>
    <w:tbl>
      <w:tblPr>
        <w:tblStyle w:val="1252"/>
        <w:tblW w:w="500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00"/>
        <w:gridCol w:w="1884"/>
        <w:gridCol w:w="709"/>
        <w:gridCol w:w="718"/>
        <w:gridCol w:w="1401"/>
        <w:gridCol w:w="2470"/>
        <w:gridCol w:w="1098"/>
      </w:tblGrid>
      <w:tr>
        <w:trPr>
          <w:trHeight w:val="470"/>
        </w:trPr>
        <w:tc>
          <w:tcPr>
            <w:tcW w:w="704" w:type="dxa"/>
            <w:vAlign w:val="center"/>
            <w:textDirection w:val="lrTb"/>
            <w:noWrap w:val="false"/>
          </w:tcPr>
          <w:p>
            <w:pPr>
              <w:jc w:val="center"/>
              <w:spacing w:line="264"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序号</w:t>
            </w:r>
            <w:r/>
          </w:p>
        </w:tc>
        <w:tc>
          <w:tcPr>
            <w:tcW w:w="1896" w:type="dxa"/>
            <w:vAlign w:val="center"/>
            <w:textDirection w:val="lrTb"/>
            <w:noWrap w:val="false"/>
          </w:tcPr>
          <w:p>
            <w:pPr>
              <w:jc w:val="center"/>
              <w:spacing w:line="264"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名称</w:t>
            </w:r>
            <w:r/>
          </w:p>
        </w:tc>
        <w:tc>
          <w:tcPr>
            <w:tcW w:w="713" w:type="dxa"/>
            <w:vAlign w:val="center"/>
            <w:textDirection w:val="lrTb"/>
            <w:noWrap w:val="false"/>
          </w:tcPr>
          <w:p>
            <w:pPr>
              <w:jc w:val="center"/>
              <w:spacing w:line="264"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数量</w:t>
            </w:r>
            <w:r/>
          </w:p>
        </w:tc>
        <w:tc>
          <w:tcPr>
            <w:tcW w:w="722" w:type="dxa"/>
            <w:vAlign w:val="center"/>
            <w:textDirection w:val="lrTb"/>
            <w:noWrap w:val="false"/>
          </w:tcPr>
          <w:p>
            <w:pPr>
              <w:jc w:val="center"/>
              <w:spacing w:line="264"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单位</w:t>
            </w:r>
            <w:r/>
          </w:p>
        </w:tc>
        <w:tc>
          <w:tcPr>
            <w:tcW w:w="1411" w:type="dxa"/>
            <w:vAlign w:val="center"/>
            <w:textDirection w:val="lrTb"/>
            <w:noWrap w:val="false"/>
          </w:tcPr>
          <w:p>
            <w:pPr>
              <w:jc w:val="center"/>
              <w:spacing w:line="264"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产品类型</w:t>
            </w:r>
            <w:r/>
          </w:p>
        </w:tc>
        <w:tc>
          <w:tcPr>
            <w:tcW w:w="2488" w:type="dxa"/>
            <w:vAlign w:val="center"/>
            <w:textDirection w:val="lrTb"/>
            <w:noWrap w:val="false"/>
          </w:tcPr>
          <w:p>
            <w:pPr>
              <w:jc w:val="center"/>
              <w:spacing w:line="264"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所属行业类型</w:t>
            </w:r>
            <w:r/>
          </w:p>
        </w:tc>
        <w:tc>
          <w:tcPr>
            <w:tcW w:w="1104" w:type="dxa"/>
            <w:vAlign w:val="center"/>
            <w:textDirection w:val="lrTb"/>
            <w:noWrap w:val="false"/>
          </w:tcPr>
          <w:p>
            <w:pPr>
              <w:jc w:val="center"/>
              <w:spacing w:line="264"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备注</w:t>
            </w:r>
            <w:r/>
          </w:p>
        </w:tc>
      </w:tr>
      <w:tr>
        <w:trPr>
          <w:trHeight w:val="597"/>
        </w:trPr>
        <w:tc>
          <w:tcPr>
            <w:tcW w:w="704" w:type="dxa"/>
            <w:vAlign w:val="center"/>
            <w:textDirection w:val="lrTb"/>
            <w:noWrap w:val="false"/>
          </w:tcPr>
          <w:p>
            <w:pPr>
              <w:jc w:val="center"/>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896" w:type="dxa"/>
            <w:vAlign w:val="center"/>
            <w:textDirection w:val="lrTb"/>
            <w:noWrap w:val="false"/>
          </w:tcPr>
          <w:p>
            <w:pPr>
              <w:jc w:val="center"/>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2026年度江苏省人社一体化信息平台南京社会保险运维项目</w:t>
            </w:r>
            <w:r/>
          </w:p>
        </w:tc>
        <w:tc>
          <w:tcPr>
            <w:tcW w:w="713" w:type="dxa"/>
            <w:vAlign w:val="center"/>
            <w:textDirection w:val="lrTb"/>
            <w:noWrap w:val="false"/>
          </w:tcPr>
          <w:p>
            <w:pPr>
              <w:jc w:val="center"/>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722" w:type="dxa"/>
            <w:vAlign w:val="center"/>
            <w:textDirection w:val="lrTb"/>
            <w:noWrap w:val="false"/>
          </w:tcPr>
          <w:p>
            <w:pPr>
              <w:jc w:val="center"/>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w:t>
            </w:r>
            <w:r/>
          </w:p>
        </w:tc>
        <w:tc>
          <w:tcPr>
            <w:tcW w:w="1411" w:type="dxa"/>
            <w:vAlign w:val="center"/>
            <w:textDirection w:val="lrTb"/>
            <w:noWrap w:val="false"/>
          </w:tcPr>
          <w:p>
            <w:pPr>
              <w:jc w:val="center"/>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主要产品</w:t>
            </w:r>
            <w:r/>
          </w:p>
        </w:tc>
        <w:tc>
          <w:tcPr>
            <w:tcW w:w="2488" w:type="dxa"/>
            <w:vAlign w:val="center"/>
            <w:textDirection w:val="lrTb"/>
            <w:noWrap w:val="false"/>
          </w:tcPr>
          <w:p>
            <w:pPr>
              <w:jc w:val="center"/>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软件和信息技术服务业</w:t>
            </w:r>
            <w:r/>
          </w:p>
        </w:tc>
        <w:tc>
          <w:tcPr>
            <w:tcW w:w="1104" w:type="dxa"/>
            <w:vAlign w:val="center"/>
            <w:textDirection w:val="lrTb"/>
            <w:noWrap w:val="false"/>
          </w:tcPr>
          <w:p>
            <w:pPr>
              <w:jc w:val="center"/>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ind w:firstLine="44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四、拟采购标的需要满足的技术、商务要求</w:t>
      </w:r>
      <w:r/>
    </w:p>
    <w:p>
      <w:pPr>
        <w:ind w:firstLine="44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（一）技术要求</w:t>
      </w:r>
      <w:r/>
    </w:p>
    <w:p>
      <w:pPr>
        <w:ind w:firstLine="440"/>
        <w:spacing w:line="360" w:lineRule="auto"/>
        <w:rPr>
          <w:rFonts w:hint="eastAsia" w:ascii="宋体" w:hAnsi="宋体" w:eastAsia="宋体" w:cs="宋体"/>
          <w:color w:val="auto"/>
          <w:sz w:val="22"/>
          <w:szCs w:val="22"/>
          <w:highlight w:val="none"/>
        </w:rPr>
      </w:pPr>
      <w:r/>
      <w:bookmarkStart w:id="277" w:name="_Hlk72158473"/>
      <w:r>
        <w:rPr>
          <w:rFonts w:hint="eastAsia" w:ascii="宋体" w:hAnsi="宋体" w:eastAsia="宋体" w:cs="宋体"/>
          <w:color w:val="auto"/>
          <w:sz w:val="22"/>
          <w:szCs w:val="22"/>
          <w:highlight w:val="none"/>
        </w:rPr>
        <w:t xml:space="preserve">1.维保范围：</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包括但不限于以下功能要求：</w:t>
      </w:r>
      <w:bookmarkEnd w:id="277"/>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江苏省人社一体化信息平台南京企业职工养老保险、工伤保险、失业保险、城乡居民养老保险、风控系统、基础库、业务财务一体化等运维保障工作：依托江苏省人社一体化信息平台工单系统，负责江苏省人社一体化信息平台中企业职工养老保险、工伤保险、失业保险、城乡居民养老保险、风控系统、基础库、业务财务一体化等南京相关数据的问题处理、统计汇总等。</w:t>
      </w:r>
      <w:r/>
    </w:p>
    <w:p>
      <w:pPr>
        <w:ind w:firstLine="44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1.2处理数据转换</w:t>
      </w:r>
      <w:r>
        <w:rPr>
          <w:rFonts w:hint="eastAsia" w:ascii="宋体" w:hAnsi="宋体" w:cs="宋体"/>
          <w:color w:val="auto"/>
          <w:sz w:val="22"/>
          <w:szCs w:val="22"/>
          <w:highlight w:val="none"/>
          <w:lang w:val="en-US" w:eastAsia="zh-CN"/>
        </w:rPr>
        <w:t xml:space="preserve">遗</w:t>
      </w:r>
      <w:r>
        <w:rPr>
          <w:rFonts w:hint="eastAsia" w:ascii="宋体" w:hAnsi="宋体" w:eastAsia="宋体" w:cs="宋体"/>
          <w:color w:val="auto"/>
          <w:sz w:val="22"/>
          <w:szCs w:val="22"/>
          <w:highlight w:val="none"/>
        </w:rPr>
        <w:t xml:space="preserve">留问题。</w:t>
      </w:r>
      <w:r>
        <w:rPr>
          <w:rFonts w:hint="eastAsia" w:ascii="宋体" w:hAnsi="宋体" w:eastAsia="宋体" w:cs="宋体"/>
          <w:color w:val="auto"/>
          <w:sz w:val="22"/>
          <w:szCs w:val="22"/>
          <w:highlight w:val="none"/>
          <w:lang w:val="en-US" w:eastAsia="zh-CN"/>
        </w:rPr>
        <w:t xml:space="preserve"> </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1.3江苏省人社一体化信息平台南京持续运行所必须的社会保险板块数据增量清洗、数据增量迁移和数据优化完善等数据运维工作。</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1.4及时解答业务人员提出的系统相关问题，协调省厅项目团队解决南京系统运行中出现的问题；根据各部门反馈的意见和建议，汇总分析可行性，集中向省厅项目团队反馈，落实解决方案。</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1.5南京</w:t>
      </w:r>
      <w:r>
        <w:rPr>
          <w:rFonts w:hint="eastAsia" w:ascii="宋体" w:hAnsi="宋体" w:eastAsia="宋体" w:cs="宋体"/>
          <w:color w:val="auto"/>
          <w:sz w:val="22"/>
          <w:szCs w:val="22"/>
          <w:highlight w:val="none"/>
          <w:lang w:val="en-US" w:eastAsia="zh-CN"/>
        </w:rPr>
        <w:t xml:space="preserve">市</w:t>
      </w:r>
      <w:r>
        <w:rPr>
          <w:rFonts w:hint="eastAsia" w:ascii="宋体" w:hAnsi="宋体" w:eastAsia="宋体" w:cs="宋体"/>
          <w:color w:val="auto"/>
          <w:sz w:val="22"/>
          <w:szCs w:val="22"/>
          <w:highlight w:val="none"/>
        </w:rPr>
        <w:t xml:space="preserve">人社城乡一体化信息系统社会保险、机关事业养老保险和老农保等应用软件运维工作。</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1.6创新应用的技术支持，包括南京创新项目等信息化建设所需社会保险数据批量处理工作。</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基于省厅的南京回流库，负责相关系统数据的汇总统计、接口对接工作。</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依据部、省、市相关工作要求，结合业务需求，做好相关系统的数据采集、数据治理、数据抽取等提升数据质量的工作。</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按照接口规范管理要求，做好南京</w:t>
      </w:r>
      <w:r>
        <w:rPr>
          <w:rFonts w:hint="eastAsia" w:ascii="宋体" w:hAnsi="宋体" w:eastAsia="宋体" w:cs="宋体"/>
          <w:color w:val="auto"/>
          <w:sz w:val="22"/>
          <w:szCs w:val="22"/>
          <w:highlight w:val="none"/>
          <w:lang w:val="en-US" w:eastAsia="zh-CN"/>
        </w:rPr>
        <w:t xml:space="preserve">市</w:t>
      </w:r>
      <w:r>
        <w:rPr>
          <w:rFonts w:hint="eastAsia" w:ascii="宋体" w:hAnsi="宋体" w:eastAsia="宋体" w:cs="宋体"/>
          <w:color w:val="auto"/>
          <w:sz w:val="22"/>
          <w:szCs w:val="22"/>
          <w:highlight w:val="none"/>
        </w:rPr>
        <w:t xml:space="preserve">人社城乡一体化信息系统、江苏省人社一体化信息平台（含创新区）接口开发、接口安全测试以及数据交换平台升级相关工作，解决数据交互平台跨厂商、跨部门的业务交互和数据交互等问题。</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据采购单位需求，负责相关系统采购单位的操作培训、指导和答疑。</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每周上报工作周报，每月每季度对运维工作进行定期检查，每月汇总问题处理情况，形成问题报告。</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配合完成日常的统计分析报表，完成特殊的查询统计需求。</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在采购单位的统一安排下,按相关政策要求进行数据批量处理工作,如:养老调资等,整个过程需要建立有关数据安全、备份、测试、验证、应急恢复等机制。</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对采购单位提出的个性化功能提供技术支持。</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数字人社智能指挥系统（一期）日常运维工作。</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协同平台日常运维工作。</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按需做好南京人社其它创新应用技术支撑工作</w:t>
      </w:r>
      <w:r>
        <w:rPr>
          <w:rFonts w:hint="eastAsia" w:ascii="宋体" w:hAnsi="宋体" w:eastAsia="宋体" w:cs="宋体"/>
          <w:color w:val="auto"/>
          <w:sz w:val="22"/>
          <w:szCs w:val="22"/>
          <w:highlight w:val="none"/>
          <w:lang w:val="en-US" w:eastAsia="zh-CN"/>
        </w:rPr>
        <w:t xml:space="preserve">及软件适配</w:t>
      </w:r>
      <w:r>
        <w:rPr>
          <w:rFonts w:hint="eastAsia" w:ascii="宋体" w:hAnsi="宋体" w:eastAsia="宋体" w:cs="宋体"/>
          <w:color w:val="auto"/>
          <w:sz w:val="22"/>
          <w:szCs w:val="22"/>
          <w:highlight w:val="none"/>
        </w:rPr>
        <w:t xml:space="preserve">。</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1.18</w:t>
      </w:r>
      <w:r>
        <w:rPr>
          <w:rFonts w:hint="eastAsia" w:ascii="宋体" w:hAnsi="宋体" w:eastAsia="宋体" w:cs="宋体"/>
          <w:color w:val="auto"/>
          <w:sz w:val="22"/>
          <w:szCs w:val="22"/>
          <w:highlight w:val="none"/>
        </w:rPr>
        <w:t xml:space="preserve">做好示范项目就业创业资金监管、就业人才知识图谱、就业服务一卡通分析展示平台、就业服务经办分级展示共 4 个系统运维工作</w:t>
      </w:r>
      <w:r>
        <w:rPr>
          <w:rFonts w:hint="eastAsia" w:ascii="宋体" w:hAnsi="宋体" w:eastAsia="宋体" w:cs="宋体"/>
          <w:color w:val="auto"/>
          <w:sz w:val="22"/>
          <w:szCs w:val="22"/>
          <w:highlight w:val="none"/>
          <w:lang w:eastAsia="zh-CN"/>
        </w:rPr>
        <w:t xml:space="preserve">。</w:t>
      </w:r>
      <w:r/>
    </w:p>
    <w:p>
      <w:pPr>
        <w:ind w:firstLine="44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1.19根据省厅社会保险全险种“大管控”一体化信息平台完善工作要求，做好多险业务经办系统合一管控相关工作。</w:t>
      </w:r>
      <w:r/>
    </w:p>
    <w:p>
      <w:pPr>
        <w:ind w:firstLine="44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1.20</w:t>
      </w:r>
      <w:r>
        <w:rPr>
          <w:rFonts w:hint="eastAsia" w:asciiTheme="minorEastAsia" w:hAnsiTheme="minorEastAsia" w:eastAsiaTheme="minorEastAsia"/>
          <w:color w:val="auto"/>
          <w:szCs w:val="21"/>
          <w:highlight w:val="none"/>
          <w:lang w:val="en-US" w:eastAsia="zh-CN"/>
        </w:rPr>
        <w:t xml:space="preserve">针对本项目运维范围内的系统，做好行政区划调整对应的程序适配与数据更新，切实满足采购单位实际业务需求。</w:t>
      </w:r>
      <w:r/>
    </w:p>
    <w:p>
      <w:pPr>
        <w:ind w:firstLine="44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1.21根据江苏智慧人社APP南京专区功能需要，做好相关社保保险接口研发对接和</w:t>
      </w:r>
      <w:r>
        <w:rPr>
          <w:rFonts w:hint="eastAsia" w:ascii="宋体" w:hAnsi="宋体" w:eastAsia="宋体" w:cs="宋体"/>
          <w:color w:val="auto"/>
          <w:sz w:val="22"/>
          <w:szCs w:val="22"/>
          <w:highlight w:val="none"/>
        </w:rPr>
        <w:t xml:space="preserve">南京</w:t>
      </w:r>
      <w:r>
        <w:rPr>
          <w:rFonts w:hint="eastAsia" w:ascii="宋体" w:hAnsi="宋体" w:eastAsia="宋体" w:cs="宋体"/>
          <w:color w:val="auto"/>
          <w:sz w:val="22"/>
          <w:szCs w:val="22"/>
          <w:highlight w:val="none"/>
          <w:lang w:val="en-US" w:eastAsia="zh-CN"/>
        </w:rPr>
        <w:t xml:space="preserve">市</w:t>
      </w:r>
      <w:r>
        <w:rPr>
          <w:rFonts w:hint="eastAsia" w:ascii="宋体" w:hAnsi="宋体" w:eastAsia="宋体" w:cs="宋体"/>
          <w:color w:val="auto"/>
          <w:sz w:val="22"/>
          <w:szCs w:val="22"/>
          <w:highlight w:val="none"/>
        </w:rPr>
        <w:t xml:space="preserve">人社城乡一体化信息系统</w:t>
      </w:r>
      <w:r>
        <w:rPr>
          <w:rFonts w:hint="eastAsia" w:ascii="宋体" w:hAnsi="宋体" w:eastAsia="宋体" w:cs="宋体"/>
          <w:color w:val="auto"/>
          <w:sz w:val="22"/>
          <w:szCs w:val="22"/>
          <w:highlight w:val="none"/>
          <w:lang w:val="en-US" w:eastAsia="zh-CN"/>
        </w:rPr>
        <w:t xml:space="preserve">配套功能研发。</w:t>
      </w:r>
      <w:r/>
    </w:p>
    <w:p>
      <w:pPr>
        <w:ind w:firstLine="44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22</w:t>
      </w:r>
      <w:r>
        <w:rPr>
          <w:rFonts w:hint="eastAsia" w:ascii="宋体" w:hAnsi="宋体" w:eastAsia="宋体" w:cs="宋体"/>
          <w:color w:val="auto"/>
          <w:sz w:val="22"/>
          <w:szCs w:val="22"/>
          <w:highlight w:val="none"/>
        </w:rPr>
        <w:t xml:space="preserve">完成采购单位交办的其他工作。</w:t>
      </w:r>
      <w:r>
        <w:rPr>
          <w:rFonts w:hint="eastAsia" w:ascii="宋体" w:hAnsi="宋体" w:eastAsia="宋体" w:cs="宋体"/>
          <w:color w:val="auto"/>
          <w:sz w:val="22"/>
          <w:szCs w:val="22"/>
          <w:highlight w:val="none"/>
          <w:lang w:val="en-US" w:eastAsia="zh-CN"/>
        </w:rPr>
        <w:t xml:space="preserve"> </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2.系统开发接口要求</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严格按照采购单位数据交互规范执行，依托采购单位建设信息系统接口管控平台，供应商应按采购单位技术规范，完成本项目所有对内对外提供支持的接口对接工作，包含不限于南京人社城乡一体化信息系统内部各板块之间调用的接口，包含不限于局门户网办大厅、我的南京APP“智慧人社”板块、南京人才公众、社会保障卡南京一卡通小程序等公共服务渠道对接所需接口，包含不限于各部委办局、银行、自助机等专线渠道对接所需接口，具体工作要求包括接口的重新开发、调试、部署以及技术文档更新等。</w:t>
      </w:r>
      <w:r/>
    </w:p>
    <w:p>
      <w:pPr>
        <w:ind w:firstLine="44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（二）商务要求</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1.系统安全要求</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1.1供应商开发的系统符合省市人社部门等保要求及等级保护标准。供应商及其工作人员遵守采购单位信息安全管理制度。 </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供应商按照江苏省人社一体化信息平台和南京人社城乡一体化信息系统的代码编写规范进行程序开发，并向采购单位提供符合等级保护2.0标准的技术资料，包括但不限于源代码合规性审计报告、应用软件渗透测试合规性报告。</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1.3供应商提供程序中严禁留有“后门”，严禁利用后门实施违规、违法行为。</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1.4供应商配合采购单位实施渗透测试、漏洞扫描工作，并根据测试扫描报告进行整改。</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1.5所有参与项目的人员应签订正式保密协议，并在工作中坚持保密原则，供应商严格规范执行各项保密制度，对在项目采购、建设、质保各阶段取得采购单位各类信息进行保密管理，杜绝任何泄密事件的发生。</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1.6供应商须按照国家、省、市商用密码应用要求及密码应用性评估标准开展商用密码应用工作，根据采购单位关于应用系统密评工作的实际要求，供应商做好相关密评工作。</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2.项目实施要求</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2.1供应商在项目实施过程中，严格执行采购单位制定的与采购单位运维管理平台相配套的IT管理体系和制度，执行需求管理、代码管理、数据访问、机房进出、系统运维等制度。</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2.2供应商每月必须定期进行应用系统性能检测、效能分析，确保对问题能够进行事先预防，避免出现故障和问题。</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供应商必须按国家、省、市行业标准规范，提交技术文档和验收文档。供应商必须保证本项目成果及所使用到资源的版权合法性，本项目成果及实施过程中一切产出物所有权及版权归采购单位所有，包括但不限于：源代码、程序脚本、数据库字典、数据库对象以及系统运行部署说明、系统运维说明等支撑采购单位系统正常运行的必须技术资料。未经采购单位书面同意，不得散播、转让相关成果。涉及业务部分的相关内容必须得到采购单位同意才可以使用。</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2.4供应商提出验收方案和详细设计说明书等验收文档清单，验收方案报采购单位审核通过后，由采购单位按照采购单位内部项目管理办法组织验收。</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3.项目测试要求</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3.1功能测试</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供应商需要对被建系统功能提供保障，针对被建系统向采购单位提交完整的功能自测报告和测试用例，测试用例必须完整覆盖需求文档中描述的所有需求点，测试报告必须包含对测试范围和测试结果的描述。</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（2）供应商有责任配合采购单位指定的第三方测试机构建系统进行功能抽测，提交第三方测试机构的需求文档以及测试用例、测试数据，同时提供对应工程师配合第三方功能抽测工作。</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3.2性能测试</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（1）根据实际业务场景的需要供应商需针对被建系统的性能进行自测，所测场景与并发数必须与采购单位负责人进行沟通确认，最终向采购单位提交完整的性能测试用例和测试报告。</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（2）供应商有责任配合采购单位指定的第三方测试机构对被测系统的性能进行验证，根据测试需要提交第三方测试机构性能测试所需的用例和数据、同时提供对应工程师配合第三方性能测试工作。</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4.维保服务要求</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4.1供应商驻场服务</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★（1）供应商</w:t>
      </w:r>
      <w:r>
        <w:rPr>
          <w:rFonts w:hint="eastAsia" w:ascii="宋体" w:hAnsi="宋体" w:eastAsia="宋体" w:cs="宋体"/>
          <w:color w:val="auto"/>
          <w:sz w:val="22"/>
          <w:szCs w:val="22"/>
          <w:highlight w:val="none"/>
          <w:lang w:eastAsia="zh-CN"/>
        </w:rPr>
        <w:t xml:space="preserve">组建不少于</w:t>
      </w:r>
      <w:r>
        <w:rPr>
          <w:rFonts w:hint="eastAsia" w:ascii="宋体" w:hAnsi="宋体" w:eastAsia="宋体" w:cs="宋体"/>
          <w:color w:val="auto"/>
          <w:sz w:val="22"/>
          <w:szCs w:val="22"/>
          <w:highlight w:val="none"/>
          <w:lang w:val="en-US" w:eastAsia="zh-CN"/>
        </w:rPr>
        <w:t xml:space="preserve">13</w:t>
      </w:r>
      <w:r>
        <w:rPr>
          <w:rFonts w:hint="eastAsia" w:ascii="宋体" w:hAnsi="宋体" w:eastAsia="宋体" w:cs="宋体"/>
          <w:color w:val="auto"/>
          <w:sz w:val="22"/>
          <w:szCs w:val="22"/>
          <w:highlight w:val="none"/>
          <w:lang w:eastAsia="zh-CN"/>
        </w:rPr>
        <w:t xml:space="preserve">人的服务团队，</w:t>
      </w:r>
      <w:r>
        <w:rPr>
          <w:rFonts w:hint="eastAsia" w:ascii="宋体" w:hAnsi="宋体" w:eastAsia="宋体" w:cs="宋体"/>
          <w:color w:val="auto"/>
          <w:sz w:val="22"/>
          <w:szCs w:val="22"/>
          <w:highlight w:val="none"/>
          <w:lang w:val="en-US" w:eastAsia="zh-CN"/>
        </w:rPr>
        <w:t xml:space="preserve">其中</w:t>
      </w:r>
      <w:r>
        <w:rPr>
          <w:rFonts w:hint="eastAsia" w:ascii="宋体" w:hAnsi="宋体" w:eastAsia="宋体" w:cs="宋体"/>
          <w:color w:val="auto"/>
          <w:sz w:val="22"/>
          <w:szCs w:val="22"/>
          <w:highlight w:val="none"/>
        </w:rPr>
        <w:t xml:space="preserve">驻场工程师不少于1</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人（</w:t>
      </w:r>
      <w:r>
        <w:rPr>
          <w:rFonts w:hint="eastAsia" w:ascii="宋体" w:hAnsi="宋体" w:eastAsia="宋体" w:cs="宋体"/>
          <w:color w:val="auto"/>
          <w:sz w:val="22"/>
          <w:szCs w:val="22"/>
          <w:highlight w:val="none"/>
          <w:lang w:val="en-US" w:eastAsia="zh-CN"/>
        </w:rPr>
        <w:t xml:space="preserve">驻场</w:t>
      </w:r>
      <w:r>
        <w:rPr>
          <w:rFonts w:hint="eastAsia" w:ascii="宋体" w:hAnsi="宋体" w:eastAsia="宋体" w:cs="宋体"/>
          <w:color w:val="auto"/>
          <w:sz w:val="22"/>
          <w:szCs w:val="22"/>
          <w:highlight w:val="none"/>
        </w:rPr>
        <w:t xml:space="preserve">项目经理1人，其它</w:t>
      </w:r>
      <w:r>
        <w:rPr>
          <w:rFonts w:hint="eastAsia" w:ascii="宋体" w:hAnsi="宋体" w:eastAsia="宋体" w:cs="宋体"/>
          <w:color w:val="auto"/>
          <w:sz w:val="22"/>
          <w:szCs w:val="22"/>
          <w:highlight w:val="none"/>
          <w:lang w:val="en-US" w:eastAsia="zh-CN"/>
        </w:rPr>
        <w:t xml:space="preserve">驻场</w:t>
      </w:r>
      <w:r>
        <w:rPr>
          <w:rFonts w:hint="eastAsia" w:ascii="宋体" w:hAnsi="宋体" w:eastAsia="宋体" w:cs="宋体"/>
          <w:color w:val="auto"/>
          <w:sz w:val="22"/>
          <w:szCs w:val="22"/>
          <w:highlight w:val="none"/>
        </w:rPr>
        <w:t xml:space="preserve">人员不少于</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人</w:t>
      </w:r>
      <w:r>
        <w:rPr>
          <w:rFonts w:hint="eastAsia" w:ascii="宋体" w:hAnsi="宋体" w:eastAsia="宋体" w:cs="宋体"/>
          <w:color w:val="auto"/>
          <w:sz w:val="22"/>
          <w:szCs w:val="22"/>
          <w:highlight w:val="none"/>
          <w:lang w:eastAsia="zh-CN"/>
        </w:rPr>
        <w:t xml:space="preserve">），远程</w:t>
      </w:r>
      <w:r>
        <w:rPr>
          <w:rFonts w:hint="eastAsia" w:ascii="宋体" w:hAnsi="宋体" w:eastAsia="宋体" w:cs="宋体"/>
          <w:color w:val="auto"/>
          <w:sz w:val="22"/>
          <w:szCs w:val="22"/>
          <w:highlight w:val="none"/>
          <w:lang w:val="en-US" w:eastAsia="zh-CN"/>
        </w:rPr>
        <w:t xml:space="preserve">技术</w:t>
      </w:r>
      <w:r>
        <w:rPr>
          <w:rFonts w:hint="eastAsia" w:ascii="宋体" w:hAnsi="宋体" w:eastAsia="宋体" w:cs="宋体"/>
          <w:color w:val="auto"/>
          <w:sz w:val="22"/>
          <w:szCs w:val="22"/>
          <w:highlight w:val="none"/>
          <w:lang w:eastAsia="zh-CN"/>
        </w:rPr>
        <w:t xml:space="preserve">支撑工程师</w:t>
      </w:r>
      <w:r>
        <w:rPr>
          <w:rFonts w:hint="eastAsia" w:ascii="宋体" w:hAnsi="宋体" w:eastAsia="宋体" w:cs="宋体"/>
          <w:color w:val="auto"/>
          <w:sz w:val="22"/>
          <w:szCs w:val="22"/>
          <w:highlight w:val="none"/>
          <w:lang w:val="en-US" w:eastAsia="zh-CN"/>
        </w:rPr>
        <w:t xml:space="preserve">不少于3人</w:t>
      </w:r>
      <w:r>
        <w:rPr>
          <w:rFonts w:hint="eastAsia" w:ascii="宋体" w:hAnsi="宋体" w:eastAsia="宋体" w:cs="宋体"/>
          <w:color w:val="auto"/>
          <w:sz w:val="22"/>
          <w:szCs w:val="22"/>
          <w:highlight w:val="none"/>
        </w:rPr>
        <w:t xml:space="preserve">。合同签订后，供应商服务期驻场工程师必须立即根据采购单位要求驻场办公，且不能出现与其它同期信息化项目人员复用的情况。</w:t>
      </w:r>
      <w:r>
        <w:rPr>
          <w:rFonts w:hint="eastAsia" w:ascii="宋体" w:hAnsi="宋体" w:eastAsia="宋体" w:cs="宋体"/>
          <w:b/>
          <w:bCs/>
          <w:color w:val="auto"/>
          <w:sz w:val="22"/>
          <w:szCs w:val="22"/>
          <w:highlight w:val="none"/>
        </w:rPr>
        <w:t xml:space="preserve">（提供承诺函并加盖公章，承诺函格式自拟，未提供或未按要求提供的视为无效投标处理）</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（2）供应商服务期驻场工程师对江苏省人社一体化信息平台及南京人社城乡一体化信息系统社会保险涉及各项业务具有一定的了解，与相关业务部门开展无障碍业务需求讨论和交流；</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b/>
          <w:bCs/>
          <w:color w:val="auto"/>
          <w:sz w:val="22"/>
          <w:szCs w:val="22"/>
          <w:highlight w:val="none"/>
        </w:rPr>
        <w:t xml:space="preserve">供应商服务期驻场工程师及远程技术支撑工程师名单在响应文件中明确，</w:t>
      </w:r>
      <w:r>
        <w:rPr>
          <w:rFonts w:hint="eastAsia" w:ascii="宋体" w:hAnsi="宋体" w:eastAsia="宋体" w:cs="宋体"/>
          <w:color w:val="auto"/>
          <w:sz w:val="22"/>
          <w:szCs w:val="22"/>
          <w:highlight w:val="none"/>
        </w:rPr>
        <w:t xml:space="preserve">成交后如需更改需征得采购单位同意且变更之后人员资质不得低于采购文件要求。</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4.2供应商后台支撑服务</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（1）供应商为采购单位项目建立后台支撑服务团队，后台支撑服务团队负责采购单位项目的总体规划、各项工作计划及内容制定、重大故障处置。</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（2）供应商如无法解决采购单位项目故障，需要聘请第三方专业公司或专业人士协助解决，期间所发生的费用由供应商承担。</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供应商须确保承担的工作内容7*24小时平稳运行。如出现故障，供应商在10分钟内电话响应，若电话中无法解决，根据实际情况需要，30分钟内到达现场进行维护。到达现场后对故障处理，在5时至19时出现的故障，15分钟内须诊断系统故障，30分钟内解决故障，期间须保证业务系统不间断地正常运行。在19时至5时出现故障，30分钟内须诊断系统故障，60分钟内解决故障，期间须保证业务系统不间断地正常运行。</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5.项目考核与违约要求</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供应商应承诺在项目实施过程中接受采购单位及监理方（或者采购单位委托的有关各方）的监督管理，若违反项目合同及有关项目管理指令、要求时承担相应的违约金，接受以下工作质量考核评价办法。</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5.1驻场人员考勤处理</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按照采购单位考勤制度执行。</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5.2人员变更处理</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未经采购单位同意，项目经理变更，采购单位有权终止合同；技术人员变更不得多于</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次，每超过1人次的，按照合同款的5%进行扣除。</w:t>
      </w:r>
      <w:r>
        <w:rPr>
          <w:rFonts w:hint="eastAsia" w:asciiTheme="minorEastAsia" w:hAnsiTheme="minorEastAsia" w:eastAsiaTheme="minorEastAsia"/>
          <w:color w:val="auto"/>
          <w:szCs w:val="21"/>
          <w:highlight w:val="none"/>
        </w:rPr>
        <w:t xml:space="preserve">供应商驻场工程师在服务期内出现本人、配偶、本人二代直系亲属体检查出重大疾病，需离开现场治疗或者陪护的，由供应商提出申请并附佐证材料，经采购单位确认且同意后，变更现场人员不计入项目合同期变更人次。</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5.3人员复用处理</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一经发现，每复用一人，按照2</w:t>
      </w:r>
      <w:r>
        <w:rPr>
          <w:rFonts w:hint="eastAsia" w:ascii="宋体" w:hAnsi="宋体" w:eastAsia="宋体" w:cs="宋体"/>
          <w:color w:val="auto"/>
          <w:sz w:val="22"/>
          <w:szCs w:val="22"/>
          <w:highlight w:val="none"/>
          <w:lang w:val="en-US" w:eastAsia="zh-CN"/>
        </w:rPr>
        <w:t xml:space="preserve">0.4</w:t>
      </w:r>
      <w:r>
        <w:rPr>
          <w:rFonts w:hint="eastAsia" w:ascii="宋体" w:hAnsi="宋体" w:eastAsia="宋体" w:cs="宋体"/>
          <w:color w:val="auto"/>
          <w:sz w:val="22"/>
          <w:szCs w:val="22"/>
          <w:highlight w:val="none"/>
        </w:rPr>
        <w:t xml:space="preserve">万元扣除。</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5.4项目验收不通过处理</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供应商必须按国家、省、市行业标准规范，提交基础文档、过程文档、技术文档和验收文档。由采购单位进行抽查审核。</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采购单位验收和竣工验收：如没有通过采购单位验收，采购单位向供应商扣除合同金额10%作为违约金。</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5.5出现对社会造成重大影响事故的处理</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果供应商在开展项目实施过程中，因自身管理不善，出现对社会造成重大影响的事故时，采购单位扣除合同金额10%作为违约金，同时，根据事故的严重性及其造成的后果，采购单位保留进一步追究供应商法律责任的权利。</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5.6项目验收后维保期维护不到位的处理</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在建设完项目并验收后，应当对系统进行妥善维护，保障系统的正常运行。如出现故障导致采购单位系统无法进行正常工作，供应商应及时排除故障，如因该系统自身原因服务端出现故障，导致系统服务无法正常运行，采购单位有权要求扣除合同金额的10%作为违约金，每延期1小时，采购单位扣除合同金额10%作为违约金。</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5.7供应商不服从采购单位管理，项目建设出现严重后果的处理</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供应商出现不服从采购单位管理，对采购单位工作要求故意拖延、拒不执行，项目建设出现严重后果、不服从采购单位要求等违法、违规行为，由采购单位组织相关部门专家对供应商违法、违规行为进行评估，违法行为移送司法机关处理，违规行为根据情节严重程度，处以取消合同、取消付款、处以违约金等措施，具体违约金额为项目合同金额的10%-30%。</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网络安全事件的违约金</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供应商因本项目人员、技术、管理等原因直接或间接产生的各类网络安全事件，采购人根据违法、违规行为根据情节严重程度，处以取消合同、取消付款、处以违约金等措施，具体违约金金额为项目合同金额的10%～300%，具体执行标准由采购人确定。</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6.服务保障和自罚承诺</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6.1供应商应对照磋商文件要求，书面说明已对采购单位的需求做出了实质性的响应，或申明与需求的偏差和例外。</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6.2如果发生因供应商安全措施不力造成的事故责任、或者其他工作失误，由此所产生的一切责任由供应商承担。</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6.3如因供应商投入人员过少原因，造成无法在承诺工期内完成服务，由此产生的一切责任由供应商承担。</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7.报价说明</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7.2供应商的任何错漏、优惠、竞争性报价不得作为减轻责任、减少服务、增加收费、降低服务质量的理由。</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7.3供应商报价除包含采购文件中列明的项目外还应包括保障服务正常运行应当具有的物资和服务，对服务正常运行应当具有的物资和服务理解不一致的以采购单位理解为准。</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8.付款条件</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（1）合同签订后，成交供应商派驻工程师经采购人审核后，支付合同总额的</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0%；</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（2）运维期过半，验收合格后采购人支付合同总额的40%；</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（3）运维期结束，验收合格后采购人支付合同总额的</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0%。</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9.服务时间及地点</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（1）服务时间：</w:t>
      </w:r>
      <w:r>
        <w:rPr>
          <w:rFonts w:hint="eastAsia" w:ascii="宋体" w:hAnsi="宋体" w:eastAsia="宋体" w:cs="宋体"/>
          <w:color w:val="auto"/>
          <w:sz w:val="22"/>
          <w:szCs w:val="22"/>
          <w:highlight w:val="none"/>
          <w:lang w:eastAsia="zh-CN"/>
        </w:rPr>
        <w:t xml:space="preserve">自合同签订之日起一年</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（2）交付地点：采购单位指定地点。</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.廉政条款</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成交供应商在项目执行期间须勤政廉洁履行合同要求，规范维护双方合法权益，严禁商业贿赂，谋取不正当利益和违法、违纪行为发生，严格按照采购人要求履行相关廉政制度和义务。</w:t>
      </w:r>
      <w:r/>
    </w:p>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2"/>
        <w:jc w:val="left"/>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注：本章节加“★”内容为实质性要求，需按照要求提供相应材料并加盖公章，供应商未对实质性要求明确响应或未按要求提供材料的，按无效响应处理。</w:t>
      </w:r>
      <w:r/>
    </w:p>
    <w:p>
      <w:pPr>
        <w:jc w:val="center"/>
        <w:spacing w:line="500" w:lineRule="exact"/>
        <w:rPr>
          <w:rFonts w:ascii="宋体" w:hAnsi="宋体" w:eastAsia="宋体" w:cs="宋体"/>
          <w:color w:val="auto"/>
          <w:sz w:val="24"/>
          <w:szCs w:val="24"/>
          <w:highlight w:val="none"/>
          <w:lang w:val="en-US"/>
        </w:rPr>
        <w:outlineLvl w:val="0"/>
      </w:pPr>
      <w:r>
        <w:rPr>
          <w:rFonts w:hint="eastAsia" w:ascii="黑体" w:hAnsi="黑体" w:eastAsia="黑体" w:cs="黑体"/>
          <w:b/>
          <w:color w:val="auto"/>
          <w:sz w:val="36"/>
          <w:szCs w:val="36"/>
          <w:highlight w:val="none"/>
          <w:lang w:val="en-US" w:eastAsia="zh-CN"/>
        </w:rPr>
        <w:br w:type="page" w:clear="all"/>
      </w:r>
      <w:bookmarkStart w:id="278" w:name="_Toc27518"/>
      <w:r>
        <w:rPr>
          <w:rFonts w:hint="eastAsia" w:ascii="黑体" w:hAnsi="黑体" w:eastAsia="黑体" w:cs="黑体"/>
          <w:b/>
          <w:color w:val="auto"/>
          <w:sz w:val="36"/>
          <w:szCs w:val="36"/>
          <w:highlight w:val="none"/>
          <w:lang w:val="en-US" w:eastAsia="zh-CN"/>
        </w:rPr>
        <w:t xml:space="preserve">第五章  采购合同文本（服务类）</w:t>
      </w:r>
      <w:bookmarkEnd w:id="278"/>
      <w:r/>
      <w:r/>
    </w:p>
    <w:p>
      <w:p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r/>
    </w:p>
    <w:p>
      <w:p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spacing w:line="360" w:lineRule="auto"/>
        <w:rPr>
          <w:rFonts w:hint="eastAsia" w:ascii="黑体" w:hAnsi="黑体" w:eastAsia="黑体" w:cs="黑体"/>
          <w:b w:val="0"/>
          <w:bCs w:val="0"/>
          <w:color w:val="auto"/>
          <w:sz w:val="44"/>
          <w:szCs w:val="44"/>
          <w:highlight w:val="none"/>
        </w:rPr>
      </w:pPr>
      <w:r>
        <w:rPr>
          <w:rFonts w:hint="eastAsia" w:ascii="黑体" w:hAnsi="黑体" w:eastAsia="黑体" w:cs="黑体"/>
          <w:b w:val="0"/>
          <w:bCs w:val="0"/>
          <w:color w:val="auto"/>
          <w:sz w:val="44"/>
          <w:szCs w:val="44"/>
          <w:highlight w:val="none"/>
        </w:rPr>
      </w:r>
      <w:r/>
    </w:p>
    <w:p>
      <w:pPr>
        <w:jc w:val="center"/>
        <w:spacing w:line="360" w:lineRule="auto"/>
        <w:rPr>
          <w:rFonts w:hint="eastAsia" w:ascii="黑体" w:hAnsi="黑体" w:eastAsia="黑体" w:cs="黑体"/>
          <w:b w:val="0"/>
          <w:bCs w:val="0"/>
          <w:color w:val="auto"/>
          <w:sz w:val="44"/>
          <w:szCs w:val="44"/>
          <w:highlight w:val="none"/>
        </w:rPr>
      </w:pPr>
      <w:r>
        <w:rPr>
          <w:rFonts w:hint="eastAsia" w:ascii="黑体" w:hAnsi="黑体" w:eastAsia="黑体" w:cs="黑体"/>
          <w:b w:val="0"/>
          <w:bCs w:val="0"/>
          <w:color w:val="auto"/>
          <w:sz w:val="44"/>
          <w:szCs w:val="44"/>
          <w:highlight w:val="none"/>
        </w:rPr>
      </w:r>
      <w:r/>
    </w:p>
    <w:p>
      <w:pPr>
        <w:jc w:val="center"/>
        <w:spacing w:line="360" w:lineRule="auto"/>
        <w:rPr>
          <w:rFonts w:hint="eastAsia" w:ascii="黑体" w:hAnsi="黑体" w:eastAsia="黑体" w:cs="黑体"/>
          <w:b w:val="0"/>
          <w:bCs w:val="0"/>
          <w:color w:val="auto"/>
          <w:sz w:val="44"/>
          <w:szCs w:val="44"/>
          <w:highlight w:val="none"/>
        </w:rPr>
      </w:pPr>
      <w:r>
        <w:rPr>
          <w:rFonts w:hint="eastAsia" w:ascii="黑体" w:hAnsi="黑体" w:eastAsia="黑体" w:cs="黑体"/>
          <w:b w:val="0"/>
          <w:bCs w:val="0"/>
          <w:color w:val="auto"/>
          <w:sz w:val="44"/>
          <w:szCs w:val="44"/>
          <w:highlight w:val="none"/>
          <w:lang w:val="en-US" w:eastAsia="zh-CN"/>
        </w:rPr>
        <w:t xml:space="preserve">政府采购</w:t>
      </w:r>
      <w:r>
        <w:rPr>
          <w:rFonts w:hint="eastAsia" w:ascii="黑体" w:hAnsi="黑体" w:eastAsia="黑体" w:cs="黑体"/>
          <w:b w:val="0"/>
          <w:bCs w:val="0"/>
          <w:color w:val="auto"/>
          <w:sz w:val="44"/>
          <w:szCs w:val="44"/>
          <w:highlight w:val="none"/>
        </w:rPr>
        <w:t xml:space="preserve">合同</w:t>
      </w:r>
      <w:r/>
    </w:p>
    <w:p>
      <w:pPr>
        <w:ind w:firstLine="1918"/>
        <w:spacing w:line="360" w:lineRule="auto"/>
        <w:shd w:val="clear" w:color="auto" w:fill="ffffff"/>
        <w:widowControl/>
        <w:tabs>
          <w:tab w:val="left" w:pos="3442" w:leader="none"/>
        </w:tabs>
        <w:rPr>
          <w:rFonts w:hint="eastAsia" w:ascii="黑体" w:hAnsi="黑体" w:eastAsia="黑体" w:cs="黑体"/>
          <w:b w:val="0"/>
          <w:bCs w:val="0"/>
          <w:color w:val="auto"/>
          <w:sz w:val="30"/>
          <w:szCs w:val="30"/>
          <w:highlight w:val="none"/>
        </w:rPr>
      </w:pPr>
      <w:r>
        <w:rPr>
          <w:rFonts w:hint="eastAsia" w:ascii="黑体" w:hAnsi="黑体" w:eastAsia="黑体" w:cs="黑体"/>
          <w:b w:val="0"/>
          <w:bCs w:val="0"/>
          <w:color w:val="auto"/>
          <w:sz w:val="30"/>
          <w:szCs w:val="30"/>
          <w:highlight w:val="none"/>
        </w:rPr>
      </w:r>
      <w:r/>
    </w:p>
    <w:p>
      <w:pPr>
        <w:ind w:firstLine="1918"/>
        <w:spacing w:line="360" w:lineRule="auto"/>
        <w:shd w:val="clear" w:color="auto" w:fill="ffffff"/>
        <w:widowControl/>
        <w:tabs>
          <w:tab w:val="left" w:pos="3442" w:leader="none"/>
        </w:tabs>
        <w:rPr>
          <w:rFonts w:hint="eastAsia" w:ascii="黑体" w:hAnsi="黑体" w:eastAsia="黑体" w:cs="黑体"/>
          <w:b w:val="0"/>
          <w:bCs w:val="0"/>
          <w:color w:val="auto"/>
          <w:sz w:val="30"/>
          <w:szCs w:val="30"/>
          <w:highlight w:val="none"/>
        </w:rPr>
      </w:pPr>
      <w:r>
        <w:rPr>
          <w:rFonts w:hint="eastAsia" w:ascii="黑体" w:hAnsi="黑体" w:eastAsia="黑体" w:cs="黑体"/>
          <w:b w:val="0"/>
          <w:bCs w:val="0"/>
          <w:color w:val="auto"/>
          <w:sz w:val="30"/>
          <w:szCs w:val="30"/>
          <w:highlight w:val="none"/>
        </w:rPr>
      </w:r>
      <w:r/>
    </w:p>
    <w:p>
      <w:pPr>
        <w:ind w:firstLine="1918"/>
        <w:spacing w:line="360" w:lineRule="auto"/>
        <w:shd w:val="clear" w:color="auto" w:fill="ffffff"/>
        <w:widowControl/>
        <w:rPr>
          <w:rFonts w:hint="eastAsia" w:ascii="黑体" w:hAnsi="黑体" w:eastAsia="黑体" w:cs="黑体"/>
          <w:b w:val="0"/>
          <w:bCs w:val="0"/>
          <w:color w:val="auto"/>
          <w:sz w:val="30"/>
          <w:szCs w:val="30"/>
          <w:highlight w:val="none"/>
        </w:rPr>
      </w:pPr>
      <w:r>
        <w:rPr>
          <w:rFonts w:hint="eastAsia" w:ascii="黑体" w:hAnsi="黑体" w:eastAsia="黑体" w:cs="黑体"/>
          <w:b w:val="0"/>
          <w:bCs w:val="0"/>
          <w:color w:val="auto"/>
          <w:sz w:val="30"/>
          <w:szCs w:val="30"/>
          <w:highlight w:val="none"/>
        </w:rPr>
      </w:r>
      <w:r/>
    </w:p>
    <w:p>
      <w:pPr>
        <w:ind w:firstLine="1918"/>
        <w:spacing w:line="360" w:lineRule="auto"/>
        <w:shd w:val="clear" w:color="auto" w:fill="ffffff"/>
        <w:widowControl/>
        <w:rPr>
          <w:rFonts w:hint="eastAsia" w:ascii="黑体" w:hAnsi="黑体" w:eastAsia="黑体" w:cs="黑体"/>
          <w:b w:val="0"/>
          <w:bCs w:val="0"/>
          <w:color w:val="auto"/>
          <w:sz w:val="30"/>
          <w:szCs w:val="30"/>
          <w:highlight w:val="none"/>
        </w:rPr>
      </w:pPr>
      <w:r>
        <w:rPr>
          <w:rFonts w:hint="eastAsia" w:ascii="黑体" w:hAnsi="黑体" w:eastAsia="黑体" w:cs="黑体"/>
          <w:b w:val="0"/>
          <w:bCs w:val="0"/>
          <w:color w:val="auto"/>
          <w:sz w:val="30"/>
          <w:szCs w:val="30"/>
          <w:highlight w:val="none"/>
        </w:rPr>
      </w:r>
      <w:r/>
    </w:p>
    <w:p>
      <w:pPr>
        <w:ind w:firstLine="1918"/>
        <w:spacing w:line="360" w:lineRule="auto"/>
        <w:shd w:val="clear" w:color="auto" w:fill="ffffff"/>
        <w:widowControl/>
        <w:rPr>
          <w:rFonts w:hint="eastAsia" w:ascii="黑体" w:hAnsi="黑体" w:eastAsia="黑体" w:cs="黑体"/>
          <w:b w:val="0"/>
          <w:bCs w:val="0"/>
          <w:color w:val="auto"/>
          <w:sz w:val="30"/>
          <w:szCs w:val="30"/>
          <w:highlight w:val="none"/>
        </w:rPr>
      </w:pPr>
      <w:r>
        <w:rPr>
          <w:rFonts w:hint="eastAsia" w:ascii="黑体" w:hAnsi="黑体" w:eastAsia="黑体" w:cs="黑体"/>
          <w:b w:val="0"/>
          <w:bCs w:val="0"/>
          <w:color w:val="auto"/>
          <w:sz w:val="30"/>
          <w:szCs w:val="30"/>
          <w:highlight w:val="none"/>
        </w:rPr>
      </w:r>
      <w:r/>
    </w:p>
    <w:p>
      <w:pPr>
        <w:ind w:firstLine="1500"/>
        <w:spacing w:line="360" w:lineRule="auto"/>
        <w:shd w:val="clear" w:color="auto" w:fill="ffffff"/>
        <w:widowControl/>
        <w:rPr>
          <w:rFonts w:ascii="黑体" w:hAnsi="黑体" w:eastAsia="黑体" w:cs="黑体"/>
          <w:b w:val="0"/>
          <w:bCs w:val="0"/>
          <w:color w:val="auto"/>
          <w:sz w:val="30"/>
          <w:szCs w:val="30"/>
          <w:highlight w:val="none"/>
          <w:lang w:val="en-US" w:eastAsia="zh-CN"/>
        </w:rPr>
      </w:pPr>
      <w:r>
        <w:rPr>
          <w:rFonts w:hint="eastAsia" w:ascii="黑体" w:hAnsi="黑体" w:eastAsia="黑体" w:cs="黑体"/>
          <w:b w:val="0"/>
          <w:bCs w:val="0"/>
          <w:color w:val="auto"/>
          <w:sz w:val="30"/>
          <w:szCs w:val="30"/>
          <w:highlight w:val="none"/>
        </w:rPr>
        <w:t xml:space="preserve">合同编号 ：</w:t>
      </w:r>
      <w:r>
        <w:rPr>
          <w:rFonts w:hint="eastAsia" w:ascii="黑体" w:hAnsi="黑体" w:eastAsia="黑体" w:cs="黑体"/>
          <w:b w:val="0"/>
          <w:bCs w:val="0"/>
          <w:color w:val="auto"/>
          <w:sz w:val="30"/>
          <w:szCs w:val="30"/>
          <w:highlight w:val="none"/>
          <w:u w:val="single"/>
          <w:lang w:val="en-US" w:eastAsia="zh-CN"/>
        </w:rPr>
        <w:t xml:space="preserve">                      </w:t>
      </w:r>
      <w:r/>
    </w:p>
    <w:p>
      <w:pPr>
        <w:ind w:firstLine="1500"/>
        <w:spacing w:line="360" w:lineRule="auto"/>
        <w:shd w:val="clear" w:color="auto" w:fill="ffffff"/>
        <w:widowControl/>
        <w:rPr>
          <w:rFonts w:hint="eastAsia" w:ascii="黑体" w:hAnsi="黑体" w:eastAsia="黑体" w:cs="黑体"/>
          <w:b w:val="0"/>
          <w:bCs w:val="0"/>
          <w:color w:val="auto"/>
          <w:sz w:val="30"/>
          <w:szCs w:val="30"/>
          <w:highlight w:val="none"/>
          <w:u w:val="single"/>
        </w:rPr>
      </w:pPr>
      <w:r>
        <w:rPr>
          <w:rFonts w:hint="eastAsia" w:ascii="黑体" w:hAnsi="黑体" w:eastAsia="黑体" w:cs="黑体"/>
          <w:b w:val="0"/>
          <w:bCs w:val="0"/>
          <w:color w:val="auto"/>
          <w:sz w:val="30"/>
          <w:szCs w:val="30"/>
          <w:highlight w:val="none"/>
        </w:rPr>
        <w:t xml:space="preserve">项目名称 ：</w:t>
      </w:r>
      <w:r>
        <w:rPr>
          <w:rFonts w:hint="eastAsia" w:ascii="黑体" w:hAnsi="黑体" w:eastAsia="黑体" w:cs="黑体"/>
          <w:b w:val="0"/>
          <w:bCs w:val="0"/>
          <w:color w:val="auto"/>
          <w:sz w:val="30"/>
          <w:szCs w:val="30"/>
          <w:highlight w:val="none"/>
          <w:u w:val="single"/>
        </w:rPr>
        <w:t xml:space="preserve"> </w:t>
      </w:r>
      <w:r>
        <w:rPr>
          <w:rFonts w:hint="eastAsia" w:ascii="黑体" w:hAnsi="黑体" w:eastAsia="黑体" w:cs="黑体"/>
          <w:b w:val="0"/>
          <w:bCs w:val="0"/>
          <w:color w:val="auto"/>
          <w:sz w:val="30"/>
          <w:szCs w:val="30"/>
          <w:highlight w:val="none"/>
          <w:u w:val="single"/>
          <w:lang w:eastAsia="zh-CN"/>
        </w:rPr>
        <w:t xml:space="preserve">2026年度江苏省人社一体化信息平台南京社会保险运维项目</w:t>
      </w:r>
      <w:r>
        <w:rPr>
          <w:rFonts w:hint="eastAsia" w:ascii="黑体" w:hAnsi="黑体" w:eastAsia="黑体" w:cs="黑体"/>
          <w:b w:val="0"/>
          <w:bCs w:val="0"/>
          <w:color w:val="auto"/>
          <w:sz w:val="30"/>
          <w:szCs w:val="30"/>
          <w:highlight w:val="none"/>
          <w:u w:val="single"/>
        </w:rPr>
        <w:t xml:space="preserve"> </w:t>
      </w:r>
      <w:r/>
    </w:p>
    <w:p>
      <w:pPr>
        <w:ind w:firstLine="1500"/>
        <w:spacing w:line="360" w:lineRule="auto"/>
        <w:shd w:val="clear" w:color="auto" w:fill="ffffff"/>
        <w:widowControl/>
        <w:rPr>
          <w:rFonts w:hint="eastAsia" w:ascii="黑体" w:hAnsi="黑体" w:eastAsia="黑体" w:cs="黑体"/>
          <w:b w:val="0"/>
          <w:bCs w:val="0"/>
          <w:color w:val="auto"/>
          <w:sz w:val="30"/>
          <w:szCs w:val="30"/>
          <w:highlight w:val="none"/>
          <w:u w:val="single"/>
        </w:rPr>
      </w:pPr>
      <w:r>
        <w:rPr>
          <w:rFonts w:hint="eastAsia" w:ascii="黑体" w:hAnsi="黑体" w:eastAsia="黑体" w:cs="黑体"/>
          <w:b w:val="0"/>
          <w:bCs w:val="0"/>
          <w:color w:val="auto"/>
          <w:sz w:val="30"/>
          <w:szCs w:val="30"/>
          <w:highlight w:val="none"/>
          <w:lang w:val="en-US" w:eastAsia="zh-CN"/>
        </w:rPr>
        <w:t xml:space="preserve">采购人（</w:t>
      </w:r>
      <w:r>
        <w:rPr>
          <w:rFonts w:hint="eastAsia" w:ascii="黑体" w:hAnsi="黑体" w:eastAsia="黑体" w:cs="黑体"/>
          <w:b w:val="0"/>
          <w:bCs w:val="0"/>
          <w:color w:val="auto"/>
          <w:sz w:val="30"/>
          <w:szCs w:val="30"/>
          <w:highlight w:val="none"/>
        </w:rPr>
        <w:t xml:space="preserve">甲方</w:t>
      </w:r>
      <w:r>
        <w:rPr>
          <w:rFonts w:hint="eastAsia" w:ascii="黑体" w:hAnsi="黑体" w:eastAsia="黑体" w:cs="黑体"/>
          <w:b w:val="0"/>
          <w:bCs w:val="0"/>
          <w:color w:val="auto"/>
          <w:sz w:val="30"/>
          <w:szCs w:val="30"/>
          <w:highlight w:val="none"/>
          <w:lang w:val="en-US" w:eastAsia="zh-CN"/>
        </w:rPr>
        <w:t xml:space="preserve">）</w:t>
      </w:r>
      <w:r>
        <w:rPr>
          <w:rFonts w:hint="eastAsia" w:ascii="黑体" w:hAnsi="黑体" w:eastAsia="黑体" w:cs="黑体"/>
          <w:b w:val="0"/>
          <w:bCs w:val="0"/>
          <w:color w:val="auto"/>
          <w:sz w:val="30"/>
          <w:szCs w:val="30"/>
          <w:highlight w:val="none"/>
        </w:rPr>
        <w:t xml:space="preserve">：</w:t>
      </w:r>
      <w:r>
        <w:rPr>
          <w:rFonts w:hint="eastAsia" w:ascii="黑体" w:hAnsi="黑体" w:eastAsia="黑体" w:cs="黑体"/>
          <w:b w:val="0"/>
          <w:bCs w:val="0"/>
          <w:color w:val="auto"/>
          <w:sz w:val="30"/>
          <w:szCs w:val="30"/>
          <w:highlight w:val="none"/>
          <w:u w:val="single"/>
          <w:lang w:eastAsia="zh-CN"/>
        </w:rPr>
        <w:t xml:space="preserve">南京市人力资源和社会保障信息管理中心</w:t>
      </w:r>
      <w:r>
        <w:rPr>
          <w:rFonts w:hint="eastAsia" w:ascii="黑体" w:hAnsi="黑体" w:eastAsia="黑体" w:cs="黑体"/>
          <w:b w:val="0"/>
          <w:bCs w:val="0"/>
          <w:color w:val="auto"/>
          <w:sz w:val="30"/>
          <w:szCs w:val="30"/>
          <w:highlight w:val="none"/>
          <w:u w:val="single"/>
        </w:rPr>
        <w:t xml:space="preserve">  </w:t>
      </w:r>
      <w:r/>
    </w:p>
    <w:p>
      <w:pPr>
        <w:ind w:firstLine="1500"/>
        <w:spacing w:line="360" w:lineRule="auto"/>
        <w:shd w:val="clear" w:color="auto" w:fill="ffffff"/>
        <w:widowControl/>
        <w:rPr>
          <w:rFonts w:hint="eastAsia" w:ascii="黑体" w:hAnsi="黑体" w:eastAsia="黑体" w:cs="黑体"/>
          <w:b w:val="0"/>
          <w:bCs w:val="0"/>
          <w:color w:val="auto"/>
          <w:sz w:val="30"/>
          <w:szCs w:val="30"/>
          <w:highlight w:val="none"/>
          <w:u w:val="single"/>
        </w:rPr>
      </w:pPr>
      <w:r>
        <w:rPr>
          <w:rFonts w:hint="eastAsia" w:ascii="黑体" w:hAnsi="黑体" w:eastAsia="黑体" w:cs="黑体"/>
          <w:b w:val="0"/>
          <w:bCs w:val="0"/>
          <w:color w:val="auto"/>
          <w:sz w:val="30"/>
          <w:szCs w:val="30"/>
          <w:highlight w:val="none"/>
          <w:lang w:val="en-US" w:eastAsia="zh-CN"/>
        </w:rPr>
        <w:t xml:space="preserve">成交供应商（</w:t>
      </w:r>
      <w:r>
        <w:rPr>
          <w:rFonts w:hint="eastAsia" w:ascii="黑体" w:hAnsi="黑体" w:eastAsia="黑体" w:cs="黑体"/>
          <w:b w:val="0"/>
          <w:bCs w:val="0"/>
          <w:color w:val="auto"/>
          <w:sz w:val="30"/>
          <w:szCs w:val="30"/>
          <w:highlight w:val="none"/>
        </w:rPr>
        <w:t xml:space="preserve">乙方</w:t>
      </w:r>
      <w:r>
        <w:rPr>
          <w:rFonts w:hint="eastAsia" w:ascii="黑体" w:hAnsi="黑体" w:eastAsia="黑体" w:cs="黑体"/>
          <w:b w:val="0"/>
          <w:bCs w:val="0"/>
          <w:color w:val="auto"/>
          <w:sz w:val="30"/>
          <w:szCs w:val="30"/>
          <w:highlight w:val="none"/>
          <w:lang w:val="en-US" w:eastAsia="zh-CN"/>
        </w:rPr>
        <w:t xml:space="preserve">）</w:t>
      </w:r>
      <w:r>
        <w:rPr>
          <w:rFonts w:hint="eastAsia" w:ascii="黑体" w:hAnsi="黑体" w:eastAsia="黑体" w:cs="黑体"/>
          <w:b w:val="0"/>
          <w:bCs w:val="0"/>
          <w:color w:val="auto"/>
          <w:sz w:val="30"/>
          <w:szCs w:val="30"/>
          <w:highlight w:val="none"/>
        </w:rPr>
        <w:t xml:space="preserve">：</w:t>
      </w:r>
      <w:r>
        <w:rPr>
          <w:rFonts w:hint="eastAsia" w:ascii="黑体" w:hAnsi="黑体" w:eastAsia="黑体" w:cs="黑体"/>
          <w:b w:val="0"/>
          <w:bCs w:val="0"/>
          <w:color w:val="auto"/>
          <w:sz w:val="30"/>
          <w:szCs w:val="30"/>
          <w:highlight w:val="none"/>
          <w:u w:val="single"/>
        </w:rPr>
        <w:t xml:space="preserve">             </w:t>
      </w:r>
      <w:r/>
    </w:p>
    <w:p>
      <w:pPr>
        <w:ind w:firstLine="1500"/>
        <w:spacing w:line="360" w:lineRule="auto"/>
        <w:shd w:val="clear" w:color="auto" w:fill="ffffff"/>
        <w:widowControl/>
        <w:rPr>
          <w:rFonts w:hint="eastAsia" w:ascii="黑体" w:hAnsi="黑体" w:eastAsia="黑体" w:cs="黑体"/>
          <w:b w:val="0"/>
          <w:bCs w:val="0"/>
          <w:color w:val="auto"/>
          <w:sz w:val="30"/>
          <w:szCs w:val="30"/>
          <w:highlight w:val="none"/>
        </w:rPr>
      </w:pPr>
      <w:r>
        <w:rPr>
          <w:rFonts w:hint="eastAsia" w:ascii="黑体" w:hAnsi="黑体" w:eastAsia="黑体" w:cs="黑体"/>
          <w:b w:val="0"/>
          <w:bCs w:val="0"/>
          <w:color w:val="auto"/>
          <w:sz w:val="30"/>
          <w:szCs w:val="30"/>
          <w:highlight w:val="none"/>
        </w:rPr>
        <w:t xml:space="preserve">签订日期 ：</w:t>
      </w:r>
      <w:r>
        <w:rPr>
          <w:rFonts w:hint="eastAsia" w:ascii="黑体" w:hAnsi="黑体" w:eastAsia="黑体" w:cs="黑体"/>
          <w:b w:val="0"/>
          <w:bCs w:val="0"/>
          <w:color w:val="auto"/>
          <w:sz w:val="30"/>
          <w:szCs w:val="30"/>
          <w:highlight w:val="none"/>
          <w:u w:val="single"/>
        </w:rPr>
        <w:t xml:space="preserve">202</w:t>
      </w:r>
      <w:r>
        <w:rPr>
          <w:rFonts w:hint="eastAsia" w:ascii="黑体" w:hAnsi="黑体" w:eastAsia="黑体" w:cs="黑体"/>
          <w:b w:val="0"/>
          <w:bCs w:val="0"/>
          <w:color w:val="auto"/>
          <w:sz w:val="30"/>
          <w:szCs w:val="30"/>
          <w:highlight w:val="none"/>
          <w:u w:val="single"/>
          <w:lang w:val="en-US" w:eastAsia="zh-CN"/>
        </w:rPr>
        <w:t xml:space="preserve">6</w:t>
      </w:r>
      <w:r>
        <w:rPr>
          <w:rFonts w:hint="eastAsia" w:ascii="黑体" w:hAnsi="黑体" w:eastAsia="黑体" w:cs="黑体"/>
          <w:b w:val="0"/>
          <w:bCs w:val="0"/>
          <w:color w:val="auto"/>
          <w:sz w:val="30"/>
          <w:szCs w:val="30"/>
          <w:highlight w:val="none"/>
          <w:u w:val="single"/>
        </w:rPr>
        <w:t xml:space="preserve">年     月     日 </w:t>
      </w:r>
      <w:r/>
    </w:p>
    <w:p>
      <w:pPr>
        <w:spacing w:line="360" w:lineRule="auto"/>
        <w:shd w:val="clear" w:color="auto" w:fill="ffffff"/>
        <w:widowControl/>
        <w:rPr>
          <w:rFonts w:hint="eastAsia" w:ascii="黑体" w:hAnsi="黑体" w:eastAsia="黑体" w:cs="黑体"/>
          <w:b w:val="0"/>
          <w:bCs w:val="0"/>
          <w:color w:val="auto"/>
          <w:sz w:val="30"/>
          <w:szCs w:val="30"/>
          <w:highlight w:val="none"/>
        </w:rPr>
      </w:pPr>
      <w:r>
        <w:rPr>
          <w:rFonts w:hint="eastAsia" w:ascii="黑体" w:hAnsi="黑体" w:eastAsia="黑体" w:cs="黑体"/>
          <w:b w:val="0"/>
          <w:bCs w:val="0"/>
          <w:color w:val="auto"/>
          <w:sz w:val="30"/>
          <w:szCs w:val="30"/>
          <w:highlight w:val="none"/>
        </w:rPr>
      </w:r>
      <w:r/>
    </w:p>
    <w:p>
      <w:pPr>
        <w:spacing w:line="360" w:lineRule="auto"/>
        <w:shd w:val="clear" w:color="auto" w:fill="ffffff"/>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shd w:val="clear" w:color="auto" w:fill="ffffff"/>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shd w:val="clear" w:color="auto" w:fill="ffffff"/>
        <w:widowControl/>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ind w:firstLine="420"/>
        <w:jc w:val="left"/>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合同编号：</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项目名称：                                       </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项目编号：</w:t>
      </w:r>
      <w:r/>
    </w:p>
    <w:p>
      <w:pPr>
        <w:ind w:firstLine="420"/>
        <w:jc w:val="left"/>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甲方：（买方）</w:t>
      </w:r>
      <w:r/>
    </w:p>
    <w:p>
      <w:pPr>
        <w:ind w:firstLine="420"/>
        <w:jc w:val="left"/>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乙方：（卖方）</w:t>
      </w:r>
      <w:r/>
    </w:p>
    <w:p>
      <w:pPr>
        <w:ind w:firstLine="420"/>
        <w:spacing w:line="360" w:lineRule="auto"/>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color w:val="auto"/>
          <w:szCs w:val="21"/>
          <w:highlight w:val="none"/>
        </w:rPr>
        <w:t xml:space="preserve">甲、乙双方根据</w:t>
      </w:r>
      <w:r>
        <w:rPr>
          <w:rFonts w:hint="eastAsia" w:asciiTheme="majorEastAsia" w:hAnsiTheme="majorEastAsia" w:eastAsiaTheme="majorEastAsia" w:cstheme="majorEastAsia"/>
          <w:color w:val="auto"/>
          <w:szCs w:val="21"/>
          <w:highlight w:val="none"/>
          <w:lang w:val="en-US" w:eastAsia="zh-CN"/>
        </w:rPr>
        <w:t xml:space="preserve">江苏柒采招标代理有限公司</w:t>
      </w:r>
      <w:r>
        <w:rPr>
          <w:rFonts w:hint="eastAsia" w:asciiTheme="majorEastAsia" w:hAnsiTheme="majorEastAsia" w:eastAsiaTheme="majorEastAsia" w:cstheme="majorEastAsia"/>
          <w:color w:val="auto"/>
          <w:szCs w:val="21"/>
          <w:highlight w:val="none"/>
          <w:lang w:eastAsia="zh-CN"/>
        </w:rPr>
        <w:t xml:space="preserve">（代理机构名称）</w:t>
      </w:r>
      <w:r>
        <w:rPr>
          <w:rFonts w:hint="eastAsia" w:asciiTheme="majorEastAsia" w:hAnsiTheme="majorEastAsia" w:eastAsiaTheme="majorEastAsia" w:cstheme="majorEastAsia"/>
          <w:color w:val="auto"/>
          <w:szCs w:val="21"/>
          <w:highlight w:val="none"/>
        </w:rPr>
        <w:t xml:space="preserve">组织的</w:t>
      </w:r>
      <w:r>
        <w:rPr>
          <w:rFonts w:hint="eastAsia" w:asciiTheme="majorEastAsia" w:hAnsiTheme="majorEastAsia" w:eastAsiaTheme="majorEastAsia" w:cstheme="majorEastAsia"/>
          <w:color w:val="auto"/>
          <w:szCs w:val="21"/>
          <w:highlight w:val="none"/>
          <w:u w:val="single"/>
          <w:lang w:eastAsia="zh-CN"/>
        </w:rPr>
        <w:t xml:space="preserve">2026年度江苏省人社一体化信息平台南京社会保险</w:t>
      </w:r>
      <w:r>
        <w:rPr>
          <w:rFonts w:hint="eastAsia" w:asciiTheme="majorEastAsia" w:hAnsiTheme="majorEastAsia" w:eastAsiaTheme="majorEastAsia" w:cstheme="majorEastAsia"/>
          <w:color w:val="auto"/>
          <w:szCs w:val="21"/>
          <w:highlight w:val="none"/>
          <w:u w:val="single"/>
        </w:rPr>
        <w:t xml:space="preserve">运维</w:t>
      </w:r>
      <w:r>
        <w:rPr>
          <w:rFonts w:hint="eastAsia" w:asciiTheme="majorEastAsia" w:hAnsiTheme="majorEastAsia" w:eastAsiaTheme="majorEastAsia" w:cstheme="majorEastAsia"/>
          <w:color w:val="auto"/>
          <w:szCs w:val="21"/>
          <w:highlight w:val="none"/>
        </w:rPr>
        <w:t xml:space="preserve">项目竞争性磋商结果，签署本合同。</w:t>
      </w:r>
      <w:r/>
    </w:p>
    <w:p>
      <w:pPr>
        <w:ind w:firstLine="420"/>
        <w:spacing w:line="360" w:lineRule="auto"/>
        <w:rPr>
          <w:rFonts w:asciiTheme="majorEastAsia" w:hAnsiTheme="majorEastAsia" w:eastAsiaTheme="majorEastAsia" w:cstheme="majorEastAsia"/>
          <w:bCs/>
          <w:color w:val="auto"/>
          <w:szCs w:val="21"/>
          <w:highlight w:val="none"/>
        </w:rPr>
      </w:pPr>
      <w:r>
        <w:rPr>
          <w:rFonts w:hint="eastAsia" w:asciiTheme="majorEastAsia" w:hAnsiTheme="majorEastAsia" w:eastAsiaTheme="majorEastAsia" w:cstheme="majorEastAsia"/>
          <w:bCs/>
          <w:color w:val="auto"/>
          <w:szCs w:val="21"/>
          <w:highlight w:val="none"/>
        </w:rPr>
        <w:t xml:space="preserve">一、合同内容</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1.1 标的名称：</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1.2 标的质量：</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1.3 标的数量（规模）：</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1.4 履行时间（期限）：</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1.5 履行地点：</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 履行方式：</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1.7 包装方式：</w:t>
      </w:r>
      <w:r/>
    </w:p>
    <w:p>
      <w:pPr>
        <w:ind w:firstLine="420"/>
        <w:spacing w:line="360" w:lineRule="auto"/>
        <w:rPr>
          <w:rFonts w:asciiTheme="majorEastAsia" w:hAnsiTheme="majorEastAsia" w:eastAsiaTheme="majorEastAsia" w:cstheme="majorEastAsia"/>
          <w:bCs/>
          <w:color w:val="auto"/>
          <w:szCs w:val="21"/>
          <w:highlight w:val="none"/>
        </w:rPr>
      </w:pPr>
      <w:r>
        <w:rPr>
          <w:rFonts w:hint="eastAsia" w:asciiTheme="majorEastAsia" w:hAnsiTheme="majorEastAsia" w:eastAsiaTheme="majorEastAsia" w:cstheme="majorEastAsia"/>
          <w:bCs/>
          <w:color w:val="auto"/>
          <w:szCs w:val="21"/>
          <w:highlight w:val="none"/>
        </w:rPr>
        <w:t xml:space="preserve">二、合同金额</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2.1 本合同金额为（大写）：____________________圆（____________________元）人民币。</w:t>
      </w:r>
      <w:r/>
    </w:p>
    <w:p>
      <w:pPr>
        <w:pStyle w:val="1163"/>
        <w:ind w:firstLine="420"/>
        <w:spacing w:line="360" w:lineRule="auto"/>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三、技术资料</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3.1 乙方应按磋商文件规定的时间向甲方提供服务（包含与服务相关的货物）的有关技术资料。</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1163"/>
        <w:ind w:firstLine="420"/>
        <w:spacing w:line="360" w:lineRule="auto"/>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四、知识产权</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4.2 双方规定因履行本合同所产生的研究开发成果及相关知识产权归甲方所有。</w:t>
      </w:r>
      <w:r/>
    </w:p>
    <w:p>
      <w:pPr>
        <w:pStyle w:val="1163"/>
        <w:ind w:firstLine="420"/>
        <w:spacing w:line="360" w:lineRule="auto"/>
        <w:rPr>
          <w:rFonts w:asciiTheme="majorEastAsia" w:hAnsiTheme="majorEastAsia" w:eastAsiaTheme="majorEastAsia" w:cstheme="majorEastAsia"/>
          <w:color w:val="auto"/>
          <w:szCs w:val="21"/>
          <w:highlight w:val="none"/>
          <w:u w:val="single"/>
        </w:rPr>
      </w:pPr>
      <w:r>
        <w:rPr>
          <w:rFonts w:hint="eastAsia" w:asciiTheme="majorEastAsia" w:hAnsiTheme="majorEastAsia" w:eastAsiaTheme="majorEastAsia" w:cstheme="majorEastAsia"/>
          <w:b/>
          <w:color w:val="auto"/>
          <w:szCs w:val="21"/>
          <w:highlight w:val="none"/>
        </w:rPr>
        <w:t xml:space="preserve">五、产权担保</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5.1 乙方保证所交付的服务（包含与服务相关的货物）的所有权完全属于乙方且无任何抵押、查封等产权瑕疵。</w:t>
      </w:r>
      <w:r/>
    </w:p>
    <w:p>
      <w:pPr>
        <w:pStyle w:val="1163"/>
        <w:ind w:firstLine="420"/>
        <w:spacing w:line="360" w:lineRule="auto"/>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六、履约保证金</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6.1 本项目乙方无需缴纳履约保证金。</w:t>
      </w:r>
      <w:r/>
    </w:p>
    <w:p>
      <w:pPr>
        <w:ind w:firstLine="420"/>
        <w:spacing w:line="360" w:lineRule="auto"/>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七、合同转包或分包</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7.1 乙方不得将合同标的转包给他人履行。</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7.2 乙方不得将合同标的分包给他人履行。</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7.3 乙方如有转包或未经甲方同意的分包行为，甲方有权终止合同。</w:t>
      </w:r>
      <w:r/>
    </w:p>
    <w:p>
      <w:pPr>
        <w:pStyle w:val="1163"/>
        <w:ind w:firstLine="420"/>
        <w:spacing w:line="360" w:lineRule="auto"/>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八、合同款项支付</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8.1 合同款项的支付方式及时间</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8.1.1 合同签订后，乙方派驻工程师经甲方审核后，支付合同总额的</w:t>
      </w:r>
      <w:r>
        <w:rPr>
          <w:rFonts w:hint="eastAsia" w:asciiTheme="majorEastAsia" w:hAnsiTheme="majorEastAsia" w:eastAsiaTheme="majorEastAsia" w:cstheme="majorEastAsia"/>
          <w:b/>
          <w:color w:val="auto"/>
          <w:szCs w:val="21"/>
          <w:highlight w:val="none"/>
          <w:lang w:val="en-US" w:eastAsia="zh-CN"/>
        </w:rPr>
        <w:t xml:space="preserve">5</w:t>
      </w:r>
      <w:r>
        <w:rPr>
          <w:rFonts w:hint="eastAsia" w:asciiTheme="majorEastAsia" w:hAnsiTheme="majorEastAsia" w:eastAsiaTheme="majorEastAsia" w:cstheme="majorEastAsia"/>
          <w:b/>
          <w:color w:val="auto"/>
          <w:szCs w:val="21"/>
          <w:highlight w:val="none"/>
        </w:rPr>
        <w:t xml:space="preserve">0%</w:t>
      </w:r>
      <w:r>
        <w:rPr>
          <w:rFonts w:hint="eastAsia" w:asciiTheme="majorEastAsia" w:hAnsiTheme="majorEastAsia" w:eastAsiaTheme="majorEastAsia" w:cstheme="majorEastAsia"/>
          <w:color w:val="auto"/>
          <w:szCs w:val="21"/>
          <w:highlight w:val="none"/>
        </w:rPr>
        <w:t xml:space="preserve">；</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8.1.2 运维期过半，验收合格后甲方支付合同总额的</w:t>
      </w:r>
      <w:r>
        <w:rPr>
          <w:rFonts w:hint="eastAsia" w:asciiTheme="majorEastAsia" w:hAnsiTheme="majorEastAsia" w:eastAsiaTheme="majorEastAsia" w:cstheme="majorEastAsia"/>
          <w:b/>
          <w:color w:val="auto"/>
          <w:szCs w:val="21"/>
          <w:highlight w:val="none"/>
        </w:rPr>
        <w:t xml:space="preserve">40%</w:t>
      </w:r>
      <w:r>
        <w:rPr>
          <w:rFonts w:hint="eastAsia" w:asciiTheme="majorEastAsia" w:hAnsiTheme="majorEastAsia" w:eastAsiaTheme="majorEastAsia" w:cstheme="majorEastAsia"/>
          <w:color w:val="auto"/>
          <w:szCs w:val="21"/>
          <w:highlight w:val="none"/>
        </w:rPr>
        <w:t xml:space="preserve">；</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8.1.3 运维期结束，验收合格后甲方支付合同总额的</w:t>
      </w:r>
      <w:r>
        <w:rPr>
          <w:rFonts w:hint="eastAsia" w:asciiTheme="majorEastAsia" w:hAnsiTheme="majorEastAsia" w:eastAsiaTheme="majorEastAsia" w:cstheme="majorEastAsia"/>
          <w:b/>
          <w:color w:val="auto"/>
          <w:szCs w:val="21"/>
          <w:highlight w:val="none"/>
          <w:lang w:val="en-US" w:eastAsia="zh-CN"/>
        </w:rPr>
        <w:t xml:space="preserve">1</w:t>
      </w:r>
      <w:r>
        <w:rPr>
          <w:rFonts w:hint="eastAsia" w:asciiTheme="majorEastAsia" w:hAnsiTheme="majorEastAsia" w:eastAsiaTheme="majorEastAsia" w:cstheme="majorEastAsia"/>
          <w:b/>
          <w:color w:val="auto"/>
          <w:szCs w:val="21"/>
          <w:highlight w:val="none"/>
        </w:rPr>
        <w:t xml:space="preserve">0%</w:t>
      </w:r>
      <w:r>
        <w:rPr>
          <w:rFonts w:hint="eastAsia" w:asciiTheme="majorEastAsia" w:hAnsiTheme="majorEastAsia" w:eastAsiaTheme="majorEastAsia" w:cstheme="majorEastAsia"/>
          <w:color w:val="auto"/>
          <w:szCs w:val="21"/>
          <w:highlight w:val="none"/>
        </w:rPr>
        <w:t xml:space="preserve">。</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8.2 根据工业和信息化部关于印发《保障中小企业款项支付投诉处理暂行办法》的通知（工信部企业〔2021〕224 号），甲方未按合同约定支付款项的，乙方可以向有关部门投诉。</w:t>
      </w:r>
      <w:r/>
    </w:p>
    <w:p>
      <w:pPr>
        <w:ind w:firstLine="420"/>
        <w:spacing w:line="360" w:lineRule="auto"/>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九、税费</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9.1 本合同执行中的相关税费均由乙方负担。</w:t>
      </w:r>
      <w:r/>
    </w:p>
    <w:p>
      <w:pPr>
        <w:pStyle w:val="1163"/>
        <w:ind w:firstLine="420"/>
        <w:spacing w:line="360" w:lineRule="auto"/>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十、项目验收</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10.1 甲方依法组织履约验收工作。</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10.3 对于实际使用人和甲方分离的项目，甲方邀请实际使用人参与验收。</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10.4 如有必要，甲方可邀请参加本项目磋商的其他供应商或第三方专业机构及专家参与验收，相关意见将作为验收结论的参考。</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10.5 甲方按照采购合同约定对乙方的履约情况进行验收。验收时间、验收标准见磋商文件。验收时甲方按照采购合同的约定对每一项服务的履约情况进行确认。验收结束后,出具验收书,列明各项服务的验收情况及项目总体评价,由验收双方共同签署。验收结果与采购合同约定的资金支付及履约保证金退还挂钩。履约验收的各项资料存档备查。</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63"/>
        <w:ind w:firstLine="420"/>
        <w:spacing w:line="360" w:lineRule="auto"/>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十一、违约责任</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11.1 甲方无正当理由拒绝接受乙方提供服务的，应向乙方偿付拒绝接受服务合同总额</w:t>
      </w:r>
      <w:r>
        <w:rPr>
          <w:rFonts w:hint="eastAsia" w:asciiTheme="majorEastAsia" w:hAnsiTheme="majorEastAsia" w:eastAsiaTheme="majorEastAsia" w:cstheme="majorEastAsia"/>
          <w:color w:val="auto"/>
          <w:szCs w:val="21"/>
          <w:highlight w:val="none"/>
          <w:u w:val="single"/>
        </w:rPr>
        <w:t xml:space="preserve"> 5% </w:t>
      </w:r>
      <w:r>
        <w:rPr>
          <w:rFonts w:hint="eastAsia" w:asciiTheme="majorEastAsia" w:hAnsiTheme="majorEastAsia" w:eastAsiaTheme="majorEastAsia" w:cstheme="majorEastAsia"/>
          <w:color w:val="auto"/>
          <w:szCs w:val="21"/>
          <w:highlight w:val="none"/>
        </w:rPr>
        <w:t xml:space="preserve">的违约金。</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11.2 甲方无故逾期验收和办理支付手续的，应按逾期付款总额每日</w:t>
      </w:r>
      <w:r>
        <w:rPr>
          <w:rFonts w:hint="eastAsia" w:asciiTheme="majorEastAsia" w:hAnsiTheme="majorEastAsia" w:eastAsiaTheme="majorEastAsia" w:cstheme="majorEastAsia"/>
          <w:color w:val="auto"/>
          <w:szCs w:val="21"/>
          <w:highlight w:val="none"/>
          <w:u w:val="single"/>
        </w:rPr>
        <w:t xml:space="preserve"> 5‰ </w:t>
      </w:r>
      <w:r>
        <w:rPr>
          <w:rFonts w:hint="eastAsia" w:asciiTheme="majorEastAsia" w:hAnsiTheme="majorEastAsia" w:eastAsiaTheme="majorEastAsia" w:cstheme="majorEastAsia"/>
          <w:color w:val="auto"/>
          <w:szCs w:val="21"/>
          <w:highlight w:val="none"/>
        </w:rPr>
        <w:t xml:space="preserve">向乙方支付违约金。</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11.3 乙方逾期提供服务的，应按逾期提供服务合同总额每日</w:t>
      </w:r>
      <w:r>
        <w:rPr>
          <w:rFonts w:hint="eastAsia" w:asciiTheme="majorEastAsia" w:hAnsiTheme="majorEastAsia" w:eastAsiaTheme="majorEastAsia" w:cstheme="majorEastAsia"/>
          <w:color w:val="auto"/>
          <w:szCs w:val="21"/>
          <w:highlight w:val="none"/>
          <w:u w:val="single"/>
        </w:rPr>
        <w:t xml:space="preserve"> 5‰ </w:t>
      </w:r>
      <w:r>
        <w:rPr>
          <w:rFonts w:hint="eastAsia" w:asciiTheme="majorEastAsia" w:hAnsiTheme="majorEastAsia" w:eastAsiaTheme="majorEastAsia" w:cstheme="majorEastAsia"/>
          <w:color w:val="auto"/>
          <w:szCs w:val="21"/>
          <w:highlight w:val="none"/>
        </w:rPr>
        <w:t xml:space="preserve">甲方支付违约金，由甲方从待付合同款中扣除。逾期超过约定日期10个工作日不能提供服务的，甲方可解除本合同，乙方应退回全部合同价款。乙方因逾期提供服务或因其他违约行为导致甲方解除合同的，乙方应退回全部合同价款，并向甲方支付合同总额</w:t>
      </w:r>
      <w:r>
        <w:rPr>
          <w:rFonts w:hint="eastAsia" w:asciiTheme="majorEastAsia" w:hAnsiTheme="majorEastAsia" w:eastAsiaTheme="majorEastAsia" w:cstheme="majorEastAsia"/>
          <w:color w:val="auto"/>
          <w:szCs w:val="21"/>
          <w:highlight w:val="none"/>
          <w:u w:val="single"/>
        </w:rPr>
        <w:t xml:space="preserve"> 5% </w:t>
      </w:r>
      <w:r>
        <w:rPr>
          <w:rFonts w:hint="eastAsia" w:asciiTheme="majorEastAsia" w:hAnsiTheme="majorEastAsia" w:eastAsiaTheme="majorEastAsia" w:cstheme="majorEastAsia"/>
          <w:color w:val="auto"/>
          <w:szCs w:val="21"/>
          <w:highlight w:val="none"/>
        </w:rPr>
        <w:t xml:space="preserve">的违约金，如造成甲方损失超过违约金的，超出部分由乙方继续承担赔偿责任。 </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11.4 乙方所提供服务的标准不符合合同规定及招标文件规定标准的，甲方有权拒绝接受服务，并可单方面解除合同，乙方应退回全部合同价款，并向甲方支付合同价款总额</w:t>
      </w:r>
      <w:r>
        <w:rPr>
          <w:rFonts w:hint="eastAsia" w:asciiTheme="majorEastAsia" w:hAnsiTheme="majorEastAsia" w:eastAsiaTheme="majorEastAsia" w:cstheme="majorEastAsia"/>
          <w:color w:val="auto"/>
          <w:szCs w:val="21"/>
          <w:highlight w:val="none"/>
          <w:u w:val="single"/>
        </w:rPr>
        <w:t xml:space="preserve"> 5% </w:t>
      </w:r>
      <w:r>
        <w:rPr>
          <w:rFonts w:hint="eastAsia" w:asciiTheme="majorEastAsia" w:hAnsiTheme="majorEastAsia" w:eastAsiaTheme="majorEastAsia" w:cstheme="majorEastAsia"/>
          <w:color w:val="auto"/>
          <w:szCs w:val="21"/>
          <w:highlight w:val="none"/>
        </w:rPr>
        <w:t xml:space="preserve">的违约金，如造成甲方损失超过违约金的，超出部分由乙方继续承担赔偿责任。甲方未拒收的，代理机构发现后将向有关部门反映，并责成乙方按照采购结果提供服务。</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11.5 乙方提供的服务达不到约定标准的，应立即进行整改，并向甲方按每次</w:t>
      </w:r>
      <w:r>
        <w:rPr>
          <w:rFonts w:hint="eastAsia" w:asciiTheme="majorEastAsia" w:hAnsiTheme="majorEastAsia" w:eastAsiaTheme="majorEastAsia" w:cstheme="majorEastAsia"/>
          <w:color w:val="auto"/>
          <w:szCs w:val="21"/>
          <w:highlight w:val="none"/>
          <w:u w:val="single"/>
        </w:rPr>
        <w:t xml:space="preserve">3000</w:t>
      </w:r>
      <w:r>
        <w:rPr>
          <w:rFonts w:hint="eastAsia" w:asciiTheme="majorEastAsia" w:hAnsiTheme="majorEastAsia" w:eastAsiaTheme="majorEastAsia" w:cstheme="majorEastAsia"/>
          <w:color w:val="auto"/>
          <w:szCs w:val="21"/>
          <w:highlight w:val="none"/>
        </w:rPr>
        <w:t xml:space="preserve">元标准支付违约金。乙方拒绝整改、整改后仍不符合约定或者累计发生3次以上需要整改情形的，甲方有权解除合同，乙方应退回全部合同价款，并向甲方支付合同价款总额</w:t>
      </w:r>
      <w:r>
        <w:rPr>
          <w:rFonts w:hint="eastAsia" w:asciiTheme="majorEastAsia" w:hAnsiTheme="majorEastAsia" w:eastAsiaTheme="majorEastAsia" w:cstheme="majorEastAsia"/>
          <w:color w:val="auto"/>
          <w:szCs w:val="21"/>
          <w:highlight w:val="none"/>
          <w:u w:val="single"/>
        </w:rPr>
        <w:t xml:space="preserve"> 5% </w:t>
      </w:r>
      <w:r>
        <w:rPr>
          <w:rFonts w:hint="eastAsia" w:asciiTheme="majorEastAsia" w:hAnsiTheme="majorEastAsia" w:eastAsiaTheme="majorEastAsia" w:cstheme="majorEastAsia"/>
          <w:color w:val="auto"/>
          <w:szCs w:val="21"/>
          <w:highlight w:val="none"/>
        </w:rPr>
        <w:t xml:space="preserve">的违约金，如造成甲方损失超过违约金的，超出部分由乙方继续承担赔偿责任。</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11.6 乙方未按本合同的规定和“服务承诺”提供伴随服务/售后服务的，应按合同总价款的</w:t>
      </w:r>
      <w:r>
        <w:rPr>
          <w:rFonts w:hint="eastAsia" w:asciiTheme="majorEastAsia" w:hAnsiTheme="majorEastAsia" w:eastAsiaTheme="majorEastAsia" w:cstheme="majorEastAsia"/>
          <w:color w:val="auto"/>
          <w:szCs w:val="21"/>
          <w:highlight w:val="none"/>
          <w:u w:val="single"/>
        </w:rPr>
        <w:t xml:space="preserve"> 5% </w:t>
      </w:r>
      <w:r>
        <w:rPr>
          <w:rFonts w:hint="eastAsia" w:asciiTheme="majorEastAsia" w:hAnsiTheme="majorEastAsia" w:eastAsiaTheme="majorEastAsia" w:cstheme="majorEastAsia"/>
          <w:color w:val="auto"/>
          <w:szCs w:val="21"/>
          <w:highlight w:val="none"/>
        </w:rPr>
        <w:t xml:space="preserve">向甲方承担违约责任。</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11.7 乙方在承担上述3-6款一项或多项违约责任后，仍应继续履行合同规定的义务（甲方解除合同的除外）。甲方未能及时追究乙方的任何一项违约责任并不表明甲方放弃追究乙方该项或其他违约责任。</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11.8 乙方属虚假承诺，或经权威部门监测提供的服务或货物不能满足磋商文件要求，或是由于乙方的过错造成合同无法继续履行的，乙方应向甲方支付不少于合同总价</w:t>
      </w:r>
      <w:r>
        <w:rPr>
          <w:rFonts w:hint="eastAsia" w:asciiTheme="majorEastAsia" w:hAnsiTheme="majorEastAsia" w:eastAsiaTheme="majorEastAsia" w:cstheme="majorEastAsia"/>
          <w:color w:val="auto"/>
          <w:szCs w:val="21"/>
          <w:highlight w:val="none"/>
          <w:u w:val="single"/>
        </w:rPr>
        <w:t xml:space="preserve"> 30% </w:t>
      </w:r>
      <w:r>
        <w:rPr>
          <w:rFonts w:hint="eastAsia" w:asciiTheme="majorEastAsia" w:hAnsiTheme="majorEastAsia" w:eastAsiaTheme="majorEastAsia" w:cstheme="majorEastAsia"/>
          <w:color w:val="auto"/>
          <w:szCs w:val="21"/>
          <w:highlight w:val="none"/>
        </w:rPr>
        <w:t xml:space="preserve">赔偿金。</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11.9 前述违约责任约定，不影响甲方依据磋商文件规定以及乙方承诺内容追究乙方责任。</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11.10 若因非乙方原因造成项目终止，乙方有权要求甲方就已经发生的成本加合理利润支付价款。</w:t>
      </w:r>
      <w:r/>
    </w:p>
    <w:p>
      <w:pPr>
        <w:pStyle w:val="1163"/>
        <w:ind w:firstLine="420"/>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11.11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lang w:val="en-US" w:eastAsia="zh-CN"/>
        </w:rPr>
        <w:t xml:space="preserve">11.12乙方</w:t>
      </w:r>
      <w:r>
        <w:rPr>
          <w:rFonts w:hint="eastAsia" w:asciiTheme="majorEastAsia" w:hAnsiTheme="majorEastAsia" w:eastAsiaTheme="majorEastAsia" w:cstheme="majorEastAsia"/>
          <w:color w:val="auto"/>
          <w:szCs w:val="21"/>
          <w:highlight w:val="none"/>
        </w:rPr>
        <w:t xml:space="preserve">因本项目人员、技术、管理等原因直接或间接产生的各类网络安全事件，</w:t>
      </w:r>
      <w:r>
        <w:rPr>
          <w:rFonts w:hint="eastAsia" w:asciiTheme="majorEastAsia" w:hAnsiTheme="majorEastAsia" w:eastAsiaTheme="majorEastAsia" w:cstheme="majorEastAsia"/>
          <w:color w:val="auto"/>
          <w:szCs w:val="21"/>
          <w:highlight w:val="none"/>
          <w:lang w:val="en-US" w:eastAsia="zh-CN"/>
        </w:rPr>
        <w:t xml:space="preserve">甲方</w:t>
      </w:r>
      <w:r>
        <w:rPr>
          <w:rFonts w:hint="eastAsia" w:asciiTheme="majorEastAsia" w:hAnsiTheme="majorEastAsia" w:eastAsiaTheme="majorEastAsia" w:cstheme="majorEastAsia"/>
          <w:color w:val="auto"/>
          <w:szCs w:val="21"/>
          <w:highlight w:val="none"/>
        </w:rPr>
        <w:t xml:space="preserve">根据违法、违规行为根据情节严重程度，处以取消合同、取消付款、处以违约金等措施，具体违约金金额为项目合同金额的10%～300%，具体执行标准由</w:t>
      </w:r>
      <w:r>
        <w:rPr>
          <w:rFonts w:hint="eastAsia" w:asciiTheme="majorEastAsia" w:hAnsiTheme="majorEastAsia" w:eastAsiaTheme="majorEastAsia" w:cstheme="majorEastAsia"/>
          <w:color w:val="auto"/>
          <w:szCs w:val="21"/>
          <w:highlight w:val="none"/>
          <w:lang w:val="en-US" w:eastAsia="zh-CN"/>
        </w:rPr>
        <w:t xml:space="preserve">甲方</w:t>
      </w:r>
      <w:r>
        <w:rPr>
          <w:rFonts w:hint="eastAsia" w:asciiTheme="majorEastAsia" w:hAnsiTheme="majorEastAsia" w:eastAsiaTheme="majorEastAsia" w:cstheme="majorEastAsia"/>
          <w:color w:val="auto"/>
          <w:szCs w:val="21"/>
          <w:highlight w:val="none"/>
        </w:rPr>
        <w:t xml:space="preserve">确定。</w:t>
      </w:r>
      <w:r/>
    </w:p>
    <w:p>
      <w:pPr>
        <w:pStyle w:val="1163"/>
        <w:ind w:firstLine="420"/>
        <w:spacing w:line="360" w:lineRule="auto"/>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十二、</w:t>
      </w:r>
      <w:r>
        <w:rPr>
          <w:rFonts w:hint="eastAsia" w:asciiTheme="majorEastAsia" w:hAnsiTheme="majorEastAsia" w:eastAsiaTheme="majorEastAsia" w:cstheme="majorEastAsia"/>
          <w:b/>
          <w:bCs/>
          <w:color w:val="auto"/>
          <w:szCs w:val="21"/>
          <w:highlight w:val="none"/>
        </w:rPr>
        <w:t xml:space="preserve">伴随服务／售后服务</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12.1 乙方应按照国家有关法律法规规章和“三包”规定以及招标、响应文件所规定的“服务承诺”提供服务。</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12.2 除前款规定外，乙方还应提供下列服务：</w:t>
      </w:r>
      <w:r/>
    </w:p>
    <w:p>
      <w:pPr>
        <w:ind w:firstLine="420"/>
        <w:jc w:val="left"/>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（1）服务的现场安装、调试和/或启动监督；</w:t>
      </w:r>
      <w:r/>
    </w:p>
    <w:p>
      <w:pPr>
        <w:ind w:firstLine="420"/>
        <w:jc w:val="left"/>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（2）就服务对甲方人员进行免费培训。</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12.3 若磋商文件中不包含有关伴随服务或售后服务的承诺，双方作如下约定：</w:t>
      </w:r>
      <w:r/>
    </w:p>
    <w:p>
      <w:pPr>
        <w:ind w:firstLine="420"/>
        <w:jc w:val="left"/>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（1）乙方应为甲方提供免费培训服务，并指派专人负责与甲方联系售后服务事宜。培训地点主要在货物安装现场或由甲方安排。</w:t>
      </w:r>
      <w:r/>
    </w:p>
    <w:p>
      <w:pPr>
        <w:ind w:firstLine="420"/>
        <w:jc w:val="left"/>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（2）服务按乙方投标承诺提供免费维护和质量保证，保修费用计入总价。</w:t>
      </w:r>
      <w:r/>
    </w:p>
    <w:p>
      <w:pPr>
        <w:ind w:firstLine="420"/>
        <w:jc w:val="left"/>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（3）保修期内，乙方负责对其提供的服务进行维修和系统维护，不再收取任何费用，但不可抗力（如火灾、雷击等）造成的故障除外。</w:t>
      </w:r>
      <w:r/>
    </w:p>
    <w:p>
      <w:pPr>
        <w:ind w:firstLine="420"/>
        <w:jc w:val="left"/>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（4）服务报修的响应时间按乙方投标承诺执行。</w:t>
      </w:r>
      <w:r/>
    </w:p>
    <w:p>
      <w:pPr>
        <w:ind w:firstLine="420"/>
        <w:jc w:val="left"/>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（5）若服务故障在检修8工作小时后仍无法排除，乙方应在48小时内免费提供不低于故障设备规格型号档次的备用设备供甲方使用，直至故障修复。</w:t>
      </w:r>
      <w:r/>
    </w:p>
    <w:p>
      <w:pPr>
        <w:ind w:firstLine="420"/>
        <w:jc w:val="left"/>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（6）所有设备维护服务方式均为乙方上门保修，即由乙方派员到甲方现场维修，由此产生的一切费用均由乙方承担。</w:t>
      </w:r>
      <w:r/>
    </w:p>
    <w:p>
      <w:pPr>
        <w:pStyle w:val="1163"/>
        <w:ind w:firstLine="420"/>
        <w:spacing w:line="360" w:lineRule="auto"/>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十三、不可抗力事件处理</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13.1 在合同有效期内，任何一方因不可抗力事件导致不能履行合同，则合同履行期可延长，其延长期与不可抗力影响期相同。</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13.2 不可抗力事件发生后，应立即通知对方并寄送有关权威机构出具的证明。</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13.3 不可抗力事件延续120天以上，双方应通过友好协商，确定是否继续履行合同。</w:t>
      </w:r>
      <w:r/>
    </w:p>
    <w:p>
      <w:pPr>
        <w:pStyle w:val="1163"/>
        <w:ind w:firstLine="420"/>
        <w:spacing w:line="360" w:lineRule="auto"/>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十四、解决争议的方法</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14.1 因服务的质量问题发生争议的，应当邀请国家认可的质量检测机构对服务质量进行鉴定。符合标准的，鉴定费由甲方承担；不符合质量标准的，鉴定费由乙方承担。</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14.2 双方在签订、履行合同中所发生的一切争议，应通过友好协商解决。如协商不成的由甲方住所地人民法院管辖。</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14.3 在诉讼期间，本合同应继续履行。</w:t>
      </w:r>
      <w:r/>
    </w:p>
    <w:p>
      <w:pPr>
        <w:ind w:firstLine="420"/>
        <w:jc w:val="left"/>
        <w:spacing w:line="360" w:lineRule="auto"/>
        <w:widowControl/>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十五</w:t>
      </w:r>
      <w:r>
        <w:rPr>
          <w:rFonts w:hint="eastAsia" w:asciiTheme="majorEastAsia" w:hAnsiTheme="majorEastAsia" w:eastAsiaTheme="majorEastAsia" w:cstheme="majorEastAsia"/>
          <w:b/>
          <w:bCs/>
          <w:color w:val="auto"/>
          <w:szCs w:val="21"/>
          <w:highlight w:val="none"/>
        </w:rPr>
        <w:t xml:space="preserve">、</w:t>
      </w:r>
      <w:r>
        <w:rPr>
          <w:rFonts w:hint="eastAsia" w:asciiTheme="majorEastAsia" w:hAnsiTheme="majorEastAsia" w:eastAsiaTheme="majorEastAsia" w:cstheme="majorEastAsia"/>
          <w:b/>
          <w:color w:val="auto"/>
          <w:szCs w:val="21"/>
          <w:highlight w:val="none"/>
        </w:rPr>
        <w:t xml:space="preserve">诚实信用</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15.1 乙方应诚实信用，严格按照磋商文件要求和投标承诺履行合同，不向甲方进行商业贿赂或者提供不正当利益。</w:t>
      </w:r>
      <w:r/>
    </w:p>
    <w:p>
      <w:pPr>
        <w:pStyle w:val="1163"/>
        <w:ind w:firstLine="420"/>
        <w:spacing w:line="360" w:lineRule="auto"/>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十六、网络安全责任和义务</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16.1乙方要为本项目设置专门网络安全负责人，管理技术团队要相对独立，团队成员为正式员工。</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16.2政务信息平台要相对独立，包括物理隔离、逻辑隔离。</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16.3乙方不得转包、分包合同任务。</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16.4本项目中产生的政务数据、系统运维数据及收集的个人信息等数据资产归甲方所有。</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16.5必须按照甲方网络安全规定收集、使用、存储、处理数据。</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16.6必须采取技术措施保障甲方对数据的访问、利用、支配。</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16.7政务数据与其他数据分开存储、处理。</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16.8未经甲方同意，不得变更数据用途、用法，不得访问、修改、公开、披露、利用、转让、销毁、私自留存或向第三方提供。</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16.9合同终止时要按照甲方的要求及时处理数据。</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16.10应当按照《数据安全法》《个人信息保护法》等法律法规及相关政策规定的要求，加强个人信息保护。</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16.11严格按照规定采购相关产品和服务。</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16.12建立健全网络和数据安全保护机制，发现重大问题按规定及时向甲方和相关部门报告。</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16.13发生业务转型、合并重组、投资并购等重大事项，或者管理技术团队人员发生重大变化，应提前向甲方报告。</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16.14乙方每年要向甲方提交网络安全报告。</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16.15必须积极配合相关部门开展网络安全检查、测评、审计等监督管理工作，如发生拒绝或不配合监管的，将按照相关法律法规和协议文件追究相关方责任。</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16.16应如实完整提供网络安全管理情况，如发生隐匿、瞒报的，将按照相关法律法规和协议文件追究相关方责任。</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16.17违反网络安全相关条款的，将按照相关法律法规和协议文件追究相关方责任。</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16.18乙方必须定期组织相关人员网络安全培训。</w:t>
      </w:r>
      <w:r/>
    </w:p>
    <w:p>
      <w:pPr>
        <w:pStyle w:val="1163"/>
        <w:ind w:firstLine="420"/>
        <w:spacing w:line="360" w:lineRule="auto"/>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十七、合同生效及其它</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17.1 本合同经双方加盖单位公章后生效。</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17.2 本合同未尽事宜，遵照《中华人民共和国民法典》《中华人民共和国政府采购法》有关条文执行。</w:t>
      </w:r>
      <w:r/>
    </w:p>
    <w:p>
      <w:pPr>
        <w:pStyle w:val="1163"/>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17.3 本合同正本一式贰份，具有同等法律效力，甲方、乙方各执壹份。</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  </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甲方：（公章）                       乙方：（公章） </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地址：                               地址： </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法定代表人或授权代表：               法定代表人或授权代表：</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联系电话：                           联系电话：          </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                                          </w:t>
      </w:r>
      <w:r/>
    </w:p>
    <w:p>
      <w:pPr>
        <w:ind w:firstLine="420"/>
        <w:jc w:val="left"/>
        <w:spacing w:line="360" w:lineRule="auto"/>
        <w:shd w:val="clear" w:color="auto" w:fill="ffffff"/>
        <w:widowControl/>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签订日期：      年    月   日</w:t>
      </w:r>
      <w:r/>
    </w:p>
    <w:p>
      <w:pPr>
        <w:pStyle w:val="1134"/>
        <w:rPr>
          <w:rFonts w:hint="eastAsia" w:ascii="宋体" w:hAnsi="宋体" w:eastAsia="宋体" w:cs="宋体"/>
          <w:b/>
          <w:bCs/>
          <w:color w:val="auto"/>
          <w:sz w:val="44"/>
          <w:szCs w:val="44"/>
          <w:highlight w:val="none"/>
        </w:rPr>
      </w:pPr>
      <w:r>
        <w:rPr>
          <w:rFonts w:hint="eastAsia" w:ascii="宋体" w:hAnsi="宋体" w:eastAsia="宋体" w:cs="宋体"/>
          <w:i w:val="0"/>
          <w:iCs w:val="0"/>
          <w:color w:val="auto"/>
          <w:sz w:val="22"/>
          <w:szCs w:val="22"/>
          <w:highlight w:val="none"/>
          <w:u w:val="none"/>
        </w:rPr>
        <w:br w:type="page" w:clear="all"/>
      </w:r>
      <w:bookmarkStart w:id="279" w:name="_Toc8159"/>
      <w:r>
        <w:rPr>
          <w:rFonts w:hint="eastAsia" w:ascii="黑体" w:hAnsi="黑体" w:eastAsia="黑体" w:cs="黑体"/>
          <w:b/>
          <w:bCs/>
          <w:color w:val="auto"/>
          <w:sz w:val="36"/>
          <w:szCs w:val="36"/>
          <w:highlight w:val="none"/>
        </w:rPr>
        <w:t xml:space="preserve">第六章  </w:t>
      </w:r>
      <w:bookmarkEnd w:id="273"/>
      <w:r/>
      <w:bookmarkEnd w:id="274"/>
      <w:r/>
      <w:bookmarkEnd w:id="275"/>
      <w:r>
        <w:rPr>
          <w:rFonts w:hint="eastAsia" w:ascii="黑体" w:hAnsi="黑体" w:eastAsia="黑体" w:cs="黑体"/>
          <w:b/>
          <w:bCs/>
          <w:color w:val="auto"/>
          <w:sz w:val="36"/>
          <w:szCs w:val="36"/>
          <w:highlight w:val="none"/>
        </w:rPr>
        <w:t xml:space="preserve">响应文件格式</w:t>
      </w:r>
      <w:bookmarkEnd w:id="276"/>
      <w:r/>
      <w:bookmarkEnd w:id="279"/>
      <w:r/>
      <w:r/>
    </w:p>
    <w:p>
      <w:pPr>
        <w:jc w:val="center"/>
        <w:rPr>
          <w:rFonts w:hint="eastAsia" w:ascii="宋体" w:hAnsi="宋体" w:eastAsia="宋体" w:cs="宋体"/>
          <w:b/>
          <w:color w:val="auto"/>
          <w:sz w:val="72"/>
          <w:highlight w:val="none"/>
        </w:rPr>
      </w:pPr>
      <w:r/>
      <w:bookmarkStart w:id="280" w:name="_Hlt26671244"/>
      <w:r/>
      <w:bookmarkEnd w:id="280"/>
      <w:r/>
      <w:bookmarkStart w:id="281" w:name="_Hlt26955039"/>
      <w:r/>
      <w:bookmarkEnd w:id="281"/>
      <w:r/>
      <w:bookmarkStart w:id="282" w:name="_Toc120614282"/>
      <w:r/>
      <w:bookmarkStart w:id="283" w:name="_Toc49090576"/>
      <w:r/>
      <w:bookmarkStart w:id="284" w:name="_Toc26554094"/>
      <w:r/>
      <w:r/>
    </w:p>
    <w:p>
      <w:pPr>
        <w:jc w:val="center"/>
        <w:rPr>
          <w:rFonts w:hint="eastAsia" w:ascii="黑体" w:hAnsi="黑体" w:eastAsia="黑体" w:cs="黑体"/>
          <w:b w:val="0"/>
          <w:bCs/>
          <w:color w:val="auto"/>
          <w:sz w:val="72"/>
          <w:highlight w:val="none"/>
        </w:rPr>
      </w:pPr>
      <w:r>
        <w:rPr>
          <w:rFonts w:hint="eastAsia" w:ascii="黑体" w:hAnsi="黑体" w:eastAsia="黑体" w:cs="黑体"/>
          <w:b w:val="0"/>
          <w:bCs/>
          <w:color w:val="auto"/>
          <w:sz w:val="72"/>
          <w:highlight w:val="none"/>
        </w:rPr>
        <w:t xml:space="preserve">响  应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黑体" w:hAnsi="黑体" w:eastAsia="黑体" w:cs="黑体"/>
          <w:b w:val="0"/>
          <w:bCs/>
          <w:color w:val="auto"/>
          <w:sz w:val="56"/>
          <w:szCs w:val="20"/>
          <w:highlight w:val="none"/>
        </w:rPr>
      </w:pPr>
      <w:r>
        <w:rPr>
          <w:rFonts w:hint="eastAsia" w:ascii="黑体" w:hAnsi="黑体" w:eastAsia="黑体" w:cs="黑体"/>
          <w:b w:val="0"/>
          <w:bCs/>
          <w:color w:val="auto"/>
          <w:sz w:val="56"/>
          <w:szCs w:val="20"/>
          <w:highlight w:val="none"/>
        </w:rPr>
        <w:t xml:space="preserve">【正本】</w:t>
      </w:r>
      <w:r/>
    </w:p>
    <w:p>
      <w:pPr>
        <w:jc w:val="center"/>
        <w:rPr>
          <w:rFonts w:hint="eastAsia" w:ascii="黑体" w:hAnsi="黑体" w:eastAsia="黑体" w:cs="黑体"/>
          <w:b w:val="0"/>
          <w:bCs/>
          <w:color w:val="auto"/>
          <w:sz w:val="36"/>
          <w:highlight w:val="none"/>
        </w:rPr>
      </w:pPr>
      <w:r>
        <w:rPr>
          <w:rFonts w:hint="eastAsia" w:ascii="黑体" w:hAnsi="黑体" w:eastAsia="黑体" w:cs="黑体"/>
          <w:b w:val="0"/>
          <w:bCs/>
          <w:color w:val="auto"/>
          <w:sz w:val="36"/>
          <w:highlight w:val="none"/>
        </w:rPr>
      </w:r>
      <w:r/>
    </w:p>
    <w:p>
      <w:pPr>
        <w:jc w:val="center"/>
        <w:rPr>
          <w:rFonts w:hint="eastAsia" w:ascii="黑体" w:hAnsi="黑体" w:eastAsia="黑体" w:cs="黑体"/>
          <w:b w:val="0"/>
          <w:bCs/>
          <w:color w:val="auto"/>
          <w:sz w:val="36"/>
          <w:highlight w:val="none"/>
        </w:rPr>
      </w:pPr>
      <w:r>
        <w:rPr>
          <w:rFonts w:hint="eastAsia" w:ascii="黑体" w:hAnsi="黑体" w:eastAsia="黑体" w:cs="黑体"/>
          <w:b w:val="0"/>
          <w:bCs/>
          <w:color w:val="auto"/>
          <w:sz w:val="36"/>
          <w:highlight w:val="none"/>
        </w:rPr>
      </w:r>
      <w:r/>
    </w:p>
    <w:p>
      <w:pPr>
        <w:jc w:val="center"/>
        <w:rPr>
          <w:rFonts w:hint="eastAsia" w:ascii="黑体" w:hAnsi="黑体" w:eastAsia="黑体" w:cs="黑体"/>
          <w:b w:val="0"/>
          <w:bCs/>
          <w:color w:val="auto"/>
          <w:sz w:val="36"/>
          <w:highlight w:val="none"/>
        </w:rPr>
      </w:pPr>
      <w:r>
        <w:rPr>
          <w:rFonts w:hint="eastAsia" w:ascii="黑体" w:hAnsi="黑体" w:eastAsia="黑体" w:cs="黑体"/>
          <w:b w:val="0"/>
          <w:bCs/>
          <w:color w:val="auto"/>
          <w:sz w:val="36"/>
          <w:highlight w:val="none"/>
        </w:rPr>
      </w:r>
      <w:r/>
    </w:p>
    <w:p>
      <w:pPr>
        <w:ind w:firstLine="1080"/>
        <w:rPr>
          <w:rFonts w:hint="eastAsia" w:ascii="黑体" w:hAnsi="黑体" w:eastAsia="黑体" w:cs="黑体"/>
          <w:b w:val="0"/>
          <w:bCs/>
          <w:color w:val="auto"/>
          <w:sz w:val="36"/>
          <w:highlight w:val="none"/>
        </w:rPr>
      </w:pPr>
      <w:r>
        <w:rPr>
          <w:rFonts w:hint="eastAsia" w:ascii="黑体" w:hAnsi="黑体" w:eastAsia="黑体" w:cs="黑体"/>
          <w:b w:val="0"/>
          <w:bCs/>
          <w:color w:val="auto"/>
          <w:sz w:val="36"/>
          <w:highlight w:val="none"/>
        </w:rPr>
        <w:t xml:space="preserve">项 目 名 称：</w:t>
      </w:r>
      <w:r>
        <w:rPr>
          <w:rFonts w:hint="eastAsia" w:ascii="黑体" w:hAnsi="黑体" w:eastAsia="黑体" w:cs="黑体"/>
          <w:b w:val="0"/>
          <w:bCs/>
          <w:color w:val="auto"/>
          <w:sz w:val="36"/>
          <w:highlight w:val="none"/>
          <w:u w:val="single"/>
        </w:rPr>
        <w:t xml:space="preserve">               </w:t>
      </w:r>
      <w:r/>
    </w:p>
    <w:p>
      <w:pPr>
        <w:ind w:firstLine="1080"/>
        <w:rPr>
          <w:rFonts w:hint="eastAsia" w:ascii="黑体" w:hAnsi="黑体" w:eastAsia="黑体" w:cs="黑体"/>
          <w:b w:val="0"/>
          <w:bCs/>
          <w:color w:val="auto"/>
          <w:sz w:val="36"/>
          <w:highlight w:val="none"/>
        </w:rPr>
      </w:pPr>
      <w:r>
        <w:rPr>
          <w:rFonts w:hint="eastAsia" w:ascii="黑体" w:hAnsi="黑体" w:eastAsia="黑体" w:cs="黑体"/>
          <w:b w:val="0"/>
          <w:bCs/>
          <w:color w:val="auto"/>
          <w:sz w:val="36"/>
          <w:highlight w:val="none"/>
        </w:rPr>
        <w:t xml:space="preserve">项 目 编 号：</w:t>
      </w:r>
      <w:r>
        <w:rPr>
          <w:rFonts w:hint="eastAsia" w:ascii="黑体" w:hAnsi="黑体" w:eastAsia="黑体" w:cs="黑体"/>
          <w:b w:val="0"/>
          <w:bCs/>
          <w:color w:val="auto"/>
          <w:sz w:val="36"/>
          <w:highlight w:val="none"/>
          <w:u w:val="single"/>
        </w:rPr>
        <w:t xml:space="preserve">               </w:t>
      </w:r>
      <w:r/>
    </w:p>
    <w:p>
      <w:pPr>
        <w:ind w:firstLine="1080"/>
        <w:rPr>
          <w:rFonts w:hint="eastAsia" w:ascii="黑体" w:hAnsi="黑体" w:eastAsia="黑体" w:cs="黑体"/>
          <w:b w:val="0"/>
          <w:bCs/>
          <w:color w:val="auto"/>
          <w:sz w:val="36"/>
          <w:highlight w:val="none"/>
          <w:u w:val="single"/>
        </w:rPr>
      </w:pPr>
      <w:r/>
      <w:bookmarkStart w:id="285" w:name="_Toc26914"/>
      <w:r>
        <w:rPr>
          <w:rFonts w:hint="eastAsia" w:ascii="黑体" w:hAnsi="黑体" w:eastAsia="黑体" w:cs="黑体"/>
          <w:b w:val="0"/>
          <w:bCs/>
          <w:color w:val="auto"/>
          <w:sz w:val="36"/>
          <w:highlight w:val="none"/>
        </w:rPr>
        <w:t xml:space="preserve">供应商名称 ：</w:t>
      </w:r>
      <w:bookmarkEnd w:id="285"/>
      <w:r>
        <w:rPr>
          <w:rFonts w:hint="eastAsia" w:ascii="黑体" w:hAnsi="黑体" w:eastAsia="黑体" w:cs="黑体"/>
          <w:b w:val="0"/>
          <w:bCs/>
          <w:color w:val="auto"/>
          <w:sz w:val="36"/>
          <w:highlight w:val="none"/>
          <w:u w:val="single"/>
        </w:rPr>
        <w:t xml:space="preserve">                </w:t>
      </w:r>
      <w:r/>
    </w:p>
    <w:p>
      <w:pPr>
        <w:ind w:firstLine="1080"/>
        <w:rPr>
          <w:rFonts w:hint="eastAsia" w:ascii="黑体" w:hAnsi="黑体" w:eastAsia="黑体" w:cs="黑体"/>
          <w:b w:val="0"/>
          <w:bCs/>
          <w:color w:val="auto"/>
          <w:sz w:val="36"/>
          <w:highlight w:val="none"/>
        </w:rPr>
      </w:pPr>
      <w:r>
        <w:rPr>
          <w:rFonts w:hint="eastAsia" w:ascii="黑体" w:hAnsi="黑体" w:eastAsia="黑体" w:cs="黑体"/>
          <w:b w:val="0"/>
          <w:bCs/>
          <w:color w:val="auto"/>
          <w:sz w:val="36"/>
          <w:highlight w:val="none"/>
        </w:rPr>
        <w:t xml:space="preserve">授权代表签字：</w:t>
      </w:r>
      <w:r>
        <w:rPr>
          <w:rFonts w:hint="eastAsia" w:ascii="黑体" w:hAnsi="黑体" w:eastAsia="黑体" w:cs="黑体"/>
          <w:b w:val="0"/>
          <w:bCs/>
          <w:color w:val="auto"/>
          <w:sz w:val="36"/>
          <w:highlight w:val="none"/>
          <w:u w:val="single"/>
        </w:rPr>
        <w:t xml:space="preserve">                </w:t>
      </w:r>
      <w:r/>
    </w:p>
    <w:p>
      <w:pPr>
        <w:ind w:firstLine="1080"/>
        <w:rPr>
          <w:rFonts w:hint="eastAsia" w:ascii="黑体" w:hAnsi="黑体" w:eastAsia="黑体" w:cs="黑体"/>
          <w:b w:val="0"/>
          <w:bCs/>
          <w:color w:val="auto"/>
          <w:highlight w:val="none"/>
        </w:rPr>
      </w:pPr>
      <w:r>
        <w:rPr>
          <w:rFonts w:hint="eastAsia" w:ascii="黑体" w:hAnsi="黑体" w:eastAsia="黑体" w:cs="黑体"/>
          <w:b w:val="0"/>
          <w:bCs/>
          <w:color w:val="auto"/>
          <w:sz w:val="36"/>
          <w:highlight w:val="none"/>
        </w:rPr>
        <w:t xml:space="preserve">日      期 ：</w:t>
      </w:r>
      <w:r>
        <w:rPr>
          <w:rFonts w:hint="eastAsia" w:ascii="黑体" w:hAnsi="黑体" w:eastAsia="黑体" w:cs="黑体"/>
          <w:b w:val="0"/>
          <w:bCs/>
          <w:color w:val="auto"/>
          <w:sz w:val="36"/>
          <w:highlight w:val="none"/>
          <w:u w:val="single"/>
        </w:rPr>
        <w:t xml:space="preserve">               </w:t>
      </w:r>
      <w:r/>
    </w:p>
    <w:p>
      <w:pPr>
        <w:jc w:val="center"/>
        <w:keepLines w:val="0"/>
        <w:keepNext w:val="0"/>
        <w:pageBreakBefore w:val="0"/>
        <w:widowControl w:val="off"/>
        <w:rPr>
          <w:rFonts w:hint="eastAsia" w:ascii="宋体" w:hAnsi="宋体" w:eastAsia="宋体" w:cs="宋体"/>
          <w:b/>
          <w:bCs/>
          <w:color w:val="auto"/>
          <w:sz w:val="32"/>
          <w:szCs w:val="32"/>
          <w:highlight w:val="none"/>
        </w:rPr>
        <w:outlineLvl w:val="1"/>
      </w:pPr>
      <w:r>
        <w:rPr>
          <w:rFonts w:hint="eastAsia" w:ascii="宋体" w:hAnsi="宋体" w:eastAsia="宋体" w:cs="宋体"/>
          <w:b/>
          <w:color w:val="auto"/>
          <w:sz w:val="36"/>
          <w:highlight w:val="none"/>
          <w:u w:val="single"/>
        </w:rPr>
        <w:br w:type="page" w:clear="all"/>
      </w:r>
      <w:bookmarkStart w:id="286" w:name="_Toc13592"/>
      <w:r/>
      <w:bookmarkStart w:id="287" w:name="_Toc27392"/>
      <w:r>
        <w:rPr>
          <w:rFonts w:hint="eastAsia" w:ascii="黑体" w:hAnsi="黑体" w:eastAsia="黑体" w:cs="黑体"/>
          <w:b w:val="0"/>
          <w:bCs w:val="0"/>
          <w:color w:val="auto"/>
          <w:sz w:val="28"/>
          <w:szCs w:val="28"/>
          <w:highlight w:val="none"/>
        </w:rPr>
        <w:t xml:space="preserve">响应文件主要目录</w:t>
      </w:r>
      <w:bookmarkEnd w:id="286"/>
      <w:r/>
      <w:bookmarkEnd w:id="287"/>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left"/>
        <w:keepLines w:val="0"/>
        <w:keepNext w:val="0"/>
        <w:pageBreakBefore w:val="0"/>
        <w:spacing w:line="440" w:lineRule="exact"/>
        <w:widowControl w:val="off"/>
        <w:rPr>
          <w:rFonts w:hint="eastAsia" w:ascii="宋体" w:hAnsi="宋体" w:eastAsia="宋体" w:cs="宋体"/>
          <w:iCs/>
          <w:color w:val="auto"/>
          <w:sz w:val="24"/>
          <w:highlight w:val="none"/>
        </w:rPr>
      </w:pPr>
      <w:r/>
      <w:bookmarkStart w:id="288" w:name="_Toc30097"/>
      <w:r/>
      <w:bookmarkStart w:id="289" w:name="_Toc30403"/>
      <w:r>
        <w:rPr>
          <w:rFonts w:hint="eastAsia" w:ascii="宋体" w:hAnsi="宋体" w:eastAsia="宋体" w:cs="宋体"/>
          <w:iCs/>
          <w:color w:val="auto"/>
          <w:sz w:val="24"/>
          <w:highlight w:val="none"/>
        </w:rPr>
        <w:t xml:space="preserve">一、</w:t>
      </w:r>
      <w:bookmarkEnd w:id="288"/>
      <w:r/>
      <w:bookmarkEnd w:id="289"/>
      <w:r>
        <w:rPr>
          <w:rFonts w:hint="eastAsia" w:ascii="宋体" w:hAnsi="宋体" w:eastAsia="宋体" w:cs="宋体"/>
          <w:iCs/>
          <w:color w:val="auto"/>
          <w:sz w:val="24"/>
          <w:highlight w:val="none"/>
        </w:rPr>
        <w:t xml:space="preserve">具有独立承担民事责任的能力</w:t>
      </w:r>
      <w:r/>
    </w:p>
    <w:p>
      <w:pPr>
        <w:ind w:firstLine="480"/>
        <w:jc w:val="left"/>
        <w:keepLines w:val="0"/>
        <w:keepNext w:val="0"/>
        <w:pageBreakBefore w:val="0"/>
        <w:spacing w:line="440" w:lineRule="exact"/>
        <w:widowControl w:val="off"/>
        <w:rPr>
          <w:rFonts w:hint="eastAsia" w:ascii="宋体" w:hAnsi="宋体" w:eastAsia="宋体" w:cs="宋体"/>
          <w:iCs/>
          <w:color w:val="auto"/>
          <w:sz w:val="24"/>
          <w:highlight w:val="none"/>
          <w:lang w:val="en-US" w:eastAsia="zh-CN"/>
        </w:rPr>
      </w:pPr>
      <w:r>
        <w:rPr>
          <w:rFonts w:hint="eastAsia" w:ascii="宋体" w:hAnsi="宋体" w:eastAsia="宋体" w:cs="宋体"/>
          <w:iCs/>
          <w:color w:val="auto"/>
          <w:sz w:val="24"/>
          <w:highlight w:val="none"/>
        </w:rPr>
        <w:t xml:space="preserve">二、具有良好的商业信誉和健全的财务会计制度</w:t>
      </w:r>
      <w:r/>
    </w:p>
    <w:p>
      <w:pPr>
        <w:ind w:firstLine="480"/>
        <w:jc w:val="left"/>
        <w:keepLines w:val="0"/>
        <w:keepNext w:val="0"/>
        <w:pageBreakBefore w:val="0"/>
        <w:spacing w:line="440" w:lineRule="exact"/>
        <w:widowControl w:val="off"/>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三、有依法缴纳税收和社会保障资金的良好记录</w:t>
      </w:r>
      <w:r/>
    </w:p>
    <w:p>
      <w:pPr>
        <w:ind w:firstLine="480"/>
        <w:jc w:val="left"/>
        <w:keepLines w:val="0"/>
        <w:keepNext w:val="0"/>
        <w:pageBreakBefore w:val="0"/>
        <w:spacing w:line="440" w:lineRule="exact"/>
        <w:widowControl w:val="off"/>
        <w:rPr>
          <w:rFonts w:hint="eastAsia" w:ascii="宋体" w:hAnsi="宋体" w:eastAsia="宋体" w:cs="宋体"/>
          <w:iCs/>
          <w:color w:val="auto"/>
          <w:sz w:val="24"/>
          <w:highlight w:val="none"/>
        </w:rPr>
      </w:pPr>
      <w:r/>
      <w:bookmarkStart w:id="290" w:name="_Toc9391"/>
      <w:r>
        <w:rPr>
          <w:rFonts w:hint="eastAsia" w:ascii="宋体" w:hAnsi="宋体" w:eastAsia="宋体" w:cs="宋体"/>
          <w:iCs/>
          <w:color w:val="auto"/>
          <w:sz w:val="24"/>
          <w:highlight w:val="none"/>
        </w:rPr>
        <w:t xml:space="preserve">四、</w:t>
      </w:r>
      <w:bookmarkEnd w:id="290"/>
      <w:r>
        <w:rPr>
          <w:rFonts w:hint="eastAsia" w:ascii="宋体" w:hAnsi="宋体" w:eastAsia="宋体" w:cs="宋体"/>
          <w:iCs/>
          <w:color w:val="auto"/>
          <w:sz w:val="24"/>
          <w:highlight w:val="none"/>
        </w:rPr>
        <w:t xml:space="preserve">具备履行合同所必需的设备和专业技术能力的书面声明</w:t>
      </w:r>
      <w:r/>
    </w:p>
    <w:p>
      <w:pPr>
        <w:ind w:firstLine="480"/>
        <w:jc w:val="left"/>
        <w:keepLines w:val="0"/>
        <w:keepNext w:val="0"/>
        <w:pageBreakBefore w:val="0"/>
        <w:spacing w:line="440" w:lineRule="exact"/>
        <w:widowControl w:val="off"/>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五、参加政府采购活动前3年内在经营活动中没有重大违法记录的书面声明</w:t>
      </w:r>
      <w:r/>
    </w:p>
    <w:p>
      <w:pPr>
        <w:ind w:firstLine="480"/>
        <w:jc w:val="left"/>
        <w:keepLines w:val="0"/>
        <w:keepNext w:val="0"/>
        <w:pageBreakBefore w:val="0"/>
        <w:spacing w:line="440" w:lineRule="exact"/>
        <w:widowControl w:val="off"/>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六、法律、行政法规规定的其他条件</w:t>
      </w:r>
      <w:r/>
    </w:p>
    <w:p>
      <w:pPr>
        <w:ind w:firstLine="480"/>
        <w:jc w:val="left"/>
        <w:keepLines w:val="0"/>
        <w:keepNext w:val="0"/>
        <w:pageBreakBefore w:val="0"/>
        <w:spacing w:line="440" w:lineRule="exact"/>
        <w:widowControl w:val="off"/>
        <w:rPr>
          <w:rFonts w:hint="eastAsia" w:ascii="宋体" w:hAnsi="宋体" w:eastAsia="宋体" w:cs="宋体"/>
          <w:iCs/>
          <w:color w:val="auto"/>
          <w:sz w:val="24"/>
          <w:highlight w:val="none"/>
        </w:rPr>
      </w:pPr>
      <w:r>
        <w:rPr>
          <w:rFonts w:hint="eastAsia" w:ascii="宋体" w:hAnsi="宋体" w:eastAsia="宋体" w:cs="宋体"/>
          <w:iCs/>
          <w:color w:val="auto"/>
          <w:sz w:val="24"/>
          <w:highlight w:val="none"/>
          <w:lang w:val="en-US" w:eastAsia="zh-CN"/>
        </w:rPr>
        <w:t xml:space="preserve">七、</w:t>
      </w:r>
      <w:r>
        <w:rPr>
          <w:rFonts w:hint="eastAsia" w:ascii="宋体" w:hAnsi="宋体" w:eastAsia="宋体" w:cs="宋体"/>
          <w:iCs/>
          <w:color w:val="auto"/>
          <w:sz w:val="24"/>
          <w:highlight w:val="none"/>
        </w:rPr>
        <w:t xml:space="preserve">特定资格要求</w:t>
      </w:r>
      <w:r/>
    </w:p>
    <w:p>
      <w:pPr>
        <w:ind w:firstLine="480"/>
        <w:jc w:val="left"/>
        <w:keepLines w:val="0"/>
        <w:keepNext w:val="0"/>
        <w:pageBreakBefore w:val="0"/>
        <w:spacing w:line="440" w:lineRule="exact"/>
        <w:widowControl w:val="off"/>
        <w:rPr>
          <w:rFonts w:hint="eastAsia" w:ascii="宋体" w:hAnsi="宋体" w:eastAsia="宋体" w:cs="宋体"/>
          <w:iCs/>
          <w:color w:val="auto"/>
          <w:sz w:val="24"/>
          <w:highlight w:val="none"/>
        </w:rPr>
      </w:pPr>
      <w:r>
        <w:rPr>
          <w:rFonts w:hint="eastAsia" w:ascii="宋体" w:hAnsi="宋体" w:eastAsia="宋体" w:cs="宋体"/>
          <w:iCs/>
          <w:color w:val="auto"/>
          <w:sz w:val="24"/>
          <w:highlight w:val="none"/>
          <w:lang w:val="en-US" w:eastAsia="zh-CN"/>
        </w:rPr>
        <w:t xml:space="preserve">八</w:t>
      </w:r>
      <w:r>
        <w:rPr>
          <w:rFonts w:hint="eastAsia" w:ascii="宋体" w:hAnsi="宋体" w:eastAsia="宋体" w:cs="宋体"/>
          <w:iCs/>
          <w:color w:val="auto"/>
          <w:sz w:val="24"/>
          <w:highlight w:val="none"/>
        </w:rPr>
        <w:t xml:space="preserve">、承诺函</w:t>
      </w:r>
      <w:r/>
    </w:p>
    <w:p>
      <w:pPr>
        <w:ind w:firstLine="480"/>
        <w:jc w:val="left"/>
        <w:keepLines w:val="0"/>
        <w:keepNext w:val="0"/>
        <w:pageBreakBefore w:val="0"/>
        <w:spacing w:line="440" w:lineRule="exact"/>
        <w:widowControl w:val="off"/>
        <w:rPr>
          <w:rFonts w:hint="eastAsia" w:ascii="宋体" w:hAnsi="宋体" w:eastAsia="宋体" w:cs="宋体"/>
          <w:iCs/>
          <w:color w:val="auto"/>
          <w:sz w:val="24"/>
          <w:highlight w:val="none"/>
        </w:rPr>
      </w:pPr>
      <w:r>
        <w:rPr>
          <w:rFonts w:hint="eastAsia" w:ascii="宋体" w:hAnsi="宋体" w:eastAsia="宋体" w:cs="宋体"/>
          <w:iCs/>
          <w:color w:val="auto"/>
          <w:sz w:val="24"/>
          <w:highlight w:val="none"/>
          <w:lang w:val="en-US" w:eastAsia="zh-CN"/>
        </w:rPr>
        <w:t xml:space="preserve">九、</w:t>
      </w:r>
      <w:r>
        <w:rPr>
          <w:rFonts w:hint="eastAsia" w:ascii="宋体" w:hAnsi="宋体" w:eastAsia="宋体" w:cs="宋体"/>
          <w:iCs/>
          <w:color w:val="auto"/>
          <w:sz w:val="24"/>
          <w:highlight w:val="none"/>
        </w:rPr>
        <w:t xml:space="preserve">南京市政府采购供应商信用记录表暨信用承诺书</w:t>
      </w:r>
      <w:r/>
    </w:p>
    <w:p>
      <w:pPr>
        <w:ind w:firstLine="480"/>
        <w:jc w:val="left"/>
        <w:keepLines w:val="0"/>
        <w:keepNext w:val="0"/>
        <w:pageBreakBefore w:val="0"/>
        <w:spacing w:line="440" w:lineRule="exact"/>
        <w:widowControl w:val="off"/>
        <w:rPr>
          <w:rFonts w:hint="eastAsia" w:ascii="宋体" w:hAnsi="宋体" w:eastAsia="宋体" w:cs="宋体"/>
          <w:iCs/>
          <w:color w:val="auto"/>
          <w:sz w:val="24"/>
          <w:highlight w:val="none"/>
        </w:rPr>
      </w:pPr>
      <w:r>
        <w:rPr>
          <w:rFonts w:hint="eastAsia" w:ascii="宋体" w:hAnsi="宋体" w:eastAsia="宋体" w:cs="宋体"/>
          <w:iCs/>
          <w:color w:val="auto"/>
          <w:sz w:val="24"/>
          <w:highlight w:val="none"/>
          <w:lang w:val="en-US" w:eastAsia="zh-CN"/>
        </w:rPr>
        <w:t xml:space="preserve">十、</w:t>
      </w:r>
      <w:r>
        <w:rPr>
          <w:rFonts w:hint="eastAsia" w:ascii="宋体" w:hAnsi="宋体" w:eastAsia="宋体" w:cs="宋体"/>
          <w:iCs/>
          <w:color w:val="auto"/>
          <w:sz w:val="24"/>
          <w:highlight w:val="none"/>
        </w:rPr>
        <w:t xml:space="preserve">供应商信用承诺函</w:t>
      </w:r>
      <w:r/>
    </w:p>
    <w:p>
      <w:pPr>
        <w:ind w:firstLine="480"/>
        <w:jc w:val="left"/>
        <w:keepLines w:val="0"/>
        <w:keepNext w:val="0"/>
        <w:pageBreakBefore w:val="0"/>
        <w:spacing w:line="440" w:lineRule="exact"/>
        <w:widowControl w:val="off"/>
        <w:rPr>
          <w:rFonts w:hint="eastAsia" w:ascii="宋体" w:hAnsi="宋体" w:eastAsia="宋体" w:cs="宋体"/>
          <w:iCs/>
          <w:color w:val="auto"/>
          <w:sz w:val="24"/>
          <w:highlight w:val="none"/>
        </w:rPr>
      </w:pPr>
      <w:r>
        <w:rPr>
          <w:rFonts w:hint="eastAsia" w:ascii="宋体" w:hAnsi="宋体" w:eastAsia="宋体" w:cs="宋体"/>
          <w:iCs/>
          <w:color w:val="auto"/>
          <w:sz w:val="24"/>
          <w:highlight w:val="none"/>
          <w:lang w:val="en-US" w:eastAsia="zh-CN"/>
        </w:rPr>
        <w:t xml:space="preserve">十一</w:t>
      </w:r>
      <w:r>
        <w:rPr>
          <w:rFonts w:hint="eastAsia" w:ascii="宋体" w:hAnsi="宋体" w:eastAsia="宋体" w:cs="宋体"/>
          <w:iCs/>
          <w:color w:val="auto"/>
          <w:sz w:val="24"/>
          <w:highlight w:val="none"/>
        </w:rPr>
        <w:t xml:space="preserve">、法人授权书</w:t>
      </w:r>
      <w:r/>
    </w:p>
    <w:p>
      <w:pPr>
        <w:ind w:firstLine="480"/>
        <w:jc w:val="left"/>
        <w:keepLines w:val="0"/>
        <w:keepNext w:val="0"/>
        <w:pageBreakBefore w:val="0"/>
        <w:spacing w:line="440" w:lineRule="exact"/>
        <w:widowControl w:val="off"/>
        <w:rPr>
          <w:rFonts w:hint="eastAsia" w:ascii="宋体" w:hAnsi="宋体" w:eastAsia="宋体" w:cs="宋体"/>
          <w:iCs/>
          <w:color w:val="auto"/>
          <w:sz w:val="24"/>
          <w:highlight w:val="none"/>
        </w:rPr>
      </w:pPr>
      <w:r>
        <w:rPr>
          <w:rFonts w:hint="eastAsia" w:ascii="宋体" w:hAnsi="宋体" w:eastAsia="宋体" w:cs="宋体"/>
          <w:iCs/>
          <w:color w:val="auto"/>
          <w:sz w:val="24"/>
          <w:highlight w:val="none"/>
          <w:lang w:val="en-US" w:eastAsia="zh-CN"/>
        </w:rPr>
        <w:t xml:space="preserve">十二</w:t>
      </w:r>
      <w:r>
        <w:rPr>
          <w:rFonts w:hint="eastAsia" w:ascii="宋体" w:hAnsi="宋体" w:eastAsia="宋体" w:cs="宋体"/>
          <w:iCs/>
          <w:color w:val="auto"/>
          <w:sz w:val="24"/>
          <w:highlight w:val="none"/>
        </w:rPr>
        <w:t xml:space="preserve">、响应函</w:t>
      </w:r>
      <w:r/>
    </w:p>
    <w:p>
      <w:pPr>
        <w:ind w:firstLine="480"/>
        <w:jc w:val="left"/>
        <w:keepLines w:val="0"/>
        <w:keepNext w:val="0"/>
        <w:pageBreakBefore w:val="0"/>
        <w:spacing w:line="440" w:lineRule="exact"/>
        <w:widowControl w:val="off"/>
        <w:rPr>
          <w:rFonts w:hint="eastAsia" w:ascii="宋体" w:hAnsi="宋体" w:eastAsia="宋体" w:cs="宋体"/>
          <w:iCs/>
          <w:color w:val="auto"/>
          <w:sz w:val="24"/>
          <w:highlight w:val="none"/>
          <w:lang w:val="en-US" w:eastAsia="zh-CN"/>
        </w:rPr>
      </w:pPr>
      <w:r>
        <w:rPr>
          <w:rFonts w:hint="eastAsia" w:ascii="宋体" w:hAnsi="宋体" w:eastAsia="宋体" w:cs="宋体"/>
          <w:iCs/>
          <w:color w:val="auto"/>
          <w:sz w:val="24"/>
          <w:highlight w:val="none"/>
        </w:rPr>
        <w:t xml:space="preserve">十</w:t>
      </w:r>
      <w:r>
        <w:rPr>
          <w:rFonts w:hint="eastAsia" w:ascii="宋体" w:hAnsi="宋体" w:eastAsia="宋体" w:cs="宋体"/>
          <w:iCs/>
          <w:color w:val="auto"/>
          <w:sz w:val="24"/>
          <w:highlight w:val="none"/>
          <w:lang w:val="en-US" w:eastAsia="zh-CN"/>
        </w:rPr>
        <w:t xml:space="preserve">三</w:t>
      </w:r>
      <w:r>
        <w:rPr>
          <w:rFonts w:hint="eastAsia" w:ascii="宋体" w:hAnsi="宋体" w:eastAsia="宋体" w:cs="宋体"/>
          <w:iCs/>
          <w:color w:val="auto"/>
          <w:sz w:val="24"/>
          <w:highlight w:val="none"/>
        </w:rPr>
        <w:t xml:space="preserve">、</w:t>
      </w:r>
      <w:r>
        <w:rPr>
          <w:rFonts w:hint="eastAsia" w:ascii="宋体" w:hAnsi="宋体" w:eastAsia="宋体" w:cs="宋体"/>
          <w:iCs/>
          <w:color w:val="auto"/>
          <w:sz w:val="24"/>
          <w:highlight w:val="none"/>
          <w:lang w:eastAsia="zh-CN"/>
        </w:rPr>
        <w:t xml:space="preserve">中小</w:t>
      </w:r>
      <w:r>
        <w:rPr>
          <w:rFonts w:hint="eastAsia" w:ascii="宋体" w:hAnsi="宋体" w:eastAsia="宋体" w:cs="宋体"/>
          <w:iCs/>
          <w:color w:val="auto"/>
          <w:sz w:val="24"/>
          <w:highlight w:val="none"/>
        </w:rPr>
        <w:t xml:space="preserve">企业声明函</w:t>
      </w:r>
      <w:r>
        <w:rPr>
          <w:rFonts w:hint="eastAsia" w:ascii="宋体" w:hAnsi="宋体" w:eastAsia="宋体" w:cs="宋体"/>
          <w:iCs/>
          <w:color w:val="auto"/>
          <w:sz w:val="24"/>
          <w:highlight w:val="none"/>
          <w:lang w:eastAsia="zh-CN"/>
        </w:rPr>
        <w:t xml:space="preserve">（</w:t>
      </w:r>
      <w:r>
        <w:rPr>
          <w:rFonts w:hint="eastAsia" w:ascii="宋体" w:hAnsi="宋体" w:eastAsia="宋体" w:cs="宋体"/>
          <w:iCs/>
          <w:color w:val="auto"/>
          <w:sz w:val="24"/>
          <w:highlight w:val="none"/>
          <w:lang w:val="en-US" w:eastAsia="zh-CN"/>
        </w:rPr>
        <w:t xml:space="preserve">服务</w:t>
      </w:r>
      <w:r>
        <w:rPr>
          <w:rFonts w:hint="eastAsia" w:ascii="宋体" w:hAnsi="宋体" w:eastAsia="宋体" w:cs="宋体"/>
          <w:iCs/>
          <w:color w:val="auto"/>
          <w:sz w:val="24"/>
          <w:highlight w:val="none"/>
          <w:lang w:eastAsia="zh-CN"/>
        </w:rPr>
        <w:t xml:space="preserve">）</w:t>
      </w:r>
      <w:r/>
    </w:p>
    <w:p>
      <w:pPr>
        <w:ind w:firstLine="480"/>
        <w:jc w:val="left"/>
        <w:keepLines w:val="0"/>
        <w:keepNext w:val="0"/>
        <w:pageBreakBefore w:val="0"/>
        <w:spacing w:line="440" w:lineRule="exact"/>
        <w:widowControl w:val="off"/>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十</w:t>
      </w:r>
      <w:r>
        <w:rPr>
          <w:rFonts w:hint="eastAsia" w:ascii="宋体" w:hAnsi="宋体" w:eastAsia="宋体" w:cs="宋体"/>
          <w:iCs/>
          <w:color w:val="auto"/>
          <w:sz w:val="24"/>
          <w:highlight w:val="none"/>
          <w:lang w:val="en-US" w:eastAsia="zh-CN"/>
        </w:rPr>
        <w:t xml:space="preserve">四</w:t>
      </w:r>
      <w:r>
        <w:rPr>
          <w:rFonts w:hint="eastAsia" w:ascii="宋体" w:hAnsi="宋体" w:eastAsia="宋体" w:cs="宋体"/>
          <w:iCs/>
          <w:color w:val="auto"/>
          <w:sz w:val="24"/>
          <w:highlight w:val="none"/>
        </w:rPr>
        <w:t xml:space="preserve">、残疾人福利性单位声明函</w:t>
      </w:r>
      <w:r/>
    </w:p>
    <w:p>
      <w:pPr>
        <w:ind w:firstLine="480"/>
        <w:jc w:val="left"/>
        <w:keepLines w:val="0"/>
        <w:keepNext w:val="0"/>
        <w:pageBreakBefore w:val="0"/>
        <w:spacing w:line="440" w:lineRule="exact"/>
        <w:widowControl w:val="off"/>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十</w:t>
      </w:r>
      <w:r>
        <w:rPr>
          <w:rFonts w:hint="eastAsia" w:ascii="宋体" w:hAnsi="宋体" w:eastAsia="宋体" w:cs="宋体"/>
          <w:iCs/>
          <w:color w:val="auto"/>
          <w:sz w:val="24"/>
          <w:highlight w:val="none"/>
          <w:lang w:val="en-US" w:eastAsia="zh-CN"/>
        </w:rPr>
        <w:t xml:space="preserve">五</w:t>
      </w:r>
      <w:r>
        <w:rPr>
          <w:rFonts w:hint="eastAsia" w:ascii="宋体" w:hAnsi="宋体" w:eastAsia="宋体" w:cs="宋体"/>
          <w:iCs/>
          <w:color w:val="auto"/>
          <w:sz w:val="24"/>
          <w:highlight w:val="none"/>
        </w:rPr>
        <w:t xml:space="preserve">、监狱企业声明函</w:t>
      </w:r>
      <w:r/>
    </w:p>
    <w:p>
      <w:pPr>
        <w:ind w:firstLine="480"/>
        <w:jc w:val="left"/>
        <w:keepLines w:val="0"/>
        <w:keepNext w:val="0"/>
        <w:pageBreakBefore w:val="0"/>
        <w:spacing w:line="440" w:lineRule="exact"/>
        <w:widowControl w:val="off"/>
        <w:rPr>
          <w:rFonts w:hint="eastAsia" w:ascii="宋体" w:hAnsi="宋体" w:eastAsia="宋体" w:cs="宋体"/>
          <w:iCs/>
          <w:color w:val="auto"/>
          <w:sz w:val="24"/>
          <w:highlight w:val="none"/>
          <w:lang w:eastAsia="zh-CN"/>
        </w:rPr>
      </w:pPr>
      <w:r>
        <w:rPr>
          <w:rFonts w:hint="eastAsia" w:ascii="宋体" w:hAnsi="宋体" w:eastAsia="宋体" w:cs="宋体"/>
          <w:iCs/>
          <w:color w:val="auto"/>
          <w:sz w:val="24"/>
          <w:highlight w:val="none"/>
        </w:rPr>
        <w:t xml:space="preserve">十</w:t>
      </w:r>
      <w:r>
        <w:rPr>
          <w:rFonts w:hint="eastAsia" w:ascii="宋体" w:hAnsi="宋体" w:eastAsia="宋体" w:cs="宋体"/>
          <w:iCs/>
          <w:color w:val="auto"/>
          <w:sz w:val="24"/>
          <w:highlight w:val="none"/>
          <w:lang w:val="en-US" w:eastAsia="zh-CN"/>
        </w:rPr>
        <w:t xml:space="preserve">六</w:t>
      </w:r>
      <w:r>
        <w:rPr>
          <w:rFonts w:hint="eastAsia" w:ascii="宋体" w:hAnsi="宋体" w:eastAsia="宋体" w:cs="宋体"/>
          <w:iCs/>
          <w:color w:val="auto"/>
          <w:sz w:val="24"/>
          <w:highlight w:val="none"/>
        </w:rPr>
        <w:t xml:space="preserve">、</w:t>
      </w:r>
      <w:r>
        <w:rPr>
          <w:rFonts w:hint="eastAsia" w:ascii="宋体" w:hAnsi="宋体" w:eastAsia="宋体" w:cs="宋体"/>
          <w:iCs/>
          <w:color w:val="auto"/>
          <w:sz w:val="24"/>
          <w:highlight w:val="none"/>
          <w:lang w:eastAsia="zh-CN"/>
        </w:rPr>
        <w:t xml:space="preserve">报价一览表</w:t>
      </w:r>
      <w:r/>
    </w:p>
    <w:p>
      <w:pPr>
        <w:ind w:firstLine="480"/>
        <w:jc w:val="left"/>
        <w:keepLines w:val="0"/>
        <w:keepNext w:val="0"/>
        <w:pageBreakBefore w:val="0"/>
        <w:spacing w:line="440" w:lineRule="exact"/>
        <w:widowControl w:val="off"/>
        <w:rPr>
          <w:rFonts w:ascii="宋体" w:hAnsi="宋体" w:eastAsia="宋体" w:cs="宋体"/>
          <w:iCs/>
          <w:color w:val="auto"/>
          <w:sz w:val="24"/>
          <w:highlight w:val="none"/>
          <w:lang w:val="en-US" w:eastAsia="zh-CN"/>
        </w:rPr>
      </w:pPr>
      <w:r>
        <w:rPr>
          <w:rFonts w:hint="eastAsia" w:ascii="宋体" w:hAnsi="宋体" w:eastAsia="宋体" w:cs="宋体"/>
          <w:iCs/>
          <w:color w:val="auto"/>
          <w:sz w:val="24"/>
          <w:highlight w:val="none"/>
          <w:lang w:val="en-US" w:eastAsia="zh-CN"/>
        </w:rPr>
        <w:t xml:space="preserve">十七、分项报价表</w:t>
      </w:r>
      <w:r/>
    </w:p>
    <w:p>
      <w:pPr>
        <w:ind w:firstLine="480"/>
        <w:jc w:val="left"/>
        <w:keepLines w:val="0"/>
        <w:keepNext w:val="0"/>
        <w:pageBreakBefore w:val="0"/>
        <w:spacing w:line="440" w:lineRule="exact"/>
        <w:widowControl w:val="off"/>
        <w:rPr>
          <w:rFonts w:ascii="宋体" w:hAnsi="宋体" w:eastAsia="宋体" w:cs="宋体"/>
          <w:iCs/>
          <w:color w:val="auto"/>
          <w:sz w:val="24"/>
          <w:highlight w:val="none"/>
          <w:lang w:val="en-US" w:eastAsia="zh-CN"/>
        </w:rPr>
      </w:pPr>
      <w:r>
        <w:rPr>
          <w:rFonts w:hint="eastAsia" w:ascii="宋体" w:hAnsi="宋体" w:eastAsia="宋体" w:cs="宋体"/>
          <w:iCs/>
          <w:color w:val="auto"/>
          <w:sz w:val="24"/>
          <w:highlight w:val="none"/>
        </w:rPr>
        <w:t xml:space="preserve">十</w:t>
      </w:r>
      <w:r>
        <w:rPr>
          <w:rFonts w:hint="eastAsia" w:ascii="宋体" w:hAnsi="宋体" w:eastAsia="宋体" w:cs="宋体"/>
          <w:iCs/>
          <w:color w:val="auto"/>
          <w:sz w:val="24"/>
          <w:highlight w:val="none"/>
          <w:lang w:val="en-US" w:eastAsia="zh-CN"/>
        </w:rPr>
        <w:t xml:space="preserve">八</w:t>
      </w:r>
      <w:r>
        <w:rPr>
          <w:rFonts w:hint="eastAsia" w:ascii="宋体" w:hAnsi="宋体" w:eastAsia="宋体" w:cs="宋体"/>
          <w:iCs/>
          <w:color w:val="auto"/>
          <w:sz w:val="24"/>
          <w:highlight w:val="none"/>
        </w:rPr>
        <w:t xml:space="preserve">、</w:t>
      </w:r>
      <w:r>
        <w:rPr>
          <w:rFonts w:hint="eastAsia" w:ascii="宋体" w:hAnsi="宋体" w:eastAsia="宋体" w:cs="宋体"/>
          <w:iCs/>
          <w:color w:val="auto"/>
          <w:sz w:val="24"/>
          <w:highlight w:val="none"/>
          <w:lang w:val="en-US" w:eastAsia="zh-CN"/>
        </w:rPr>
        <w:t xml:space="preserve">技术条款响应表</w:t>
      </w:r>
      <w:r/>
    </w:p>
    <w:p>
      <w:pPr>
        <w:ind w:firstLine="480"/>
        <w:jc w:val="left"/>
        <w:keepLines w:val="0"/>
        <w:keepNext w:val="0"/>
        <w:pageBreakBefore w:val="0"/>
        <w:spacing w:line="440" w:lineRule="exact"/>
        <w:widowControl w:val="off"/>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十</w:t>
      </w:r>
      <w:r>
        <w:rPr>
          <w:rFonts w:hint="eastAsia" w:ascii="宋体" w:hAnsi="宋体" w:eastAsia="宋体" w:cs="宋体"/>
          <w:iCs/>
          <w:color w:val="auto"/>
          <w:sz w:val="24"/>
          <w:highlight w:val="none"/>
          <w:lang w:val="en-US" w:eastAsia="zh-CN"/>
        </w:rPr>
        <w:t xml:space="preserve">九</w:t>
      </w:r>
      <w:r>
        <w:rPr>
          <w:rFonts w:hint="eastAsia" w:ascii="宋体" w:hAnsi="宋体" w:eastAsia="宋体" w:cs="宋体"/>
          <w:iCs/>
          <w:color w:val="auto"/>
          <w:sz w:val="24"/>
          <w:highlight w:val="none"/>
        </w:rPr>
        <w:t xml:space="preserve">、其</w:t>
      </w:r>
      <w:r>
        <w:rPr>
          <w:rFonts w:hint="eastAsia" w:ascii="宋体" w:hAnsi="宋体" w:eastAsia="宋体" w:cs="宋体"/>
          <w:iCs/>
          <w:color w:val="auto"/>
          <w:sz w:val="24"/>
          <w:highlight w:val="none"/>
          <w:lang w:eastAsia="zh-CN"/>
        </w:rPr>
        <w:t xml:space="preserve">他</w:t>
      </w:r>
      <w:r>
        <w:rPr>
          <w:rFonts w:hint="eastAsia" w:ascii="宋体" w:hAnsi="宋体" w:eastAsia="宋体" w:cs="宋体"/>
          <w:iCs/>
          <w:color w:val="auto"/>
          <w:sz w:val="24"/>
          <w:highlight w:val="none"/>
        </w:rPr>
        <w:t xml:space="preserve">证明文件</w:t>
      </w:r>
      <w:r/>
    </w:p>
    <w:p>
      <w:pPr>
        <w:jc w:val="left"/>
        <w:spacing w:line="440" w:lineRule="exact"/>
        <w:rPr>
          <w:rFonts w:hint="eastAsia" w:ascii="宋体" w:hAnsi="宋体" w:eastAsia="宋体" w:cs="宋体"/>
          <w:iCs/>
          <w:color w:val="auto"/>
          <w:sz w:val="24"/>
          <w:highlight w:val="none"/>
          <w:u w:val="single"/>
        </w:rPr>
      </w:pPr>
      <w:r>
        <w:rPr>
          <w:rFonts w:hint="eastAsia" w:ascii="宋体" w:hAnsi="宋体" w:eastAsia="宋体" w:cs="宋体"/>
          <w:iCs/>
          <w:color w:val="auto"/>
          <w:sz w:val="24"/>
          <w:highlight w:val="none"/>
          <w:u w:val="singl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i/>
          <w:color w:val="auto"/>
          <w:sz w:val="32"/>
          <w:szCs w:val="32"/>
          <w:highlight w:val="none"/>
          <w:u w:val="single"/>
        </w:rPr>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i/>
          <w:color w:val="auto"/>
          <w:sz w:val="32"/>
          <w:szCs w:val="32"/>
          <w:highlight w:val="none"/>
          <w:u w:val="single"/>
        </w:rPr>
      </w:r>
      <w:r/>
    </w:p>
    <w:p>
      <w:pPr>
        <w:pStyle w:val="1135"/>
        <w:ind w:left="0" w:firstLine="0"/>
        <w:jc w:val="center"/>
        <w:spacing w:before="0" w:after="100"/>
        <w:rPr>
          <w:rFonts w:hint="eastAsia" w:ascii="黑体" w:hAnsi="黑体" w:eastAsia="黑体" w:cs="黑体"/>
          <w:b w:val="0"/>
          <w:bCs w:val="0"/>
          <w:iCs/>
          <w:color w:val="auto"/>
          <w:sz w:val="28"/>
          <w:szCs w:val="28"/>
          <w:highlight w:val="none"/>
        </w:rPr>
      </w:pPr>
      <w:r/>
      <w:bookmarkStart w:id="291" w:name="_Toc29180"/>
      <w:r/>
      <w:bookmarkStart w:id="292" w:name="_Toc28800"/>
      <w:r>
        <w:rPr>
          <w:rFonts w:hint="eastAsia" w:ascii="黑体" w:hAnsi="黑体" w:eastAsia="黑体" w:cs="黑体"/>
          <w:b w:val="0"/>
          <w:bCs w:val="0"/>
          <w:iCs/>
          <w:color w:val="auto"/>
          <w:sz w:val="28"/>
          <w:szCs w:val="28"/>
          <w:highlight w:val="none"/>
        </w:rPr>
        <w:t xml:space="preserve">资格证明文件（第一项-第七项）</w:t>
      </w:r>
      <w:bookmarkEnd w:id="291"/>
      <w:r/>
      <w:bookmarkEnd w:id="292"/>
      <w:r/>
      <w:r/>
    </w:p>
    <w:p>
      <w:pPr>
        <w:pStyle w:val="1135"/>
        <w:jc w:val="both"/>
        <w:spacing w:before="0" w:after="100"/>
        <w:rPr>
          <w:rFonts w:hint="eastAsia" w:ascii="黑体" w:hAnsi="黑体" w:eastAsia="黑体" w:cs="黑体"/>
          <w:b w:val="0"/>
          <w:bCs w:val="0"/>
          <w:iCs/>
          <w:color w:val="auto"/>
          <w:sz w:val="28"/>
          <w:szCs w:val="28"/>
          <w:highlight w:val="none"/>
        </w:rPr>
      </w:pPr>
      <w:r/>
      <w:bookmarkStart w:id="293" w:name="_Toc3141"/>
      <w:r>
        <w:rPr>
          <w:rFonts w:hint="eastAsia" w:ascii="黑体" w:hAnsi="黑体" w:eastAsia="黑体" w:cs="黑体"/>
          <w:b w:val="0"/>
          <w:bCs w:val="0"/>
          <w:iCs/>
          <w:color w:val="auto"/>
          <w:sz w:val="28"/>
          <w:szCs w:val="28"/>
          <w:highlight w:val="none"/>
        </w:rPr>
        <w:t xml:space="preserve">一、具有独立承担民事责任的能力</w:t>
      </w:r>
      <w:bookmarkEnd w:id="293"/>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提供法人或者其他组织的营业执照等证明材料，自然人的身份证明</w:t>
      </w:r>
      <w:r>
        <w:rPr>
          <w:rFonts w:hint="eastAsia" w:ascii="宋体" w:hAnsi="宋体" w:eastAsia="宋体" w:cs="宋体"/>
          <w:color w:val="auto"/>
          <w:highlight w:val="none"/>
          <w:lang w:eastAsia="zh-CN"/>
        </w:rPr>
        <w:t xml:space="preserve">。</w:t>
      </w:r>
      <w:r/>
    </w:p>
    <w:p>
      <w:pPr>
        <w:ind w:firstLine="567"/>
        <w:jc w:val="both"/>
        <w:keepLines/>
        <w:keepNext/>
        <w:pageBreakBefore w:val="0"/>
        <w:spacing w:before="0" w:after="100" w:line="416" w:lineRule="auto"/>
        <w:widowControl w:val="off"/>
        <w:rPr>
          <w:rFonts w:hint="eastAsia" w:ascii="宋体" w:hAnsi="宋体" w:eastAsia="宋体" w:cs="宋体"/>
          <w:iCs/>
          <w:color w:val="auto"/>
          <w:sz w:val="32"/>
          <w:szCs w:val="32"/>
          <w:highlight w:val="none"/>
        </w:rPr>
        <w:outlineLvl w:val="9"/>
      </w:pPr>
      <w:r>
        <w:rPr>
          <w:rFonts w:hint="eastAsia" w:ascii="宋体" w:hAnsi="宋体" w:eastAsia="宋体" w:cs="宋体"/>
          <w:iCs/>
          <w:color w:val="auto"/>
          <w:sz w:val="32"/>
          <w:szCs w:val="32"/>
          <w:highlight w:val="none"/>
        </w:rPr>
      </w:r>
      <w:r/>
    </w:p>
    <w:p>
      <w:pPr>
        <w:pStyle w:val="1135"/>
        <w:jc w:val="both"/>
        <w:spacing w:before="0" w:after="100"/>
        <w:rPr>
          <w:rFonts w:hint="eastAsia" w:ascii="黑体" w:hAnsi="黑体" w:eastAsia="黑体" w:cs="黑体"/>
          <w:b w:val="0"/>
          <w:bCs w:val="0"/>
          <w:iCs/>
          <w:color w:val="auto"/>
          <w:sz w:val="28"/>
          <w:szCs w:val="28"/>
          <w:highlight w:val="none"/>
          <w:lang w:val="en-US" w:eastAsia="zh-CN"/>
        </w:rPr>
      </w:pPr>
      <w:r/>
      <w:bookmarkStart w:id="294" w:name="_Toc20823"/>
      <w:r>
        <w:rPr>
          <w:rFonts w:hint="eastAsia" w:ascii="黑体" w:hAnsi="黑体" w:eastAsia="黑体" w:cs="黑体"/>
          <w:b w:val="0"/>
          <w:bCs w:val="0"/>
          <w:iCs/>
          <w:color w:val="auto"/>
          <w:sz w:val="28"/>
          <w:szCs w:val="28"/>
          <w:highlight w:val="none"/>
        </w:rPr>
        <w:t xml:space="preserve">二、具有良好的商业信誉和健全的财务会计制度</w:t>
      </w:r>
      <w:bookmarkEnd w:id="294"/>
      <w:r/>
      <w:r/>
    </w:p>
    <w:p>
      <w:pPr>
        <w:ind w:firstLine="440"/>
        <w:rPr>
          <w:rFonts w:hint="eastAsia" w:ascii="宋体" w:hAnsi="宋体" w:eastAsia="宋体" w:cs="宋体"/>
          <w:bCs/>
          <w:color w:val="auto"/>
          <w:sz w:val="22"/>
          <w:szCs w:val="20"/>
          <w:highlight w:val="none"/>
        </w:rPr>
      </w:pPr>
      <w:r>
        <w:rPr>
          <w:rFonts w:hint="eastAsia" w:ascii="宋体" w:hAnsi="宋体" w:eastAsia="宋体" w:cs="宋体"/>
          <w:bCs/>
          <w:color w:val="auto"/>
          <w:sz w:val="22"/>
          <w:szCs w:val="20"/>
          <w:highlight w:val="none"/>
        </w:rPr>
        <w:t xml:space="preserve">提供提交响应文件截止时间前1年内的经审计的财务报告或银行出具的资信证明或其他会计报表等，成立不满一个月不需提供。</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5"/>
        <w:jc w:val="both"/>
        <w:spacing w:before="0" w:after="100"/>
        <w:rPr>
          <w:rFonts w:hint="eastAsia" w:ascii="黑体" w:hAnsi="黑体" w:eastAsia="黑体" w:cs="黑体"/>
          <w:b w:val="0"/>
          <w:bCs w:val="0"/>
          <w:iCs/>
          <w:color w:val="auto"/>
          <w:sz w:val="28"/>
          <w:szCs w:val="28"/>
          <w:highlight w:val="none"/>
        </w:rPr>
      </w:pPr>
      <w:r/>
      <w:bookmarkStart w:id="295" w:name="_Toc16111"/>
      <w:r/>
      <w:bookmarkStart w:id="296" w:name="_Toc8563"/>
      <w:r>
        <w:rPr>
          <w:rFonts w:hint="eastAsia" w:ascii="黑体" w:hAnsi="黑体" w:eastAsia="黑体" w:cs="黑体"/>
          <w:b w:val="0"/>
          <w:bCs w:val="0"/>
          <w:iCs/>
          <w:color w:val="auto"/>
          <w:sz w:val="28"/>
          <w:szCs w:val="28"/>
          <w:highlight w:val="none"/>
        </w:rPr>
        <w:t xml:space="preserve">三、</w:t>
      </w:r>
      <w:bookmarkEnd w:id="295"/>
      <w:r>
        <w:rPr>
          <w:rFonts w:hint="eastAsia" w:ascii="黑体" w:hAnsi="黑体" w:eastAsia="黑体" w:cs="黑体"/>
          <w:b w:val="0"/>
          <w:bCs w:val="0"/>
          <w:iCs/>
          <w:color w:val="auto"/>
          <w:sz w:val="28"/>
          <w:szCs w:val="28"/>
          <w:highlight w:val="none"/>
        </w:rPr>
        <w:t xml:space="preserve">有依法缴纳税收和社会保障资金的良好记录</w:t>
      </w:r>
      <w:bookmarkEnd w:id="296"/>
      <w:r/>
      <w:bookmarkEnd w:id="282"/>
      <w:r/>
      <w:bookmarkEnd w:id="283"/>
      <w:r/>
      <w:bookmarkEnd w:id="284"/>
      <w:r/>
      <w:r/>
    </w:p>
    <w:p>
      <w:pPr>
        <w:ind w:firstLine="440"/>
        <w:rPr>
          <w:rFonts w:hint="eastAsia" w:ascii="宋体" w:hAnsi="宋体" w:eastAsia="宋体" w:cs="宋体"/>
          <w:bCs/>
          <w:color w:val="auto"/>
          <w:sz w:val="22"/>
          <w:szCs w:val="20"/>
          <w:highlight w:val="none"/>
        </w:rPr>
      </w:pPr>
      <w:r/>
      <w:bookmarkStart w:id="297" w:name="_Toc120614284"/>
      <w:r/>
      <w:r/>
    </w:p>
    <w:p>
      <w:pPr>
        <w:ind w:firstLine="440"/>
        <w:rPr>
          <w:rFonts w:hint="eastAsia" w:ascii="宋体" w:hAnsi="宋体" w:eastAsia="宋体" w:cs="宋体"/>
          <w:bCs/>
          <w:color w:val="auto"/>
          <w:sz w:val="22"/>
          <w:szCs w:val="20"/>
          <w:highlight w:val="none"/>
        </w:rPr>
      </w:pPr>
      <w:r>
        <w:rPr>
          <w:rFonts w:hint="eastAsia" w:ascii="宋体" w:hAnsi="宋体" w:eastAsia="宋体" w:cs="宋体"/>
          <w:bCs/>
          <w:color w:val="auto"/>
          <w:sz w:val="22"/>
          <w:szCs w:val="20"/>
          <w:highlight w:val="none"/>
        </w:rPr>
      </w:r>
      <w:r/>
    </w:p>
    <w:p>
      <w:pPr>
        <w:ind w:firstLine="440"/>
        <w:keepLines w:val="0"/>
        <w:keepNext w:val="0"/>
        <w:pageBreakBefore w:val="0"/>
        <w:spacing w:line="360" w:lineRule="auto"/>
        <w:widowControl w:val="off"/>
        <w:rPr>
          <w:rFonts w:hint="eastAsia" w:ascii="宋体" w:hAnsi="宋体" w:eastAsia="宋体" w:cs="宋体"/>
          <w:bCs/>
          <w:color w:val="auto"/>
          <w:sz w:val="22"/>
          <w:szCs w:val="20"/>
          <w:highlight w:val="none"/>
          <w:lang w:eastAsia="zh-CN"/>
        </w:rPr>
      </w:pPr>
      <w:r>
        <w:rPr>
          <w:rFonts w:hint="eastAsia" w:ascii="宋体" w:hAnsi="宋体" w:eastAsia="宋体" w:cs="宋体"/>
          <w:bCs/>
          <w:color w:val="auto"/>
          <w:sz w:val="22"/>
          <w:szCs w:val="20"/>
          <w:highlight w:val="none"/>
          <w:lang w:val="en-US" w:eastAsia="zh-CN"/>
        </w:rPr>
        <w:t xml:space="preserve">3.1</w:t>
      </w:r>
      <w:r>
        <w:rPr>
          <w:rFonts w:hint="eastAsia" w:ascii="宋体" w:hAnsi="宋体" w:eastAsia="宋体" w:cs="宋体"/>
          <w:bCs/>
          <w:color w:val="auto"/>
          <w:sz w:val="22"/>
          <w:szCs w:val="20"/>
          <w:highlight w:val="none"/>
        </w:rPr>
        <w:t xml:space="preserve">有依法缴纳税收的良好记录（提供提交响应文件截止时间前1年内至少一个月依法缴纳税收的证明材料。供应商依法享受缓缴、免缴税收的提供证明材料）</w:t>
      </w:r>
      <w:r>
        <w:rPr>
          <w:rFonts w:hint="eastAsia" w:ascii="宋体" w:hAnsi="宋体" w:eastAsia="宋体" w:cs="宋体"/>
          <w:bCs/>
          <w:color w:val="auto"/>
          <w:sz w:val="22"/>
          <w:szCs w:val="20"/>
          <w:highlight w:val="none"/>
          <w:lang w:eastAsia="zh-CN"/>
        </w:rPr>
        <w:t xml:space="preserve">。</w:t>
      </w:r>
      <w:r/>
    </w:p>
    <w:p>
      <w:pPr>
        <w:ind w:firstLine="440"/>
        <w:keepLines w:val="0"/>
        <w:keepNext w:val="0"/>
        <w:pageBreakBefore w:val="0"/>
        <w:spacing w:line="360" w:lineRule="auto"/>
        <w:widowControl w:val="off"/>
        <w:rPr>
          <w:rFonts w:hint="eastAsia" w:ascii="宋体" w:hAnsi="宋体" w:eastAsia="宋体" w:cs="宋体"/>
          <w:bCs/>
          <w:color w:val="auto"/>
          <w:sz w:val="22"/>
          <w:szCs w:val="20"/>
          <w:highlight w:val="none"/>
          <w:lang w:val="en-US" w:eastAsia="zh-CN"/>
        </w:rPr>
      </w:pPr>
      <w:r>
        <w:rPr>
          <w:rFonts w:hint="eastAsia" w:ascii="宋体" w:hAnsi="宋体" w:eastAsia="宋体" w:cs="宋体"/>
          <w:bCs/>
          <w:color w:val="auto"/>
          <w:sz w:val="22"/>
          <w:szCs w:val="20"/>
          <w:highlight w:val="none"/>
          <w:lang w:val="en-US" w:eastAsia="zh-CN"/>
        </w:rPr>
      </w:r>
      <w:r/>
    </w:p>
    <w:p>
      <w:pPr>
        <w:ind w:firstLine="440"/>
        <w:keepLines w:val="0"/>
        <w:keepNext w:val="0"/>
        <w:pageBreakBefore w:val="0"/>
        <w:spacing w:line="360" w:lineRule="auto"/>
        <w:widowControl w:val="off"/>
        <w:rPr>
          <w:rFonts w:hint="eastAsia" w:ascii="宋体" w:hAnsi="宋体" w:eastAsia="宋体" w:cs="宋体"/>
          <w:bCs/>
          <w:color w:val="auto"/>
          <w:sz w:val="22"/>
          <w:szCs w:val="20"/>
          <w:highlight w:val="none"/>
          <w:lang w:val="en-US" w:eastAsia="zh-CN"/>
        </w:rPr>
      </w:pPr>
      <w:r>
        <w:rPr>
          <w:rFonts w:hint="eastAsia" w:ascii="宋体" w:hAnsi="宋体" w:eastAsia="宋体" w:cs="宋体"/>
          <w:bCs/>
          <w:color w:val="auto"/>
          <w:sz w:val="22"/>
          <w:szCs w:val="20"/>
          <w:highlight w:val="none"/>
          <w:lang w:val="en-US" w:eastAsia="zh-CN"/>
        </w:rPr>
      </w:r>
      <w:r/>
    </w:p>
    <w:p>
      <w:pPr>
        <w:ind w:firstLine="440"/>
        <w:keepLines w:val="0"/>
        <w:keepNext w:val="0"/>
        <w:pageBreakBefore w:val="0"/>
        <w:spacing w:line="360" w:lineRule="auto"/>
        <w:widowControl w:val="off"/>
        <w:rPr>
          <w:rFonts w:hint="eastAsia" w:ascii="宋体" w:hAnsi="宋体" w:eastAsia="宋体" w:cs="宋体"/>
          <w:bCs/>
          <w:color w:val="auto"/>
          <w:sz w:val="22"/>
          <w:szCs w:val="20"/>
          <w:highlight w:val="none"/>
        </w:rPr>
      </w:pPr>
      <w:r>
        <w:rPr>
          <w:rFonts w:hint="eastAsia" w:ascii="宋体" w:hAnsi="宋体" w:eastAsia="宋体" w:cs="宋体"/>
          <w:bCs/>
          <w:color w:val="auto"/>
          <w:sz w:val="22"/>
          <w:szCs w:val="20"/>
          <w:highlight w:val="none"/>
          <w:lang w:val="en-US" w:eastAsia="zh-CN"/>
        </w:rPr>
        <w:t xml:space="preserve">3.2</w:t>
      </w:r>
      <w:r>
        <w:rPr>
          <w:rFonts w:hint="eastAsia" w:ascii="宋体" w:hAnsi="宋体" w:eastAsia="宋体" w:cs="宋体"/>
          <w:bCs/>
          <w:color w:val="auto"/>
          <w:sz w:val="22"/>
          <w:szCs w:val="20"/>
          <w:highlight w:val="none"/>
        </w:rPr>
        <w:t xml:space="preserve">有依法缴纳社会保障资金的良好记录（提供提交响应文件截止时间前1年内至少一个月依法缴纳社会保障资金的证明材料。供应商依法享受缓缴、免缴社会保障资金的提供证明材料）。</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5"/>
        <w:ind w:left="0" w:firstLine="0"/>
        <w:jc w:val="both"/>
        <w:spacing w:before="0" w:after="100"/>
        <w:rPr>
          <w:rFonts w:hint="eastAsia" w:ascii="宋体" w:hAnsi="宋体" w:eastAsia="宋体" w:cs="宋体"/>
          <w:iCs/>
          <w:color w:val="auto"/>
          <w:sz w:val="32"/>
          <w:szCs w:val="32"/>
          <w:highlight w:val="none"/>
        </w:rPr>
      </w:pPr>
      <w:r/>
      <w:bookmarkStart w:id="298" w:name="_Toc19161"/>
      <w:r>
        <w:rPr>
          <w:rFonts w:hint="eastAsia" w:ascii="宋体" w:hAnsi="宋体" w:eastAsia="宋体" w:cs="宋体"/>
          <w:iCs/>
          <w:color w:val="auto"/>
          <w:sz w:val="32"/>
          <w:szCs w:val="32"/>
          <w:highlight w:val="none"/>
        </w:rPr>
        <w:br w:type="page" w:clear="all"/>
      </w:r>
      <w:bookmarkStart w:id="299" w:name="_Toc23001"/>
      <w:r>
        <w:rPr>
          <w:rFonts w:hint="eastAsia" w:ascii="黑体" w:hAnsi="黑体" w:eastAsia="黑体" w:cs="黑体"/>
          <w:b w:val="0"/>
          <w:bCs w:val="0"/>
          <w:iCs/>
          <w:color w:val="auto"/>
          <w:sz w:val="28"/>
          <w:szCs w:val="28"/>
          <w:highlight w:val="none"/>
        </w:rPr>
        <w:t xml:space="preserve">四、</w:t>
      </w:r>
      <w:bookmarkEnd w:id="298"/>
      <w:r>
        <w:rPr>
          <w:rFonts w:hint="eastAsia" w:ascii="黑体" w:hAnsi="黑体" w:eastAsia="黑体" w:cs="黑体"/>
          <w:b w:val="0"/>
          <w:bCs w:val="0"/>
          <w:iCs/>
          <w:color w:val="auto"/>
          <w:sz w:val="28"/>
          <w:szCs w:val="28"/>
          <w:highlight w:val="none"/>
        </w:rPr>
        <w:t xml:space="preserve">具备履行合同所必需的设备和专业技术能力的书面声明</w:t>
      </w:r>
      <w:bookmarkEnd w:id="299"/>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致：</w:t>
      </w:r>
      <w:r>
        <w:rPr>
          <w:rFonts w:hint="eastAsia" w:ascii="宋体" w:hAnsi="宋体" w:cs="宋体"/>
          <w:bCs/>
          <w:color w:val="auto"/>
          <w:sz w:val="24"/>
          <w:highlight w:val="none"/>
          <w:lang w:eastAsia="zh-CN"/>
        </w:rPr>
        <w:t xml:space="preserve">南京市人力资源和社会保障信息管理中心</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江苏柒采招标代理有限公司</w:t>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主要设备有：</w:t>
      </w:r>
      <w:r>
        <w:rPr>
          <w:rFonts w:hint="eastAsia" w:ascii="宋体" w:hAnsi="宋体" w:eastAsia="宋体" w:cs="宋体"/>
          <w:bCs/>
          <w:color w:val="auto"/>
          <w:sz w:val="24"/>
          <w:highlight w:val="none"/>
          <w:u w:val="single"/>
        </w:rPr>
        <w:t xml:space="preserve">    </w:t>
      </w:r>
      <w:r>
        <w:rPr>
          <w:rFonts w:hint="eastAsia" w:ascii="宋体" w:hAnsi="宋体" w:eastAsia="宋体" w:cs="宋体"/>
          <w:b/>
          <w:color w:val="auto"/>
          <w:sz w:val="24"/>
          <w:highlight w:val="none"/>
          <w:u w:val="single"/>
        </w:rPr>
        <w:t xml:space="preserve"> （必须填写）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主要专业技术能力有：</w:t>
      </w:r>
      <w:r>
        <w:rPr>
          <w:rFonts w:hint="eastAsia" w:ascii="宋体" w:hAnsi="宋体" w:eastAsia="宋体" w:cs="宋体"/>
          <w:bCs/>
          <w:color w:val="auto"/>
          <w:sz w:val="24"/>
          <w:highlight w:val="none"/>
          <w:u w:val="single"/>
        </w:rPr>
        <w:t xml:space="preserve">      </w:t>
      </w:r>
      <w:r>
        <w:rPr>
          <w:rFonts w:hint="eastAsia" w:ascii="宋体" w:hAnsi="宋体" w:eastAsia="宋体" w:cs="宋体"/>
          <w:b/>
          <w:color w:val="auto"/>
          <w:sz w:val="24"/>
          <w:highlight w:val="none"/>
          <w:u w:val="single"/>
        </w:rPr>
        <w:t xml:space="preserve">（必须填写）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ind w:right="180" w:firstLine="36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w:t>
      </w:r>
      <w:r>
        <w:rPr>
          <w:rFonts w:hint="eastAsia" w:ascii="宋体" w:hAnsi="宋体" w:eastAsia="宋体" w:cs="宋体"/>
          <w:color w:val="auto"/>
          <w:sz w:val="24"/>
          <w:szCs w:val="24"/>
          <w:highlight w:val="none"/>
          <w:lang w:val="en-US" w:eastAsia="zh-CN"/>
        </w:rPr>
        <w:t xml:space="preserve">全称</w:t>
      </w:r>
      <w:r>
        <w:rPr>
          <w:rFonts w:hint="eastAsia" w:ascii="宋体" w:hAnsi="宋体" w:eastAsia="宋体" w:cs="宋体"/>
          <w:color w:val="auto"/>
          <w:sz w:val="24"/>
          <w:szCs w:val="24"/>
          <w:highlight w:val="none"/>
        </w:rPr>
        <w:t xml:space="preserve">（加盖公章）：</w:t>
      </w:r>
      <w:r/>
    </w:p>
    <w:p>
      <w:pPr>
        <w:ind w:right="180" w:firstLine="36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法人或授权代表（签字）：</w:t>
      </w:r>
      <w:r/>
    </w:p>
    <w:p>
      <w:pPr>
        <w:ind w:right="480"/>
        <w:jc w:val="center"/>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                      日  期：</w:t>
      </w:r>
      <w:r>
        <w:rPr>
          <w:rFonts w:hint="eastAsia" w:ascii="宋体" w:hAnsi="宋体" w:eastAsia="宋体" w:cs="宋体"/>
          <w:bCs/>
          <w:color w:val="auto"/>
          <w:sz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35"/>
        <w:ind w:left="0" w:firstLine="0"/>
        <w:jc w:val="both"/>
        <w:spacing w:before="0" w:after="100"/>
        <w:rPr>
          <w:rFonts w:hint="eastAsia" w:ascii="宋体" w:hAnsi="宋体" w:eastAsia="宋体" w:cs="宋体"/>
          <w:b w:val="0"/>
          <w:bCs w:val="0"/>
          <w:color w:val="auto"/>
          <w:sz w:val="36"/>
          <w:szCs w:val="36"/>
          <w:highlight w:val="none"/>
        </w:rPr>
      </w:pPr>
      <w:r/>
      <w:bookmarkStart w:id="300" w:name="_Toc778"/>
      <w:r/>
      <w:bookmarkStart w:id="301" w:name="_Toc25192"/>
      <w:r>
        <w:rPr>
          <w:rFonts w:hint="eastAsia" w:ascii="黑体" w:hAnsi="黑体" w:eastAsia="黑体" w:cs="黑体"/>
          <w:b w:val="0"/>
          <w:bCs w:val="0"/>
          <w:iCs/>
          <w:color w:val="auto"/>
          <w:sz w:val="28"/>
          <w:szCs w:val="28"/>
          <w:highlight w:val="none"/>
        </w:rPr>
        <w:t xml:space="preserve">五、</w:t>
      </w:r>
      <w:bookmarkEnd w:id="300"/>
      <w:r>
        <w:rPr>
          <w:rFonts w:hint="eastAsia" w:ascii="黑体" w:hAnsi="黑体" w:eastAsia="黑体" w:cs="黑体"/>
          <w:b w:val="0"/>
          <w:bCs w:val="0"/>
          <w:iCs/>
          <w:color w:val="auto"/>
          <w:sz w:val="28"/>
          <w:szCs w:val="28"/>
          <w:highlight w:val="none"/>
        </w:rPr>
        <w:t xml:space="preserve">参加政府采购活动前3年内在经营活动中没有重大违法记录的书面声明</w:t>
      </w:r>
      <w:bookmarkEnd w:id="301"/>
      <w:r>
        <w:rPr>
          <w:rFonts w:hint="eastAsia" w:ascii="宋体" w:hAnsi="宋体" w:eastAsia="宋体" w:cs="宋体"/>
          <w:b w:val="0"/>
          <w:bCs w:val="0"/>
          <w:color w:val="auto"/>
          <w:highlight w:val="none"/>
        </w:rPr>
        <w:t xml:space="preserve">      </w:t>
      </w:r>
      <w:r>
        <w:rPr>
          <w:rFonts w:hint="eastAsia" w:ascii="宋体" w:hAnsi="宋体" w:eastAsia="宋体" w:cs="宋体"/>
          <w:b w:val="0"/>
          <w:bCs w:val="0"/>
          <w:color w:val="auto"/>
          <w:sz w:val="36"/>
          <w:szCs w:val="36"/>
          <w:highlight w:val="none"/>
        </w:rPr>
        <w:t xml:space="preserve">    </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致：</w:t>
      </w:r>
      <w:r>
        <w:rPr>
          <w:rFonts w:hint="eastAsia" w:ascii="宋体" w:hAnsi="宋体" w:cs="宋体"/>
          <w:bCs/>
          <w:color w:val="auto"/>
          <w:sz w:val="24"/>
          <w:highlight w:val="none"/>
          <w:lang w:eastAsia="zh-CN"/>
        </w:rPr>
        <w:t xml:space="preserve">南京市人力资源和社会保障信息管理中心</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江苏柒采招标代理有限公司</w:t>
      </w:r>
      <w:r/>
    </w:p>
    <w:p>
      <w:pPr>
        <w:spacing w:line="460" w:lineRule="exact"/>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Cs/>
          <w:color w:val="auto"/>
          <w:sz w:val="24"/>
          <w:highlight w:val="none"/>
        </w:rPr>
        <w:t xml:space="preserve">我单位郑重声明：参加本次政府采购活动前</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年内，我单位在经营活动中没有因违法经营受到刑事处罚或者责令停产停业、吊销许可证或者执照、较大数额罚款等行政处罚。</w:t>
      </w:r>
      <w:r/>
    </w:p>
    <w:p>
      <w:pPr>
        <w:ind w:right="180" w:firstLine="36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w:t>
      </w:r>
      <w:r>
        <w:rPr>
          <w:rFonts w:hint="eastAsia" w:ascii="宋体" w:hAnsi="宋体" w:eastAsia="宋体" w:cs="宋体"/>
          <w:color w:val="auto"/>
          <w:sz w:val="24"/>
          <w:szCs w:val="24"/>
          <w:highlight w:val="none"/>
          <w:lang w:val="en-US" w:eastAsia="zh-CN"/>
        </w:rPr>
        <w:t xml:space="preserve">全称</w:t>
      </w:r>
      <w:r>
        <w:rPr>
          <w:rFonts w:hint="eastAsia" w:ascii="宋体" w:hAnsi="宋体" w:eastAsia="宋体" w:cs="宋体"/>
          <w:color w:val="auto"/>
          <w:sz w:val="24"/>
          <w:szCs w:val="24"/>
          <w:highlight w:val="none"/>
        </w:rPr>
        <w:t xml:space="preserve">（加盖公章）：</w:t>
      </w:r>
      <w:r/>
    </w:p>
    <w:p>
      <w:pPr>
        <w:ind w:right="180" w:firstLine="36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法人或授权代表（签字）：</w:t>
      </w:r>
      <w:r/>
    </w:p>
    <w:p>
      <w:pPr>
        <w:ind w:right="48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pStyle w:val="1135"/>
        <w:jc w:val="both"/>
        <w:spacing w:before="0" w:after="100"/>
        <w:rPr>
          <w:rFonts w:hint="eastAsia" w:ascii="宋体" w:hAnsi="宋体" w:eastAsia="宋体" w:cs="宋体"/>
          <w:iCs/>
          <w:color w:val="auto"/>
          <w:sz w:val="32"/>
          <w:szCs w:val="32"/>
          <w:highlight w:val="none"/>
        </w:rPr>
      </w:pPr>
      <w:r/>
      <w:bookmarkStart w:id="302" w:name="_Toc17108"/>
      <w:r>
        <w:rPr>
          <w:rFonts w:hint="eastAsia" w:ascii="宋体" w:hAnsi="宋体" w:eastAsia="宋体" w:cs="宋体"/>
          <w:iCs/>
          <w:color w:val="auto"/>
          <w:sz w:val="32"/>
          <w:szCs w:val="32"/>
          <w:highlight w:val="none"/>
        </w:rPr>
        <w:br w:type="page" w:clear="all"/>
      </w:r>
      <w:bookmarkStart w:id="303" w:name="_Toc28583"/>
      <w:r>
        <w:rPr>
          <w:rFonts w:hint="eastAsia" w:ascii="黑体" w:hAnsi="黑体" w:eastAsia="黑体" w:cs="黑体"/>
          <w:b w:val="0"/>
          <w:bCs w:val="0"/>
          <w:iCs/>
          <w:color w:val="auto"/>
          <w:sz w:val="28"/>
          <w:szCs w:val="28"/>
          <w:highlight w:val="none"/>
        </w:rPr>
        <w:t xml:space="preserve">六、</w:t>
      </w:r>
      <w:bookmarkEnd w:id="302"/>
      <w:r>
        <w:rPr>
          <w:rFonts w:hint="eastAsia" w:ascii="黑体" w:hAnsi="黑体" w:eastAsia="黑体" w:cs="黑体"/>
          <w:b w:val="0"/>
          <w:bCs w:val="0"/>
          <w:iCs/>
          <w:color w:val="auto"/>
          <w:sz w:val="28"/>
          <w:szCs w:val="28"/>
          <w:highlight w:val="none"/>
        </w:rPr>
        <w:t xml:space="preserve">法律、行政法规规定的其他条件</w:t>
      </w:r>
      <w:bookmarkEnd w:id="303"/>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keepLines w:val="0"/>
        <w:keepNext w:val="0"/>
        <w:pageBreakBefore w:val="0"/>
        <w:spacing w:line="360" w:lineRule="auto"/>
        <w:widowControl w:val="off"/>
        <w:rPr>
          <w:rFonts w:hint="eastAsia" w:ascii="黑体" w:hAnsi="黑体" w:eastAsia="黑体" w:cs="黑体"/>
          <w:b w:val="0"/>
          <w:bCs w:val="0"/>
          <w:iCs/>
          <w:color w:val="auto"/>
          <w:sz w:val="28"/>
          <w:szCs w:val="28"/>
          <w:highlight w:val="none"/>
          <w:lang w:val="en-US" w:eastAsia="zh-CN" w:bidi="ar-SA"/>
        </w:rPr>
        <w:outlineLvl w:val="1"/>
      </w:pPr>
      <w:r/>
      <w:bookmarkStart w:id="304" w:name="_Toc24215"/>
      <w:r>
        <w:rPr>
          <w:rFonts w:hint="eastAsia" w:ascii="黑体" w:hAnsi="黑体" w:eastAsia="黑体" w:cs="黑体"/>
          <w:b w:val="0"/>
          <w:bCs w:val="0"/>
          <w:iCs/>
          <w:color w:val="auto"/>
          <w:sz w:val="28"/>
          <w:szCs w:val="28"/>
          <w:highlight w:val="none"/>
          <w:lang w:val="en-US" w:eastAsia="zh-CN" w:bidi="ar-SA"/>
        </w:rPr>
        <w:t xml:space="preserve">七、特定资格要求</w:t>
      </w:r>
      <w:bookmarkEnd w:id="304"/>
      <w:r/>
      <w:r/>
    </w:p>
    <w:p>
      <w:pPr>
        <w:pStyle w:val="1135"/>
        <w:jc w:val="both"/>
        <w:spacing w:before="0" w:after="100"/>
        <w:rPr>
          <w:rFonts w:hint="eastAsia" w:ascii="宋体" w:hAnsi="宋体" w:eastAsia="宋体" w:cs="宋体"/>
          <w:iCs/>
          <w:color w:val="auto"/>
          <w:sz w:val="32"/>
          <w:szCs w:val="32"/>
          <w:highlight w:val="none"/>
        </w:rPr>
      </w:pPr>
      <w:r/>
      <w:bookmarkStart w:id="305" w:name="_Toc5587"/>
      <w:r>
        <w:rPr>
          <w:rFonts w:hint="eastAsia" w:ascii="宋体" w:hAnsi="宋体" w:eastAsia="宋体" w:cs="宋体"/>
          <w:iCs/>
          <w:color w:val="auto"/>
          <w:sz w:val="32"/>
          <w:szCs w:val="32"/>
          <w:highlight w:val="none"/>
          <w:lang w:val="en-US" w:eastAsia="zh-CN"/>
        </w:rPr>
        <w:t xml:space="preserve">无</w:t>
      </w:r>
      <w:r>
        <w:rPr>
          <w:rFonts w:hint="eastAsia" w:ascii="宋体" w:hAnsi="宋体" w:eastAsia="宋体" w:cs="宋体"/>
          <w:iCs/>
          <w:color w:val="auto"/>
          <w:sz w:val="32"/>
          <w:szCs w:val="32"/>
          <w:highlight w:val="none"/>
        </w:rPr>
        <w:br w:type="page" w:clear="all"/>
      </w:r>
      <w:bookmarkStart w:id="306" w:name="_Toc27507"/>
      <w:r>
        <w:rPr>
          <w:rFonts w:hint="eastAsia" w:ascii="黑体" w:hAnsi="黑体" w:eastAsia="黑体" w:cs="黑体"/>
          <w:b w:val="0"/>
          <w:bCs w:val="0"/>
          <w:iCs/>
          <w:color w:val="auto"/>
          <w:sz w:val="28"/>
          <w:szCs w:val="28"/>
          <w:highlight w:val="none"/>
          <w:lang w:val="en-US" w:eastAsia="zh-CN"/>
        </w:rPr>
        <w:t xml:space="preserve">八</w:t>
      </w:r>
      <w:r>
        <w:rPr>
          <w:rFonts w:hint="eastAsia" w:ascii="黑体" w:hAnsi="黑体" w:eastAsia="黑体" w:cs="黑体"/>
          <w:b w:val="0"/>
          <w:bCs w:val="0"/>
          <w:iCs/>
          <w:color w:val="auto"/>
          <w:sz w:val="28"/>
          <w:szCs w:val="28"/>
          <w:highlight w:val="none"/>
        </w:rPr>
        <w:t xml:space="preserve">、承诺函</w:t>
      </w:r>
      <w:bookmarkEnd w:id="306"/>
      <w:r/>
      <w:r/>
    </w:p>
    <w:p>
      <w:pPr>
        <w:spacing w:line="4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致：</w:t>
      </w:r>
      <w:r>
        <w:rPr>
          <w:rFonts w:hint="eastAsia" w:ascii="黑体" w:hAnsi="黑体" w:eastAsia="黑体" w:cs="黑体"/>
          <w:bCs/>
          <w:color w:val="auto"/>
          <w:sz w:val="24"/>
          <w:highlight w:val="none"/>
          <w:lang w:eastAsia="zh-CN"/>
        </w:rPr>
        <w:t xml:space="preserve">南京市人力资源和社会保障信息管理中心、</w:t>
      </w:r>
      <w:r>
        <w:rPr>
          <w:rFonts w:hint="eastAsia" w:ascii="黑体" w:hAnsi="黑体" w:eastAsia="黑体" w:cs="黑体"/>
          <w:bCs/>
          <w:color w:val="auto"/>
          <w:sz w:val="24"/>
          <w:highlight w:val="none"/>
        </w:rPr>
        <w:t xml:space="preserve">江苏柒采招标代理有限公司</w:t>
      </w:r>
      <w:r/>
    </w:p>
    <w:p>
      <w:pPr>
        <w:ind w:firstLine="440"/>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根据贵方</w:t>
      </w:r>
      <w:r>
        <w:rPr>
          <w:rFonts w:hint="eastAsia" w:ascii="宋体" w:hAnsi="宋体" w:eastAsia="宋体" w:cs="宋体"/>
          <w:color w:val="auto"/>
          <w:sz w:val="22"/>
          <w:szCs w:val="22"/>
          <w:highlight w:val="none"/>
          <w:u w:val="single"/>
        </w:rPr>
        <w:t xml:space="preserve">（项目名称）（项目编号）</w:t>
      </w:r>
      <w:r>
        <w:rPr>
          <w:rFonts w:hint="eastAsia" w:ascii="宋体" w:hAnsi="宋体" w:eastAsia="宋体" w:cs="宋体"/>
          <w:color w:val="auto"/>
          <w:sz w:val="22"/>
          <w:szCs w:val="22"/>
          <w:highlight w:val="none"/>
        </w:rPr>
        <w:t xml:space="preserve">竞争性磋商公告，我公司郑重承诺：</w:t>
      </w:r>
      <w:r/>
    </w:p>
    <w:p>
      <w:pPr>
        <w:ind w:firstLine="440"/>
        <w:spacing w:line="48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1.在参加本次政府采购活动中</w:t>
      </w:r>
      <w:r>
        <w:rPr>
          <w:rFonts w:hint="eastAsia" w:ascii="宋体" w:hAnsi="宋体" w:eastAsia="宋体" w:cs="宋体"/>
          <w:b/>
          <w:bCs/>
          <w:color w:val="auto"/>
          <w:sz w:val="22"/>
          <w:szCs w:val="22"/>
          <w:highlight w:val="none"/>
          <w:u w:val="single"/>
          <w:lang w:val="en-US" w:eastAsia="zh-CN"/>
        </w:rPr>
        <w:t xml:space="preserve"> 不存在 </w:t>
      </w:r>
      <w:r>
        <w:rPr>
          <w:rFonts w:hint="eastAsia" w:ascii="宋体" w:hAnsi="宋体" w:eastAsia="宋体" w:cs="宋体"/>
          <w:color w:val="auto"/>
          <w:sz w:val="22"/>
          <w:szCs w:val="22"/>
          <w:highlight w:val="none"/>
          <w:lang w:val="en-US" w:eastAsia="zh-CN"/>
        </w:rPr>
        <w:t xml:space="preserve">以下情况：</w:t>
      </w:r>
      <w:r/>
    </w:p>
    <w:p>
      <w:pPr>
        <w:ind w:firstLine="440"/>
        <w:spacing w:line="48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（1）负责人为同一人或者存在直接控股、管理关系的不同供应商，不得参加同一合同项下的政府采购活动。</w:t>
      </w:r>
      <w:r/>
    </w:p>
    <w:p>
      <w:pPr>
        <w:ind w:firstLine="440"/>
        <w:spacing w:line="48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（2）供应商被“信用中国”（www.creditchina.gov.cn）、“中国政府采购网”（www.ccgp.gov.cn）等网站列入失信被执行人、重大税收违法案件当事人名单、政府采购严重违法失信行为记录名单。</w:t>
      </w:r>
      <w:r/>
    </w:p>
    <w:p>
      <w:pPr>
        <w:ind w:firstLine="440"/>
        <w:spacing w:line="48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（3）为采购项目提供整体设计、规范编制或者项目管理、监理、检测等服务的供应商参加本项目的采购活动。</w:t>
      </w:r>
      <w:r/>
    </w:p>
    <w:p>
      <w:pPr>
        <w:ind w:firstLine="440"/>
        <w:spacing w:line="48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2.本项目不以联合体形式参与投标，不转包、不分包。</w:t>
      </w:r>
      <w:r/>
    </w:p>
    <w:p>
      <w:pPr>
        <w:ind w:firstLine="440"/>
        <w:spacing w:line="480" w:lineRule="auto"/>
        <w:rPr>
          <w:rFonts w:hint="eastAsia" w:ascii="宋体" w:hAnsi="宋体" w:eastAsia="宋体" w:cs="宋体"/>
          <w:color w:val="auto"/>
          <w:highlight w:val="none"/>
        </w:rPr>
      </w:pPr>
      <w:r>
        <w:rPr>
          <w:rFonts w:hint="eastAsia" w:ascii="宋体" w:hAnsi="宋体" w:eastAsia="宋体" w:cs="宋体"/>
          <w:color w:val="auto"/>
          <w:sz w:val="22"/>
          <w:szCs w:val="22"/>
          <w:highlight w:val="none"/>
          <w:lang w:val="en-US" w:eastAsia="zh-CN"/>
        </w:rPr>
        <w:t xml:space="preserve">3.本项目不提供进口产品参与投标。</w:t>
      </w:r>
      <w:r/>
    </w:p>
    <w:p>
      <w:pPr>
        <w:ind w:firstLine="440"/>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特此承诺！</w:t>
      </w:r>
      <w:r/>
    </w:p>
    <w:p>
      <w:pPr>
        <w:ind w:right="180" w:firstLine="36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w:t>
      </w:r>
      <w:r>
        <w:rPr>
          <w:rFonts w:hint="eastAsia" w:ascii="宋体" w:hAnsi="宋体" w:eastAsia="宋体" w:cs="宋体"/>
          <w:color w:val="auto"/>
          <w:sz w:val="24"/>
          <w:szCs w:val="24"/>
          <w:highlight w:val="none"/>
          <w:lang w:val="en-US" w:eastAsia="zh-CN"/>
        </w:rPr>
        <w:t xml:space="preserve">全称</w:t>
      </w:r>
      <w:r>
        <w:rPr>
          <w:rFonts w:hint="eastAsia" w:ascii="宋体" w:hAnsi="宋体" w:eastAsia="宋体" w:cs="宋体"/>
          <w:color w:val="auto"/>
          <w:sz w:val="24"/>
          <w:szCs w:val="24"/>
          <w:highlight w:val="none"/>
        </w:rPr>
        <w:t xml:space="preserve">（加盖公章）：</w:t>
      </w:r>
      <w:r/>
    </w:p>
    <w:p>
      <w:pPr>
        <w:ind w:right="180" w:firstLine="36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法人或授权代表（签字）：</w:t>
      </w:r>
      <w:r/>
    </w:p>
    <w:p>
      <w:pPr>
        <w:ind w:right="48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4"/>
          <w:szCs w:val="24"/>
          <w:highlight w:val="none"/>
          <w:lang w:eastAsia="zh-CN"/>
        </w:rPr>
        <w:br w:type="page" w:clear="all"/>
      </w:r>
      <w:bookmarkStart w:id="307" w:name="_Toc14519"/>
      <w:r/>
      <w:bookmarkStart w:id="308" w:name="_Toc7879"/>
      <w:r>
        <w:rPr>
          <w:rFonts w:hint="eastAsia" w:ascii="黑体" w:hAnsi="黑体" w:eastAsia="黑体" w:cs="黑体"/>
          <w:b w:val="0"/>
          <w:bCs w:val="0"/>
          <w:color w:val="auto"/>
          <w:sz w:val="28"/>
          <w:szCs w:val="28"/>
          <w:highlight w:val="none"/>
          <w:lang w:val="en-US" w:eastAsia="zh-CN"/>
        </w:rPr>
        <w:t xml:space="preserve">九</w:t>
      </w:r>
      <w:r>
        <w:rPr>
          <w:rFonts w:hint="eastAsia" w:ascii="黑体" w:hAnsi="黑体" w:eastAsia="黑体" w:cs="黑体"/>
          <w:b w:val="0"/>
          <w:bCs w:val="0"/>
          <w:color w:val="auto"/>
          <w:sz w:val="28"/>
          <w:szCs w:val="28"/>
          <w:highlight w:val="none"/>
        </w:rPr>
        <w:t xml:space="preserve">、</w:t>
      </w:r>
      <w:bookmarkEnd w:id="307"/>
      <w:r>
        <w:rPr>
          <w:rFonts w:hint="eastAsia" w:ascii="黑体" w:hAnsi="黑体" w:eastAsia="黑体" w:cs="黑体"/>
          <w:b w:val="0"/>
          <w:bCs w:val="0"/>
          <w:color w:val="auto"/>
          <w:sz w:val="28"/>
          <w:szCs w:val="28"/>
          <w:highlight w:val="none"/>
        </w:rPr>
        <w:t xml:space="preserve">南京市政府采购供应商信用记录表暨信用承诺书</w:t>
      </w:r>
      <w:bookmarkEnd w:id="308"/>
      <w:r/>
      <w:r/>
    </w:p>
    <w:p>
      <w:pPr>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应当事先登录“信用南京”（http://njcredit.nanjing.gov.cn</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或“南京公共采购信息网”（https://njgc.jfh.com</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在</w:t>
      </w:r>
      <w:r>
        <w:rPr>
          <w:rFonts w:hint="eastAsia" w:ascii="宋体" w:hAnsi="宋体" w:eastAsia="宋体" w:cs="宋体"/>
          <w:b/>
          <w:bCs/>
          <w:color w:val="auto"/>
          <w:sz w:val="28"/>
          <w:szCs w:val="28"/>
          <w:highlight w:val="none"/>
        </w:rPr>
        <w:t xml:space="preserve">供应商诚信档案管理系统中打印的“南京市政府采购供应商信用记录表暨信用承诺书”。</w:t>
      </w:r>
      <w:r/>
    </w:p>
    <w:tbl>
      <w:tblPr>
        <w:tblStyle w:val="958"/>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248"/>
        <w:gridCol w:w="1248"/>
        <w:gridCol w:w="1248"/>
        <w:gridCol w:w="4994"/>
      </w:tblGrid>
      <w:tr>
        <w:trPr>
          <w:trHeight w:val="740"/>
        </w:trPr>
        <w:tc>
          <w:tcPr>
            <w:gridSpan w:val="4"/>
            <w:tcBorders>
              <w:top w:val="none" w:color="000000" w:sz="4" w:space="0"/>
              <w:left w:val="none" w:color="000000" w:sz="4" w:space="0"/>
              <w:bottom w:val="none" w:color="000000" w:sz="4" w:space="0"/>
              <w:right w:val="none" w:color="000000" w:sz="4" w:space="0"/>
            </w:tcBorders>
            <w:tcW w:w="8738"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南京市政府采购供应商信用记录表暨信用承诺书格式</w:t>
            </w:r>
            <w:r/>
          </w:p>
        </w:tc>
      </w:tr>
      <w:tr>
        <w:trPr>
          <w:trHeight w:val="420"/>
        </w:trPr>
        <w:tc>
          <w:tcPr>
            <w:gridSpan w:val="4"/>
            <w:tcBorders>
              <w:top w:val="none" w:color="000000" w:sz="4" w:space="0"/>
              <w:left w:val="none" w:color="000000" w:sz="4" w:space="0"/>
              <w:bottom w:val="none" w:color="000000" w:sz="4" w:space="0"/>
              <w:right w:val="none" w:color="000000" w:sz="4" w:space="0"/>
            </w:tcBorders>
            <w:tcW w:w="8738" w:type="dxa"/>
            <w:vAlign w:val="center"/>
            <w:textDirection w:val="lrTb"/>
            <w:noWrap/>
          </w:tcPr>
          <w:p>
            <w:pPr>
              <w:jc w:val="righ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 月 日</w:t>
            </w:r>
            <w:r/>
          </w:p>
        </w:tc>
      </w:tr>
      <w:tr>
        <w:trPr>
          <w:trHeight w:val="365"/>
        </w:trPr>
        <w:tc>
          <w:tcPr>
            <w:shd w:val="clear" w:color="auto" w:fill="ffffff"/>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单位名称</w:t>
            </w:r>
            <w:r/>
          </w:p>
        </w:tc>
        <w:tc>
          <w:tcPr>
            <w:shd w:val="clear" w:color="auto" w:fill="ffffff"/>
            <w:tcBorders>
              <w:top w:val="single" w:color="000000" w:sz="4" w:space="0"/>
              <w:left w:val="single" w:color="000000" w:sz="4" w:space="0"/>
              <w:bottom w:val="single" w:color="000000" w:sz="4" w:space="0"/>
              <w:right w:val="single" w:color="000000" w:sz="4" w:space="0"/>
            </w:tcBorders>
            <w:tcW w:w="1248" w:type="dxa"/>
            <w:vAlign w:val="top"/>
            <w:textDirection w:val="lrTb"/>
            <w:noWrap w:val="false"/>
          </w:tcPr>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统一社会信用码</w:t>
            </w:r>
            <w:r/>
          </w:p>
        </w:tc>
        <w:tc>
          <w:tcPr>
            <w:shd w:val="clear" w:color="auto" w:fill="ffffff"/>
            <w:tcBorders>
              <w:top w:val="single" w:color="000000" w:sz="4" w:space="0"/>
              <w:left w:val="single" w:color="000000" w:sz="4" w:space="0"/>
              <w:bottom w:val="single" w:color="000000" w:sz="4" w:space="0"/>
              <w:right w:val="single" w:color="000000" w:sz="4" w:space="0"/>
            </w:tcBorders>
            <w:tcW w:w="1253" w:type="dxa"/>
            <w:vAlign w:val="top"/>
            <w:textDirection w:val="lrTb"/>
            <w:noWrap w:val="false"/>
          </w:tcPr>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1248" w:type="dxa"/>
            <w:vAlign w:val="bottom"/>
            <w:textDirection w:val="lrTb"/>
            <w:noWrap w:val="false"/>
          </w:tcPr>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法定代表人</w:t>
            </w:r>
            <w:r/>
          </w:p>
        </w:tc>
        <w:tc>
          <w:tcPr>
            <w:shd w:val="clear" w:color="auto" w:fill="ffffff"/>
            <w:tcBorders>
              <w:top w:val="single" w:color="000000" w:sz="4" w:space="0"/>
              <w:left w:val="single" w:color="000000" w:sz="4" w:space="0"/>
              <w:bottom w:val="single" w:color="000000" w:sz="4" w:space="0"/>
              <w:right w:val="single" w:color="000000" w:sz="4" w:space="0"/>
            </w:tcBorders>
            <w:tcW w:w="1248" w:type="dxa"/>
            <w:vAlign w:val="top"/>
            <w:textDirection w:val="lrTb"/>
            <w:noWrap w:val="false"/>
          </w:tcPr>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8" w:type="dxa"/>
            <w:vAlign w:val="bottom"/>
            <w:textDirection w:val="lrTb"/>
            <w:noWrap w:val="false"/>
          </w:tcPr>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联系人</w:t>
            </w:r>
            <w:r/>
          </w:p>
        </w:tc>
        <w:tc>
          <w:tcPr>
            <w:shd w:val="clear" w:color="auto" w:fill="ffffff"/>
            <w:tcBorders>
              <w:top w:val="single" w:color="000000" w:sz="4" w:space="0"/>
              <w:left w:val="single" w:color="000000" w:sz="4" w:space="0"/>
              <w:bottom w:val="single" w:color="000000" w:sz="4" w:space="0"/>
              <w:right w:val="single" w:color="000000" w:sz="4" w:space="0"/>
            </w:tcBorders>
            <w:tcW w:w="1253" w:type="dxa"/>
            <w:vAlign w:val="top"/>
            <w:textDirection w:val="lrTb"/>
            <w:noWrap w:val="false"/>
          </w:tcPr>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252"/>
        </w:trPr>
        <w:tc>
          <w:tcPr>
            <w:shd w:val="clear" w:color="auto" w:fill="ffffff"/>
            <w:tcBorders>
              <w:top w:val="single" w:color="000000" w:sz="4" w:space="0"/>
              <w:left w:val="single" w:color="000000" w:sz="4" w:space="0"/>
              <w:bottom w:val="single" w:color="000000" w:sz="4" w:space="0"/>
              <w:right w:val="single" w:color="000000" w:sz="4" w:space="0"/>
            </w:tcBorders>
            <w:tcW w:w="1248" w:type="dxa"/>
            <w:vAlign w:val="bottom"/>
            <w:textDirection w:val="lrTb"/>
            <w:noWrap w:val="false"/>
          </w:tcPr>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联系地址</w:t>
            </w:r>
            <w:r/>
          </w:p>
        </w:tc>
        <w:tc>
          <w:tcPr>
            <w:shd w:val="clear" w:color="auto" w:fill="ffffff"/>
            <w:tcBorders>
              <w:top w:val="single" w:color="000000" w:sz="4" w:space="0"/>
              <w:left w:val="single" w:color="000000" w:sz="4" w:space="0"/>
              <w:bottom w:val="single" w:color="000000" w:sz="4" w:space="0"/>
              <w:right w:val="single" w:color="000000" w:sz="4" w:space="0"/>
            </w:tcBorders>
            <w:tcW w:w="1248" w:type="dxa"/>
            <w:vAlign w:val="top"/>
            <w:textDirection w:val="lrTb"/>
            <w:noWrap w:val="false"/>
          </w:tcPr>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8" w:type="dxa"/>
            <w:vAlign w:val="bottom"/>
            <w:textDirection w:val="lrTb"/>
            <w:noWrap w:val="false"/>
          </w:tcPr>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联系电话</w:t>
            </w:r>
            <w:r/>
          </w:p>
        </w:tc>
        <w:tc>
          <w:tcPr>
            <w:shd w:val="clear" w:color="auto" w:fill="ffffff"/>
            <w:tcBorders>
              <w:top w:val="single" w:color="000000" w:sz="4" w:space="0"/>
              <w:left w:val="single" w:color="000000" w:sz="4" w:space="0"/>
              <w:bottom w:val="single" w:color="000000" w:sz="4" w:space="0"/>
              <w:right w:val="single" w:color="000000" w:sz="4" w:space="0"/>
            </w:tcBorders>
            <w:tcW w:w="1253" w:type="dxa"/>
            <w:vAlign w:val="top"/>
            <w:textDirection w:val="lrTb"/>
            <w:noWrap w:val="false"/>
          </w:tcPr>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922"/>
        </w:trPr>
        <w:tc>
          <w:tcPr>
            <w:shd w:val="clear" w:color="auto" w:fill="ffffff"/>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诚信档案记录情况</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557" w:type="dxa"/>
            <w:vAlign w:val="top"/>
            <w:textDirection w:val="lrTb"/>
            <w:noWrap w:val="false"/>
          </w:tcPr>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3460"/>
        </w:trPr>
        <w:tc>
          <w:tcPr>
            <w:shd w:val="clear" w:color="auto" w:fill="ffffff"/>
            <w:tcBorders>
              <w:top w:val="single" w:color="000000" w:sz="4" w:space="0"/>
              <w:left w:val="single" w:color="000000" w:sz="4" w:space="0"/>
              <w:bottom w:val="single" w:color="000000" w:sz="4" w:space="0"/>
              <w:right w:val="none" w:color="000000" w:sz="4" w:space="0"/>
            </w:tcBorders>
            <w:tcW w:w="1248" w:type="dxa"/>
            <w:vAlign w:val="center"/>
            <w:vMerge w:val="restart"/>
            <w:textDirection w:val="lrTb"/>
            <w:noWrap w:val="false"/>
          </w:tcPr>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信用承诺</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6557" w:type="dxa"/>
            <w:vAlign w:val="top"/>
            <w:textDirection w:val="lrTb"/>
            <w:noWrap w:val="false"/>
          </w:tcPr>
          <w:p>
            <w:pPr>
              <w:ind w:firstLine="56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我公司自愿参加贵中心（公司）组织的本次采购活动，严格 遵守《中华人民政府采购法》及相关</w:t>
            </w:r>
            <w:r>
              <w:rPr>
                <w:rFonts w:hint="eastAsia" w:ascii="宋体" w:hAnsi="宋体" w:eastAsia="宋体" w:cs="宋体"/>
                <w:color w:val="auto"/>
                <w:sz w:val="28"/>
                <w:szCs w:val="28"/>
                <w:highlight w:val="none"/>
              </w:rPr>
              <w:t xml:space="preserve">法律法规，坚守公开、公平、公正和诚实信用的原则，依法诚信经营，无条件遵守本次比选活动的各项规定。我们郑重承诺，本公司符合《政府釆购法》第二十二条规定的条件，包括：具有独立承担民事责任的能力；具有良好的商业信誉和健全的财务会计制度；具有履行合同所必需的设备和专业技术能力；具有依法缴纳税收和社会保障资金的良好记录；参加本次比选活动前三年内，在经营活动中没有重大违法记录；符合法律、行政法规和采购文件规定的其他条件。如有弄虚作假或其他违法违规行为，应承担一切法律责任，接受各级政府采购监管部门和有权机关的审查和处罚。</w:t>
            </w:r>
            <w:r/>
          </w:p>
        </w:tc>
      </w:tr>
      <w:tr>
        <w:trPr>
          <w:trHeight w:val="300"/>
        </w:trPr>
        <w:tc>
          <w:tcPr>
            <w:shd w:val="clear" w:color="auto" w:fill="ffffff"/>
            <w:tcBorders>
              <w:top w:val="single" w:color="000000" w:sz="4" w:space="0"/>
              <w:left w:val="single" w:color="000000" w:sz="4" w:space="0"/>
              <w:bottom w:val="single" w:color="000000" w:sz="4" w:space="0"/>
              <w:right w:val="none" w:color="000000" w:sz="4" w:space="0"/>
            </w:tcBorders>
            <w:tcW w:w="1248" w:type="dxa"/>
            <w:vAlign w:val="center"/>
            <w:vMerge w:val="continue"/>
            <w:textDirection w:val="lrTb"/>
            <w:noWrap w:val="false"/>
          </w:tcPr>
          <w:p>
            <w:pPr>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gridSpan w:val="3"/>
            <w:shd w:val="clear" w:color="auto" w:fill="ffffff"/>
            <w:tcBorders>
              <w:top w:val="none" w:color="000000" w:sz="4" w:space="0"/>
              <w:left w:val="single" w:color="000000" w:sz="4" w:space="0"/>
              <w:bottom w:val="none" w:color="000000" w:sz="4" w:space="0"/>
              <w:right w:val="single" w:color="000000" w:sz="4" w:space="0"/>
            </w:tcBorders>
            <w:tcW w:w="6557" w:type="dxa"/>
            <w:vAlign w:val="top"/>
            <w:textDirection w:val="lrTb"/>
            <w:noWrap w:val="false"/>
          </w:tcPr>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供应商名称（盖章）：</w:t>
            </w:r>
            <w:r/>
          </w:p>
        </w:tc>
      </w:tr>
      <w:tr>
        <w:trPr>
          <w:trHeight w:val="300"/>
        </w:trPr>
        <w:tc>
          <w:tcPr>
            <w:shd w:val="clear" w:color="auto" w:fill="ffffff"/>
            <w:tcBorders>
              <w:top w:val="single" w:color="000000" w:sz="4" w:space="0"/>
              <w:left w:val="single" w:color="000000" w:sz="4" w:space="0"/>
              <w:bottom w:val="single" w:color="000000" w:sz="4" w:space="0"/>
              <w:right w:val="none" w:color="000000" w:sz="4" w:space="0"/>
            </w:tcBorders>
            <w:tcW w:w="1248" w:type="dxa"/>
            <w:vAlign w:val="center"/>
            <w:vMerge w:val="continue"/>
            <w:textDirection w:val="lrTb"/>
            <w:noWrap w:val="false"/>
          </w:tcPr>
          <w:p>
            <w:pPr>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gridSpan w:val="3"/>
            <w:shd w:val="clear" w:color="auto" w:fill="ffffff"/>
            <w:tcBorders>
              <w:top w:val="none" w:color="000000" w:sz="4" w:space="0"/>
              <w:left w:val="single" w:color="000000" w:sz="4" w:space="0"/>
              <w:bottom w:val="none" w:color="000000" w:sz="4" w:space="0"/>
              <w:right w:val="single" w:color="000000" w:sz="4" w:space="0"/>
            </w:tcBorders>
            <w:tcW w:w="6557" w:type="dxa"/>
            <w:vAlign w:val="top"/>
            <w:textDirection w:val="lrTb"/>
            <w:noWrap w:val="false"/>
          </w:tcPr>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法定代表人（签字）：</w:t>
            </w:r>
            <w:r/>
          </w:p>
        </w:tc>
      </w:tr>
      <w:tr>
        <w:trPr>
          <w:trHeight w:val="90"/>
        </w:trPr>
        <w:tc>
          <w:tcPr>
            <w:shd w:val="clear" w:color="auto" w:fill="ffffff"/>
            <w:tcBorders>
              <w:top w:val="single" w:color="000000" w:sz="4" w:space="0"/>
              <w:left w:val="single" w:color="000000" w:sz="4" w:space="0"/>
              <w:bottom w:val="single" w:color="000000" w:sz="4" w:space="0"/>
              <w:right w:val="none" w:color="000000" w:sz="4" w:space="0"/>
            </w:tcBorders>
            <w:tcW w:w="1248" w:type="dxa"/>
            <w:vAlign w:val="center"/>
            <w:vMerge w:val="continue"/>
            <w:textDirection w:val="lrTb"/>
            <w:noWrap w:val="false"/>
          </w:tcPr>
          <w:p>
            <w:pPr>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gridSpan w:val="3"/>
            <w:shd w:val="clear" w:color="auto" w:fill="ffffff"/>
            <w:tcBorders>
              <w:top w:val="none" w:color="000000" w:sz="4" w:space="0"/>
              <w:left w:val="single" w:color="000000" w:sz="4" w:space="0"/>
              <w:bottom w:val="single" w:color="000000" w:sz="4" w:space="0"/>
              <w:right w:val="single" w:color="000000" w:sz="4" w:space="0"/>
            </w:tcBorders>
            <w:tcW w:w="6557" w:type="dxa"/>
            <w:vAlign w:val="top"/>
            <w:textDirection w:val="lrTb"/>
            <w:noWrap w:val="false"/>
          </w:tcPr>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二〇二</w:t>
            </w:r>
            <w:r>
              <w:rPr>
                <w:rFonts w:hint="eastAsia" w:ascii="宋体" w:hAnsi="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年 月 日</w:t>
            </w:r>
            <w:r/>
          </w:p>
        </w:tc>
      </w:tr>
    </w:tbl>
    <w:p>
      <w:pPr>
        <w:numPr>
          <w:ilvl w:val="1"/>
          <w:numId w:val="0"/>
        </w:num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注：1、供应商对信用承诺内容的真实性、合法性、有效性负责。</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2、上述所列资格证明文件为必须提供内容，未提供或未提供有效材料的，将不能通过</w:t>
      </w:r>
      <w:r>
        <w:rPr>
          <w:rFonts w:hint="eastAsia" w:ascii="宋体" w:hAnsi="宋体" w:eastAsia="宋体" w:cs="宋体"/>
          <w:color w:val="auto"/>
          <w:sz w:val="24"/>
          <w:highlight w:val="none"/>
          <w:lang w:eastAsia="zh-CN"/>
        </w:rPr>
        <w:t xml:space="preserve">资格</w:t>
      </w:r>
      <w:r>
        <w:rPr>
          <w:rFonts w:hint="eastAsia" w:ascii="宋体" w:hAnsi="宋体" w:eastAsia="宋体" w:cs="宋体"/>
          <w:color w:val="auto"/>
          <w:sz w:val="24"/>
          <w:highlight w:val="none"/>
        </w:rPr>
        <w:t xml:space="preserve">审查。</w:t>
      </w:r>
      <w:r/>
    </w:p>
    <w:p>
      <w:pPr>
        <w:ind w:firstLine="560"/>
        <w:keepLines w:val="0"/>
        <w:keepNext w:val="0"/>
        <w:pageBreakBefore w:val="0"/>
        <w:widowControl w:val="off"/>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br w:type="page" w:clear="all"/>
      </w:r>
      <w:bookmarkStart w:id="309" w:name="_Toc577"/>
      <w:r>
        <w:rPr>
          <w:rFonts w:hint="eastAsia" w:ascii="黑体" w:hAnsi="黑体" w:eastAsia="黑体" w:cs="黑体"/>
          <w:b w:val="0"/>
          <w:bCs w:val="0"/>
          <w:color w:val="auto"/>
          <w:sz w:val="28"/>
          <w:szCs w:val="28"/>
          <w:highlight w:val="none"/>
          <w:lang w:val="en-US" w:eastAsia="zh-CN"/>
        </w:rPr>
        <w:t xml:space="preserve">十</w:t>
      </w:r>
      <w:r>
        <w:rPr>
          <w:rFonts w:hint="eastAsia" w:ascii="黑体" w:hAnsi="黑体" w:eastAsia="黑体" w:cs="黑体"/>
          <w:b w:val="0"/>
          <w:bCs w:val="0"/>
          <w:color w:val="auto"/>
          <w:sz w:val="28"/>
          <w:szCs w:val="28"/>
          <w:highlight w:val="none"/>
        </w:rPr>
        <w:t xml:space="preserve">、供应商信用承诺函</w:t>
      </w:r>
      <w:bookmarkEnd w:id="309"/>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line="360" w:lineRule="auto"/>
        <w:widowControl w:val="off"/>
        <w:rPr>
          <w:rFonts w:hint="eastAsia" w:ascii="黑体" w:hAnsi="黑体" w:eastAsia="黑体" w:cs="黑体"/>
          <w:b w:val="0"/>
          <w:bCs w:val="0"/>
          <w:color w:val="auto"/>
          <w:sz w:val="32"/>
          <w:szCs w:val="32"/>
          <w:highlight w:val="none"/>
          <w:lang w:val="en-US"/>
        </w:rPr>
        <w:outlineLvl w:val="9"/>
      </w:pPr>
      <w:r>
        <w:rPr>
          <w:rFonts w:hint="eastAsia" w:ascii="黑体" w:hAnsi="黑体" w:eastAsia="黑体" w:cs="黑体"/>
          <w:b w:val="0"/>
          <w:bCs w:val="0"/>
          <w:color w:val="auto"/>
          <w:sz w:val="32"/>
          <w:szCs w:val="32"/>
          <w:highlight w:val="none"/>
          <w:lang w:val="en-US"/>
        </w:rPr>
        <w:t xml:space="preserve">供应商信用承诺函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致：</w:t>
      </w:r>
      <w:r>
        <w:rPr>
          <w:rFonts w:hint="eastAsia" w:ascii="宋体" w:hAnsi="宋体" w:cs="宋体"/>
          <w:color w:val="auto"/>
          <w:sz w:val="24"/>
          <w:szCs w:val="24"/>
          <w:highlight w:val="none"/>
          <w:lang w:eastAsia="zh-CN"/>
        </w:rPr>
        <w:t xml:space="preserve">南京市人力资源和社会保障信息管理中心</w:t>
      </w:r>
      <w:r>
        <w:rPr>
          <w:rFonts w:hint="eastAsia" w:ascii="宋体" w:hAnsi="宋体" w:eastAsia="宋体" w:cs="宋体"/>
          <w:color w:val="auto"/>
          <w:sz w:val="24"/>
          <w:szCs w:val="24"/>
          <w:highlight w:val="none"/>
          <w:lang w:eastAsia="zh-CN"/>
        </w:rPr>
        <w:t xml:space="preserve">、江苏柒采招标代理有限公司</w:t>
      </w:r>
      <w:r>
        <w:rPr>
          <w:rFonts w:hint="eastAsia" w:ascii="宋体" w:hAnsi="宋体" w:eastAsia="宋体" w:cs="宋体"/>
          <w:color w:val="auto"/>
          <w:sz w:val="24"/>
          <w:szCs w:val="24"/>
          <w:highlight w:val="none"/>
        </w:rPr>
        <w:t xml:space="preserve">：</w:t>
      </w:r>
      <w:r/>
    </w:p>
    <w:p>
      <w:pPr>
        <w:ind w:firstLine="49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p>
    <w:p>
      <w:pPr>
        <w:ind w:firstLine="49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9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9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9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9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lang w:val="en-US" w:eastAsia="zh-CN"/>
        </w:rPr>
        <w:t xml:space="preserve">比选</w:t>
      </w:r>
      <w:r>
        <w:rPr>
          <w:rFonts w:hint="eastAsia" w:ascii="宋体" w:hAnsi="宋体" w:eastAsia="宋体" w:cs="宋体"/>
          <w:color w:val="auto"/>
          <w:sz w:val="24"/>
          <w:szCs w:val="24"/>
          <w:highlight w:val="none"/>
        </w:rPr>
        <w:t xml:space="preserve">采购活动前三年内，在经营活动中没有重大违法记录</w:t>
      </w:r>
      <w:r>
        <w:rPr>
          <w:rFonts w:hint="eastAsia" w:ascii="宋体" w:hAnsi="宋体" w:eastAsia="宋体" w:cs="宋体"/>
          <w:color w:val="auto"/>
          <w:sz w:val="24"/>
          <w:szCs w:val="24"/>
          <w:highlight w:val="none"/>
          <w:lang w:eastAsia="zh-CN"/>
        </w:rPr>
        <w:t xml:space="preserve">。</w:t>
      </w:r>
      <w:r/>
    </w:p>
    <w:p>
      <w:pPr>
        <w:ind w:firstLine="49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rPr>
        <w:t xml:space="preserve">成交供应商确认</w:t>
      </w:r>
      <w:r>
        <w:rPr>
          <w:rFonts w:hint="eastAsia" w:ascii="宋体" w:hAnsi="宋体" w:eastAsia="宋体" w:cs="宋体"/>
          <w:color w:val="auto"/>
          <w:sz w:val="24"/>
          <w:szCs w:val="24"/>
          <w:highlight w:val="none"/>
        </w:rPr>
        <w:t xml:space="preserve">后七个工作日内向采购人提供下列材料核验：</w:t>
      </w:r>
      <w:r/>
    </w:p>
    <w:p>
      <w:pPr>
        <w:ind w:firstLine="49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w:t>
      </w:r>
      <w:r/>
    </w:p>
    <w:p>
      <w:pPr>
        <w:ind w:firstLine="49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w:t>
      </w:r>
      <w:r>
        <w:rPr>
          <w:rFonts w:hint="eastAsia" w:ascii="宋体" w:hAnsi="宋体" w:eastAsia="宋体" w:cs="宋体"/>
          <w:color w:val="auto"/>
          <w:sz w:val="24"/>
          <w:szCs w:val="24"/>
          <w:highlight w:val="none"/>
          <w:lang w:val="en-US" w:eastAsia="zh-CN"/>
        </w:rPr>
        <w:t xml:space="preserve">比选</w:t>
      </w:r>
      <w:r>
        <w:rPr>
          <w:rFonts w:hint="eastAsia" w:ascii="宋体" w:hAnsi="宋体" w:eastAsia="宋体" w:cs="宋体"/>
          <w:color w:val="auto"/>
          <w:sz w:val="24"/>
          <w:szCs w:val="24"/>
          <w:highlight w:val="none"/>
        </w:rPr>
        <w:t xml:space="preserve">采购活动前一年的经审计的财务报告（包括“四表一注”，法人成立满一年</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）或参加本次</w:t>
      </w:r>
      <w:r>
        <w:rPr>
          <w:rFonts w:hint="eastAsia" w:ascii="宋体" w:hAnsi="宋体" w:eastAsia="宋体" w:cs="宋体"/>
          <w:color w:val="auto"/>
          <w:sz w:val="24"/>
          <w:szCs w:val="24"/>
          <w:highlight w:val="none"/>
          <w:lang w:val="en-US" w:eastAsia="zh-CN"/>
        </w:rPr>
        <w:t xml:space="preserve">比选</w:t>
      </w:r>
      <w:r>
        <w:rPr>
          <w:rFonts w:hint="eastAsia" w:ascii="宋体" w:hAnsi="宋体" w:eastAsia="宋体" w:cs="宋体"/>
          <w:color w:val="auto"/>
          <w:sz w:val="24"/>
          <w:szCs w:val="24"/>
          <w:highlight w:val="none"/>
        </w:rPr>
        <w:t xml:space="preserve">采购活动前一年内的银行资信证明（法人或其他组织提供）或其他证明材料；</w:t>
      </w:r>
      <w:r/>
    </w:p>
    <w:p>
      <w:pPr>
        <w:ind w:firstLine="49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履行合同所必需的设备和专业技术能力</w:t>
      </w:r>
      <w:r>
        <w:rPr>
          <w:rFonts w:hint="eastAsia" w:ascii="宋体" w:hAnsi="宋体" w:eastAsia="宋体" w:cs="宋体"/>
          <w:color w:val="auto"/>
          <w:sz w:val="24"/>
          <w:szCs w:val="24"/>
          <w:highlight w:val="none"/>
          <w:lang w:eastAsia="zh-CN"/>
        </w:rPr>
        <w:t xml:space="preserve">证明材料；</w:t>
      </w:r>
      <w:r/>
    </w:p>
    <w:p>
      <w:pPr>
        <w:ind w:firstLine="49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）参加本次</w:t>
      </w:r>
      <w:r>
        <w:rPr>
          <w:rFonts w:hint="eastAsia" w:ascii="宋体" w:hAnsi="宋体" w:eastAsia="宋体" w:cs="宋体"/>
          <w:color w:val="auto"/>
          <w:sz w:val="24"/>
          <w:szCs w:val="24"/>
          <w:highlight w:val="none"/>
          <w:lang w:val="en-US" w:eastAsia="zh-CN"/>
        </w:rPr>
        <w:t xml:space="preserve">比选</w:t>
      </w:r>
      <w:r>
        <w:rPr>
          <w:rFonts w:hint="eastAsia" w:ascii="宋体" w:hAnsi="宋体" w:eastAsia="宋体" w:cs="宋体"/>
          <w:color w:val="auto"/>
          <w:sz w:val="24"/>
          <w:szCs w:val="24"/>
          <w:highlight w:val="none"/>
        </w:rPr>
        <w:t xml:space="preserve">采购活动前一年内至少一个月依法缴纳税收和社会保障资金的证明材料。</w:t>
      </w:r>
      <w:r/>
    </w:p>
    <w:p>
      <w:pPr>
        <w:ind w:firstLine="49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的真实性</w:t>
      </w:r>
      <w:r>
        <w:rPr>
          <w:rFonts w:hint="eastAsia" w:ascii="宋体" w:hAnsi="宋体" w:eastAsia="宋体" w:cs="宋体"/>
          <w:color w:val="auto"/>
          <w:sz w:val="24"/>
          <w:szCs w:val="24"/>
          <w:highlight w:val="none"/>
          <w:lang w:eastAsia="zh-CN"/>
        </w:rPr>
        <w:t xml:space="preserve">、合法性、有效性</w:t>
      </w:r>
      <w:r>
        <w:rPr>
          <w:rFonts w:hint="eastAsia" w:ascii="宋体" w:hAnsi="宋体" w:eastAsia="宋体" w:cs="宋体"/>
          <w:color w:val="auto"/>
          <w:sz w:val="24"/>
          <w:szCs w:val="24"/>
          <w:highlight w:val="none"/>
        </w:rPr>
        <w:t xml:space="preserve">负责，如有虚假，将依法承担相应责任。</w:t>
      </w:r>
      <w:r/>
    </w:p>
    <w:p>
      <w:pPr>
        <w:ind w:firstLine="49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6"/>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（加盖公章）</w:t>
      </w:r>
      <w:r/>
    </w:p>
    <w:p>
      <w:pPr>
        <w:ind w:right="48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日  期：</w:t>
      </w:r>
      <w:r/>
    </w:p>
    <w:p>
      <w:pPr>
        <w:pStyle w:val="1135"/>
        <w:jc w:val="both"/>
        <w:spacing w:before="0" w:after="100"/>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br w:type="page" w:clear="all"/>
      </w:r>
      <w:bookmarkStart w:id="310" w:name="_Toc32229"/>
      <w:r>
        <w:rPr>
          <w:rFonts w:hint="eastAsia" w:ascii="黑体" w:hAnsi="黑体" w:eastAsia="黑体" w:cs="黑体"/>
          <w:b w:val="0"/>
          <w:bCs w:val="0"/>
          <w:iCs/>
          <w:color w:val="auto"/>
          <w:sz w:val="28"/>
          <w:szCs w:val="28"/>
          <w:highlight w:val="none"/>
          <w:lang w:val="en-US" w:eastAsia="zh-CN"/>
        </w:rPr>
        <w:t xml:space="preserve">十一</w:t>
      </w:r>
      <w:r>
        <w:rPr>
          <w:rFonts w:hint="eastAsia" w:ascii="黑体" w:hAnsi="黑体" w:eastAsia="黑体" w:cs="黑体"/>
          <w:b w:val="0"/>
          <w:bCs w:val="0"/>
          <w:iCs/>
          <w:color w:val="auto"/>
          <w:sz w:val="28"/>
          <w:szCs w:val="28"/>
          <w:highlight w:val="none"/>
        </w:rPr>
        <w:t xml:space="preserve">、法人授权书</w:t>
      </w:r>
      <w:bookmarkEnd w:id="305"/>
      <w:r/>
      <w:bookmarkEnd w:id="310"/>
      <w:r/>
      <w:r/>
    </w:p>
    <w:p>
      <w:pPr>
        <w:pStyle w:val="12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u w:val="single"/>
        </w:rPr>
        <w:t xml:space="preserve">项目编号为        </w:t>
      </w:r>
      <w:r>
        <w:rPr>
          <w:rFonts w:hint="eastAsia" w:ascii="宋体" w:hAnsi="宋体" w:eastAsia="宋体" w:cs="宋体"/>
          <w:color w:val="auto"/>
          <w:sz w:val="24"/>
          <w:szCs w:val="24"/>
          <w:highlight w:val="none"/>
        </w:rPr>
        <w:t xml:space="preserve">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pStyle w:val="12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法定代表人（签字/签章）：</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法定代表人身份证号码：</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法定代表人联系电话：（手机）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被授权人（签字/签章）：</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授权单位名称：（加盖公章）</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2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311" w:name="_格式3__银行出具的资信证明"/>
      <w:r/>
      <w:bookmarkEnd w:id="311"/>
      <w:r/>
      <w:bookmarkStart w:id="312" w:name="_Hlt26955070"/>
      <w:r/>
      <w:bookmarkEnd w:id="312"/>
      <w:r/>
      <w:bookmarkStart w:id="313" w:name="_Hlt26671380"/>
      <w:r/>
      <w:bookmarkEnd w:id="313"/>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22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0"/>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附：法定代表人、供应商授权代表的身份证正反面扫描件</w:t>
      </w:r>
      <w:r/>
    </w:p>
    <w:p>
      <w:pPr>
        <w:pStyle w:val="1151"/>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1220"/>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1160"/>
        <w:ind w:left="126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1160"/>
        <w:ind w:left="126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1160"/>
        <w:ind w:left="126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1135"/>
        <w:jc w:val="both"/>
        <w:spacing w:before="0" w:after="100"/>
        <w:rPr>
          <w:rFonts w:hint="eastAsia" w:ascii="宋体" w:hAnsi="宋体" w:eastAsia="宋体" w:cs="宋体"/>
          <w:iCs/>
          <w:color w:val="auto"/>
          <w:sz w:val="32"/>
          <w:szCs w:val="32"/>
          <w:highlight w:val="none"/>
        </w:rPr>
      </w:pPr>
      <w:r/>
      <w:bookmarkStart w:id="314" w:name="_Toc17268"/>
      <w:r>
        <w:rPr>
          <w:rFonts w:hint="eastAsia" w:ascii="宋体" w:hAnsi="宋体" w:eastAsia="宋体" w:cs="宋体"/>
          <w:iCs/>
          <w:color w:val="auto"/>
          <w:sz w:val="32"/>
          <w:szCs w:val="32"/>
          <w:highlight w:val="none"/>
        </w:rPr>
        <w:br w:type="page" w:clear="all"/>
      </w:r>
      <w:bookmarkStart w:id="315" w:name="_Toc32115"/>
      <w:r>
        <w:rPr>
          <w:rFonts w:hint="eastAsia" w:ascii="黑体" w:hAnsi="黑体" w:eastAsia="黑体" w:cs="黑体"/>
          <w:b w:val="0"/>
          <w:bCs w:val="0"/>
          <w:iCs/>
          <w:color w:val="auto"/>
          <w:sz w:val="28"/>
          <w:szCs w:val="28"/>
          <w:highlight w:val="none"/>
          <w:lang w:val="en-US" w:eastAsia="zh-CN"/>
        </w:rPr>
        <w:t xml:space="preserve">十二</w:t>
      </w:r>
      <w:r>
        <w:rPr>
          <w:rFonts w:hint="eastAsia" w:ascii="黑体" w:hAnsi="黑体" w:eastAsia="黑体" w:cs="黑体"/>
          <w:b w:val="0"/>
          <w:bCs w:val="0"/>
          <w:iCs/>
          <w:color w:val="auto"/>
          <w:sz w:val="28"/>
          <w:szCs w:val="28"/>
          <w:highlight w:val="none"/>
        </w:rPr>
        <w:t xml:space="preserve">、响应函</w:t>
      </w:r>
      <w:bookmarkEnd w:id="314"/>
      <w:r/>
      <w:bookmarkEnd w:id="315"/>
      <w:r/>
      <w:r/>
    </w:p>
    <w:p>
      <w:pPr>
        <w:pStyle w:val="1236"/>
        <w:ind w:firstLine="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cs="宋体"/>
          <w:color w:val="auto"/>
          <w:szCs w:val="21"/>
          <w:highlight w:val="none"/>
          <w:lang w:eastAsia="zh-CN"/>
        </w:rPr>
        <w:t xml:space="preserve">南京市人力资源和社会保障信息管理中心</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江苏柒采招标代理有限公司</w:t>
      </w:r>
      <w:r/>
    </w:p>
    <w:p>
      <w:pPr>
        <w:pStyle w:val="123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w:t>
      </w:r>
      <w:r>
        <w:rPr>
          <w:rFonts w:hint="eastAsia" w:ascii="宋体" w:hAnsi="宋体" w:eastAsia="宋体" w:cs="宋体"/>
          <w:color w:val="auto"/>
          <w:highlight w:val="none"/>
          <w:u w:val="single"/>
        </w:rPr>
        <w:t xml:space="preserve">项目编号为        </w:t>
      </w:r>
      <w:r>
        <w:rPr>
          <w:rFonts w:hint="eastAsia" w:ascii="宋体" w:hAnsi="宋体" w:eastAsia="宋体" w:cs="宋体"/>
          <w:color w:val="auto"/>
          <w:highlight w:val="none"/>
        </w:rPr>
        <w:t xml:space="preserve">号的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w:t>
      </w:r>
      <w:r>
        <w:rPr>
          <w:rFonts w:hint="eastAsia" w:ascii="宋体" w:hAnsi="宋体" w:eastAsia="宋体" w:cs="宋体"/>
          <w:color w:val="auto"/>
          <w:szCs w:val="21"/>
          <w:highlight w:val="none"/>
        </w:rPr>
        <w:t xml:space="preserve">磋商文件，正式授权下述签字人_________________(姓名)代表我方______________（供应商的名称），全权处理本次项目磋商的有关事宜。</w:t>
      </w:r>
      <w:r/>
    </w:p>
    <w:p>
      <w:pPr>
        <w:pStyle w:val="123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据此函，__________签字人兹宣布同意如下：</w:t>
      </w:r>
      <w:r/>
    </w:p>
    <w:p>
      <w:pPr>
        <w:pStyle w:val="123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1.按磋商文件规定的各项要求，向买方提供所需服务（包含于服务相关的产品）。</w:t>
      </w:r>
      <w:r/>
    </w:p>
    <w:p>
      <w:pPr>
        <w:pStyle w:val="123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2.我们完全理解贵方不一定将合同授予最低报价的供应商。</w:t>
      </w:r>
      <w:r/>
    </w:p>
    <w:p>
      <w:pPr>
        <w:pStyle w:val="123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3.我们已详细审核全部磋商文件及其有效补充文件，我们知道必须放弃提出含糊不清或误解问题的权利。</w:t>
      </w:r>
      <w:r/>
    </w:p>
    <w:p>
      <w:pPr>
        <w:pStyle w:val="123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w:t>
      </w:r>
      <w:r>
        <w:rPr>
          <w:rFonts w:hint="eastAsia" w:ascii="宋体" w:hAnsi="宋体" w:eastAsia="宋体" w:cs="宋体"/>
          <w:color w:val="auto"/>
          <w:szCs w:val="21"/>
          <w:highlight w:val="none"/>
          <w:lang w:val="en-US" w:eastAsia="zh-CN"/>
        </w:rPr>
        <w:t xml:space="preserve">60天内</w:t>
      </w:r>
      <w:r>
        <w:rPr>
          <w:rFonts w:hint="eastAsia" w:ascii="宋体" w:hAnsi="宋体" w:eastAsia="宋体" w:cs="宋体"/>
          <w:color w:val="auto"/>
          <w:szCs w:val="21"/>
          <w:highlight w:val="none"/>
        </w:rPr>
        <w:t xml:space="preserve">遵循本响应文件，并在规定的磋商有效期期满之前均具有约束力。</w:t>
      </w:r>
      <w:r/>
    </w:p>
    <w:p>
      <w:pPr>
        <w:pStyle w:val="123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5.同意向贵方提供贵方可能另外要求的与磋商有关的任何证据或资料，并保证我方已提供和将要提供的文件是真实的、准确的。</w:t>
      </w:r>
      <w:r/>
    </w:p>
    <w:p>
      <w:pPr>
        <w:pStyle w:val="123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6.一旦我方成交,我方将根据磋商文件的规定，严格履行合同的责任和义务,并保证在磋商文件规定的时间完成项目，交付买方验收、使用。</w:t>
      </w:r>
      <w:r/>
    </w:p>
    <w:p>
      <w:pPr>
        <w:pStyle w:val="123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7.与本磋商有关的正式通讯地址为：</w:t>
      </w:r>
      <w:r/>
    </w:p>
    <w:p>
      <w:pPr>
        <w:pStyle w:val="1236"/>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单位名称（盖章）：</w:t>
      </w:r>
      <w:r/>
    </w:p>
    <w:p>
      <w:pPr>
        <w:pStyle w:val="1236"/>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1236"/>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1236"/>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p>
    <w:p>
      <w:pPr>
        <w:pStyle w:val="1236"/>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p>
    <w:p>
      <w:pPr>
        <w:pStyle w:val="1236"/>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供应商开户行：</w:t>
      </w:r>
      <w:r/>
    </w:p>
    <w:p>
      <w:pPr>
        <w:pStyle w:val="1236"/>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户： </w:t>
      </w:r>
      <w:r/>
    </w:p>
    <w:p>
      <w:pPr>
        <w:pStyle w:val="1236"/>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期：________年____月____日</w:t>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60"/>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rPr>
          <w:rFonts w:hint="eastAsia" w:ascii="宋体" w:hAnsi="宋体" w:eastAsia="宋体" w:cs="宋体"/>
          <w:color w:val="auto"/>
          <w:sz w:val="24"/>
          <w:szCs w:val="24"/>
          <w:highlight w:val="none"/>
        </w:rPr>
      </w:pPr>
      <w:r/>
      <w:bookmarkStart w:id="316" w:name="_Toc28074"/>
      <w:r/>
      <w:r/>
    </w:p>
    <w:p>
      <w:pPr>
        <w:pStyle w:val="1135"/>
        <w:jc w:val="both"/>
        <w:spacing w:before="0" w:after="100"/>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br w:type="page" w:clear="all"/>
      </w:r>
      <w:bookmarkStart w:id="317" w:name="_Toc14662"/>
      <w:r>
        <w:rPr>
          <w:rFonts w:hint="eastAsia" w:ascii="黑体" w:hAnsi="黑体" w:eastAsia="黑体" w:cs="黑体"/>
          <w:b w:val="0"/>
          <w:bCs w:val="0"/>
          <w:iCs/>
          <w:color w:val="auto"/>
          <w:sz w:val="28"/>
          <w:szCs w:val="28"/>
          <w:highlight w:val="none"/>
        </w:rPr>
        <w:t xml:space="preserve">十</w:t>
      </w:r>
      <w:r>
        <w:rPr>
          <w:rFonts w:hint="eastAsia" w:ascii="黑体" w:hAnsi="黑体" w:eastAsia="黑体" w:cs="黑体"/>
          <w:b w:val="0"/>
          <w:bCs w:val="0"/>
          <w:iCs/>
          <w:color w:val="auto"/>
          <w:sz w:val="28"/>
          <w:szCs w:val="28"/>
          <w:highlight w:val="none"/>
          <w:lang w:val="en-US" w:eastAsia="zh-CN"/>
        </w:rPr>
        <w:t xml:space="preserve">三</w:t>
      </w:r>
      <w:r>
        <w:rPr>
          <w:rFonts w:hint="eastAsia" w:ascii="黑体" w:hAnsi="黑体" w:eastAsia="黑体" w:cs="黑体"/>
          <w:b w:val="0"/>
          <w:bCs w:val="0"/>
          <w:iCs/>
          <w:color w:val="auto"/>
          <w:sz w:val="28"/>
          <w:szCs w:val="28"/>
          <w:highlight w:val="none"/>
        </w:rPr>
        <w:t xml:space="preserve">、</w:t>
      </w:r>
      <w:r>
        <w:rPr>
          <w:rFonts w:hint="eastAsia" w:ascii="黑体" w:hAnsi="黑体" w:eastAsia="黑体" w:cs="黑体"/>
          <w:b w:val="0"/>
          <w:bCs w:val="0"/>
          <w:iCs/>
          <w:color w:val="auto"/>
          <w:sz w:val="28"/>
          <w:szCs w:val="28"/>
          <w:highlight w:val="none"/>
          <w:lang w:eastAsia="zh-CN"/>
        </w:rPr>
        <w:t xml:space="preserve">中小</w:t>
      </w:r>
      <w:r>
        <w:rPr>
          <w:rFonts w:hint="eastAsia" w:ascii="黑体" w:hAnsi="黑体" w:eastAsia="黑体" w:cs="黑体"/>
          <w:b w:val="0"/>
          <w:bCs w:val="0"/>
          <w:iCs/>
          <w:color w:val="auto"/>
          <w:sz w:val="28"/>
          <w:szCs w:val="28"/>
          <w:highlight w:val="none"/>
        </w:rPr>
        <w:t xml:space="preserve">企业声明函（服务）</w:t>
      </w:r>
      <w:bookmarkEnd w:id="316"/>
      <w:r/>
      <w:bookmarkEnd w:id="317"/>
      <w:r/>
      <w:r/>
    </w:p>
    <w:p>
      <w:pPr>
        <w:ind w:firstLine="36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本公司郑重声明，根据《政府采购促进中小企业发展管理办法》(财库[2020]46号)的规定，本公司参加江苏柒采招标代理有限公司组织的项目编号为</w:t>
      </w:r>
      <w:r>
        <w:rPr>
          <w:rFonts w:hint="eastAsia" w:ascii="宋体" w:hAnsi="宋体" w:cs="宋体"/>
          <w:b/>
          <w:bCs/>
          <w:color w:val="auto"/>
          <w:sz w:val="21"/>
          <w:szCs w:val="21"/>
          <w:highlight w:val="none"/>
          <w:u w:val="single"/>
          <w:lang w:eastAsia="zh-CN"/>
        </w:rPr>
        <w:t xml:space="preserve">JSZC-320100-JSQC-C2026-0023</w:t>
      </w:r>
      <w:r>
        <w:rPr>
          <w:rFonts w:hint="eastAsia" w:ascii="宋体" w:hAnsi="宋体" w:eastAsia="宋体" w:cs="宋体"/>
          <w:color w:val="auto"/>
          <w:sz w:val="21"/>
          <w:szCs w:val="21"/>
          <w:highlight w:val="none"/>
        </w:rPr>
        <w:t xml:space="preserve">，</w:t>
      </w:r>
      <w:r>
        <w:rPr>
          <w:rFonts w:hint="eastAsia" w:ascii="宋体" w:hAnsi="宋体" w:cs="宋体"/>
          <w:b/>
          <w:bCs/>
          <w:color w:val="auto"/>
          <w:sz w:val="21"/>
          <w:szCs w:val="21"/>
          <w:highlight w:val="none"/>
          <w:u w:val="single"/>
          <w:lang w:eastAsia="zh-CN"/>
        </w:rPr>
        <w:t xml:space="preserve">2026年度江苏省人社一体化信息平台南京社会保险运维项目</w:t>
      </w:r>
      <w:r>
        <w:rPr>
          <w:rFonts w:hint="eastAsia" w:ascii="宋体" w:hAnsi="宋体" w:eastAsia="宋体" w:cs="宋体"/>
          <w:color w:val="auto"/>
          <w:sz w:val="21"/>
          <w:szCs w:val="21"/>
          <w:highlight w:val="none"/>
        </w:rPr>
        <w:t xml:space="preserve">的磋商活动，服务全部由符合政策的</w:t>
      </w:r>
      <w:r>
        <w:rPr>
          <w:rFonts w:hint="eastAsia" w:ascii="宋体" w:hAnsi="宋体" w:eastAsia="宋体" w:cs="宋体"/>
          <w:color w:val="auto"/>
          <w:sz w:val="21"/>
          <w:szCs w:val="21"/>
          <w:highlight w:val="none"/>
          <w:lang w:eastAsia="zh-CN"/>
        </w:rPr>
        <w:t xml:space="preserve">中小</w:t>
      </w:r>
      <w:r>
        <w:rPr>
          <w:rFonts w:hint="eastAsia" w:ascii="宋体" w:hAnsi="宋体" w:eastAsia="宋体" w:cs="宋体"/>
          <w:color w:val="auto"/>
          <w:sz w:val="21"/>
          <w:szCs w:val="21"/>
          <w:highlight w:val="none"/>
        </w:rPr>
        <w:t xml:space="preserve">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cs="宋体"/>
          <w:b/>
          <w:bCs/>
          <w:color w:val="auto"/>
          <w:sz w:val="21"/>
          <w:szCs w:val="21"/>
          <w:highlight w:val="none"/>
          <w:u w:val="single"/>
          <w:lang w:eastAsia="zh-CN"/>
        </w:rPr>
        <w:t xml:space="preserve">软件和信息技术服务业</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p>
    <w:p>
      <w:pPr>
        <w:ind w:firstLine="360"/>
        <w:spacing w:line="560" w:lineRule="exact"/>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cs="宋体"/>
          <w:b/>
          <w:bCs/>
          <w:color w:val="auto"/>
          <w:sz w:val="21"/>
          <w:szCs w:val="21"/>
          <w:highlight w:val="none"/>
          <w:u w:val="single"/>
          <w:lang w:eastAsia="zh-CN"/>
        </w:rPr>
        <w:t xml:space="preserve">软件和信息技术服务业</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p>
    <w:p>
      <w:pPr>
        <w:ind w:firstLine="36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36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right="180" w:firstLine="360"/>
        <w:jc w:val="right"/>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企业名称（加盖公章）：</w:t>
      </w:r>
      <w:r/>
    </w:p>
    <w:p>
      <w:pPr>
        <w:ind w:right="480" w:firstLine="636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ind w:firstLine="42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备注1：从业人员、营业收入、资产总额填报上一年度数据，无上一年度数据的新成立企业可不填报。</w:t>
      </w:r>
      <w:r/>
    </w:p>
    <w:p>
      <w:pPr>
        <w:ind w:firstLine="420"/>
        <w:spacing w:line="560" w:lineRule="exact"/>
        <w:rPr>
          <w:rFonts w:hint="eastAsia" w:ascii="宋体" w:hAnsi="宋体" w:eastAsia="宋体" w:cs="宋体"/>
          <w:b w:val="0"/>
          <w:color w:val="auto"/>
          <w:sz w:val="32"/>
          <w:szCs w:val="32"/>
          <w:highlight w:val="none"/>
        </w:rPr>
      </w:pPr>
      <w:r>
        <w:rPr>
          <w:rFonts w:hint="eastAsia" w:ascii="宋体" w:hAnsi="宋体" w:eastAsia="宋体" w:cs="宋体"/>
          <w:color w:val="auto"/>
          <w:sz w:val="21"/>
          <w:szCs w:val="21"/>
          <w:highlight w:val="none"/>
        </w:rPr>
        <w:t xml:space="preserve">备注2：供应商如不提供此声明函，价格将不做相应扣除。</w:t>
      </w:r>
      <w:r>
        <w:rPr>
          <w:rFonts w:hint="eastAsia" w:ascii="宋体" w:hAnsi="宋体" w:eastAsia="宋体" w:cs="宋体"/>
          <w:b w:val="0"/>
          <w:bCs w:val="0"/>
          <w:color w:val="auto"/>
          <w:sz w:val="21"/>
          <w:szCs w:val="21"/>
          <w:highlight w:val="none"/>
          <w:lang w:val="en-US" w:eastAsia="zh-CN" w:bidi="ar-SA"/>
        </w:rPr>
        <w:t xml:space="preserve">备注3：本项目属于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b w:val="0"/>
          <w:color w:val="auto"/>
          <w:sz w:val="32"/>
          <w:szCs w:val="32"/>
          <w:highlight w:val="none"/>
        </w:rPr>
        <w:br w:type="page" w:clear="all"/>
      </w:r>
      <w:bookmarkStart w:id="318" w:name="_Toc8428"/>
      <w:r/>
      <w:bookmarkStart w:id="319" w:name="_Toc24711"/>
      <w:r/>
      <w:bookmarkStart w:id="320" w:name="_Toc23468"/>
      <w:r>
        <w:rPr>
          <w:rFonts w:hint="eastAsia" w:ascii="黑体" w:hAnsi="黑体" w:eastAsia="黑体" w:cs="黑体"/>
          <w:b w:val="0"/>
          <w:bCs w:val="0"/>
          <w:iCs/>
          <w:color w:val="auto"/>
          <w:sz w:val="28"/>
          <w:szCs w:val="28"/>
          <w:highlight w:val="none"/>
        </w:rPr>
        <w:t xml:space="preserve">十</w:t>
      </w:r>
      <w:r>
        <w:rPr>
          <w:rFonts w:hint="eastAsia" w:ascii="黑体" w:hAnsi="黑体" w:eastAsia="黑体" w:cs="黑体"/>
          <w:b w:val="0"/>
          <w:bCs w:val="0"/>
          <w:iCs/>
          <w:color w:val="auto"/>
          <w:sz w:val="28"/>
          <w:szCs w:val="28"/>
          <w:highlight w:val="none"/>
          <w:lang w:val="en-US" w:eastAsia="zh-CN"/>
        </w:rPr>
        <w:t xml:space="preserve">四</w:t>
      </w:r>
      <w:r>
        <w:rPr>
          <w:rFonts w:hint="eastAsia" w:ascii="黑体" w:hAnsi="黑体" w:eastAsia="黑体" w:cs="黑体"/>
          <w:b w:val="0"/>
          <w:bCs w:val="0"/>
          <w:iCs/>
          <w:color w:val="auto"/>
          <w:sz w:val="28"/>
          <w:szCs w:val="28"/>
          <w:highlight w:val="none"/>
        </w:rPr>
        <w:t xml:space="preserve">、残疾人福利性单位声明函</w:t>
      </w:r>
      <w:bookmarkEnd w:id="318"/>
      <w:r/>
      <w:bookmarkEnd w:id="319"/>
      <w:r/>
      <w:bookmarkEnd w:id="320"/>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（全称并加盖公章）：</w:t>
      </w:r>
      <w:r/>
    </w:p>
    <w:p>
      <w:pPr>
        <w:ind w:firstLine="480"/>
        <w:spacing w:line="432" w:lineRule="auto"/>
        <w:rPr>
          <w:rFonts w:hint="eastAsia" w:ascii="宋体" w:hAnsi="宋体" w:eastAsia="宋体" w:cs="宋体"/>
          <w:color w:val="auto"/>
          <w:sz w:val="24"/>
          <w:highlight w:val="none"/>
        </w:rPr>
        <w:sectPr>
          <w:footnotePr/>
          <w:endnotePr/>
          <w:type w:val="nextPage"/>
          <w:pgSz w:w="11907" w:h="16840" w:orient="portrait"/>
          <w:pgMar w:top="1246" w:right="1588" w:bottom="1246" w:left="1797" w:header="851" w:footer="964" w:gutter="0"/>
          <w:cols w:num="1" w:sep="0" w:space="1701" w:equalWidth="1"/>
          <w:docGrid w:linePitch="360"/>
        </w:sectPr>
      </w:pPr>
      <w:r>
        <w:rPr>
          <w:rFonts w:hint="eastAsia" w:ascii="宋体" w:hAnsi="宋体" w:eastAsia="宋体" w:cs="宋体"/>
          <w:color w:val="auto"/>
          <w:sz w:val="24"/>
          <w:highlight w:val="none"/>
        </w:rPr>
        <w:t xml:space="preserve">日期：</w:t>
      </w:r>
      <w:r/>
    </w:p>
    <w:p>
      <w:pPr>
        <w:pStyle w:val="1135"/>
        <w:jc w:val="both"/>
        <w:spacing w:before="0" w:after="100"/>
        <w:rPr>
          <w:rFonts w:hint="eastAsia" w:ascii="黑体" w:hAnsi="黑体" w:eastAsia="黑体" w:cs="黑体"/>
          <w:b w:val="0"/>
          <w:bCs w:val="0"/>
          <w:color w:val="auto"/>
          <w:sz w:val="28"/>
          <w:szCs w:val="28"/>
          <w:highlight w:val="none"/>
          <w:lang w:val="en-US" w:eastAsia="zh-CN"/>
        </w:rPr>
      </w:pPr>
      <w:r/>
      <w:bookmarkStart w:id="321" w:name="_Toc31751"/>
      <w:r>
        <w:rPr>
          <w:rFonts w:hint="eastAsia" w:ascii="黑体" w:hAnsi="黑体" w:eastAsia="黑体" w:cs="黑体"/>
          <w:b w:val="0"/>
          <w:bCs w:val="0"/>
          <w:iCs/>
          <w:color w:val="auto"/>
          <w:sz w:val="28"/>
          <w:szCs w:val="28"/>
          <w:highlight w:val="none"/>
        </w:rPr>
        <w:t xml:space="preserve">十</w:t>
      </w:r>
      <w:r>
        <w:rPr>
          <w:rFonts w:hint="eastAsia" w:ascii="黑体" w:hAnsi="黑体" w:eastAsia="黑体" w:cs="黑体"/>
          <w:b w:val="0"/>
          <w:bCs w:val="0"/>
          <w:iCs/>
          <w:color w:val="auto"/>
          <w:sz w:val="28"/>
          <w:szCs w:val="28"/>
          <w:highlight w:val="none"/>
          <w:lang w:val="en-US" w:eastAsia="zh-CN"/>
        </w:rPr>
        <w:t xml:space="preserve">五</w:t>
      </w:r>
      <w:r>
        <w:rPr>
          <w:rFonts w:hint="eastAsia" w:ascii="黑体" w:hAnsi="黑体" w:eastAsia="黑体" w:cs="黑体"/>
          <w:b w:val="0"/>
          <w:bCs w:val="0"/>
          <w:iCs/>
          <w:color w:val="auto"/>
          <w:sz w:val="28"/>
          <w:szCs w:val="28"/>
          <w:highlight w:val="none"/>
        </w:rPr>
        <w:t xml:space="preserve">、监狱企业</w:t>
      </w:r>
      <w:r>
        <w:rPr>
          <w:rFonts w:hint="eastAsia" w:ascii="黑体" w:hAnsi="黑体" w:eastAsia="黑体" w:cs="黑体"/>
          <w:b w:val="0"/>
          <w:bCs w:val="0"/>
          <w:iCs/>
          <w:color w:val="auto"/>
          <w:sz w:val="28"/>
          <w:szCs w:val="28"/>
          <w:highlight w:val="none"/>
          <w:lang w:val="en-US" w:eastAsia="zh-CN"/>
        </w:rPr>
        <w:t xml:space="preserve">证明</w:t>
      </w:r>
      <w:bookmarkEnd w:id="321"/>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监狱企业证明文件[监狱企业投标的，应提交省级以上监狱管理局、戒毒管理局（含新疆生产建设兵团）出具的证明文件复印件]。</w:t>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（全称并加盖公章）：</w:t>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ind w:right="1560" w:firstLine="480"/>
        <w:jc w:val="center"/>
        <w:spacing w:line="588" w:lineRule="exac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35"/>
        <w:jc w:val="both"/>
        <w:spacing w:before="0" w:after="100"/>
        <w:rPr>
          <w:rFonts w:hint="eastAsia" w:ascii="宋体" w:hAnsi="宋体" w:eastAsia="黑体" w:cs="宋体"/>
          <w:iCs/>
          <w:color w:val="auto"/>
          <w:sz w:val="32"/>
          <w:szCs w:val="32"/>
          <w:highlight w:val="none"/>
          <w:lang w:eastAsia="zh-CN"/>
        </w:rPr>
      </w:pPr>
      <w:r/>
      <w:bookmarkStart w:id="322" w:name="_Toc19298"/>
      <w:r/>
      <w:bookmarkStart w:id="323" w:name="_Toc3428"/>
      <w:r>
        <w:rPr>
          <w:rFonts w:hint="eastAsia" w:ascii="宋体" w:hAnsi="宋体" w:eastAsia="宋体" w:cs="宋体"/>
          <w:iCs/>
          <w:color w:val="auto"/>
          <w:sz w:val="32"/>
          <w:szCs w:val="32"/>
          <w:highlight w:val="none"/>
        </w:rPr>
        <w:br w:type="page" w:clear="all"/>
      </w:r>
      <w:bookmarkStart w:id="324" w:name="_Toc20847"/>
      <w:r>
        <w:rPr>
          <w:rFonts w:hint="eastAsia" w:ascii="黑体" w:hAnsi="黑体" w:eastAsia="黑体" w:cs="黑体"/>
          <w:b w:val="0"/>
          <w:bCs w:val="0"/>
          <w:iCs/>
          <w:color w:val="auto"/>
          <w:sz w:val="28"/>
          <w:szCs w:val="28"/>
          <w:highlight w:val="none"/>
        </w:rPr>
        <w:t xml:space="preserve">十</w:t>
      </w:r>
      <w:r>
        <w:rPr>
          <w:rFonts w:hint="eastAsia" w:ascii="黑体" w:hAnsi="黑体" w:eastAsia="黑体" w:cs="黑体"/>
          <w:b w:val="0"/>
          <w:bCs w:val="0"/>
          <w:iCs/>
          <w:color w:val="auto"/>
          <w:sz w:val="28"/>
          <w:szCs w:val="28"/>
          <w:highlight w:val="none"/>
          <w:lang w:val="en-US" w:eastAsia="zh-CN"/>
        </w:rPr>
        <w:t xml:space="preserve">六</w:t>
      </w:r>
      <w:r>
        <w:rPr>
          <w:rFonts w:hint="eastAsia" w:ascii="黑体" w:hAnsi="黑体" w:eastAsia="黑体" w:cs="黑体"/>
          <w:b w:val="0"/>
          <w:bCs w:val="0"/>
          <w:iCs/>
          <w:color w:val="auto"/>
          <w:sz w:val="28"/>
          <w:szCs w:val="28"/>
          <w:highlight w:val="none"/>
        </w:rPr>
        <w:t xml:space="preserve">、</w:t>
      </w:r>
      <w:bookmarkEnd w:id="322"/>
      <w:r>
        <w:rPr>
          <w:rFonts w:hint="eastAsia" w:ascii="黑体" w:hAnsi="黑体" w:eastAsia="黑体" w:cs="黑体"/>
          <w:b w:val="0"/>
          <w:bCs w:val="0"/>
          <w:iCs/>
          <w:color w:val="auto"/>
          <w:sz w:val="28"/>
          <w:szCs w:val="28"/>
          <w:highlight w:val="none"/>
          <w:lang w:eastAsia="zh-CN"/>
        </w:rPr>
        <w:t xml:space="preserve">报价一览表</w:t>
      </w:r>
      <w:bookmarkEnd w:id="324"/>
      <w:r/>
      <w:r/>
    </w:p>
    <w:p>
      <w:pPr>
        <w:pStyle w:val="1163"/>
        <w:ind w:firstLine="480"/>
        <w:keepLines w:val="0"/>
        <w:keepNext w:val="0"/>
        <w:pageBreakBefore w:val="0"/>
        <w:spacing w:line="360" w:lineRule="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供应商全称（电子签章）：</w:t>
      </w:r>
      <w:r/>
    </w:p>
    <w:p>
      <w:pPr>
        <w:pStyle w:val="1163"/>
        <w:ind w:firstLine="480"/>
        <w:keepLines w:val="0"/>
        <w:keepNext w:val="0"/>
        <w:pageBreakBefore w:val="0"/>
        <w:spacing w:line="360" w:lineRule="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项目名称：</w:t>
      </w:r>
      <w:r>
        <w:rPr>
          <w:rFonts w:hint="eastAsia" w:ascii="宋体" w:hAnsi="宋体" w:eastAsia="宋体" w:cs="宋体"/>
          <w:iCs/>
          <w:color w:val="auto"/>
          <w:sz w:val="24"/>
          <w:szCs w:val="24"/>
          <w:highlight w:val="none"/>
          <w:lang w:eastAsia="zh-CN"/>
        </w:rPr>
        <w:t xml:space="preserve">2026年度江苏省人社一体化信息平台南京社会保险运维项目</w:t>
      </w:r>
      <w:r/>
    </w:p>
    <w:p>
      <w:pPr>
        <w:pStyle w:val="1163"/>
        <w:ind w:firstLine="480"/>
        <w:keepLines w:val="0"/>
        <w:keepNext w:val="0"/>
        <w:pageBreakBefore w:val="0"/>
        <w:spacing w:line="360" w:lineRule="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项目编号：</w:t>
      </w:r>
      <w:r/>
    </w:p>
    <w:tbl>
      <w:tblPr>
        <w:tblStyle w:val="958"/>
        <w:tblW w:w="9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6"/>
        <w:gridCol w:w="2546"/>
        <w:gridCol w:w="3986"/>
      </w:tblGrid>
      <w:tr>
        <w:trPr>
          <w:cantSplit/>
          <w:trHeight w:val="421"/>
        </w:trPr>
        <w:tc>
          <w:tcPr>
            <w:tcW w:w="2546" w:type="dxa"/>
            <w:vAlign w:val="center"/>
            <w:textDirection w:val="lrTb"/>
            <w:noWrap w:val="false"/>
          </w:tcPr>
          <w:p>
            <w:pPr>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项目名称</w:t>
            </w:r>
            <w:r/>
          </w:p>
        </w:tc>
        <w:tc>
          <w:tcPr>
            <w:tcW w:w="2546" w:type="dxa"/>
            <w:vAlign w:val="center"/>
            <w:textDirection w:val="lrTb"/>
            <w:noWrap w:val="false"/>
          </w:tcPr>
          <w:p>
            <w:pPr>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项目内容</w:t>
            </w:r>
            <w:r/>
          </w:p>
        </w:tc>
        <w:tc>
          <w:tcPr>
            <w:tcW w:w="3986" w:type="dxa"/>
            <w:vAlign w:val="center"/>
            <w:textDirection w:val="lrTb"/>
            <w:noWrap w:val="false"/>
          </w:tcPr>
          <w:p>
            <w:pPr>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总价（小写）</w:t>
            </w:r>
            <w:r/>
          </w:p>
        </w:tc>
      </w:tr>
      <w:tr>
        <w:trPr>
          <w:cantSplit/>
          <w:trHeight w:val="860"/>
        </w:trPr>
        <w:tc>
          <w:tcPr>
            <w:tcW w:w="2546" w:type="dxa"/>
            <w:vAlign w:val="center"/>
            <w:textDirection w:val="lrTb"/>
            <w:noWrap w:val="false"/>
          </w:tcPr>
          <w:p>
            <w:pP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lang w:eastAsia="zh-CN"/>
              </w:rPr>
              <w:t xml:space="preserve">2026年度江苏省人社一体化信息平台南京社会保险运维项目</w:t>
            </w:r>
            <w:r/>
          </w:p>
        </w:tc>
        <w:tc>
          <w:tcPr>
            <w:tcW w:w="2546" w:type="dxa"/>
            <w:vAlign w:val="center"/>
            <w:textDirection w:val="lrTb"/>
            <w:noWrap w:val="false"/>
          </w:tcPr>
          <w:p>
            <w:pPr>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详见响应文件</w:t>
            </w:r>
            <w:r/>
          </w:p>
        </w:tc>
        <w:tc>
          <w:tcPr>
            <w:tcW w:w="3986" w:type="dxa"/>
            <w:vAlign w:val="center"/>
            <w:textDirection w:val="lrTb"/>
            <w:noWrap w:val="false"/>
          </w:tcPr>
          <w:p>
            <w:pP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r>
      <w:tr>
        <w:trPr>
          <w:cantSplit/>
          <w:trHeight w:val="872"/>
        </w:trPr>
        <w:tc>
          <w:tcPr>
            <w:tcW w:w="2546" w:type="dxa"/>
            <w:vAlign w:val="center"/>
            <w:textDirection w:val="lrTb"/>
            <w:noWrap w:val="false"/>
          </w:tcPr>
          <w:p>
            <w:pP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总价（大写）：</w:t>
            </w:r>
            <w:r/>
          </w:p>
        </w:tc>
        <w:tc>
          <w:tcPr>
            <w:gridSpan w:val="2"/>
            <w:tcW w:w="6532" w:type="dxa"/>
            <w:vAlign w:val="center"/>
            <w:textDirection w:val="lrTb"/>
            <w:noWrap w:val="false"/>
          </w:tcPr>
          <w:p>
            <w:pP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r>
    </w:tbl>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jc w:val="lef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说明：</w:t>
      </w:r>
      <w:r/>
    </w:p>
    <w:p>
      <w:pPr>
        <w:ind w:firstLine="420"/>
        <w:jc w:val="lef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1、本项目仅接受一个价格，不得填报有选择性报价方案。</w:t>
      </w:r>
      <w:r/>
    </w:p>
    <w:p>
      <w:pPr>
        <w:ind w:firstLine="420"/>
        <w:jc w:val="lef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2、响应文件所报的响应价格（首次报价）不得超过磋商文件规定的预算价、限价，超过磋商文件规定的，按无效响应处理。</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3、磋商结束后，磋商小组将要求所有实质性响应的供应商在规定时间内提交最后报价（二次或多次报价）。 </w:t>
      </w:r>
      <w:r/>
    </w:p>
    <w:p>
      <w:pPr>
        <w:pStyle w:val="1163"/>
        <w:jc w:val="center"/>
        <w:rPr>
          <w:rFonts w:hint="eastAsia" w:ascii="黑体" w:hAnsi="黑体" w:eastAsia="黑体" w:cs="黑体"/>
          <w:b w:val="0"/>
          <w:bCs w:val="0"/>
          <w:color w:val="auto"/>
          <w:sz w:val="28"/>
          <w:szCs w:val="28"/>
          <w:highlight w:val="none"/>
        </w:rPr>
      </w:pPr>
      <w:r>
        <w:rPr>
          <w:rFonts w:hint="eastAsia" w:ascii="宋体" w:hAnsi="宋体" w:eastAsia="宋体" w:cs="宋体"/>
          <w:color w:val="auto"/>
          <w:sz w:val="24"/>
          <w:szCs w:val="24"/>
          <w:highlight w:val="none"/>
        </w:rPr>
        <w:br w:type="page" w:clear="all"/>
      </w:r>
      <w:r>
        <w:rPr>
          <w:rFonts w:hint="eastAsia" w:ascii="黑体" w:hAnsi="黑体" w:eastAsia="黑体" w:cs="黑体"/>
          <w:b w:val="0"/>
          <w:bCs w:val="0"/>
          <w:color w:val="auto"/>
          <w:sz w:val="28"/>
          <w:szCs w:val="28"/>
          <w:highlight w:val="none"/>
        </w:rPr>
        <w:t xml:space="preserve">最终报价承诺书</w:t>
      </w:r>
      <w:r/>
    </w:p>
    <w:p>
      <w:pPr>
        <w:pStyle w:val="1163"/>
        <w:jc w:val="center"/>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 xml:space="preserve">(第</w:t>
      </w:r>
      <w:r>
        <w:rPr>
          <w:rFonts w:hint="eastAsia" w:ascii="黑体" w:hAnsi="黑体" w:eastAsia="黑体" w:cs="黑体"/>
          <w:b w:val="0"/>
          <w:bCs w:val="0"/>
          <w:color w:val="auto"/>
          <w:sz w:val="28"/>
          <w:szCs w:val="28"/>
          <w:highlight w:val="none"/>
          <w:u w:val="single"/>
        </w:rPr>
        <w:t xml:space="preserve">  二  </w:t>
      </w:r>
      <w:r>
        <w:rPr>
          <w:rFonts w:hint="eastAsia" w:ascii="黑体" w:hAnsi="黑体" w:eastAsia="黑体" w:cs="黑体"/>
          <w:b w:val="0"/>
          <w:bCs w:val="0"/>
          <w:color w:val="auto"/>
          <w:sz w:val="28"/>
          <w:szCs w:val="28"/>
          <w:highlight w:val="none"/>
        </w:rPr>
        <w:t xml:space="preserve">次报价书)</w:t>
      </w:r>
      <w:r/>
    </w:p>
    <w:p>
      <w:pPr>
        <w:pStyle w:val="1163"/>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63"/>
        <w:ind w:firstLine="480"/>
        <w:keepLines w:val="0"/>
        <w:keepNext w:val="0"/>
        <w:pageBreakBefore w:val="0"/>
        <w:spacing w:line="360" w:lineRule="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供应商（</w:t>
      </w:r>
      <w:r>
        <w:rPr>
          <w:rFonts w:hint="eastAsia" w:ascii="宋体" w:hAnsi="宋体" w:eastAsia="宋体" w:cs="宋体"/>
          <w:iCs/>
          <w:color w:val="auto"/>
          <w:sz w:val="24"/>
          <w:szCs w:val="24"/>
          <w:highlight w:val="none"/>
          <w:lang w:val="en-US" w:eastAsia="zh-CN"/>
        </w:rPr>
        <w:t xml:space="preserve">电子签章</w:t>
      </w:r>
      <w:r>
        <w:rPr>
          <w:rFonts w:hint="eastAsia" w:ascii="宋体" w:hAnsi="宋体" w:eastAsia="宋体" w:cs="宋体"/>
          <w:iCs/>
          <w:color w:val="auto"/>
          <w:sz w:val="24"/>
          <w:szCs w:val="24"/>
          <w:highlight w:val="none"/>
        </w:rPr>
        <w:t xml:space="preserve">）：</w:t>
      </w:r>
      <w:r/>
    </w:p>
    <w:p>
      <w:pPr>
        <w:pStyle w:val="1163"/>
        <w:ind w:firstLine="480"/>
        <w:keepLines w:val="0"/>
        <w:keepNext w:val="0"/>
        <w:pageBreakBefore w:val="0"/>
        <w:spacing w:line="360" w:lineRule="auto"/>
        <w:widowControl w:val="off"/>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rPr>
        <w:t xml:space="preserve">项目名称：</w:t>
      </w:r>
      <w:r>
        <w:rPr>
          <w:rFonts w:hint="eastAsia" w:ascii="宋体" w:hAnsi="宋体" w:eastAsia="宋体" w:cs="宋体"/>
          <w:iCs/>
          <w:color w:val="auto"/>
          <w:sz w:val="24"/>
          <w:szCs w:val="24"/>
          <w:highlight w:val="none"/>
          <w:lang w:eastAsia="zh-CN"/>
        </w:rPr>
        <w:t xml:space="preserve">2026年度江苏省人社一体化信息平台南京社会保险运维项目</w:t>
      </w:r>
      <w:r/>
    </w:p>
    <w:p>
      <w:pPr>
        <w:pStyle w:val="1163"/>
        <w:ind w:firstLine="480"/>
        <w:keepLines w:val="0"/>
        <w:keepNext w:val="0"/>
        <w:pageBreakBefore w:val="0"/>
        <w:spacing w:line="360" w:lineRule="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项目编号：</w:t>
      </w:r>
      <w:r/>
    </w:p>
    <w:tbl>
      <w:tblPr>
        <w:tblStyle w:val="958"/>
        <w:tblW w:w="91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57"/>
        <w:gridCol w:w="2557"/>
        <w:gridCol w:w="4004"/>
      </w:tblGrid>
      <w:tr>
        <w:trPr>
          <w:cantSplit/>
          <w:trHeight w:val="473"/>
        </w:trPr>
        <w:tc>
          <w:tcPr>
            <w:tcW w:w="2557" w:type="dxa"/>
            <w:vAlign w:val="center"/>
            <w:textDirection w:val="lrTb"/>
            <w:noWrap w:val="false"/>
          </w:tcPr>
          <w:p>
            <w:pPr>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项目名称</w:t>
            </w:r>
            <w:r/>
          </w:p>
        </w:tc>
        <w:tc>
          <w:tcPr>
            <w:tcW w:w="2557" w:type="dxa"/>
            <w:vAlign w:val="center"/>
            <w:textDirection w:val="lrTb"/>
            <w:noWrap w:val="false"/>
          </w:tcPr>
          <w:p>
            <w:pPr>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项目内容</w:t>
            </w:r>
            <w:r/>
          </w:p>
        </w:tc>
        <w:tc>
          <w:tcPr>
            <w:tcW w:w="4004" w:type="dxa"/>
            <w:vAlign w:val="center"/>
            <w:textDirection w:val="lrTb"/>
            <w:noWrap w:val="false"/>
          </w:tcPr>
          <w:p>
            <w:pPr>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总价（小写）</w:t>
            </w:r>
            <w:r/>
          </w:p>
        </w:tc>
      </w:tr>
      <w:tr>
        <w:trPr>
          <w:cantSplit/>
          <w:trHeight w:val="956"/>
        </w:trPr>
        <w:tc>
          <w:tcPr>
            <w:tcW w:w="2557" w:type="dxa"/>
            <w:vAlign w:val="center"/>
            <w:textDirection w:val="lrTb"/>
            <w:noWrap w:val="false"/>
          </w:tcPr>
          <w:p>
            <w:pP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lang w:eastAsia="zh-CN"/>
              </w:rPr>
              <w:t xml:space="preserve">2026年度江苏省人社一体化信息平台南京社会保险运维项目</w:t>
            </w:r>
            <w:r/>
          </w:p>
        </w:tc>
        <w:tc>
          <w:tcPr>
            <w:tcW w:w="2557" w:type="dxa"/>
            <w:vAlign w:val="center"/>
            <w:textDirection w:val="lrTb"/>
            <w:noWrap w:val="false"/>
          </w:tcPr>
          <w:p>
            <w:pPr>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详见响应文件</w:t>
            </w:r>
            <w:r/>
          </w:p>
        </w:tc>
        <w:tc>
          <w:tcPr>
            <w:tcW w:w="4004" w:type="dxa"/>
            <w:vAlign w:val="center"/>
            <w:textDirection w:val="lrTb"/>
            <w:noWrap w:val="false"/>
          </w:tcPr>
          <w:p>
            <w:pP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r>
      <w:tr>
        <w:trPr>
          <w:cantSplit/>
          <w:trHeight w:val="980"/>
        </w:trPr>
        <w:tc>
          <w:tcPr>
            <w:tcW w:w="2557" w:type="dxa"/>
            <w:vAlign w:val="center"/>
            <w:textDirection w:val="lrTb"/>
            <w:noWrap w:val="false"/>
          </w:tcPr>
          <w:p>
            <w:pP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总价（大写）：</w:t>
            </w:r>
            <w:r/>
          </w:p>
        </w:tc>
        <w:tc>
          <w:tcPr>
            <w:gridSpan w:val="2"/>
            <w:tcW w:w="6561" w:type="dxa"/>
            <w:vAlign w:val="center"/>
            <w:textDirection w:val="lrTb"/>
            <w:noWrap w:val="false"/>
          </w:tcPr>
          <w:p>
            <w:pP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r>
    </w:tbl>
    <w:p>
      <w:pPr>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本页《最终报价承诺书》由供应商</w:t>
      </w:r>
      <w:r>
        <w:rPr>
          <w:rFonts w:hint="eastAsia" w:ascii="宋体" w:hAnsi="宋体" w:eastAsia="宋体" w:cs="宋体"/>
          <w:b/>
          <w:bCs/>
          <w:color w:val="auto"/>
          <w:sz w:val="24"/>
          <w:szCs w:val="24"/>
          <w:highlight w:val="none"/>
          <w:lang w:val="en-US" w:eastAsia="zh-CN"/>
        </w:rPr>
        <w:t xml:space="preserve">依据磋商</w:t>
      </w:r>
      <w:r>
        <w:rPr>
          <w:rFonts w:hint="eastAsia" w:ascii="宋体" w:hAnsi="宋体" w:eastAsia="宋体" w:cs="宋体"/>
          <w:b/>
          <w:bCs/>
          <w:color w:val="auto"/>
          <w:sz w:val="24"/>
          <w:szCs w:val="24"/>
          <w:highlight w:val="none"/>
        </w:rPr>
        <w:t xml:space="preserve">情况填写，</w:t>
      </w:r>
      <w:r>
        <w:rPr>
          <w:rFonts w:hint="eastAsia" w:ascii="宋体" w:hAnsi="宋体" w:eastAsia="宋体" w:cs="宋体"/>
          <w:b/>
          <w:bCs/>
          <w:color w:val="auto"/>
          <w:sz w:val="24"/>
          <w:szCs w:val="24"/>
          <w:highlight w:val="none"/>
          <w:lang w:val="en-US" w:eastAsia="zh-CN"/>
        </w:rPr>
        <w:t xml:space="preserve">并在规定时间内</w:t>
      </w:r>
      <w:r>
        <w:rPr>
          <w:rFonts w:hint="eastAsia" w:ascii="宋体" w:hAnsi="宋体" w:eastAsia="宋体" w:cs="宋体"/>
          <w:b/>
          <w:bCs/>
          <w:color w:val="auto"/>
          <w:sz w:val="24"/>
          <w:szCs w:val="24"/>
          <w:highlight w:val="none"/>
        </w:rPr>
        <w:t xml:space="preserve">加盖公章后</w:t>
      </w:r>
      <w:r>
        <w:rPr>
          <w:rFonts w:hint="eastAsia" w:ascii="宋体" w:hAnsi="宋体" w:eastAsia="宋体" w:cs="宋体"/>
          <w:b/>
          <w:bCs/>
          <w:color w:val="auto"/>
          <w:sz w:val="24"/>
          <w:szCs w:val="24"/>
          <w:highlight w:val="none"/>
          <w:lang w:val="en-US" w:eastAsia="zh-CN"/>
        </w:rPr>
        <w:t xml:space="preserve">上传“苏采云”系统</w:t>
      </w:r>
      <w:r>
        <w:rPr>
          <w:rFonts w:hint="eastAsia" w:ascii="宋体" w:hAnsi="宋体" w:eastAsia="宋体" w:cs="宋体"/>
          <w:b/>
          <w:bCs/>
          <w:color w:val="auto"/>
          <w:sz w:val="24"/>
          <w:szCs w:val="24"/>
          <w:highlight w:val="none"/>
        </w:rPr>
        <w:t xml:space="preserve">。</w:t>
      </w:r>
      <w:r/>
    </w:p>
    <w:p>
      <w:pPr>
        <w:ind w:firstLine="482"/>
        <w:keepLines w:val="0"/>
        <w:keepNext w:val="0"/>
        <w:pageBreakBefore w:val="0"/>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rPr>
        <w:br w:type="page" w:clear="all"/>
      </w:r>
      <w:bookmarkStart w:id="325" w:name="_Toc1651"/>
      <w:r>
        <w:rPr>
          <w:rFonts w:hint="eastAsia" w:ascii="黑体" w:hAnsi="黑体" w:eastAsia="黑体" w:cs="黑体"/>
          <w:b w:val="0"/>
          <w:bCs w:val="0"/>
          <w:color w:val="auto"/>
          <w:sz w:val="28"/>
          <w:szCs w:val="28"/>
          <w:highlight w:val="none"/>
          <w:lang w:val="en-US" w:eastAsia="zh-CN"/>
        </w:rPr>
        <w:t xml:space="preserve">十七、分项报价表</w:t>
      </w:r>
      <w:bookmarkEnd w:id="325"/>
      <w:r/>
      <w:r/>
    </w:p>
    <w:p>
      <w:pPr>
        <w:jc w:val="center"/>
        <w:spacing w:after="0" w:line="240" w:lineRule="auto"/>
        <w:widowControl/>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 xml:space="preserve">分项报价表</w:t>
      </w:r>
      <w:r/>
    </w:p>
    <w:p>
      <w:pPr>
        <w:numPr>
          <w:ilvl w:val="1"/>
          <w:numId w:val="0"/>
        </w:numPr>
        <w:jc w:val="center"/>
        <w:rPr>
          <w:rFonts w:hint="eastAsia" w:ascii="宋体" w:hAnsi="宋体" w:eastAsia="宋体" w:cs="宋体"/>
          <w:b/>
          <w:bCs/>
          <w:color w:val="auto"/>
          <w:sz w:val="28"/>
          <w:szCs w:val="28"/>
          <w:highlight w:val="none"/>
          <w:lang w:val="zh-CN"/>
        </w:rPr>
        <w:outlineLvl w:val="9"/>
      </w:pPr>
      <w:r>
        <w:rPr>
          <w:rFonts w:hint="eastAsia" w:ascii="宋体" w:hAnsi="宋体" w:eastAsia="宋体" w:cs="宋体"/>
          <w:b/>
          <w:bCs/>
          <w:color w:val="auto"/>
          <w:sz w:val="28"/>
          <w:szCs w:val="28"/>
          <w:highlight w:val="none"/>
          <w:lang w:val="zh-CN"/>
        </w:rPr>
        <w:t xml:space="preserve">分项报价表</w:t>
      </w:r>
      <w:r/>
    </w:p>
    <w:p>
      <w:pPr>
        <w:numPr>
          <w:ilvl w:val="1"/>
          <w:numId w:val="0"/>
        </w:numPr>
        <w:jc w:val="center"/>
        <w:rPr>
          <w:rFonts w:hint="eastAsia" w:ascii="宋体" w:hAnsi="宋体" w:eastAsia="宋体" w:cs="宋体"/>
          <w:b/>
          <w:bCs/>
          <w:color w:val="auto"/>
          <w:sz w:val="28"/>
          <w:szCs w:val="28"/>
          <w:highlight w:val="none"/>
          <w:lang w:val="zh-CN"/>
        </w:rPr>
        <w:outlineLvl w:val="9"/>
      </w:pPr>
      <w:r>
        <w:rPr>
          <w:rFonts w:hint="eastAsia" w:ascii="宋体" w:hAnsi="宋体" w:eastAsia="宋体" w:cs="宋体"/>
          <w:b/>
          <w:bCs/>
          <w:color w:val="auto"/>
          <w:sz w:val="28"/>
          <w:szCs w:val="28"/>
          <w:highlight w:val="none"/>
          <w:lang w:val="zh-CN"/>
        </w:rPr>
      </w:r>
      <w:r/>
    </w:p>
    <w:tbl>
      <w:tblPr>
        <w:tblStyle w:val="958"/>
        <w:tblW w:w="90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4"/>
        <w:gridCol w:w="1269"/>
        <w:gridCol w:w="1283"/>
        <w:gridCol w:w="920"/>
        <w:gridCol w:w="1198"/>
        <w:gridCol w:w="1612"/>
        <w:gridCol w:w="1791"/>
      </w:tblGrid>
      <w:tr>
        <w:trPr>
          <w:cantSplit/>
          <w:trHeight w:val="681"/>
        </w:trPr>
        <w:tc>
          <w:tcPr>
            <w:tcW w:w="944" w:type="dxa"/>
            <w:vAlign w:val="center"/>
            <w:textDirection w:val="lrTb"/>
            <w:noWrap w:val="false"/>
          </w:tcPr>
          <w:p>
            <w:pPr>
              <w:jc w:val="center"/>
              <w:rPr>
                <w:rFonts w:ascii="仿宋" w:hAnsi="仿宋" w:eastAsia="仿宋" w:cs="仿宋"/>
                <w:color w:val="auto"/>
                <w:sz w:val="24"/>
                <w:szCs w:val="24"/>
                <w:highlight w:val="none"/>
              </w:rPr>
            </w:pPr>
            <w:r/>
            <w:bookmarkStart w:id="326" w:name="_Hlk68083992"/>
            <w:r>
              <w:rPr>
                <w:rFonts w:hint="eastAsia" w:ascii="仿宋" w:hAnsi="仿宋" w:eastAsia="仿宋" w:cs="仿宋"/>
                <w:color w:val="auto"/>
                <w:sz w:val="24"/>
                <w:szCs w:val="24"/>
                <w:highlight w:val="none"/>
              </w:rPr>
              <w:t xml:space="preserve">序号</w:t>
            </w:r>
            <w:r/>
          </w:p>
        </w:tc>
        <w:tc>
          <w:tcPr>
            <w:tcW w:w="126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分项服务名称</w:t>
            </w:r>
            <w:r/>
          </w:p>
        </w:tc>
        <w:tc>
          <w:tcPr>
            <w:tcW w:w="1283"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交付期</w:t>
            </w:r>
            <w:r/>
          </w:p>
        </w:tc>
        <w:tc>
          <w:tcPr>
            <w:tcW w:w="920"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分项单位</w:t>
            </w:r>
            <w:r/>
          </w:p>
        </w:tc>
        <w:tc>
          <w:tcPr>
            <w:tcW w:w="1198"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1612"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w:t>
            </w:r>
            <w:r/>
          </w:p>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单价</w:t>
            </w:r>
            <w:r/>
          </w:p>
        </w:tc>
        <w:tc>
          <w:tcPr>
            <w:tcW w:w="1791"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w:t>
            </w:r>
            <w:r/>
          </w:p>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w:t>
            </w:r>
            <w:r/>
          </w:p>
        </w:tc>
      </w:tr>
      <w:tr>
        <w:trPr>
          <w:cantSplit/>
          <w:trHeight w:val="716"/>
        </w:trPr>
        <w:tc>
          <w:tcPr>
            <w:tcW w:w="944"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269"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8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920"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9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1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791"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716"/>
        </w:trPr>
        <w:tc>
          <w:tcPr>
            <w:tcW w:w="944"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269"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8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920"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9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1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791"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716"/>
        </w:trPr>
        <w:tc>
          <w:tcPr>
            <w:tcW w:w="944"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269"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8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920"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9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1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791"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716"/>
        </w:trPr>
        <w:tc>
          <w:tcPr>
            <w:tcW w:w="944"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26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28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920"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9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1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791"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547"/>
        </w:trPr>
        <w:tc>
          <w:tcPr>
            <w:gridSpan w:val="6"/>
            <w:tcW w:w="7226"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总报价（人民币：元）</w:t>
            </w:r>
            <w:r/>
          </w:p>
        </w:tc>
        <w:tc>
          <w:tcPr>
            <w:tcW w:w="1791" w:type="dxa"/>
            <w:textDirection w:val="lrTb"/>
            <w:noWrap w:val="false"/>
          </w:tcPr>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ind w:left="0" w:right="0" w:firstLine="723"/>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经磋商后，以最终总报价为准，计算价格分。</w:t>
      </w:r>
      <w:r/>
    </w:p>
    <w:p>
      <w:pPr>
        <w:pStyle w:val="1141"/>
        <w:ind w:firstLine="480"/>
        <w:keepLines w:val="0"/>
        <w:keepNext w:val="0"/>
        <w:pageBreakBefore w:val="0"/>
        <w:widowControl/>
        <w:rPr>
          <w:color w:val="auto"/>
          <w:highlight w:val="none"/>
        </w:rPr>
        <w:suppressLineNumbers w:val="0"/>
      </w:pPr>
      <w:r>
        <w:rPr>
          <w:color w:val="auto"/>
          <w:highlight w:val="none"/>
        </w:rPr>
        <w:t xml:space="preserve">供应商（电子签章）：</w:t>
      </w:r>
      <w:r/>
    </w:p>
    <w:p>
      <w:pPr>
        <w:ind w:right="0" w:firstLine="480"/>
        <w:keepLines w:val="0"/>
        <w:keepNext w:val="0"/>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期：</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w:t>
      </w:r>
      <w:r/>
    </w:p>
    <w:p>
      <w:pPr>
        <w:numPr>
          <w:ilvl w:val="0"/>
          <w:numId w:val="0"/>
        </w:numPr>
        <w:keepLines w:val="0"/>
        <w:keepNext w:val="0"/>
        <w:pageBreakBefore w:val="0"/>
        <w:spacing w:line="360" w:lineRule="auto"/>
        <w:widowControl w:val="off"/>
        <w:rPr>
          <w:rFonts w:hint="eastAsia" w:ascii="黑体" w:hAnsi="黑体" w:eastAsia="黑体" w:cs="黑体"/>
          <w:b w:val="0"/>
          <w:bCs w:val="0"/>
          <w:iCs/>
          <w:color w:val="auto"/>
          <w:sz w:val="28"/>
          <w:szCs w:val="28"/>
          <w:highlight w:val="none"/>
        </w:rPr>
        <w:outlineLvl w:val="1"/>
      </w:pPr>
      <w:r>
        <w:rPr>
          <w:color w:val="auto"/>
          <w:highlight w:val="none"/>
        </w:rPr>
        <w:br w:type="page" w:clear="all"/>
      </w:r>
      <w:bookmarkEnd w:id="323"/>
      <w:r/>
      <w:bookmarkEnd w:id="326"/>
      <w:r/>
      <w:bookmarkStart w:id="327" w:name="_Toc225"/>
      <w:r>
        <w:rPr>
          <w:rFonts w:hint="eastAsia" w:ascii="黑体" w:hAnsi="黑体" w:eastAsia="黑体" w:cs="黑体"/>
          <w:iCs/>
          <w:color w:val="auto"/>
          <w:sz w:val="28"/>
          <w:szCs w:val="28"/>
          <w:highlight w:val="none"/>
          <w:lang w:val="en-US" w:eastAsia="zh-CN"/>
        </w:rPr>
        <w:t xml:space="preserve">十八、</w:t>
      </w:r>
      <w:r>
        <w:rPr>
          <w:rFonts w:hint="eastAsia" w:ascii="黑体" w:hAnsi="黑体" w:eastAsia="黑体" w:cs="黑体"/>
          <w:b w:val="0"/>
          <w:bCs w:val="0"/>
          <w:iCs/>
          <w:color w:val="auto"/>
          <w:sz w:val="28"/>
          <w:szCs w:val="28"/>
          <w:highlight w:val="none"/>
        </w:rPr>
        <w:t xml:space="preserve">技术条款响应表</w:t>
      </w:r>
      <w:bookmarkEnd w:id="327"/>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p>
      <w:pPr>
        <w:ind w:firstLine="480"/>
        <w:keepLines w:val="0"/>
        <w:keepNext w:val="0"/>
        <w:pageBreakBefore w:val="0"/>
        <w:spacing w:line="360" w:lineRule="auto"/>
        <w:widowControl w:val="off"/>
        <w:rPr>
          <w:rFonts w:hint="eastAsia" w:ascii="宋体" w:hAnsi="宋体" w:eastAsia="宋体" w:cs="宋体"/>
          <w:iCs/>
          <w:color w:val="auto"/>
          <w:sz w:val="24"/>
          <w:szCs w:val="24"/>
          <w:highlight w:val="none"/>
          <w:lang w:eastAsia="zh-CN"/>
        </w:rPr>
      </w:pPr>
      <w:r>
        <w:rPr>
          <w:rFonts w:hint="eastAsia" w:ascii="宋体" w:hAnsi="宋体" w:eastAsia="宋体" w:cs="宋体"/>
          <w:bCs/>
          <w:color w:val="auto"/>
          <w:sz w:val="24"/>
          <w:szCs w:val="24"/>
          <w:highlight w:val="none"/>
        </w:rPr>
        <w:t xml:space="preserve">项目名称：</w:t>
      </w:r>
      <w:r>
        <w:rPr>
          <w:rFonts w:hint="eastAsia" w:ascii="宋体" w:hAnsi="宋体" w:eastAsia="宋体" w:cs="宋体"/>
          <w:color w:val="auto"/>
          <w:sz w:val="24"/>
          <w:szCs w:val="24"/>
          <w:highlight w:val="none"/>
          <w:lang w:val="zh-CN"/>
        </w:rPr>
        <w:t xml:space="preserve"> </w:t>
      </w:r>
      <w:r/>
    </w:p>
    <w:tbl>
      <w:tblPr>
        <w:tblStyle w:val="958"/>
        <w:tblW w:w="91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3086"/>
        <w:gridCol w:w="2419"/>
        <w:gridCol w:w="1410"/>
        <w:gridCol w:w="1520"/>
      </w:tblGrid>
      <w:tr>
        <w:trPr>
          <w:cantSplit/>
          <w:trHeight w:val="362"/>
        </w:trPr>
        <w:tc>
          <w:tcPr>
            <w:tcW w:w="7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0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W w:w="241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磋商响应情况</w:t>
            </w:r>
            <w:r/>
          </w:p>
        </w:tc>
        <w:tc>
          <w:tcPr>
            <w:tcW w:w="14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满足、正或负偏离</w:t>
            </w:r>
            <w:r/>
          </w:p>
        </w:tc>
        <w:tc>
          <w:tcPr>
            <w:tcW w:w="1520" w:type="dxa"/>
            <w:vAlign w:val="center"/>
            <w:textDirection w:val="lrTb"/>
            <w:noWrap w:val="false"/>
          </w:tcPr>
          <w:p>
            <w:pPr>
              <w:jc w:val="center"/>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证明材料</w:t>
            </w:r>
            <w:r>
              <w:rPr>
                <w:rFonts w:hint="eastAsia" w:ascii="宋体" w:hAnsi="宋体" w:eastAsia="宋体" w:cs="宋体"/>
                <w:color w:val="auto"/>
                <w:sz w:val="24"/>
                <w:szCs w:val="24"/>
                <w:highlight w:val="none"/>
                <w:lang w:val="en-US" w:eastAsia="zh-CN"/>
              </w:rPr>
              <w:t xml:space="preserve">所在页码</w:t>
            </w:r>
            <w:r/>
          </w:p>
        </w:tc>
      </w:tr>
      <w:tr>
        <w:trPr>
          <w:cantSplit/>
          <w:trHeight w:val="372"/>
        </w:trPr>
        <w:tc>
          <w:tcPr>
            <w:tcW w:w="76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8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19"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72"/>
        </w:trPr>
        <w:tc>
          <w:tcPr>
            <w:tcW w:w="76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8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19"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72"/>
        </w:trPr>
        <w:tc>
          <w:tcPr>
            <w:tcW w:w="76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8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19"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72"/>
        </w:trPr>
        <w:tc>
          <w:tcPr>
            <w:tcW w:w="76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8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19"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77"/>
        </w:trPr>
        <w:tc>
          <w:tcPr>
            <w:tcW w:w="76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8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419"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97"/>
            <w:r/>
            <w:r/>
          </w:p>
        </w:tc>
      </w:tr>
    </w:tbl>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328" w:name="_Toc2858"/>
      <w:r>
        <w:rPr>
          <w:rFonts w:hint="eastAsia" w:ascii="宋体" w:hAnsi="宋体" w:eastAsia="宋体" w:cs="宋体"/>
          <w:b/>
          <w:bCs/>
          <w:color w:val="auto"/>
          <w:sz w:val="24"/>
          <w:szCs w:val="24"/>
          <w:highlight w:val="none"/>
        </w:rPr>
        <w:t xml:space="preserve">注： 行数不够，可自行添加。请供应商针对</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文件“第四章 </w:t>
      </w:r>
      <w:r>
        <w:rPr>
          <w:rFonts w:hint="eastAsia" w:ascii="宋体" w:hAnsi="宋体" w:eastAsia="宋体" w:cs="宋体"/>
          <w:b/>
          <w:bCs/>
          <w:color w:val="auto"/>
          <w:sz w:val="24"/>
          <w:szCs w:val="24"/>
          <w:highlight w:val="none"/>
          <w:lang w:eastAsia="zh-CN"/>
        </w:rPr>
        <w:t xml:space="preserve">采购需求</w:t>
      </w:r>
      <w:r>
        <w:rPr>
          <w:rFonts w:hint="eastAsia" w:ascii="宋体" w:hAnsi="宋体" w:eastAsia="宋体" w:cs="宋体"/>
          <w:b/>
          <w:bCs/>
          <w:color w:val="auto"/>
          <w:sz w:val="24"/>
          <w:szCs w:val="24"/>
          <w:highlight w:val="none"/>
        </w:rPr>
        <w:t xml:space="preserve">”进行响应。</w:t>
      </w:r>
      <w:r>
        <w:rPr>
          <w:rFonts w:hint="eastAsia" w:ascii="宋体" w:hAnsi="宋体" w:eastAsia="宋体" w:cs="宋体"/>
          <w:color w:val="auto"/>
          <w:sz w:val="24"/>
          <w:szCs w:val="24"/>
          <w:highlight w:val="none"/>
        </w:rPr>
        <w:t xml:space="preserve">未在</w:t>
      </w:r>
      <w:r>
        <w:rPr>
          <w:rFonts w:hint="eastAsia" w:ascii="宋体" w:hAnsi="宋体" w:eastAsia="宋体" w:cs="宋体"/>
          <w:color w:val="auto"/>
          <w:sz w:val="24"/>
          <w:szCs w:val="24"/>
          <w:highlight w:val="none"/>
          <w:lang w:eastAsia="zh-CN"/>
        </w:rPr>
        <w:t xml:space="preserve">技术条款响应表</w:t>
      </w:r>
      <w:r>
        <w:rPr>
          <w:rFonts w:hint="eastAsia" w:ascii="宋体" w:hAnsi="宋体" w:eastAsia="宋体" w:cs="宋体"/>
          <w:color w:val="auto"/>
          <w:sz w:val="24"/>
          <w:szCs w:val="24"/>
          <w:highlight w:val="none"/>
        </w:rPr>
        <w:t xml:space="preserve">中列出的部分，采购人将视同供应商满足采购文件要求的对应内容，无偏离。如供应商在签约时，以未在响应文件</w:t>
      </w:r>
      <w:r>
        <w:rPr>
          <w:rFonts w:hint="eastAsia" w:ascii="宋体" w:hAnsi="宋体" w:eastAsia="宋体" w:cs="宋体"/>
          <w:color w:val="auto"/>
          <w:sz w:val="24"/>
          <w:szCs w:val="24"/>
          <w:highlight w:val="none"/>
          <w:lang w:eastAsia="zh-CN"/>
        </w:rPr>
        <w:t xml:space="preserve">技术条款响应表</w:t>
      </w:r>
      <w:r>
        <w:rPr>
          <w:rFonts w:hint="eastAsia" w:ascii="宋体" w:hAnsi="宋体" w:eastAsia="宋体" w:cs="宋体"/>
          <w:color w:val="auto"/>
          <w:sz w:val="24"/>
          <w:szCs w:val="24"/>
          <w:highlight w:val="none"/>
        </w:rPr>
        <w:t xml:space="preserve">中列出的内容为由对采购文件的规定提出任何异议，将导致取消其成交资格。同时采购人有权按评标时的排名顺序，另行确定成交供应商。</w:t>
      </w:r>
      <w:r/>
    </w:p>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供应商全称（加盖公章）：</w:t>
      </w:r>
      <w:r/>
    </w:p>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法人或授权代表（签字）:</w:t>
      </w:r>
      <w:r/>
    </w:p>
    <w:p>
      <w:pPr>
        <w:ind w:firstLine="480"/>
        <w:jc w:val="left"/>
        <w:keepLines w:val="0"/>
        <w:keepNext w:val="0"/>
        <w:pageBreakBefore w:val="0"/>
        <w:widowControl w:val="off"/>
        <w:rPr>
          <w:rFonts w:hint="eastAsia" w:ascii="宋体" w:hAnsi="宋体" w:eastAsia="宋体" w:cs="宋体"/>
          <w:iCs/>
          <w:color w:val="auto"/>
          <w:sz w:val="32"/>
          <w:szCs w:val="32"/>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bookmarkEnd w:id="258"/>
      <w:r/>
      <w:bookmarkEnd w:id="259"/>
      <w:r/>
      <w:bookmarkEnd w:id="328"/>
      <w:r/>
      <w:r/>
    </w:p>
    <w:p>
      <w:pPr>
        <w:ind w:firstLine="643"/>
        <w:jc w:val="left"/>
        <w:keepLines w:val="0"/>
        <w:keepNext w:val="0"/>
        <w:pageBreakBefore w:val="0"/>
        <w:widowControl w:val="off"/>
        <w:rPr>
          <w:rFonts w:hint="eastAsia" w:ascii="宋体" w:hAnsi="宋体"/>
          <w:b/>
          <w:color w:val="auto"/>
          <w:szCs w:val="24"/>
          <w:highlight w:val="none"/>
          <w:lang w:val="zh-CN"/>
        </w:rPr>
        <w:outlineLvl w:val="1"/>
      </w:pPr>
      <w:r>
        <w:rPr>
          <w:rFonts w:hint="eastAsia" w:ascii="宋体" w:hAnsi="宋体" w:eastAsia="宋体" w:cs="宋体"/>
          <w:b/>
          <w:bCs/>
          <w:iCs/>
          <w:color w:val="auto"/>
          <w:sz w:val="32"/>
          <w:szCs w:val="32"/>
          <w:highlight w:val="none"/>
          <w:lang w:val="en-US" w:eastAsia="zh-CN" w:bidi="ar-SA"/>
        </w:rPr>
        <w:br w:type="page" w:clear="all"/>
      </w:r>
      <w:bookmarkStart w:id="329" w:name="_Toc22935"/>
      <w:r>
        <w:rPr>
          <w:rFonts w:hint="eastAsia" w:ascii="黑体" w:hAnsi="黑体" w:eastAsia="黑体" w:cs="黑体"/>
          <w:b w:val="0"/>
          <w:bCs w:val="0"/>
          <w:iCs/>
          <w:color w:val="auto"/>
          <w:sz w:val="28"/>
          <w:szCs w:val="28"/>
          <w:highlight w:val="none"/>
          <w:lang w:val="en-US" w:eastAsia="zh-CN" w:bidi="ar-SA"/>
        </w:rPr>
        <w:t xml:space="preserve">十九、</w:t>
      </w:r>
      <w:bookmarkEnd w:id="329"/>
      <w:r>
        <w:rPr>
          <w:rFonts w:hint="eastAsia" w:ascii="黑体" w:hAnsi="黑体" w:eastAsia="黑体" w:cs="黑体"/>
          <w:b w:val="0"/>
          <w:bCs/>
          <w:color w:val="auto"/>
          <w:sz w:val="28"/>
          <w:szCs w:val="28"/>
          <w:highlight w:val="none"/>
        </w:rPr>
        <w:t xml:space="preserve">业绩一览表</w:t>
      </w:r>
      <w:r/>
    </w:p>
    <w:p>
      <w:pPr>
        <w:ind w:firstLine="21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项目编号：</w:t>
      </w:r>
      <w:r/>
    </w:p>
    <w:p>
      <w:pPr>
        <w:ind w:firstLine="210"/>
        <w:spacing w:line="360" w:lineRule="auto"/>
        <w:rPr>
          <w:rFonts w:hint="eastAsia" w:ascii="宋体" w:hAnsi="宋体" w:eastAsia="宋体" w:cs="宋体"/>
          <w:color w:val="auto"/>
          <w:szCs w:val="24"/>
          <w:highlight w:val="none"/>
          <w:lang w:val="zh-CN"/>
        </w:rPr>
      </w:pPr>
      <w:r>
        <w:rPr>
          <w:rFonts w:hint="eastAsia" w:ascii="宋体" w:hAnsi="宋体" w:eastAsia="宋体" w:cs="宋体"/>
          <w:bCs/>
          <w:color w:val="auto"/>
          <w:szCs w:val="24"/>
          <w:highlight w:val="none"/>
        </w:rPr>
        <w:t xml:space="preserve">项目名称：</w:t>
      </w:r>
      <w:r>
        <w:rPr>
          <w:rFonts w:hint="eastAsia" w:ascii="宋体" w:hAnsi="宋体" w:eastAsia="宋体" w:cs="宋体"/>
          <w:color w:val="auto"/>
          <w:szCs w:val="24"/>
          <w:highlight w:val="none"/>
          <w:lang w:val="zh-CN"/>
        </w:rPr>
        <w:t xml:space="preserve"> </w:t>
      </w:r>
      <w:r/>
    </w:p>
    <w:tbl>
      <w:tblPr>
        <w:tblStyle w:val="958"/>
        <w:tblW w:w="0" w:type="auto"/>
        <w:tblInd w:w="-108" w:type="dxa"/>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919"/>
        <w:gridCol w:w="1687"/>
        <w:gridCol w:w="3383"/>
        <w:gridCol w:w="3180"/>
      </w:tblGrid>
      <w:tr>
        <w:trPr>
          <w:tblHeade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序号</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时间</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项目名称</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委托单位</w:t>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spacing w:before="100" w:beforeAutospacing="1" w:after="100" w:afterAutospacing="1"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 </w:t>
            </w:r>
            <w:r/>
          </w:p>
        </w:tc>
      </w:tr>
    </w:tbl>
    <w:p>
      <w:pPr>
        <w:spacing w:line="360" w:lineRule="auto"/>
        <w:shd w:val="clear" w:color="auto" w:fill="ffffff"/>
        <w:widowControl/>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说明：</w:t>
      </w:r>
      <w:r>
        <w:rPr>
          <w:rFonts w:hint="eastAsia" w:ascii="宋体" w:hAnsi="宋体" w:eastAsia="宋体" w:cs="宋体"/>
          <w:color w:val="auto"/>
          <w:szCs w:val="24"/>
          <w:highlight w:val="none"/>
          <w:lang w:val="en-US" w:eastAsia="zh-CN"/>
        </w:rPr>
        <w:t xml:space="preserve">应</w:t>
      </w:r>
      <w:r>
        <w:rPr>
          <w:rFonts w:hint="eastAsia" w:ascii="宋体" w:hAnsi="宋体" w:eastAsia="宋体" w:cs="宋体"/>
          <w:color w:val="auto"/>
          <w:szCs w:val="24"/>
          <w:highlight w:val="none"/>
          <w:lang w:val="zh-CN"/>
        </w:rPr>
        <w:t xml:space="preserve">根据</w:t>
      </w:r>
      <w:r>
        <w:rPr>
          <w:rFonts w:hint="eastAsia" w:ascii="宋体" w:hAnsi="宋体" w:eastAsia="宋体" w:cs="宋体"/>
          <w:color w:val="auto"/>
          <w:szCs w:val="24"/>
          <w:highlight w:val="none"/>
          <w:lang w:val="en-US" w:eastAsia="zh-CN"/>
        </w:rPr>
        <w:t xml:space="preserve">评审</w:t>
      </w:r>
      <w:r>
        <w:rPr>
          <w:rFonts w:hint="eastAsia" w:ascii="宋体" w:hAnsi="宋体" w:eastAsia="宋体" w:cs="宋体"/>
          <w:color w:val="auto"/>
          <w:szCs w:val="24"/>
          <w:highlight w:val="none"/>
          <w:lang w:val="zh-CN"/>
        </w:rPr>
        <w:t xml:space="preserve">标准要求，提供相应的证明材料。</w:t>
      </w:r>
      <w:r/>
    </w:p>
    <w:p>
      <w:pPr>
        <w:ind w:firstLine="420"/>
        <w:keepLines w:val="0"/>
        <w:keepNext w:val="0"/>
        <w:pageBreakBefore w:val="0"/>
        <w:spacing w:before="100" w:beforeAutospacing="1" w:after="100" w:afterAutospacing="1" w:line="360" w:lineRule="auto"/>
        <w:shd w:val="clear" w:color="auto" w:fill="ffffff"/>
        <w:widowControl/>
        <w:rPr>
          <w:rFonts w:hint="eastAsia" w:ascii="宋体" w:cs="宋体"/>
          <w:color w:val="auto"/>
          <w:szCs w:val="24"/>
          <w:highlight w:val="none"/>
          <w:lang w:val="zh-CN"/>
        </w:rPr>
      </w:pPr>
      <w:r>
        <w:rPr>
          <w:rFonts w:hint="eastAsia" w:ascii="宋体" w:hAnsi="宋体" w:eastAsia="宋体" w:cs="宋体"/>
          <w:color w:val="auto"/>
          <w:sz w:val="21"/>
          <w:szCs w:val="21"/>
          <w:highlight w:val="none"/>
          <w:lang w:val="zh-CN"/>
        </w:rPr>
        <w:t xml:space="preserve">供应商名称：</w:t>
      </w:r>
      <w:r>
        <w:rPr>
          <w:rFonts w:hint="eastAsia" w:ascii="宋体" w:hAnsi="宋体" w:eastAsia="宋体" w:cs="宋体"/>
          <w:color w:val="auto"/>
          <w:sz w:val="21"/>
          <w:szCs w:val="21"/>
          <w:highlight w:val="none"/>
          <w:u w:val="single"/>
          <w:lang w:val="zh-CN"/>
        </w:rPr>
        <w:t xml:space="preserve">    </w:t>
      </w:r>
      <w:r>
        <w:rPr>
          <w:rFonts w:hint="eastAsia" w:ascii="宋体" w:cs="宋体"/>
          <w:color w:val="auto"/>
          <w:szCs w:val="24"/>
          <w:highlight w:val="none"/>
          <w:u w:val="single"/>
          <w:lang w:val="zh-CN"/>
        </w:rPr>
        <w:t xml:space="preserve">            </w:t>
      </w:r>
      <w:r>
        <w:rPr>
          <w:rFonts w:hint="eastAsia" w:ascii="宋体" w:cs="宋体"/>
          <w:color w:val="auto"/>
          <w:szCs w:val="24"/>
          <w:highlight w:val="none"/>
          <w:lang w:val="zh-CN"/>
        </w:rPr>
        <w:t xml:space="preserve">（盖章）</w:t>
      </w:r>
      <w:r/>
    </w:p>
    <w:p>
      <w:pPr>
        <w:ind w:firstLine="420"/>
        <w:keepLines w:val="0"/>
        <w:keepNext w:val="0"/>
        <w:pageBreakBefore w:val="0"/>
        <w:spacing w:before="100" w:beforeAutospacing="1" w:after="100" w:afterAutospacing="1" w:line="360" w:lineRule="auto"/>
        <w:shd w:val="clear" w:color="auto" w:fill="ffffff"/>
        <w:widowControl/>
        <w:rPr>
          <w:rFonts w:hint="eastAsia" w:ascii="宋体" w:cs="宋体"/>
          <w:color w:val="auto"/>
          <w:szCs w:val="24"/>
          <w:highlight w:val="none"/>
          <w:lang w:val="en-US" w:eastAsia="zh-CN"/>
        </w:rPr>
      </w:pPr>
      <w:r>
        <w:rPr>
          <w:rFonts w:hint="eastAsia" w:ascii="宋体" w:cs="宋体"/>
          <w:color w:val="auto"/>
          <w:szCs w:val="24"/>
          <w:highlight w:val="none"/>
          <w:lang w:val="en-US" w:eastAsia="zh-CN"/>
        </w:rPr>
        <w:t xml:space="preserve">日期：   年      月        日</w:t>
      </w:r>
      <w:r/>
    </w:p>
    <w:p>
      <w:pPr>
        <w:pStyle w:val="951"/>
        <w:rPr>
          <w:rFonts w:hint="eastAsia" w:ascii="宋体" w:cs="宋体"/>
          <w:color w:val="auto"/>
          <w:szCs w:val="24"/>
          <w:highlight w:val="none"/>
          <w:lang w:val="en-US" w:eastAsia="zh-CN"/>
        </w:rPr>
      </w:pPr>
      <w:r>
        <w:rPr>
          <w:rFonts w:hint="eastAsia" w:ascii="宋体" w:cs="宋体"/>
          <w:color w:val="auto"/>
          <w:szCs w:val="24"/>
          <w:highlight w:val="none"/>
          <w:lang w:val="en-US" w:eastAsia="zh-CN"/>
        </w:rPr>
      </w:r>
      <w:r/>
    </w:p>
    <w:p>
      <w:pPr>
        <w:rPr>
          <w:rFonts w:hint="eastAsia" w:ascii="宋体" w:cs="宋体"/>
          <w:color w:val="auto"/>
          <w:szCs w:val="24"/>
          <w:highlight w:val="none"/>
          <w:lang w:val="en-US" w:eastAsia="zh-CN"/>
        </w:rPr>
      </w:pPr>
      <w:r>
        <w:rPr>
          <w:rFonts w:hint="eastAsia" w:ascii="宋体" w:cs="宋体"/>
          <w:color w:val="auto"/>
          <w:szCs w:val="24"/>
          <w:highlight w:val="none"/>
          <w:lang w:val="en-US" w:eastAsia="zh-CN"/>
        </w:rPr>
      </w:r>
      <w:r/>
    </w:p>
    <w:p>
      <w:pPr>
        <w:pStyle w:val="951"/>
        <w:rPr>
          <w:rFonts w:hint="eastAsia" w:ascii="宋体" w:cs="宋体"/>
          <w:color w:val="auto"/>
          <w:szCs w:val="24"/>
          <w:highlight w:val="none"/>
          <w:lang w:val="en-US" w:eastAsia="zh-CN"/>
        </w:rPr>
      </w:pPr>
      <w:r>
        <w:rPr>
          <w:rFonts w:hint="eastAsia" w:ascii="宋体" w:cs="宋体"/>
          <w:color w:val="auto"/>
          <w:szCs w:val="24"/>
          <w:highlight w:val="none"/>
          <w:lang w:val="en-US" w:eastAsia="zh-CN"/>
        </w:rPr>
      </w:r>
      <w:r/>
    </w:p>
    <w:p>
      <w:pPr>
        <w:rPr>
          <w:rFonts w:hint="eastAsia" w:ascii="宋体" w:cs="宋体"/>
          <w:color w:val="auto"/>
          <w:szCs w:val="24"/>
          <w:highlight w:val="none"/>
          <w:lang w:val="en-US" w:eastAsia="zh-CN"/>
        </w:rPr>
      </w:pPr>
      <w:r>
        <w:rPr>
          <w:rFonts w:hint="eastAsia" w:ascii="宋体" w:cs="宋体"/>
          <w:color w:val="auto"/>
          <w:szCs w:val="24"/>
          <w:highlight w:val="none"/>
          <w:lang w:val="en-US" w:eastAsia="zh-CN"/>
        </w:rPr>
      </w:r>
      <w:r/>
    </w:p>
    <w:p>
      <w:pPr>
        <w:pStyle w:val="951"/>
        <w:rPr>
          <w:rFonts w:hint="eastAsia" w:ascii="宋体" w:cs="宋体"/>
          <w:color w:val="auto"/>
          <w:szCs w:val="24"/>
          <w:highlight w:val="none"/>
          <w:lang w:val="en-US" w:eastAsia="zh-CN"/>
        </w:rPr>
      </w:pPr>
      <w:r>
        <w:rPr>
          <w:rFonts w:hint="eastAsia" w:ascii="宋体" w:cs="宋体"/>
          <w:color w:val="auto"/>
          <w:szCs w:val="24"/>
          <w:highlight w:val="none"/>
          <w:lang w:val="en-US" w:eastAsia="zh-CN"/>
        </w:rPr>
      </w:r>
      <w:r/>
    </w:p>
    <w:p>
      <w:pPr>
        <w:rPr>
          <w:rFonts w:hint="eastAsia" w:ascii="宋体" w:cs="宋体"/>
          <w:color w:val="auto"/>
          <w:szCs w:val="24"/>
          <w:highlight w:val="none"/>
          <w:lang w:val="en-US" w:eastAsia="zh-CN"/>
        </w:rPr>
      </w:pPr>
      <w:r>
        <w:rPr>
          <w:rFonts w:hint="eastAsia" w:ascii="宋体" w:cs="宋体"/>
          <w:color w:val="auto"/>
          <w:szCs w:val="24"/>
          <w:highlight w:val="none"/>
          <w:lang w:val="en-US" w:eastAsia="zh-CN"/>
        </w:rPr>
      </w:r>
      <w:r/>
    </w:p>
    <w:p>
      <w:pPr>
        <w:pStyle w:val="951"/>
        <w:rPr>
          <w:rFonts w:hint="eastAsia" w:ascii="宋体" w:cs="宋体"/>
          <w:color w:val="auto"/>
          <w:szCs w:val="24"/>
          <w:highlight w:val="none"/>
          <w:lang w:val="en-US" w:eastAsia="zh-CN"/>
        </w:rPr>
      </w:pPr>
      <w:r>
        <w:rPr>
          <w:rFonts w:hint="eastAsia" w:ascii="宋体" w:cs="宋体"/>
          <w:color w:val="auto"/>
          <w:szCs w:val="24"/>
          <w:highlight w:val="none"/>
          <w:lang w:val="en-US" w:eastAsia="zh-CN"/>
        </w:rPr>
      </w:r>
      <w:r/>
    </w:p>
    <w:p>
      <w:pPr>
        <w:rPr>
          <w:rFonts w:hint="eastAsia" w:ascii="宋体" w:cs="宋体"/>
          <w:color w:val="auto"/>
          <w:szCs w:val="24"/>
          <w:highlight w:val="none"/>
          <w:lang w:val="en-US" w:eastAsia="zh-CN"/>
        </w:rPr>
      </w:pPr>
      <w:r>
        <w:rPr>
          <w:rFonts w:hint="eastAsia" w:ascii="宋体" w:cs="宋体"/>
          <w:color w:val="auto"/>
          <w:szCs w:val="24"/>
          <w:highlight w:val="none"/>
          <w:lang w:val="en-US" w:eastAsia="zh-CN"/>
        </w:rPr>
      </w:r>
      <w:r/>
    </w:p>
    <w:p>
      <w:pPr>
        <w:pStyle w:val="951"/>
        <w:rPr>
          <w:rFonts w:hint="eastAsia" w:ascii="宋体" w:cs="宋体"/>
          <w:color w:val="auto"/>
          <w:szCs w:val="24"/>
          <w:highlight w:val="none"/>
          <w:lang w:val="en-US" w:eastAsia="zh-CN"/>
        </w:rPr>
      </w:pPr>
      <w:r>
        <w:rPr>
          <w:rFonts w:hint="eastAsia" w:ascii="宋体" w:cs="宋体"/>
          <w:color w:val="auto"/>
          <w:szCs w:val="24"/>
          <w:highlight w:val="none"/>
          <w:lang w:val="en-US" w:eastAsia="zh-CN"/>
        </w:rPr>
      </w:r>
      <w:r/>
    </w:p>
    <w:p>
      <w:pPr>
        <w:rPr>
          <w:rFonts w:hint="eastAsia" w:ascii="宋体" w:cs="宋体"/>
          <w:color w:val="auto"/>
          <w:szCs w:val="24"/>
          <w:highlight w:val="none"/>
          <w:lang w:val="en-US" w:eastAsia="zh-CN"/>
        </w:rPr>
      </w:pPr>
      <w:r>
        <w:rPr>
          <w:rFonts w:hint="eastAsia" w:ascii="宋体" w:cs="宋体"/>
          <w:color w:val="auto"/>
          <w:szCs w:val="24"/>
          <w:highlight w:val="none"/>
          <w:lang w:val="en-US" w:eastAsia="zh-CN"/>
        </w:rPr>
      </w:r>
      <w:r/>
    </w:p>
    <w:p>
      <w:pPr>
        <w:pStyle w:val="951"/>
        <w:rPr>
          <w:rFonts w:hint="eastAsia"/>
          <w:color w:val="auto"/>
          <w:highlight w:val="none"/>
          <w:lang w:val="en-US" w:eastAsia="zh-CN"/>
        </w:rPr>
      </w:pPr>
      <w:r>
        <w:rPr>
          <w:rFonts w:hint="eastAsia"/>
          <w:color w:val="auto"/>
          <w:highlight w:val="none"/>
          <w:lang w:val="en-US" w:eastAsia="zh-CN"/>
        </w:rPr>
      </w:r>
      <w:r/>
    </w:p>
    <w:p>
      <w:pPr>
        <w:ind w:left="420"/>
        <w:jc w:val="center"/>
        <w:spacing w:line="360" w:lineRule="auto"/>
        <w:shd w:val="clear" w:color="auto" w:fill="ffffff"/>
        <w:widowControl/>
        <w:rPr>
          <w:rFonts w:asciiTheme="minorEastAsia" w:hAnsiTheme="minorEastAsia" w:eastAsiaTheme="minorEastAsia"/>
          <w:b/>
          <w:color w:val="auto"/>
          <w:sz w:val="30"/>
          <w:szCs w:val="30"/>
          <w:highlight w:val="none"/>
        </w:rPr>
      </w:pPr>
      <w:r/>
      <w:bookmarkStart w:id="330" w:name="_Hlk67995747"/>
      <w:r>
        <w:rPr>
          <w:rFonts w:hint="eastAsia" w:asciiTheme="minorEastAsia" w:hAnsiTheme="minorEastAsia" w:eastAsiaTheme="minorEastAsia"/>
          <w:b/>
          <w:color w:val="auto"/>
          <w:sz w:val="32"/>
          <w:szCs w:val="32"/>
          <w:highlight w:val="none"/>
        </w:rPr>
        <w:t xml:space="preserve">拟参与本项目服务人员一览表</w:t>
      </w:r>
      <w:bookmarkEnd w:id="330"/>
      <w:r/>
      <w:bookmarkStart w:id="331" w:name="_Hlk66378104"/>
      <w:r/>
      <w:bookmarkEnd w:id="331"/>
      <w:r/>
      <w:r/>
    </w:p>
    <w:p>
      <w:pPr>
        <w:jc w:val="center"/>
        <w:widowControl/>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p>
    <w:p>
      <w:pPr>
        <w:widowControl/>
        <w:rPr>
          <w:rFonts w:asciiTheme="minorEastAsia" w:hAnsiTheme="minorEastAsia" w:eastAsiaTheme="minorEastAsia"/>
          <w:color w:val="auto"/>
          <w:szCs w:val="21"/>
          <w:highlight w:val="none"/>
        </w:rPr>
      </w:pPr>
      <w:r/>
      <w:bookmarkStart w:id="332" w:name="_Hlk66784308"/>
      <w:r>
        <w:rPr>
          <w:rFonts w:hint="eastAsia" w:asciiTheme="minorEastAsia" w:hAnsiTheme="minorEastAsia" w:eastAsiaTheme="minorEastAsia"/>
          <w:color w:val="auto"/>
          <w:szCs w:val="21"/>
          <w:highlight w:val="none"/>
        </w:rPr>
        <w:t xml:space="preserve">项目名称：                                 项目编号：</w:t>
      </w:r>
      <w:bookmarkEnd w:id="332"/>
      <w:r/>
      <w:r/>
    </w:p>
    <w:tbl>
      <w:tblPr>
        <w:tblStyle w:val="958"/>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执业</w:t>
            </w:r>
            <w:r/>
          </w:p>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如：项目经理，技术人员、驻场人员...</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bl>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rPr>
          <w:rFonts w:asciiTheme="minorEastAsia" w:hAnsiTheme="minorEastAsia" w:eastAsiaTheme="minorEastAsia"/>
          <w:color w:val="auto"/>
          <w:szCs w:val="21"/>
          <w:highlight w:val="none"/>
        </w:rPr>
        <w:t xml:space="preserve">如果行数不够，请自行增加。</w:t>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5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5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5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5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50"/>
        <w:jc w:val="center"/>
        <w:spacing w:before="0" w:after="0"/>
        <w:rPr>
          <w:rFonts w:hint="eastAsia" w:hAnsi="宋体" w:cs="宋体"/>
          <w:b/>
          <w:color w:val="auto"/>
          <w:sz w:val="28"/>
          <w:szCs w:val="28"/>
          <w:highlight w:val="none"/>
        </w:rPr>
      </w:pPr>
      <w:r>
        <w:rPr>
          <w:rFonts w:hint="eastAsia" w:hAnsi="宋体" w:cs="宋体"/>
          <w:b/>
          <w:color w:val="auto"/>
          <w:sz w:val="28"/>
          <w:szCs w:val="28"/>
          <w:highlight w:val="none"/>
        </w:rPr>
      </w:r>
      <w:r/>
    </w:p>
    <w:p>
      <w:pPr>
        <w:pStyle w:val="950"/>
        <w:jc w:val="center"/>
        <w:spacing w:before="0" w:after="0"/>
        <w:rPr>
          <w:rFonts w:hint="eastAsia" w:hAnsi="宋体" w:cs="宋体"/>
          <w:b/>
          <w:color w:val="auto"/>
          <w:sz w:val="28"/>
          <w:szCs w:val="28"/>
          <w:highlight w:val="none"/>
        </w:rPr>
      </w:pPr>
      <w:r>
        <w:rPr>
          <w:rFonts w:hint="eastAsia" w:hAnsi="宋体" w:cs="宋体"/>
          <w:b/>
          <w:color w:val="auto"/>
          <w:sz w:val="28"/>
          <w:szCs w:val="28"/>
          <w:highlight w:val="none"/>
        </w:rPr>
      </w:r>
      <w:r/>
    </w:p>
    <w:p>
      <w:pPr>
        <w:pStyle w:val="950"/>
        <w:jc w:val="center"/>
        <w:spacing w:before="0" w:after="0"/>
        <w:rPr>
          <w:rFonts w:hint="eastAsia" w:hAnsi="宋体" w:cs="宋体"/>
          <w:b/>
          <w:color w:val="auto"/>
          <w:sz w:val="28"/>
          <w:szCs w:val="28"/>
          <w:highlight w:val="none"/>
        </w:rPr>
      </w:pPr>
      <w:r>
        <w:rPr>
          <w:rFonts w:hint="eastAsia" w:hAnsi="宋体" w:eastAsia="宋体" w:cs="宋体"/>
          <w:b/>
          <w:color w:val="auto"/>
          <w:sz w:val="28"/>
          <w:szCs w:val="28"/>
          <w:highlight w:val="none"/>
          <w:lang w:val="en-US" w:eastAsia="zh-CN"/>
        </w:rPr>
        <w:t xml:space="preserve">二十、</w:t>
      </w:r>
      <w:r>
        <w:rPr>
          <w:rFonts w:hint="eastAsia" w:hAnsi="宋体" w:cs="宋体"/>
          <w:b/>
          <w:color w:val="auto"/>
          <w:sz w:val="28"/>
          <w:szCs w:val="28"/>
          <w:highlight w:val="none"/>
        </w:rPr>
        <w:t xml:space="preserve">关于符合本国产品标准的声明函</w:t>
      </w:r>
      <w:r/>
    </w:p>
    <w:p>
      <w:pPr>
        <w:pStyle w:val="966"/>
        <w:ind w:firstLine="480"/>
        <w:spacing w:line="360" w:lineRule="auto"/>
        <w:rPr>
          <w:rFonts w:hint="eastAsia" w:hAnsi="宋体" w:cs="Times New Roman"/>
          <w:color w:val="auto"/>
          <w:sz w:val="24"/>
          <w:szCs w:val="24"/>
          <w:highlight w:val="none"/>
        </w:rPr>
      </w:pPr>
      <w:r>
        <w:rPr>
          <w:rFonts w:hint="eastAsia" w:hAnsi="宋体" w:cs="Times New Roman"/>
          <w:color w:val="auto"/>
          <w:sz w:val="24"/>
          <w:szCs w:val="24"/>
          <w:highlight w:val="none"/>
        </w:rPr>
      </w:r>
      <w:r/>
    </w:p>
    <w:p>
      <w:pPr>
        <w:pStyle w:val="979"/>
        <w:ind w:firstLine="420"/>
        <w:spacing w:before="30" w:beforeAutospacing="0" w:after="30"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9"/>
        <w:ind w:firstLine="420"/>
        <w:spacing w:before="30" w:beforeAutospacing="0" w:after="30"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u w:val="single"/>
          <w:shd w:val="clear" w:color="auto" w:fill="ffffff"/>
        </w:rPr>
        <w:t xml:space="preserve">产品名称1</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u w:val="single"/>
          <w:shd w:val="clear" w:color="auto" w:fill="ffffff"/>
        </w:rPr>
        <w:t xml:space="preserve">厂名</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u w:val="single"/>
          <w:shd w:val="clear" w:color="auto" w:fill="ffffff"/>
        </w:rPr>
        <w:t xml:space="preserve">生产厂址</w:t>
      </w:r>
      <w:r>
        <w:rPr>
          <w:rStyle w:val="983"/>
          <w:rFonts w:hint="eastAsia"/>
          <w:i w:val="0"/>
          <w:color w:val="auto"/>
          <w:sz w:val="21"/>
          <w:szCs w:val="21"/>
          <w:highlight w:val="none"/>
          <w:shd w:val="clear" w:color="auto" w:fill="ffffff"/>
        </w:rPr>
        <w:t xml:space="preserve">）</w:t>
      </w:r>
      <w:r>
        <w:rPr>
          <w:rFonts w:hint="eastAsia"/>
          <w:color w:val="auto"/>
          <w:sz w:val="21"/>
          <w:szCs w:val="21"/>
          <w:highlight w:val="none"/>
          <w:shd w:val="clear" w:color="auto" w:fill="ffffff"/>
        </w:rPr>
        <w:t xml:space="preserve">。</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u w:val="single"/>
          <w:shd w:val="clear" w:color="auto" w:fill="ffffff"/>
        </w:rPr>
        <w:t xml:space="preserve">产品名称1</w:t>
      </w:r>
      <w:r>
        <w:rPr>
          <w:rStyle w:val="983"/>
          <w:rFonts w:hint="eastAsia"/>
          <w:i w:val="0"/>
          <w:color w:val="auto"/>
          <w:sz w:val="21"/>
          <w:szCs w:val="21"/>
          <w:highlight w:val="none"/>
          <w:shd w:val="clear" w:color="auto" w:fill="ffffff"/>
        </w:rPr>
        <w:t xml:space="preserve">）</w:t>
      </w:r>
      <w:r>
        <w:rPr>
          <w:rFonts w:hint="eastAsia"/>
          <w:color w:val="auto"/>
          <w:sz w:val="21"/>
          <w:szCs w:val="21"/>
          <w:highlight w:val="none"/>
          <w:shd w:val="clear" w:color="auto" w:fill="ffffff"/>
        </w:rPr>
        <w:t xml:space="preserve">的中国境内生产的组件成本占比≥</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u w:val="single"/>
          <w:shd w:val="clear" w:color="auto" w:fill="ffffff"/>
        </w:rPr>
        <w:t xml:space="preserve">规定比例</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shd w:val="clear" w:color="auto" w:fill="ffffff"/>
          <w:vertAlign w:val="superscript"/>
        </w:rPr>
        <w:t xml:space="preserve">3</w:t>
      </w:r>
      <w:r>
        <w:rPr>
          <w:rFonts w:hint="eastAsia"/>
          <w:color w:val="auto"/>
          <w:sz w:val="21"/>
          <w:szCs w:val="21"/>
          <w:highlight w:val="none"/>
          <w:shd w:val="clear" w:color="auto" w:fill="ffffff"/>
        </w:rPr>
        <w:t xml:space="preserve">。</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u w:val="single"/>
          <w:shd w:val="clear" w:color="auto" w:fill="ffffff"/>
        </w:rPr>
        <w:t xml:space="preserve">产品名称1</w:t>
      </w:r>
      <w:r>
        <w:rPr>
          <w:rStyle w:val="983"/>
          <w:rFonts w:hint="eastAsia"/>
          <w:i w:val="0"/>
          <w:color w:val="auto"/>
          <w:sz w:val="21"/>
          <w:szCs w:val="21"/>
          <w:highlight w:val="none"/>
          <w:shd w:val="clear" w:color="auto" w:fill="ffffff"/>
        </w:rPr>
        <w:t xml:space="preserve">）</w:t>
      </w:r>
      <w:r>
        <w:rPr>
          <w:rFonts w:hint="eastAsia"/>
          <w:color w:val="auto"/>
          <w:sz w:val="21"/>
          <w:szCs w:val="21"/>
          <w:highlight w:val="none"/>
          <w:shd w:val="clear" w:color="auto" w:fill="ffffff"/>
        </w:rPr>
        <w:t xml:space="preserve">的</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u w:val="single"/>
          <w:shd w:val="clear" w:color="auto" w:fill="ffffff"/>
        </w:rPr>
        <w:t xml:space="preserve">关键组件</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u w:val="single"/>
          <w:shd w:val="clear" w:color="auto" w:fill="ffffff"/>
        </w:rPr>
        <w:t xml:space="preserve">产品名称1</w:t>
      </w:r>
      <w:r>
        <w:rPr>
          <w:rStyle w:val="983"/>
          <w:rFonts w:hint="eastAsia"/>
          <w:i w:val="0"/>
          <w:color w:val="auto"/>
          <w:sz w:val="21"/>
          <w:szCs w:val="21"/>
          <w:highlight w:val="none"/>
          <w:shd w:val="clear" w:color="auto" w:fill="ffffff"/>
        </w:rPr>
        <w:t xml:space="preserve">）</w:t>
      </w:r>
      <w:r>
        <w:rPr>
          <w:rFonts w:hint="eastAsia"/>
          <w:color w:val="auto"/>
          <w:sz w:val="21"/>
          <w:szCs w:val="21"/>
          <w:highlight w:val="none"/>
          <w:shd w:val="clear" w:color="auto" w:fill="ffffff"/>
        </w:rPr>
        <w:t xml:space="preserve">的</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u w:val="single"/>
          <w:shd w:val="clear" w:color="auto" w:fill="ffffff"/>
        </w:rPr>
        <w:t xml:space="preserve">关键工序</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979"/>
        <w:ind w:firstLine="420"/>
        <w:spacing w:before="30" w:beforeAutospacing="0" w:after="30"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u w:val="single"/>
          <w:shd w:val="clear" w:color="auto" w:fill="ffffff"/>
        </w:rPr>
        <w:t xml:space="preserve">产品名称2</w:t>
      </w:r>
      <w:r>
        <w:rPr>
          <w:rStyle w:val="983"/>
          <w:rFonts w:hint="eastAsia"/>
          <w:i w:val="0"/>
          <w:color w:val="auto"/>
          <w:sz w:val="21"/>
          <w:szCs w:val="21"/>
          <w:highlight w:val="none"/>
          <w:shd w:val="clear" w:color="auto" w:fill="ffffff"/>
        </w:rPr>
        <w:t xml:space="preserve">）</w:t>
      </w:r>
      <w:r>
        <w:rPr>
          <w:rFonts w:hint="eastAsia"/>
          <w:color w:val="auto"/>
          <w:sz w:val="21"/>
          <w:szCs w:val="21"/>
          <w:highlight w:val="none"/>
          <w:shd w:val="clear" w:color="auto" w:fill="ffffff"/>
        </w:rPr>
        <w:t xml:space="preserve">，生产厂为</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u w:val="single"/>
          <w:shd w:val="clear" w:color="auto" w:fill="ffffff"/>
        </w:rPr>
        <w:t xml:space="preserve">厂名</w:t>
      </w:r>
      <w:r>
        <w:rPr>
          <w:rStyle w:val="983"/>
          <w:rFonts w:hint="eastAsia"/>
          <w:i w:val="0"/>
          <w:color w:val="auto"/>
          <w:sz w:val="21"/>
          <w:szCs w:val="21"/>
          <w:highlight w:val="none"/>
          <w:shd w:val="clear" w:color="auto" w:fill="ffffff"/>
        </w:rPr>
        <w:t xml:space="preserve">）</w:t>
      </w:r>
      <w:r>
        <w:rPr>
          <w:rFonts w:hint="eastAsia"/>
          <w:color w:val="auto"/>
          <w:sz w:val="21"/>
          <w:szCs w:val="21"/>
          <w:highlight w:val="none"/>
          <w:shd w:val="clear" w:color="auto" w:fill="ffffff"/>
        </w:rPr>
        <w:t xml:space="preserve">，厂址为</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u w:val="single"/>
          <w:shd w:val="clear" w:color="auto" w:fill="ffffff"/>
        </w:rPr>
        <w:t xml:space="preserve">生产厂址</w:t>
      </w:r>
      <w:r>
        <w:rPr>
          <w:rStyle w:val="983"/>
          <w:rFonts w:hint="eastAsia"/>
          <w:i w:val="0"/>
          <w:color w:val="auto"/>
          <w:sz w:val="21"/>
          <w:szCs w:val="21"/>
          <w:highlight w:val="none"/>
          <w:shd w:val="clear" w:color="auto" w:fill="ffffff"/>
        </w:rPr>
        <w:t xml:space="preserve">）</w:t>
      </w:r>
      <w:r>
        <w:rPr>
          <w:rFonts w:hint="eastAsia"/>
          <w:color w:val="auto"/>
          <w:sz w:val="21"/>
          <w:szCs w:val="21"/>
          <w:highlight w:val="none"/>
          <w:shd w:val="clear" w:color="auto" w:fill="ffffff"/>
        </w:rPr>
        <w:t xml:space="preserve">。</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u w:val="single"/>
          <w:shd w:val="clear" w:color="auto" w:fill="ffffff"/>
        </w:rPr>
        <w:t xml:space="preserve">产品名称2</w:t>
      </w:r>
      <w:r>
        <w:rPr>
          <w:rStyle w:val="983"/>
          <w:rFonts w:hint="eastAsia"/>
          <w:i w:val="0"/>
          <w:color w:val="auto"/>
          <w:sz w:val="21"/>
          <w:szCs w:val="21"/>
          <w:highlight w:val="none"/>
          <w:shd w:val="clear" w:color="auto" w:fill="ffffff"/>
        </w:rPr>
        <w:t xml:space="preserve">）</w:t>
      </w:r>
      <w:r>
        <w:rPr>
          <w:rFonts w:hint="eastAsia"/>
          <w:color w:val="auto"/>
          <w:sz w:val="21"/>
          <w:szCs w:val="21"/>
          <w:highlight w:val="none"/>
          <w:shd w:val="clear" w:color="auto" w:fill="ffffff"/>
        </w:rPr>
        <w:t xml:space="preserve">的中国境内生产的组件成本占比≥</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u w:val="single"/>
          <w:shd w:val="clear" w:color="auto" w:fill="ffffff"/>
        </w:rPr>
        <w:t xml:space="preserve">规定比例</w:t>
      </w:r>
      <w:r>
        <w:rPr>
          <w:rStyle w:val="983"/>
          <w:rFonts w:hint="eastAsia"/>
          <w:i w:val="0"/>
          <w:color w:val="auto"/>
          <w:sz w:val="21"/>
          <w:szCs w:val="21"/>
          <w:highlight w:val="none"/>
          <w:shd w:val="clear" w:color="auto" w:fill="ffffff"/>
        </w:rPr>
        <w:t xml:space="preserve">）</w:t>
      </w:r>
      <w:r>
        <w:rPr>
          <w:rFonts w:hint="eastAsia"/>
          <w:color w:val="auto"/>
          <w:sz w:val="21"/>
          <w:szCs w:val="21"/>
          <w:highlight w:val="none"/>
          <w:shd w:val="clear" w:color="auto" w:fill="ffffff"/>
        </w:rPr>
        <w:t xml:space="preserve">。</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u w:val="single"/>
          <w:shd w:val="clear" w:color="auto" w:fill="ffffff"/>
        </w:rPr>
        <w:t xml:space="preserve">产品名称2</w:t>
      </w:r>
      <w:r>
        <w:rPr>
          <w:rStyle w:val="983"/>
          <w:rFonts w:hint="eastAsia"/>
          <w:i w:val="0"/>
          <w:color w:val="auto"/>
          <w:sz w:val="21"/>
          <w:szCs w:val="21"/>
          <w:highlight w:val="none"/>
          <w:shd w:val="clear" w:color="auto" w:fill="ffffff"/>
        </w:rPr>
        <w:t xml:space="preserve">）</w:t>
      </w:r>
      <w:r>
        <w:rPr>
          <w:rFonts w:hint="eastAsia"/>
          <w:color w:val="auto"/>
          <w:sz w:val="21"/>
          <w:szCs w:val="21"/>
          <w:highlight w:val="none"/>
          <w:shd w:val="clear" w:color="auto" w:fill="ffffff"/>
        </w:rPr>
        <w:t xml:space="preserve">的</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u w:val="single"/>
          <w:shd w:val="clear" w:color="auto" w:fill="ffffff"/>
        </w:rPr>
        <w:t xml:space="preserve">关键组件</w:t>
      </w:r>
      <w:r>
        <w:rPr>
          <w:rStyle w:val="983"/>
          <w:rFonts w:hint="eastAsia"/>
          <w:i w:val="0"/>
          <w:color w:val="auto"/>
          <w:sz w:val="21"/>
          <w:szCs w:val="21"/>
          <w:highlight w:val="none"/>
          <w:shd w:val="clear" w:color="auto" w:fill="ffffff"/>
        </w:rPr>
        <w:t xml:space="preserve">）</w:t>
      </w:r>
      <w:r>
        <w:rPr>
          <w:rFonts w:hint="eastAsia"/>
          <w:color w:val="auto"/>
          <w:sz w:val="21"/>
          <w:szCs w:val="21"/>
          <w:highlight w:val="none"/>
          <w:shd w:val="clear" w:color="auto" w:fill="ffffff"/>
        </w:rPr>
        <w:t xml:space="preserve">在中国境内生产。</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u w:val="single"/>
          <w:shd w:val="clear" w:color="auto" w:fill="ffffff"/>
        </w:rPr>
        <w:t xml:space="preserve">产品名称2</w:t>
      </w:r>
      <w:r>
        <w:rPr>
          <w:rStyle w:val="983"/>
          <w:rFonts w:hint="eastAsia"/>
          <w:i w:val="0"/>
          <w:color w:val="auto"/>
          <w:sz w:val="21"/>
          <w:szCs w:val="21"/>
          <w:highlight w:val="none"/>
          <w:shd w:val="clear" w:color="auto" w:fill="ffffff"/>
        </w:rPr>
        <w:t xml:space="preserve">）</w:t>
      </w:r>
      <w:r>
        <w:rPr>
          <w:rFonts w:hint="eastAsia"/>
          <w:color w:val="auto"/>
          <w:sz w:val="21"/>
          <w:szCs w:val="21"/>
          <w:highlight w:val="none"/>
          <w:shd w:val="clear" w:color="auto" w:fill="ffffff"/>
        </w:rPr>
        <w:t xml:space="preserve">的</w:t>
      </w:r>
      <w:r>
        <w:rPr>
          <w:rStyle w:val="983"/>
          <w:rFonts w:hint="eastAsia"/>
          <w:i w:val="0"/>
          <w:color w:val="auto"/>
          <w:sz w:val="21"/>
          <w:szCs w:val="21"/>
          <w:highlight w:val="none"/>
          <w:shd w:val="clear" w:color="auto" w:fill="ffffff"/>
        </w:rPr>
        <w:t xml:space="preserve">（</w:t>
      </w:r>
      <w:r>
        <w:rPr>
          <w:rStyle w:val="983"/>
          <w:rFonts w:hint="eastAsia"/>
          <w:i w:val="0"/>
          <w:color w:val="auto"/>
          <w:sz w:val="21"/>
          <w:szCs w:val="21"/>
          <w:highlight w:val="none"/>
          <w:u w:val="single"/>
          <w:shd w:val="clear" w:color="auto" w:fill="ffffff"/>
        </w:rPr>
        <w:t xml:space="preserve">关键工序</w:t>
      </w:r>
      <w:r>
        <w:rPr>
          <w:rStyle w:val="983"/>
          <w:rFonts w:hint="eastAsia"/>
          <w:i w:val="0"/>
          <w:color w:val="auto"/>
          <w:sz w:val="21"/>
          <w:szCs w:val="21"/>
          <w:highlight w:val="none"/>
          <w:shd w:val="clear" w:color="auto" w:fill="ffffff"/>
        </w:rPr>
        <w:t xml:space="preserve">）</w:t>
      </w:r>
      <w:r>
        <w:rPr>
          <w:rFonts w:hint="eastAsia"/>
          <w:color w:val="auto"/>
          <w:sz w:val="21"/>
          <w:szCs w:val="21"/>
          <w:highlight w:val="none"/>
          <w:shd w:val="clear" w:color="auto" w:fill="ffffff"/>
        </w:rPr>
        <w:t xml:space="preserve">在中国境内完成。</w:t>
      </w:r>
      <w:r/>
    </w:p>
    <w:p>
      <w:pPr>
        <w:pStyle w:val="979"/>
        <w:ind w:firstLine="420"/>
        <w:spacing w:before="30" w:beforeAutospacing="0" w:after="30"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w:t>
      </w:r>
      <w:r/>
    </w:p>
    <w:p>
      <w:pPr>
        <w:pStyle w:val="979"/>
        <w:ind w:firstLine="420"/>
        <w:spacing w:before="30" w:beforeAutospacing="0" w:after="30"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979"/>
        <w:jc w:val="right"/>
        <w:spacing w:before="30" w:beforeAutospacing="0" w:after="30"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公司（单位）名称（盖章）：      </w:t>
      </w:r>
      <w:r/>
    </w:p>
    <w:p>
      <w:pPr>
        <w:pStyle w:val="979"/>
        <w:jc w:val="right"/>
        <w:spacing w:before="30" w:beforeAutospacing="0" w:after="30"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日期：　年　月　日    </w:t>
      </w:r>
      <w:r/>
    </w:p>
    <w:p>
      <w:pPr>
        <w:pStyle w:val="979"/>
        <w:ind w:firstLine="420"/>
        <w:spacing w:before="30" w:beforeAutospacing="0" w:after="30" w:afterAutospacing="0"/>
        <w:shd w:val="clear" w:color="auto" w:fill="ffffff"/>
        <w:rPr>
          <w:rFonts w:hint="eastAsia"/>
          <w:color w:val="auto"/>
          <w:sz w:val="21"/>
          <w:szCs w:val="21"/>
          <w:highlight w:val="none"/>
        </w:rPr>
      </w:pPr>
      <w:r>
        <w:rPr>
          <w:rFonts w:hint="eastAsia"/>
          <w:color w:val="auto"/>
          <w:sz w:val="21"/>
          <w:szCs w:val="21"/>
          <w:highlight w:val="none"/>
        </w:rPr>
      </w:r>
      <w:r/>
    </w:p>
    <w:p>
      <w:pPr>
        <w:pStyle w:val="979"/>
        <w:ind w:firstLine="420"/>
        <w:spacing w:before="30" w:beforeAutospacing="0" w:after="30" w:afterAutospacing="0"/>
        <w:shd w:val="clear" w:color="auto" w:fill="ffffff"/>
        <w:rPr>
          <w:rFonts w:hint="eastAsia"/>
          <w:color w:val="auto"/>
          <w:sz w:val="21"/>
          <w:szCs w:val="21"/>
          <w:highlight w:val="none"/>
        </w:rPr>
      </w:pPr>
      <w:r>
        <w:rPr>
          <w:rFonts w:hint="eastAsia"/>
          <w:color w:val="auto"/>
          <w:sz w:val="21"/>
          <w:szCs w:val="21"/>
          <w:highlight w:val="none"/>
        </w:rPr>
      </w:r>
      <w:r/>
    </w:p>
    <w:p>
      <w:pPr>
        <w:pStyle w:val="979"/>
        <w:ind w:firstLine="420"/>
        <w:spacing w:before="30" w:beforeAutospacing="0" w:after="30"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_____________________________</w:t>
      </w:r>
      <w:r/>
    </w:p>
    <w:p>
      <w:pPr>
        <w:pStyle w:val="979"/>
        <w:ind w:firstLine="420"/>
        <w:spacing w:before="30" w:beforeAutospacing="0" w:after="30"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979"/>
        <w:ind w:firstLine="420"/>
        <w:spacing w:before="30" w:beforeAutospacing="0" w:after="30"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979"/>
        <w:ind w:firstLine="420"/>
        <w:spacing w:before="30" w:beforeAutospacing="0" w:after="30"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3.该产品的中国境内生产的组件成本占比相关要求实施前，“规定比例”栏可不填，下同。</w:t>
      </w:r>
      <w:r/>
    </w:p>
    <w:p>
      <w:pPr>
        <w:pStyle w:val="979"/>
        <w:ind w:firstLine="420"/>
        <w:spacing w:before="30" w:beforeAutospacing="0" w:after="30"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4.该产品的关键组件要求实施前，“关键组件”栏可不填，下同。</w:t>
      </w:r>
      <w:r/>
    </w:p>
    <w:p>
      <w:pPr>
        <w:pStyle w:val="979"/>
        <w:ind w:firstLine="420"/>
        <w:spacing w:before="30" w:beforeAutospacing="0" w:after="30" w:afterAutospacing="0" w:line="360" w:lineRule="auto"/>
        <w:shd w:val="clear" w:color="auto" w:fill="ffffff"/>
        <w:rPr>
          <w:rFonts w:hint="eastAsia" w:cs="Times New Roman"/>
          <w:color w:val="auto"/>
          <w:sz w:val="21"/>
          <w:szCs w:val="21"/>
          <w:highlight w:val="none"/>
        </w:rPr>
      </w:pPr>
      <w:r>
        <w:rPr>
          <w:rFonts w:hint="eastAsia"/>
          <w:color w:val="auto"/>
          <w:sz w:val="21"/>
          <w:szCs w:val="21"/>
          <w:highlight w:val="none"/>
          <w:shd w:val="clear" w:color="auto" w:fill="ffffff"/>
        </w:rPr>
        <w:t xml:space="preserve">5.该产品的关键工序要求实施前，“关键工序”栏可不填，下同。</w:t>
      </w:r>
      <w:r/>
    </w:p>
    <w:p>
      <w:pPr>
        <w:pStyle w:val="951"/>
        <w:rPr>
          <w:rFonts w:hint="eastAsia"/>
          <w:color w:val="auto"/>
          <w:highlight w:val="none"/>
          <w:lang w:val="en-US" w:eastAsia="zh-CN"/>
        </w:rPr>
      </w:pPr>
      <w:r>
        <w:rPr>
          <w:rFonts w:hint="eastAsia"/>
          <w:color w:val="auto"/>
          <w:highlight w:val="none"/>
          <w:lang w:val="en-US" w:eastAsia="zh-CN"/>
        </w:rPr>
      </w:r>
      <w:r/>
    </w:p>
    <w:p>
      <w:pPr>
        <w:jc w:val="center"/>
        <w:spacing w:line="360" w:lineRule="auto"/>
        <w:rPr>
          <w:rFonts w:hint="eastAsia" w:asciiTheme="minorEastAsia" w:hAnsiTheme="minorEastAsia" w:eastAsiaTheme="minorEastAsia"/>
          <w:color w:val="auto"/>
          <w:szCs w:val="21"/>
          <w:highlight w:val="none"/>
        </w:rPr>
      </w:pPr>
      <w:r>
        <w:rPr>
          <w:rFonts w:hint="eastAsia" w:cs="Times New Roman" w:asciiTheme="minorEastAsia" w:hAnsiTheme="minorEastAsia" w:eastAsiaTheme="minorEastAsia"/>
          <w:b/>
          <w:bCs/>
          <w:color w:val="auto"/>
          <w:sz w:val="32"/>
          <w:szCs w:val="32"/>
          <w:highlight w:val="none"/>
          <w:lang w:val="en-US" w:eastAsia="zh-CN" w:bidi="ar-SA"/>
        </w:rPr>
        <w:t xml:space="preserve">承诺书</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致：南京市人力资源和社会保障信息管理中心</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    </w:t>
      </w:r>
      <w:r>
        <w:rPr>
          <w:rFonts w:hint="eastAsia" w:asciiTheme="minorEastAsia" w:hAnsiTheme="minorEastAsia"/>
          <w:color w:val="auto"/>
          <w:szCs w:val="21"/>
          <w:highlight w:val="none"/>
          <w:lang w:val="en-US" w:eastAsia="zh-CN"/>
        </w:rPr>
        <w:t xml:space="preserve">江苏柒采招标代理有限公司</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本项目</w:t>
      </w:r>
      <w:r>
        <w:rPr>
          <w:rFonts w:hint="eastAsia" w:asciiTheme="minorEastAsia" w:hAnsiTheme="minorEastAsia" w:eastAsiaTheme="minorEastAsia"/>
          <w:color w:val="auto"/>
          <w:szCs w:val="21"/>
          <w:highlight w:val="none"/>
          <w:lang w:eastAsia="zh-CN"/>
        </w:rPr>
        <w:t xml:space="preserve">组建不少于</w:t>
      </w:r>
      <w:r>
        <w:rPr>
          <w:rFonts w:hint="eastAsia" w:asciiTheme="minorEastAsia" w:hAnsiTheme="minorEastAsia" w:eastAsiaTheme="minorEastAsia"/>
          <w:color w:val="auto"/>
          <w:szCs w:val="21"/>
          <w:highlight w:val="none"/>
          <w:lang w:val="en-US" w:eastAsia="zh-CN"/>
        </w:rPr>
        <w:t xml:space="preserve">13</w:t>
      </w:r>
      <w:r>
        <w:rPr>
          <w:rFonts w:hint="eastAsia" w:asciiTheme="minorEastAsia" w:hAnsiTheme="minorEastAsia" w:eastAsiaTheme="minorEastAsia"/>
          <w:color w:val="auto"/>
          <w:szCs w:val="21"/>
          <w:highlight w:val="none"/>
          <w:lang w:eastAsia="zh-CN"/>
        </w:rPr>
        <w:t xml:space="preserve">人的服务团队，</w:t>
      </w:r>
      <w:r>
        <w:rPr>
          <w:rFonts w:hint="eastAsia" w:asciiTheme="minorEastAsia" w:hAnsiTheme="minorEastAsia" w:eastAsiaTheme="minorEastAsia"/>
          <w:color w:val="auto"/>
          <w:szCs w:val="21"/>
          <w:highlight w:val="none"/>
          <w:lang w:val="en-US" w:eastAsia="zh-CN"/>
        </w:rPr>
        <w:t xml:space="preserve">其中</w:t>
      </w:r>
      <w:r>
        <w:rPr>
          <w:rFonts w:hint="eastAsia" w:asciiTheme="minorEastAsia" w:hAnsiTheme="minorEastAsia" w:eastAsiaTheme="minorEastAsia"/>
          <w:color w:val="auto"/>
          <w:szCs w:val="21"/>
          <w:highlight w:val="none"/>
        </w:rPr>
        <w:t xml:space="preserve">驻场工程师不少于1</w:t>
      </w:r>
      <w:r>
        <w:rPr>
          <w:rFonts w:hint="eastAsia" w:asciiTheme="minorEastAsia" w:hAnsiTheme="minorEastAsia" w:eastAsiaTheme="minorEastAsia"/>
          <w:color w:val="auto"/>
          <w:szCs w:val="21"/>
          <w:highlight w:val="none"/>
          <w:lang w:val="en-US" w:eastAsia="zh-CN"/>
        </w:rPr>
        <w:t xml:space="preserve">0</w:t>
      </w:r>
      <w:r>
        <w:rPr>
          <w:rFonts w:hint="eastAsia" w:asciiTheme="minorEastAsia" w:hAnsiTheme="minorEastAsia" w:eastAsiaTheme="minorEastAsia"/>
          <w:color w:val="auto"/>
          <w:szCs w:val="21"/>
          <w:highlight w:val="none"/>
        </w:rPr>
        <w:t xml:space="preserve">人（</w:t>
      </w:r>
      <w:r>
        <w:rPr>
          <w:rFonts w:hint="eastAsia" w:asciiTheme="minorEastAsia" w:hAnsiTheme="minorEastAsia" w:eastAsiaTheme="minorEastAsia"/>
          <w:color w:val="auto"/>
          <w:szCs w:val="21"/>
          <w:highlight w:val="none"/>
          <w:lang w:val="en-US" w:eastAsia="zh-CN"/>
        </w:rPr>
        <w:t xml:space="preserve">驻场</w:t>
      </w:r>
      <w:r>
        <w:rPr>
          <w:rFonts w:hint="eastAsia" w:asciiTheme="minorEastAsia" w:hAnsiTheme="minorEastAsia" w:eastAsiaTheme="minorEastAsia"/>
          <w:color w:val="auto"/>
          <w:szCs w:val="21"/>
          <w:highlight w:val="none"/>
        </w:rPr>
        <w:t xml:space="preserve">项目经理1人，其它</w:t>
      </w:r>
      <w:r>
        <w:rPr>
          <w:rFonts w:hint="eastAsia" w:asciiTheme="minorEastAsia" w:hAnsiTheme="minorEastAsia" w:eastAsiaTheme="minorEastAsia"/>
          <w:color w:val="auto"/>
          <w:szCs w:val="21"/>
          <w:highlight w:val="none"/>
          <w:lang w:val="en-US" w:eastAsia="zh-CN"/>
        </w:rPr>
        <w:t xml:space="preserve">驻场</w:t>
      </w:r>
      <w:r>
        <w:rPr>
          <w:rFonts w:hint="eastAsia" w:asciiTheme="minorEastAsia" w:hAnsiTheme="minorEastAsia" w:eastAsiaTheme="minorEastAsia"/>
          <w:color w:val="auto"/>
          <w:szCs w:val="21"/>
          <w:highlight w:val="none"/>
        </w:rPr>
        <w:t xml:space="preserve">人员不少于</w:t>
      </w:r>
      <w:r>
        <w:rPr>
          <w:rFonts w:hint="eastAsia" w:asciiTheme="minorEastAsia" w:hAnsiTheme="minorEastAsia" w:eastAsiaTheme="minorEastAsia"/>
          <w:color w:val="auto"/>
          <w:szCs w:val="21"/>
          <w:highlight w:val="none"/>
          <w:lang w:val="en-US" w:eastAsia="zh-CN"/>
        </w:rPr>
        <w:t xml:space="preserve">9</w:t>
      </w:r>
      <w:r>
        <w:rPr>
          <w:rFonts w:hint="eastAsia" w:asciiTheme="minorEastAsia" w:hAnsiTheme="minorEastAsia" w:eastAsiaTheme="minorEastAsia"/>
          <w:color w:val="auto"/>
          <w:szCs w:val="21"/>
          <w:highlight w:val="none"/>
        </w:rPr>
        <w:t xml:space="preserve">人</w:t>
      </w:r>
      <w:r>
        <w:rPr>
          <w:rFonts w:hint="eastAsia" w:asciiTheme="minorEastAsia" w:hAnsiTheme="minorEastAsia" w:eastAsiaTheme="minorEastAsia"/>
          <w:color w:val="auto"/>
          <w:szCs w:val="21"/>
          <w:highlight w:val="none"/>
          <w:lang w:eastAsia="zh-CN"/>
        </w:rPr>
        <w:t xml:space="preserve">），远程</w:t>
      </w:r>
      <w:r>
        <w:rPr>
          <w:rFonts w:hint="eastAsia" w:asciiTheme="minorEastAsia" w:hAnsiTheme="minorEastAsia" w:eastAsiaTheme="minorEastAsia"/>
          <w:color w:val="auto"/>
          <w:szCs w:val="21"/>
          <w:highlight w:val="none"/>
          <w:lang w:val="en-US" w:eastAsia="zh-CN"/>
        </w:rPr>
        <w:t xml:space="preserve">技术</w:t>
      </w:r>
      <w:r>
        <w:rPr>
          <w:rFonts w:hint="eastAsia" w:asciiTheme="minorEastAsia" w:hAnsiTheme="minorEastAsia" w:eastAsiaTheme="minorEastAsia"/>
          <w:color w:val="auto"/>
          <w:szCs w:val="21"/>
          <w:highlight w:val="none"/>
          <w:lang w:eastAsia="zh-CN"/>
        </w:rPr>
        <w:t xml:space="preserve">支撑工程师</w:t>
      </w:r>
      <w:r>
        <w:rPr>
          <w:rFonts w:hint="eastAsia" w:asciiTheme="minorEastAsia" w:hAnsiTheme="minorEastAsia" w:eastAsiaTheme="minorEastAsia"/>
          <w:color w:val="auto"/>
          <w:szCs w:val="21"/>
          <w:highlight w:val="none"/>
          <w:lang w:val="en-US" w:eastAsia="zh-CN"/>
        </w:rPr>
        <w:t xml:space="preserve">不少于3人</w:t>
      </w:r>
      <w:r>
        <w:rPr>
          <w:rFonts w:hint="eastAsia" w:asciiTheme="minorEastAsia" w:hAnsiTheme="minorEastAsia" w:eastAsiaTheme="minorEastAsia"/>
          <w:color w:val="auto"/>
          <w:szCs w:val="21"/>
          <w:highlight w:val="none"/>
        </w:rPr>
        <w:t xml:space="preserve">。合同签订后，供应商服务期驻场工程师必须立即根据采购单位要求驻场办公，且不能出现与其它同期信息化项目人员复用的情况。</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spacing w:line="360" w:lineRule="auto"/>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r/>
    </w:p>
    <w:p>
      <w:pPr>
        <w:pStyle w:val="951"/>
        <w:rPr>
          <w:rFonts w:hint="eastAsia"/>
          <w:color w:val="auto"/>
          <w:highlight w:val="none"/>
          <w:lang w:val="en-US" w:eastAsia="zh-CN"/>
        </w:rPr>
      </w:pPr>
      <w:r>
        <w:rPr>
          <w:rFonts w:hint="eastAsia"/>
          <w:color w:val="auto"/>
          <w:highlight w:val="none"/>
          <w:lang w:val="en-US" w:eastAsia="zh-CN"/>
        </w:rPr>
      </w:r>
      <w:r/>
    </w:p>
    <w:sectPr>
      <w:footerReference w:type="default" r:id="rId17"/>
      <w:footerReference w:type="first" r:id="rId18"/>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仿宋">
    <w:panose1 w:val="02010609060101010101"/>
  </w:font>
  <w:font w:name="等线">
    <w:panose1 w:val="02010600030101010101"/>
  </w:font>
  <w:font w:name="Calibri">
    <w:panose1 w:val="020F050202020403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47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47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both"/>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47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tabs>
                        <w:tab w:val="clear" w:pos="4153" w:leader="none"/>
                        <w:tab w:val="clear" w:pos="8306" w:leader="none"/>
                      </w:tabs>
                    </w:pPr>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tabs>
                        <w:tab w:val="clear" w:pos="4153" w:leader="none"/>
                        <w:tab w:val="clear" w:pos="8306" w:leader="none"/>
                      </w:tabs>
                    </w:pPr>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47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tabs>
                        <w:tab w:val="clear" w:pos="4153" w:leader="none"/>
                        <w:tab w:val="clear" w:pos="8306"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margin">
                <wp:posOffset>205105</wp:posOffset>
              </wp:positionH>
              <wp:positionV relativeFrom="margin">
                <wp:posOffset>2148840</wp:posOffset>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147483648;o:allowoverlap:true;o:allowincell:true;mso-position-horizontal-relative:margin;margin-left:16.1pt;mso-position-horizontal:absolute;mso-position-vertical-relative:margin;margin-top:169.2pt;mso-position-vertical:absolute;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margin">
                <wp:posOffset>205105</wp:posOffset>
              </wp:positionH>
              <wp:positionV relativeFrom="margin">
                <wp:posOffset>2148840</wp:posOffset>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147483648;o:allowoverlap:true;o:allowincell:true;mso-position-horizontal-relative:margin;margin-left:16.1pt;mso-position-horizontal:absolute;mso-position-vertical-relative:margin;margin-top:169.2pt;mso-position-vertical:absolute;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1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21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40"/>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2"/>
      <w:isLgl w:val="false"/>
      <w:suff w:val="nothing"/>
      <w:lvlText w:val=""/>
      <w:lvlJc w:val="left"/>
      <w:pPr>
        <w:ind w:left="0" w:firstLine="0"/>
      </w:pPr>
      <w:rPr>
        <w:rFonts w:hint="eastAsia"/>
      </w:rPr>
    </w:lvl>
    <w:lvl w:ilvl="6">
      <w:start w:val="1"/>
      <w:numFmt w:val="decimal"/>
      <w:pStyle w:val="1143"/>
      <w:isLgl w:val="false"/>
      <w:suff w:val="nothing"/>
      <w:lvlText w:val=""/>
      <w:lvlJc w:val="left"/>
      <w:pPr>
        <w:ind w:left="0" w:firstLine="0"/>
      </w:pPr>
      <w:rPr>
        <w:rFonts w:hint="eastAsia"/>
      </w:rPr>
    </w:lvl>
    <w:lvl w:ilvl="7">
      <w:start w:val="1"/>
      <w:numFmt w:val="decimal"/>
      <w:pStyle w:val="1144"/>
      <w:isLgl w:val="false"/>
      <w:suff w:val="nothing"/>
      <w:lvlText w:val=""/>
      <w:lvlJc w:val="left"/>
      <w:pPr>
        <w:ind w:left="0" w:firstLine="0"/>
      </w:pPr>
      <w:rPr>
        <w:rFonts w:hint="eastAsia"/>
      </w:rPr>
    </w:lvl>
    <w:lvl w:ilvl="8">
      <w:start w:val="1"/>
      <w:numFmt w:val="decimal"/>
      <w:pStyle w:val="1145"/>
      <w:isLgl w:val="false"/>
      <w:suff w:val="nothing"/>
      <w:lvlText w:val=""/>
      <w:lvlJc w:val="left"/>
      <w:pPr>
        <w:ind w:left="0" w:firstLine="0"/>
      </w:pPr>
      <w:rPr>
        <w:rFonts w:hint="eastAsia"/>
      </w:rPr>
    </w:lvl>
  </w:abstractNum>
  <w:abstractNum w:abstractNumId="4">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190"/>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7" w:default="1">
    <w:name w:val="Normal"/>
    <w:next w:val="952"/>
    <w:link w:val="120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48">
    <w:name w:val="Heading 1"/>
    <w:basedOn w:val="947"/>
    <w:next w:val="947"/>
    <w:link w:val="986"/>
    <w:uiPriority w:val="9"/>
    <w:qFormat/>
    <w:pPr>
      <w:keepLines/>
      <w:keepNext/>
      <w:spacing w:before="480" w:after="200"/>
      <w:outlineLvl w:val="0"/>
    </w:pPr>
    <w:rPr>
      <w:rFonts w:ascii="Arial" w:hAnsi="Arial" w:eastAsia="Arial" w:cs="Arial"/>
      <w:sz w:val="40"/>
      <w:szCs w:val="40"/>
    </w:rPr>
  </w:style>
  <w:style w:type="paragraph" w:styleId="949">
    <w:name w:val="Heading 2"/>
    <w:basedOn w:val="947"/>
    <w:next w:val="947"/>
    <w:link w:val="987"/>
    <w:uiPriority w:val="9"/>
    <w:unhideWhenUsed/>
    <w:qFormat/>
    <w:pPr>
      <w:keepLines/>
      <w:keepNext/>
      <w:spacing w:before="360" w:after="200"/>
      <w:outlineLvl w:val="1"/>
    </w:pPr>
    <w:rPr>
      <w:rFonts w:ascii="Arial" w:hAnsi="Arial" w:eastAsia="Arial" w:cs="Arial"/>
      <w:sz w:val="34"/>
    </w:rPr>
  </w:style>
  <w:style w:type="paragraph" w:styleId="950">
    <w:name w:val="Heading 3"/>
    <w:basedOn w:val="947"/>
    <w:next w:val="947"/>
    <w:link w:val="988"/>
    <w:uiPriority w:val="9"/>
    <w:unhideWhenUsed/>
    <w:qFormat/>
    <w:pPr>
      <w:keepLines/>
      <w:keepNext/>
      <w:spacing w:before="320" w:after="200"/>
      <w:outlineLvl w:val="2"/>
    </w:pPr>
    <w:rPr>
      <w:rFonts w:ascii="Arial" w:hAnsi="Arial" w:eastAsia="Arial" w:cs="Arial"/>
      <w:sz w:val="30"/>
      <w:szCs w:val="30"/>
    </w:rPr>
  </w:style>
  <w:style w:type="paragraph" w:styleId="951">
    <w:name w:val="Heading 4"/>
    <w:basedOn w:val="947"/>
    <w:next w:val="947"/>
    <w:link w:val="989"/>
    <w:uiPriority w:val="9"/>
    <w:unhideWhenUsed/>
    <w:qFormat/>
    <w:pPr>
      <w:keepLines/>
      <w:keepNext/>
      <w:spacing w:before="320" w:after="200"/>
      <w:outlineLvl w:val="3"/>
    </w:pPr>
    <w:rPr>
      <w:rFonts w:ascii="Arial" w:hAnsi="Arial" w:eastAsia="Arial" w:cs="Arial"/>
      <w:b/>
      <w:bCs/>
      <w:sz w:val="26"/>
      <w:szCs w:val="26"/>
    </w:rPr>
  </w:style>
  <w:style w:type="paragraph" w:styleId="952">
    <w:name w:val="Heading 5"/>
    <w:basedOn w:val="947"/>
    <w:next w:val="947"/>
    <w:link w:val="990"/>
    <w:uiPriority w:val="9"/>
    <w:unhideWhenUsed/>
    <w:qFormat/>
    <w:pPr>
      <w:keepLines/>
      <w:keepNext/>
      <w:spacing w:before="320" w:after="200"/>
      <w:outlineLvl w:val="4"/>
    </w:pPr>
    <w:rPr>
      <w:rFonts w:ascii="Arial" w:hAnsi="Arial" w:eastAsia="Arial" w:cs="Arial"/>
      <w:b/>
      <w:bCs/>
      <w:sz w:val="24"/>
      <w:szCs w:val="24"/>
    </w:rPr>
  </w:style>
  <w:style w:type="paragraph" w:styleId="953">
    <w:name w:val="Heading 6"/>
    <w:basedOn w:val="947"/>
    <w:next w:val="947"/>
    <w:link w:val="991"/>
    <w:uiPriority w:val="9"/>
    <w:unhideWhenUsed/>
    <w:qFormat/>
    <w:pPr>
      <w:keepLines/>
      <w:keepNext/>
      <w:spacing w:before="320" w:after="200"/>
      <w:outlineLvl w:val="5"/>
    </w:pPr>
    <w:rPr>
      <w:rFonts w:ascii="Arial" w:hAnsi="Arial" w:eastAsia="Arial" w:cs="Arial"/>
      <w:b/>
      <w:bCs/>
      <w:sz w:val="22"/>
      <w:szCs w:val="22"/>
    </w:rPr>
  </w:style>
  <w:style w:type="paragraph" w:styleId="954">
    <w:name w:val="Heading 7"/>
    <w:basedOn w:val="947"/>
    <w:next w:val="947"/>
    <w:link w:val="992"/>
    <w:uiPriority w:val="9"/>
    <w:unhideWhenUsed/>
    <w:qFormat/>
    <w:pPr>
      <w:keepLines/>
      <w:keepNext/>
      <w:spacing w:before="320" w:after="200"/>
      <w:outlineLvl w:val="6"/>
    </w:pPr>
    <w:rPr>
      <w:rFonts w:ascii="Arial" w:hAnsi="Arial" w:eastAsia="Arial" w:cs="Arial"/>
      <w:b/>
      <w:bCs/>
      <w:i/>
      <w:iCs/>
      <w:sz w:val="22"/>
      <w:szCs w:val="22"/>
    </w:rPr>
  </w:style>
  <w:style w:type="paragraph" w:styleId="955">
    <w:name w:val="Heading 8"/>
    <w:basedOn w:val="947"/>
    <w:next w:val="947"/>
    <w:link w:val="993"/>
    <w:uiPriority w:val="9"/>
    <w:unhideWhenUsed/>
    <w:qFormat/>
    <w:pPr>
      <w:keepLines/>
      <w:keepNext/>
      <w:spacing w:before="320" w:after="200"/>
      <w:outlineLvl w:val="7"/>
    </w:pPr>
    <w:rPr>
      <w:rFonts w:ascii="Arial" w:hAnsi="Arial" w:eastAsia="Arial" w:cs="Arial"/>
      <w:i/>
      <w:iCs/>
      <w:sz w:val="22"/>
      <w:szCs w:val="22"/>
    </w:rPr>
  </w:style>
  <w:style w:type="paragraph" w:styleId="956">
    <w:name w:val="Heading 9"/>
    <w:basedOn w:val="947"/>
    <w:next w:val="947"/>
    <w:link w:val="994"/>
    <w:uiPriority w:val="9"/>
    <w:unhideWhenUsed/>
    <w:qFormat/>
    <w:pPr>
      <w:keepLines/>
      <w:keepNext/>
      <w:spacing w:before="320" w:after="200"/>
      <w:outlineLvl w:val="8"/>
    </w:pPr>
    <w:rPr>
      <w:rFonts w:ascii="Arial" w:hAnsi="Arial" w:eastAsia="Arial" w:cs="Arial"/>
      <w:i/>
      <w:iCs/>
      <w:sz w:val="21"/>
      <w:szCs w:val="21"/>
    </w:rPr>
  </w:style>
  <w:style w:type="character" w:styleId="957" w:default="1">
    <w:name w:val="Default Paragraph Font"/>
    <w:uiPriority w:val="1"/>
    <w:semiHidden/>
    <w:unhideWhenUsed/>
    <w:qFormat/>
  </w:style>
  <w:style w:type="table" w:styleId="958" w:default="1">
    <w:name w:val="Normal Table"/>
    <w:uiPriority w:val="99"/>
    <w:semiHidden/>
    <w:unhideWhenUsed/>
    <w:qFormat/>
    <w:tblPr>
      <w:tblCellMar>
        <w:left w:w="108" w:type="dxa"/>
        <w:top w:w="0" w:type="dxa"/>
        <w:right w:w="108" w:type="dxa"/>
        <w:bottom w:w="0" w:type="dxa"/>
      </w:tblCellMar>
    </w:tblPr>
  </w:style>
  <w:style w:type="paragraph" w:styleId="959">
    <w:name w:val="toc 7"/>
    <w:basedOn w:val="947"/>
    <w:next w:val="947"/>
    <w:uiPriority w:val="39"/>
    <w:unhideWhenUsed/>
    <w:qFormat/>
    <w:pPr>
      <w:ind w:left="1701" w:right="0" w:firstLine="0"/>
      <w:spacing w:after="57"/>
    </w:pPr>
  </w:style>
  <w:style w:type="paragraph" w:styleId="960">
    <w:name w:val="Normal Indent"/>
    <w:basedOn w:val="947"/>
    <w:next w:val="947"/>
    <w:uiPriority w:val="0"/>
    <w:qFormat/>
    <w:pPr>
      <w:ind w:firstLine="420"/>
    </w:pPr>
  </w:style>
  <w:style w:type="paragraph" w:styleId="961">
    <w:name w:val="Caption"/>
    <w:basedOn w:val="947"/>
    <w:next w:val="947"/>
    <w:uiPriority w:val="35"/>
    <w:semiHidden/>
    <w:unhideWhenUsed/>
    <w:qFormat/>
    <w:pPr>
      <w:spacing w:line="276" w:lineRule="auto"/>
    </w:pPr>
    <w:rPr>
      <w:b/>
      <w:bCs/>
      <w:color w:val="4f81bd" w:themeColor="accent1"/>
      <w:sz w:val="18"/>
      <w:szCs w:val="18"/>
    </w:rPr>
  </w:style>
  <w:style w:type="paragraph" w:styleId="962">
    <w:name w:val="annotation text"/>
    <w:basedOn w:val="947"/>
    <w:uiPriority w:val="99"/>
    <w:semiHidden/>
    <w:unhideWhenUsed/>
    <w:qFormat/>
    <w:pPr>
      <w:jc w:val="left"/>
    </w:pPr>
  </w:style>
  <w:style w:type="paragraph" w:styleId="963">
    <w:name w:val="Body Text"/>
    <w:basedOn w:val="947"/>
    <w:next w:val="960"/>
    <w:uiPriority w:val="0"/>
    <w:qFormat/>
    <w:rPr>
      <w:rFonts w:ascii="楷体_GB2312" w:hAnsi="Arial" w:eastAsia="楷体_GB2312"/>
      <w:sz w:val="28"/>
      <w:szCs w:val="28"/>
    </w:rPr>
  </w:style>
  <w:style w:type="paragraph" w:styleId="964">
    <w:name w:val="toc 5"/>
    <w:basedOn w:val="947"/>
    <w:next w:val="947"/>
    <w:uiPriority w:val="39"/>
    <w:unhideWhenUsed/>
    <w:qFormat/>
    <w:pPr>
      <w:ind w:left="1134" w:right="0" w:firstLine="0"/>
      <w:spacing w:after="57"/>
    </w:pPr>
  </w:style>
  <w:style w:type="paragraph" w:styleId="965">
    <w:name w:val="toc 3"/>
    <w:basedOn w:val="947"/>
    <w:next w:val="947"/>
    <w:uiPriority w:val="39"/>
    <w:unhideWhenUsed/>
    <w:qFormat/>
    <w:pPr>
      <w:ind w:left="567" w:right="0" w:firstLine="0"/>
      <w:spacing w:after="57"/>
    </w:pPr>
  </w:style>
  <w:style w:type="paragraph" w:styleId="966">
    <w:name w:val="Plain Text"/>
    <w:basedOn w:val="947"/>
    <w:next w:val="947"/>
    <w:uiPriority w:val="99"/>
    <w:unhideWhenUsed/>
    <w:qFormat/>
    <w:rPr>
      <w:rFonts w:ascii="宋体" w:hAnsi="Courier New" w:cs="Courier New"/>
      <w:szCs w:val="21"/>
    </w:rPr>
  </w:style>
  <w:style w:type="paragraph" w:styleId="967">
    <w:name w:val="toc 8"/>
    <w:basedOn w:val="947"/>
    <w:next w:val="947"/>
    <w:uiPriority w:val="39"/>
    <w:unhideWhenUsed/>
    <w:qFormat/>
    <w:pPr>
      <w:ind w:left="1984" w:right="0" w:firstLine="0"/>
      <w:spacing w:after="57"/>
    </w:pPr>
  </w:style>
  <w:style w:type="paragraph" w:styleId="968">
    <w:name w:val="endnote text"/>
    <w:basedOn w:val="947"/>
    <w:link w:val="1132"/>
    <w:uiPriority w:val="99"/>
    <w:semiHidden/>
    <w:unhideWhenUsed/>
    <w:qFormat/>
    <w:pPr>
      <w:spacing w:after="0" w:line="240" w:lineRule="auto"/>
    </w:pPr>
    <w:rPr>
      <w:sz w:val="20"/>
    </w:rPr>
  </w:style>
  <w:style w:type="paragraph" w:styleId="969">
    <w:name w:val="Footer"/>
    <w:basedOn w:val="947"/>
    <w:link w:val="1005"/>
    <w:uiPriority w:val="99"/>
    <w:unhideWhenUsed/>
    <w:qFormat/>
    <w:pPr>
      <w:spacing w:after="0" w:line="240" w:lineRule="auto"/>
      <w:tabs>
        <w:tab w:val="center" w:pos="7143" w:leader="none"/>
        <w:tab w:val="right" w:pos="14287" w:leader="none"/>
      </w:tabs>
    </w:pPr>
  </w:style>
  <w:style w:type="paragraph" w:styleId="970">
    <w:name w:val="Header"/>
    <w:basedOn w:val="947"/>
    <w:link w:val="1003"/>
    <w:uiPriority w:val="99"/>
    <w:unhideWhenUsed/>
    <w:qFormat/>
    <w:pPr>
      <w:spacing w:after="0" w:line="240" w:lineRule="auto"/>
      <w:tabs>
        <w:tab w:val="center" w:pos="7143" w:leader="none"/>
        <w:tab w:val="right" w:pos="14287" w:leader="none"/>
      </w:tabs>
    </w:pPr>
  </w:style>
  <w:style w:type="paragraph" w:styleId="971">
    <w:name w:val="toc 1"/>
    <w:basedOn w:val="947"/>
    <w:next w:val="947"/>
    <w:uiPriority w:val="39"/>
    <w:unhideWhenUsed/>
    <w:qFormat/>
    <w:pPr>
      <w:ind w:left="0" w:right="0" w:firstLine="0"/>
      <w:spacing w:after="57"/>
    </w:pPr>
  </w:style>
  <w:style w:type="paragraph" w:styleId="972">
    <w:name w:val="toc 4"/>
    <w:basedOn w:val="947"/>
    <w:next w:val="947"/>
    <w:uiPriority w:val="39"/>
    <w:unhideWhenUsed/>
    <w:qFormat/>
    <w:pPr>
      <w:ind w:left="850" w:right="0" w:firstLine="0"/>
      <w:spacing w:after="57"/>
    </w:pPr>
  </w:style>
  <w:style w:type="paragraph" w:styleId="973">
    <w:name w:val="Subtitle"/>
    <w:basedOn w:val="947"/>
    <w:next w:val="947"/>
    <w:link w:val="998"/>
    <w:uiPriority w:val="11"/>
    <w:qFormat/>
    <w:pPr>
      <w:spacing w:before="200" w:after="200"/>
    </w:pPr>
    <w:rPr>
      <w:sz w:val="24"/>
      <w:szCs w:val="24"/>
    </w:rPr>
  </w:style>
  <w:style w:type="paragraph" w:styleId="974">
    <w:name w:val="footnote text"/>
    <w:basedOn w:val="947"/>
    <w:link w:val="1131"/>
    <w:uiPriority w:val="99"/>
    <w:semiHidden/>
    <w:unhideWhenUsed/>
    <w:qFormat/>
    <w:pPr>
      <w:spacing w:after="40" w:line="240" w:lineRule="auto"/>
    </w:pPr>
    <w:rPr>
      <w:sz w:val="18"/>
    </w:rPr>
  </w:style>
  <w:style w:type="paragraph" w:styleId="975">
    <w:name w:val="toc 6"/>
    <w:basedOn w:val="947"/>
    <w:next w:val="947"/>
    <w:uiPriority w:val="39"/>
    <w:unhideWhenUsed/>
    <w:qFormat/>
    <w:pPr>
      <w:ind w:left="1417" w:right="0" w:firstLine="0"/>
      <w:spacing w:after="57"/>
    </w:pPr>
  </w:style>
  <w:style w:type="paragraph" w:styleId="976">
    <w:name w:val="table of figures"/>
    <w:basedOn w:val="947"/>
    <w:next w:val="947"/>
    <w:uiPriority w:val="99"/>
    <w:unhideWhenUsed/>
    <w:qFormat/>
    <w:pPr>
      <w:spacing w:after="0" w:afterAutospacing="0"/>
    </w:pPr>
  </w:style>
  <w:style w:type="paragraph" w:styleId="977">
    <w:name w:val="toc 2"/>
    <w:basedOn w:val="947"/>
    <w:next w:val="947"/>
    <w:uiPriority w:val="39"/>
    <w:unhideWhenUsed/>
    <w:qFormat/>
    <w:pPr>
      <w:ind w:left="283" w:right="0" w:firstLine="0"/>
      <w:spacing w:after="57"/>
    </w:pPr>
  </w:style>
  <w:style w:type="paragraph" w:styleId="978">
    <w:name w:val="toc 9"/>
    <w:basedOn w:val="947"/>
    <w:next w:val="947"/>
    <w:uiPriority w:val="39"/>
    <w:unhideWhenUsed/>
    <w:qFormat/>
    <w:pPr>
      <w:ind w:left="2268" w:right="0" w:firstLine="0"/>
      <w:spacing w:after="57"/>
    </w:pPr>
  </w:style>
  <w:style w:type="paragraph" w:styleId="979">
    <w:name w:val="Normal (Web)"/>
    <w:basedOn w:val="947"/>
    <w:uiPriority w:val="99"/>
    <w:qFormat/>
    <w:pPr>
      <w:jc w:val="left"/>
      <w:spacing w:before="100" w:beforeAutospacing="1" w:after="100" w:afterAutospacing="1"/>
      <w:widowControl/>
    </w:pPr>
    <w:rPr>
      <w:rFonts w:ascii="宋体" w:hAnsi="宋体" w:cs="宋体"/>
      <w:sz w:val="24"/>
    </w:rPr>
  </w:style>
  <w:style w:type="paragraph" w:styleId="980">
    <w:name w:val="Title"/>
    <w:basedOn w:val="947"/>
    <w:next w:val="947"/>
    <w:link w:val="997"/>
    <w:uiPriority w:val="10"/>
    <w:qFormat/>
    <w:pPr>
      <w:contextualSpacing/>
      <w:spacing w:before="300" w:after="200"/>
    </w:pPr>
    <w:rPr>
      <w:sz w:val="48"/>
      <w:szCs w:val="48"/>
    </w:rPr>
  </w:style>
  <w:style w:type="table" w:styleId="9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2">
    <w:name w:val="endnote reference"/>
    <w:uiPriority w:val="99"/>
    <w:semiHidden/>
    <w:unhideWhenUsed/>
    <w:qFormat/>
    <w:rPr>
      <w:vertAlign w:val="superscript"/>
    </w:rPr>
  </w:style>
  <w:style w:type="character" w:styleId="983">
    <w:name w:val="Emphasis"/>
    <w:uiPriority w:val="0"/>
    <w:qFormat/>
    <w:rPr>
      <w:i/>
    </w:rPr>
  </w:style>
  <w:style w:type="character" w:styleId="984">
    <w:name w:val="Hyperlink"/>
    <w:uiPriority w:val="99"/>
    <w:unhideWhenUsed/>
    <w:qFormat/>
    <w:rPr>
      <w:color w:val="0000ff" w:themeColor="hyperlink"/>
      <w:u w:val="single"/>
    </w:rPr>
  </w:style>
  <w:style w:type="character" w:styleId="985">
    <w:name w:val="footnote reference"/>
    <w:uiPriority w:val="99"/>
    <w:unhideWhenUsed/>
    <w:qFormat/>
    <w:rPr>
      <w:vertAlign w:val="superscript"/>
    </w:rPr>
  </w:style>
  <w:style w:type="character" w:styleId="986" w:customStyle="1">
    <w:name w:val="Heading 1 Char"/>
    <w:link w:val="948"/>
    <w:uiPriority w:val="9"/>
    <w:qFormat/>
    <w:rPr>
      <w:rFonts w:ascii="Arial" w:hAnsi="Arial" w:eastAsia="Arial" w:cs="Arial"/>
      <w:sz w:val="40"/>
      <w:szCs w:val="40"/>
    </w:rPr>
  </w:style>
  <w:style w:type="character" w:styleId="987" w:customStyle="1">
    <w:name w:val="Heading 2 Char"/>
    <w:link w:val="949"/>
    <w:uiPriority w:val="9"/>
    <w:qFormat/>
    <w:rPr>
      <w:rFonts w:ascii="Arial" w:hAnsi="Arial" w:eastAsia="Arial" w:cs="Arial"/>
      <w:sz w:val="34"/>
    </w:rPr>
  </w:style>
  <w:style w:type="character" w:styleId="988" w:customStyle="1">
    <w:name w:val="Heading 3 Char"/>
    <w:link w:val="950"/>
    <w:uiPriority w:val="9"/>
    <w:qFormat/>
    <w:rPr>
      <w:rFonts w:ascii="Arial" w:hAnsi="Arial" w:eastAsia="Arial" w:cs="Arial"/>
      <w:sz w:val="30"/>
      <w:szCs w:val="30"/>
    </w:rPr>
  </w:style>
  <w:style w:type="character" w:styleId="989" w:customStyle="1">
    <w:name w:val="Heading 4 Char"/>
    <w:link w:val="951"/>
    <w:uiPriority w:val="9"/>
    <w:qFormat/>
    <w:rPr>
      <w:rFonts w:ascii="Arial" w:hAnsi="Arial" w:eastAsia="Arial" w:cs="Arial"/>
      <w:b/>
      <w:bCs/>
      <w:sz w:val="26"/>
      <w:szCs w:val="26"/>
    </w:rPr>
  </w:style>
  <w:style w:type="character" w:styleId="990" w:customStyle="1">
    <w:name w:val="Heading 5 Char"/>
    <w:link w:val="952"/>
    <w:uiPriority w:val="9"/>
    <w:qFormat/>
    <w:rPr>
      <w:rFonts w:ascii="Arial" w:hAnsi="Arial" w:eastAsia="Arial" w:cs="Arial"/>
      <w:b/>
      <w:bCs/>
      <w:sz w:val="24"/>
      <w:szCs w:val="24"/>
    </w:rPr>
  </w:style>
  <w:style w:type="character" w:styleId="991" w:customStyle="1">
    <w:name w:val="Heading 6 Char"/>
    <w:link w:val="953"/>
    <w:uiPriority w:val="9"/>
    <w:qFormat/>
    <w:rPr>
      <w:rFonts w:ascii="Arial" w:hAnsi="Arial" w:eastAsia="Arial" w:cs="Arial"/>
      <w:b/>
      <w:bCs/>
      <w:sz w:val="22"/>
      <w:szCs w:val="22"/>
    </w:rPr>
  </w:style>
  <w:style w:type="character" w:styleId="992" w:customStyle="1">
    <w:name w:val="Heading 7 Char"/>
    <w:link w:val="954"/>
    <w:uiPriority w:val="9"/>
    <w:qFormat/>
    <w:rPr>
      <w:rFonts w:ascii="Arial" w:hAnsi="Arial" w:eastAsia="Arial" w:cs="Arial"/>
      <w:b/>
      <w:bCs/>
      <w:i/>
      <w:iCs/>
      <w:sz w:val="22"/>
      <w:szCs w:val="22"/>
    </w:rPr>
  </w:style>
  <w:style w:type="character" w:styleId="993" w:customStyle="1">
    <w:name w:val="Heading 8 Char"/>
    <w:link w:val="955"/>
    <w:uiPriority w:val="9"/>
    <w:qFormat/>
    <w:rPr>
      <w:rFonts w:ascii="Arial" w:hAnsi="Arial" w:eastAsia="Arial" w:cs="Arial"/>
      <w:i/>
      <w:iCs/>
      <w:sz w:val="22"/>
      <w:szCs w:val="22"/>
    </w:rPr>
  </w:style>
  <w:style w:type="character" w:styleId="994" w:customStyle="1">
    <w:name w:val="Heading 9 Char"/>
    <w:link w:val="956"/>
    <w:uiPriority w:val="9"/>
    <w:qFormat/>
    <w:rPr>
      <w:rFonts w:ascii="Arial" w:hAnsi="Arial" w:eastAsia="Arial" w:cs="Arial"/>
      <w:i/>
      <w:iCs/>
      <w:sz w:val="21"/>
      <w:szCs w:val="21"/>
    </w:rPr>
  </w:style>
  <w:style w:type="paragraph" w:styleId="995">
    <w:name w:val="List Paragraph"/>
    <w:basedOn w:val="947"/>
    <w:uiPriority w:val="34"/>
    <w:qFormat/>
    <w:pPr>
      <w:contextualSpacing/>
      <w:ind w:left="720"/>
    </w:pPr>
  </w:style>
  <w:style w:type="paragraph" w:styleId="996">
    <w:name w:val="No Spacing"/>
    <w:uiPriority w:val="1"/>
    <w:qFormat/>
    <w:pPr>
      <w:spacing w:before="0" w:after="0" w:line="240" w:lineRule="auto"/>
    </w:pPr>
    <w:rPr>
      <w:rFonts w:hint="default" w:ascii="Times New Roman" w:hAnsi="Times New Roman" w:eastAsia="宋体" w:cs="Times New Roman"/>
    </w:rPr>
  </w:style>
  <w:style w:type="character" w:styleId="997" w:customStyle="1">
    <w:name w:val="Title Char"/>
    <w:link w:val="980"/>
    <w:uiPriority w:val="10"/>
    <w:qFormat/>
    <w:rPr>
      <w:sz w:val="48"/>
      <w:szCs w:val="48"/>
    </w:rPr>
  </w:style>
  <w:style w:type="character" w:styleId="998" w:customStyle="1">
    <w:name w:val="Subtitle Char"/>
    <w:link w:val="973"/>
    <w:uiPriority w:val="11"/>
    <w:qFormat/>
    <w:rPr>
      <w:sz w:val="24"/>
      <w:szCs w:val="24"/>
    </w:rPr>
  </w:style>
  <w:style w:type="paragraph" w:styleId="999">
    <w:name w:val="Quote"/>
    <w:basedOn w:val="947"/>
    <w:next w:val="947"/>
    <w:link w:val="1000"/>
    <w:uiPriority w:val="29"/>
    <w:qFormat/>
    <w:pPr>
      <w:ind w:left="720" w:right="720"/>
    </w:pPr>
    <w:rPr>
      <w:i/>
    </w:rPr>
  </w:style>
  <w:style w:type="character" w:styleId="1000" w:customStyle="1">
    <w:name w:val="Quote Char"/>
    <w:link w:val="999"/>
    <w:uiPriority w:val="29"/>
    <w:qFormat/>
    <w:rPr>
      <w:i/>
    </w:rPr>
  </w:style>
  <w:style w:type="paragraph" w:styleId="1001">
    <w:name w:val="Intense Quote"/>
    <w:basedOn w:val="947"/>
    <w:next w:val="947"/>
    <w:link w:val="10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2" w:customStyle="1">
    <w:name w:val="Intense Quote Char"/>
    <w:link w:val="1001"/>
    <w:uiPriority w:val="30"/>
    <w:qFormat/>
    <w:rPr>
      <w:i/>
    </w:rPr>
  </w:style>
  <w:style w:type="character" w:styleId="1003" w:customStyle="1">
    <w:name w:val="Header Char"/>
    <w:link w:val="970"/>
    <w:uiPriority w:val="99"/>
    <w:qFormat/>
  </w:style>
  <w:style w:type="character" w:styleId="1004" w:customStyle="1">
    <w:name w:val="Footer Char"/>
    <w:link w:val="969"/>
    <w:uiPriority w:val="99"/>
    <w:qFormat/>
  </w:style>
  <w:style w:type="character" w:styleId="1005" w:customStyle="1">
    <w:name w:val="Caption Char"/>
    <w:link w:val="969"/>
    <w:uiPriority w:val="99"/>
    <w:qFormat/>
  </w:style>
  <w:style w:type="table" w:styleId="10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1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1" w:customStyle="1">
    <w:name w:val="Footnote Text Char"/>
    <w:link w:val="974"/>
    <w:uiPriority w:val="99"/>
    <w:qFormat/>
    <w:rPr>
      <w:sz w:val="18"/>
    </w:rPr>
  </w:style>
  <w:style w:type="character" w:styleId="1132" w:customStyle="1">
    <w:name w:val="Endnote Text Char"/>
    <w:link w:val="968"/>
    <w:uiPriority w:val="99"/>
    <w:qFormat/>
    <w:rPr>
      <w:sz w:val="20"/>
    </w:rPr>
  </w:style>
  <w:style w:type="paragraph" w:styleId="1133" w:customStyle="1">
    <w:name w:val="TOC Heading"/>
    <w:uiPriority w:val="39"/>
    <w:unhideWhenUsed/>
    <w:qFormat/>
    <w:rPr>
      <w:rFonts w:hint="default" w:ascii="Times New Roman" w:hAnsi="Times New Roman" w:eastAsia="宋体" w:cs="Times New Roman"/>
    </w:rPr>
  </w:style>
  <w:style w:type="paragraph" w:styleId="1134" w:customStyle="1">
    <w:name w:val="标题 11"/>
    <w:basedOn w:val="947"/>
    <w:next w:val="947"/>
    <w:uiPriority w:val="0"/>
    <w:qFormat/>
    <w:pPr>
      <w:jc w:val="center"/>
      <w:keepNext/>
      <w:outlineLvl w:val="0"/>
    </w:pPr>
    <w:rPr>
      <w:rFonts w:ascii="楷体_GB2312" w:eastAsia="楷体_GB2312"/>
      <w:sz w:val="28"/>
      <w:szCs w:val="28"/>
    </w:rPr>
  </w:style>
  <w:style w:type="paragraph" w:styleId="1135" w:customStyle="1">
    <w:name w:val="标题 21"/>
    <w:basedOn w:val="1136"/>
    <w:next w:val="113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36" w:customStyle="1">
    <w:name w:val="文档正文"/>
    <w:basedOn w:val="947"/>
    <w:uiPriority w:val="0"/>
    <w:qFormat/>
    <w:pPr>
      <w:ind w:firstLine="567"/>
      <w:spacing w:line="480" w:lineRule="atLeast"/>
    </w:pPr>
    <w:rPr>
      <w:rFonts w:ascii="长城仿宋"/>
      <w:sz w:val="24"/>
      <w:szCs w:val="20"/>
    </w:rPr>
  </w:style>
  <w:style w:type="paragraph" w:styleId="1137" w:customStyle="1">
    <w:name w:val="标题 31"/>
    <w:basedOn w:val="947"/>
    <w:next w:val="947"/>
    <w:uiPriority w:val="0"/>
    <w:qFormat/>
    <w:pPr>
      <w:keepLines/>
      <w:keepNext/>
      <w:spacing w:before="260" w:after="260" w:line="416" w:lineRule="auto"/>
      <w:outlineLvl w:val="2"/>
    </w:pPr>
    <w:rPr>
      <w:b/>
      <w:bCs/>
      <w:sz w:val="32"/>
      <w:szCs w:val="32"/>
    </w:rPr>
  </w:style>
  <w:style w:type="paragraph" w:styleId="1138" w:customStyle="1">
    <w:name w:val="标题 411"/>
    <w:basedOn w:val="947"/>
    <w:next w:val="947"/>
    <w:uiPriority w:val="0"/>
    <w:qFormat/>
    <w:pPr>
      <w:keepLines/>
      <w:keepNext/>
      <w:spacing w:before="280" w:after="290" w:line="376" w:lineRule="auto"/>
      <w:outlineLvl w:val="3"/>
    </w:pPr>
    <w:rPr>
      <w:rFonts w:ascii="Arial" w:hAnsi="Arial" w:eastAsia="黑体" w:cs="Arial"/>
      <w:b/>
      <w:bCs/>
      <w:sz w:val="28"/>
      <w:szCs w:val="28"/>
    </w:rPr>
  </w:style>
  <w:style w:type="paragraph" w:styleId="1139" w:customStyle="1">
    <w:name w:val="标题 51"/>
    <w:basedOn w:val="1140"/>
    <w:next w:val="1141"/>
    <w:uiPriority w:val="0"/>
    <w:qFormat/>
    <w:pPr>
      <w:keepNext/>
      <w:tabs>
        <w:tab w:val="left" w:pos="780" w:leader="none"/>
      </w:tabs>
      <w:outlineLvl w:val="4"/>
    </w:pPr>
    <w:rPr>
      <w:rFonts w:ascii="宋体"/>
      <w:color w:val="000000"/>
      <w:sz w:val="28"/>
      <w:szCs w:val="28"/>
    </w:rPr>
  </w:style>
  <w:style w:type="paragraph" w:styleId="1140" w:customStyle="1">
    <w:name w:val="列表编号 21"/>
    <w:basedOn w:val="947"/>
    <w:uiPriority w:val="0"/>
    <w:qFormat/>
    <w:pPr>
      <w:numPr>
        <w:ilvl w:val="0"/>
        <w:numId w:val="1"/>
      </w:numPr>
    </w:pPr>
  </w:style>
  <w:style w:type="paragraph" w:styleId="1141" w:customStyle="1">
    <w:name w:val="普通(网站)1"/>
    <w:basedOn w:val="947"/>
    <w:uiPriority w:val="99"/>
    <w:qFormat/>
    <w:pPr>
      <w:jc w:val="left"/>
      <w:spacing w:before="100" w:beforeAutospacing="1" w:after="100" w:afterAutospacing="1"/>
      <w:widowControl/>
    </w:pPr>
    <w:rPr>
      <w:rFonts w:ascii="宋体" w:hAnsi="宋体" w:cs="宋体"/>
      <w:sz w:val="24"/>
      <w:szCs w:val="24"/>
    </w:rPr>
  </w:style>
  <w:style w:type="paragraph" w:styleId="1142" w:customStyle="1">
    <w:name w:val="标题 61"/>
    <w:basedOn w:val="947"/>
    <w:next w:val="947"/>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1143" w:customStyle="1">
    <w:name w:val="标题 71"/>
    <w:basedOn w:val="947"/>
    <w:next w:val="947"/>
    <w:uiPriority w:val="0"/>
    <w:qFormat/>
    <w:pPr>
      <w:numPr>
        <w:ilvl w:val="6"/>
        <w:numId w:val="2"/>
      </w:numPr>
      <w:keepLines/>
      <w:keepNext/>
      <w:spacing w:before="240" w:after="64" w:line="320" w:lineRule="auto"/>
      <w:outlineLvl w:val="6"/>
    </w:pPr>
    <w:rPr>
      <w:b/>
      <w:bCs/>
      <w:sz w:val="24"/>
      <w:szCs w:val="24"/>
    </w:rPr>
  </w:style>
  <w:style w:type="paragraph" w:styleId="1144" w:customStyle="1">
    <w:name w:val="标题 81"/>
    <w:basedOn w:val="947"/>
    <w:next w:val="947"/>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145" w:customStyle="1">
    <w:name w:val="标题 91"/>
    <w:basedOn w:val="947"/>
    <w:next w:val="947"/>
    <w:uiPriority w:val="0"/>
    <w:qFormat/>
    <w:pPr>
      <w:numPr>
        <w:ilvl w:val="8"/>
        <w:numId w:val="2"/>
      </w:numPr>
      <w:keepLines/>
      <w:keepNext/>
      <w:spacing w:before="240" w:after="64" w:line="320" w:lineRule="auto"/>
      <w:outlineLvl w:val="8"/>
    </w:pPr>
    <w:rPr>
      <w:rFonts w:ascii="Arial" w:hAnsi="Arial" w:eastAsia="黑体"/>
    </w:rPr>
  </w:style>
  <w:style w:type="character" w:styleId="1146" w:customStyle="1">
    <w:name w:val="默认段落字体1"/>
    <w:link w:val="947"/>
    <w:uiPriority w:val="0"/>
    <w:semiHidden/>
    <w:qFormat/>
  </w:style>
  <w:style w:type="table" w:styleId="1147" w:customStyle="1">
    <w:name w:val="普通表格1"/>
    <w:uiPriority w:val="0"/>
    <w:semiHidden/>
    <w:qFormat/>
    <w:tblPr/>
  </w:style>
  <w:style w:type="paragraph" w:styleId="1148" w:customStyle="1">
    <w:name w:val="正文文本1"/>
    <w:basedOn w:val="947"/>
    <w:uiPriority w:val="0"/>
    <w:qFormat/>
    <w:rPr>
      <w:rFonts w:ascii="楷体_GB2312" w:hAnsi="Arial" w:eastAsia="楷体_GB2312"/>
      <w:sz w:val="28"/>
      <w:szCs w:val="28"/>
    </w:rPr>
  </w:style>
  <w:style w:type="paragraph" w:styleId="1149" w:customStyle="1">
    <w:name w:val="列表 31"/>
    <w:basedOn w:val="947"/>
    <w:uiPriority w:val="0"/>
    <w:qFormat/>
    <w:pPr>
      <w:ind w:left="100" w:hanging="200"/>
    </w:pPr>
  </w:style>
  <w:style w:type="paragraph" w:styleId="1150" w:customStyle="1">
    <w:name w:val="目录 71"/>
    <w:basedOn w:val="947"/>
    <w:next w:val="947"/>
    <w:uiPriority w:val="0"/>
    <w:semiHidden/>
    <w:qFormat/>
    <w:pPr>
      <w:ind w:left="1260"/>
      <w:jc w:val="left"/>
    </w:pPr>
  </w:style>
  <w:style w:type="paragraph" w:styleId="1151" w:customStyle="1">
    <w:name w:val="正文缩进1"/>
    <w:basedOn w:val="947"/>
    <w:link w:val="1152"/>
    <w:uiPriority w:val="0"/>
    <w:qFormat/>
    <w:pPr>
      <w:ind w:firstLine="420"/>
    </w:pPr>
  </w:style>
  <w:style w:type="character" w:styleId="1152" w:customStyle="1">
    <w:name w:val="正文缩进 字符"/>
    <w:link w:val="1151"/>
    <w:uiPriority w:val="0"/>
    <w:qFormat/>
    <w:rPr>
      <w:sz w:val="21"/>
      <w:szCs w:val="21"/>
    </w:rPr>
  </w:style>
  <w:style w:type="paragraph" w:styleId="1153" w:customStyle="1">
    <w:name w:val="文档结构图1"/>
    <w:basedOn w:val="947"/>
    <w:uiPriority w:val="0"/>
    <w:semiHidden/>
    <w:qFormat/>
    <w:pPr>
      <w:shd w:val="clear" w:color="auto" w:fill="000080"/>
    </w:pPr>
  </w:style>
  <w:style w:type="paragraph" w:styleId="1154" w:customStyle="1">
    <w:name w:val="批注文字1"/>
    <w:basedOn w:val="947"/>
    <w:uiPriority w:val="0"/>
    <w:semiHidden/>
    <w:qFormat/>
    <w:pPr>
      <w:jc w:val="left"/>
    </w:pPr>
  </w:style>
  <w:style w:type="paragraph" w:styleId="1155" w:customStyle="1">
    <w:name w:val="正文文本 31"/>
    <w:basedOn w:val="947"/>
    <w:uiPriority w:val="0"/>
    <w:qFormat/>
    <w:rPr>
      <w:rFonts w:ascii="仿宋_GB2312" w:hAnsi="Arial" w:eastAsia="仿宋_GB2312"/>
      <w:sz w:val="32"/>
      <w:szCs w:val="32"/>
    </w:rPr>
  </w:style>
  <w:style w:type="paragraph" w:styleId="1156" w:customStyle="1">
    <w:name w:val="正文文本缩进1"/>
    <w:basedOn w:val="947"/>
    <w:next w:val="1157"/>
    <w:uiPriority w:val="0"/>
    <w:qFormat/>
    <w:pPr>
      <w:ind w:firstLine="645"/>
    </w:pPr>
    <w:rPr>
      <w:rFonts w:ascii="楷体_GB2312" w:eastAsia="楷体_GB2312"/>
      <w:sz w:val="32"/>
      <w:szCs w:val="32"/>
    </w:rPr>
  </w:style>
  <w:style w:type="paragraph" w:styleId="1157" w:customStyle="1">
    <w:name w:val="寄信人地址1"/>
    <w:basedOn w:val="947"/>
    <w:uiPriority w:val="0"/>
    <w:qFormat/>
    <w:rPr>
      <w:rFonts w:ascii="Arial" w:hAnsi="Arial"/>
    </w:rPr>
  </w:style>
  <w:style w:type="paragraph" w:styleId="1158" w:customStyle="1">
    <w:name w:val="列表 21"/>
    <w:basedOn w:val="947"/>
    <w:uiPriority w:val="0"/>
    <w:qFormat/>
    <w:pPr>
      <w:ind w:left="100" w:hanging="200"/>
    </w:pPr>
  </w:style>
  <w:style w:type="paragraph" w:styleId="1159" w:customStyle="1">
    <w:name w:val="文本块1"/>
    <w:basedOn w:val="947"/>
    <w:uiPriority w:val="99"/>
    <w:unhideWhenUsed/>
    <w:qFormat/>
    <w:pPr>
      <w:ind w:left="1440" w:right="700"/>
    </w:pPr>
  </w:style>
  <w:style w:type="paragraph" w:styleId="1160" w:customStyle="1">
    <w:name w:val="索引 411"/>
    <w:basedOn w:val="947"/>
    <w:next w:val="947"/>
    <w:uiPriority w:val="99"/>
    <w:unhideWhenUsed/>
    <w:qFormat/>
    <w:pPr>
      <w:ind w:left="600"/>
    </w:pPr>
  </w:style>
  <w:style w:type="paragraph" w:styleId="1161" w:customStyle="1">
    <w:name w:val="目录 51"/>
    <w:basedOn w:val="947"/>
    <w:next w:val="947"/>
    <w:uiPriority w:val="0"/>
    <w:semiHidden/>
    <w:qFormat/>
    <w:pPr>
      <w:ind w:left="840"/>
      <w:jc w:val="left"/>
    </w:pPr>
  </w:style>
  <w:style w:type="paragraph" w:styleId="1162" w:customStyle="1">
    <w:name w:val="目录 31"/>
    <w:basedOn w:val="947"/>
    <w:next w:val="947"/>
    <w:uiPriority w:val="0"/>
    <w:semiHidden/>
    <w:qFormat/>
    <w:pPr>
      <w:ind w:left="420"/>
      <w:jc w:val="left"/>
    </w:pPr>
    <w:rPr>
      <w:i/>
      <w:iCs/>
      <w:szCs w:val="24"/>
    </w:rPr>
  </w:style>
  <w:style w:type="paragraph" w:styleId="1163" w:customStyle="1">
    <w:name w:val="纯文本1"/>
    <w:basedOn w:val="947"/>
    <w:uiPriority w:val="0"/>
    <w:qFormat/>
    <w:rPr>
      <w:rFonts w:ascii="宋体" w:hAnsi="Courier New" w:cs="Courier New"/>
    </w:rPr>
  </w:style>
  <w:style w:type="paragraph" w:styleId="1164" w:customStyle="1">
    <w:name w:val="目录 81"/>
    <w:basedOn w:val="947"/>
    <w:next w:val="947"/>
    <w:uiPriority w:val="0"/>
    <w:semiHidden/>
    <w:qFormat/>
    <w:pPr>
      <w:ind w:left="1470"/>
      <w:jc w:val="left"/>
    </w:pPr>
  </w:style>
  <w:style w:type="paragraph" w:styleId="1165" w:customStyle="1">
    <w:name w:val="日期1"/>
    <w:basedOn w:val="947"/>
    <w:next w:val="947"/>
    <w:uiPriority w:val="0"/>
    <w:qFormat/>
    <w:rPr>
      <w:sz w:val="24"/>
      <w:szCs w:val="24"/>
    </w:rPr>
  </w:style>
  <w:style w:type="paragraph" w:styleId="1166" w:customStyle="1">
    <w:name w:val="正文文本缩进 21"/>
    <w:basedOn w:val="947"/>
    <w:uiPriority w:val="0"/>
    <w:qFormat/>
    <w:pPr>
      <w:ind w:left="630" w:firstLine="645"/>
    </w:pPr>
    <w:rPr>
      <w:rFonts w:ascii="Arial" w:hAnsi="Arial" w:eastAsia="仿宋_GB2312" w:cs="Arial"/>
      <w:sz w:val="32"/>
      <w:szCs w:val="32"/>
    </w:rPr>
  </w:style>
  <w:style w:type="paragraph" w:styleId="1167" w:customStyle="1">
    <w:name w:val="批注框文本1"/>
    <w:basedOn w:val="947"/>
    <w:uiPriority w:val="0"/>
    <w:semiHidden/>
    <w:qFormat/>
    <w:rPr>
      <w:sz w:val="18"/>
      <w:szCs w:val="18"/>
    </w:rPr>
  </w:style>
  <w:style w:type="paragraph" w:styleId="1168" w:customStyle="1">
    <w:name w:val="页脚1"/>
    <w:basedOn w:val="947"/>
    <w:uiPriority w:val="0"/>
    <w:qFormat/>
    <w:pPr>
      <w:jc w:val="left"/>
      <w:tabs>
        <w:tab w:val="center" w:pos="4153" w:leader="none"/>
        <w:tab w:val="right" w:pos="8306" w:leader="none"/>
      </w:tabs>
    </w:pPr>
    <w:rPr>
      <w:sz w:val="18"/>
      <w:szCs w:val="18"/>
    </w:rPr>
  </w:style>
  <w:style w:type="paragraph" w:styleId="1169" w:customStyle="1">
    <w:name w:val="页眉1"/>
    <w:basedOn w:val="947"/>
    <w:uiPriority w:val="0"/>
    <w:qFormat/>
    <w:pPr>
      <w:jc w:val="center"/>
      <w:tabs>
        <w:tab w:val="center" w:pos="4153" w:leader="none"/>
        <w:tab w:val="right" w:pos="8306" w:leader="none"/>
      </w:tabs>
      <w:pBdr>
        <w:bottom w:val="single" w:color="000000" w:sz="6" w:space="1"/>
      </w:pBdr>
    </w:pPr>
    <w:rPr>
      <w:sz w:val="18"/>
      <w:szCs w:val="18"/>
    </w:rPr>
  </w:style>
  <w:style w:type="paragraph" w:styleId="1170" w:customStyle="1">
    <w:name w:val="目录 11"/>
    <w:basedOn w:val="947"/>
    <w:next w:val="947"/>
    <w:uiPriority w:val="0"/>
    <w:semiHidden/>
    <w:qFormat/>
    <w:pPr>
      <w:jc w:val="left"/>
      <w:spacing w:before="120" w:after="120" w:line="400" w:lineRule="exact"/>
      <w:tabs>
        <w:tab w:val="right" w:pos="8720" w:leader="dot"/>
      </w:tabs>
    </w:pPr>
    <w:rPr>
      <w:rFonts w:ascii="宋体" w:hAnsi="宋体"/>
      <w:caps/>
      <w:sz w:val="24"/>
      <w:szCs w:val="24"/>
    </w:rPr>
  </w:style>
  <w:style w:type="paragraph" w:styleId="1171" w:customStyle="1">
    <w:name w:val="目录 41"/>
    <w:basedOn w:val="947"/>
    <w:next w:val="947"/>
    <w:uiPriority w:val="0"/>
    <w:semiHidden/>
    <w:qFormat/>
    <w:pPr>
      <w:ind w:left="630"/>
      <w:jc w:val="left"/>
    </w:pPr>
  </w:style>
  <w:style w:type="paragraph" w:styleId="1172" w:customStyle="1">
    <w:name w:val="副标题1"/>
    <w:basedOn w:val="947"/>
    <w:next w:val="947"/>
    <w:uiPriority w:val="99"/>
    <w:qFormat/>
    <w:pPr>
      <w:jc w:val="center"/>
      <w:spacing w:before="240" w:after="60" w:line="312" w:lineRule="auto"/>
      <w:outlineLvl w:val="1"/>
    </w:pPr>
    <w:rPr>
      <w:rFonts w:ascii="Cambria" w:hAnsi="Cambria" w:cs="Cambria"/>
      <w:b/>
      <w:bCs/>
      <w:sz w:val="32"/>
      <w:szCs w:val="32"/>
    </w:rPr>
  </w:style>
  <w:style w:type="paragraph" w:styleId="1173" w:customStyle="1">
    <w:name w:val="列表1"/>
    <w:basedOn w:val="947"/>
    <w:uiPriority w:val="0"/>
    <w:qFormat/>
    <w:pPr>
      <w:ind w:left="200" w:hanging="200"/>
    </w:pPr>
  </w:style>
  <w:style w:type="paragraph" w:styleId="1174" w:customStyle="1">
    <w:name w:val="目录 61"/>
    <w:basedOn w:val="947"/>
    <w:next w:val="947"/>
    <w:uiPriority w:val="0"/>
    <w:semiHidden/>
    <w:qFormat/>
    <w:pPr>
      <w:ind w:left="1050"/>
      <w:jc w:val="left"/>
    </w:pPr>
  </w:style>
  <w:style w:type="paragraph" w:styleId="1175" w:customStyle="1">
    <w:name w:val="正文文本缩进 31"/>
    <w:basedOn w:val="947"/>
    <w:uiPriority w:val="0"/>
    <w:qFormat/>
    <w:pPr>
      <w:ind w:left="645" w:firstLine="645"/>
    </w:pPr>
    <w:rPr>
      <w:rFonts w:ascii="Arial" w:hAnsi="Arial" w:eastAsia="仿宋_GB2312" w:cs="Arial"/>
      <w:color w:val="ffff00"/>
      <w:sz w:val="32"/>
      <w:szCs w:val="32"/>
    </w:rPr>
  </w:style>
  <w:style w:type="paragraph" w:styleId="1176" w:customStyle="1">
    <w:name w:val="图表目录1"/>
    <w:basedOn w:val="947"/>
    <w:next w:val="947"/>
    <w:uiPriority w:val="0"/>
    <w:semiHidden/>
    <w:qFormat/>
    <w:pPr>
      <w:ind w:left="840" w:hanging="420"/>
    </w:pPr>
  </w:style>
  <w:style w:type="paragraph" w:styleId="1177" w:customStyle="1">
    <w:name w:val="目录 21"/>
    <w:basedOn w:val="947"/>
    <w:next w:val="947"/>
    <w:uiPriority w:val="0"/>
    <w:semiHidden/>
    <w:qFormat/>
    <w:pPr>
      <w:ind w:left="210"/>
      <w:jc w:val="left"/>
    </w:pPr>
    <w:rPr>
      <w:smallCaps/>
      <w:szCs w:val="24"/>
    </w:rPr>
  </w:style>
  <w:style w:type="paragraph" w:styleId="1178" w:customStyle="1">
    <w:name w:val="目录 91"/>
    <w:basedOn w:val="947"/>
    <w:next w:val="947"/>
    <w:uiPriority w:val="0"/>
    <w:semiHidden/>
    <w:qFormat/>
    <w:pPr>
      <w:ind w:left="1680"/>
      <w:jc w:val="left"/>
    </w:pPr>
  </w:style>
  <w:style w:type="paragraph" w:styleId="1179" w:customStyle="1">
    <w:name w:val="正文文本 21"/>
    <w:basedOn w:val="947"/>
    <w:uiPriority w:val="0"/>
    <w:qFormat/>
    <w:pPr>
      <w:jc w:val="center"/>
      <w:widowControl/>
    </w:pPr>
    <w:rPr>
      <w:rFonts w:ascii="楷体_GB2312" w:eastAsia="楷体_GB2312"/>
      <w:sz w:val="28"/>
      <w:szCs w:val="28"/>
    </w:rPr>
  </w:style>
  <w:style w:type="paragraph" w:styleId="1180" w:customStyle="1">
    <w:name w:val="索引 11"/>
    <w:basedOn w:val="947"/>
    <w:next w:val="947"/>
    <w:uiPriority w:val="0"/>
    <w:semiHidden/>
    <w:qFormat/>
    <w:pPr>
      <w:spacing w:line="240" w:lineRule="atLeast"/>
    </w:pPr>
    <w:rPr>
      <w:b/>
      <w:bCs/>
    </w:rPr>
  </w:style>
  <w:style w:type="paragraph" w:styleId="1181" w:customStyle="1">
    <w:name w:val="批注主题1"/>
    <w:basedOn w:val="1154"/>
    <w:next w:val="1154"/>
    <w:uiPriority w:val="0"/>
    <w:semiHidden/>
    <w:qFormat/>
    <w:rPr>
      <w:b/>
      <w:bCs/>
    </w:rPr>
  </w:style>
  <w:style w:type="paragraph" w:styleId="1182" w:customStyle="1">
    <w:name w:val="正文首行缩进1"/>
    <w:basedOn w:val="1148"/>
    <w:uiPriority w:val="0"/>
    <w:qFormat/>
    <w:pPr>
      <w:ind w:firstLine="200"/>
      <w:spacing w:line="360" w:lineRule="auto"/>
    </w:pPr>
    <w:rPr>
      <w:rFonts w:ascii="仿宋_GB2312" w:eastAsia="仿宋_GB2312"/>
      <w:sz w:val="30"/>
      <w:szCs w:val="30"/>
    </w:rPr>
  </w:style>
  <w:style w:type="paragraph" w:styleId="1183" w:customStyle="1">
    <w:name w:val="正文首行缩进 21"/>
    <w:basedOn w:val="1156"/>
    <w:uiPriority w:val="0"/>
    <w:qFormat/>
    <w:pPr>
      <w:ind w:firstLine="420"/>
      <w:spacing w:line="360" w:lineRule="auto"/>
    </w:pPr>
    <w:rPr>
      <w:rFonts w:ascii="宋体" w:hAnsi="宋体" w:eastAsia="宋体"/>
      <w:sz w:val="21"/>
      <w:szCs w:val="20"/>
    </w:rPr>
  </w:style>
  <w:style w:type="table" w:styleId="1184" w:customStyle="1">
    <w:name w:val="网格型1"/>
    <w:basedOn w:val="1147"/>
    <w:uiPriority w:val="0"/>
    <w:qFormat/>
    <w:pPr>
      <w:jc w:val="both"/>
      <w:widowControl w:val="off"/>
    </w:pPr>
    <w:tblPr/>
  </w:style>
  <w:style w:type="character" w:styleId="1185" w:customStyle="1">
    <w:name w:val="要点1"/>
    <w:link w:val="947"/>
    <w:uiPriority w:val="0"/>
    <w:qFormat/>
    <w:rPr>
      <w:b/>
      <w:bCs/>
    </w:rPr>
  </w:style>
  <w:style w:type="character" w:styleId="1186" w:customStyle="1">
    <w:name w:val="页码1"/>
    <w:link w:val="947"/>
    <w:uiPriority w:val="0"/>
    <w:qFormat/>
  </w:style>
  <w:style w:type="character" w:styleId="1187" w:customStyle="1">
    <w:name w:val="已访问的超链接1"/>
    <w:link w:val="947"/>
    <w:uiPriority w:val="0"/>
    <w:qFormat/>
    <w:rPr>
      <w:color w:val="800080"/>
      <w:u w:val="single"/>
    </w:rPr>
  </w:style>
  <w:style w:type="character" w:styleId="1188" w:customStyle="1">
    <w:name w:val="超链接1"/>
    <w:link w:val="947"/>
    <w:uiPriority w:val="0"/>
    <w:qFormat/>
    <w:rPr>
      <w:color w:val="0000ff"/>
      <w:u w:val="single"/>
    </w:rPr>
  </w:style>
  <w:style w:type="character" w:styleId="1189" w:customStyle="1">
    <w:name w:val="批注引用1"/>
    <w:link w:val="947"/>
    <w:uiPriority w:val="0"/>
    <w:semiHidden/>
    <w:qFormat/>
    <w:rPr>
      <w:sz w:val="21"/>
      <w:szCs w:val="21"/>
    </w:rPr>
  </w:style>
  <w:style w:type="paragraph" w:styleId="1190" w:customStyle="1">
    <w:name w:val="一级条标题"/>
    <w:basedOn w:val="1191"/>
    <w:next w:val="1192"/>
    <w:uiPriority w:val="0"/>
    <w:qFormat/>
    <w:pPr>
      <w:numPr>
        <w:ilvl w:val="1"/>
        <w:numId w:val="3"/>
      </w:numPr>
      <w:tabs>
        <w:tab w:val="left" w:pos="810" w:leader="none"/>
        <w:tab w:val="left" w:pos="1265" w:leader="none"/>
      </w:tabs>
      <w:outlineLvl w:val="2"/>
    </w:pPr>
    <w:rPr>
      <w:rFonts w:hAnsi="Times New Roman" w:cs="Times New Roman"/>
      <w:szCs w:val="21"/>
    </w:rPr>
  </w:style>
  <w:style w:type="paragraph" w:styleId="1191" w:customStyle="1">
    <w:name w:val="章标题"/>
    <w:next w:val="94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92" w:customStyle="1">
    <w:name w:val="段"/>
    <w:basedOn w:val="947"/>
    <w:next w:val="947"/>
    <w:uiPriority w:val="0"/>
    <w:qFormat/>
    <w:pPr>
      <w:ind w:firstLine="200"/>
      <w:widowControl/>
    </w:pPr>
    <w:rPr>
      <w:rFonts w:hint="eastAsia" w:ascii="宋体"/>
      <w:szCs w:val="20"/>
    </w:rPr>
  </w:style>
  <w:style w:type="character" w:styleId="1193" w:customStyle="1">
    <w:name w:val="font61"/>
    <w:link w:val="947"/>
    <w:uiPriority w:val="0"/>
    <w:qFormat/>
    <w:rPr>
      <w:rFonts w:ascii="Times New Roman" w:hAnsi="Times New Roman" w:cs="Times New Roman"/>
      <w:color w:val="000000"/>
      <w:sz w:val="21"/>
      <w:szCs w:val="21"/>
      <w:u w:val="none"/>
    </w:rPr>
  </w:style>
  <w:style w:type="character" w:styleId="1194" w:customStyle="1">
    <w:name w:val="二级目录 Char"/>
    <w:link w:val="1195"/>
    <w:uiPriority w:val="0"/>
    <w:qFormat/>
    <w:rPr>
      <w:b/>
      <w:sz w:val="30"/>
      <w:szCs w:val="28"/>
      <w:lang w:val="en-US" w:eastAsia="zh-CN" w:bidi="ar-SA"/>
    </w:rPr>
  </w:style>
  <w:style w:type="paragraph" w:styleId="1195" w:customStyle="1">
    <w:name w:val="二级目录"/>
    <w:next w:val="947"/>
    <w:link w:val="1194"/>
    <w:uiPriority w:val="0"/>
    <w:qFormat/>
    <w:pPr>
      <w:numPr>
        <w:ilvl w:val="0"/>
        <w:numId w:val="4"/>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6" w:customStyle="1">
    <w:name w:val="font5 Char"/>
    <w:link w:val="947"/>
    <w:uiPriority w:val="0"/>
    <w:qFormat/>
    <w:rPr>
      <w:rFonts w:ascii="宋体" w:hAnsi="宋体" w:eastAsia="宋体"/>
      <w:sz w:val="28"/>
      <w:szCs w:val="28"/>
      <w:lang w:val="en-US" w:eastAsia="zh-CN" w:bidi="ar-SA"/>
    </w:rPr>
  </w:style>
  <w:style w:type="character" w:styleId="1197" w:customStyle="1">
    <w:name w:val="font41"/>
    <w:link w:val="947"/>
    <w:uiPriority w:val="0"/>
    <w:qFormat/>
    <w:rPr>
      <w:rFonts w:hint="eastAsia" w:ascii="宋体" w:hAnsi="宋体" w:eastAsia="宋体" w:cs="宋体"/>
      <w:color w:val="000000"/>
      <w:sz w:val="21"/>
      <w:szCs w:val="21"/>
      <w:u w:val="none"/>
    </w:rPr>
  </w:style>
  <w:style w:type="character" w:styleId="1198" w:customStyle="1">
    <w:name w:val="font81"/>
    <w:link w:val="947"/>
    <w:uiPriority w:val="0"/>
    <w:qFormat/>
    <w:rPr>
      <w:rFonts w:ascii="Times New Roman" w:hAnsi="Times New Roman" w:cs="Times New Roman"/>
      <w:color w:val="000000"/>
      <w:sz w:val="21"/>
      <w:szCs w:val="21"/>
      <w:u w:val="none"/>
    </w:rPr>
  </w:style>
  <w:style w:type="character" w:styleId="1199" w:customStyle="1">
    <w:name w:val="font01"/>
    <w:link w:val="947"/>
    <w:uiPriority w:val="0"/>
    <w:qFormat/>
    <w:rPr>
      <w:rFonts w:ascii="等线" w:hAnsi="等线" w:eastAsia="等线" w:cs="等线"/>
      <w:color w:val="000000"/>
      <w:sz w:val="21"/>
      <w:szCs w:val="21"/>
      <w:u w:val="none"/>
    </w:rPr>
  </w:style>
  <w:style w:type="character" w:styleId="1200" w:customStyle="1">
    <w:name w:val="font71"/>
    <w:link w:val="947"/>
    <w:uiPriority w:val="0"/>
    <w:qFormat/>
    <w:rPr>
      <w:rFonts w:ascii="等线" w:hAnsi="等线" w:eastAsia="等线" w:cs="等线"/>
      <w:color w:val="000000"/>
      <w:sz w:val="21"/>
      <w:szCs w:val="21"/>
      <w:u w:val="none"/>
    </w:rPr>
  </w:style>
  <w:style w:type="character" w:styleId="1201" w:customStyle="1">
    <w:name w:val="font21"/>
    <w:link w:val="947"/>
    <w:uiPriority w:val="0"/>
    <w:qFormat/>
    <w:rPr>
      <w:rFonts w:hint="eastAsia" w:ascii="宋体" w:hAnsi="宋体" w:eastAsia="宋体" w:cs="宋体"/>
      <w:color w:val="000000"/>
      <w:sz w:val="21"/>
      <w:szCs w:val="21"/>
      <w:u w:val="none"/>
    </w:rPr>
  </w:style>
  <w:style w:type="character" w:styleId="1202" w:customStyle="1">
    <w:name w:val="font101"/>
    <w:link w:val="947"/>
    <w:uiPriority w:val="0"/>
    <w:qFormat/>
    <w:rPr>
      <w:rFonts w:ascii="Times New Roman" w:hAnsi="Times New Roman" w:cs="Times New Roman"/>
      <w:color w:val="000000"/>
      <w:sz w:val="21"/>
      <w:szCs w:val="21"/>
      <w:u w:val="none"/>
    </w:rPr>
  </w:style>
  <w:style w:type="character" w:styleId="1203" w:customStyle="1">
    <w:name w:val="font91"/>
    <w:link w:val="947"/>
    <w:uiPriority w:val="0"/>
    <w:qFormat/>
    <w:rPr>
      <w:rFonts w:ascii="Times New Roman" w:hAnsi="Times New Roman" w:cs="Times New Roman"/>
      <w:color w:val="000000"/>
      <w:sz w:val="21"/>
      <w:szCs w:val="21"/>
      <w:u w:val="none"/>
    </w:rPr>
  </w:style>
  <w:style w:type="character" w:styleId="1204" w:customStyle="1">
    <w:name w:val="列出段落 Char"/>
    <w:link w:val="1205"/>
    <w:uiPriority w:val="0"/>
    <w:qFormat/>
    <w:rPr>
      <w:rFonts w:ascii="Calibri" w:hAnsi="Calibri"/>
      <w:sz w:val="24"/>
      <w:szCs w:val="24"/>
      <w:lang w:eastAsia="en-US" w:bidi="en-US"/>
    </w:rPr>
  </w:style>
  <w:style w:type="paragraph" w:styleId="1205" w:customStyle="1">
    <w:name w:val="列出段落1"/>
    <w:basedOn w:val="947"/>
    <w:link w:val="1204"/>
    <w:uiPriority w:val="0"/>
    <w:qFormat/>
    <w:pPr>
      <w:contextualSpacing/>
      <w:ind w:left="720"/>
      <w:jc w:val="left"/>
      <w:widowControl/>
    </w:pPr>
    <w:rPr>
      <w:rFonts w:ascii="Calibri" w:hAnsi="Calibri"/>
      <w:sz w:val="24"/>
      <w:szCs w:val="24"/>
      <w:lang w:eastAsia="en-US" w:bidi="en-US"/>
    </w:rPr>
  </w:style>
  <w:style w:type="paragraph" w:styleId="1206" w:customStyle="1">
    <w:name w:val="null3"/>
    <w:uiPriority w:val="0"/>
    <w:qFormat/>
    <w:rPr>
      <w:rFonts w:hint="eastAsia" w:ascii="Calibri" w:hAnsi="Calibri" w:eastAsia="宋体" w:cs="Times New Roman"/>
      <w:lang w:val="en-US" w:eastAsia="zh-CN" w:bidi="ar-SA"/>
    </w:rPr>
  </w:style>
  <w:style w:type="paragraph" w:styleId="1207" w:customStyle="1">
    <w:name w:val=" Char Char Char Char Char Char Char Char Char Char"/>
    <w:basedOn w:val="947"/>
    <w:uiPriority w:val="0"/>
    <w:qFormat/>
    <w:pPr>
      <w:spacing w:line="360" w:lineRule="auto"/>
    </w:pPr>
    <w:rPr>
      <w:sz w:val="24"/>
      <w:szCs w:val="20"/>
    </w:rPr>
  </w:style>
  <w:style w:type="paragraph" w:styleId="1208" w:customStyle="1">
    <w:name w:val="table_1stline"/>
    <w:basedOn w:val="947"/>
    <w:uiPriority w:val="0"/>
    <w:qFormat/>
    <w:pPr>
      <w:jc w:val="left"/>
      <w:spacing w:before="120"/>
      <w:widowControl/>
    </w:pPr>
    <w:rPr>
      <w:bCs/>
      <w:sz w:val="20"/>
      <w:szCs w:val="20"/>
      <w:lang w:val="de-DE" w:eastAsia="de-DE"/>
    </w:rPr>
  </w:style>
  <w:style w:type="paragraph" w:styleId="1209" w:customStyle="1">
    <w:name w:val=" Char Char Char Char"/>
    <w:basedOn w:val="1153"/>
    <w:uiPriority w:val="0"/>
    <w:qFormat/>
    <w:pPr>
      <w:spacing w:line="360" w:lineRule="auto"/>
    </w:pPr>
    <w:rPr>
      <w:rFonts w:ascii="Tahoma" w:hAnsi="Tahoma"/>
      <w:sz w:val="24"/>
      <w:szCs w:val="24"/>
    </w:rPr>
  </w:style>
  <w:style w:type="paragraph" w:styleId="1210"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1211" w:customStyle="1">
    <w:name w:val=" Char Char Char Char Char Char Char Char"/>
    <w:basedOn w:val="947"/>
    <w:uiPriority w:val="0"/>
    <w:qFormat/>
    <w:pPr>
      <w:jc w:val="left"/>
      <w:spacing w:after="160" w:line="240" w:lineRule="exact"/>
      <w:widowControl/>
    </w:pPr>
    <w:rPr>
      <w:rFonts w:ascii="Verdana" w:hAnsi="Verdana"/>
      <w:sz w:val="20"/>
      <w:szCs w:val="20"/>
      <w:lang w:eastAsia="en-US"/>
    </w:rPr>
  </w:style>
  <w:style w:type="paragraph" w:styleId="1212" w:customStyle="1">
    <w:name w:val="图标"/>
    <w:basedOn w:val="947"/>
    <w:next w:val="94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3" w:customStyle="1">
    <w:name w:val="H正文"/>
    <w:basedOn w:val="947"/>
    <w:uiPriority w:val="0"/>
    <w:qFormat/>
    <w:pPr>
      <w:ind w:firstLine="200"/>
    </w:pPr>
    <w:rPr>
      <w:rFonts w:ascii="宋体"/>
      <w:sz w:val="24"/>
      <w:szCs w:val="20"/>
    </w:rPr>
  </w:style>
  <w:style w:type="paragraph" w:styleId="1214" w:customStyle="1">
    <w:name w:val="xl28"/>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5" w:customStyle="1">
    <w:name w:val="样式1"/>
    <w:basedOn w:val="947"/>
    <w:uiPriority w:val="0"/>
    <w:qFormat/>
    <w:pPr>
      <w:numPr>
        <w:ilvl w:val="0"/>
        <w:numId w:val="5"/>
      </w:numPr>
    </w:pPr>
    <w:rPr>
      <w:rFonts w:ascii="宋体" w:hAnsi="宋体"/>
    </w:rPr>
  </w:style>
  <w:style w:type="paragraph" w:styleId="1216" w:customStyle="1">
    <w:name w:val="p0"/>
    <w:basedOn w:val="947"/>
    <w:uiPriority w:val="0"/>
    <w:qFormat/>
    <w:pPr>
      <w:widowControl/>
    </w:pPr>
    <w:rPr>
      <w:szCs w:val="21"/>
    </w:rPr>
  </w:style>
  <w:style w:type="paragraph" w:styleId="1217" w:customStyle="1">
    <w:name w:val="xl29"/>
    <w:basedOn w:val="94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8" w:customStyle="1">
    <w:name w:val="列出段落"/>
    <w:basedOn w:val="947"/>
    <w:uiPriority w:val="0"/>
    <w:qFormat/>
    <w:pPr>
      <w:contextualSpacing/>
      <w:ind w:left="720"/>
      <w:jc w:val="left"/>
      <w:widowControl/>
    </w:pPr>
    <w:rPr>
      <w:rFonts w:ascii="Calibri" w:hAnsi="Calibri"/>
      <w:sz w:val="24"/>
      <w:szCs w:val="24"/>
      <w:lang w:eastAsia="en-US" w:bidi="en-US"/>
    </w:rPr>
  </w:style>
  <w:style w:type="paragraph" w:styleId="1219" w:customStyle="1">
    <w:name w:val="font6"/>
    <w:basedOn w:val="947"/>
    <w:uiPriority w:val="0"/>
    <w:qFormat/>
    <w:pPr>
      <w:jc w:val="left"/>
      <w:spacing w:before="100" w:beforeAutospacing="1" w:after="100" w:afterAutospacing="1"/>
      <w:widowControl/>
    </w:pPr>
    <w:rPr>
      <w:rFonts w:hint="eastAsia" w:ascii="宋体" w:hAnsi="宋体"/>
      <w:sz w:val="28"/>
      <w:szCs w:val="28"/>
      <w:u w:val="single"/>
    </w:rPr>
  </w:style>
  <w:style w:type="paragraph" w:styleId="1220" w:customStyle="1">
    <w:name w:val="Char"/>
    <w:basedOn w:val="947"/>
    <w:uiPriority w:val="0"/>
    <w:qFormat/>
    <w:pPr>
      <w:ind w:firstLine="200"/>
      <w:tabs>
        <w:tab w:val="left" w:pos="360" w:leader="none"/>
      </w:tabs>
    </w:pPr>
    <w:rPr>
      <w:sz w:val="28"/>
      <w:szCs w:val="30"/>
    </w:rPr>
  </w:style>
  <w:style w:type="paragraph" w:styleId="122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22" w:customStyle="1">
    <w:name w:val="4"/>
    <w:basedOn w:val="947"/>
    <w:next w:val="1175"/>
    <w:uiPriority w:val="0"/>
    <w:qFormat/>
    <w:pPr>
      <w:ind w:firstLine="420"/>
      <w:spacing w:line="360" w:lineRule="auto"/>
    </w:pPr>
    <w:rPr>
      <w:color w:val="ff0000"/>
      <w:sz w:val="24"/>
      <w:szCs w:val="24"/>
    </w:rPr>
  </w:style>
  <w:style w:type="paragraph" w:styleId="1223" w:customStyle="1">
    <w:name w:val="标题1"/>
    <w:basedOn w:val="947"/>
    <w:next w:val="94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24" w:customStyle="1">
    <w:name w:val=" Char"/>
    <w:basedOn w:val="1153"/>
    <w:uiPriority w:val="0"/>
    <w:qFormat/>
    <w:rPr>
      <w:rFonts w:ascii="Tahoma" w:hAnsi="Tahoma"/>
      <w:sz w:val="24"/>
      <w:szCs w:val="24"/>
    </w:rPr>
  </w:style>
  <w:style w:type="paragraph" w:styleId="1225" w:customStyle="1">
    <w:name w:val="xl25"/>
    <w:basedOn w:val="94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26" w:customStyle="1">
    <w:name w:val="正文文本 211"/>
    <w:basedOn w:val="947"/>
    <w:uiPriority w:val="99"/>
    <w:qFormat/>
    <w:pPr>
      <w:jc w:val="center"/>
    </w:pPr>
    <w:rPr>
      <w:b/>
      <w:bCs/>
      <w:sz w:val="20"/>
      <w:szCs w:val="20"/>
    </w:rPr>
  </w:style>
  <w:style w:type="paragraph" w:styleId="1227" w:customStyle="1">
    <w:name w:val="首行缩进"/>
    <w:basedOn w:val="947"/>
    <w:uiPriority w:val="0"/>
    <w:qFormat/>
    <w:pPr>
      <w:ind w:firstLine="420"/>
      <w:spacing w:line="360" w:lineRule="auto"/>
    </w:pPr>
    <w:rPr>
      <w:sz w:val="20"/>
    </w:rPr>
  </w:style>
  <w:style w:type="paragraph" w:styleId="1228" w:customStyle="1">
    <w:name w:val="font7"/>
    <w:basedOn w:val="947"/>
    <w:uiPriority w:val="0"/>
    <w:qFormat/>
    <w:pPr>
      <w:jc w:val="left"/>
      <w:spacing w:before="100" w:beforeAutospacing="1" w:after="100" w:afterAutospacing="1"/>
      <w:widowControl/>
    </w:pPr>
    <w:rPr>
      <w:rFonts w:hint="eastAsia" w:ascii="宋体" w:hAnsi="宋体"/>
      <w:sz w:val="18"/>
      <w:szCs w:val="18"/>
    </w:rPr>
  </w:style>
  <w:style w:type="paragraph" w:styleId="1229" w:customStyle="1">
    <w:name w:val="WPSOffice手动目录 1"/>
    <w:uiPriority w:val="0"/>
    <w:qFormat/>
    <w:rPr>
      <w:rFonts w:hint="default" w:ascii="Times New Roman" w:hAnsi="Times New Roman" w:eastAsia="宋体" w:cs="Times New Roman"/>
      <w:lang w:val="en-US" w:eastAsia="zh-CN" w:bidi="ar-SA"/>
    </w:rPr>
  </w:style>
  <w:style w:type="paragraph" w:styleId="1230" w:customStyle="1">
    <w:name w:val="表格字体"/>
    <w:basedOn w:val="947"/>
    <w:uiPriority w:val="0"/>
    <w:qFormat/>
    <w:pPr>
      <w:spacing w:line="360" w:lineRule="auto"/>
    </w:pPr>
  </w:style>
  <w:style w:type="paragraph" w:styleId="1231" w:customStyle="1">
    <w:name w:val="font5"/>
    <w:basedOn w:val="947"/>
    <w:uiPriority w:val="0"/>
    <w:qFormat/>
    <w:pPr>
      <w:jc w:val="left"/>
      <w:spacing w:before="100" w:beforeAutospacing="1" w:after="100" w:afterAutospacing="1"/>
      <w:widowControl/>
    </w:pPr>
    <w:rPr>
      <w:rFonts w:hint="eastAsia" w:ascii="宋体" w:hAnsi="宋体"/>
      <w:sz w:val="28"/>
      <w:szCs w:val="28"/>
    </w:rPr>
  </w:style>
  <w:style w:type="paragraph" w:styleId="1232" w:customStyle="1">
    <w:name w:val="Body Text(ch)"/>
    <w:basedOn w:val="947"/>
    <w:next w:val="1148"/>
    <w:uiPriority w:val="0"/>
    <w:qFormat/>
    <w:pPr>
      <w:spacing w:after="120"/>
    </w:pPr>
    <w:rPr>
      <w:rFonts w:ascii="宋体" w:hAnsi="Arial"/>
      <w:bCs/>
      <w:iCs/>
      <w:szCs w:val="24"/>
    </w:rPr>
  </w:style>
  <w:style w:type="paragraph" w:styleId="1233"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1234" w:customStyle="1">
    <w:name w:val="xl24"/>
    <w:basedOn w:val="9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5" w:customStyle="1">
    <w:name w:val="pf0"/>
    <w:basedOn w:val="947"/>
    <w:uiPriority w:val="0"/>
    <w:qFormat/>
    <w:pPr>
      <w:jc w:val="left"/>
      <w:spacing w:before="100" w:beforeAutospacing="1" w:after="100" w:afterAutospacing="1"/>
      <w:widowControl/>
    </w:pPr>
    <w:rPr>
      <w:rFonts w:ascii="宋体" w:hAnsi="宋体" w:cs="宋体"/>
      <w:sz w:val="24"/>
      <w:szCs w:val="24"/>
    </w:rPr>
  </w:style>
  <w:style w:type="paragraph" w:styleId="1236" w:customStyle="1">
    <w:name w:val="普通正文"/>
    <w:basedOn w:val="947"/>
    <w:uiPriority w:val="0"/>
    <w:qFormat/>
    <w:pPr>
      <w:ind w:firstLine="480"/>
      <w:jc w:val="left"/>
      <w:spacing w:before="120" w:after="120" w:line="360" w:lineRule="auto"/>
    </w:pPr>
    <w:rPr>
      <w:rFonts w:ascii="Arial" w:hAnsi="Arial"/>
      <w:sz w:val="24"/>
      <w:szCs w:val="24"/>
    </w:rPr>
  </w:style>
  <w:style w:type="paragraph" w:styleId="1237" w:customStyle="1">
    <w:name w:val="xl30"/>
    <w:basedOn w:val="947"/>
    <w:uiPriority w:val="0"/>
    <w:qFormat/>
    <w:pPr>
      <w:jc w:val="center"/>
      <w:spacing w:before="100" w:beforeAutospacing="1" w:after="100" w:afterAutospacing="1"/>
      <w:widowControl/>
    </w:pPr>
    <w:rPr>
      <w:rFonts w:ascii="宋体" w:hAnsi="宋体"/>
      <w:b/>
      <w:bCs/>
      <w:sz w:val="36"/>
      <w:szCs w:val="36"/>
    </w:rPr>
  </w:style>
  <w:style w:type="paragraph" w:styleId="1238" w:customStyle="1">
    <w:name w:val="标题3"/>
    <w:basedOn w:val="947"/>
    <w:next w:val="947"/>
    <w:uiPriority w:val="0"/>
    <w:qFormat/>
    <w:pPr>
      <w:ind w:firstLine="624"/>
      <w:spacing w:line="590" w:lineRule="atLeast"/>
    </w:pPr>
    <w:rPr>
      <w:rFonts w:ascii="方正黑体_GBK" w:eastAsia="方正黑体_GBK"/>
      <w:sz w:val="32"/>
      <w:szCs w:val="32"/>
    </w:rPr>
  </w:style>
  <w:style w:type="paragraph" w:styleId="1239" w:customStyle="1">
    <w:name w:val="索引 41"/>
    <w:basedOn w:val="947"/>
    <w:next w:val="947"/>
    <w:uiPriority w:val="0"/>
    <w:semiHidden/>
    <w:qFormat/>
    <w:pPr>
      <w:ind w:left="1260"/>
    </w:pPr>
    <w:rPr>
      <w:rFonts w:ascii="Calibri" w:hAnsi="Calibri" w:eastAsia="Calibri" w:cs="宋体"/>
      <w:sz w:val="20"/>
      <w:lang w:val="zh-CN"/>
    </w:rPr>
  </w:style>
  <w:style w:type="paragraph" w:styleId="1240" w:customStyle="1">
    <w:name w:val="Char Char Char Char"/>
    <w:basedOn w:val="1153"/>
    <w:uiPriority w:val="0"/>
    <w:qFormat/>
    <w:pPr>
      <w:spacing w:line="360" w:lineRule="auto"/>
    </w:pPr>
    <w:rPr>
      <w:rFonts w:ascii="Tahoma" w:hAnsi="Tahoma"/>
      <w:sz w:val="24"/>
      <w:szCs w:val="24"/>
    </w:rPr>
  </w:style>
  <w:style w:type="paragraph" w:styleId="1241" w:customStyle="1">
    <w:name w:val="Body text|1"/>
    <w:basedOn w:val="947"/>
    <w:uiPriority w:val="0"/>
    <w:qFormat/>
    <w:pPr>
      <w:ind w:firstLine="400"/>
      <w:jc w:val="left"/>
      <w:spacing w:line="420" w:lineRule="auto"/>
    </w:pPr>
    <w:rPr>
      <w:rFonts w:ascii="宋体" w:hAnsi="宋体" w:cs="宋体"/>
      <w:color w:val="000000"/>
      <w:sz w:val="22"/>
      <w:lang w:val="zh-TW" w:eastAsia="zh-TW"/>
    </w:rPr>
  </w:style>
  <w:style w:type="paragraph" w:styleId="1242" w:customStyle="1">
    <w:name w:val="普通 (Web)"/>
    <w:basedOn w:val="947"/>
    <w:uiPriority w:val="0"/>
    <w:qFormat/>
    <w:pPr>
      <w:jc w:val="left"/>
      <w:spacing w:before="100" w:beforeAutospacing="1" w:after="100" w:afterAutospacing="1"/>
      <w:widowControl/>
    </w:pPr>
    <w:rPr>
      <w:rFonts w:ascii="宋体" w:hAnsi="宋体"/>
      <w:sz w:val="24"/>
      <w:szCs w:val="24"/>
    </w:rPr>
  </w:style>
  <w:style w:type="paragraph" w:styleId="1243" w:customStyle="1">
    <w:name w:val="Char Char Char Char Char Char Char Char"/>
    <w:basedOn w:val="947"/>
    <w:uiPriority w:val="0"/>
    <w:qFormat/>
    <w:pPr>
      <w:jc w:val="left"/>
      <w:spacing w:after="160" w:line="240" w:lineRule="exact"/>
      <w:widowControl/>
    </w:pPr>
    <w:rPr>
      <w:rFonts w:ascii="Verdana" w:hAnsi="Verdana"/>
      <w:sz w:val="20"/>
      <w:szCs w:val="20"/>
      <w:lang w:eastAsia="en-US"/>
    </w:rPr>
  </w:style>
  <w:style w:type="paragraph" w:styleId="1244" w:customStyle="1">
    <w:name w:val="xl26"/>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5" w:customStyle="1">
    <w:name w:val="项目需求正文文本"/>
    <w:basedOn w:val="947"/>
    <w:uiPriority w:val="0"/>
    <w:qFormat/>
    <w:pPr>
      <w:ind w:firstLine="1682"/>
      <w:spacing w:line="360" w:lineRule="auto"/>
    </w:pPr>
    <w:rPr>
      <w:sz w:val="24"/>
      <w:szCs w:val="20"/>
    </w:rPr>
  </w:style>
  <w:style w:type="paragraph" w:styleId="1246" w:customStyle="1">
    <w:name w:val="WPSOffice手动目录 2"/>
    <w:uiPriority w:val="0"/>
    <w:qFormat/>
    <w:rPr>
      <w:rFonts w:hint="default" w:ascii="Times New Roman" w:hAnsi="Times New Roman" w:eastAsia="宋体" w:cs="Times New Roman"/>
      <w:lang w:val="en-US" w:eastAsia="zh-CN" w:bidi="ar-SA"/>
    </w:rPr>
  </w:style>
  <w:style w:type="paragraph" w:styleId="1247" w:customStyle="1">
    <w:name w:val="table_lines"/>
    <w:basedOn w:val="947"/>
    <w:uiPriority w:val="0"/>
    <w:qFormat/>
    <w:pPr>
      <w:jc w:val="left"/>
      <w:widowControl/>
    </w:pPr>
    <w:rPr>
      <w:sz w:val="20"/>
      <w:szCs w:val="20"/>
      <w:lang w:val="de-DE" w:eastAsia="de-DE"/>
    </w:rPr>
  </w:style>
  <w:style w:type="paragraph" w:styleId="1248" w:customStyle="1">
    <w:name w:val="xl27"/>
    <w:basedOn w:val="9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50" w:customStyle="1">
    <w:name w:val="标题 41"/>
    <w:basedOn w:val="947"/>
    <w:next w:val="1251"/>
    <w:uiPriority w:val="0"/>
    <w:qFormat/>
    <w:pPr>
      <w:keepLines/>
      <w:keepNext/>
      <w:spacing w:before="120" w:after="120"/>
      <w:outlineLvl w:val="3"/>
    </w:pPr>
    <w:rPr>
      <w:rFonts w:ascii="Arial" w:hAnsi="Arial" w:eastAsia="黑体" w:cs="Times New Roman"/>
      <w:b/>
      <w:sz w:val="28"/>
      <w:lang w:val="en-US"/>
    </w:rPr>
  </w:style>
  <w:style w:type="paragraph" w:styleId="1251" w:customStyle="1">
    <w:name w:val="正文首缩两字"/>
    <w:basedOn w:val="947"/>
    <w:uiPriority w:val="0"/>
    <w:qFormat/>
    <w:pPr>
      <w:ind w:left="210" w:right="210" w:firstLine="480"/>
      <w:jc w:val="left"/>
      <w:spacing w:line="360" w:lineRule="auto"/>
    </w:pPr>
    <w:rPr>
      <w:rFonts w:ascii="宋体" w:hAnsi="宋体" w:eastAsia="仿宋_GB2312"/>
      <w:sz w:val="24"/>
    </w:rPr>
  </w:style>
  <w:style w:type="table" w:styleId="1252" w:customStyle="1">
    <w:name w:val="Table Normal"/>
    <w:uiPriority w:val="0"/>
    <w:qFormat/>
    <w:tblPr>
      <w:tblCellMar>
        <w:left w:w="0" w:type="dxa"/>
        <w:top w:w="0" w:type="dxa"/>
        <w:right w:w="0" w:type="dxa"/>
        <w:bottom w:w="0" w:type="dxa"/>
      </w:tblCellMar>
    </w:tblPr>
  </w:style>
  <w:style w:type="numbering" w:styleId="12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5f6dd9f5-03a2-4fb2-bcf7-6e53b5f11df3</errorID>
      <errorWord>2026年06月</errorWord>
      <group>L1_Knowledge</group>
      <groupName>知识性问题</groupName>
      <ability>L2_Time</ability>
      <abilityName>日期时间</abilityName>
      <candidateList>
        <item>2026年6月</item>
      </candidateList>
      <explain>根据日常书写习惯，月份一般会省略前导零。</explain>
      <paraID>3B2DA9B3</paraID>
      <start>0</start>
      <end>8</end>
      <status>unmodified</status>
      <modifiedWord/>
      <trackRevisions>false</trackRevisions>
    </reviewItem>
    <reviewItem>
      <errorID>3b1701b1-0a08-4697-be80-c0b1714f3053</errorID>
      <errorWord>(</errorWord>
      <group>L1_Format</group>
      <groupName>格式问题</groupName>
      <ability>L2_HalfPunc</ability>
      <abilityName>全半角检查</abilityName>
      <candidateList>
        <item>（</item>
      </candidateList>
      <explain>文本全半角错误。</explain>
      <paraID>5366777A</paraID>
      <start>64</start>
      <end>65</end>
      <status>unmodified</status>
      <modifiedWord/>
      <trackRevisions>false</trackRevisions>
    </reviewItem>
    <reviewItem>
      <errorID>451c9e61-51ff-4c2d-9c43-3fe486339d1b</errorID>
      <errorWord>)</errorWord>
      <group>L1_Format</group>
      <groupName>格式问题</groupName>
      <ability>L2_HalfPunc</ability>
      <abilityName>全半角检查</abilityName>
      <candidateList>
        <item>）</item>
      </candidateList>
      <explain>文本全半角错误。</explain>
      <paraID>5366777A</paraID>
      <start>97</start>
      <end>98</end>
      <status>unmodified</status>
      <modifiedWord/>
      <trackRevisions>false</trackRevisions>
    </reviewItem>
    <reviewItem>
      <errorID>9c9526f2-e44e-49a2-a1a3-e479a6ef5293</errorID>
      <errorWord>2026年06月22日</errorWord>
      <group>L1_Knowledge</group>
      <groupName>知识性问题</groupName>
      <ability>L2_Time</ability>
      <abilityName>日期时间</abilityName>
      <candidateList>
        <item>2026年6月22日</item>
      </candidateList>
      <explain>根据日常书写习惯，月份一般会省略前导零。</explain>
      <paraID>7FCFEDAA</paraID>
      <start>62</start>
      <end>73</end>
      <status>unmodified</status>
      <modifiedWord/>
      <trackRevisions>false</trackRevisions>
    </reviewItem>
    <reviewItem>
      <errorID>3b1e2f66-6637-4066-8049-576e9c9ffbae</errorID>
      <errorWord>其它</errorWord>
      <group>L1_Word</group>
      <groupName>字词问题</groupName>
      <ability>L2_Alias</ability>
      <abilityName>也作/曾用词</abilityName>
      <candidateList>
        <item>其他</item>
      </candidateList>
      <explain>词汇[其它]为不规范表述或旧称，其规范书面表述为[其他]。</explain>
      <paraID>4D62E502</paraID>
      <start>265</start>
      <end>267</end>
      <status>unmodified</status>
      <modifiedWord/>
      <trackRevisions>false</trackRevisions>
    </reviewItem>
    <reviewItem>
      <errorID>3b08c3bb-7262-4e7d-8ef1-2ee1fbd126be</errorID>
      <errorWord>和持续发展</errorWord>
      <group>L1_Word</group>
      <groupName>字词问题</groupName>
      <ability>L2_Typo</ability>
      <abilityName>字词错误</abilityName>
      <candidateList>
        <item>和可持续发展</item>
      </candidateList>
      <explain/>
      <paraID>4D62E502</paraID>
      <start>296</start>
      <end>301</end>
      <status>unmodified</status>
      <modifiedWord/>
      <trackRevisions>false</trackRevisions>
    </reviewItem>
    <reviewItem>
      <errorID>55460abe-7f7c-4a75-a197-5f3d76189610</errorID>
      <errorWord>(</errorWord>
      <group>L1_Format</group>
      <groupName>格式问题</groupName>
      <ability>L2_HalfPunc</ability>
      <abilityName>全半角检查</abilityName>
      <candidateList>
        <item>（</item>
      </candidateList>
      <explain>文本全半角错误。</explain>
      <paraID>296E125D</paraID>
      <start>46</start>
      <end>47</end>
      <status>unmodified</status>
      <modifiedWord/>
      <trackRevisions>false</trackRevisions>
    </reviewItem>
    <reviewItem>
      <errorID>5e82ace3-2d14-42c3-a1c3-6e5f04689fe0</errorID>
      <errorWord>日</errorWord>
      <group>L1_Word</group>
      <groupName>字词问题</groupName>
      <ability>L2_Typo</ability>
      <abilityName>字词错误</abilityName>
      <candidateList>
        <item>日内</item>
      </candidateList>
      <explain/>
      <paraID>6B633F73</paraID>
      <start>19</start>
      <end>20</end>
      <status>unmodified</status>
      <modifiedWord/>
      <trackRevisions>false</trackRevisions>
    </reviewItem>
    <reviewItem>
      <errorID>781ae2ec-46c9-4cf9-a4e6-815102de0079</errorID>
      <errorWord>(</errorWord>
      <group>L1_Format</group>
      <groupName>格式问题</groupName>
      <ability>L2_HalfPunc</ability>
      <abilityName>全半角检查</abilityName>
      <candidateList>
        <item>（</item>
      </candidateList>
      <explain>文本全半角错误。</explain>
      <paraID>1E47C094</paraID>
      <start>42</start>
      <end>43</end>
      <status>unmodified</status>
      <modifiedWord/>
      <trackRevisions>false</trackRevisions>
    </reviewItem>
    <reviewItem>
      <errorID>e02e817c-5bd1-4c40-8252-d041110ad646</errorID>
      <errorWord>)</errorWord>
      <group>L1_Format</group>
      <groupName>格式问题</groupName>
      <ability>L2_HalfPunc</ability>
      <abilityName>全半角检查</abilityName>
      <candidateList>
        <item>）</item>
      </candidateList>
      <explain>文本全半角错误。</explain>
      <paraID>1E47C094</paraID>
      <start>57</start>
      <end>58</end>
      <status>unmodified</status>
      <modifiedWord/>
      <trackRevisions>false</trackRevisions>
    </reviewItem>
    <reviewItem>
      <errorID>97139ebc-6738-4af9-b19c-196bd40e7751</errorID>
      <errorWord>2026年06月22日</errorWord>
      <group>L1_Knowledge</group>
      <groupName>知识性问题</groupName>
      <ability>L2_Time</ability>
      <abilityName>日期时间</abilityName>
      <candidateList>
        <item>2026年6月22日</item>
      </candidateList>
      <explain>根据日常书写习惯，月份一般会省略前导零。</explain>
      <paraID>7FF1C009</paraID>
      <start>16</start>
      <end>27</end>
      <status>unmodified</status>
      <modifiedWord/>
      <trackRevisions>false</trackRevisions>
    </reviewItem>
    <reviewItem>
      <errorID>8aaf62ba-478e-4398-9439-2f433c368046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71F03383</paraID>
      <start>80</start>
      <end>81</end>
      <status>unmodified</status>
      <modifiedWord/>
      <trackRevisions>false</trackRevisions>
    </reviewItem>
    <reviewItem>
      <errorID>2f7f6c9f-56c5-4844-a938-9a6b7f21b043</errorID>
      <errorWord>-</errorWord>
      <group>L1_Format</group>
      <groupName>格式问题</groupName>
      <ability>L2_HalfPunc</ability>
      <abilityName>全半角检查</abilityName>
      <candidateList>
        <item>－</item>
      </candidateList>
      <explain>文本全半角错误。</explain>
      <paraID>381C693A</paraID>
      <start>14</start>
      <end>15</end>
      <status>unmodified</status>
      <modifiedWord/>
      <trackRevisions>false</trackRevisions>
    </reviewItem>
    <reviewItem>
      <errorID>a0c4f8cf-bae4-4693-818b-5a402031e728</errorID>
      <errorWord>-</errorWord>
      <group>L1_Format</group>
      <groupName>格式问题</groupName>
      <ability>L2_HalfPunc</ability>
      <abilityName>全半角检查</abilityName>
      <candidateList>
        <item>－</item>
      </candidateList>
      <explain>文本全半角错误。</explain>
      <paraID>381C693A</paraID>
      <start>15</start>
      <end>16</end>
      <status>unmodified</status>
      <modifiedWord/>
      <trackRevisions>false</trackRevisions>
    </reviewItem>
    <reviewItem>
      <errorID>97a9daf7-2a9e-4dd4-a5bb-a2dc00101c5c</errorID>
      <errorWord>-</errorWord>
      <group>L1_Format</group>
      <groupName>格式问题</groupName>
      <ability>L2_HalfPunc</ability>
      <abilityName>全半角检查</abilityName>
      <candidateList>
        <item>－</item>
      </candidateList>
      <explain>文本全半角错误。</explain>
      <paraID>381C693A</paraID>
      <start>41</start>
      <end>42</end>
      <status>unmodified</status>
      <modifiedWord/>
      <trackRevisions>false</trackRevisions>
    </reviewItem>
    <reviewItem>
      <errorID>1e05c783-8a4e-4e8e-bf62-01b5a34bf26f</errorID>
      <errorWord>-</errorWord>
      <group>L1_Format</group>
      <groupName>格式问题</groupName>
      <ability>L2_HalfPunc</ability>
      <abilityName>全半角检查</abilityName>
      <candidateList>
        <item>－</item>
      </candidateList>
      <explain>文本全半角错误。</explain>
      <paraID>381C693A</paraID>
      <start>42</start>
      <end>43</end>
      <status>unmodified</status>
      <modifiedWord/>
      <trackRevisions>false</trackRevisions>
    </reviewItem>
    <reviewItem>
      <errorID>c75aa9e2-fde7-4467-86dc-a6fe74367d50</errorID>
      <errorWord>“.</errorWord>
      <group>L1_Punc</group>
      <groupName>标点问题</groupName>
      <ability>L2_Punc</ability>
      <abilityName>标点符号检查</abilityName>
      <candidateList>
        <item>“</item>
      </candidateList>
      <explain/>
      <paraID>381C693A</paraID>
      <start>54</start>
      <end>56</end>
      <status>unmodified</status>
      <modifiedWord/>
      <trackRevisions>false</trackRevisions>
    </reviewItem>
    <reviewItem>
      <errorID>a4bdd1b2-53ef-4917-b95e-b566eb6f7b40</errorID>
      <errorWord>“.</errorWord>
      <group>L1_Punc</group>
      <groupName>标点问题</groupName>
      <ability>L2_Punc</ability>
      <abilityName>标点符号检查</abilityName>
      <candidateList>
        <item>“</item>
      </candidateList>
      <explain/>
      <paraID>381C693A</paraID>
      <start>69</start>
      <end>71</end>
      <status>unmodified</status>
      <modifiedWord/>
      <trackRevisions>false</trackRevisions>
    </reviewItem>
    <reviewItem>
      <errorID>dfd240ea-bfa6-4c2b-b873-1f6cfd0cd070</errorID>
      <errorWord>-</errorWord>
      <group>L1_Format</group>
      <groupName>格式问题</groupName>
      <ability>L2_HalfPunc</ability>
      <abilityName>全半角检查</abilityName>
      <candidateList>
        <item>－</item>
      </candidateList>
      <explain>文本全半角错误。</explain>
      <paraID>381C693A</paraID>
      <start>92</start>
      <end>93</end>
      <status>unmodified</status>
      <modifiedWord/>
      <trackRevisions>false</trackRevisions>
    </reviewItem>
    <reviewItem>
      <errorID>051f3882-8119-464e-99c7-c488cad8f961</errorID>
      <errorWord>-</errorWord>
      <group>L1_Format</group>
      <groupName>格式问题</groupName>
      <ability>L2_HalfPunc</ability>
      <abilityName>全半角检查</abilityName>
      <candidateList>
        <item>－</item>
      </candidateList>
      <explain>文本全半角错误。</explain>
      <paraID>381C693A</paraID>
      <start>93</start>
      <end>94</end>
      <status>unmodified</status>
      <modifiedWord/>
      <trackRevisions>false</trackRevisions>
    </reviewItem>
    <reviewItem>
      <errorID>2a65d8fd-dfb4-41ee-a859-8403811eaf10</errorID>
      <errorWord>-</errorWord>
      <group>L1_Format</group>
      <groupName>格式问题</groupName>
      <ability>L2_HalfPunc</ability>
      <abilityName>全半角检查</abilityName>
      <candidateList>
        <item>－</item>
      </candidateList>
      <explain>文本全半角错误。</explain>
      <paraID>381C693A</paraID>
      <start>100</start>
      <end>101</end>
      <status>unmodified</status>
      <modifiedWord/>
      <trackRevisions>false</trackRevisions>
    </reviewItem>
    <reviewItem>
      <errorID>4ecc2854-2afc-42b0-82b5-fd87350d7237</errorID>
      <errorWord>-</errorWord>
      <group>L1_Format</group>
      <groupName>格式问题</groupName>
      <ability>L2_HalfPunc</ability>
      <abilityName>全半角检查</abilityName>
      <candidateList>
        <item>－</item>
      </candidateList>
      <explain>文本全半角错误。</explain>
      <paraID>381C693A</paraID>
      <start>101</start>
      <end>102</end>
      <status>unmodified</status>
      <modifiedWord/>
      <trackRevisions>false</trackRevisions>
    </reviewItem>
    <reviewItem>
      <errorID>701f9d52-16c6-4d17-86e9-b3da9dd09909</errorID>
      <errorWord>“.</errorWord>
      <group>L1_Punc</group>
      <groupName>标点问题</groupName>
      <ability>L2_Punc</ability>
      <abilityName>标点符号检查</abilityName>
      <candidateList>
        <item>“</item>
      </candidateList>
      <explain/>
      <paraID> 451F83D</paraID>
      <start>12</start>
      <end>14</end>
      <status>unmodified</status>
      <modifiedWord/>
      <trackRevisions>false</trackRevisions>
    </reviewItem>
    <reviewItem>
      <errorID>3d0e11cd-a327-4317-992a-27522948cc06</errorID>
      <errorWord>-</errorWord>
      <group>L1_Format</group>
      <groupName>格式问题</groupName>
      <ability>L2_HalfPunc</ability>
      <abilityName>全半角检查</abilityName>
      <candidateList>
        <item>－</item>
      </candidateList>
      <explain>文本全半角错误。</explain>
      <paraID> 451F83D</paraID>
      <start>48</start>
      <end>49</end>
      <status>unmodified</status>
      <modifiedWord/>
      <trackRevisions>false</trackRevisions>
    </reviewItem>
    <reviewItem>
      <errorID>c16cd482-9390-45b8-84b8-dec16bccfa07</errorID>
      <errorWord>-</errorWord>
      <group>L1_Format</group>
      <groupName>格式问题</groupName>
      <ability>L2_HalfPunc</ability>
      <abilityName>全半角检查</abilityName>
      <candidateList>
        <item>－</item>
      </candidateList>
      <explain>文本全半角错误。</explain>
      <paraID> 451F83D</paraID>
      <start>49</start>
      <end>50</end>
      <status>unmodified</status>
      <modifiedWord/>
      <trackRevisions>false</trackRevisions>
    </reviewItem>
    <reviewItem>
      <errorID>23eb678d-00cd-4295-aac9-34c4c4bb8a86</errorID>
      <errorWord>-</errorWord>
      <group>L1_Format</group>
      <groupName>格式问题</groupName>
      <ability>L2_HalfPunc</ability>
      <abilityName>全半角检查</abilityName>
      <candidateList>
        <item>－</item>
      </candidateList>
      <explain>文本全半角错误。</explain>
      <paraID> 451F83D</paraID>
      <start>55</start>
      <end>56</end>
      <status>unmodified</status>
      <modifiedWord/>
      <trackRevisions>false</trackRevisions>
    </reviewItem>
    <reviewItem>
      <errorID>46b59b01-8569-42a6-a6cc-26dffb2bf296</errorID>
      <errorWord>-</errorWord>
      <group>L1_Format</group>
      <groupName>格式问题</groupName>
      <ability>L2_HalfPunc</ability>
      <abilityName>全半角检查</abilityName>
      <candidateList>
        <item>－</item>
      </candidateList>
      <explain>文本全半角错误。</explain>
      <paraID> 451F83D</paraID>
      <start>56</start>
      <end>57</end>
      <status>unmodified</status>
      <modifiedWord/>
      <trackRevisions>false</trackRevisions>
    </reviewItem>
    <reviewItem>
      <errorID>51f18ce1-1918-4e73-a42b-8e0f563b7613</errorID>
      <errorWord>（</errorWord>
      <group>L1_Format</group>
      <groupName>格式问题</groupName>
      <ability>L2_HalfPunc</ability>
      <abilityName>全半角检查</abilityName>
      <candidateList>
        <item>(</item>
      </candidateList>
      <explain>文本全半角错误。</explain>
      <paraID>464122D4</paraID>
      <start>0</start>
      <end>1</end>
      <status>unmodified</status>
      <modifiedWord/>
      <trackRevisions>false</trackRevisions>
    </reviewItem>
    <reviewItem>
      <errorID>1b58b16f-21c4-4614-b034-b06cd4def372</errorID>
      <errorWord>）</errorWord>
      <group>L1_Format</group>
      <groupName>格式问题</groupName>
      <ability>L2_HalfPunc</ability>
      <abilityName>全半角检查</abilityName>
      <candidateList>
        <item>)</item>
      </candidateList>
      <explain>文本全半角错误。</explain>
      <paraID>464122D4</paraID>
      <start>104</start>
      <end>105</end>
      <status>unmodified</status>
      <modifiedWord/>
      <trackRevisions>false</trackRevisions>
    </reviewItem>
    <reviewItem>
      <errorID>e08b49bb-a1f4-487e-823e-f53d1a509048</errorID>
      <errorWord>[2021]5号</errorWord>
      <group>L1_Knowledge</group>
      <groupName>知识性问题</groupName>
      <ability>L2_Knowledge</ability>
      <abilityName>其他知识</abilityName>
      <candidateList>
        <item>〔2021〕5号</item>
      </candidateList>
      <explain>发文字号格式错误。</explain>
      <paraID>2F802BD9</paraID>
      <start>6</start>
      <end>14</end>
      <status>unmodified</status>
      <modifiedWord/>
      <trackRevisions>false</trackRevisions>
    </reviewItem>
    <reviewItem>
      <errorID>1e1fc452-4868-41e2-b0d3-7de1ccda65cb</errorID>
      <errorWord>对在</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612BEB45</paraID>
      <start>3</start>
      <end>5</end>
      <status>unmodified</status>
      <modifiedWord/>
      <trackRevisions>false</trackRevisions>
    </reviewItem>
    <reviewItem>
      <errorID>ee45c223-1b54-404e-98d4-4205ab857b53</errorID>
      <errorWord>其它</errorWord>
      <group>L1_Word</group>
      <groupName>字词问题</groupName>
      <ability>L2_Alias</ability>
      <abilityName>也作/曾用词</abilityName>
      <candidateList>
        <item>其他</item>
      </candidateList>
      <explain>词汇[其它]为不规范表述或旧称，其规范书面表述为[其他]。</explain>
      <paraID>2296A230</paraID>
      <start>2</start>
      <end>4</end>
      <status>unmodified</status>
      <modifiedWord/>
      <trackRevisions>false</trackRevisions>
    </reviewItem>
    <reviewItem>
      <errorID>87891b77-97b7-4e98-8fa8-43669f4b2306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7FDFFDB8</paraID>
      <start>22</start>
      <end>25</end>
      <status>unmodified</status>
      <modifiedWord/>
      <trackRevisions>false</trackRevisions>
    </reviewItem>
    <reviewItem>
      <errorID>4d3a1146-dccc-4c8b-8e80-e4b5dc7dcc58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7FDFFDB8</paraID>
      <start>47</start>
      <end>50</end>
      <status>unmodified</status>
      <modifiedWord/>
      <trackRevisions>false</trackRevisions>
    </reviewItem>
    <reviewItem>
      <errorID>4b04e2f6-1600-4bd5-9dfd-6762e307fe64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7FDFFDB8</paraID>
      <start>71</start>
      <end>74</end>
      <status>unmodified</status>
      <modifiedWord/>
      <trackRevisions>false</trackRevisions>
    </reviewItem>
    <reviewItem>
      <errorID>0cdcf93a-b22a-464c-aaec-388137ef6bf9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7FDFFDB8</paraID>
      <start>92</start>
      <end>95</end>
      <status>unmodified</status>
      <modifiedWord/>
      <trackRevisions>false</trackRevisions>
    </reviewItem>
    <reviewItem>
      <errorID>ce50a008-2884-4fc0-907a-d44d77cf979e</errorID>
      <errorWord>(</errorWord>
      <group>L1_Format</group>
      <groupName>格式问题</groupName>
      <ability>L2_HalfPunc</ability>
      <abilityName>全半角检查</abilityName>
      <candidateList>
        <item>（</item>
      </candidateList>
      <explain>文本全半角错误。</explain>
      <paraID> A3F301C</paraID>
      <start>37</start>
      <end>38</end>
      <status>unmodified</status>
      <modifiedWord/>
      <trackRevisions>false</trackRevisions>
    </reviewItem>
    <reviewItem>
      <errorID>45a88674-7d1a-4e62-ac87-870f7e48cb9a</errorID>
      <errorWord>)</errorWord>
      <group>L1_Format</group>
      <groupName>格式问题</groupName>
      <ability>L2_HalfPunc</ability>
      <abilityName>全半角检查</abilityName>
      <candidateList>
        <item>）</item>
      </candidateList>
      <explain>文本全半角错误。</explain>
      <paraID> A3F301C</paraID>
      <start>43</start>
      <end>44</end>
      <status>unmodified</status>
      <modifiedWord/>
      <trackRevisions>false</trackRevisions>
    </reviewItem>
    <reviewItem>
      <errorID>94f3e0bd-3423-4c7d-85b7-07023dc98c38</errorID>
      <errorWord>2026年06月22日</errorWord>
      <group>L1_Knowledge</group>
      <groupName>知识性问题</groupName>
      <ability>L2_Time</ability>
      <abilityName>日期时间</abilityName>
      <candidateList>
        <item>2026年6月22日</item>
      </candidateList>
      <explain>根据日常书写习惯，月份一般会省略前导零。</explain>
      <paraID>47D1FA2E</paraID>
      <start>11</start>
      <end>22</end>
      <status>unmodified</status>
      <modifiedWord/>
      <trackRevisions>false</trackRevisions>
    </reviewItem>
    <reviewItem>
      <errorID>cd9f34a6-96b3-49e8-a441-f9ae8d3ed0b7</errorID>
      <errorWord>2026年06月22日</errorWord>
      <group>L1_Knowledge</group>
      <groupName>知识性问题</groupName>
      <ability>L2_Time</ability>
      <abilityName>日期时间</abilityName>
      <candidateList>
        <item>2026年6月22日</item>
      </candidateList>
      <explain>根据日常书写习惯，月份一般会省略前导零。</explain>
      <paraID>21AB8D73</paraID>
      <start>11</start>
      <end>22</end>
      <status>unmodified</status>
      <modifiedWord/>
      <trackRevisions>false</trackRevisions>
    </reviewItem>
    <reviewItem>
      <errorID>6a9664e8-d3cc-4d15-a613-6ffe72af6fcf</errorID>
      <errorWord>用</errorWord>
      <group>L1_Word</group>
      <groupName>字词问题</groupName>
      <ability>L2_Typo</ability>
      <abilityName>字词错误</abilityName>
      <candidateList>
        <item>用于</item>
      </candidateList>
      <explain/>
      <paraID> D2F1A0A</paraID>
      <start>37</start>
      <end>38</end>
      <status>unmodified</status>
      <modifiedWord/>
      <trackRevisions>false</trackRevisions>
    </reviewItem>
    <reviewItem>
      <errorID>db39cbbb-5bd2-4fca-a9ff-8a3eedfed089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D562E45</paraID>
      <start>16</start>
      <end>19</end>
      <status>unmodified</status>
      <modifiedWord/>
      <trackRevisions>false</trackRevisions>
    </reviewItem>
    <reviewItem>
      <errorID>da43b667-703f-4a6f-808d-076430ed10a1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D562E45</paraID>
      <start>35</start>
      <end>38</end>
      <status>unmodified</status>
      <modifiedWord/>
      <trackRevisions>false</trackRevisions>
    </reviewItem>
    <reviewItem>
      <errorID>3030f914-1918-4b4a-aeac-f57ca19cb061</errorID>
      <errorWord>(</errorWord>
      <group>L1_Format</group>
      <groupName>格式问题</groupName>
      <ability>L2_HalfPunc</ability>
      <abilityName>全半角检查</abilityName>
      <candidateList>
        <item>（</item>
      </candidateList>
      <explain>文本全半角错误。</explain>
      <paraID>650362AC</paraID>
      <start>32</start>
      <end>33</end>
      <status>unmodified</status>
      <modifiedWord/>
      <trackRevisions>false</trackRevisions>
    </reviewItem>
    <reviewItem>
      <errorID>815bd5ec-98a7-44d6-b33d-8411947b07b4</errorID>
      <errorWord>)</errorWord>
      <group>L1_Format</group>
      <groupName>格式问题</groupName>
      <ability>L2_HalfPunc</ability>
      <abilityName>全半角检查</abilityName>
      <candidateList>
        <item>）</item>
      </candidateList>
      <explain>文本全半角错误。</explain>
      <paraID>650362AC</paraID>
      <start>39</start>
      <end>40</end>
      <status>unmodified</status>
      <modifiedWord/>
      <trackRevisions>false</trackRevisions>
    </reviewItem>
    <reviewItem>
      <errorID>61c40c83-c5ac-42cb-95b6-dab3d2a6ab0d</errorID>
      <errorWord>(</errorWord>
      <group>L1_Format</group>
      <groupName>格式问题</groupName>
      <ability>L2_HalfPunc</ability>
      <abilityName>全半角检查</abilityName>
      <candidateList>
        <item>（</item>
      </candidateList>
      <explain>文本全半角错误。</explain>
      <paraID>494BCA9B</paraID>
      <start>41</start>
      <end>42</end>
      <status>unmodified</status>
      <modifiedWord/>
      <trackRevisions>false</trackRevisions>
    </reviewItem>
    <reviewItem>
      <errorID>44997ecd-3ece-46ed-adcf-e890e4de1f73</errorID>
      <errorWord>(</errorWord>
      <group>L1_Punc</group>
      <groupName>标点问题</groupName>
      <ability>L2_Punc</ability>
      <abilityName>标点符号检查</abilityName>
      <candidateList/>
      <explain>同一形式括号套用。</explain>
      <paraID>494BCA9B</paraID>
      <start>106</start>
      <end>107</end>
      <status>unmodified</status>
      <modifiedWord/>
      <trackRevisions>false</trackRevisions>
    </reviewItem>
    <reviewItem>
      <errorID>888b4e14-70ee-4a5a-b710-65e063de6a60</errorID>
      <errorWord>)</errorWord>
      <group>L1_Punc</group>
      <groupName>标点问题</groupName>
      <ability>L2_Punc</ability>
      <abilityName>标点符号检查</abilityName>
      <candidateList/>
      <explain>同一形式括号套用。</explain>
      <paraID>494BCA9B</paraID>
      <start>111</start>
      <end>112</end>
      <status>unmodified</status>
      <modifiedWord/>
      <trackRevisions>false</trackRevisions>
    </reviewItem>
    <reviewItem>
      <errorID>cb19568b-685a-4fc9-b038-12c783c735d0</errorID>
      <errorWord>)</errorWord>
      <group>L1_Format</group>
      <groupName>格式问题</groupName>
      <ability>L2_HalfPunc</ability>
      <abilityName>全半角检查</abilityName>
      <candidateList>
        <item>）</item>
      </candidateList>
      <explain>文本全半角错误。</explain>
      <paraID>494BCA9B</paraID>
      <start>131</start>
      <end>132</end>
      <status>unmodified</status>
      <modifiedWord/>
      <trackRevisions>false</trackRevisions>
    </reviewItem>
    <reviewItem>
      <errorID>5cd45875-36e5-4399-bc3e-2f7ac10d83fb</errorID>
      <errorWord>(</errorWord>
      <group>L1_Format</group>
      <groupName>格式问题</groupName>
      <ability>L2_HalfPunc</ability>
      <abilityName>全半角检查</abilityName>
      <candidateList>
        <item>（</item>
      </candidateList>
      <explain>文本全半角错误。</explain>
      <paraID>12701877</paraID>
      <start>81</start>
      <end>82</end>
      <status>unmodified</status>
      <modifiedWord/>
      <trackRevisions>false</trackRevisions>
    </reviewItem>
    <reviewItem>
      <errorID>74801ba3-bfe9-4eee-87b2-e1076fa2a719</errorID>
      <errorWord>)</errorWord>
      <group>L1_Format</group>
      <groupName>格式问题</groupName>
      <ability>L2_HalfPunc</ability>
      <abilityName>全半角检查</abilityName>
      <candidateList>
        <item>）</item>
      </candidateList>
      <explain>文本全半角错误。</explain>
      <paraID>12701877</paraID>
      <start>91</start>
      <end>92</end>
      <status>unmodified</status>
      <modifiedWord/>
      <trackRevisions>false</trackRevisions>
    </reviewItem>
    <reviewItem>
      <errorID>9c1800ec-4f21-4c82-a8a7-e418eb7327b0</errorID>
      <errorWord>(</errorWord>
      <group>L1_Format</group>
      <groupName>格式问题</groupName>
      <ability>L2_HalfPunc</ability>
      <abilityName>全半角检查</abilityName>
      <candidateList>
        <item>（</item>
      </candidateList>
      <explain>文本全半角错误。</explain>
      <paraID>561D71E5</paraID>
      <start>42</start>
      <end>43</end>
      <status>unmodified</status>
      <modifiedWord/>
      <trackRevisions>false</trackRevisions>
    </reviewItem>
    <reviewItem>
      <errorID>bfeff142-60e8-4275-bccd-a43a4189075a</errorID>
      <errorWord>)</errorWord>
      <group>L1_Format</group>
      <groupName>格式问题</groupName>
      <ability>L2_HalfPunc</ability>
      <abilityName>全半角检查</abilityName>
      <candidateList>
        <item>）</item>
      </candidateList>
      <explain>文本全半角错误。</explain>
      <paraID>561D71E5</paraID>
      <start>45</start>
      <end>46</end>
      <status>unmodified</status>
      <modifiedWord/>
      <trackRevisions>false</trackRevisions>
    </reviewItem>
    <reviewItem>
      <errorID>a1726f37-a572-481d-b958-766282cdcc6e</errorID>
      <errorWord>,</errorWord>
      <group>L1_Format</group>
      <groupName>格式问题</groupName>
      <ability>L2_HalfPunc</ability>
      <abilityName>全半角检查</abilityName>
      <candidateList>
        <item>，</item>
      </candidateList>
      <explain>文本全半角错误。</explain>
      <paraID>16F9E72B</paraID>
      <start>18</start>
      <end>19</end>
      <status>unmodified</status>
      <modifiedWord/>
      <trackRevisions>false</trackRevisions>
    </reviewItem>
    <reviewItem>
      <errorID>274ad45c-2950-42ea-9818-cf3f38c77bb9</errorID>
      <errorWord>,</errorWord>
      <group>L1_Format</group>
      <groupName>格式问题</groupName>
      <ability>L2_HalfPunc</ability>
      <abilityName>全半角检查</abilityName>
      <candidateList>
        <item>，</item>
      </candidateList>
      <explain>文本全半角错误。</explain>
      <paraID>16F9E72B</paraID>
      <start>48</start>
      <end>49</end>
      <status>unmodified</status>
      <modifiedWord/>
      <trackRevisions>false</trackRevisions>
    </reviewItem>
    <reviewItem>
      <errorID>94cc4794-2891-486b-b040-ba98728a8c10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73CEE7B5</paraID>
      <start>16</start>
      <end>19</end>
      <status>unmodified</status>
      <modifiedWord/>
      <trackRevisions>false</trackRevisions>
    </reviewItem>
    <reviewItem>
      <errorID>ca9bf668-142f-40ef-a759-9fe9d9c11a73</errorID>
      <errorWord>间</errorWord>
      <group>L1_Word</group>
      <groupName>字词问题</groupName>
      <ability>L2_Typo</ability>
      <abilityName>字词错误</abilityName>
      <candidateList>
        <item>间之</item>
      </candidateList>
      <explain/>
      <paraID>126BA246</paraID>
      <start>57</start>
      <end>58</end>
      <status>unmodified</status>
      <modifiedWord/>
      <trackRevisions>false</trackRevisions>
    </reviewItem>
    <reviewItem>
      <errorID>42c22ff5-78e6-4e3b-9049-385d7490b10c</errorID>
      <errorWord>响应性</errorWord>
      <group>L1_Word</group>
      <groupName>字词问题</groupName>
      <ability>L2_Typo</ability>
      <abilityName>字词错误</abilityName>
      <candidateList>
        <item>响应</item>
      </candidateList>
      <explain>〈动〉回声相应，比喻用言语行动表示赞同、支持某种号召或倡议：～号召。</explain>
      <paraID> 62B0DC0</paraID>
      <start>59</start>
      <end>62</end>
      <status>unmodified</status>
      <modifiedWord/>
      <trackRevisions>false</trackRevisions>
    </reviewItem>
    <reviewItem>
      <errorID>5de066c5-11ee-4113-a3ae-66c5c69472de</errorID>
      <errorWord>做出</errorWord>
      <group>L1_Word</group>
      <groupName>字词问题</groupName>
      <ability>L2_Typo</ability>
      <abilityName>字词错误</abilityName>
      <candidateList>
        <item>作出</item>
      </candidateList>
      <explain/>
      <paraID>3E7611C8</paraID>
      <start>24</start>
      <end>26</end>
      <status>unmodified</status>
      <modifiedWord/>
      <trackRevisions>false</trackRevisions>
    </reviewItem>
    <reviewItem>
      <errorID>1635ee40-ddbb-4016-b483-e0f746b6b38a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656AAD8C</paraID>
      <start>51</start>
      <end>52</end>
      <status>unmodified</status>
      <modifiedWord/>
      <trackRevisions>false</trackRevisions>
    </reviewItem>
    <reviewItem>
      <errorID>cbb5484f-a7b3-4cfc-a046-1be1617321de</errorID>
      <errorWord>"</errorWord>
      <group>L1_Format</group>
      <groupName>格式问题</groupName>
      <ability>L2_HalfPunc</ability>
      <abilityName>全半角检查</abilityName>
      <candidateList>
        <item>”</item>
      </candidateList>
      <explain>文本全半角错误。</explain>
      <paraID>656AAD8C</paraID>
      <start>59</start>
      <end>60</end>
      <status>unmodified</status>
      <modifiedWord/>
      <trackRevisions>false</trackRevisions>
    </reviewItem>
    <reviewItem>
      <errorID>b8706666-e7d1-4789-8ecd-95b6a0804c36</errorID>
      <errorWord>)</errorWord>
      <group>L1_Format</group>
      <groupName>格式问题</groupName>
      <ability>L2_HalfPunc</ability>
      <abilityName>全半角检查</abilityName>
      <candidateList>
        <item>）</item>
      </candidateList>
      <explain>文本全半角错误。</explain>
      <paraID>656AAD8C</paraID>
      <start>76</start>
      <end>77</end>
      <status>unmodified</status>
      <modifiedWord/>
      <trackRevisions>false</trackRevisions>
    </reviewItem>
    <reviewItem>
      <errorID>af3b2043-683e-473e-88fa-b6f323d8bcf3</errorID>
      <errorWord>法律、法规</errorWord>
      <group>L1_Word</group>
      <groupName>字词问题</groupName>
      <ability>L2_Typo</ability>
      <abilityName>字词错误</abilityName>
      <candidateList>
        <item>法律法规</item>
      </candidateList>
      <explain/>
      <paraID>2FFA3682</paraID>
      <start>6</start>
      <end>11</end>
      <status>unmodified</status>
      <modifiedWord/>
      <trackRevisions>false</trackRevisions>
    </reviewItem>
    <reviewItem>
      <errorID>131a4e88-b0a1-4aed-a02f-03c17c998ce3</errorID>
      <errorWord>法律、法规</errorWord>
      <group>L1_Word</group>
      <groupName>字词问题</groupName>
      <ability>L2_Typo</ability>
      <abilityName>字词错误</abilityName>
      <candidateList>
        <item>法律法规</item>
      </candidateList>
      <explain/>
      <paraID>256403C0</paraID>
      <start>5</start>
      <end>10</end>
      <status>unmodified</status>
      <modifiedWord/>
      <trackRevisions>false</trackRevisions>
    </reviewItem>
    <reviewItem>
      <errorID>21ac02f5-26de-4288-97a9-7e859ccd17d5</errorID>
      <errorWord>国家发改委</errorWord>
      <group>L1_Knowledge</group>
      <groupName>知识性问题</groupName>
      <ability>L2_Knowledge</ability>
      <abilityName>其他知识</abilityName>
      <candidateList>
        <item>国家发展改革委</item>
      </candidateList>
      <explain/>
      <paraID>6534B34B</paraID>
      <start>15</start>
      <end>20</end>
      <status>unmodified</status>
      <modifiedWord/>
      <trackRevisions>false</trackRevisions>
    </reviewItem>
    <reviewItem>
      <errorID>c7031592-fc8f-4c84-8957-c6f999d0cdfa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6534B34B</paraID>
      <start>38</start>
      <end>41</end>
      <status>unmodified</status>
      <modifiedWord/>
      <trackRevisions>false</trackRevisions>
    </reviewItem>
    <reviewItem>
      <errorID>3565afdc-2591-4698-81e8-bb1a1f55d486</errorID>
      <errorWord>不</errorWord>
      <group>L1_Word</group>
      <groupName>字词问题</groupName>
      <ability>L2_Typo</ability>
      <abilityName>字词错误</abilityName>
      <candidateList>
        <item>不符</item>
      </candidateList>
      <explain/>
      <paraID>15D796E6</paraID>
      <start>50</start>
      <end>51</end>
      <status>unmodified</status>
      <modifiedWord/>
      <trackRevisions>false</trackRevisions>
    </reviewItem>
    <reviewItem>
      <errorID>151a0476-763f-4273-b69c-9e7353dd9ae0</errorID>
      <errorWord>[2015]124号</errorWord>
      <group>L1_Knowledge</group>
      <groupName>知识性问题</groupName>
      <ability>L2_Knowledge</ability>
      <abilityName>其他知识</abilityName>
      <candidateList>
        <item>〔2015〕124号</item>
      </candidateList>
      <explain>发文字号格式错误。</explain>
      <paraID>66379EAC</paraID>
      <start>84</start>
      <end>94</end>
      <status>unmodified</status>
      <modifiedWord/>
      <trackRevisions>false</trackRevisions>
    </reviewItem>
    <reviewItem>
      <errorID>55e04d9a-37cc-445a-8bf6-1be15778e555</errorID>
      <errorWord>人确定成交供应商</errorWord>
      <group>L1_Word</group>
      <groupName>字词问题</groupName>
      <ability>L2_Typo</ability>
      <abilityName>字词错误</abilityName>
      <candidateList>
        <item>人在确定成交供应商</item>
      </candidateList>
      <explain/>
      <paraID>5219F4EE</paraID>
      <start>45</start>
      <end>53</end>
      <status>unmodified</status>
      <modifiedWord/>
      <trackRevisions>false</trackRevisions>
    </reviewItem>
    <reviewItem>
      <errorID>5a0eb0a9-8354-4609-9903-331c31a0bfd0</errorID>
      <errorWord>需应</errorWord>
      <group>L1_Word</group>
      <groupName>字词问题</groupName>
      <ability>L2_Typo</ability>
      <abilityName>字词错误</abilityName>
      <candidateList>
        <item>需</item>
      </candidateList>
      <explain>❶〈动〉需要：～求｜按～分配｜完成任务还～五天时间。❷需用的东西：军～。</explain>
      <paraID>302C5A62</paraID>
      <start>6</start>
      <end>8</end>
      <status>unmodified</status>
      <modifiedWord/>
      <trackRevisions>false</trackRevisions>
    </reviewItem>
    <reviewItem>
      <errorID>29634638-0b3d-4072-ae96-5ca013930452</errorID>
      <errorWord>[2011]300号</errorWord>
      <group>L1_Knowledge</group>
      <groupName>知识性问题</groupName>
      <ability>L2_Knowledge</ability>
      <abilityName>其他知识</abilityName>
      <candidateList>
        <item>〔2011〕300号</item>
      </candidateList>
      <explain>发文字号格式错误。</explain>
      <paraID> C410050</paraID>
      <start>36</start>
      <end>46</end>
      <status>unmodified</status>
      <modifiedWord/>
      <trackRevisions>false</trackRevisions>
    </reviewItem>
    <reviewItem>
      <errorID>37b2d916-f082-4704-a6f1-e01c2fa99f1c</errorID>
      <errorWord>(</errorWord>
      <group>L1_Format</group>
      <groupName>格式问题</groupName>
      <ability>L2_HalfPunc</ability>
      <abilityName>全半角检查</abilityName>
      <candidateList>
        <item>（</item>
      </candidateList>
      <explain>文本全半角错误。</explain>
      <paraID>4FFDC40D</paraID>
      <start>36</start>
      <end>37</end>
      <status>unmodified</status>
      <modifiedWord/>
      <trackRevisions>false</trackRevisions>
    </reviewItem>
    <reviewItem>
      <errorID>716e4b58-e099-41b8-af2a-9578138bcb9a</errorID>
      <errorWord>)</errorWord>
      <group>L1_Format</group>
      <groupName>格式问题</groupName>
      <ability>L2_HalfPunc</ability>
      <abilityName>全半角检查</abilityName>
      <candidateList>
        <item>）</item>
      </candidateList>
      <explain>文本全半角错误。</explain>
      <paraID>4FFDC40D</paraID>
      <start>46</start>
      <end>47</end>
      <status>unmodified</status>
      <modifiedWord/>
      <trackRevisions>false</trackRevisions>
    </reviewItem>
    <reviewItem>
      <errorID>453dce8b-176f-44db-b5e0-69636444ae1b</errorID>
      <errorWord>[2014]68号</errorWord>
      <group>L1_Knowledge</group>
      <groupName>知识性问题</groupName>
      <ability>L2_Knowledge</ability>
      <abilityName>其他知识</abilityName>
      <candidateList>
        <item>〔2014〕68号</item>
      </candidateList>
      <explain>发文字号格式错误。</explain>
      <paraID>179FB2EC</paraID>
      <start>38</start>
      <end>47</end>
      <status>unmodified</status>
      <modifiedWord/>
      <trackRevisions>false</trackRevisions>
    </reviewItem>
    <reviewItem>
      <errorID>6c1e4bf8-9578-4af2-8677-e79340f768de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3E620DC7</paraID>
      <start>0</start>
      <end>2</end>
      <status>unmodified</status>
      <modifiedWord/>
      <trackRevisions>false</trackRevisions>
    </reviewItem>
    <reviewItem>
      <errorID>58f78640-a45a-463e-a828-a50215c1c84c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59460508</paraID>
      <start>0</start>
      <end>2</end>
      <status>unmodified</status>
      <modifiedWord/>
      <trackRevisions>false</trackRevisions>
    </reviewItem>
    <reviewItem>
      <errorID>d76c5e5b-b4e6-4925-8443-10442974c48f</errorID>
      <errorWord>(</errorWord>
      <group>L1_Format</group>
      <groupName>格式问题</groupName>
      <ability>L2_HalfPunc</ability>
      <abilityName>全半角检查</abilityName>
      <candidateList>
        <item>（</item>
      </candidateList>
      <explain>文本全半角错误。</explain>
      <paraID>29FBD912</paraID>
      <start>25</start>
      <end>26</end>
      <status>unmodified</status>
      <modifiedWord/>
      <trackRevisions>false</trackRevisions>
    </reviewItem>
    <reviewItem>
      <errorID>fd36ede6-96bc-4a7b-8a51-bdfbd8b19e31</errorID>
      <errorWord>)</errorWord>
      <group>L1_Format</group>
      <groupName>格式问题</groupName>
      <ability>L2_HalfPunc</ability>
      <abilityName>全半角检查</abilityName>
      <candidateList>
        <item>）</item>
      </candidateList>
      <explain>文本全半角错误。</explain>
      <paraID>29FBD912</paraID>
      <start>36</start>
      <end>37</end>
      <status>unmodified</status>
      <modifiedWord/>
      <trackRevisions>false</trackRevisions>
    </reviewItem>
    <reviewItem>
      <errorID>f07e4ace-9869-49de-b22e-a88ffb8c0fc1</errorID>
      <errorWord>:</errorWord>
      <group>L1_Format</group>
      <groupName>格式问题</groupName>
      <ability>L2_HalfPunc</ability>
      <abilityName>全半角检查</abilityName>
      <candidateList>
        <item>：</item>
      </candidateList>
      <explain>文本全半角错误。</explain>
      <paraID>29FBD912</paraID>
      <start>76</start>
      <end>77</end>
      <status>unmodified</status>
      <modifiedWord/>
      <trackRevisions>false</trackRevisions>
    </reviewItem>
    <reviewItem>
      <errorID>51c32e17-4f65-4788-83db-546b2f9d0c53</errorID>
      <errorWord>&lt;</errorWord>
      <group>L1_Format</group>
      <groupName>格式问题</groupName>
      <ability>L2_HalfPunc</ability>
      <abilityName>全半角检查</abilityName>
      <candidateList>
        <item>〈</item>
      </candidateList>
      <explain>文本全半角错误。</explain>
      <paraID>349D6CDF</paraID>
      <start>38</start>
      <end>39</end>
      <status>unmodified</status>
      <modifiedWord/>
      <trackRevisions>false</trackRevisions>
    </reviewItem>
    <reviewItem>
      <errorID>41c65f4a-2343-4f15-bb21-6fff80de5ecb</errorID>
      <errorWord>&lt;</errorWord>
      <group>L1_Format</group>
      <groupName>格式问题</groupName>
      <ability>L2_HalfPunc</ability>
      <abilityName>全半角检查</abilityName>
      <candidateList>
        <item>〈</item>
      </candidateList>
      <explain>文本全半角错误。</explain>
      <paraID> 1ABDB41</paraID>
      <start>38</start>
      <end>39</end>
      <status>unmodified</status>
      <modifiedWord/>
      <trackRevisions>false</trackRevisions>
    </reviewItem>
    <reviewItem>
      <errorID>245b08ae-a64b-40ea-bfc3-2b3367ccb391</errorID>
      <errorWord>&lt;</errorWord>
      <group>L1_Format</group>
      <groupName>格式问题</groupName>
      <ability>L2_HalfPunc</ability>
      <abilityName>全半角检查</abilityName>
      <candidateList>
        <item>〈</item>
      </candidateList>
      <explain>文本全半角错误。</explain>
      <paraID>523166F5</paraID>
      <start>27</start>
      <end>28</end>
      <status>unmodified</status>
      <modifiedWord/>
      <trackRevisions>false</trackRevisions>
    </reviewItem>
    <reviewItem>
      <errorID>8164aeae-0370-47d6-a66a-e61159e91c3d</errorID>
      <errorWord>，</errorWord>
      <group>L1_Word</group>
      <groupName>字词问题</groupName>
      <ability>L2_Typo</ability>
      <abilityName>字词错误</abilityName>
      <candidateList>
        <item>，并</item>
      </candidateList>
      <explain/>
      <paraID>64F9E528</paraID>
      <start>63</start>
      <end>64</end>
      <status>unmodified</status>
      <modifiedWord/>
      <trackRevisions>false</trackRevisions>
    </reviewItem>
    <reviewItem>
      <errorID>8346763c-fe2f-4154-b60e-5e2ca29a7ca2</errorID>
      <errorWord>》</errorWord>
      <group>L1_Word</group>
      <groupName>字词问题</groupName>
      <ability>L2_Typo</ability>
      <abilityName>字词错误</abilityName>
      <candidateList>
        <item>》等</item>
      </candidateList>
      <explain/>
      <paraID> C7B3AD8</paraID>
      <start>75</start>
      <end>76</end>
      <status>unmodified</status>
      <modifiedWord/>
      <trackRevisions>false</trackRevisions>
    </reviewItem>
    <reviewItem>
      <errorID>285e1b53-9a00-4153-b679-399287cc3bf4</errorID>
      <errorWord>依托于</errorWord>
      <group>L1_Word</group>
      <groupName>字词问题</groupName>
      <ability>L2_Typo</ability>
      <abilityName>字词错误</abilityName>
      <candidateList>
        <item>依托</item>
      </candidateList>
      <explain/>
      <paraID>45D7C119</paraID>
      <start>178</start>
      <end>181</end>
      <status>unmodified</status>
      <modifiedWord/>
      <trackRevisions>false</trackRevisions>
    </reviewItem>
    <reviewItem>
      <errorID>e52cae3e-af28-433f-89a1-72553f7e0092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575CD790</paraID>
      <start>23</start>
      <end>26</end>
      <status>unmodified</status>
      <modifiedWord/>
      <trackRevisions>false</trackRevisions>
    </reviewItem>
    <reviewItem>
      <errorID>fce43633-6510-43be-ab67-55195dea3576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575CD790</paraID>
      <start>55</start>
      <end>58</end>
      <status>unmodified</status>
      <modifiedWord/>
      <trackRevisions>false</trackRevisions>
    </reviewItem>
    <reviewItem>
      <errorID>abf9ee48-8621-40eb-a4ff-54e32a47402d</errorID>
      <errorWord>其它</errorWord>
      <group>L1_Word</group>
      <groupName>字词问题</groupName>
      <ability>L2_Alias</ability>
      <abilityName>也作/曾用词</abilityName>
      <candidateList>
        <item>其他</item>
      </candidateList>
      <explain>词汇[其它]为不规范表述或旧称，其规范书面表述为[其他]。</explain>
      <paraID>788EDCD8</paraID>
      <start>257</start>
      <end>259</end>
      <status>unmodified</status>
      <modifiedWord/>
      <trackRevisions>false</trackRevisions>
    </reviewItem>
    <reviewItem>
      <errorID>4de7e480-5306-4adf-8731-ef8d65a71844</errorID>
      <errorWord>和持续发展</errorWord>
      <group>L1_Word</group>
      <groupName>字词问题</groupName>
      <ability>L2_Typo</ability>
      <abilityName>字词错误</abilityName>
      <candidateList>
        <item>和可持续发展</item>
      </candidateList>
      <explain/>
      <paraID>788EDCD8</paraID>
      <start>288</start>
      <end>293</end>
      <status>unmodified</status>
      <modifiedWord/>
      <trackRevisions>false</trackRevisions>
    </reviewItem>
    <reviewItem>
      <errorID>b10e0d12-ae8e-407d-a804-2ebba5a43fb0</errorID>
      <errorWord>企业职工养老保险</errorWord>
      <group>L1_Political</group>
      <groupName>政治性问题</groupName>
      <ability>L2_Keyword</ability>
      <abilityName>固定表述</abilityName>
      <candidateList>
        <item>企业职工基本养老保险</item>
      </candidateList>
      <explain>词汇“企业职工基本养老保险”在特定场景下为固定表述形式，请确认此处的“企业职工养老保险”是否存在不当。</explain>
      <paraID>49F594D0</paraID>
      <start>17</start>
      <end>25</end>
      <status>unmodified</status>
      <modifiedWord/>
      <trackRevisions>false</trackRevisions>
    </reviewItem>
    <reviewItem>
      <errorID>e495536e-b2e0-4a8f-9005-bee082e68f22</errorID>
      <errorWord>企业职工养老保险</errorWord>
      <group>L1_Political</group>
      <groupName>政治性问题</groupName>
      <ability>L2_Keyword</ability>
      <abilityName>固定表述</abilityName>
      <candidateList>
        <item>企业职工基本养老保险</item>
      </candidateList>
      <explain>词汇“企业职工基本养老保险”在特定场景下为固定表述形式，请确认此处的“企业职工养老保险”是否存在不当。</explain>
      <paraID>49F594D0</paraID>
      <start>103</start>
      <end>111</end>
      <status>unmodified</status>
      <modifiedWord/>
      <trackRevisions>false</trackRevisions>
    </reviewItem>
    <reviewItem>
      <errorID>a1d34987-beb1-4bf1-812e-b0e9350229b8</errorID>
      <errorWord>,</errorWord>
      <group>L1_Format</group>
      <groupName>格式问题</groupName>
      <ability>L2_HalfPunc</ability>
      <abilityName>全半角检查</abilityName>
      <candidateList>
        <item>，</item>
      </candidateList>
      <explain>文本全半角错误。</explain>
      <paraID>2A0242CB</paraID>
      <start>15</start>
      <end>16</end>
      <status>unmodified</status>
      <modifiedWord/>
      <trackRevisions>false</trackRevisions>
    </reviewItem>
    <reviewItem>
      <errorID>051257f6-5365-4e00-852d-4cb168d4f26d</errorID>
      <errorWord>,</errorWord>
      <group>L1_Format</group>
      <groupName>格式问题</groupName>
      <ability>L2_HalfPunc</ability>
      <abilityName>全半角检查</abilityName>
      <candidateList>
        <item>，</item>
      </candidateList>
      <explain>文本全半角错误。</explain>
      <paraID>2A0242CB</paraID>
      <start>33</start>
      <end>34</end>
      <status>unmodified</status>
      <modifiedWord/>
      <trackRevisions>false</trackRevisions>
    </reviewItem>
    <reviewItem>
      <errorID>f0ec3831-284b-4c91-b461-4e4853f3533f</errorID>
      <errorWord>:</errorWord>
      <group>L1_Format</group>
      <groupName>格式问题</groupName>
      <ability>L2_HalfPunc</ability>
      <abilityName>全半角检查</abilityName>
      <candidateList>
        <item>：</item>
      </candidateList>
      <explain>文本全半角错误。</explain>
      <paraID>2A0242CB</paraID>
      <start>35</start>
      <end>36</end>
      <status>unmodified</status>
      <modifiedWord/>
      <trackRevisions>false</trackRevisions>
    </reviewItem>
    <reviewItem>
      <errorID>14083efb-96c1-4f0e-aa89-3f37ac0aa090</errorID>
      <errorWord>,</errorWord>
      <group>L1_Format</group>
      <groupName>格式问题</groupName>
      <ability>L2_HalfPunc</ability>
      <abilityName>全半角检查</abilityName>
      <candidateList>
        <item>，</item>
      </candidateList>
      <explain>文本全半角错误。</explain>
      <paraID>2A0242CB</paraID>
      <start>41</start>
      <end>42</end>
      <status>unmodified</status>
      <modifiedWord/>
      <trackRevisions>false</trackRevisions>
    </reviewItem>
    <reviewItem>
      <errorID>9342bb40-9d1b-4bb3-9c8a-cc2a90389270</errorID>
      <errorWord>其它</errorWord>
      <group>L1_Word</group>
      <groupName>字词问题</groupName>
      <ability>L2_Alias</ability>
      <abilityName>也作/曾用词</abilityName>
      <candidateList>
        <item>其他</item>
      </candidateList>
      <explain>词汇[其它]为不规范表述或旧称，其规范书面表述为[其他]。</explain>
      <paraID>1E2A8D71</paraID>
      <start>12</start>
      <end>14</end>
      <status>unmodified</status>
      <modifiedWord/>
      <trackRevisions>false</trackRevisions>
    </reviewItem>
    <reviewItem>
      <errorID>eb4d05c1-e6b0-485a-9430-985cd40bd898</errorID>
      <errorWord>必须</errorWord>
      <group>L1_Word</group>
      <groupName>字词问题</groupName>
      <ability>L2_Typo</ability>
      <abilityName>字词错误</abilityName>
      <candidateList>
        <item>必需</item>
      </candidateList>
      <explain>存在发音相同字词的误用。</explain>
      <paraID>4D2591AC</paraID>
      <start>148</start>
      <end>150</end>
      <status>unmodified</status>
      <modifiedWord/>
      <trackRevisions>false</trackRevisions>
    </reviewItem>
    <reviewItem>
      <errorID>e74b222f-219b-4a2e-9073-2535ddd11fb7</errorID>
      <errorWord>建</errorWord>
      <group>L1_Word</group>
      <groupName>字词问题</groupName>
      <ability>L2_Typo</ability>
      <abilityName>字词错误</abilityName>
      <candidateList>
        <item>建立</item>
      </candidateList>
      <explain>〈动〉❶开始成立：～政权｜～新的工业基地。❷开始产生；开始形成：～友谊｜～邦交。</explain>
      <paraID>41F71201</paraID>
      <start>25</start>
      <end>26</end>
      <status>unmodified</status>
      <modifiedWord/>
      <trackRevisions>false</trackRevisions>
    </reviewItem>
    <reviewItem>
      <errorID>98c004fd-ead4-418e-8206-1429cbb4c1a4</errorID>
      <errorWord>其它</errorWord>
      <group>L1_Word</group>
      <groupName>字词问题</groupName>
      <ability>L2_Alias</ability>
      <abilityName>也作/曾用词</abilityName>
      <candidateList>
        <item>其他</item>
      </candidateList>
      <explain>词汇[其它]为不规范表述或旧称，其规范书面表述为[其他]。</explain>
      <paraID>17968F52</paraID>
      <start>44</start>
      <end>46</end>
      <status>unmodified</status>
      <modifiedWord/>
      <trackRevisions>false</trackRevisions>
    </reviewItem>
    <reviewItem>
      <errorID>b7d502a9-3408-4e41-a516-82abca4868ad</errorID>
      <errorWord>具有</errorWord>
      <group>L1_Word</group>
      <groupName>字词问题</groupName>
      <ability>L2_Typo</ability>
      <abilityName>字词错误</abilityName>
      <candidateList>
        <item>有</item>
      </candidateList>
      <explain>〈书〉同“又”▲：三十～八年。</explain>
      <paraID>7904A7DA</paraID>
      <start>51</start>
      <end>53</end>
      <status>unmodified</status>
      <modifiedWord/>
      <trackRevisions>false</trackRevisions>
    </reviewItem>
    <reviewItem>
      <errorID>62161163-0705-41b2-937a-718083ee3778</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B142943</paraID>
      <start>41</start>
      <end>43</end>
      <status>unmodified</status>
      <modifiedWord/>
      <trackRevisions>false</trackRevisions>
    </reviewItem>
    <reviewItem>
      <errorID>ec70d54d-2501-438d-bfa7-2d40b8e84067</errorID>
      <errorWord>电话中</errorWord>
      <group>L1_Word</group>
      <groupName>字词问题</groupName>
      <ability>L2_Typo</ability>
      <abilityName>字词错误</abilityName>
      <candidateList>
        <item>电话</item>
      </candidateList>
      <explain/>
      <paraID>25638FD1</paraID>
      <start>48</start>
      <end>51</end>
      <status>unmodified</status>
      <modifiedWord/>
      <trackRevisions>false</trackRevisions>
    </reviewItem>
    <reviewItem>
      <errorID>9cea4c1c-b77f-4451-a0e2-724b3ef29f40</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25638FD1</paraID>
      <start>126</start>
      <end>128</end>
      <status>unmodified</status>
      <modifiedWord/>
      <trackRevisions>false</trackRevisions>
    </reviewItem>
    <reviewItem>
      <errorID>7c13bc5b-7098-483d-aa63-8fce908319b9</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25638FD1</paraID>
      <start>179</start>
      <end>181</end>
      <status>unmodified</status>
      <modifiedWord/>
      <trackRevisions>false</trackRevisions>
    </reviewItem>
    <reviewItem>
      <errorID>0feb0dcf-58f2-4447-9ace-a81f373fd92c</errorID>
      <errorWord>完</errorWord>
      <group>L1_Word</group>
      <groupName>字词问题</groupName>
      <ability>L2_Typo</ability>
      <abilityName>字词错误</abilityName>
      <candidateList>
        <item>完成</item>
      </candidateList>
      <explain>〈动〉按照预期的目的结束；做成：～任务｜～作业｜计划完得成。</explain>
      <paraID>4AD287F7</paraID>
      <start>6</start>
      <end>7</end>
      <status>unmodified</status>
      <modifiedWord/>
      <trackRevisions>false</trackRevisions>
    </reviewItem>
    <reviewItem>
      <errorID>dbf3610b-9472-4386-a0ca-90e16a1facd3</errorID>
      <errorWord>，</errorWord>
      <group>L1_Word</group>
      <groupName>字词问题</groupName>
      <ability>L2_Typo</ability>
      <abilityName>字词错误</abilityName>
      <candidateList>
        <item>，将</item>
      </candidateList>
      <explain/>
      <paraID>173B98D8</paraID>
      <start>92</start>
      <end>93</end>
      <status>unmodified</status>
      <modifiedWord/>
      <trackRevisions>false</trackRevisions>
    </reviewItem>
    <reviewItem>
      <errorID>5ae9d453-12b1-439a-8e06-4ee7c6a2c2c5</errorID>
      <errorWord>10%-30%</errorWord>
      <group>L1_Knowledge</group>
      <groupName>知识性问题</groupName>
      <ability>L2_Knowledge</ability>
      <abilityName>其他知识</abilityName>
      <candidateList>
        <item>10%—30%</item>
      </candidateList>
      <explain>1. “10%-30%”中的单位“%”仅出现在后一个数字上，容易引起歧义；根据《现代汉语标点符号数字用法规范手册》，数字表示范围两边需要使用统一的格式。2. 根据标点国标 4.13 中的规则，数字、时间或地域连接符应使用（视觉上更长的）“—”或“～”。</explain>
      <paraID>173B98D8</paraID>
      <start>154</start>
      <end>161</end>
      <status>unmodified</status>
      <modifiedWord/>
      <trackRevisions>false</trackRevisions>
    </reviewItem>
    <reviewItem>
      <errorID>a3856484-c9c7-423d-af70-97e68b9d7127</errorID>
      <errorWord>、或者</errorWord>
      <group>L1_Word</group>
      <groupName>字词问题</groupName>
      <ability>L2_Typo</ability>
      <abilityName>字词错误</abilityName>
      <candidateList>
        <item>，或者</item>
      </candidateList>
      <explain/>
      <paraID> DAFBEFD</paraID>
      <start>24</start>
      <end>27</end>
      <status>unmodified</status>
      <modifiedWord/>
      <trackRevisions>false</trackRevisions>
    </reviewItem>
    <reviewItem>
      <errorID>5926f997-5a5c-41c6-b499-522e18c6897e</errorID>
      <errorWord>,</errorWord>
      <group>L1_Format</group>
      <groupName>格式问题</groupName>
      <ability>L2_HalfPunc</ability>
      <abilityName>全半角检查</abilityName>
      <candidateList>
        <item>，</item>
      </candidateList>
      <explain>文本全半角错误。</explain>
      <paraID>645C8A60</paraID>
      <start>78</start>
      <end>79</end>
      <status>unmodified</status>
      <modifiedWord/>
      <trackRevisions>false</trackRevisions>
    </reviewItem>
    <reviewItem>
      <errorID>448d7a18-be64-44f6-b838-65c33e51b6fe</errorID>
      <errorWord>,</errorWord>
      <group>L1_Format</group>
      <groupName>格式问题</groupName>
      <ability>L2_HalfPunc</ability>
      <abilityName>全半角检查</abilityName>
      <candidateList>
        <item>，</item>
      </candidateList>
      <explain>文本全半角错误。</explain>
      <paraID>645C8A60</paraID>
      <start>84</start>
      <end>85</end>
      <status>unmodified</status>
      <modifiedWord/>
      <trackRevisions>false</trackRevisions>
    </reviewItem>
    <reviewItem>
      <errorID>b4495f74-0f24-4541-8e14-54219873049c</errorID>
      <errorWord>,</errorWord>
      <group>L1_Format</group>
      <groupName>格式问题</groupName>
      <ability>L2_HalfPunc</ability>
      <abilityName>全半角检查</abilityName>
      <candidateList>
        <item>，</item>
      </candidateList>
      <explain>文本全半角错误。</explain>
      <paraID>645C8A60</paraID>
      <start>103</start>
      <end>104</end>
      <status>unmodified</status>
      <modifiedWord/>
      <trackRevisions>false</trackRevisions>
    </reviewItem>
    <reviewItem>
      <errorID>3849e276-8954-4c53-b06f-a6b12f4921d5</errorID>
      <errorWord>,</errorWord>
      <group>L1_Format</group>
      <groupName>格式问题</groupName>
      <ability>L2_HalfPunc</ability>
      <abilityName>全半角检查</abilityName>
      <candidateList>
        <item>，</item>
      </candidateList>
      <explain>文本全半角错误。</explain>
      <paraID>6E510D1B</paraID>
      <start>12</start>
      <end>13</end>
      <status>unmodified</status>
      <modifiedWord/>
      <trackRevisions>false</trackRevisions>
    </reviewItem>
    <reviewItem>
      <errorID>3aeb5c5b-a9e4-459a-a71d-a8a035b1c7fd</errorID>
      <errorWord>,</errorWord>
      <group>L1_Format</group>
      <groupName>格式问题</groupName>
      <ability>L2_HalfPunc</ability>
      <abilityName>全半角检查</abilityName>
      <candidateList>
        <item>，</item>
      </candidateList>
      <explain>文本全半角错误。</explain>
      <paraID>6E510D1B</paraID>
      <start>125</start>
      <end>126</end>
      <status>unmodified</status>
      <modifiedWord/>
      <trackRevisions>false</trackRevisions>
    </reviewItem>
    <reviewItem>
      <errorID>29ab7e92-d5f4-4c87-bf10-4bfe75df60fd</errorID>
      <errorWord>‰</errorWord>
      <group>L1_Word</group>
      <groupName>字词问题</groupName>
      <ability>L2_Typo</ability>
      <abilityName>字词错误</abilityName>
      <candidateList>
        <item>‰向</item>
      </candidateList>
      <explain/>
      <paraID>73B3D8ED</paraID>
      <start>31</start>
      <end>32</end>
      <status>unmodified</status>
      <modifiedWord/>
      <trackRevisions>false</trackRevisions>
    </reviewItem>
    <reviewItem>
      <errorID>2bd17102-e840-4e17-aa50-1d9f6cbd8ea2</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 6DE612C</paraID>
      <start>41</start>
      <end>51</end>
      <status>unmodified</status>
      <modifiedWord/>
      <trackRevisions>false</trackRevisions>
    </reviewItem>
    <reviewItem>
      <errorID>ece2e77f-ce74-47c2-bf9e-318f49fd98d5</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41B09527</paraID>
      <start>10</start>
      <end>15</end>
      <status>unmodified</status>
      <modifiedWord/>
      <trackRevisions>false</trackRevisions>
    </reviewItem>
    <reviewItem>
      <errorID>ef808192-da29-40d0-894a-65a19b749fbb</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41B09527</paraID>
      <start>17</start>
      <end>24</end>
      <status>unmodified</status>
      <modifiedWord/>
      <trackRevisions>false</trackRevisions>
    </reviewItem>
    <reviewItem>
      <errorID>8b7963ec-a15f-4730-9a44-e633f6330996</errorID>
      <errorWord>》</errorWord>
      <group>L1_Word</group>
      <groupName>字词问题</groupName>
      <ability>L2_Typo</ability>
      <abilityName>字词错误</abilityName>
      <candidateList>
        <item>》等</item>
      </candidateList>
      <explain/>
      <paraID>56D46E78</paraID>
      <start>40</start>
      <end>41</end>
      <status>unmodified</status>
      <modifiedWord/>
      <trackRevisions>false</trackRevisions>
    </reviewItem>
    <reviewItem>
      <errorID>cbf70c9b-ec93-48b0-ba39-1576074a7286</errorID>
      <errorWord>-</errorWord>
      <group>L1_Format</group>
      <groupName>格式问题</groupName>
      <ability>L2_HalfPunc</ability>
      <abilityName>全半角检查</abilityName>
      <candidateList>
        <item>－</item>
      </candidateList>
      <explain>文本全半角错误。</explain>
      <paraID> EFFF0D3</paraID>
      <start>10</start>
      <end>11</end>
      <status>unmodified</status>
      <modifiedWord/>
      <trackRevisions>false</trackRevisions>
    </reviewItem>
    <reviewItem>
      <errorID>ae728205-f7a0-4af7-9068-90a5426e6a2a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2FC2908B</paraID>
      <start>0</start>
      <end>2</end>
      <status>unmodified</status>
      <modifiedWord/>
      <trackRevisions>false</trackRevisions>
    </reviewItem>
    <reviewItem>
      <errorID>aea9bdb0-979d-4e7b-92c0-ae5e0abef53d</errorID>
      <errorWord>(</errorWord>
      <group>L1_Format</group>
      <groupName>格式问题</groupName>
      <ability>L2_HalfPunc</ability>
      <abilityName>全半角检查</abilityName>
      <candidateList>
        <item>（</item>
      </candidateList>
      <explain>文本全半角错误。</explain>
      <paraID>78FD053F</paraID>
      <start>69</start>
      <end>70</end>
      <status>unmodified</status>
      <modifiedWord/>
      <trackRevisions>false</trackRevisions>
    </reviewItem>
    <reviewItem>
      <errorID>852c197b-f47f-45b7-bf9b-1082c2a0112b</errorID>
      <errorWord>)</errorWord>
      <group>L1_Format</group>
      <groupName>格式问题</groupName>
      <ability>L2_HalfPunc</ability>
      <abilityName>全半角检查</abilityName>
      <candidateList>
        <item>）</item>
      </candidateList>
      <explain>文本全半角错误。</explain>
      <paraID>78FD053F</paraID>
      <start>72</start>
      <end>73</end>
      <status>unmodified</status>
      <modifiedWord/>
      <trackRevisions>false</trackRevisions>
    </reviewItem>
    <reviewItem>
      <errorID>28838bc6-347d-4071-8bbc-9a3819831f7c</errorID>
      <errorWord>,</errorWord>
      <group>L1_Format</group>
      <groupName>格式问题</groupName>
      <ability>L2_HalfPunc</ability>
      <abilityName>全半角检查</abilityName>
      <candidateList>
        <item>，</item>
      </candidateList>
      <explain>文本全半角错误。</explain>
      <paraID>6592C25C</paraID>
      <start>8</start>
      <end>9</end>
      <status>unmodified</status>
      <modifiedWord/>
      <trackRevisions>false</trackRevisions>
    </reviewItem>
    <reviewItem>
      <errorID>d283a263-277f-4bbd-a67b-ecca7479b54c</errorID>
      <errorWord>,</errorWord>
      <group>L1_Format</group>
      <groupName>格式问题</groupName>
      <ability>L2_HalfPunc</ability>
      <abilityName>全半角检查</abilityName>
      <candidateList>
        <item>，</item>
      </candidateList>
      <explain>文本全半角错误。</explain>
      <paraID>6592C25C</paraID>
      <start>34</start>
      <end>35</end>
      <status>unmodified</status>
      <modifiedWord/>
      <trackRevisions>false</trackRevisions>
    </reviewItem>
    <reviewItem>
      <errorID>b44a9bd1-c5e8-4305-b485-bb9561607133</errorID>
      <errorWord>间</errorWord>
      <group>L1_Word</group>
      <groupName>字词问题</groupName>
      <ability>L2_Typo</ability>
      <abilityName>字词错误</abilityName>
      <candidateList>
        <item>间内</item>
      </candidateList>
      <explain/>
      <paraID>6592C25C</paraID>
      <start>47</start>
      <end>48</end>
      <status>unmodified</status>
      <modifiedWord/>
      <trackRevisions>false</trackRevisions>
    </reviewItem>
    <reviewItem>
      <errorID>97418f1f-d557-429d-b0ec-155ee70dec18</errorID>
      <errorWord>(</errorWord>
      <group>L1_Format</group>
      <groupName>格式问题</groupName>
      <ability>L2_HalfPunc</ability>
      <abilityName>全半角检查</abilityName>
      <candidateList>
        <item>（</item>
      </candidateList>
      <explain>文本全半角错误。</explain>
      <paraID>2C151956</paraID>
      <start>28</start>
      <end>29</end>
      <status>unmodified</status>
      <modifiedWord/>
      <trackRevisions>false</trackRevisions>
    </reviewItem>
    <reviewItem>
      <errorID>b456fa6b-7972-4ba3-94ec-79849acb67d1</errorID>
      <errorWord>[2020]46号</errorWord>
      <group>L1_Knowledge</group>
      <groupName>知识性问题</groupName>
      <ability>L2_Knowledge</ability>
      <abilityName>其他知识</abilityName>
      <candidateList>
        <item>〔2020〕46号</item>
      </candidateList>
      <explain>发文字号格式错误。</explain>
      <paraID>2C151956</paraID>
      <start>31</start>
      <end>40</end>
      <status>unmodified</status>
      <modifiedWord/>
      <trackRevisions>false</trackRevisions>
    </reviewItem>
    <reviewItem>
      <errorID>7276568c-d5ce-4529-90e0-21ccbe5950b6</errorID>
      <errorWord>)</errorWord>
      <group>L1_Format</group>
      <groupName>格式问题</groupName>
      <ability>L2_HalfPunc</ability>
      <abilityName>全半角检查</abilityName>
      <candidateList>
        <item>）</item>
      </candidateList>
      <explain>文本全半角错误。</explain>
      <paraID>2C151956</paraID>
      <start>40</start>
      <end>41</end>
      <status>unmodified</status>
      <modifiedWord/>
      <trackRevisions>false</trackRevisions>
    </reviewItem>
    <reviewItem>
      <errorID>67c7ac5d-ea12-4d10-8437-7438560fe339</errorID>
      <errorWord>(</errorWord>
      <group>L1_Format</group>
      <groupName>格式问题</groupName>
      <ability>L2_HalfPunc</ability>
      <abilityName>全半角检查</abilityName>
      <candidateList>
        <item>（</item>
      </candidateList>
      <explain>文本全半角错误。</explain>
      <paraID>2C151956</paraID>
      <start>198</start>
      <end>199</end>
      <status>unmodified</status>
      <modifiedWord/>
      <trackRevisions>false</trackRevisions>
    </reviewItem>
    <reviewItem>
      <errorID>14f49d23-9cb5-492a-9ee4-9768bfb30719</errorID>
      <errorWord>[2011]300号</errorWord>
      <group>L1_Knowledge</group>
      <groupName>知识性问题</groupName>
      <ability>L2_Knowledge</ability>
      <abilityName>其他知识</abilityName>
      <candidateList>
        <item>〔2011〕300号</item>
      </candidateList>
      <explain>发文字号格式错误。</explain>
      <paraID>2C151956</paraID>
      <start>205</start>
      <end>215</end>
      <status>unmodified</status>
      <modifiedWord/>
      <trackRevisions>false</trackRevisions>
    </reviewItem>
    <reviewItem>
      <errorID>f5ebe8a1-ca58-4763-830d-5cddb78ab06e</errorID>
      <errorWord>)</errorWord>
      <group>L1_Format</group>
      <groupName>格式问题</groupName>
      <ability>L2_HalfPunc</ability>
      <abilityName>全半角检查</abilityName>
      <candidateList>
        <item>）</item>
      </candidateList>
      <explain>文本全半角错误。</explain>
      <paraID>2C151956</paraID>
      <start>215</start>
      <end>216</end>
      <status>unmodified</status>
      <modifiedWord/>
      <trackRevisions>false</trackRevisions>
    </reviewItem>
    <reviewItem>
      <errorID>d5c8a132-b16b-4ccf-96d5-5354486236d2</errorID>
      <errorWord>：。</errorWord>
      <group>L1_Punc</group>
      <groupName>标点问题</groupName>
      <ability>L2_Punc</ability>
      <abilityName>标点符号检查</abilityName>
      <candidateList>
        <item>：</item>
      </candidateList>
      <explain/>
      <paraID>245C7558</paraID>
      <start>2</start>
      <end>4</end>
      <status>unmodified</status>
      <modifiedWord/>
      <trackRevisions>false</trackRevisions>
    </reviewItem>
    <reviewItem>
      <errorID>9751bcde-e2ee-4793-9eac-5821daff281f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2FBFAB5F</paraID>
      <start>0</start>
      <end>2</end>
      <status>unmodified</status>
      <modifiedWord/>
      <trackRevisions>false</trackRevisions>
    </reviewItem>
    <reviewItem>
      <errorID>3b4e6497-e2dc-4d81-8916-0b6353e001aa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3A4E094F</paraID>
      <start>0</start>
      <end>2</end>
      <status>unmodified</status>
      <modifiedWord/>
      <trackRevisions>false</trackRevisions>
    </reviewItem>
    <reviewItem>
      <errorID>977b5b6c-17e7-4943-b302-c31438adcb70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12C629F0</paraID>
      <start>0</start>
      <end>2</end>
      <status>unmodified</status>
      <modifiedWord/>
      <trackRevisions>false</trackRevisions>
    </reviewItem>
    <reviewItem>
      <errorID>5caa687c-b4b2-4217-aac1-372c7c2271bc</errorID>
      <errorWord>(</errorWord>
      <group>L1_Format</group>
      <groupName>格式问题</groupName>
      <ability>L2_HalfPunc</ability>
      <abilityName>全半角检查</abilityName>
      <candidateList>
        <item>（</item>
      </candidateList>
      <explain>文本全半角错误。</explain>
      <paraID> 396AC97</paraID>
      <start>0</start>
      <end>1</end>
      <status>unmodified</status>
      <modifiedWord/>
      <trackRevisions>false</trackRevisions>
    </reviewItem>
    <reviewItem>
      <errorID>b3dc819b-38a1-4d38-b4d5-c37b6967204c</errorID>
      <errorWord>)</errorWord>
      <group>L1_Format</group>
      <groupName>格式问题</groupName>
      <ability>L2_HalfPunc</ability>
      <abilityName>全半角检查</abilityName>
      <candidateList>
        <item>）</item>
      </candidateList>
      <explain>文本全半角错误。</explain>
      <paraID> 396AC97</paraID>
      <start>11</start>
      <end>12</end>
      <status>unmodified</status>
      <modifiedWord/>
      <trackRevisions>false</trackRevisions>
    </reviewItem>
    <reviewItem>
      <errorID>8ad300f7-4556-4e12-97ae-9d7a5b744f26</errorID>
      <errorWord>:</errorWord>
      <group>L1_Format</group>
      <groupName>格式问题</groupName>
      <ability>L2_HalfPunc</ability>
      <abilityName>全半角检查</abilityName>
      <candidateList>
        <item>：</item>
      </candidateList>
      <explain>文本全半角错误。</explain>
      <paraID>637E48E2</paraID>
      <start>11</start>
      <end>12</end>
      <status>unmodified</status>
      <modifiedWord/>
      <trackRevisions>false</trackRevisions>
    </reviewItem>
    <reviewItem>
      <errorID>788f486c-b273-42db-b068-579c139c69ac</errorID>
      <errorWord>...</errorWord>
      <group>L1_Punc</group>
      <groupName>标点问题</groupName>
      <ability>L2_Punc</ability>
      <abilityName>标点符号检查</abilityName>
      <candidateList>
        <item>……</item>
      </candidateList>
      <explain>省略号错误。</explain>
      <paraID>60820841</paraID>
      <start>16</start>
      <end>19</end>
      <status>unmodified</status>
      <modifiedWord/>
      <trackRevisions>false</trackRevisions>
    </reviewItem>
    <reviewItem>
      <errorID>06c05db6-d8e4-4e5f-9649-57f77f9e0b1b</errorID>
      <errorWord>其它</errorWord>
      <group>L1_Word</group>
      <groupName>字词问题</groupName>
      <ability>L2_Alias</ability>
      <abilityName>也作/曾用词</abilityName>
      <candidateList>
        <item>其他</item>
      </candidateList>
      <explain>词汇[其它]为不规范表述或旧称，其规范书面表述为[其他]。</explain>
      <paraID>4F7DC7E2</paraID>
      <start>40</start>
      <end>42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4098"/>
    <customShpInfo spid="_x0000_s4097"/>
    <customShpInfo spid="_x0000_s4100" textRotate="1"/>
    <customShpInfo spid="_x0000_s4099" textRotate="1"/>
    <customShpInfo spid="_x0000_s1026"/>
    <customShpInfo spid="_x0000_s4101" textRotate="1"/>
  </customShpExts>
</s:customData>
</file>

<file path=customXml/itemProps1.xml><?xml version="1.0" encoding="utf-8"?>
<ds:datastoreItem xmlns:ds="http://schemas.openxmlformats.org/officeDocument/2006/customXml" ds:itemID="{FC6EDD66-2F63-434D-872E-EC35E6A989F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财政厅局域网</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倪斌</cp:lastModifiedBy>
  <cp:revision>7</cp:revision>
  <dcterms:created xsi:type="dcterms:W3CDTF">2023-09-26T06:48:00Z</dcterms:created>
  <dcterms:modified xsi:type="dcterms:W3CDTF">2026-06-10T07:50:09Z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eyJoZGlkIjoiNzY1OWE3NmRjMGQ4MjM1N2E3NzJlZmY4ZTE0ZTg1M2YiLCJ1c2VySWQiOiIzMDcxNjQ1OTAifQ==</vt:lpwstr>
  </property>
  <property fmtid="{D5CDD505-2E9C-101B-9397-08002B2CF9AE}" pid="3" name="KSOProductBuildVer">
    <vt:lpwstr>2052-12.1.0.26375</vt:lpwstr>
  </property>
  <property fmtid="{D5CDD505-2E9C-101B-9397-08002B2CF9AE}" pid="4" name="ICV">
    <vt:lpwstr>DC3BEF40440E4D838AED00CAAD503822_12</vt:lpwstr>
  </property>
</Properties>
</file>