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76"/>
          <w:szCs w:val="76"/>
          <w:highlight w:val="none"/>
        </w:rPr>
      </w:pPr>
      <w:r/>
      <w:bookmarkStart w:id="42" w:name="_GoBack"/>
      <w:r/>
      <w:r/>
    </w:p>
    <w:p>
      <w:pPr>
        <w:jc w:val="center"/>
        <w:spacing w:line="360" w:lineRule="auto"/>
        <w:rPr>
          <w:sz w:val="76"/>
          <w:szCs w:val="76"/>
          <w:highlight w:val="none"/>
        </w:rPr>
      </w:pPr>
      <w:r>
        <w:rPr>
          <w:sz w:val="76"/>
          <w:szCs w:val="76"/>
          <w:highlight w:val="none"/>
        </w:rPr>
        <w:t xml:space="preserve">单一来源采购文件</w:t>
      </w:r>
      <w:r/>
    </w:p>
    <w:p>
      <w:pPr>
        <w:spacing w:line="360" w:lineRule="auto"/>
        <w:rPr>
          <w:sz w:val="44"/>
          <w:highlight w:val="none"/>
        </w:rPr>
      </w:pPr>
      <w:r>
        <w:rPr>
          <w:sz w:val="44"/>
          <w:highlight w:val="none"/>
        </w:rPr>
      </w:r>
      <w:r/>
    </w:p>
    <w:p>
      <w:pPr>
        <w:spacing w:line="360" w:lineRule="auto"/>
        <w:rPr>
          <w:sz w:val="44"/>
          <w:highlight w:val="none"/>
        </w:rPr>
      </w:pPr>
      <w:r>
        <w:rPr>
          <w:sz w:val="44"/>
          <w:highlight w:val="none"/>
        </w:rPr>
      </w:r>
      <w:r/>
    </w:p>
    <w:p>
      <w:pPr>
        <w:spacing w:line="360" w:lineRule="auto"/>
        <w:rPr>
          <w:sz w:val="44"/>
          <w:highlight w:val="none"/>
        </w:rPr>
      </w:pPr>
      <w:r>
        <w:rPr>
          <w:sz w:val="44"/>
          <w:highlight w:val="none"/>
        </w:rPr>
      </w:r>
      <w:r/>
    </w:p>
    <w:p>
      <w:pPr>
        <w:spacing w:line="360" w:lineRule="auto"/>
        <w:rPr>
          <w:sz w:val="44"/>
          <w:highlight w:val="none"/>
        </w:rPr>
      </w:pPr>
      <w:r>
        <w:rPr>
          <w:sz w:val="44"/>
          <w:highlight w:val="none"/>
        </w:rPr>
      </w:r>
      <w:r/>
    </w:p>
    <w:p>
      <w:pPr>
        <w:ind w:left="2200" w:hanging="2200"/>
        <w:jc w:val="left"/>
        <w:spacing w:line="360" w:lineRule="auto"/>
        <w:rPr>
          <w:sz w:val="44"/>
          <w:highlight w:val="none"/>
        </w:rPr>
      </w:pPr>
      <w:r>
        <w:rPr>
          <w:sz w:val="44"/>
          <w:highlight w:val="none"/>
        </w:rPr>
        <w:t xml:space="preserve">项目编号：</w:t>
      </w:r>
      <w:r>
        <w:rPr>
          <w:rFonts w:hint="eastAsia"/>
          <w:sz w:val="44"/>
          <w:highlight w:val="none"/>
        </w:rPr>
        <w:t xml:space="preserve">JSZC-320192-NJDJ-D2026-0003</w:t>
      </w:r>
      <w:r/>
    </w:p>
    <w:p>
      <w:pPr>
        <w:jc w:val="left"/>
        <w:spacing w:line="360" w:lineRule="auto"/>
        <w:rPr>
          <w:sz w:val="44"/>
          <w:highlight w:val="none"/>
        </w:rPr>
      </w:pPr>
      <w:r>
        <w:rPr>
          <w:sz w:val="44"/>
          <w:highlight w:val="none"/>
        </w:rPr>
      </w:r>
      <w:r/>
    </w:p>
    <w:p>
      <w:pPr>
        <w:ind w:left="2200" w:hanging="2200"/>
        <w:jc w:val="left"/>
        <w:spacing w:line="360" w:lineRule="auto"/>
        <w:rPr>
          <w:sz w:val="44"/>
          <w:highlight w:val="none"/>
        </w:rPr>
      </w:pPr>
      <w:r>
        <w:rPr>
          <w:sz w:val="44"/>
          <w:highlight w:val="none"/>
        </w:rPr>
        <w:t xml:space="preserve">项目名称：南京江北新区2026年市级电视新闻专栏制作与传播项目</w:t>
      </w:r>
      <w:r/>
    </w:p>
    <w:p>
      <w:pPr>
        <w:spacing w:line="360" w:lineRule="auto"/>
        <w:rPr>
          <w:sz w:val="44"/>
          <w:highlight w:val="none"/>
        </w:rPr>
      </w:pPr>
      <w:r>
        <w:rPr>
          <w:sz w:val="44"/>
          <w:highlight w:val="none"/>
        </w:rPr>
      </w:r>
      <w:r/>
    </w:p>
    <w:p>
      <w:pPr>
        <w:spacing w:line="360" w:lineRule="auto"/>
        <w:rPr>
          <w:sz w:val="44"/>
          <w:highlight w:val="none"/>
        </w:rPr>
      </w:pPr>
      <w:r>
        <w:rPr>
          <w:sz w:val="44"/>
          <w:highlight w:val="none"/>
        </w:rPr>
      </w:r>
      <w:r/>
    </w:p>
    <w:p>
      <w:pPr>
        <w:spacing w:line="360" w:lineRule="auto"/>
        <w:rPr>
          <w:sz w:val="44"/>
          <w:highlight w:val="none"/>
        </w:rPr>
      </w:pPr>
      <w:r>
        <w:rPr>
          <w:sz w:val="44"/>
          <w:highlight w:val="none"/>
        </w:rPr>
      </w:r>
      <w:r/>
    </w:p>
    <w:p>
      <w:pPr>
        <w:jc w:val="center"/>
        <w:spacing w:line="360" w:lineRule="auto"/>
        <w:rPr>
          <w:b/>
          <w:sz w:val="36"/>
          <w:szCs w:val="36"/>
          <w:highlight w:val="none"/>
        </w:rPr>
      </w:pPr>
      <w:r>
        <w:rPr>
          <w:b/>
          <w:sz w:val="36"/>
          <w:szCs w:val="36"/>
          <w:highlight w:val="none"/>
        </w:rPr>
        <w:t xml:space="preserve">中共南京江北新区工作委员会宣传和统战部</w:t>
      </w:r>
      <w:r/>
    </w:p>
    <w:p>
      <w:pPr>
        <w:jc w:val="center"/>
        <w:spacing w:line="360" w:lineRule="auto"/>
        <w:rPr>
          <w:b/>
          <w:sz w:val="36"/>
          <w:szCs w:val="36"/>
          <w:highlight w:val="none"/>
        </w:rPr>
      </w:pPr>
      <w:r/>
      <w:bookmarkStart w:id="0" w:name="_Hlk515715953"/>
      <w:r>
        <w:rPr>
          <w:b/>
          <w:sz w:val="36"/>
          <w:szCs w:val="36"/>
          <w:highlight w:val="none"/>
        </w:rPr>
        <w:t xml:space="preserve">南京典晶工程项目管理有限公司</w:t>
      </w:r>
      <w:bookmarkEnd w:id="0"/>
      <w:r/>
    </w:p>
    <w:p>
      <w:pPr>
        <w:jc w:val="center"/>
        <w:spacing w:line="360" w:lineRule="auto"/>
        <w:rPr>
          <w:b/>
          <w:sz w:val="36"/>
          <w:szCs w:val="36"/>
          <w:highlight w:val="none"/>
        </w:rPr>
      </w:pPr>
      <w:r>
        <w:rPr>
          <w:b/>
          <w:sz w:val="36"/>
          <w:szCs w:val="36"/>
          <w:highlight w:val="none"/>
        </w:rPr>
        <w:t xml:space="preserve">2026年5月</w:t>
      </w:r>
      <w:r/>
      <w:r>
        <w:rPr>
          <w:b/>
          <w:sz w:val="36"/>
          <w:szCs w:val="36"/>
          <w:highlight w:val="none"/>
        </w:rPr>
        <w:br w:type="page" w:clear="all"/>
      </w:r>
      <w:r/>
      <w:r>
        <w:rPr>
          <w:b/>
          <w:sz w:val="36"/>
          <w:szCs w:val="36"/>
          <w:highlight w:val="none"/>
        </w:rPr>
      </w:r>
    </w:p>
    <w:p>
      <w:pPr>
        <w:jc w:val="center"/>
        <w:spacing w:line="360" w:lineRule="auto"/>
        <w:rPr>
          <w:sz w:val="48"/>
          <w:szCs w:val="48"/>
          <w:highlight w:val="none"/>
        </w:rPr>
      </w:pPr>
      <w:r>
        <w:rPr>
          <w:sz w:val="48"/>
          <w:szCs w:val="48"/>
          <w:highlight w:val="none"/>
        </w:rPr>
        <w:t xml:space="preserve">目录</w:t>
      </w:r>
      <w:r/>
    </w:p>
    <w:p>
      <w:pPr>
        <w:spacing w:line="360" w:lineRule="auto"/>
        <w:rPr>
          <w:sz w:val="48"/>
          <w:szCs w:val="48"/>
          <w:highlight w:val="none"/>
        </w:rPr>
      </w:pPr>
      <w:r>
        <w:rPr>
          <w:sz w:val="48"/>
          <w:szCs w:val="48"/>
          <w:highlight w:val="none"/>
        </w:rPr>
      </w:r>
      <w:r/>
    </w:p>
    <w:p>
      <w:pPr>
        <w:pStyle w:val="714"/>
        <w:ind w:left="0"/>
        <w:spacing w:line="360" w:lineRule="auto"/>
        <w:tabs>
          <w:tab w:val="right" w:pos="8296" w:leader="dot"/>
        </w:tabs>
        <w:rPr>
          <w:b/>
          <w:smallCaps w:val="0"/>
          <w:sz w:val="28"/>
          <w:szCs w:val="28"/>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"_Toc531257234" </w:instrText>
      </w:r>
      <w:r>
        <w:rPr>
          <w:highlight w:val="none"/>
        </w:rPr>
        <w:fldChar w:fldCharType="separate"/>
      </w:r>
      <w:r>
        <w:rPr>
          <w:rStyle w:val="727"/>
          <w:b/>
          <w:color w:val="auto"/>
          <w:sz w:val="28"/>
          <w:szCs w:val="28"/>
          <w:highlight w:val="none"/>
        </w:rPr>
        <w:t xml:space="preserve">第一章 单一来源采购邀请</w:t>
      </w:r>
      <w:r>
        <w:rPr>
          <w:b/>
          <w:sz w:val="28"/>
          <w:szCs w:val="28"/>
          <w:highlight w:val="none"/>
        </w:rPr>
        <w:tab/>
      </w:r>
      <w:r>
        <w:rPr>
          <w:b/>
          <w:sz w:val="28"/>
          <w:szCs w:val="28"/>
          <w:highlight w:val="none"/>
        </w:rPr>
        <w:fldChar w:fldCharType="begin"/>
      </w:r>
      <w:r>
        <w:rPr>
          <w:b/>
          <w:sz w:val="28"/>
          <w:szCs w:val="28"/>
          <w:highlight w:val="none"/>
        </w:rPr>
        <w:instrText xml:space="preserve"> PAGEREF _Toc531257234 \h </w:instrText>
      </w:r>
      <w:r>
        <w:rPr>
          <w:b/>
          <w:sz w:val="28"/>
          <w:szCs w:val="28"/>
          <w:highlight w:val="none"/>
        </w:rPr>
        <w:fldChar w:fldCharType="separate"/>
      </w:r>
      <w:r>
        <w:rPr>
          <w:b/>
          <w:sz w:val="28"/>
          <w:szCs w:val="28"/>
          <w:highlight w:val="none"/>
        </w:rPr>
        <w:t xml:space="preserve">2</w:t>
      </w:r>
      <w:r>
        <w:rPr>
          <w:b/>
          <w:sz w:val="28"/>
          <w:szCs w:val="28"/>
          <w:highlight w:val="none"/>
        </w:rPr>
        <w:fldChar w:fldCharType="end"/>
      </w:r>
      <w:r>
        <w:rPr>
          <w:b/>
          <w:sz w:val="28"/>
          <w:szCs w:val="28"/>
          <w:highlight w:val="none"/>
        </w:rPr>
        <w:fldChar w:fldCharType="end"/>
      </w:r>
      <w:r/>
    </w:p>
    <w:p>
      <w:pPr>
        <w:pStyle w:val="714"/>
        <w:ind w:left="0"/>
        <w:spacing w:line="360" w:lineRule="auto"/>
        <w:tabs>
          <w:tab w:val="right" w:pos="8296" w:leader="dot"/>
        </w:tabs>
        <w:rPr>
          <w:b/>
          <w:smallCaps w:val="0"/>
          <w:sz w:val="28"/>
          <w:szCs w:val="28"/>
          <w:highlight w:val="none"/>
        </w:rPr>
      </w:pPr>
      <w:r>
        <w:rPr>
          <w:highlight w:val="none"/>
        </w:rPr>
        <w:fldChar w:fldCharType="begin"/>
      </w:r>
      <w:r>
        <w:rPr>
          <w:highlight w:val="none"/>
        </w:rPr>
        <w:instrText xml:space="preserve"> HYPERLINK \l "_Toc531257235" </w:instrText>
      </w:r>
      <w:r>
        <w:rPr>
          <w:highlight w:val="none"/>
        </w:rPr>
        <w:fldChar w:fldCharType="separate"/>
      </w:r>
      <w:r>
        <w:rPr>
          <w:rStyle w:val="727"/>
          <w:b/>
          <w:color w:val="auto"/>
          <w:sz w:val="28"/>
          <w:szCs w:val="28"/>
          <w:highlight w:val="none"/>
        </w:rPr>
        <w:t xml:space="preserve">第二章 参加谈判协商供应商须知</w:t>
      </w:r>
      <w:r>
        <w:rPr>
          <w:b/>
          <w:sz w:val="28"/>
          <w:szCs w:val="28"/>
          <w:highlight w:val="none"/>
        </w:rPr>
        <w:tab/>
      </w:r>
      <w:r>
        <w:rPr>
          <w:b/>
          <w:sz w:val="28"/>
          <w:szCs w:val="28"/>
          <w:highlight w:val="none"/>
        </w:rPr>
        <w:fldChar w:fldCharType="begin"/>
      </w:r>
      <w:r>
        <w:rPr>
          <w:b/>
          <w:sz w:val="28"/>
          <w:szCs w:val="28"/>
          <w:highlight w:val="none"/>
        </w:rPr>
        <w:instrText xml:space="preserve"> PAGEREF _Toc531257235 \h </w:instrText>
      </w:r>
      <w:r>
        <w:rPr>
          <w:b/>
          <w:sz w:val="28"/>
          <w:szCs w:val="28"/>
          <w:highlight w:val="none"/>
        </w:rPr>
        <w:fldChar w:fldCharType="separate"/>
      </w:r>
      <w:r>
        <w:rPr>
          <w:b/>
          <w:sz w:val="28"/>
          <w:szCs w:val="28"/>
          <w:highlight w:val="none"/>
        </w:rPr>
        <w:t xml:space="preserve">6</w:t>
      </w:r>
      <w:r>
        <w:rPr>
          <w:b/>
          <w:sz w:val="28"/>
          <w:szCs w:val="28"/>
          <w:highlight w:val="none"/>
        </w:rPr>
        <w:fldChar w:fldCharType="end"/>
      </w:r>
      <w:r>
        <w:rPr>
          <w:b/>
          <w:sz w:val="28"/>
          <w:szCs w:val="28"/>
          <w:highlight w:val="none"/>
        </w:rPr>
        <w:fldChar w:fldCharType="end"/>
      </w:r>
      <w:r/>
    </w:p>
    <w:p>
      <w:pPr>
        <w:pStyle w:val="714"/>
        <w:ind w:left="0"/>
        <w:spacing w:line="360" w:lineRule="auto"/>
        <w:tabs>
          <w:tab w:val="right" w:pos="8296" w:leader="dot"/>
        </w:tabs>
        <w:rPr>
          <w:b/>
          <w:smallCaps w:val="0"/>
          <w:sz w:val="28"/>
          <w:szCs w:val="28"/>
          <w:highlight w:val="none"/>
        </w:rPr>
      </w:pPr>
      <w:r>
        <w:rPr>
          <w:highlight w:val="none"/>
        </w:rPr>
        <w:fldChar w:fldCharType="begin"/>
      </w:r>
      <w:r>
        <w:rPr>
          <w:highlight w:val="none"/>
        </w:rPr>
        <w:instrText xml:space="preserve"> HYPERLINK \l "_Toc531257236" </w:instrText>
      </w:r>
      <w:r>
        <w:rPr>
          <w:highlight w:val="none"/>
        </w:rPr>
        <w:fldChar w:fldCharType="separate"/>
      </w:r>
      <w:r>
        <w:rPr>
          <w:rStyle w:val="727"/>
          <w:b/>
          <w:color w:val="auto"/>
          <w:sz w:val="28"/>
          <w:szCs w:val="28"/>
          <w:highlight w:val="none"/>
        </w:rPr>
        <w:t xml:space="preserve">第三章 采购需求及其它</w:t>
      </w:r>
      <w:r>
        <w:rPr>
          <w:b/>
          <w:sz w:val="28"/>
          <w:szCs w:val="28"/>
          <w:highlight w:val="none"/>
        </w:rPr>
        <w:tab/>
      </w:r>
      <w:r>
        <w:rPr>
          <w:b/>
          <w:sz w:val="28"/>
          <w:szCs w:val="28"/>
          <w:highlight w:val="none"/>
        </w:rPr>
        <w:fldChar w:fldCharType="begin"/>
      </w:r>
      <w:r>
        <w:rPr>
          <w:b/>
          <w:sz w:val="28"/>
          <w:szCs w:val="28"/>
          <w:highlight w:val="none"/>
        </w:rPr>
        <w:instrText xml:space="preserve"> PAGEREF _Toc531257236 \h </w:instrText>
      </w:r>
      <w:r>
        <w:rPr>
          <w:b/>
          <w:sz w:val="28"/>
          <w:szCs w:val="28"/>
          <w:highlight w:val="none"/>
        </w:rPr>
        <w:fldChar w:fldCharType="separate"/>
      </w:r>
      <w:r>
        <w:rPr>
          <w:b/>
          <w:sz w:val="28"/>
          <w:szCs w:val="28"/>
          <w:highlight w:val="none"/>
        </w:rPr>
        <w:t xml:space="preserve">13</w:t>
      </w:r>
      <w:r>
        <w:rPr>
          <w:b/>
          <w:sz w:val="28"/>
          <w:szCs w:val="28"/>
          <w:highlight w:val="none"/>
        </w:rPr>
        <w:fldChar w:fldCharType="end"/>
      </w:r>
      <w:r>
        <w:rPr>
          <w:b/>
          <w:sz w:val="28"/>
          <w:szCs w:val="28"/>
          <w:highlight w:val="none"/>
        </w:rPr>
        <w:fldChar w:fldCharType="end"/>
      </w:r>
      <w:r/>
    </w:p>
    <w:p>
      <w:pPr>
        <w:pStyle w:val="714"/>
        <w:ind w:left="0"/>
        <w:spacing w:line="360" w:lineRule="auto"/>
        <w:tabs>
          <w:tab w:val="right" w:pos="8296" w:leader="dot"/>
        </w:tabs>
        <w:rPr>
          <w:b/>
          <w:smallCaps w:val="0"/>
          <w:sz w:val="28"/>
          <w:szCs w:val="28"/>
          <w:highlight w:val="none"/>
        </w:rPr>
      </w:pPr>
      <w:r>
        <w:rPr>
          <w:highlight w:val="none"/>
        </w:rPr>
        <w:fldChar w:fldCharType="begin"/>
      </w:r>
      <w:r>
        <w:rPr>
          <w:highlight w:val="none"/>
        </w:rPr>
        <w:instrText xml:space="preserve"> HYPERLINK \l "_Toc531257237" </w:instrText>
      </w:r>
      <w:r>
        <w:rPr>
          <w:highlight w:val="none"/>
        </w:rPr>
        <w:fldChar w:fldCharType="separate"/>
      </w:r>
      <w:r>
        <w:rPr>
          <w:rStyle w:val="727"/>
          <w:b/>
          <w:color w:val="auto"/>
          <w:sz w:val="28"/>
          <w:szCs w:val="28"/>
          <w:highlight w:val="none"/>
        </w:rPr>
        <w:t xml:space="preserve">第四章 合同主要条款及格式</w:t>
      </w:r>
      <w:r>
        <w:rPr>
          <w:b/>
          <w:sz w:val="28"/>
          <w:szCs w:val="28"/>
          <w:highlight w:val="none"/>
        </w:rPr>
        <w:tab/>
      </w:r>
      <w:r>
        <w:rPr>
          <w:b/>
          <w:sz w:val="28"/>
          <w:szCs w:val="28"/>
          <w:highlight w:val="none"/>
        </w:rPr>
        <w:fldChar w:fldCharType="begin"/>
      </w:r>
      <w:r>
        <w:rPr>
          <w:b/>
          <w:sz w:val="28"/>
          <w:szCs w:val="28"/>
          <w:highlight w:val="none"/>
        </w:rPr>
        <w:instrText xml:space="preserve"> PAGEREF _Toc531257237 \h </w:instrText>
      </w:r>
      <w:r>
        <w:rPr>
          <w:b/>
          <w:sz w:val="28"/>
          <w:szCs w:val="28"/>
          <w:highlight w:val="none"/>
        </w:rPr>
        <w:fldChar w:fldCharType="separate"/>
      </w:r>
      <w:r>
        <w:rPr>
          <w:b/>
          <w:sz w:val="28"/>
          <w:szCs w:val="28"/>
          <w:highlight w:val="none"/>
        </w:rPr>
        <w:t xml:space="preserve">16</w:t>
      </w:r>
      <w:r>
        <w:rPr>
          <w:b/>
          <w:sz w:val="28"/>
          <w:szCs w:val="28"/>
          <w:highlight w:val="none"/>
        </w:rPr>
        <w:fldChar w:fldCharType="end"/>
      </w:r>
      <w:r>
        <w:rPr>
          <w:b/>
          <w:sz w:val="28"/>
          <w:szCs w:val="28"/>
          <w:highlight w:val="none"/>
        </w:rPr>
        <w:fldChar w:fldCharType="end"/>
      </w:r>
      <w:r/>
    </w:p>
    <w:p>
      <w:pPr>
        <w:pStyle w:val="714"/>
        <w:ind w:left="0"/>
        <w:spacing w:line="360" w:lineRule="auto"/>
        <w:tabs>
          <w:tab w:val="right" w:pos="8296" w:leader="dot"/>
        </w:tabs>
        <w:rPr>
          <w:smallCaps w:val="0"/>
          <w:sz w:val="21"/>
          <w:szCs w:val="22"/>
          <w:highlight w:val="none"/>
        </w:rPr>
      </w:pPr>
      <w:r>
        <w:rPr>
          <w:highlight w:val="none"/>
        </w:rPr>
        <w:fldChar w:fldCharType="begin"/>
      </w:r>
      <w:r>
        <w:rPr>
          <w:highlight w:val="none"/>
        </w:rPr>
        <w:instrText xml:space="preserve"> HYPERLINK \l "_Toc531257238" </w:instrText>
      </w:r>
      <w:r>
        <w:rPr>
          <w:highlight w:val="none"/>
        </w:rPr>
        <w:fldChar w:fldCharType="separate"/>
      </w:r>
      <w:r>
        <w:rPr>
          <w:rStyle w:val="727"/>
          <w:b/>
          <w:color w:val="auto"/>
          <w:sz w:val="28"/>
          <w:szCs w:val="28"/>
          <w:highlight w:val="none"/>
        </w:rPr>
        <w:t xml:space="preserve">第五章 响应文件格式</w:t>
      </w:r>
      <w:r>
        <w:rPr>
          <w:b/>
          <w:sz w:val="28"/>
          <w:szCs w:val="28"/>
          <w:highlight w:val="none"/>
        </w:rPr>
        <w:tab/>
      </w:r>
      <w:r>
        <w:rPr>
          <w:b/>
          <w:sz w:val="28"/>
          <w:szCs w:val="28"/>
          <w:highlight w:val="none"/>
        </w:rPr>
        <w:fldChar w:fldCharType="begin"/>
      </w:r>
      <w:r>
        <w:rPr>
          <w:b/>
          <w:sz w:val="28"/>
          <w:szCs w:val="28"/>
          <w:highlight w:val="none"/>
        </w:rPr>
        <w:instrText xml:space="preserve"> PAGEREF _Toc531257238 \h </w:instrText>
      </w:r>
      <w:r>
        <w:rPr>
          <w:b/>
          <w:sz w:val="28"/>
          <w:szCs w:val="28"/>
          <w:highlight w:val="none"/>
        </w:rPr>
        <w:fldChar w:fldCharType="separate"/>
      </w:r>
      <w:r>
        <w:rPr>
          <w:b/>
          <w:sz w:val="28"/>
          <w:szCs w:val="28"/>
          <w:highlight w:val="none"/>
        </w:rPr>
        <w:t xml:space="preserve">20</w:t>
      </w:r>
      <w:r>
        <w:rPr>
          <w:b/>
          <w:sz w:val="28"/>
          <w:szCs w:val="28"/>
          <w:highlight w:val="none"/>
        </w:rPr>
        <w:fldChar w:fldCharType="end"/>
      </w:r>
      <w:r>
        <w:rPr>
          <w:b/>
          <w:sz w:val="28"/>
          <w:szCs w:val="28"/>
          <w:highlight w:val="none"/>
        </w:rPr>
        <w:fldChar w:fldCharType="end"/>
      </w:r>
      <w:r/>
    </w:p>
    <w:p>
      <w:pPr>
        <w:spacing w:line="360" w:lineRule="auto"/>
        <w:rPr>
          <w:highlight w:val="none"/>
        </w:rPr>
      </w:pPr>
      <w:r>
        <w:rPr>
          <w:b/>
          <w:bCs/>
          <w:highlight w:val="none"/>
          <w:lang w:val="zh-CN"/>
        </w:rPr>
        <w:fldChar w:fldCharType="end"/>
      </w:r>
      <w:r>
        <w:rPr>
          <w:b/>
          <w:bCs/>
          <w:highlight w:val="none"/>
          <w:lang w:val="zh-CN"/>
        </w:rPr>
        <w:br w:type="page" w:clear="all"/>
      </w:r>
      <w:bookmarkStart w:id="1" w:name="_Toc515797967"/>
      <w:r/>
      <w:bookmarkStart w:id="2" w:name="_Toc514847875"/>
      <w:r/>
      <w:r/>
    </w:p>
    <w:p>
      <w:pPr>
        <w:pStyle w:val="708"/>
        <w:spacing w:line="360" w:lineRule="auto"/>
        <w:rPr>
          <w:rFonts w:ascii="Times New Roman" w:hAnsi="Times New Roman"/>
          <w:highlight w:val="none"/>
        </w:rPr>
      </w:pPr>
      <w:r/>
      <w:bookmarkStart w:id="3" w:name="_Toc531257234"/>
      <w:r>
        <w:rPr>
          <w:rFonts w:ascii="Times New Roman" w:hAnsi="Times New Roman"/>
          <w:highlight w:val="none"/>
        </w:rPr>
        <w:t xml:space="preserve">第一章 单一来源采购邀请</w:t>
      </w:r>
      <w:bookmarkEnd w:id="1"/>
      <w:r/>
      <w:bookmarkEnd w:id="2"/>
      <w:r/>
      <w:bookmarkEnd w:id="3"/>
      <w:r/>
      <w:r/>
    </w:p>
    <w:p>
      <w:pPr>
        <w:ind w:firstLine="454"/>
        <w:spacing w:line="360" w:lineRule="auto"/>
        <w:widowControl/>
        <w:rPr>
          <w:rFonts w:eastAsiaTheme="minorEastAsia"/>
          <w:b/>
          <w:bCs/>
          <w:spacing w:val="8"/>
          <w:highlight w:val="none"/>
        </w:rPr>
        <w:pBdr>
          <w:top w:val="single" w:color="auto" w:sz="4" w:space="1"/>
          <w:left w:val="single" w:color="auto" w:sz="4" w:space="4"/>
          <w:bottom w:val="single" w:color="auto" w:sz="4" w:space="1"/>
          <w:right w:val="single" w:color="auto" w:sz="4" w:space="4"/>
        </w:pBdr>
      </w:pPr>
      <w:r>
        <w:rPr>
          <w:rFonts w:eastAsiaTheme="minorEastAsia"/>
          <w:b/>
          <w:bCs/>
          <w:spacing w:val="8"/>
          <w:highlight w:val="none"/>
        </w:rPr>
        <w:t xml:space="preserve">项目概况</w:t>
      </w:r>
      <w:r/>
    </w:p>
    <w:p>
      <w:pPr>
        <w:ind w:firstLine="452"/>
        <w:spacing w:line="360" w:lineRule="auto"/>
        <w:widowControl/>
        <w:rPr>
          <w:rFonts w:eastAsiaTheme="minorEastAsia"/>
          <w:spacing w:val="8"/>
          <w:highlight w:val="none"/>
        </w:rPr>
        <w:pBdr>
          <w:top w:val="single" w:color="auto" w:sz="4" w:space="1"/>
          <w:left w:val="single" w:color="auto" w:sz="4" w:space="4"/>
          <w:bottom w:val="single" w:color="auto" w:sz="4" w:space="1"/>
          <w:right w:val="single" w:color="auto" w:sz="4" w:space="4"/>
        </w:pBdr>
      </w:pPr>
      <w:r>
        <w:rPr>
          <w:rFonts w:eastAsiaTheme="minorEastAsia"/>
          <w:spacing w:val="8"/>
          <w:highlight w:val="none"/>
        </w:rPr>
        <w:t xml:space="preserve">南京江北新区2026年市级电视新闻专栏制作与传播项目  </w:t>
      </w:r>
      <w:r>
        <w:rPr>
          <w:rFonts w:hint="eastAsia"/>
          <w:highlight w:val="none"/>
        </w:rPr>
        <w:t xml:space="preserve">JSZC-320192-NJDJ-D2026-0003</w:t>
      </w:r>
      <w:r>
        <w:rPr>
          <w:rFonts w:hint="eastAsia" w:eastAsiaTheme="minorEastAsia"/>
          <w:spacing w:val="8"/>
          <w:highlight w:val="none"/>
          <w:lang w:val="en-US" w:eastAsia="zh-CN"/>
        </w:rPr>
        <w:t xml:space="preserve">采购</w:t>
      </w:r>
      <w:r>
        <w:rPr>
          <w:rFonts w:eastAsiaTheme="minorEastAsia"/>
          <w:spacing w:val="8"/>
          <w:highlight w:val="none"/>
        </w:rPr>
        <w:t xml:space="preserve">项目的潜在供应商应在</w:t>
      </w:r>
      <w:r>
        <w:rPr>
          <w:rFonts w:eastAsiaTheme="minorEastAsia"/>
          <w:spacing w:val="8"/>
          <w:szCs w:val="21"/>
          <w:highlight w:val="none"/>
        </w:rPr>
        <w:t xml:space="preserve">江苏政府采购网“</w:t>
      </w:r>
      <w:r>
        <w:rPr>
          <w:rFonts w:eastAsiaTheme="minorEastAsia"/>
          <w:szCs w:val="21"/>
          <w:highlight w:val="none"/>
        </w:rPr>
        <w:t xml:space="preserve">苏采云”系统</w:t>
      </w:r>
      <w:r>
        <w:rPr>
          <w:rFonts w:eastAsiaTheme="minorEastAsia"/>
          <w:spacing w:val="8"/>
          <w:highlight w:val="none"/>
        </w:rPr>
        <w:t xml:space="preserve">获取采购文件，并于 202</w:t>
      </w:r>
      <w:r>
        <w:rPr>
          <w:rFonts w:hint="eastAsia" w:eastAsiaTheme="minorEastAsia"/>
          <w:spacing w:val="8"/>
          <w:highlight w:val="none"/>
        </w:rPr>
        <w:t xml:space="preserve">6</w:t>
      </w:r>
      <w:r>
        <w:rPr>
          <w:rFonts w:eastAsiaTheme="minorEastAsia"/>
          <w:spacing w:val="8"/>
          <w:highlight w:val="none"/>
        </w:rPr>
        <w:t xml:space="preserve">年</w:t>
      </w:r>
      <w:r>
        <w:rPr>
          <w:rFonts w:hint="eastAsia" w:eastAsiaTheme="minorEastAsia"/>
          <w:spacing w:val="8"/>
          <w:highlight w:val="none"/>
        </w:rPr>
        <w:t xml:space="preserve">6</w:t>
      </w:r>
      <w:r>
        <w:rPr>
          <w:rFonts w:eastAsiaTheme="minorEastAsia"/>
          <w:spacing w:val="8"/>
          <w:highlight w:val="none"/>
        </w:rPr>
        <w:t xml:space="preserve">月</w:t>
      </w:r>
      <w:r>
        <w:rPr>
          <w:rFonts w:hint="eastAsia" w:eastAsiaTheme="minorEastAsia"/>
          <w:spacing w:val="8"/>
          <w:highlight w:val="none"/>
          <w:lang w:val="en-US" w:eastAsia="zh-CN"/>
        </w:rPr>
        <w:t xml:space="preserve">10</w:t>
      </w:r>
      <w:r>
        <w:rPr>
          <w:rFonts w:eastAsiaTheme="minorEastAsia"/>
          <w:spacing w:val="8"/>
          <w:highlight w:val="none"/>
        </w:rPr>
        <w:t xml:space="preserve">日1</w:t>
      </w:r>
      <w:r>
        <w:rPr>
          <w:rFonts w:hint="eastAsia" w:eastAsiaTheme="minorEastAsia"/>
          <w:spacing w:val="8"/>
          <w:highlight w:val="none"/>
        </w:rPr>
        <w:t xml:space="preserve">0</w:t>
      </w:r>
      <w:r>
        <w:rPr>
          <w:rFonts w:eastAsiaTheme="minorEastAsia"/>
          <w:spacing w:val="8"/>
          <w:highlight w:val="none"/>
        </w:rPr>
        <w:t xml:space="preserve">:</w:t>
      </w:r>
      <w:r>
        <w:rPr>
          <w:rFonts w:hint="eastAsia" w:eastAsiaTheme="minorEastAsia"/>
          <w:spacing w:val="8"/>
          <w:highlight w:val="none"/>
        </w:rPr>
        <w:t xml:space="preserve">0</w:t>
      </w:r>
      <w:r>
        <w:rPr>
          <w:rFonts w:eastAsiaTheme="minorEastAsia"/>
          <w:spacing w:val="8"/>
          <w:highlight w:val="none"/>
        </w:rPr>
        <w:t xml:space="preserve">0</w:t>
      </w:r>
      <w:r>
        <w:rPr>
          <w:rFonts w:eastAsiaTheme="minorEastAsia"/>
          <w:spacing w:val="8"/>
          <w:highlight w:val="none"/>
        </w:rPr>
        <w:t xml:space="preserve">（北京时间）前提交响应文件。</w:t>
      </w:r>
      <w:r/>
    </w:p>
    <w:p>
      <w:pPr>
        <w:spacing w:line="360" w:lineRule="auto"/>
        <w:rPr>
          <w:b/>
          <w:szCs w:val="18"/>
          <w:highlight w:val="none"/>
        </w:rPr>
      </w:pPr>
      <w:r>
        <w:rPr>
          <w:b/>
          <w:szCs w:val="18"/>
          <w:highlight w:val="none"/>
        </w:rPr>
        <w:t xml:space="preserve">一、项目基本情况</w:t>
      </w:r>
      <w:r/>
    </w:p>
    <w:p>
      <w:pPr>
        <w:ind w:firstLine="420"/>
        <w:spacing w:line="360" w:lineRule="auto"/>
        <w:rPr>
          <w:strike/>
          <w:highlight w:val="none"/>
        </w:rPr>
      </w:pPr>
      <w:r>
        <w:rPr>
          <w:highlight w:val="none"/>
        </w:rPr>
        <w:t xml:space="preserve">项目编号：</w:t>
      </w:r>
      <w:r>
        <w:rPr>
          <w:rFonts w:hint="eastAsia"/>
          <w:highlight w:val="none"/>
        </w:rPr>
        <w:t xml:space="preserve">JSZC-320192-NJDJ-D2026-0003</w:t>
      </w:r>
      <w:r/>
    </w:p>
    <w:p>
      <w:pPr>
        <w:ind w:firstLine="420"/>
        <w:spacing w:line="360" w:lineRule="auto"/>
        <w:rPr>
          <w:b/>
          <w:sz w:val="22"/>
          <w:highlight w:val="none"/>
        </w:rPr>
      </w:pPr>
      <w:r>
        <w:rPr>
          <w:highlight w:val="none"/>
        </w:rPr>
        <w:t xml:space="preserve">项目名称：南京江北新区2026年市级电视新闻专栏制作与传播项目</w:t>
      </w:r>
      <w:r/>
    </w:p>
    <w:p>
      <w:pPr>
        <w:ind w:firstLine="420"/>
        <w:spacing w:line="360" w:lineRule="auto"/>
        <w:rPr>
          <w:highlight w:val="none"/>
        </w:rPr>
      </w:pPr>
      <w:r>
        <w:rPr>
          <w:highlight w:val="none"/>
        </w:rPr>
        <w:t xml:space="preserve">采购需求：围绕江北新区2026年工作目标和发展规划，依托南京市级电视主流媒体，积极开展宣传策划、产品制作、全网推送等相关工作。</w:t>
      </w:r>
      <w:r/>
    </w:p>
    <w:p>
      <w:pPr>
        <w:ind w:firstLine="420"/>
        <w:spacing w:line="360" w:lineRule="auto"/>
        <w:rPr>
          <w:highlight w:val="none"/>
        </w:rPr>
      </w:pPr>
      <w:r>
        <w:rPr>
          <w:highlight w:val="none"/>
        </w:rPr>
        <w:t xml:space="preserve">项目预算：人民币1</w:t>
      </w:r>
      <w:r>
        <w:rPr>
          <w:rFonts w:hint="eastAsia"/>
          <w:highlight w:val="none"/>
        </w:rPr>
        <w:t xml:space="preserve">5</w:t>
      </w:r>
      <w:r>
        <w:rPr>
          <w:highlight w:val="none"/>
        </w:rPr>
        <w:t xml:space="preserve">0万元</w:t>
      </w:r>
      <w:r/>
    </w:p>
    <w:p>
      <w:pPr>
        <w:ind w:firstLine="420"/>
        <w:spacing w:line="360" w:lineRule="auto"/>
        <w:rPr>
          <w:highlight w:val="none"/>
        </w:rPr>
      </w:pPr>
      <w:r>
        <w:rPr>
          <w:highlight w:val="none"/>
        </w:rPr>
        <w:t xml:space="preserve">最高限价（如有）：人民币1</w:t>
      </w:r>
      <w:r>
        <w:rPr>
          <w:rFonts w:hint="eastAsia"/>
          <w:highlight w:val="none"/>
        </w:rPr>
        <w:t xml:space="preserve">5</w:t>
      </w:r>
      <w:r>
        <w:rPr>
          <w:highlight w:val="none"/>
        </w:rPr>
        <w:t xml:space="preserve">0万元</w:t>
      </w:r>
      <w:r/>
    </w:p>
    <w:p>
      <w:pPr>
        <w:ind w:firstLine="420"/>
        <w:spacing w:line="360" w:lineRule="auto"/>
        <w:rPr>
          <w:highlight w:val="none"/>
        </w:rPr>
      </w:pPr>
      <w:r>
        <w:rPr>
          <w:highlight w:val="none"/>
        </w:rPr>
        <w:t xml:space="preserve">合同履行期限：</w:t>
      </w:r>
      <w:r>
        <w:rPr>
          <w:bCs/>
          <w:highlight w:val="none"/>
        </w:rPr>
        <w:t xml:space="preserve">自合同</w:t>
      </w:r>
      <w:r>
        <w:rPr>
          <w:highlight w:val="none"/>
        </w:rPr>
        <w:t xml:space="preserve">签订之日起至2026年12月31日</w:t>
      </w:r>
      <w:r/>
    </w:p>
    <w:p>
      <w:pPr>
        <w:ind w:firstLine="420"/>
        <w:spacing w:line="360" w:lineRule="auto"/>
        <w:rPr>
          <w:highlight w:val="none"/>
        </w:rPr>
      </w:pPr>
      <w:r/>
      <w:bookmarkStart w:id="4" w:name="_Hlk128055931"/>
      <w:r>
        <w:rPr>
          <w:rFonts w:eastAsiaTheme="minorEastAsia"/>
          <w:bCs/>
          <w:szCs w:val="21"/>
          <w:highlight w:val="none"/>
        </w:rPr>
        <w:t xml:space="preserve">本项目</w:t>
      </w:r>
      <w:bookmarkStart w:id="5" w:name="_Hlk84582886"/>
      <w:r>
        <w:rPr>
          <w:rFonts w:eastAsiaTheme="minorEastAsia"/>
          <w:bCs/>
          <w:szCs w:val="21"/>
          <w:highlight w:val="none"/>
        </w:rPr>
        <w:t xml:space="preserve">（是/否）接受</w:t>
      </w:r>
      <w:bookmarkEnd w:id="5"/>
      <w:r>
        <w:rPr>
          <w:rFonts w:eastAsiaTheme="minorEastAsia"/>
          <w:bCs/>
          <w:szCs w:val="21"/>
          <w:highlight w:val="none"/>
        </w:rPr>
        <w:t xml:space="preserve">联合体投标：否</w:t>
      </w:r>
      <w:bookmarkEnd w:id="4"/>
      <w:r/>
      <w:r/>
    </w:p>
    <w:p>
      <w:pPr>
        <w:spacing w:line="360" w:lineRule="auto"/>
        <w:rPr>
          <w:b/>
          <w:szCs w:val="18"/>
          <w:highlight w:val="none"/>
        </w:rPr>
      </w:pPr>
      <w:r>
        <w:rPr>
          <w:b/>
          <w:szCs w:val="18"/>
          <w:highlight w:val="none"/>
        </w:rPr>
        <w:t xml:space="preserve">二、供应商资格要求</w:t>
      </w:r>
      <w:r/>
    </w:p>
    <w:p>
      <w:pPr>
        <w:ind w:firstLine="420"/>
        <w:jc w:val="left"/>
        <w:spacing w:line="360" w:lineRule="auto"/>
        <w:shd w:val="clear" w:color="auto" w:fill="ffffff"/>
        <w:widowControl/>
        <w:rPr>
          <w:rFonts w:eastAsiaTheme="minorEastAsia"/>
          <w:bCs/>
          <w:szCs w:val="21"/>
          <w:highlight w:val="none"/>
        </w:rPr>
      </w:pPr>
      <w:r>
        <w:rPr>
          <w:rFonts w:eastAsiaTheme="minorEastAsia"/>
          <w:bCs/>
          <w:szCs w:val="21"/>
          <w:highlight w:val="none"/>
        </w:rPr>
        <w:t xml:space="preserve">（一）满足《中华人民共和国政府采购法》第二十二条规定：</w:t>
      </w:r>
      <w:r/>
    </w:p>
    <w:p>
      <w:pPr>
        <w:ind w:firstLine="420"/>
        <w:jc w:val="left"/>
        <w:spacing w:line="360" w:lineRule="auto"/>
        <w:rPr>
          <w:rFonts w:eastAsiaTheme="minorEastAsia"/>
          <w:bCs/>
          <w:szCs w:val="21"/>
          <w:highlight w:val="none"/>
        </w:rPr>
      </w:pPr>
      <w:r>
        <w:rPr>
          <w:rFonts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eastAsiaTheme="minorEastAsia"/>
          <w:bCs/>
          <w:szCs w:val="21"/>
          <w:highlight w:val="none"/>
        </w:rPr>
      </w:pPr>
      <w:r/>
      <w:bookmarkStart w:id="6" w:name="_Hlk163569255"/>
      <w:r>
        <w:rPr>
          <w:rFonts w:eastAsiaTheme="minorEastAsia"/>
          <w:bCs/>
          <w:szCs w:val="21"/>
          <w:highlight w:val="none"/>
        </w:rPr>
        <w:t xml:space="preserve">2.具有良好的商业信誉和健全的财务会计制度（提供参加本次政府采购活动前的会计报表或审计报告，或银行出具的</w:t>
      </w:r>
      <w:r>
        <w:rPr>
          <w:rFonts w:hint="eastAsia" w:eastAsiaTheme="minorEastAsia"/>
          <w:bCs/>
          <w:szCs w:val="21"/>
          <w:highlight w:val="none"/>
          <w:lang w:val="en-US" w:eastAsia="zh-CN"/>
        </w:rPr>
        <w:t xml:space="preserve">谈判</w:t>
      </w:r>
      <w:r>
        <w:rPr>
          <w:rFonts w:eastAsiaTheme="minorEastAsia"/>
          <w:bCs/>
          <w:szCs w:val="21"/>
          <w:highlight w:val="none"/>
        </w:rPr>
        <w:t xml:space="preserve">截止时间前六个月内银行出具的资信证明）；</w:t>
      </w:r>
      <w:bookmarkEnd w:id="6"/>
      <w:r/>
      <w:r/>
    </w:p>
    <w:p>
      <w:pPr>
        <w:ind w:firstLine="420"/>
        <w:jc w:val="left"/>
        <w:spacing w:line="360" w:lineRule="auto"/>
        <w:rPr>
          <w:rFonts w:eastAsiaTheme="minorEastAsia"/>
          <w:bCs/>
          <w:szCs w:val="21"/>
          <w:highlight w:val="none"/>
        </w:rPr>
      </w:pPr>
      <w:r>
        <w:rPr>
          <w:rFonts w:eastAsiaTheme="minorEastAsia"/>
          <w:bCs/>
          <w:szCs w:val="21"/>
          <w:highlight w:val="none"/>
        </w:rPr>
        <w:t xml:space="preserve">3.具有履行合同所必需的设备和专业技术能力（根据项目需求提供履行合同所必需的设备和专业技术能力的声明</w:t>
      </w:r>
      <w:bookmarkStart w:id="7" w:name="_Hlk128041996"/>
      <w:r>
        <w:rPr>
          <w:rFonts w:eastAsiaTheme="minorEastAsia"/>
          <w:bCs/>
          <w:szCs w:val="21"/>
          <w:highlight w:val="none"/>
        </w:rPr>
        <w:t xml:space="preserve">或证明材料</w:t>
      </w:r>
      <w:bookmarkEnd w:id="7"/>
      <w:r>
        <w:rPr>
          <w:rFonts w:eastAsiaTheme="minorEastAsia"/>
          <w:bCs/>
          <w:szCs w:val="21"/>
          <w:highlight w:val="none"/>
        </w:rPr>
        <w:t xml:space="preserve">）；</w:t>
      </w:r>
      <w:r/>
    </w:p>
    <w:p>
      <w:pPr>
        <w:ind w:firstLine="420"/>
        <w:jc w:val="left"/>
        <w:spacing w:line="360" w:lineRule="auto"/>
        <w:rPr>
          <w:rFonts w:eastAsiaTheme="minorEastAsia"/>
          <w:bCs/>
          <w:szCs w:val="21"/>
          <w:highlight w:val="none"/>
        </w:rPr>
      </w:pPr>
      <w:r>
        <w:rPr>
          <w:rFonts w:eastAsiaTheme="minorEastAsia"/>
          <w:bCs/>
          <w:szCs w:val="21"/>
          <w:highlight w:val="none"/>
        </w:rPr>
        <w:t xml:space="preserve">4.</w:t>
      </w:r>
      <w:bookmarkStart w:id="8" w:name="_Hlk169006514"/>
      <w:r>
        <w:rPr>
          <w:rFonts w:eastAsiaTheme="minorEastAsia"/>
          <w:bCs/>
          <w:szCs w:val="21"/>
          <w:highlight w:val="none"/>
        </w:rPr>
        <w:t xml:space="preserve">具有依法缴纳税收和社会保障资金的良好记录</w:t>
      </w:r>
      <w:bookmarkStart w:id="9" w:name="_Hlk168994408"/>
      <w:r>
        <w:rPr>
          <w:rFonts w:eastAsiaTheme="minorEastAsia"/>
          <w:bCs/>
          <w:szCs w:val="21"/>
          <w:highlight w:val="none"/>
        </w:rPr>
        <w:t xml:space="preserve">（提供参加本次政府采购活动前一年内至少一个月缴纳社会保险的凭据及缴纳税收凭据）</w:t>
      </w:r>
      <w:bookmarkEnd w:id="9"/>
      <w:r>
        <w:rPr>
          <w:rFonts w:eastAsiaTheme="minorEastAsia"/>
          <w:bCs/>
          <w:szCs w:val="21"/>
          <w:highlight w:val="none"/>
        </w:rPr>
        <w:t xml:space="preserve">；</w:t>
      </w:r>
      <w:bookmarkEnd w:id="8"/>
      <w:r/>
      <w:r/>
    </w:p>
    <w:p>
      <w:pPr>
        <w:ind w:firstLine="420"/>
        <w:jc w:val="left"/>
        <w:spacing w:line="360" w:lineRule="auto"/>
        <w:rPr>
          <w:rFonts w:eastAsiaTheme="minorEastAsia"/>
          <w:bCs/>
          <w:szCs w:val="21"/>
          <w:highlight w:val="none"/>
        </w:rPr>
      </w:pPr>
      <w:r>
        <w:rPr>
          <w:rFonts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eastAsiaTheme="minorEastAsia"/>
          <w:bCs/>
          <w:szCs w:val="21"/>
          <w:highlight w:val="none"/>
        </w:rPr>
      </w:pPr>
      <w:r>
        <w:rPr>
          <w:rFonts w:eastAsiaTheme="minorEastAsia"/>
          <w:bCs/>
          <w:szCs w:val="21"/>
          <w:highlight w:val="none"/>
        </w:rPr>
        <w:t xml:space="preserve">6.法律、行政法规规定的其他条件：无。</w:t>
      </w:r>
      <w:r/>
    </w:p>
    <w:p>
      <w:pPr>
        <w:ind w:firstLine="420"/>
        <w:jc w:val="left"/>
        <w:spacing w:line="360" w:lineRule="auto"/>
        <w:rPr>
          <w:rFonts w:eastAsiaTheme="minorEastAsia"/>
          <w:bCs/>
          <w:szCs w:val="21"/>
          <w:highlight w:val="none"/>
        </w:rPr>
      </w:pPr>
      <w:r>
        <w:rPr>
          <w:rFonts w:eastAsiaTheme="minorEastAsia"/>
          <w:bCs/>
          <w:szCs w:val="21"/>
          <w:highlight w:val="none"/>
        </w:rPr>
        <w:t xml:space="preserve">（二）落实政府采购政策需满足的资格要求：</w:t>
      </w:r>
      <w:bookmarkStart w:id="10" w:name="_Hlk67996638"/>
      <w:r/>
      <w:bookmarkStart w:id="11" w:name="_Hlk67648547"/>
      <w:r/>
      <w:r/>
    </w:p>
    <w:p>
      <w:pPr>
        <w:ind w:firstLine="420"/>
        <w:jc w:val="left"/>
        <w:spacing w:line="360" w:lineRule="auto"/>
        <w:rPr>
          <w:rFonts w:eastAsiaTheme="minorEastAsia"/>
          <w:bCs/>
          <w:szCs w:val="21"/>
          <w:highlight w:val="none"/>
        </w:rPr>
      </w:pPr>
      <w:r>
        <w:rPr>
          <w:rFonts w:eastAsiaTheme="minorEastAsia"/>
          <w:bCs/>
          <w:szCs w:val="21"/>
          <w:highlight w:val="none"/>
        </w:rPr>
        <w:t xml:space="preserve">1.本项目按工信部联企业〔2011〕300号文执行中小企业划型标准，落实财库〔2020〕46号等政府采购扶持政策；</w:t>
      </w:r>
      <w:r/>
    </w:p>
    <w:p>
      <w:pPr>
        <w:ind w:firstLine="420"/>
        <w:jc w:val="left"/>
        <w:spacing w:line="360" w:lineRule="auto"/>
        <w:rPr>
          <w:rFonts w:eastAsiaTheme="minorEastAsia"/>
          <w:bCs/>
          <w:szCs w:val="21"/>
          <w:highlight w:val="none"/>
        </w:rPr>
      </w:pPr>
      <w:r>
        <w:rPr>
          <w:rFonts w:eastAsiaTheme="minorEastAsia"/>
          <w:bCs/>
          <w:szCs w:val="21"/>
          <w:highlight w:val="none"/>
        </w:rPr>
        <w:t xml:space="preserve">2.本项目采购标的对应行业：其他未列明行业；</w:t>
      </w:r>
      <w:r/>
    </w:p>
    <w:p>
      <w:pPr>
        <w:ind w:firstLine="420"/>
        <w:jc w:val="left"/>
        <w:spacing w:line="360" w:lineRule="auto"/>
        <w:rPr>
          <w:rFonts w:eastAsiaTheme="minorEastAsia"/>
          <w:bCs/>
          <w:szCs w:val="21"/>
          <w:highlight w:val="none"/>
        </w:rPr>
      </w:pPr>
      <w:r>
        <w:rPr>
          <w:rFonts w:eastAsiaTheme="minorEastAsia"/>
          <w:bCs/>
          <w:szCs w:val="21"/>
          <w:highlight w:val="none"/>
        </w:rPr>
        <w:t xml:space="preserve">3</w:t>
      </w:r>
      <w:r>
        <w:rPr>
          <w:rFonts w:hint="eastAsia" w:eastAsiaTheme="minorEastAsia"/>
          <w:bCs/>
          <w:szCs w:val="21"/>
          <w:highlight w:val="none"/>
          <w:lang w:eastAsia="zh-CN"/>
        </w:rPr>
        <w:t xml:space="preserve">.</w:t>
      </w:r>
      <w:r>
        <w:rPr>
          <w:rFonts w:eastAsiaTheme="minorEastAsia"/>
          <w:bCs/>
          <w:szCs w:val="21"/>
          <w:highlight w:val="none"/>
        </w:rPr>
        <w:t xml:space="preserve">本项目不专门面向中小企业采购。</w:t>
      </w:r>
      <w:r/>
    </w:p>
    <w:p>
      <w:pPr>
        <w:ind w:firstLine="420"/>
        <w:jc w:val="left"/>
        <w:spacing w:line="360" w:lineRule="auto"/>
        <w:rPr>
          <w:rFonts w:eastAsiaTheme="minorEastAsia"/>
          <w:bCs/>
          <w:szCs w:val="21"/>
          <w:highlight w:val="none"/>
        </w:rPr>
      </w:pPr>
      <w:r>
        <w:rPr>
          <w:rFonts w:eastAsiaTheme="minorEastAsia"/>
          <w:bCs/>
          <w:szCs w:val="21"/>
          <w:highlight w:val="none"/>
        </w:rPr>
        <w:t xml:space="preserve">（三）本项目特定资格要求</w:t>
      </w:r>
      <w:bookmarkEnd w:id="10"/>
      <w:r>
        <w:rPr>
          <w:rFonts w:eastAsiaTheme="minorEastAsia"/>
          <w:bCs/>
          <w:szCs w:val="21"/>
          <w:highlight w:val="none"/>
        </w:rPr>
        <w:t xml:space="preserve">：</w:t>
      </w:r>
      <w:bookmarkEnd w:id="11"/>
      <w:r>
        <w:rPr>
          <w:rFonts w:eastAsiaTheme="minorEastAsia"/>
          <w:bCs/>
          <w:szCs w:val="21"/>
          <w:highlight w:val="none"/>
        </w:rPr>
        <w:t xml:space="preserve">无。</w:t>
      </w:r>
      <w:r/>
    </w:p>
    <w:p>
      <w:pPr>
        <w:ind w:firstLine="422"/>
        <w:jc w:val="left"/>
        <w:spacing w:line="360" w:lineRule="auto"/>
        <w:shd w:val="clear" w:color="auto" w:fill="ffffff"/>
        <w:widowControl/>
        <w:rPr>
          <w:rFonts w:eastAsiaTheme="minorEastAsia"/>
          <w:b/>
          <w:szCs w:val="21"/>
          <w:highlight w:val="none"/>
        </w:rPr>
      </w:pPr>
      <w:r/>
      <w:bookmarkStart w:id="12" w:name="_Hlk77845490"/>
      <w:r/>
      <w:bookmarkStart w:id="13" w:name="_Hlk77846375"/>
      <w:r>
        <w:rPr>
          <w:rFonts w:eastAsiaTheme="minorEastAsia"/>
          <w:b/>
          <w:szCs w:val="21"/>
          <w:highlight w:val="none"/>
        </w:rPr>
        <w:t xml:space="preserve">三、获取采购文件</w:t>
      </w:r>
      <w:r/>
    </w:p>
    <w:p>
      <w:pPr>
        <w:ind w:firstLine="452"/>
        <w:jc w:val="left"/>
        <w:spacing w:line="360" w:lineRule="auto"/>
        <w:shd w:val="clear" w:color="auto" w:fill="ffffff"/>
        <w:widowControl/>
        <w:rPr>
          <w:rFonts w:eastAsiaTheme="minorEastAsia"/>
          <w:strike/>
          <w:spacing w:val="8"/>
          <w:szCs w:val="21"/>
          <w:highlight w:val="none"/>
        </w:rPr>
      </w:pPr>
      <w:r/>
      <w:bookmarkStart w:id="14" w:name="_Hlk167288387"/>
      <w:r>
        <w:rPr>
          <w:rFonts w:eastAsiaTheme="minorEastAsia"/>
          <w:spacing w:val="8"/>
          <w:szCs w:val="21"/>
          <w:highlight w:val="none"/>
        </w:rPr>
        <w:t xml:space="preserve">时间：</w:t>
      </w:r>
      <w:r>
        <w:rPr>
          <w:rFonts w:eastAsiaTheme="minorEastAsia"/>
          <w:spacing w:val="8"/>
          <w:szCs w:val="21"/>
          <w:highlight w:val="none"/>
        </w:rPr>
        <w:t xml:space="preserve">2026年5月</w:t>
      </w:r>
      <w:r>
        <w:rPr>
          <w:rFonts w:hint="eastAsia" w:eastAsiaTheme="minorEastAsia"/>
          <w:spacing w:val="8"/>
          <w:szCs w:val="21"/>
          <w:highlight w:val="none"/>
          <w:lang w:val="en-US" w:eastAsia="zh-CN"/>
        </w:rPr>
        <w:t xml:space="preserve">30</w:t>
      </w:r>
      <w:r>
        <w:rPr>
          <w:rFonts w:eastAsiaTheme="minorEastAsia"/>
          <w:spacing w:val="8"/>
          <w:szCs w:val="21"/>
          <w:highlight w:val="none"/>
        </w:rPr>
        <w:t xml:space="preserve">日</w:t>
      </w:r>
      <w:r>
        <w:rPr>
          <w:rFonts w:hint="eastAsia" w:eastAsiaTheme="minorEastAsia"/>
          <w:spacing w:val="8"/>
          <w:szCs w:val="21"/>
          <w:highlight w:val="none"/>
        </w:rPr>
        <w:t xml:space="preserve">9</w:t>
      </w:r>
      <w:r>
        <w:rPr>
          <w:rFonts w:eastAsiaTheme="minorEastAsia"/>
          <w:spacing w:val="8"/>
          <w:szCs w:val="21"/>
          <w:highlight w:val="none"/>
        </w:rPr>
        <w:t xml:space="preserve">：00起至2026年</w:t>
      </w:r>
      <w:r>
        <w:rPr>
          <w:rFonts w:hint="eastAsia" w:eastAsiaTheme="minorEastAsia"/>
          <w:spacing w:val="8"/>
          <w:szCs w:val="21"/>
          <w:highlight w:val="none"/>
          <w:lang w:val="en-US" w:eastAsia="zh-CN"/>
        </w:rPr>
        <w:t xml:space="preserve">6</w:t>
      </w:r>
      <w:r>
        <w:rPr>
          <w:rFonts w:eastAsiaTheme="minorEastAsia"/>
          <w:spacing w:val="8"/>
          <w:szCs w:val="21"/>
          <w:highlight w:val="none"/>
        </w:rPr>
        <w:t xml:space="preserve">月</w:t>
      </w:r>
      <w:r>
        <w:rPr>
          <w:rFonts w:hint="eastAsia" w:eastAsiaTheme="minorEastAsia"/>
          <w:spacing w:val="8"/>
          <w:szCs w:val="21"/>
          <w:highlight w:val="none"/>
        </w:rPr>
        <w:t xml:space="preserve">9</w:t>
      </w:r>
      <w:r>
        <w:rPr>
          <w:rFonts w:eastAsiaTheme="minorEastAsia"/>
          <w:spacing w:val="8"/>
          <w:szCs w:val="21"/>
          <w:highlight w:val="none"/>
        </w:rPr>
        <w:t xml:space="preserve">日</w:t>
      </w:r>
      <w:r>
        <w:rPr>
          <w:rFonts w:hint="eastAsia" w:cs="Times New Roman" w:eastAsiaTheme="minorEastAsia"/>
          <w:strike w:val="0"/>
          <w:spacing w:val="8"/>
          <w:szCs w:val="21"/>
          <w:highlight w:val="none"/>
          <w:lang w:val="en-US" w:eastAsia="zh-CN"/>
        </w:rPr>
        <w:t xml:space="preserve">17</w:t>
      </w:r>
      <w:r>
        <w:rPr>
          <w:rFonts w:hint="default" w:ascii="Times New Roman" w:hAnsi="Times New Roman" w:cs="Times New Roman" w:eastAsiaTheme="minorEastAsia"/>
          <w:strike w:val="0"/>
          <w:spacing w:val="8"/>
          <w:szCs w:val="21"/>
          <w:highlight w:val="none"/>
          <w:lang w:val="en-US" w:eastAsia="zh-CN"/>
        </w:rPr>
        <w:t xml:space="preserve">：00</w:t>
      </w:r>
      <w:r>
        <w:rPr>
          <w:rFonts w:eastAsiaTheme="minorEastAsia"/>
          <w:spacing w:val="8"/>
          <w:szCs w:val="21"/>
          <w:highlight w:val="none"/>
        </w:rPr>
        <w:t xml:space="preserve">（北京时间）</w:t>
      </w:r>
      <w:bookmarkEnd w:id="12"/>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地点： </w:t>
      </w:r>
      <w:r>
        <w:rPr>
          <w:rFonts w:eastAsiaTheme="minorEastAsia"/>
          <w:spacing w:val="8"/>
          <w:szCs w:val="21"/>
          <w:highlight w:val="none"/>
        </w:rPr>
        <w:t xml:space="preserve">江苏政府采购网“苏采云”系统</w:t>
      </w:r>
      <w:r/>
    </w:p>
    <w:p>
      <w:pPr>
        <w:ind w:firstLine="420"/>
        <w:jc w:val="left"/>
        <w:spacing w:line="360" w:lineRule="auto"/>
        <w:shd w:val="clear" w:color="auto" w:fill="ffffff"/>
        <w:widowControl/>
        <w:rPr>
          <w:rFonts w:eastAsiaTheme="minorEastAsia"/>
          <w:szCs w:val="21"/>
          <w:highlight w:val="none"/>
        </w:rPr>
      </w:pPr>
      <w:r/>
      <w:bookmarkStart w:id="15" w:name="_Hlk75168366"/>
      <w:r>
        <w:rPr>
          <w:rFonts w:eastAsiaTheme="minorEastAsia"/>
          <w:szCs w:val="21"/>
          <w:highlight w:val="none"/>
        </w:rPr>
        <w:t xml:space="preserve">方式：供应商</w:t>
      </w:r>
      <w:r>
        <w:rPr>
          <w:rFonts w:hint="eastAsia" w:eastAsiaTheme="minorEastAsia"/>
          <w:szCs w:val="21"/>
          <w:highlight w:val="none"/>
          <w:lang w:val="en-US" w:eastAsia="zh-CN"/>
        </w:rPr>
        <w:t xml:space="preserve">登录</w:t>
      </w:r>
      <w:r>
        <w:rPr>
          <w:rFonts w:eastAsiaTheme="minorEastAsia"/>
          <w:szCs w:val="21"/>
          <w:highlight w:val="none"/>
        </w:rPr>
        <w:t xml:space="preserve">江苏政府采购网，在网站首页点击</w:t>
      </w:r>
      <w:r>
        <w:rPr>
          <w:rFonts w:eastAsiaTheme="minorEastAsia"/>
          <w:spacing w:val="8"/>
          <w:szCs w:val="21"/>
          <w:highlight w:val="none"/>
        </w:rPr>
        <w:t xml:space="preserve">“</w:t>
      </w:r>
      <w:r>
        <w:rPr>
          <w:rFonts w:eastAsiaTheme="minorEastAsia"/>
          <w:szCs w:val="21"/>
          <w:highlight w:val="none"/>
        </w:rPr>
        <w:t xml:space="preserve">苏采云”系统</w:t>
      </w:r>
      <w:r>
        <w:rPr>
          <w:rFonts w:eastAsiaTheme="minorEastAsia"/>
          <w:bCs/>
          <w:szCs w:val="21"/>
          <w:highlight w:val="none"/>
        </w:rPr>
        <w:t xml:space="preserve">自行免费下载</w:t>
      </w:r>
      <w:bookmarkEnd w:id="14"/>
      <w:r/>
      <w:bookmarkEnd w:id="15"/>
      <w:r/>
      <w:r/>
    </w:p>
    <w:p>
      <w:pPr>
        <w:ind w:firstLine="452"/>
        <w:spacing w:line="360" w:lineRule="auto"/>
        <w:widowControl/>
        <w:rPr>
          <w:rFonts w:eastAsiaTheme="minorEastAsia"/>
          <w:szCs w:val="21"/>
          <w:highlight w:val="none"/>
        </w:rPr>
      </w:pPr>
      <w:r>
        <w:rPr>
          <w:rFonts w:eastAsiaTheme="minorEastAsia"/>
          <w:spacing w:val="8"/>
          <w:szCs w:val="21"/>
          <w:highlight w:val="none"/>
        </w:rPr>
        <w:t xml:space="preserve">售价：0元</w:t>
      </w:r>
      <w:bookmarkEnd w:id="13"/>
      <w:r/>
      <w:r/>
    </w:p>
    <w:p>
      <w:pPr>
        <w:ind w:firstLine="422"/>
        <w:jc w:val="left"/>
        <w:spacing w:line="360" w:lineRule="auto"/>
        <w:shd w:val="clear" w:color="auto" w:fill="ffffff"/>
        <w:widowControl/>
        <w:rPr>
          <w:rFonts w:eastAsiaTheme="minorEastAsia"/>
          <w:b/>
          <w:szCs w:val="21"/>
          <w:highlight w:val="none"/>
        </w:rPr>
      </w:pPr>
      <w:r>
        <w:rPr>
          <w:rFonts w:eastAsiaTheme="minorEastAsia"/>
          <w:b/>
          <w:szCs w:val="21"/>
          <w:highlight w:val="none"/>
        </w:rPr>
        <w:t xml:space="preserve">四、响应文件提交</w:t>
      </w:r>
      <w:r/>
    </w:p>
    <w:p>
      <w:pPr>
        <w:ind w:firstLine="452"/>
        <w:jc w:val="left"/>
        <w:spacing w:line="360" w:lineRule="auto"/>
        <w:shd w:val="clear" w:color="auto" w:fill="ffffff"/>
        <w:widowControl/>
        <w:rPr>
          <w:rFonts w:eastAsiaTheme="minorEastAsia"/>
          <w:szCs w:val="21"/>
          <w:highlight w:val="none"/>
        </w:rPr>
      </w:pPr>
      <w:r/>
      <w:bookmarkStart w:id="16" w:name="_Hlk44575721"/>
      <w:r>
        <w:rPr>
          <w:rFonts w:eastAsiaTheme="minorEastAsia"/>
          <w:spacing w:val="8"/>
          <w:szCs w:val="21"/>
          <w:highlight w:val="none"/>
        </w:rPr>
        <w:t xml:space="preserve">截止时间：</w:t>
      </w:r>
      <w:bookmarkEnd w:id="16"/>
      <w:r>
        <w:rPr>
          <w:rFonts w:eastAsiaTheme="minorEastAsia"/>
          <w:spacing w:val="8"/>
          <w:highlight w:val="none"/>
        </w:rPr>
        <w:t xml:space="preserve">202</w:t>
      </w:r>
      <w:r>
        <w:rPr>
          <w:rFonts w:hint="eastAsia" w:eastAsiaTheme="minorEastAsia"/>
          <w:spacing w:val="8"/>
          <w:highlight w:val="none"/>
        </w:rPr>
        <w:t xml:space="preserve">6</w:t>
      </w:r>
      <w:r>
        <w:rPr>
          <w:rFonts w:eastAsiaTheme="minorEastAsia"/>
          <w:spacing w:val="8"/>
          <w:highlight w:val="none"/>
        </w:rPr>
        <w:t xml:space="preserve">年</w:t>
      </w:r>
      <w:r>
        <w:rPr>
          <w:rFonts w:hint="eastAsia" w:eastAsiaTheme="minorEastAsia"/>
          <w:spacing w:val="8"/>
          <w:highlight w:val="none"/>
        </w:rPr>
        <w:t xml:space="preserve">6</w:t>
      </w:r>
      <w:r>
        <w:rPr>
          <w:rFonts w:eastAsiaTheme="minorEastAsia"/>
          <w:spacing w:val="8"/>
          <w:highlight w:val="none"/>
        </w:rPr>
        <w:t xml:space="preserve">月</w:t>
      </w:r>
      <w:r>
        <w:rPr>
          <w:rFonts w:hint="eastAsia" w:eastAsiaTheme="minorEastAsia"/>
          <w:spacing w:val="8"/>
          <w:highlight w:val="none"/>
          <w:lang w:val="en-US" w:eastAsia="zh-CN"/>
        </w:rPr>
        <w:t xml:space="preserve">10</w:t>
      </w:r>
      <w:r>
        <w:rPr>
          <w:rFonts w:eastAsiaTheme="minorEastAsia"/>
          <w:spacing w:val="8"/>
          <w:highlight w:val="none"/>
        </w:rPr>
        <w:t xml:space="preserve">日1</w:t>
      </w:r>
      <w:r>
        <w:rPr>
          <w:rFonts w:hint="eastAsia" w:eastAsiaTheme="minorEastAsia"/>
          <w:spacing w:val="8"/>
          <w:highlight w:val="none"/>
        </w:rPr>
        <w:t xml:space="preserve">0</w:t>
      </w:r>
      <w:r>
        <w:rPr>
          <w:rFonts w:eastAsiaTheme="minorEastAsia"/>
          <w:spacing w:val="8"/>
          <w:highlight w:val="none"/>
        </w:rPr>
        <w:t xml:space="preserve">:</w:t>
      </w:r>
      <w:r>
        <w:rPr>
          <w:rFonts w:hint="eastAsia" w:eastAsiaTheme="minorEastAsia"/>
          <w:spacing w:val="8"/>
          <w:highlight w:val="none"/>
        </w:rPr>
        <w:t xml:space="preserve">0</w:t>
      </w:r>
      <w:r>
        <w:rPr>
          <w:rFonts w:eastAsiaTheme="minorEastAsia"/>
          <w:spacing w:val="8"/>
          <w:highlight w:val="none"/>
        </w:rPr>
        <w:t xml:space="preserve">0</w:t>
      </w:r>
      <w:r>
        <w:rPr>
          <w:rFonts w:eastAsiaTheme="minorEastAsia"/>
          <w:szCs w:val="21"/>
          <w:highlight w:val="none"/>
        </w:rPr>
        <w:t xml:space="preserve"> （北京时间）</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地点：</w:t>
      </w:r>
      <w:r>
        <w:rPr>
          <w:rFonts w:eastAsiaTheme="minorEastAsia"/>
          <w:spacing w:val="8"/>
          <w:szCs w:val="21"/>
          <w:highlight w:val="none"/>
        </w:rPr>
        <w:t xml:space="preserve">江苏政府采购网</w:t>
      </w:r>
      <w:bookmarkStart w:id="17" w:name="OLE_LINK21"/>
      <w:r>
        <w:rPr>
          <w:rFonts w:eastAsiaTheme="minorEastAsia"/>
          <w:spacing w:val="8"/>
          <w:szCs w:val="21"/>
          <w:highlight w:val="none"/>
        </w:rPr>
        <w:t xml:space="preserve">“</w:t>
      </w:r>
      <w:r>
        <w:rPr>
          <w:rFonts w:eastAsiaTheme="minorEastAsia"/>
          <w:szCs w:val="21"/>
          <w:highlight w:val="none"/>
        </w:rPr>
        <w:t xml:space="preserve">苏采云”系统</w:t>
      </w:r>
      <w:bookmarkEnd w:id="17"/>
      <w:r/>
      <w:r/>
    </w:p>
    <w:p>
      <w:pPr>
        <w:ind w:firstLine="422"/>
        <w:jc w:val="left"/>
        <w:spacing w:line="360" w:lineRule="auto"/>
        <w:shd w:val="clear" w:color="auto" w:fill="ffffff"/>
        <w:widowControl/>
        <w:rPr>
          <w:rFonts w:eastAsiaTheme="minorEastAsia"/>
          <w:b/>
          <w:szCs w:val="21"/>
          <w:highlight w:val="none"/>
        </w:rPr>
      </w:pPr>
      <w:r>
        <w:rPr>
          <w:rFonts w:eastAsiaTheme="minorEastAsia"/>
          <w:b/>
          <w:szCs w:val="21"/>
          <w:highlight w:val="none"/>
        </w:rPr>
        <w:t xml:space="preserve">五、开启</w:t>
      </w:r>
      <w:r/>
    </w:p>
    <w:p>
      <w:pPr>
        <w:ind w:firstLine="452"/>
        <w:jc w:val="left"/>
        <w:spacing w:line="360" w:lineRule="auto"/>
        <w:shd w:val="clear" w:color="auto" w:fill="ffffff"/>
        <w:widowControl/>
        <w:rPr>
          <w:rFonts w:eastAsiaTheme="minorEastAsia"/>
          <w:szCs w:val="21"/>
          <w:highlight w:val="none"/>
        </w:rPr>
      </w:pPr>
      <w:r>
        <w:rPr>
          <w:rFonts w:eastAsiaTheme="minorEastAsia"/>
          <w:spacing w:val="8"/>
          <w:szCs w:val="21"/>
          <w:highlight w:val="none"/>
        </w:rPr>
        <w:t xml:space="preserve">时间：</w:t>
      </w:r>
      <w:r>
        <w:rPr>
          <w:rFonts w:eastAsiaTheme="minorEastAsia"/>
          <w:spacing w:val="8"/>
          <w:highlight w:val="none"/>
        </w:rPr>
        <w:t xml:space="preserve">202</w:t>
      </w:r>
      <w:r>
        <w:rPr>
          <w:rFonts w:hint="eastAsia" w:eastAsiaTheme="minorEastAsia"/>
          <w:spacing w:val="8"/>
          <w:highlight w:val="none"/>
        </w:rPr>
        <w:t xml:space="preserve">6</w:t>
      </w:r>
      <w:r>
        <w:rPr>
          <w:rFonts w:eastAsiaTheme="minorEastAsia"/>
          <w:spacing w:val="8"/>
          <w:highlight w:val="none"/>
        </w:rPr>
        <w:t xml:space="preserve">年</w:t>
      </w:r>
      <w:r>
        <w:rPr>
          <w:rFonts w:hint="eastAsia" w:eastAsiaTheme="minorEastAsia"/>
          <w:spacing w:val="8"/>
          <w:highlight w:val="none"/>
        </w:rPr>
        <w:t xml:space="preserve">6</w:t>
      </w:r>
      <w:r>
        <w:rPr>
          <w:rFonts w:eastAsiaTheme="minorEastAsia"/>
          <w:spacing w:val="8"/>
          <w:highlight w:val="none"/>
        </w:rPr>
        <w:t xml:space="preserve">月</w:t>
      </w:r>
      <w:r>
        <w:rPr>
          <w:rFonts w:hint="eastAsia" w:eastAsiaTheme="minorEastAsia"/>
          <w:spacing w:val="8"/>
          <w:highlight w:val="none"/>
          <w:lang w:val="en-US" w:eastAsia="zh-CN"/>
        </w:rPr>
        <w:t xml:space="preserve">10</w:t>
      </w:r>
      <w:r>
        <w:rPr>
          <w:rFonts w:eastAsiaTheme="minorEastAsia"/>
          <w:spacing w:val="8"/>
          <w:highlight w:val="none"/>
        </w:rPr>
        <w:t xml:space="preserve">日1</w:t>
      </w:r>
      <w:r>
        <w:rPr>
          <w:rFonts w:hint="eastAsia" w:eastAsiaTheme="minorEastAsia"/>
          <w:spacing w:val="8"/>
          <w:highlight w:val="none"/>
        </w:rPr>
        <w:t xml:space="preserve">0</w:t>
      </w:r>
      <w:r>
        <w:rPr>
          <w:rFonts w:eastAsiaTheme="minorEastAsia"/>
          <w:spacing w:val="8"/>
          <w:highlight w:val="none"/>
        </w:rPr>
        <w:t xml:space="preserve">:</w:t>
      </w:r>
      <w:r>
        <w:rPr>
          <w:rFonts w:hint="eastAsia" w:eastAsiaTheme="minorEastAsia"/>
          <w:spacing w:val="8"/>
          <w:highlight w:val="none"/>
        </w:rPr>
        <w:t xml:space="preserve">0</w:t>
      </w:r>
      <w:r>
        <w:rPr>
          <w:rFonts w:eastAsiaTheme="minorEastAsia"/>
          <w:spacing w:val="8"/>
          <w:highlight w:val="none"/>
        </w:rPr>
        <w:t xml:space="preserve">0</w:t>
      </w:r>
      <w:r>
        <w:rPr>
          <w:rFonts w:eastAsiaTheme="minorEastAsia"/>
          <w:szCs w:val="21"/>
          <w:highlight w:val="none"/>
        </w:rPr>
        <w:t xml:space="preserve"> （北京时间）</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地点：</w:t>
      </w:r>
      <w:r>
        <w:rPr>
          <w:rFonts w:eastAsiaTheme="minorEastAsia"/>
          <w:spacing w:val="8"/>
          <w:szCs w:val="21"/>
          <w:highlight w:val="none"/>
        </w:rPr>
        <w:t xml:space="preserve">“</w:t>
      </w:r>
      <w:r>
        <w:rPr>
          <w:rFonts w:eastAsiaTheme="minorEastAsia"/>
          <w:szCs w:val="21"/>
          <w:highlight w:val="none"/>
        </w:rPr>
        <w:t xml:space="preserve">苏采云”系统开标大厅</w:t>
      </w:r>
      <w:r/>
    </w:p>
    <w:p>
      <w:pPr>
        <w:ind w:firstLine="422"/>
        <w:jc w:val="left"/>
        <w:spacing w:line="360" w:lineRule="auto"/>
        <w:shd w:val="clear" w:color="auto" w:fill="ffffff"/>
        <w:widowControl/>
        <w:rPr>
          <w:rFonts w:eastAsiaTheme="minorEastAsia"/>
          <w:b/>
          <w:bCs/>
          <w:szCs w:val="21"/>
          <w:highlight w:val="none"/>
        </w:rPr>
      </w:pPr>
      <w:r>
        <w:rPr>
          <w:rFonts w:eastAsiaTheme="minorEastAsia"/>
          <w:b/>
          <w:bCs/>
          <w:szCs w:val="21"/>
          <w:highlight w:val="none"/>
        </w:rPr>
        <w:t xml:space="preserve">六、其他补充事宜</w:t>
      </w:r>
      <w:r/>
    </w:p>
    <w:p>
      <w:pPr>
        <w:ind w:firstLine="420"/>
        <w:jc w:val="left"/>
        <w:spacing w:line="360" w:lineRule="auto"/>
        <w:shd w:val="clear" w:color="auto" w:fill="ffffff"/>
        <w:widowControl/>
        <w:rPr>
          <w:rFonts w:eastAsiaTheme="minorEastAsia"/>
          <w:bCs/>
          <w:szCs w:val="21"/>
          <w:highlight w:val="none"/>
        </w:rPr>
      </w:pPr>
      <w:r>
        <w:rPr>
          <w:rFonts w:eastAsiaTheme="minorEastAsia"/>
          <w:bCs/>
          <w:szCs w:val="21"/>
          <w:highlight w:val="none"/>
        </w:rPr>
        <w:t xml:space="preserve">1.</w:t>
      </w:r>
      <w:r>
        <w:rPr>
          <w:rFonts w:eastAsiaTheme="minorEastAsia"/>
          <w:bCs/>
          <w:highlight w:val="none"/>
          <w:shd w:val="clear" w:color="auto" w:fill="ffffff"/>
        </w:rPr>
        <w:t xml:space="preserve"> 本项目根据中小企业划型标准</w:t>
      </w:r>
      <w:r>
        <w:rPr>
          <w:rFonts w:eastAsiaTheme="minorEastAsia"/>
          <w:bCs/>
          <w:szCs w:val="21"/>
          <w:highlight w:val="none"/>
        </w:rPr>
        <w:t xml:space="preserve">属于：其他未列明行业。</w:t>
      </w:r>
      <w:r/>
    </w:p>
    <w:p>
      <w:pPr>
        <w:ind w:firstLine="420"/>
        <w:jc w:val="left"/>
        <w:spacing w:line="360" w:lineRule="auto"/>
        <w:rPr>
          <w:rFonts w:eastAsiaTheme="minorEastAsia"/>
          <w:bCs/>
          <w:color w:val="ff0000"/>
          <w:szCs w:val="21"/>
          <w:highlight w:val="none"/>
          <w:u w:val="single"/>
        </w:rPr>
      </w:pPr>
      <w:r>
        <w:rPr>
          <w:rFonts w:eastAsiaTheme="minorEastAsia"/>
          <w:bCs/>
          <w:szCs w:val="21"/>
          <w:highlight w:val="none"/>
        </w:rPr>
        <w:t xml:space="preserve">2. 勘察现场或答疑：采购人不统一组织，有需要的供应商可自行勘察。</w:t>
      </w:r>
      <w:r/>
    </w:p>
    <w:p>
      <w:pPr>
        <w:ind w:firstLine="422"/>
        <w:jc w:val="left"/>
        <w:spacing w:line="360" w:lineRule="auto"/>
        <w:shd w:val="clear" w:color="auto" w:fill="ffffff"/>
        <w:widowControl/>
        <w:rPr>
          <w:rFonts w:eastAsiaTheme="minorEastAsia"/>
          <w:b/>
          <w:bCs/>
          <w:szCs w:val="21"/>
          <w:highlight w:val="none"/>
          <w:lang w:val="zh-CN"/>
        </w:rPr>
      </w:pPr>
      <w:r>
        <w:rPr>
          <w:rFonts w:eastAsiaTheme="minorEastAsia"/>
          <w:b/>
          <w:bCs/>
          <w:szCs w:val="21"/>
          <w:highlight w:val="none"/>
        </w:rPr>
        <w:t xml:space="preserve">3</w:t>
      </w:r>
      <w:r>
        <w:rPr>
          <w:rFonts w:eastAsiaTheme="minorEastAsia"/>
          <w:b/>
          <w:bCs/>
          <w:szCs w:val="21"/>
          <w:highlight w:val="none"/>
          <w:lang w:val="zh-CN"/>
        </w:rPr>
        <w:t xml:space="preserve">. 拒绝下述供应商参加本次采购活动</w:t>
      </w:r>
      <w:r/>
    </w:p>
    <w:p>
      <w:pPr>
        <w:ind w:firstLine="420"/>
        <w:jc w:val="left"/>
        <w:spacing w:line="360" w:lineRule="auto"/>
        <w:rPr>
          <w:rFonts w:eastAsiaTheme="minorEastAsia"/>
          <w:bCs/>
          <w:szCs w:val="21"/>
          <w:highlight w:val="none"/>
        </w:rPr>
      </w:pPr>
      <w:r>
        <w:rPr>
          <w:rFonts w:eastAsiaTheme="minorEastAsia"/>
          <w:bCs/>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eastAsiaTheme="minorEastAsia"/>
          <w:bCs/>
          <w:szCs w:val="21"/>
          <w:highlight w:val="none"/>
        </w:rPr>
      </w:pPr>
      <w:r>
        <w:rPr>
          <w:rFonts w:eastAsiaTheme="minorEastAsia"/>
          <w:bCs/>
          <w:szCs w:val="21"/>
          <w:highlight w:val="none"/>
        </w:rPr>
        <w:t xml:space="preserve">（2）为采购项目提供整体设计、规范编制或者项目管理、监理、检测等服务的供应商，不得参加本项目的采购活动。</w:t>
      </w:r>
      <w:r/>
    </w:p>
    <w:p>
      <w:pPr>
        <w:ind w:firstLine="420"/>
        <w:jc w:val="left"/>
        <w:spacing w:line="360" w:lineRule="auto"/>
        <w:rPr>
          <w:rFonts w:eastAsiaTheme="minorEastAsia"/>
          <w:bCs/>
          <w:szCs w:val="21"/>
          <w:highlight w:val="none"/>
        </w:rPr>
      </w:pPr>
      <w:r>
        <w:rPr>
          <w:rFonts w:eastAsiaTheme="minorEastAsia"/>
          <w:bCs/>
          <w:szCs w:val="21"/>
          <w:highlight w:val="none"/>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eastAsiaTheme="minorEastAsia"/>
          <w:bCs/>
          <w:szCs w:val="21"/>
          <w:highlight w:val="none"/>
        </w:rPr>
      </w:pPr>
      <w:r>
        <w:rPr>
          <w:rFonts w:eastAsiaTheme="minorEastAsia"/>
          <w:bCs/>
          <w:szCs w:val="21"/>
          <w:highlight w:val="none"/>
        </w:rPr>
        <w:t xml:space="preserve">（4）供应商未提供《南京市政府采购供应商信用记录表暨信用承诺书》。</w:t>
      </w:r>
      <w:r/>
    </w:p>
    <w:p>
      <w:pPr>
        <w:ind w:firstLine="422"/>
        <w:jc w:val="left"/>
        <w:spacing w:line="360" w:lineRule="auto"/>
        <w:rPr>
          <w:rFonts w:eastAsiaTheme="minorEastAsia"/>
          <w:b/>
          <w:szCs w:val="21"/>
          <w:highlight w:val="none"/>
        </w:rPr>
      </w:pPr>
      <w:r>
        <w:rPr>
          <w:rFonts w:eastAsiaTheme="minorEastAsia"/>
          <w:b/>
          <w:szCs w:val="21"/>
          <w:highlight w:val="none"/>
        </w:rPr>
        <w:t xml:space="preserve">4.</w:t>
      </w:r>
      <w:r>
        <w:rPr>
          <w:rFonts w:eastAsiaTheme="minorEastAsia"/>
          <w:b/>
          <w:color w:val="000000"/>
          <w:sz w:val="28"/>
          <w:szCs w:val="28"/>
          <w:highlight w:val="none"/>
        </w:rPr>
        <w:t xml:space="preserve"> </w:t>
      </w:r>
      <w:r>
        <w:rPr>
          <w:rFonts w:eastAsiaTheme="minorEastAsia"/>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727"/>
          <w:rFonts w:eastAsiaTheme="minorEastAsia"/>
          <w:b/>
          <w:szCs w:val="21"/>
          <w:highlight w:val="none"/>
        </w:rPr>
        <w:t xml:space="preserve">下载地址</w:t>
      </w:r>
      <w:r>
        <w:rPr>
          <w:rStyle w:val="727"/>
          <w:rFonts w:eastAsiaTheme="minorEastAsia"/>
          <w:b/>
          <w:szCs w:val="21"/>
          <w:highlight w:val="none"/>
        </w:rPr>
        <w:fldChar w:fldCharType="end"/>
      </w:r>
      <w:r>
        <w:rPr>
          <w:rFonts w:eastAsiaTheme="minorEastAsia"/>
          <w:b/>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eastAsiaTheme="minorEastAsia"/>
          <w:bCs/>
          <w:szCs w:val="21"/>
          <w:highlight w:val="none"/>
        </w:rPr>
      </w:pPr>
      <w:r>
        <w:rPr>
          <w:rFonts w:eastAsiaTheme="minorEastAsia"/>
          <w:bCs/>
          <w:szCs w:val="21"/>
          <w:highlight w:val="none"/>
        </w:rPr>
        <w:t xml:space="preserve">5. 有关本次</w:t>
      </w:r>
      <w:r>
        <w:rPr>
          <w:rFonts w:hint="eastAsia" w:eastAsiaTheme="minorEastAsia"/>
          <w:bCs/>
          <w:szCs w:val="21"/>
          <w:highlight w:val="none"/>
          <w:lang w:val="en-US" w:eastAsia="zh-CN"/>
        </w:rPr>
        <w:t xml:space="preserve">采购</w:t>
      </w:r>
      <w:r>
        <w:rPr>
          <w:rFonts w:eastAsiaTheme="minorEastAsia"/>
          <w:bCs/>
          <w:szCs w:val="21"/>
          <w:highlight w:val="none"/>
        </w:rPr>
        <w:t xml:space="preserve">的事项若存在变动或修改，请及时关注“江苏政府采购网”（www.ccgp-jiangsu.gov.cn）更正公告。</w:t>
      </w:r>
      <w:r/>
    </w:p>
    <w:p>
      <w:pPr>
        <w:ind w:firstLine="422"/>
        <w:jc w:val="left"/>
        <w:spacing w:line="360" w:lineRule="auto"/>
        <w:rPr>
          <w:rFonts w:eastAsiaTheme="minorEastAsia"/>
          <w:b/>
          <w:szCs w:val="21"/>
          <w:highlight w:val="none"/>
        </w:rPr>
      </w:pPr>
      <w:r>
        <w:rPr>
          <w:rFonts w:eastAsiaTheme="minorEastAsia"/>
          <w:b/>
          <w:szCs w:val="21"/>
          <w:highlight w:val="none"/>
        </w:rPr>
        <w:t xml:space="preserve">6. 政府采购信用承诺</w:t>
      </w:r>
      <w:r/>
    </w:p>
    <w:p>
      <w:pPr>
        <w:ind w:firstLine="420"/>
        <w:jc w:val="left"/>
        <w:spacing w:line="360" w:lineRule="auto"/>
        <w:rPr>
          <w:rFonts w:eastAsiaTheme="minorEastAsia"/>
          <w:szCs w:val="21"/>
          <w:highlight w:val="none"/>
        </w:rPr>
      </w:pPr>
      <w:r>
        <w:rPr>
          <w:rFonts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jc w:val="left"/>
        <w:spacing w:line="360" w:lineRule="auto"/>
        <w:rPr>
          <w:rFonts w:eastAsiaTheme="minorEastAsia"/>
          <w:szCs w:val="21"/>
          <w:highlight w:val="none"/>
        </w:rPr>
      </w:pPr>
      <w:r>
        <w:rPr>
          <w:rFonts w:eastAsiaTheme="minorEastAsia"/>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w:t>
      </w:r>
      <w:r>
        <w:rPr>
          <w:rFonts w:hint="eastAsia" w:eastAsiaTheme="minorEastAsia"/>
          <w:szCs w:val="21"/>
          <w:highlight w:val="none"/>
        </w:rPr>
        <w:t xml:space="preserve">并加</w:t>
      </w:r>
      <w:r>
        <w:rPr>
          <w:rFonts w:eastAsiaTheme="minorEastAsia"/>
          <w:szCs w:val="21"/>
          <w:highlight w:val="none"/>
        </w:rPr>
        <w:t xml:space="preserve">盖单位公章。</w:t>
      </w:r>
      <w:r/>
    </w:p>
    <w:p>
      <w:pPr>
        <w:ind w:firstLine="420"/>
        <w:jc w:val="left"/>
        <w:spacing w:line="360" w:lineRule="auto"/>
        <w:rPr>
          <w:rFonts w:eastAsiaTheme="minorEastAsia"/>
          <w:szCs w:val="21"/>
          <w:highlight w:val="none"/>
        </w:rPr>
      </w:pPr>
      <w:r>
        <w:rPr>
          <w:rFonts w:eastAsiaTheme="minorEastAsia"/>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eastAsiaTheme="minorEastAsia"/>
          <w:szCs w:val="21"/>
          <w:highlight w:val="none"/>
        </w:rPr>
      </w:pPr>
      <w:r>
        <w:rPr>
          <w:rFonts w:eastAsiaTheme="minorEastAsia"/>
          <w:szCs w:val="21"/>
          <w:highlight w:val="none"/>
        </w:rPr>
        <w:t xml:space="preserve">（1）符合国家相关规定的财务状况报告；</w:t>
      </w:r>
      <w:r/>
    </w:p>
    <w:p>
      <w:pPr>
        <w:ind w:firstLine="420"/>
        <w:jc w:val="left"/>
        <w:spacing w:line="360" w:lineRule="auto"/>
        <w:rPr>
          <w:rFonts w:eastAsiaTheme="minorEastAsia"/>
          <w:szCs w:val="21"/>
          <w:highlight w:val="none"/>
        </w:rPr>
      </w:pPr>
      <w:r>
        <w:rPr>
          <w:rFonts w:eastAsiaTheme="minorEastAsia"/>
          <w:szCs w:val="21"/>
          <w:highlight w:val="none"/>
        </w:rPr>
        <w:t xml:space="preserve">（2）依法缴纳税收的证明材料；</w:t>
      </w:r>
      <w:r/>
    </w:p>
    <w:p>
      <w:pPr>
        <w:ind w:firstLine="420"/>
        <w:jc w:val="left"/>
        <w:spacing w:line="360" w:lineRule="auto"/>
        <w:rPr>
          <w:rFonts w:eastAsiaTheme="minorEastAsia"/>
          <w:szCs w:val="21"/>
          <w:highlight w:val="none"/>
        </w:rPr>
      </w:pPr>
      <w:r>
        <w:rPr>
          <w:rFonts w:eastAsiaTheme="minorEastAsia"/>
          <w:szCs w:val="21"/>
          <w:highlight w:val="none"/>
        </w:rPr>
        <w:t xml:space="preserve">（3）依法缴纳社会保障资金的证明材料；</w:t>
      </w:r>
      <w:r/>
    </w:p>
    <w:p>
      <w:pPr>
        <w:ind w:firstLine="420"/>
        <w:jc w:val="left"/>
        <w:spacing w:line="360" w:lineRule="auto"/>
        <w:rPr>
          <w:rFonts w:eastAsiaTheme="minorEastAsia"/>
          <w:szCs w:val="21"/>
          <w:highlight w:val="none"/>
        </w:rPr>
      </w:pPr>
      <w:r>
        <w:rPr>
          <w:rFonts w:eastAsiaTheme="minorEastAsia"/>
          <w:szCs w:val="21"/>
          <w:highlight w:val="none"/>
        </w:rPr>
        <w:t xml:space="preserve">（4）具备履行政府采购合同所必需的设备和专业技术能力的证明材料；</w:t>
      </w:r>
      <w:r/>
    </w:p>
    <w:p>
      <w:pPr>
        <w:ind w:firstLine="420"/>
        <w:jc w:val="left"/>
        <w:spacing w:line="360" w:lineRule="auto"/>
        <w:rPr>
          <w:rFonts w:eastAsiaTheme="minorEastAsia"/>
          <w:szCs w:val="21"/>
          <w:highlight w:val="none"/>
        </w:rPr>
      </w:pPr>
      <w:r>
        <w:rPr>
          <w:rFonts w:eastAsiaTheme="minorEastAsia"/>
          <w:szCs w:val="21"/>
          <w:highlight w:val="none"/>
        </w:rPr>
        <w:t xml:space="preserve">（5）参加政府采购活动前三年内在经营活动中没有重大违法记录的证明材料；</w:t>
      </w:r>
      <w:r/>
    </w:p>
    <w:p>
      <w:pPr>
        <w:ind w:firstLine="420"/>
        <w:jc w:val="left"/>
        <w:spacing w:line="360" w:lineRule="auto"/>
        <w:rPr>
          <w:rFonts w:eastAsiaTheme="minorEastAsia"/>
          <w:szCs w:val="21"/>
          <w:highlight w:val="none"/>
        </w:rPr>
      </w:pPr>
      <w:r>
        <w:rPr>
          <w:rFonts w:eastAsiaTheme="minorEastAsia"/>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eastAsiaTheme="minorEastAsia"/>
          <w:szCs w:val="21"/>
          <w:highlight w:val="none"/>
        </w:rPr>
      </w:pPr>
      <w:r>
        <w:rPr>
          <w:rFonts w:eastAsiaTheme="minorEastAsia"/>
          <w:szCs w:val="21"/>
          <w:highlight w:val="none"/>
        </w:rPr>
        <w:t xml:space="preserve">供应商在成交后，应按单一来源文件要求，将上述由信用承诺书替代的证明材料（一式两份）加盖公章，提交采购人或采购代理机构核验。经核验无误后，由采购人或采购代理机构发出成交通知书。</w:t>
      </w:r>
      <w:r/>
    </w:p>
    <w:p>
      <w:pPr>
        <w:ind w:firstLine="420"/>
        <w:jc w:val="left"/>
        <w:spacing w:line="360" w:lineRule="auto"/>
        <w:rPr>
          <w:rFonts w:eastAsiaTheme="minorEastAsia"/>
          <w:szCs w:val="21"/>
          <w:highlight w:val="none"/>
        </w:rPr>
      </w:pPr>
      <w:r>
        <w:rPr>
          <w:rFonts w:eastAsiaTheme="minorEastAsia"/>
          <w:szCs w:val="21"/>
          <w:highlight w:val="none"/>
        </w:rPr>
        <w:t xml:space="preserve">供应商涉及以下情形的，不适用信用承诺:</w:t>
      </w:r>
      <w:r/>
    </w:p>
    <w:p>
      <w:pPr>
        <w:ind w:firstLine="420"/>
        <w:jc w:val="left"/>
        <w:spacing w:line="360" w:lineRule="auto"/>
        <w:rPr>
          <w:rFonts w:eastAsiaTheme="minorEastAsia"/>
          <w:szCs w:val="21"/>
          <w:highlight w:val="none"/>
        </w:rPr>
      </w:pPr>
      <w:r>
        <w:rPr>
          <w:rFonts w:eastAsiaTheme="minorEastAsia"/>
          <w:szCs w:val="21"/>
          <w:highlight w:val="none"/>
        </w:rPr>
        <w:t xml:space="preserve">（1）供应商被列入严重失信主体名单；</w:t>
      </w:r>
      <w:r/>
    </w:p>
    <w:p>
      <w:pPr>
        <w:ind w:firstLine="420"/>
        <w:jc w:val="left"/>
        <w:spacing w:line="360" w:lineRule="auto"/>
        <w:rPr>
          <w:rFonts w:eastAsiaTheme="minorEastAsia"/>
          <w:szCs w:val="21"/>
          <w:highlight w:val="none"/>
        </w:rPr>
      </w:pPr>
      <w:r>
        <w:rPr>
          <w:rFonts w:eastAsiaTheme="minorEastAsia"/>
          <w:szCs w:val="21"/>
          <w:highlight w:val="none"/>
        </w:rPr>
        <w:t xml:space="preserve">（2）被相关监管部门作出行政处罚且尚在处罚有效期内；</w:t>
      </w:r>
      <w:r/>
    </w:p>
    <w:p>
      <w:pPr>
        <w:ind w:firstLine="420"/>
        <w:jc w:val="left"/>
        <w:spacing w:line="360" w:lineRule="auto"/>
        <w:rPr>
          <w:rFonts w:eastAsiaTheme="minorEastAsia"/>
          <w:szCs w:val="21"/>
          <w:highlight w:val="none"/>
        </w:rPr>
      </w:pPr>
      <w:r>
        <w:rPr>
          <w:rFonts w:eastAsiaTheme="minorEastAsia"/>
          <w:szCs w:val="21"/>
          <w:highlight w:val="none"/>
        </w:rPr>
        <w:t xml:space="preserve">（3）其他法律、行政法规规定的不适用信用承诺的情形；</w:t>
      </w:r>
      <w:r/>
    </w:p>
    <w:p>
      <w:pPr>
        <w:ind w:firstLine="420"/>
        <w:jc w:val="left"/>
        <w:spacing w:line="360" w:lineRule="auto"/>
        <w:rPr>
          <w:rFonts w:eastAsiaTheme="minorEastAsia"/>
          <w:szCs w:val="21"/>
          <w:highlight w:val="none"/>
        </w:rPr>
      </w:pPr>
      <w:r>
        <w:rPr>
          <w:rFonts w:eastAsiaTheme="minorEastAsia"/>
          <w:szCs w:val="21"/>
          <w:highlight w:val="none"/>
        </w:rPr>
        <w:t xml:space="preserve">供应商对信用承诺内容的真实性、合法性、有效性负责。如作出虚假信用承诺，视同为“提供虚假材料谋取成交”的违法行为。</w:t>
      </w:r>
      <w:r/>
    </w:p>
    <w:p>
      <w:pPr>
        <w:spacing w:line="360" w:lineRule="auto"/>
        <w:rPr>
          <w:b/>
          <w:szCs w:val="18"/>
          <w:highlight w:val="none"/>
        </w:rPr>
      </w:pPr>
      <w:r>
        <w:rPr>
          <w:b/>
          <w:szCs w:val="18"/>
          <w:highlight w:val="none"/>
        </w:rPr>
        <w:t xml:space="preserve">七、采购人</w:t>
      </w:r>
      <w:r/>
    </w:p>
    <w:p>
      <w:pPr>
        <w:ind w:firstLine="420"/>
        <w:spacing w:line="360" w:lineRule="auto"/>
        <w:rPr>
          <w:highlight w:val="none"/>
        </w:rPr>
      </w:pPr>
      <w:r>
        <w:rPr>
          <w:highlight w:val="none"/>
        </w:rPr>
        <w:t xml:space="preserve">名称：中共南京江北新区工作委员会宣传和统战部</w:t>
      </w:r>
      <w:r/>
    </w:p>
    <w:p>
      <w:pPr>
        <w:ind w:firstLine="420"/>
        <w:spacing w:line="360" w:lineRule="auto"/>
        <w:rPr>
          <w:highlight w:val="none"/>
        </w:rPr>
      </w:pPr>
      <w:r>
        <w:rPr>
          <w:highlight w:val="none"/>
        </w:rPr>
        <w:t xml:space="preserve">地址：南京市浦口区凤滁路48号江北新区管委会</w:t>
      </w:r>
      <w:r/>
    </w:p>
    <w:p>
      <w:pPr>
        <w:ind w:firstLine="420"/>
        <w:spacing w:line="360" w:lineRule="auto"/>
        <w:rPr>
          <w:highlight w:val="none"/>
        </w:rPr>
      </w:pPr>
      <w:r>
        <w:rPr>
          <w:highlight w:val="none"/>
        </w:rPr>
        <w:t xml:space="preserve">联系人：</w:t>
      </w:r>
      <w:r>
        <w:rPr>
          <w:rFonts w:hint="eastAsia"/>
          <w:highlight w:val="none"/>
        </w:rPr>
        <w:t xml:space="preserve">刘先生</w:t>
      </w:r>
      <w:r/>
    </w:p>
    <w:p>
      <w:pPr>
        <w:ind w:firstLine="420"/>
        <w:spacing w:line="360" w:lineRule="auto"/>
        <w:rPr>
          <w:highlight w:val="none"/>
        </w:rPr>
      </w:pPr>
      <w:r>
        <w:rPr>
          <w:highlight w:val="none"/>
        </w:rPr>
        <w:t xml:space="preserve">联系电话：025-88029338</w:t>
      </w:r>
      <w:r/>
    </w:p>
    <w:p>
      <w:pPr>
        <w:spacing w:line="360" w:lineRule="auto"/>
        <w:rPr>
          <w:b/>
          <w:szCs w:val="18"/>
          <w:highlight w:val="none"/>
        </w:rPr>
      </w:pPr>
      <w:r>
        <w:rPr>
          <w:b/>
          <w:szCs w:val="18"/>
          <w:highlight w:val="none"/>
        </w:rPr>
        <w:t xml:space="preserve">八、代理机构</w:t>
      </w:r>
      <w:r/>
    </w:p>
    <w:p>
      <w:pPr>
        <w:ind w:firstLine="420"/>
        <w:spacing w:line="360" w:lineRule="auto"/>
        <w:rPr>
          <w:highlight w:val="none"/>
        </w:rPr>
      </w:pPr>
      <w:r/>
      <w:bookmarkStart w:id="18" w:name="_Toc515797968"/>
      <w:r>
        <w:rPr>
          <w:highlight w:val="none"/>
        </w:rPr>
        <w:t xml:space="preserve">名称：南京典晶工程项目管理有限公司</w:t>
      </w:r>
      <w:r/>
    </w:p>
    <w:p>
      <w:pPr>
        <w:ind w:firstLine="420"/>
        <w:spacing w:line="360" w:lineRule="auto"/>
        <w:rPr>
          <w:highlight w:val="none"/>
        </w:rPr>
      </w:pPr>
      <w:r>
        <w:rPr>
          <w:highlight w:val="none"/>
        </w:rPr>
        <w:t xml:space="preserve">地址：南京市建邺区泰山路157号边城大厦14楼</w:t>
      </w:r>
      <w:r/>
    </w:p>
    <w:p>
      <w:pPr>
        <w:ind w:firstLine="420"/>
        <w:spacing w:line="360" w:lineRule="auto"/>
        <w:rPr>
          <w:highlight w:val="none"/>
        </w:rPr>
      </w:pPr>
      <w:r>
        <w:rPr>
          <w:highlight w:val="none"/>
        </w:rPr>
        <w:t xml:space="preserve">联系人：徐工、王工</w:t>
      </w:r>
      <w:r/>
    </w:p>
    <w:p>
      <w:pPr>
        <w:ind w:firstLine="420"/>
        <w:spacing w:line="360" w:lineRule="auto"/>
        <w:rPr>
          <w:highlight w:val="none"/>
        </w:rPr>
      </w:pPr>
      <w:r>
        <w:rPr>
          <w:highlight w:val="none"/>
        </w:rPr>
        <w:t xml:space="preserve">联系方式：025-83198830</w:t>
      </w:r>
      <w:r/>
    </w:p>
    <w:p>
      <w:pPr>
        <w:ind w:firstLine="420"/>
        <w:spacing w:line="360" w:lineRule="auto"/>
        <w:rPr>
          <w:color w:val="0000ff"/>
          <w:highlight w:val="none"/>
          <w:u w:val="single"/>
        </w:rPr>
      </w:pPr>
      <w:r>
        <w:rPr>
          <w:highlight w:val="none"/>
        </w:rPr>
        <w:t xml:space="preserve">电子邮箱：2692118325@qq.com</w:t>
      </w:r>
      <w:r/>
    </w:p>
    <w:p>
      <w:pPr>
        <w:spacing w:line="360" w:lineRule="auto"/>
        <w:rPr>
          <w:highlight w:val="none"/>
        </w:rPr>
      </w:pPr>
      <w:r>
        <w:rPr>
          <w:highlight w:val="none"/>
        </w:rPr>
        <w:br w:type="page" w:clear="all"/>
      </w:r>
      <w:r/>
    </w:p>
    <w:p>
      <w:pPr>
        <w:pStyle w:val="708"/>
        <w:spacing w:line="360" w:lineRule="auto"/>
        <w:rPr>
          <w:rFonts w:ascii="Times New Roman" w:hAnsi="Times New Roman"/>
          <w:highlight w:val="none"/>
        </w:rPr>
      </w:pPr>
      <w:r/>
      <w:bookmarkStart w:id="19" w:name="_Toc531257235"/>
      <w:r>
        <w:rPr>
          <w:rFonts w:ascii="Times New Roman" w:hAnsi="Times New Roman"/>
          <w:highlight w:val="none"/>
        </w:rPr>
        <w:t xml:space="preserve">第二章 参加谈判协商供应商须知</w:t>
      </w:r>
      <w:bookmarkEnd w:id="18"/>
      <w:r/>
      <w:bookmarkEnd w:id="19"/>
      <w:r/>
      <w:r/>
    </w:p>
    <w:p>
      <w:pPr>
        <w:spacing w:line="360" w:lineRule="auto"/>
        <w:rPr>
          <w:b/>
          <w:szCs w:val="18"/>
          <w:highlight w:val="none"/>
        </w:rPr>
      </w:pPr>
      <w:r>
        <w:rPr>
          <w:b/>
          <w:szCs w:val="18"/>
          <w:highlight w:val="none"/>
        </w:rPr>
        <w:t xml:space="preserve">一、总则</w:t>
      </w:r>
      <w:r/>
    </w:p>
    <w:p>
      <w:pPr>
        <w:ind w:firstLine="210"/>
        <w:spacing w:line="360" w:lineRule="auto"/>
        <w:rPr>
          <w:highlight w:val="none"/>
        </w:rPr>
      </w:pPr>
      <w:r>
        <w:rPr>
          <w:highlight w:val="none"/>
        </w:rPr>
        <w:t xml:space="preserve">1、适用法律</w:t>
      </w:r>
      <w:r/>
    </w:p>
    <w:p>
      <w:pPr>
        <w:ind w:firstLine="420"/>
        <w:spacing w:line="360" w:lineRule="auto"/>
        <w:rPr>
          <w:highlight w:val="none"/>
        </w:rPr>
      </w:pPr>
      <w:r>
        <w:rPr>
          <w:highlight w:val="none"/>
        </w:rPr>
        <w:t xml:space="preserve">1.1《中华人民共和国政府采购法》、《中华人民共和国政府采购法实施条例》、《政府采购非招标采购方式管理办法》等有关法律、规章和规定等。</w:t>
      </w:r>
      <w:r/>
    </w:p>
    <w:p>
      <w:pPr>
        <w:ind w:firstLine="210"/>
        <w:spacing w:line="360" w:lineRule="auto"/>
        <w:rPr>
          <w:highlight w:val="none"/>
        </w:rPr>
      </w:pPr>
      <w:r>
        <w:rPr>
          <w:highlight w:val="none"/>
        </w:rPr>
        <w:t xml:space="preserve">2、定义</w:t>
      </w:r>
      <w:r/>
    </w:p>
    <w:p>
      <w:pPr>
        <w:ind w:firstLine="420"/>
        <w:spacing w:line="360" w:lineRule="auto"/>
        <w:rPr>
          <w:highlight w:val="none"/>
        </w:rPr>
      </w:pPr>
      <w:r>
        <w:rPr>
          <w:highlight w:val="none"/>
        </w:rPr>
        <w:t xml:space="preserve">2.1“供应商”是指参加谈判协商，并符合本采购文件规定资格条件的法人、其他组织或者自然人。</w:t>
      </w:r>
      <w:r/>
    </w:p>
    <w:p>
      <w:pPr>
        <w:ind w:firstLine="420"/>
        <w:spacing w:line="360" w:lineRule="auto"/>
        <w:rPr>
          <w:highlight w:val="none"/>
        </w:rPr>
      </w:pPr>
      <w:r>
        <w:rPr>
          <w:highlight w:val="none"/>
        </w:rPr>
        <w:t xml:space="preserve">2.2“货物和服务”指本采购文件中所述产品及相关服务。</w:t>
      </w:r>
      <w:r/>
    </w:p>
    <w:p>
      <w:pPr>
        <w:ind w:firstLine="420"/>
        <w:spacing w:line="360" w:lineRule="auto"/>
        <w:rPr>
          <w:highlight w:val="none"/>
        </w:rPr>
      </w:pPr>
      <w:r>
        <w:rPr>
          <w:highlight w:val="none"/>
        </w:rPr>
        <w:t xml:space="preserve">2.3“用户或使用单位”是指使用货物及接受服务的单位。</w:t>
      </w:r>
      <w:r/>
    </w:p>
    <w:p>
      <w:pPr>
        <w:ind w:firstLine="210"/>
        <w:spacing w:line="360" w:lineRule="auto"/>
        <w:rPr>
          <w:highlight w:val="none"/>
        </w:rPr>
      </w:pPr>
      <w:r>
        <w:rPr>
          <w:highlight w:val="none"/>
        </w:rPr>
        <w:t xml:space="preserve">3、代理服务费</w:t>
      </w:r>
      <w:r/>
    </w:p>
    <w:p>
      <w:pPr>
        <w:ind w:firstLine="420"/>
        <w:spacing w:line="360" w:lineRule="auto"/>
        <w:rPr>
          <w:highlight w:val="none"/>
        </w:rPr>
      </w:pPr>
      <w:r>
        <w:rPr>
          <w:highlight w:val="none"/>
        </w:rPr>
        <w:t xml:space="preserve">为提高财政资金使用效率，简化支付流程，保障代理服务质量，</w:t>
      </w:r>
      <w:r>
        <w:rPr>
          <w:rFonts w:hint="default"/>
          <w:highlight w:val="none"/>
          <w:lang w:val="en-US" w:eastAsia="zh-CN"/>
        </w:rPr>
        <w:t xml:space="preserve">代理服务费由成交供应商支付</w:t>
      </w:r>
      <w:r>
        <w:rPr>
          <w:highlight w:val="none"/>
        </w:rPr>
        <w:t xml:space="preserve">，供应商报价应当包含代理费。本项目代理费实行市场调节价，根据行业通行情况，参照《国家计委关于印发〈招标代理服务收费管理暂行办法〉的通知》（计价格〔2002〕1980号）规定的差额定率累进法计算，按基准费90%计取，计费基数为最终成交金额。成交供应商应自代理服务履约完毕之日起30个工作日内，通过银行转账方式一次性向本项目采购代理机构支付全部代理服务费，代理机构开具</w:t>
      </w:r>
      <w:r>
        <w:rPr>
          <w:rFonts w:hint="eastAsia"/>
          <w:highlight w:val="none"/>
        </w:rPr>
        <w:t xml:space="preserve">相应</w:t>
      </w:r>
      <w:r>
        <w:rPr>
          <w:highlight w:val="none"/>
        </w:rPr>
        <w:t xml:space="preserve">发票。</w:t>
      </w:r>
      <w:r/>
    </w:p>
    <w:p>
      <w:pPr>
        <w:ind w:firstLine="210"/>
        <w:spacing w:line="360" w:lineRule="auto"/>
        <w:rPr>
          <w:highlight w:val="none"/>
        </w:rPr>
      </w:pPr>
      <w:r>
        <w:rPr>
          <w:highlight w:val="none"/>
        </w:rPr>
        <w:t xml:space="preserve">4、专家评审费</w:t>
      </w:r>
      <w:r/>
    </w:p>
    <w:p>
      <w:pPr>
        <w:ind w:firstLine="420"/>
        <w:spacing w:line="360" w:lineRule="auto"/>
        <w:rPr>
          <w:b/>
          <w:highlight w:val="none"/>
        </w:rPr>
      </w:pPr>
      <w:r>
        <w:rPr>
          <w:highlight w:val="none"/>
        </w:rPr>
        <w:t xml:space="preserve">专家评审费由采购人支付</w:t>
      </w:r>
      <w:r>
        <w:rPr>
          <w:rFonts w:hint="eastAsia"/>
          <w:highlight w:val="none"/>
        </w:rPr>
        <w:t xml:space="preserve">。</w:t>
      </w:r>
      <w:r/>
    </w:p>
    <w:p>
      <w:pPr>
        <w:spacing w:line="360" w:lineRule="auto"/>
        <w:rPr>
          <w:b/>
          <w:szCs w:val="18"/>
          <w:highlight w:val="none"/>
        </w:rPr>
      </w:pPr>
      <w:r>
        <w:rPr>
          <w:b/>
          <w:szCs w:val="18"/>
          <w:highlight w:val="none"/>
        </w:rPr>
        <w:t xml:space="preserve">二、响应性文件编制</w:t>
      </w:r>
      <w:r/>
    </w:p>
    <w:p>
      <w:pPr>
        <w:ind w:firstLine="211"/>
        <w:spacing w:line="360" w:lineRule="auto"/>
        <w:rPr>
          <w:b/>
          <w:highlight w:val="none"/>
        </w:rPr>
      </w:pPr>
      <w:r>
        <w:rPr>
          <w:b/>
          <w:highlight w:val="none"/>
        </w:rPr>
        <w:t xml:space="preserve">5、供应商应当按照单一来源采购文件的要求编制响应文件，并对其提交的响应文件真实性、合法性承担法律责任。</w:t>
      </w:r>
      <w:r/>
    </w:p>
    <w:p>
      <w:pPr>
        <w:ind w:firstLine="211"/>
        <w:spacing w:line="360" w:lineRule="auto"/>
        <w:rPr>
          <w:b/>
          <w:highlight w:val="none"/>
        </w:rPr>
      </w:pPr>
      <w:r>
        <w:rPr>
          <w:b/>
          <w:highlight w:val="none"/>
        </w:rPr>
        <w:t xml:space="preserve">6、响应文件的语言、计量单位、货币和编制</w:t>
      </w:r>
      <w:r/>
    </w:p>
    <w:p>
      <w:pPr>
        <w:ind w:firstLine="420"/>
        <w:spacing w:line="360" w:lineRule="auto"/>
        <w:rPr>
          <w:highlight w:val="none"/>
        </w:rPr>
      </w:pPr>
      <w:r>
        <w:rPr>
          <w:highlight w:val="none"/>
        </w:rPr>
        <w:t xml:space="preserve">6.1提交的响应文件、技术文件和资料，包括图纸中的说明，以及供应商与代理机构就有关谈判协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highlight w:val="none"/>
        </w:rPr>
      </w:pPr>
      <w:r>
        <w:rPr>
          <w:highlight w:val="none"/>
        </w:rPr>
        <w:t xml:space="preserve">6.2供应商所使用的计量单位应为国家法定计量单位。</w:t>
      </w:r>
      <w:r/>
    </w:p>
    <w:p>
      <w:pPr>
        <w:ind w:firstLine="420"/>
        <w:spacing w:line="360" w:lineRule="auto"/>
        <w:rPr>
          <w:highlight w:val="none"/>
        </w:rPr>
      </w:pPr>
      <w:r>
        <w:rPr>
          <w:highlight w:val="none"/>
        </w:rPr>
        <w:t xml:space="preserve">6.3供应商应用人民币报价。</w:t>
      </w:r>
      <w:r/>
    </w:p>
    <w:p>
      <w:pPr>
        <w:ind w:firstLine="420"/>
        <w:spacing w:line="360" w:lineRule="auto"/>
        <w:rPr>
          <w:highlight w:val="none"/>
        </w:rPr>
      </w:pPr>
      <w:r>
        <w:rPr>
          <w:highlight w:val="none"/>
        </w:rPr>
        <w:t xml:space="preserve">6.4响应文件应字迹清楚、内容齐全、不得涂改。如有修改，修改处须有供应商公章或法定代表人或其授权谈判协商代表签字。</w:t>
      </w:r>
      <w:r/>
    </w:p>
    <w:p>
      <w:pPr>
        <w:ind w:firstLine="420"/>
        <w:spacing w:line="360" w:lineRule="auto"/>
        <w:rPr>
          <w:highlight w:val="none"/>
        </w:rPr>
      </w:pPr>
      <w:r>
        <w:rPr>
          <w:highlight w:val="none"/>
        </w:rPr>
        <w:t xml:space="preserve">6.5响应文件应按照响应文件规定的顺序，统一用A4规格幅面打印、装订成册并编制目录，由于编排混乱导致响应文件被误读或查找不到，责任由供应商承担。</w:t>
      </w:r>
      <w:r/>
    </w:p>
    <w:p>
      <w:pPr>
        <w:ind w:firstLine="420"/>
        <w:spacing w:line="360" w:lineRule="auto"/>
        <w:rPr>
          <w:highlight w:val="none"/>
        </w:rPr>
      </w:pPr>
      <w:r>
        <w:rPr>
          <w:highlight w:val="none"/>
        </w:rPr>
        <w:t xml:space="preserve">6.6响应文件应逐页编码，不得跳页（包括但不限于授权、证明材料、声明及产品介绍、彩页等）。</w:t>
      </w:r>
      <w:r/>
    </w:p>
    <w:p>
      <w:pPr>
        <w:ind w:firstLine="420"/>
        <w:spacing w:line="360" w:lineRule="auto"/>
        <w:rPr>
          <w:highlight w:val="none"/>
        </w:rPr>
      </w:pPr>
      <w:r>
        <w:rPr>
          <w:highlight w:val="none"/>
        </w:rPr>
        <w:t xml:space="preserve">6.7供应商应在响应文件中写清相应的项目编号、项目名称、供应商名称、地址、电话、传真等。</w:t>
      </w:r>
      <w:r/>
    </w:p>
    <w:p>
      <w:pPr>
        <w:ind w:firstLine="211"/>
        <w:spacing w:line="360" w:lineRule="auto"/>
        <w:rPr>
          <w:b/>
          <w:highlight w:val="none"/>
        </w:rPr>
      </w:pPr>
      <w:r>
        <w:rPr>
          <w:b/>
          <w:highlight w:val="none"/>
        </w:rPr>
        <w:t xml:space="preserve">7、响应文件的组成</w:t>
      </w:r>
      <w:r/>
    </w:p>
    <w:p>
      <w:pPr>
        <w:ind w:firstLine="420"/>
        <w:spacing w:line="360" w:lineRule="auto"/>
        <w:rPr>
          <w:highlight w:val="none"/>
        </w:rPr>
      </w:pPr>
      <w:r>
        <w:rPr>
          <w:highlight w:val="none"/>
        </w:rPr>
        <w:t xml:space="preserve">7.1供应商应当根据采购文件要求编制响应文件，并根据自己的商务能力、技术水平对采购文件提出的要求和条件逐条标明是否响应。响应文件由商务部分、技术部分、价格部分，以及其他部分组成。</w:t>
      </w:r>
      <w:r/>
    </w:p>
    <w:p>
      <w:pPr>
        <w:ind w:firstLine="422"/>
        <w:spacing w:line="360" w:lineRule="auto"/>
        <w:rPr>
          <w:b/>
          <w:highlight w:val="none"/>
        </w:rPr>
      </w:pPr>
      <w:r>
        <w:rPr>
          <w:b/>
          <w:highlight w:val="none"/>
        </w:rPr>
        <w:t xml:space="preserve">7.2响应文件的商务部分</w:t>
      </w:r>
      <w:r/>
    </w:p>
    <w:p>
      <w:pPr>
        <w:ind w:firstLine="420"/>
        <w:spacing w:line="360" w:lineRule="auto"/>
        <w:rPr>
          <w:highlight w:val="none"/>
        </w:rPr>
      </w:pPr>
      <w:r>
        <w:rPr>
          <w:highlight w:val="none"/>
        </w:rPr>
        <w:t xml:space="preserve">商务部分是证明供应商有资格参加谈判协商和成交后有能力履行合同的文件，这些文件应能满足单一来源采购文件的要求。包括但不限于下列文件，其中加“★”项目不得有缺失或无效：</w:t>
      </w:r>
      <w:r/>
    </w:p>
    <w:p>
      <w:pPr>
        <w:ind w:firstLine="420"/>
        <w:spacing w:line="360" w:lineRule="auto"/>
        <w:rPr>
          <w:highlight w:val="none"/>
        </w:rPr>
      </w:pPr>
      <w:r>
        <w:rPr>
          <w:highlight w:val="none"/>
        </w:rPr>
        <w:t xml:space="preserve">（1）★谈判协商申请及声明；</w:t>
      </w:r>
      <w:r/>
    </w:p>
    <w:p>
      <w:pPr>
        <w:ind w:firstLine="420"/>
        <w:spacing w:line="360" w:lineRule="auto"/>
        <w:rPr>
          <w:highlight w:val="none"/>
        </w:rPr>
      </w:pPr>
      <w:r>
        <w:rPr>
          <w:highlight w:val="none"/>
        </w:rPr>
        <w:t xml:space="preserve">（2）★法定代表人授权委托书及委托代理人（如果有）的身份证明文件的复印件；</w:t>
      </w:r>
      <w:r/>
    </w:p>
    <w:p>
      <w:pPr>
        <w:ind w:firstLine="420"/>
        <w:spacing w:line="360" w:lineRule="auto"/>
        <w:rPr>
          <w:highlight w:val="none"/>
        </w:rPr>
      </w:pPr>
      <w:r>
        <w:rPr>
          <w:highlight w:val="none"/>
        </w:rPr>
        <w:t xml:space="preserve">（3）</w:t>
      </w:r>
      <w:bookmarkStart w:id="20" w:name="_Hlk515700770"/>
      <w:r>
        <w:rPr>
          <w:highlight w:val="none"/>
        </w:rPr>
        <w:t xml:space="preserve">★</w:t>
      </w:r>
      <w:bookmarkEnd w:id="20"/>
      <w:r>
        <w:rPr>
          <w:highlight w:val="none"/>
        </w:rPr>
        <w:t xml:space="preserve">《中华人民共和国政府采购法》第二十二条规定的资格条件证明文件；</w:t>
      </w:r>
      <w:r/>
    </w:p>
    <w:p>
      <w:pPr>
        <w:ind w:firstLine="420"/>
        <w:spacing w:line="360" w:lineRule="auto"/>
        <w:rPr>
          <w:highlight w:val="none"/>
        </w:rPr>
      </w:pPr>
      <w:r>
        <w:rPr>
          <w:highlight w:val="none"/>
        </w:rPr>
        <w:t xml:space="preserve">（4）★“南京市政府采购供应商信用记录表暨信用承诺书”；</w:t>
      </w:r>
      <w:r/>
    </w:p>
    <w:p>
      <w:pPr>
        <w:ind w:firstLine="420"/>
        <w:spacing w:line="360" w:lineRule="auto"/>
        <w:rPr>
          <w:highlight w:val="none"/>
        </w:rPr>
      </w:pPr>
      <w:r>
        <w:rPr>
          <w:highlight w:val="none"/>
        </w:rPr>
        <w:t xml:space="preserve">（5）《商务条款偏离表》；</w:t>
      </w:r>
      <w:r/>
    </w:p>
    <w:p>
      <w:pPr>
        <w:ind w:firstLine="420"/>
        <w:spacing w:line="360" w:lineRule="auto"/>
        <w:rPr>
          <w:highlight w:val="none"/>
        </w:rPr>
      </w:pPr>
      <w:r>
        <w:rPr>
          <w:highlight w:val="none"/>
        </w:rPr>
        <w:t xml:space="preserve">（6）合同草案条款；</w:t>
      </w:r>
      <w:r/>
    </w:p>
    <w:p>
      <w:pPr>
        <w:ind w:firstLine="420"/>
        <w:spacing w:line="360" w:lineRule="auto"/>
        <w:rPr>
          <w:highlight w:val="none"/>
        </w:rPr>
      </w:pPr>
      <w:r>
        <w:rPr>
          <w:highlight w:val="none"/>
        </w:rPr>
        <w:t xml:space="preserve">（7）供应商认为需要提供的其他资格证明文件和商务资料。</w:t>
      </w:r>
      <w:r/>
    </w:p>
    <w:p>
      <w:pPr>
        <w:ind w:firstLine="422"/>
        <w:spacing w:line="360" w:lineRule="auto"/>
        <w:rPr>
          <w:b/>
          <w:highlight w:val="none"/>
        </w:rPr>
      </w:pPr>
      <w:r>
        <w:rPr>
          <w:b/>
          <w:highlight w:val="none"/>
        </w:rPr>
        <w:t xml:space="preserve">7.3响应文件的技术部分</w:t>
      </w:r>
      <w:r/>
    </w:p>
    <w:p>
      <w:pPr>
        <w:ind w:firstLine="420"/>
        <w:spacing w:line="360" w:lineRule="auto"/>
        <w:rPr>
          <w:highlight w:val="none"/>
        </w:rPr>
      </w:pPr>
      <w:r>
        <w:rPr>
          <w:highlight w:val="none"/>
        </w:rPr>
        <w:t xml:space="preserve">技术部分是证明供应商提供的货物和服务是合格的，并符合采购文件要求的证明文件，以及对货物和服务的详细说明，这些文件可以是文字资料、图纸和数据等。若技术服务无特殊说明，则按国家有关部门最新颁布的标准及规范为准。提供的货物和服务如与采购文件要求有不符之处，应说明其差别之所在。包括但不限于下列文件，其中加“★”项目不得有缺失或无效：</w:t>
      </w:r>
      <w:r/>
    </w:p>
    <w:p>
      <w:pPr>
        <w:ind w:firstLine="420"/>
        <w:spacing w:line="360" w:lineRule="auto"/>
        <w:rPr>
          <w:highlight w:val="none"/>
        </w:rPr>
      </w:pPr>
      <w:r>
        <w:rPr>
          <w:highlight w:val="none"/>
        </w:rPr>
        <w:t xml:space="preserve">（1）★服务内容的详细说明或实施方案；</w:t>
      </w:r>
      <w:r/>
    </w:p>
    <w:p>
      <w:pPr>
        <w:ind w:firstLine="420"/>
        <w:spacing w:line="360" w:lineRule="auto"/>
        <w:rPr>
          <w:highlight w:val="none"/>
        </w:rPr>
      </w:pPr>
      <w:r>
        <w:rPr>
          <w:highlight w:val="none"/>
        </w:rPr>
        <w:t xml:space="preserve">（2）《技术条款偏离表》；</w:t>
      </w:r>
      <w:r/>
    </w:p>
    <w:p>
      <w:pPr>
        <w:ind w:firstLine="420"/>
        <w:spacing w:line="360" w:lineRule="auto"/>
        <w:rPr>
          <w:highlight w:val="none"/>
        </w:rPr>
      </w:pPr>
      <w:r>
        <w:rPr>
          <w:highlight w:val="none"/>
        </w:rPr>
        <w:t xml:space="preserve">（3）供应商拟投入本项目人员情况一览表；</w:t>
      </w:r>
      <w:r/>
    </w:p>
    <w:p>
      <w:pPr>
        <w:ind w:firstLine="420"/>
        <w:spacing w:line="360" w:lineRule="auto"/>
        <w:rPr>
          <w:highlight w:val="none"/>
        </w:rPr>
      </w:pPr>
      <w:r>
        <w:rPr>
          <w:highlight w:val="none"/>
        </w:rPr>
        <w:t xml:space="preserve">（4）服务承诺；</w:t>
      </w:r>
      <w:r/>
    </w:p>
    <w:p>
      <w:pPr>
        <w:ind w:firstLine="420"/>
        <w:spacing w:line="360" w:lineRule="auto"/>
        <w:rPr>
          <w:highlight w:val="none"/>
        </w:rPr>
      </w:pPr>
      <w:r>
        <w:rPr>
          <w:highlight w:val="none"/>
        </w:rPr>
        <w:t xml:space="preserve">（5）供应商认为需要提供的其他技术资料。</w:t>
      </w:r>
      <w:r/>
    </w:p>
    <w:p>
      <w:pPr>
        <w:ind w:firstLine="422"/>
        <w:spacing w:line="360" w:lineRule="auto"/>
        <w:rPr>
          <w:b/>
          <w:highlight w:val="none"/>
        </w:rPr>
      </w:pPr>
      <w:r>
        <w:rPr>
          <w:b/>
          <w:highlight w:val="none"/>
        </w:rPr>
        <w:t xml:space="preserve">7.4响应文件的价格部分</w:t>
      </w:r>
      <w:r/>
    </w:p>
    <w:p>
      <w:pPr>
        <w:ind w:firstLine="420"/>
        <w:spacing w:line="360" w:lineRule="auto"/>
        <w:rPr>
          <w:highlight w:val="none"/>
        </w:rPr>
      </w:pPr>
      <w:r>
        <w:rPr>
          <w:highlight w:val="none"/>
        </w:rPr>
        <w:t xml:space="preserve">（1）价格部分是对货物和服务价格构成的说明，单一来源文件如没有特别说明的话，对每一项货物和服务仅接受一个价格。</w:t>
      </w:r>
      <w:r/>
    </w:p>
    <w:p>
      <w:pPr>
        <w:ind w:firstLine="420"/>
        <w:spacing w:line="360" w:lineRule="auto"/>
        <w:rPr>
          <w:highlight w:val="none"/>
        </w:rPr>
      </w:pPr>
      <w:r>
        <w:rPr>
          <w:highlight w:val="none"/>
        </w:rPr>
        <w:t xml:space="preserve">（2）报价应包含本次采购项目有关的所有费用，包括但不限于支付给员工的工资和国家强制缴纳的各种社会保障资金，以及供应商认为需要的其他费用等。</w:t>
      </w:r>
      <w:r/>
    </w:p>
    <w:p>
      <w:pPr>
        <w:ind w:firstLine="420"/>
        <w:spacing w:line="360" w:lineRule="auto"/>
        <w:rPr>
          <w:highlight w:val="none"/>
        </w:rPr>
      </w:pPr>
      <w:r>
        <w:rPr>
          <w:highlight w:val="none"/>
        </w:rPr>
        <w:t xml:space="preserve">（3）供应商应以表格形式详细说明货物和服务的价格构成，以及价格构成各项因素的单价和总价。</w:t>
      </w:r>
      <w:r/>
    </w:p>
    <w:p>
      <w:pPr>
        <w:ind w:firstLine="422"/>
        <w:spacing w:line="360" w:lineRule="auto"/>
        <w:rPr>
          <w:b/>
          <w:highlight w:val="none"/>
        </w:rPr>
      </w:pPr>
      <w:r>
        <w:rPr>
          <w:b/>
          <w:highlight w:val="none"/>
        </w:rPr>
        <w:t xml:space="preserve">（4）供应商应充分考虑到市场价格变动，以及项目实施过程中的不可预见因素，一旦成交，总价格不变。如果有漏项，视同让利。</w:t>
      </w:r>
      <w:r/>
    </w:p>
    <w:p>
      <w:pPr>
        <w:ind w:firstLine="420"/>
        <w:jc w:val="left"/>
        <w:spacing w:line="360" w:lineRule="auto"/>
        <w:widowControl/>
        <w:tabs>
          <w:tab w:val="left" w:pos="1440" w:leader="none"/>
        </w:tabs>
        <w:rPr>
          <w:rFonts w:hint="default" w:ascii="Times New Roman" w:hAnsi="Times New Roman" w:cs="Times New Roman"/>
          <w:highlight w:val="none"/>
        </w:rPr>
      </w:pPr>
      <w:r>
        <w:rPr>
          <w:rFonts w:hint="default" w:ascii="Times New Roman" w:hAnsi="Times New Roman" w:cs="Times New Roman"/>
          <w:highlight w:val="none"/>
        </w:rPr>
        <w:t xml:space="preserve">（5）</w:t>
      </w:r>
      <w:r>
        <w:rPr>
          <w:rFonts w:hint="eastAsia" w:ascii="Times New Roman" w:hAnsi="Times New Roman" w:cs="Times New Roman"/>
          <w:b/>
          <w:sz w:val="21"/>
          <w:highlight w:val="none"/>
          <w:lang w:val="en-US" w:eastAsia="zh-CN"/>
        </w:rPr>
        <w:t xml:space="preserve">经谈判协商后，如成交价低于供应商首次报价，代理服务费按本项目采购文件中代理服务费规定，以最终成交价为基数计算。</w:t>
      </w:r>
      <w:r/>
    </w:p>
    <w:p>
      <w:pPr>
        <w:ind w:firstLine="420"/>
        <w:spacing w:line="360" w:lineRule="auto"/>
        <w:rPr>
          <w:highlight w:val="none"/>
        </w:rPr>
      </w:pPr>
      <w:r>
        <w:rPr>
          <w:highlight w:val="none"/>
        </w:rPr>
        <w:t xml:space="preserve">（6）对于供货或服务商未报价但在该项目中因缺少人员、原材料、设备、耗材等或服务标准过低影响本项目正常运转的，谈判协商小组有权要求供货或服务商在不增加费用的基础上进行提供。对本项目正常运转的双方理解不一致的，应以采购人的理解和要求为准。</w:t>
      </w:r>
      <w:r/>
    </w:p>
    <w:p>
      <w:pPr>
        <w:ind w:firstLine="422"/>
        <w:spacing w:line="360" w:lineRule="auto"/>
        <w:rPr>
          <w:b/>
          <w:highlight w:val="none"/>
        </w:rPr>
      </w:pPr>
      <w:r>
        <w:rPr>
          <w:b/>
          <w:highlight w:val="none"/>
        </w:rPr>
        <w:t xml:space="preserve">（7）供应商的报价不得超过该项目的预算金额或者最高限价，超过采购文件规定的预算金额或者最高限价的响应文件，按无效响应处理。</w:t>
      </w:r>
      <w:r/>
    </w:p>
    <w:p>
      <w:pPr>
        <w:ind w:firstLine="420"/>
        <w:spacing w:line="360" w:lineRule="auto"/>
        <w:rPr>
          <w:highlight w:val="none"/>
        </w:rPr>
      </w:pPr>
      <w:r>
        <w:rPr>
          <w:highlight w:val="none"/>
        </w:rPr>
        <w:t xml:space="preserve">（8）项目预算包含所有为履行本合同而支出的全部费用，除此以外采购单位不会以任何形式支付任何费用。</w:t>
      </w:r>
      <w:r/>
    </w:p>
    <w:p>
      <w:pPr>
        <w:ind w:firstLine="422"/>
        <w:spacing w:line="360" w:lineRule="auto"/>
        <w:rPr>
          <w:b/>
          <w:bCs/>
          <w:highlight w:val="none"/>
        </w:rPr>
      </w:pPr>
      <w:r>
        <w:rPr>
          <w:b/>
          <w:bCs/>
          <w:highlight w:val="none"/>
        </w:rPr>
        <w:t xml:space="preserve">7.5响应文件的其他部分为供应商编制响应文件需要提供的其他相关文件。</w:t>
      </w:r>
      <w:r/>
    </w:p>
    <w:p>
      <w:pPr>
        <w:spacing w:line="360" w:lineRule="auto"/>
        <w:rPr>
          <w:b/>
          <w:szCs w:val="18"/>
          <w:highlight w:val="none"/>
        </w:rPr>
      </w:pPr>
      <w:r>
        <w:rPr>
          <w:b/>
          <w:szCs w:val="18"/>
          <w:highlight w:val="none"/>
        </w:rPr>
        <w:t xml:space="preserve">三、响应文件的递交</w:t>
      </w:r>
      <w:r/>
    </w:p>
    <w:p>
      <w:pPr>
        <w:ind w:firstLine="211"/>
        <w:spacing w:line="360" w:lineRule="auto"/>
        <w:rPr>
          <w:b/>
          <w:highlight w:val="none"/>
        </w:rPr>
      </w:pPr>
      <w:r>
        <w:rPr>
          <w:b/>
          <w:highlight w:val="none"/>
        </w:rPr>
        <w:t xml:space="preserve">8、响应文件的密封和递交</w:t>
      </w:r>
      <w:r/>
    </w:p>
    <w:p>
      <w:pPr>
        <w:ind w:firstLine="420"/>
        <w:spacing w:line="360" w:lineRule="auto"/>
        <w:rPr>
          <w:highlight w:val="none"/>
        </w:rPr>
      </w:pPr>
      <w:r>
        <w:rPr>
          <w:highlight w:val="none"/>
        </w:rPr>
        <w:t xml:space="preserve">8.1响应文件应由供应商法定代表人或授权代表签字，并加盖公章。</w:t>
      </w:r>
      <w:r/>
    </w:p>
    <w:p>
      <w:pPr>
        <w:ind w:firstLine="422"/>
        <w:spacing w:line="360" w:lineRule="auto"/>
        <w:rPr>
          <w:b/>
          <w:highlight w:val="none"/>
        </w:rPr>
      </w:pPr>
      <w:r>
        <w:rPr>
          <w:b/>
          <w:highlight w:val="none"/>
        </w:rPr>
        <w:t xml:space="preserve">8.2供应商在单一来源采购文件要求提交响应文件的截止时间前，必须将响应文件密封送达指定地点。</w:t>
      </w:r>
      <w:r/>
    </w:p>
    <w:p>
      <w:pPr>
        <w:ind w:firstLine="422"/>
        <w:spacing w:line="360" w:lineRule="auto"/>
        <w:rPr>
          <w:b/>
          <w:highlight w:val="none"/>
        </w:rPr>
      </w:pPr>
      <w:r>
        <w:rPr>
          <w:b/>
          <w:highlight w:val="none"/>
        </w:rPr>
        <w:t xml:space="preserve">8.3有下列情形之一的，响应文件将被拒收：</w:t>
      </w:r>
      <w:r/>
    </w:p>
    <w:p>
      <w:pPr>
        <w:ind w:firstLine="420"/>
        <w:spacing w:line="360" w:lineRule="auto"/>
        <w:rPr>
          <w:highlight w:val="none"/>
        </w:rPr>
      </w:pPr>
      <w:r>
        <w:rPr>
          <w:highlight w:val="none"/>
        </w:rPr>
        <w:t xml:space="preserve">（1）在单一来源文件要求提交响应文件的截止时间之后送达的；</w:t>
      </w:r>
      <w:r/>
    </w:p>
    <w:p>
      <w:pPr>
        <w:ind w:firstLine="420"/>
        <w:spacing w:line="360" w:lineRule="auto"/>
        <w:rPr>
          <w:b/>
          <w:szCs w:val="18"/>
          <w:highlight w:val="none"/>
        </w:rPr>
      </w:pPr>
      <w:r>
        <w:rPr>
          <w:highlight w:val="none"/>
        </w:rPr>
        <w:t xml:space="preserve">（2）其他法定情形。</w:t>
      </w:r>
      <w:r/>
    </w:p>
    <w:p>
      <w:pPr>
        <w:spacing w:line="360" w:lineRule="auto"/>
        <w:rPr>
          <w:b/>
          <w:szCs w:val="18"/>
          <w:highlight w:val="none"/>
        </w:rPr>
      </w:pPr>
      <w:r>
        <w:rPr>
          <w:b/>
          <w:szCs w:val="18"/>
          <w:highlight w:val="none"/>
        </w:rPr>
        <w:t xml:space="preserve">四、谈判协商</w:t>
      </w:r>
      <w:r/>
    </w:p>
    <w:p>
      <w:pPr>
        <w:ind w:firstLine="211"/>
        <w:spacing w:line="360" w:lineRule="auto"/>
        <w:rPr>
          <w:b/>
          <w:highlight w:val="none"/>
        </w:rPr>
      </w:pPr>
      <w:r>
        <w:rPr>
          <w:b/>
          <w:highlight w:val="none"/>
        </w:rPr>
        <w:t xml:space="preserve">9、联合体</w:t>
      </w:r>
      <w:r/>
    </w:p>
    <w:p>
      <w:pPr>
        <w:ind w:firstLine="420"/>
        <w:spacing w:line="360" w:lineRule="auto"/>
        <w:rPr>
          <w:highlight w:val="none"/>
        </w:rPr>
      </w:pPr>
      <w:r>
        <w:rPr>
          <w:highlight w:val="none"/>
        </w:rPr>
        <w:t xml:space="preserve">9.1本项目不接受联合体参与谈判协商。</w:t>
      </w:r>
      <w:r/>
    </w:p>
    <w:p>
      <w:pPr>
        <w:ind w:firstLine="211"/>
        <w:spacing w:line="360" w:lineRule="auto"/>
        <w:rPr>
          <w:b/>
          <w:highlight w:val="none"/>
        </w:rPr>
      </w:pPr>
      <w:r>
        <w:rPr>
          <w:b/>
          <w:highlight w:val="none"/>
        </w:rPr>
        <w:t xml:space="preserve">10、谈判协商组织</w:t>
      </w:r>
      <w:r/>
    </w:p>
    <w:p>
      <w:pPr>
        <w:ind w:firstLine="420"/>
        <w:spacing w:line="360" w:lineRule="auto"/>
        <w:rPr>
          <w:highlight w:val="none"/>
        </w:rPr>
      </w:pPr>
      <w:r>
        <w:rPr>
          <w:highlight w:val="none"/>
        </w:rPr>
        <w:t xml:space="preserve">10.1代理机构将在单一来源采购邀请中规定的时间和地点组织采购人员与供应商谈判协商采购标的的价格、质量、服务等。供应商应委派携带有效证件的代表准时参加，并且谈判协商期间未经采购人员同意不得离开谈判现场。</w:t>
      </w:r>
      <w:r/>
    </w:p>
    <w:p>
      <w:pPr>
        <w:ind w:firstLine="420"/>
        <w:spacing w:line="360" w:lineRule="auto"/>
        <w:rPr>
          <w:highlight w:val="none"/>
        </w:rPr>
      </w:pPr>
      <w:r>
        <w:rPr>
          <w:highlight w:val="none"/>
        </w:rPr>
        <w:t xml:space="preserve">10.2采购人员由采购人、代理机构按照政府采购有关规定，组织具有相关经验的专业人员构成。</w:t>
      </w:r>
      <w:r/>
    </w:p>
    <w:p>
      <w:pPr>
        <w:ind w:firstLine="211"/>
        <w:spacing w:line="360" w:lineRule="auto"/>
        <w:rPr>
          <w:b/>
          <w:highlight w:val="none"/>
        </w:rPr>
      </w:pPr>
      <w:r>
        <w:rPr>
          <w:b/>
          <w:highlight w:val="none"/>
        </w:rPr>
        <w:t xml:space="preserve">11、对响应文件的评审</w:t>
      </w:r>
      <w:r/>
    </w:p>
    <w:p>
      <w:pPr>
        <w:ind w:firstLine="420"/>
        <w:spacing w:line="360" w:lineRule="auto"/>
        <w:rPr>
          <w:highlight w:val="none"/>
        </w:rPr>
      </w:pPr>
      <w:r>
        <w:rPr>
          <w:highlight w:val="none"/>
        </w:rPr>
        <w:t xml:space="preserve">11.1采购人员按照客观、公正、审慎的原则评审供应商所递交的响应文件，未实质性响应采购文件的响应文件按无效处理。</w:t>
      </w:r>
      <w:r/>
    </w:p>
    <w:p>
      <w:pPr>
        <w:ind w:firstLine="420"/>
        <w:spacing w:line="360" w:lineRule="auto"/>
        <w:rPr>
          <w:highlight w:val="none"/>
        </w:rPr>
      </w:pPr>
      <w:r>
        <w:rPr>
          <w:highlight w:val="none"/>
        </w:rPr>
        <w:t xml:space="preserve">11.2响应文件评审期间，为有助于对谈判协商响应文件的审查、评价和比较，采购人员有权要求供应商对其响应文件进行澄清。</w:t>
      </w:r>
      <w:r/>
    </w:p>
    <w:p>
      <w:pPr>
        <w:ind w:firstLine="422"/>
        <w:spacing w:line="360" w:lineRule="auto"/>
        <w:rPr>
          <w:b/>
          <w:highlight w:val="none"/>
        </w:rPr>
      </w:pPr>
      <w:r>
        <w:rPr>
          <w:b/>
          <w:highlight w:val="none"/>
        </w:rPr>
        <w:t xml:space="preserve">11.3出现下列情形之一的，响应文件按照无效处理：</w:t>
      </w:r>
      <w:r/>
    </w:p>
    <w:p>
      <w:pPr>
        <w:ind w:firstLine="420"/>
        <w:spacing w:line="360" w:lineRule="auto"/>
        <w:rPr>
          <w:highlight w:val="none"/>
        </w:rPr>
      </w:pPr>
      <w:r>
        <w:rPr>
          <w:highlight w:val="none"/>
        </w:rPr>
        <w:t xml:space="preserve">（1）未按采购文件规定签署、盖章的；</w:t>
      </w:r>
      <w:r/>
    </w:p>
    <w:p>
      <w:pPr>
        <w:ind w:firstLine="420"/>
        <w:spacing w:line="360" w:lineRule="auto"/>
        <w:rPr>
          <w:highlight w:val="none"/>
        </w:rPr>
      </w:pPr>
      <w:r>
        <w:rPr>
          <w:highlight w:val="none"/>
        </w:rPr>
        <w:t xml:space="preserve">（2）不具备采购文件中规定的资格条件的；</w:t>
      </w:r>
      <w:r/>
    </w:p>
    <w:p>
      <w:pPr>
        <w:ind w:firstLine="420"/>
        <w:spacing w:line="360" w:lineRule="auto"/>
        <w:rPr>
          <w:highlight w:val="none"/>
        </w:rPr>
      </w:pPr>
      <w:r>
        <w:rPr>
          <w:highlight w:val="none"/>
        </w:rPr>
        <w:t xml:space="preserve">（3）未实质性响应采购文件要求的；</w:t>
      </w:r>
      <w:r/>
    </w:p>
    <w:p>
      <w:pPr>
        <w:ind w:firstLine="420"/>
        <w:spacing w:line="360" w:lineRule="auto"/>
        <w:rPr>
          <w:highlight w:val="none"/>
        </w:rPr>
      </w:pPr>
      <w:r>
        <w:rPr>
          <w:highlight w:val="none"/>
        </w:rPr>
        <w:t xml:space="preserve">（4）响应文件含中有采购人不能接受的附加条件的；</w:t>
      </w:r>
      <w:r/>
    </w:p>
    <w:p>
      <w:pPr>
        <w:ind w:firstLine="420"/>
        <w:spacing w:line="360" w:lineRule="auto"/>
        <w:rPr>
          <w:highlight w:val="none"/>
        </w:rPr>
      </w:pPr>
      <w:r>
        <w:rPr>
          <w:highlight w:val="none"/>
        </w:rPr>
        <w:t xml:space="preserve">（5）不符合法律、法规和采购文件规定的其他实质性要求的。</w:t>
      </w:r>
      <w:r/>
    </w:p>
    <w:p>
      <w:pPr>
        <w:ind w:firstLine="422"/>
        <w:spacing w:line="360" w:lineRule="auto"/>
        <w:rPr>
          <w:highlight w:val="none"/>
        </w:rPr>
      </w:pPr>
      <w:r>
        <w:rPr>
          <w:b/>
          <w:highlight w:val="none"/>
        </w:rPr>
        <w:t xml:space="preserve">11.4出现下列情形之一的，谈判协商终止</w:t>
      </w:r>
      <w:r>
        <w:rPr>
          <w:highlight w:val="none"/>
        </w:rPr>
        <w:t xml:space="preserve">：</w:t>
      </w:r>
      <w:r/>
    </w:p>
    <w:p>
      <w:pPr>
        <w:ind w:firstLine="420"/>
        <w:spacing w:line="360" w:lineRule="auto"/>
        <w:rPr>
          <w:highlight w:val="none"/>
        </w:rPr>
      </w:pPr>
      <w:r>
        <w:rPr>
          <w:highlight w:val="none"/>
        </w:rPr>
        <w:t xml:space="preserve">（1）因情况变化，不再符合规定的单一来源采购方式适用情形的；</w:t>
      </w:r>
      <w:r/>
    </w:p>
    <w:p>
      <w:pPr>
        <w:ind w:firstLine="420"/>
        <w:spacing w:line="360" w:lineRule="auto"/>
        <w:rPr>
          <w:highlight w:val="none"/>
        </w:rPr>
      </w:pPr>
      <w:r>
        <w:rPr>
          <w:highlight w:val="none"/>
        </w:rPr>
        <w:t xml:space="preserve">（2）出现影响采购公正的违法、违规行为的；</w:t>
      </w:r>
      <w:r/>
    </w:p>
    <w:p>
      <w:pPr>
        <w:ind w:firstLine="420"/>
        <w:spacing w:line="360" w:lineRule="auto"/>
        <w:rPr>
          <w:highlight w:val="none"/>
        </w:rPr>
      </w:pPr>
      <w:r>
        <w:rPr>
          <w:highlight w:val="none"/>
        </w:rPr>
        <w:t xml:space="preserve">（3）报价超过采购预算的；</w:t>
      </w:r>
      <w:r/>
    </w:p>
    <w:p>
      <w:pPr>
        <w:ind w:firstLine="420"/>
        <w:spacing w:line="360" w:lineRule="auto"/>
        <w:rPr>
          <w:highlight w:val="none"/>
        </w:rPr>
      </w:pPr>
      <w:r>
        <w:rPr>
          <w:highlight w:val="none"/>
        </w:rPr>
        <w:t xml:space="preserve">（4）因重大变故，采购任务取消的；</w:t>
      </w:r>
      <w:r/>
    </w:p>
    <w:p>
      <w:pPr>
        <w:ind w:firstLine="420"/>
        <w:spacing w:line="360" w:lineRule="auto"/>
        <w:rPr>
          <w:highlight w:val="none"/>
        </w:rPr>
      </w:pPr>
      <w:r>
        <w:rPr>
          <w:highlight w:val="none"/>
        </w:rPr>
        <w:t xml:space="preserve">（5）法律、法规、规章规定的其他应当终止的情形。</w:t>
      </w:r>
      <w:r/>
    </w:p>
    <w:p>
      <w:pPr>
        <w:ind w:firstLine="420"/>
        <w:spacing w:line="360" w:lineRule="auto"/>
        <w:rPr>
          <w:highlight w:val="none"/>
        </w:rPr>
      </w:pPr>
      <w:r>
        <w:rPr>
          <w:highlight w:val="none"/>
        </w:rPr>
        <w:t xml:space="preserve">11.5谈判协商有效期为90天，谈判协商有效期从提交响应文件的截止之日起算。响应文件中承诺的谈判协商有效期应当不少于采购文件中载明的谈判协商有效期。</w:t>
      </w:r>
      <w:r/>
    </w:p>
    <w:p>
      <w:pPr>
        <w:ind w:firstLine="211"/>
        <w:spacing w:line="360" w:lineRule="auto"/>
        <w:rPr>
          <w:b/>
          <w:highlight w:val="none"/>
        </w:rPr>
      </w:pPr>
      <w:r>
        <w:rPr>
          <w:b/>
          <w:highlight w:val="none"/>
        </w:rPr>
        <w:t xml:space="preserve">12、谈判协商及成交原则</w:t>
      </w:r>
      <w:r/>
    </w:p>
    <w:p>
      <w:pPr>
        <w:ind w:firstLine="420"/>
        <w:spacing w:line="360" w:lineRule="auto"/>
        <w:rPr>
          <w:highlight w:val="none"/>
        </w:rPr>
      </w:pPr>
      <w:r>
        <w:rPr>
          <w:highlight w:val="none"/>
        </w:rPr>
        <w:t xml:space="preserve">12.1响应文件评审期间，为有助于对响应文件的审查、评价和比较，采购人员有权要求供应商对其响应文件进行澄清。参加谈判协商的供应商应当以书面形式对谈判协商中做出的承诺与澄清进行确认，并在采购人员规定的时间内完成书面报价（最终总报价或可能的中间报价）。谈判协商承诺及书面报价均须由法定代表人或其授权代表签字确认。</w:t>
      </w:r>
      <w:r/>
    </w:p>
    <w:p>
      <w:pPr>
        <w:ind w:firstLine="420"/>
        <w:spacing w:line="360" w:lineRule="auto"/>
        <w:rPr>
          <w:highlight w:val="none"/>
        </w:rPr>
      </w:pPr>
      <w:r>
        <w:rPr>
          <w:highlight w:val="none"/>
        </w:rPr>
        <w:t xml:space="preserve">12.2采购人员与实质性响应采购文件要求的供应商谈判商定合理的成交价格并保证采购项目质量。</w:t>
      </w:r>
      <w:r/>
    </w:p>
    <w:p>
      <w:pPr>
        <w:ind w:firstLine="420"/>
        <w:spacing w:line="360" w:lineRule="auto"/>
        <w:rPr>
          <w:highlight w:val="none"/>
        </w:rPr>
      </w:pPr>
      <w:r>
        <w:rPr>
          <w:highlight w:val="none"/>
        </w:rPr>
        <w:t xml:space="preserve">12.3供应商最终总报价在响应产品数量没有增加，配置、服务没有重大提高的情况下，一般不允许高于第一次报价（即响应文件配置与分项报价表中的报价）。否则，采购人员有权拒绝该谈判协商报价并不再给予报价补救机会。</w:t>
      </w:r>
      <w:r/>
    </w:p>
    <w:p>
      <w:pPr>
        <w:ind w:firstLine="420"/>
        <w:spacing w:line="360" w:lineRule="auto"/>
        <w:rPr>
          <w:highlight w:val="none"/>
        </w:rPr>
      </w:pPr>
      <w:r>
        <w:rPr>
          <w:highlight w:val="none"/>
        </w:rPr>
        <w:t xml:space="preserve">12.4谈判协商成交原则</w:t>
      </w:r>
      <w:r/>
    </w:p>
    <w:p>
      <w:pPr>
        <w:ind w:firstLine="420"/>
        <w:spacing w:line="360" w:lineRule="auto"/>
        <w:rPr>
          <w:highlight w:val="none"/>
        </w:rPr>
      </w:pPr>
      <w:r>
        <w:rPr>
          <w:highlight w:val="none"/>
        </w:rPr>
        <w:t xml:space="preserve">采购人员经过与单一来源供应商充分协商，在能保证产品质量且最终报价合理的基础上推荐其为成交供应商。</w:t>
      </w:r>
      <w:r/>
    </w:p>
    <w:p>
      <w:pPr>
        <w:ind w:firstLine="211"/>
        <w:spacing w:line="360" w:lineRule="auto"/>
        <w:rPr>
          <w:b/>
          <w:highlight w:val="none"/>
        </w:rPr>
      </w:pPr>
      <w:r>
        <w:rPr>
          <w:b/>
          <w:highlight w:val="none"/>
        </w:rPr>
        <w:t xml:space="preserve">13、确定成交结果</w:t>
      </w:r>
      <w:r/>
    </w:p>
    <w:p>
      <w:pPr>
        <w:ind w:firstLine="420"/>
        <w:spacing w:line="360" w:lineRule="auto"/>
        <w:rPr>
          <w:highlight w:val="none"/>
        </w:rPr>
      </w:pPr>
      <w:r>
        <w:rPr>
          <w:highlight w:val="none"/>
        </w:rPr>
        <w:t xml:space="preserve">13.1采购人员根据谈判协商情况编写协商情况记录，推荐成交候选人。</w:t>
      </w:r>
      <w:r/>
    </w:p>
    <w:p>
      <w:pPr>
        <w:ind w:firstLine="420"/>
        <w:spacing w:line="360" w:lineRule="auto"/>
        <w:rPr>
          <w:highlight w:val="none"/>
        </w:rPr>
      </w:pPr>
      <w:r>
        <w:rPr>
          <w:highlight w:val="none"/>
        </w:rPr>
        <w:t xml:space="preserve">13.2采购人根据采购人员推荐的成交候选人确定成交供应商。</w:t>
      </w:r>
      <w:r/>
    </w:p>
    <w:p>
      <w:pPr>
        <w:ind w:firstLine="420"/>
        <w:spacing w:line="360" w:lineRule="auto"/>
        <w:rPr>
          <w:highlight w:val="none"/>
        </w:rPr>
      </w:pPr>
      <w:r>
        <w:rPr>
          <w:highlight w:val="none"/>
        </w:rPr>
        <w:t xml:space="preserve">13.3成交供应商确定后将在“南京公共采购信息网”进行公示，公示期为1个工作日，公示的同时向成交供应商发出成交通知书。</w:t>
      </w:r>
      <w:r/>
    </w:p>
    <w:p>
      <w:pPr>
        <w:ind w:firstLine="420"/>
        <w:spacing w:line="360" w:lineRule="auto"/>
        <w:rPr>
          <w:highlight w:val="none"/>
        </w:rPr>
      </w:pPr>
      <w:r>
        <w:rPr>
          <w:highlight w:val="none"/>
        </w:rPr>
        <w:t xml:space="preserve">13.4成交通知书对采购人和成交供应商具有同等法律效力。</w:t>
      </w:r>
      <w:r/>
    </w:p>
    <w:p>
      <w:pPr>
        <w:ind w:firstLine="420"/>
        <w:spacing w:line="360" w:lineRule="auto"/>
        <w:rPr>
          <w:highlight w:val="none"/>
        </w:rPr>
      </w:pPr>
      <w:r>
        <w:rPr>
          <w:highlight w:val="none"/>
        </w:rPr>
        <w:t xml:space="preserve">13.5成交通知书发出后，采购人或成交供应商拒绝签订合同的，拒绝签订合同的一方应至少向另一方支付为谈判协商所发生的有关费用和双方商定的其他补偿，并承担相应的法律责任。</w:t>
      </w:r>
      <w:r/>
    </w:p>
    <w:p>
      <w:pPr>
        <w:ind w:firstLine="420"/>
        <w:spacing w:line="360" w:lineRule="auto"/>
        <w:rPr>
          <w:highlight w:val="none"/>
        </w:rPr>
      </w:pPr>
      <w:r>
        <w:rPr>
          <w:highlight w:val="none"/>
        </w:rPr>
        <w:t xml:space="preserve">13.6成交通知书发出后，成交供应商除发生法律规定的不能预见、不能避免并不能克服的客观情况外不得放弃或拒绝签订合同的。放弃或拒绝签订合同，情节严重的提请财政部门将其列入不良行为名单，在一至三年内不得参加政府采购活动，并予以通报。</w:t>
      </w:r>
      <w:r/>
    </w:p>
    <w:p>
      <w:pPr>
        <w:ind w:firstLine="420"/>
        <w:spacing w:line="360" w:lineRule="auto"/>
        <w:rPr>
          <w:highlight w:val="none"/>
        </w:rPr>
      </w:pPr>
      <w:r>
        <w:rPr>
          <w:highlight w:val="none"/>
        </w:rPr>
        <w:t xml:space="preserve">13.7代理机构对未成交的供应商不作未成交原因的解释。</w:t>
      </w:r>
      <w:r/>
    </w:p>
    <w:p>
      <w:pPr>
        <w:ind w:firstLine="420"/>
        <w:spacing w:line="360" w:lineRule="auto"/>
        <w:rPr>
          <w:highlight w:val="none"/>
        </w:rPr>
      </w:pPr>
      <w:r>
        <w:rPr>
          <w:highlight w:val="none"/>
        </w:rPr>
        <w:t xml:space="preserve">13.8响应文件将作为档案保存，不论成交与否，代理机构均不退回。</w:t>
      </w:r>
      <w:r/>
    </w:p>
    <w:p>
      <w:pPr>
        <w:ind w:firstLine="211"/>
        <w:spacing w:line="360" w:lineRule="auto"/>
        <w:rPr>
          <w:b/>
          <w:highlight w:val="none"/>
        </w:rPr>
      </w:pPr>
      <w:r>
        <w:rPr>
          <w:b/>
          <w:highlight w:val="none"/>
        </w:rPr>
        <w:t xml:space="preserve">14、编写谈判协商（评审）报告</w:t>
      </w:r>
      <w:r/>
    </w:p>
    <w:p>
      <w:pPr>
        <w:ind w:firstLine="420"/>
        <w:spacing w:line="360" w:lineRule="auto"/>
        <w:rPr>
          <w:highlight w:val="none"/>
        </w:rPr>
      </w:pPr>
      <w:r>
        <w:rPr>
          <w:highlight w:val="none"/>
        </w:rPr>
        <w:t xml:space="preserve">14.1采购人员根据谈判协商过程和结果编写谈判协商（评审）报告。</w:t>
      </w:r>
      <w:r/>
    </w:p>
    <w:p>
      <w:pPr>
        <w:ind w:firstLine="211"/>
        <w:spacing w:line="360" w:lineRule="auto"/>
        <w:rPr>
          <w:b/>
          <w:highlight w:val="none"/>
        </w:rPr>
      </w:pPr>
      <w:r>
        <w:rPr>
          <w:b/>
          <w:highlight w:val="none"/>
        </w:rPr>
        <w:t xml:space="preserve">15、签订合同</w:t>
      </w:r>
      <w:r/>
    </w:p>
    <w:p>
      <w:pPr>
        <w:ind w:firstLine="420"/>
        <w:spacing w:line="360" w:lineRule="auto"/>
        <w:rPr>
          <w:highlight w:val="none"/>
        </w:rPr>
      </w:pPr>
      <w:r>
        <w:rPr>
          <w:highlight w:val="none"/>
        </w:rPr>
        <w:t xml:space="preserve">15.1成交供应商应当自成交通知书发出之日起</w:t>
      </w:r>
      <w:r>
        <w:rPr>
          <w:b/>
          <w:highlight w:val="none"/>
        </w:rPr>
        <w:t xml:space="preserve">三十日</w:t>
      </w:r>
      <w:r>
        <w:rPr>
          <w:highlight w:val="none"/>
        </w:rPr>
        <w:t xml:space="preserve">内，与采购人签订合同，所签订的合同不得对单一来源采购文件和供应商响应文件内容作实质性修改。</w:t>
      </w:r>
      <w:r/>
    </w:p>
    <w:p>
      <w:pPr>
        <w:ind w:firstLine="420"/>
        <w:spacing w:line="360" w:lineRule="auto"/>
        <w:rPr>
          <w:highlight w:val="none"/>
        </w:rPr>
      </w:pPr>
      <w:r>
        <w:rPr>
          <w:highlight w:val="none"/>
        </w:rPr>
        <w:t xml:space="preserve">15.2采购人不得向成交供应商提出任何不合理的要求作为签订合同的条件，不得与成交供应商私下订立背离合同实质性内容的协议。</w:t>
      </w:r>
      <w:r/>
    </w:p>
    <w:p>
      <w:pPr>
        <w:ind w:firstLine="420"/>
        <w:spacing w:line="360" w:lineRule="auto"/>
        <w:rPr>
          <w:highlight w:val="none"/>
        </w:rPr>
      </w:pPr>
      <w:r/>
      <w:bookmarkStart w:id="21" w:name="_Toc514847876"/>
      <w:r>
        <w:rPr>
          <w:highlight w:val="none"/>
        </w:rPr>
        <w:t xml:space="preserve">15.3成交供应商拒绝签订合同的，本项目将重新开展采购活动。拒绝签订合同的成交供应商不得参加重新开展的采购活动。法律法规或采购文件另有规定的除外。</w:t>
      </w:r>
      <w:r/>
    </w:p>
    <w:p>
      <w:pPr>
        <w:spacing w:line="360" w:lineRule="auto"/>
        <w:rPr>
          <w:b/>
          <w:szCs w:val="18"/>
          <w:highlight w:val="none"/>
        </w:rPr>
      </w:pPr>
      <w:r>
        <w:rPr>
          <w:b/>
          <w:szCs w:val="18"/>
          <w:highlight w:val="none"/>
        </w:rPr>
        <w:t xml:space="preserve">五、询问、质疑、投诉和诚实信用</w:t>
      </w:r>
      <w:bookmarkEnd w:id="21"/>
      <w:r/>
      <w:r/>
    </w:p>
    <w:p>
      <w:pPr>
        <w:ind w:firstLine="211"/>
        <w:spacing w:line="360" w:lineRule="auto"/>
        <w:rPr>
          <w:b/>
          <w:highlight w:val="none"/>
        </w:rPr>
      </w:pPr>
      <w:r>
        <w:rPr>
          <w:b/>
          <w:highlight w:val="none"/>
        </w:rPr>
        <w:t xml:space="preserve">16、询问</w:t>
      </w:r>
      <w:r/>
    </w:p>
    <w:p>
      <w:pPr>
        <w:ind w:firstLine="420"/>
        <w:spacing w:line="360" w:lineRule="auto"/>
        <w:rPr>
          <w:highlight w:val="none"/>
        </w:rPr>
      </w:pPr>
      <w:r>
        <w:rPr>
          <w:highlight w:val="none"/>
        </w:rPr>
        <w:t xml:space="preserve">16.1供应商对采购活动事项有疑问的，可以向代理机构提出询问，代理机构将在</w:t>
      </w:r>
      <w:r>
        <w:rPr>
          <w:b/>
          <w:highlight w:val="none"/>
          <w:u w:val="single"/>
        </w:rPr>
        <w:t xml:space="preserve">三个工作日</w:t>
      </w:r>
      <w:r>
        <w:rPr>
          <w:highlight w:val="none"/>
        </w:rPr>
        <w:t xml:space="preserve">内作出答复，但答复的内容不涉及商业秘密。</w:t>
      </w:r>
      <w:r/>
    </w:p>
    <w:p>
      <w:pPr>
        <w:ind w:firstLine="211"/>
        <w:spacing w:line="360" w:lineRule="auto"/>
        <w:rPr>
          <w:b/>
          <w:highlight w:val="none"/>
        </w:rPr>
      </w:pPr>
      <w:r>
        <w:rPr>
          <w:b/>
          <w:highlight w:val="none"/>
        </w:rPr>
        <w:t xml:space="preserve">17、质疑</w:t>
      </w:r>
      <w:r/>
    </w:p>
    <w:p>
      <w:pPr>
        <w:ind w:firstLine="420"/>
        <w:spacing w:line="360" w:lineRule="auto"/>
        <w:rPr>
          <w:highlight w:val="none"/>
        </w:rPr>
      </w:pPr>
      <w:r>
        <w:rPr>
          <w:highlight w:val="none"/>
        </w:rPr>
        <w:t xml:space="preserve">17.1供应商对谈判协商活动事项有疑问的，可以向代理机构提出询问，代理机构将依法作出答复，但答复的内容不涉及商业秘密。</w:t>
      </w:r>
      <w:r/>
    </w:p>
    <w:p>
      <w:pPr>
        <w:ind w:firstLine="420"/>
        <w:spacing w:line="360" w:lineRule="auto"/>
        <w:rPr>
          <w:highlight w:val="none"/>
        </w:rPr>
      </w:pPr>
      <w:r>
        <w:rPr>
          <w:highlight w:val="none"/>
        </w:rPr>
        <w:t xml:space="preserve">17.2供应商认为采购文件、采购过程和成交结果使自己的合法权益受到损害的，可以在知道或者应当知道其权益受到损害之日起七个工作日内，将质疑文件原件送达代理机构。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highlight w:val="none"/>
        </w:rPr>
      </w:pPr>
      <w:r>
        <w:rPr>
          <w:highlight w:val="none"/>
        </w:rPr>
        <w:t xml:space="preserve">17.3质疑文件应包括以下主要内容，并按照“谁主张、谁举证”的原则，附上相关证明材料。否则，代理机构不予受理：</w:t>
      </w:r>
      <w:r/>
    </w:p>
    <w:p>
      <w:pPr>
        <w:ind w:firstLine="420"/>
        <w:spacing w:line="360" w:lineRule="auto"/>
        <w:rPr>
          <w:highlight w:val="none"/>
        </w:rPr>
      </w:pPr>
      <w:r>
        <w:rPr>
          <w:highlight w:val="none"/>
        </w:rPr>
        <w:t xml:space="preserve">（1）质疑项目名称、项目编号、包号、采购公告发布时间、谈判协商时间；</w:t>
      </w:r>
      <w:r/>
    </w:p>
    <w:p>
      <w:pPr>
        <w:ind w:firstLine="420"/>
        <w:spacing w:line="360" w:lineRule="auto"/>
        <w:rPr>
          <w:highlight w:val="none"/>
        </w:rPr>
      </w:pPr>
      <w:r>
        <w:rPr>
          <w:highlight w:val="none"/>
        </w:rPr>
        <w:t xml:space="preserve">（2）具体的质疑事项及法律依据（具体条款）；</w:t>
      </w:r>
      <w:r/>
    </w:p>
    <w:p>
      <w:pPr>
        <w:ind w:firstLine="420"/>
        <w:spacing w:line="360" w:lineRule="auto"/>
        <w:rPr>
          <w:highlight w:val="none"/>
        </w:rPr>
      </w:pPr>
      <w:r>
        <w:rPr>
          <w:highlight w:val="none"/>
        </w:rPr>
        <w:t xml:space="preserve">（3）质疑相关证明文件或证明材料，如果涉及到产品功能或技术指标的，应出具相关制造商的证明文件（友情提示：供应商全部产品线中没有满足采购需求技术要求的产品才可以对采购产品提出质疑，并提出修改理由和修改建议）；</w:t>
      </w:r>
      <w:r/>
    </w:p>
    <w:p>
      <w:pPr>
        <w:ind w:firstLine="420"/>
        <w:spacing w:line="360" w:lineRule="auto"/>
        <w:rPr>
          <w:highlight w:val="none"/>
        </w:rPr>
      </w:pPr>
      <w:r>
        <w:rPr>
          <w:highlight w:val="none"/>
        </w:rPr>
        <w:t xml:space="preserve">（4）质疑供应商名称、地址、联系方式（包括手机、传真号码）；</w:t>
      </w:r>
      <w:r/>
    </w:p>
    <w:p>
      <w:pPr>
        <w:ind w:firstLine="420"/>
        <w:spacing w:line="360" w:lineRule="auto"/>
        <w:rPr>
          <w:highlight w:val="none"/>
        </w:rPr>
      </w:pPr>
      <w:r>
        <w:rPr>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highlight w:val="none"/>
        </w:rPr>
      </w:pPr>
      <w:r>
        <w:rPr>
          <w:highlight w:val="none"/>
        </w:rPr>
        <w:t xml:space="preserve">17.4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firstLine="420"/>
        <w:spacing w:line="360" w:lineRule="auto"/>
        <w:rPr>
          <w:highlight w:val="none"/>
        </w:rPr>
      </w:pPr>
      <w:r>
        <w:rPr>
          <w:highlight w:val="none"/>
        </w:rPr>
        <w:t xml:space="preserve">17.5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highlight w:val="none"/>
        </w:rPr>
      </w:pPr>
      <w:r>
        <w:rPr>
          <w:highlight w:val="none"/>
        </w:rPr>
        <w:t xml:space="preserve">17.6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firstLine="211"/>
        <w:spacing w:line="360" w:lineRule="auto"/>
        <w:rPr>
          <w:b/>
          <w:highlight w:val="none"/>
        </w:rPr>
      </w:pPr>
      <w:r>
        <w:rPr>
          <w:b/>
          <w:highlight w:val="none"/>
        </w:rPr>
        <w:t xml:space="preserve">18、投诉</w:t>
      </w:r>
      <w:r/>
    </w:p>
    <w:p>
      <w:pPr>
        <w:ind w:firstLine="420"/>
        <w:spacing w:line="360" w:lineRule="auto"/>
        <w:rPr>
          <w:highlight w:val="none"/>
        </w:rPr>
      </w:pPr>
      <w:r>
        <w:rPr>
          <w:highlight w:val="none"/>
        </w:rPr>
        <w:t xml:space="preserve">18.1质疑供应商对代理机构的答复不满意，或代理机构未在规定的时间内作出答复的，可以在答复期满后十五个工作日内向采购项目同级财政部门投诉。</w:t>
      </w:r>
      <w:r/>
    </w:p>
    <w:p>
      <w:pPr>
        <w:ind w:firstLine="211"/>
        <w:spacing w:line="360" w:lineRule="auto"/>
        <w:rPr>
          <w:b/>
          <w:highlight w:val="none"/>
        </w:rPr>
      </w:pPr>
      <w:r>
        <w:rPr>
          <w:b/>
          <w:highlight w:val="none"/>
        </w:rPr>
        <w:t xml:space="preserve">19、诚实信用</w:t>
      </w:r>
      <w:r/>
    </w:p>
    <w:p>
      <w:pPr>
        <w:ind w:firstLine="420"/>
        <w:spacing w:line="360" w:lineRule="auto"/>
        <w:rPr>
          <w:highlight w:val="none"/>
        </w:rPr>
      </w:pPr>
      <w:r>
        <w:rPr>
          <w:highlight w:val="none"/>
        </w:rPr>
        <w:t xml:space="preserve">19.1供应商不得以向代理机构工作人员、采购小组成员行贿或者采取其他不正当手段谋取成交。经查实供应商有此行为的，政府采购管理部门将供应商列入不良行为记录名单，按照《中华人民共和国政府采购法》有关规定处理。</w:t>
      </w:r>
      <w:r/>
    </w:p>
    <w:p>
      <w:pPr>
        <w:ind w:firstLine="420"/>
        <w:spacing w:line="360" w:lineRule="auto"/>
        <w:rPr>
          <w:highlight w:val="none"/>
        </w:rPr>
      </w:pPr>
      <w:r>
        <w:rPr>
          <w:highlight w:val="none"/>
        </w:rPr>
        <w:t xml:space="preserve">19.2供应商提出书面质疑必须有理、有据，不得虚假质疑和恶意质疑，并对质疑内容的真实性承担责任。一经查实，代理机构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20"/>
        <w:spacing w:line="360" w:lineRule="auto"/>
        <w:rPr>
          <w:highlight w:val="none"/>
        </w:rPr>
      </w:pPr>
      <w:r>
        <w:rPr>
          <w:highlight w:val="none"/>
        </w:rPr>
        <w:t xml:space="preserve">19.3供应商不得虚假承诺，否则，按照提供虚假材料谋取成交处理。</w:t>
      </w:r>
      <w:r/>
    </w:p>
    <w:p>
      <w:pPr>
        <w:ind w:firstLine="420"/>
        <w:spacing w:line="360" w:lineRule="auto"/>
        <w:rPr>
          <w:highlight w:val="none"/>
        </w:rPr>
      </w:pPr>
      <w:r>
        <w:rPr>
          <w:highlight w:val="none"/>
        </w:rPr>
        <w:t xml:space="preserve">19.4供应商应自觉遵守谈判协商纪律，扰乱谈判协商现场秩序的，属于失信行为，根据《江苏省政府采购供应商监督管理暂行办法》，失信行为将被记入供应商诚信档案。</w:t>
      </w:r>
      <w:r/>
    </w:p>
    <w:p>
      <w:pPr>
        <w:spacing w:line="360" w:lineRule="auto"/>
        <w:rPr>
          <w:highlight w:val="none"/>
        </w:rPr>
      </w:pPr>
      <w:r>
        <w:rPr>
          <w:highlight w:val="none"/>
        </w:rPr>
        <w:br w:type="page" w:clear="all"/>
      </w:r>
      <w:r/>
    </w:p>
    <w:p>
      <w:pPr>
        <w:pStyle w:val="708"/>
        <w:spacing w:line="360" w:lineRule="auto"/>
        <w:rPr>
          <w:rFonts w:ascii="Times New Roman" w:hAnsi="Times New Roman"/>
          <w:highlight w:val="none"/>
        </w:rPr>
      </w:pPr>
      <w:r/>
      <w:bookmarkStart w:id="22" w:name="_Toc531257236"/>
      <w:r/>
      <w:bookmarkStart w:id="23" w:name="_Toc515797969"/>
      <w:r>
        <w:rPr>
          <w:rFonts w:ascii="Times New Roman" w:hAnsi="Times New Roman"/>
          <w:highlight w:val="none"/>
        </w:rPr>
        <w:t xml:space="preserve">第三章 </w:t>
      </w:r>
      <w:bookmarkStart w:id="24" w:name="_Toc150538845"/>
      <w:r>
        <w:rPr>
          <w:rFonts w:ascii="Times New Roman" w:hAnsi="Times New Roman"/>
          <w:highlight w:val="none"/>
        </w:rPr>
        <w:t xml:space="preserve">采购需求及其它</w:t>
      </w:r>
      <w:bookmarkEnd w:id="22"/>
      <w:r/>
      <w:bookmarkEnd w:id="23"/>
      <w:r/>
      <w:bookmarkEnd w:id="24"/>
      <w:r/>
      <w:r/>
    </w:p>
    <w:p>
      <w:pPr>
        <w:spacing w:line="360" w:lineRule="auto"/>
        <w:rPr>
          <w:bCs/>
          <w:highlight w:val="none"/>
        </w:rPr>
      </w:pPr>
      <w:r>
        <w:rPr>
          <w:b/>
          <w:highlight w:val="none"/>
        </w:rPr>
        <w:t xml:space="preserve">一、项目名称：</w:t>
      </w:r>
      <w:r>
        <w:rPr>
          <w:highlight w:val="none"/>
        </w:rPr>
        <w:t xml:space="preserve">南京江北新区2026年市级电视</w:t>
      </w:r>
      <w:r>
        <w:rPr>
          <w:rFonts w:hint="eastAsia"/>
          <w:highlight w:val="none"/>
          <w:lang w:val="en-US" w:eastAsia="zh-CN"/>
        </w:rPr>
        <w:t xml:space="preserve">新闻</w:t>
      </w:r>
      <w:r>
        <w:rPr>
          <w:highlight w:val="none"/>
        </w:rPr>
        <w:t xml:space="preserve">专栏制作与传播项目</w:t>
      </w:r>
      <w:r/>
    </w:p>
    <w:p>
      <w:pPr>
        <w:spacing w:line="360" w:lineRule="auto"/>
        <w:rPr>
          <w:b/>
          <w:highlight w:val="none"/>
        </w:rPr>
      </w:pPr>
      <w:r>
        <w:rPr>
          <w:b/>
          <w:highlight w:val="none"/>
        </w:rPr>
        <w:t xml:space="preserve">二、项目基本概况介绍</w:t>
      </w:r>
      <w:r/>
    </w:p>
    <w:p>
      <w:pPr>
        <w:ind w:firstLine="420"/>
        <w:spacing w:line="360" w:lineRule="auto"/>
        <w:rPr>
          <w:highlight w:val="none"/>
        </w:rPr>
      </w:pPr>
      <w:r>
        <w:rPr>
          <w:highlight w:val="none"/>
        </w:rPr>
        <w:t xml:space="preserve">围绕江北新区2026年工作目标和发展规划，依托南京市级电视主流媒体，积极开展宣传策划、产品制作、全网推送等相关工作。</w:t>
      </w:r>
      <w:r/>
    </w:p>
    <w:p>
      <w:pPr>
        <w:spacing w:line="360" w:lineRule="auto"/>
        <w:rPr>
          <w:highlight w:val="none"/>
        </w:rPr>
      </w:pPr>
      <w:r>
        <w:rPr>
          <w:b/>
          <w:highlight w:val="none"/>
        </w:rPr>
        <w:t xml:space="preserve">三、项目主要服务内容</w:t>
      </w:r>
      <w:r/>
    </w:p>
    <w:p>
      <w:pPr>
        <w:ind w:firstLine="422"/>
        <w:spacing w:line="360" w:lineRule="auto"/>
        <w:rPr>
          <w:b/>
          <w:bCs/>
          <w:highlight w:val="none"/>
        </w:rPr>
      </w:pPr>
      <w:r>
        <w:rPr>
          <w:rFonts w:hint="eastAsia"/>
          <w:b/>
          <w:bCs/>
          <w:highlight w:val="none"/>
        </w:rPr>
        <w:t xml:space="preserve">（1）</w:t>
      </w:r>
      <w:r>
        <w:rPr>
          <w:b/>
          <w:bCs/>
          <w:highlight w:val="none"/>
        </w:rPr>
        <w:t xml:space="preserve">资讯视频制作及播出</w:t>
      </w:r>
      <w:r/>
    </w:p>
    <w:p>
      <w:pPr>
        <w:ind w:firstLine="420"/>
        <w:spacing w:line="360" w:lineRule="auto"/>
        <w:rPr>
          <w:highlight w:val="none"/>
        </w:rPr>
      </w:pPr>
      <w:r>
        <w:rPr>
          <w:highlight w:val="none"/>
        </w:rPr>
        <w:t xml:space="preserve">依托融媒新闻栏目《南京新闻》《直播南京》《南京纵横》等，合作期间不少于55条原创视频形式，每期时长约2分钟。</w:t>
      </w:r>
      <w:r/>
    </w:p>
    <w:p>
      <w:pPr>
        <w:ind w:firstLine="422"/>
        <w:spacing w:line="360" w:lineRule="auto"/>
        <w:rPr>
          <w:b/>
          <w:bCs/>
          <w:highlight w:val="none"/>
        </w:rPr>
      </w:pPr>
      <w:r>
        <w:rPr>
          <w:rFonts w:hint="eastAsia"/>
          <w:b/>
          <w:bCs/>
          <w:highlight w:val="none"/>
        </w:rPr>
        <w:t xml:space="preserve">（2）</w:t>
      </w:r>
      <w:r>
        <w:rPr>
          <w:b/>
          <w:bCs/>
          <w:highlight w:val="none"/>
        </w:rPr>
        <w:t xml:space="preserve">精品短视频制作及播出 </w:t>
      </w:r>
      <w:r/>
    </w:p>
    <w:p>
      <w:pPr>
        <w:ind w:firstLine="420"/>
        <w:spacing w:line="360" w:lineRule="auto"/>
        <w:rPr>
          <w:highlight w:val="none"/>
        </w:rPr>
      </w:pPr>
      <w:r>
        <w:rPr>
          <w:rFonts w:hint="eastAsia"/>
          <w:highlight w:val="none"/>
        </w:rPr>
        <w:t xml:space="preserve">依托《改革进行时》《紫金山创客π》《子涵好故事》等短视频栏目</w:t>
      </w:r>
      <w:r>
        <w:rPr>
          <w:highlight w:val="none"/>
        </w:rPr>
        <w:t xml:space="preserve">，合作期间采制发布不少于10条原创精品短视频，每条时长3-4分钟。</w:t>
      </w:r>
      <w:r/>
    </w:p>
    <w:p>
      <w:pPr>
        <w:ind w:firstLine="422"/>
        <w:spacing w:line="360" w:lineRule="auto"/>
        <w:rPr>
          <w:b/>
          <w:bCs/>
          <w:highlight w:val="none"/>
        </w:rPr>
      </w:pPr>
      <w:r>
        <w:rPr>
          <w:rFonts w:hint="eastAsia"/>
          <w:b/>
          <w:bCs/>
          <w:highlight w:val="none"/>
        </w:rPr>
        <w:t xml:space="preserve">（3）</w:t>
      </w:r>
      <w:r>
        <w:rPr>
          <w:b/>
          <w:bCs/>
          <w:highlight w:val="none"/>
        </w:rPr>
        <w:t xml:space="preserve">现场活动快剪、超短视频切片</w:t>
      </w:r>
      <w:r/>
    </w:p>
    <w:p>
      <w:pPr>
        <w:ind w:firstLine="420"/>
        <w:spacing w:line="360" w:lineRule="auto"/>
        <w:rPr>
          <w:highlight w:val="none"/>
        </w:rPr>
      </w:pPr>
      <w:r>
        <w:rPr>
          <w:highlight w:val="none"/>
        </w:rPr>
        <w:t xml:space="preserve">选取5场重要活动，每场活动提供1条快剪视频、5条超短视频，在南京新闻•视频号等平台推出。同时提供无标有字幕版，供各家媒体宣发。</w:t>
      </w:r>
      <w:r/>
    </w:p>
    <w:p>
      <w:pPr>
        <w:ind w:firstLine="422"/>
        <w:spacing w:line="360" w:lineRule="auto"/>
        <w:rPr>
          <w:b/>
          <w:bCs/>
          <w:color w:val="auto"/>
          <w:highlight w:val="none"/>
        </w:rPr>
      </w:pPr>
      <w:r>
        <w:rPr>
          <w:rFonts w:hint="eastAsia"/>
          <w:b/>
          <w:bCs/>
          <w:color w:val="auto"/>
          <w:highlight w:val="none"/>
        </w:rPr>
        <w:t xml:space="preserve">（4）</w:t>
      </w:r>
      <w:r>
        <w:rPr>
          <w:b/>
          <w:bCs/>
          <w:color w:val="auto"/>
          <w:highlight w:val="none"/>
        </w:rPr>
        <w:t xml:space="preserve">深度推文</w:t>
      </w:r>
      <w:r/>
    </w:p>
    <w:p>
      <w:pPr>
        <w:ind w:firstLine="420"/>
        <w:spacing w:line="360" w:lineRule="auto"/>
        <w:rPr>
          <w:color w:val="auto"/>
          <w:highlight w:val="none"/>
        </w:rPr>
      </w:pPr>
      <w:r>
        <w:rPr>
          <w:color w:val="auto"/>
          <w:highlight w:val="none"/>
        </w:rPr>
        <w:t xml:space="preserve">结合需求，安排资深记者</w:t>
      </w:r>
      <w:r>
        <w:rPr>
          <w:rFonts w:hint="eastAsia"/>
          <w:color w:val="auto"/>
          <w:highlight w:val="none"/>
        </w:rPr>
        <w:t xml:space="preserve">跟踪</w:t>
      </w:r>
      <w:r>
        <w:rPr>
          <w:color w:val="auto"/>
          <w:highlight w:val="none"/>
        </w:rPr>
        <w:t xml:space="preserve">并撰写深度推文，在南京新闻微信公众号及各新媒体矩阵推出，全年5篇。</w:t>
      </w:r>
      <w:r/>
    </w:p>
    <w:p>
      <w:pPr>
        <w:ind w:firstLine="422"/>
        <w:spacing w:line="360" w:lineRule="auto"/>
        <w:rPr>
          <w:b/>
          <w:bCs/>
          <w:color w:val="auto"/>
          <w:highlight w:val="none"/>
        </w:rPr>
      </w:pPr>
      <w:r>
        <w:rPr>
          <w:rFonts w:hint="eastAsia"/>
          <w:b/>
          <w:bCs/>
          <w:color w:val="auto"/>
          <w:highlight w:val="none"/>
        </w:rPr>
        <w:t xml:space="preserve">（5）</w:t>
      </w:r>
      <w:r>
        <w:rPr>
          <w:b/>
          <w:bCs/>
          <w:color w:val="auto"/>
          <w:highlight w:val="none"/>
        </w:rPr>
        <w:t xml:space="preserve">新媒体产品</w:t>
      </w:r>
      <w:r/>
    </w:p>
    <w:p>
      <w:pPr>
        <w:ind w:firstLine="420"/>
        <w:spacing w:line="360" w:lineRule="auto"/>
        <w:rPr>
          <w:color w:val="auto"/>
          <w:highlight w:val="none"/>
        </w:rPr>
      </w:pPr>
      <w:r>
        <w:rPr>
          <w:color w:val="auto"/>
          <w:highlight w:val="none"/>
        </w:rPr>
        <w:t xml:space="preserve">设计制作不少于10个新媒体产品，涵盖海报、长图等，丰富宣传呈现形式，强化传播实效。</w:t>
      </w:r>
      <w:r/>
    </w:p>
    <w:p>
      <w:pPr>
        <w:ind w:firstLine="422"/>
        <w:spacing w:line="360" w:lineRule="auto"/>
        <w:rPr>
          <w:b/>
          <w:bCs/>
          <w:color w:val="auto"/>
          <w:highlight w:val="none"/>
        </w:rPr>
      </w:pPr>
      <w:r>
        <w:rPr>
          <w:rFonts w:hint="eastAsia"/>
          <w:b/>
          <w:bCs/>
          <w:color w:val="auto"/>
          <w:highlight w:val="none"/>
        </w:rPr>
        <w:t xml:space="preserve">（6）</w:t>
      </w:r>
      <w:r>
        <w:rPr>
          <w:b/>
          <w:bCs/>
          <w:color w:val="auto"/>
          <w:highlight w:val="none"/>
        </w:rPr>
        <w:t xml:space="preserve">访谈</w:t>
      </w:r>
      <w:r>
        <w:rPr>
          <w:rFonts w:hint="eastAsia"/>
          <w:b/>
          <w:bCs/>
          <w:color w:val="auto"/>
          <w:highlight w:val="none"/>
        </w:rPr>
        <w:t xml:space="preserve">类</w:t>
      </w:r>
      <w:r/>
    </w:p>
    <w:p>
      <w:pPr>
        <w:ind w:firstLine="420"/>
        <w:spacing w:line="360" w:lineRule="auto"/>
        <w:rPr>
          <w:color w:val="auto"/>
          <w:highlight w:val="none"/>
        </w:rPr>
      </w:pPr>
      <w:r>
        <w:rPr>
          <w:color w:val="auto"/>
          <w:highlight w:val="none"/>
        </w:rPr>
        <w:t xml:space="preserve">以主播带队、媒体</w:t>
      </w:r>
      <w:r>
        <w:rPr>
          <w:rFonts w:hint="eastAsia"/>
          <w:color w:val="auto"/>
          <w:highlight w:val="none"/>
        </w:rPr>
        <w:t xml:space="preserve">跟踪</w:t>
      </w:r>
      <w:r>
        <w:rPr>
          <w:color w:val="auto"/>
          <w:highlight w:val="none"/>
        </w:rPr>
        <w:t xml:space="preserve">团形式走进江北新区，进行访谈，介绍江北新区重点工作和举措，突出新区力量。</w:t>
      </w:r>
      <w:r/>
    </w:p>
    <w:p>
      <w:pPr>
        <w:ind w:firstLine="422"/>
        <w:spacing w:line="360" w:lineRule="auto"/>
        <w:rPr>
          <w:b/>
          <w:bCs/>
          <w:highlight w:val="none"/>
        </w:rPr>
      </w:pPr>
      <w:r>
        <w:rPr>
          <w:rFonts w:hint="eastAsia"/>
          <w:b/>
          <w:bCs/>
          <w:highlight w:val="none"/>
        </w:rPr>
        <w:t xml:space="preserve">（7）</w:t>
      </w:r>
      <w:r>
        <w:rPr>
          <w:b/>
          <w:bCs/>
          <w:highlight w:val="none"/>
        </w:rPr>
        <w:t xml:space="preserve">媒体资源库建设</w:t>
      </w:r>
      <w:r/>
    </w:p>
    <w:p>
      <w:pPr>
        <w:ind w:firstLine="420"/>
        <w:spacing w:line="360" w:lineRule="auto"/>
        <w:rPr>
          <w:highlight w:val="none"/>
        </w:rPr>
      </w:pPr>
      <w:r>
        <w:rPr>
          <w:highlight w:val="none"/>
        </w:rPr>
        <w:t xml:space="preserve">乙方媒资库中江北新区的素材供甲方在全年各类内容生产中选用。</w:t>
      </w:r>
      <w:r/>
    </w:p>
    <w:p>
      <w:pPr>
        <w:ind w:firstLine="422"/>
        <w:spacing w:line="360" w:lineRule="auto"/>
        <w:rPr>
          <w:b/>
          <w:bCs/>
          <w:highlight w:val="none"/>
        </w:rPr>
      </w:pPr>
      <w:r>
        <w:rPr>
          <w:rFonts w:hint="eastAsia"/>
          <w:b/>
          <w:bCs/>
          <w:highlight w:val="none"/>
        </w:rPr>
        <w:t xml:space="preserve">（8）</w:t>
      </w:r>
      <w:r>
        <w:rPr>
          <w:b/>
          <w:bCs/>
          <w:highlight w:val="none"/>
        </w:rPr>
        <w:t xml:space="preserve">重点稿件通联服务</w:t>
      </w:r>
      <w:r/>
    </w:p>
    <w:p>
      <w:pPr>
        <w:ind w:firstLine="420"/>
        <w:spacing w:line="360" w:lineRule="auto"/>
        <w:rPr>
          <w:highlight w:val="none"/>
        </w:rPr>
      </w:pPr>
      <w:r>
        <w:rPr>
          <w:highlight w:val="none"/>
        </w:rPr>
        <w:t xml:space="preserve">充分利用乙方通联渠道，积极优先推荐向央视、学习强国、央视频APP、人民日报APP等中央级媒体发稿。</w:t>
      </w:r>
      <w:r/>
    </w:p>
    <w:p>
      <w:pPr>
        <w:ind w:firstLine="422"/>
        <w:spacing w:line="360" w:lineRule="auto"/>
        <w:rPr>
          <w:b/>
          <w:bCs/>
          <w:highlight w:val="none"/>
        </w:rPr>
      </w:pPr>
      <w:r>
        <w:rPr>
          <w:rFonts w:hint="eastAsia"/>
          <w:b/>
          <w:bCs/>
          <w:highlight w:val="none"/>
        </w:rPr>
        <w:t xml:space="preserve">（9）</w:t>
      </w:r>
      <w:r>
        <w:rPr>
          <w:b/>
          <w:bCs/>
          <w:highlight w:val="none"/>
        </w:rPr>
        <w:t xml:space="preserve">舆情互通机制保障</w:t>
      </w:r>
      <w:r/>
    </w:p>
    <w:p>
      <w:pPr>
        <w:ind w:firstLine="420"/>
        <w:spacing w:line="360" w:lineRule="auto"/>
        <w:rPr>
          <w:highlight w:val="none"/>
        </w:rPr>
      </w:pPr>
      <w:r>
        <w:rPr>
          <w:highlight w:val="none"/>
        </w:rPr>
        <w:t xml:space="preserve">甲、乙双方建立舆情互通机制。双方充分交换意见，乙方给予甲方专业意见和支持保障，以协助甲方处理相关舆情事项。</w:t>
      </w:r>
      <w:r/>
    </w:p>
    <w:p>
      <w:pPr>
        <w:spacing w:line="360" w:lineRule="auto"/>
        <w:rPr>
          <w:b/>
          <w:color w:val="000000" w:themeColor="text1"/>
          <w:highlight w:val="none"/>
          <w14:textFill>
            <w14:solidFill>
              <w14:schemeClr w14:val="tx1"/>
            </w14:solidFill>
          </w14:textFill>
        </w:rPr>
      </w:pPr>
      <w:r>
        <w:rPr>
          <w:b/>
          <w:highlight w:val="none"/>
        </w:rPr>
        <w:t xml:space="preserve">四</w:t>
      </w:r>
      <w:r>
        <w:rPr>
          <w:b/>
          <w:color w:val="000000" w:themeColor="text1"/>
          <w:highlight w:val="none"/>
          <w14:textFill>
            <w14:solidFill>
              <w14:schemeClr w14:val="tx1"/>
            </w14:solidFill>
          </w14:textFill>
        </w:rPr>
        <w:t xml:space="preserve">、服务要求</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2、供应商须具有相关服务能力，保证各项工作顺利进行。</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3、采购人有权对本次项目进行撤回、更改。 </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4、采购人有权更改本次项目的时间安排。 </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5、采购人有权根据实际情况，调整项目实施方案。 </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6、采购人拥有对本次项目的最终解释权。</w:t>
      </w:r>
      <w:r/>
    </w:p>
    <w:p>
      <w:pPr>
        <w:ind w:firstLine="420"/>
        <w:spacing w:line="360" w:lineRule="auto"/>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7、本项目服务要求包含但不限于以上全部内容，项目实施期间，采购人提出的合理需求，供应商需满足并配合好完成。</w:t>
      </w:r>
      <w:r/>
    </w:p>
    <w:p>
      <w:pPr>
        <w:spacing w:line="360" w:lineRule="auto"/>
        <w:rPr>
          <w:highlight w:val="none"/>
        </w:rPr>
      </w:pPr>
      <w:r>
        <w:rPr>
          <w:b/>
          <w:highlight w:val="none"/>
        </w:rPr>
        <w:t xml:space="preserve">五、合同履行期限：</w:t>
      </w:r>
      <w:r>
        <w:rPr>
          <w:bCs/>
          <w:highlight w:val="none"/>
        </w:rPr>
        <w:t xml:space="preserve">自合同</w:t>
      </w:r>
      <w:r>
        <w:rPr>
          <w:highlight w:val="none"/>
        </w:rPr>
        <w:t xml:space="preserve">签订之日起至202</w:t>
      </w:r>
      <w:r>
        <w:rPr>
          <w:rFonts w:hint="eastAsia"/>
          <w:highlight w:val="none"/>
        </w:rPr>
        <w:t xml:space="preserve">6</w:t>
      </w:r>
      <w:r>
        <w:rPr>
          <w:highlight w:val="none"/>
        </w:rPr>
        <w:t xml:space="preserve">年12月31日</w:t>
      </w:r>
      <w:r/>
    </w:p>
    <w:p>
      <w:pPr>
        <w:spacing w:line="360" w:lineRule="auto"/>
        <w:rPr>
          <w:highlight w:val="none"/>
        </w:rPr>
      </w:pPr>
      <w:r>
        <w:rPr>
          <w:b/>
          <w:highlight w:val="none"/>
        </w:rPr>
        <w:t xml:space="preserve">六、项目预算：</w:t>
      </w:r>
      <w:r>
        <w:rPr>
          <w:rFonts w:hint="eastAsia"/>
          <w:highlight w:val="none"/>
        </w:rPr>
        <w:t xml:space="preserve">150</w:t>
      </w:r>
      <w:r>
        <w:rPr>
          <w:highlight w:val="none"/>
        </w:rPr>
        <w:t xml:space="preserve">万元（报价超过项目预算作无效响应处理）</w:t>
      </w:r>
      <w:r/>
    </w:p>
    <w:p>
      <w:pPr>
        <w:ind w:firstLine="420"/>
        <w:spacing w:line="360" w:lineRule="auto"/>
        <w:rPr>
          <w:highlight w:val="none"/>
        </w:rPr>
      </w:pPr>
      <w:r>
        <w:rPr>
          <w:highlight w:val="none"/>
        </w:rPr>
        <w:t xml:space="preserve">项目预算包含所有为履行本合同而支出的全部费用，除此以外采购单位不会以任何形式支付任何费用。</w:t>
      </w:r>
      <w:r/>
    </w:p>
    <w:p>
      <w:pPr>
        <w:spacing w:line="360" w:lineRule="auto"/>
        <w:rPr>
          <w:b/>
          <w:szCs w:val="21"/>
          <w:highlight w:val="none"/>
        </w:rPr>
      </w:pPr>
      <w:r>
        <w:rPr>
          <w:b/>
          <w:szCs w:val="21"/>
          <w:highlight w:val="none"/>
        </w:rPr>
        <w:t xml:space="preserve">七、项目验收标准及要求</w:t>
      </w:r>
      <w:r/>
    </w:p>
    <w:p>
      <w:pPr>
        <w:ind w:firstLine="420"/>
        <w:spacing w:line="360" w:lineRule="auto"/>
        <w:rPr>
          <w:szCs w:val="21"/>
          <w:highlight w:val="none"/>
        </w:rPr>
      </w:pPr>
      <w:r>
        <w:rPr>
          <w:szCs w:val="21"/>
          <w:highlight w:val="none"/>
        </w:rPr>
        <w:t xml:space="preserve">供应商须按照项目采购服务内容及要求，按国家、行业或企业等标准，提供相应的服务内容及交付成果，供应商完成全部项目内容并经采购人验收合格后，项目整体验收合格。</w:t>
      </w:r>
      <w:r/>
    </w:p>
    <w:p>
      <w:pPr>
        <w:spacing w:line="360" w:lineRule="auto"/>
        <w:rPr>
          <w:b/>
          <w:highlight w:val="none"/>
        </w:rPr>
      </w:pPr>
      <w:r>
        <w:rPr>
          <w:b/>
          <w:highlight w:val="none"/>
        </w:rPr>
        <w:t xml:space="preserve">★八、付款条件</w:t>
      </w:r>
      <w:r/>
    </w:p>
    <w:p>
      <w:pPr>
        <w:ind w:firstLine="420"/>
        <w:spacing w:line="360" w:lineRule="auto"/>
        <w:rPr>
          <w:rFonts w:hint="default"/>
          <w:szCs w:val="21"/>
          <w:highlight w:val="none"/>
          <w:lang w:eastAsia="zh-CN"/>
        </w:rPr>
      </w:pPr>
      <w:r>
        <w:rPr>
          <w:rFonts w:hint="default"/>
          <w:szCs w:val="21"/>
          <w:highlight w:val="none"/>
        </w:rPr>
        <w:t xml:space="preserve">1、</w:t>
      </w:r>
      <w:r>
        <w:rPr>
          <w:rFonts w:hint="default"/>
          <w:szCs w:val="21"/>
          <w:highlight w:val="none"/>
          <w:lang w:eastAsia="zh-CN"/>
        </w:rPr>
        <w:t xml:space="preserve">合同签订后30个工作日内，</w:t>
      </w:r>
      <w:r>
        <w:rPr>
          <w:rFonts w:hint="default"/>
          <w:szCs w:val="21"/>
          <w:highlight w:val="none"/>
        </w:rPr>
        <w:t xml:space="preserve">采购人</w:t>
      </w:r>
      <w:r>
        <w:rPr>
          <w:rFonts w:hint="default"/>
          <w:szCs w:val="21"/>
          <w:highlight w:val="none"/>
          <w:lang w:eastAsia="zh-CN"/>
        </w:rPr>
        <w:t xml:space="preserve">向</w:t>
      </w:r>
      <w:r>
        <w:rPr>
          <w:rFonts w:hint="default"/>
          <w:szCs w:val="21"/>
          <w:highlight w:val="none"/>
        </w:rPr>
        <w:t xml:space="preserve">供应商</w:t>
      </w:r>
      <w:r>
        <w:rPr>
          <w:rFonts w:hint="default"/>
          <w:szCs w:val="21"/>
          <w:highlight w:val="none"/>
          <w:lang w:eastAsia="zh-CN"/>
        </w:rPr>
        <w:t xml:space="preserve">支付合同款项的</w:t>
      </w:r>
      <w:r>
        <w:rPr>
          <w:rFonts w:hint="default"/>
          <w:szCs w:val="21"/>
          <w:highlight w:val="none"/>
          <w:lang w:val="en-US" w:eastAsia="zh-CN"/>
        </w:rPr>
        <w:t xml:space="preserve">5</w:t>
      </w:r>
      <w:r>
        <w:rPr>
          <w:rFonts w:hint="default"/>
          <w:szCs w:val="21"/>
          <w:highlight w:val="none"/>
          <w:lang w:eastAsia="zh-CN"/>
        </w:rPr>
        <w:t xml:space="preserve">0%；</w:t>
      </w:r>
      <w:r/>
    </w:p>
    <w:p>
      <w:pPr>
        <w:ind w:firstLine="420"/>
        <w:spacing w:line="360" w:lineRule="auto"/>
        <w:rPr>
          <w:rFonts w:hint="default"/>
          <w:szCs w:val="21"/>
          <w:highlight w:val="none"/>
          <w:lang w:eastAsia="zh-CN"/>
        </w:rPr>
      </w:pPr>
      <w:r>
        <w:rPr>
          <w:rFonts w:hint="default"/>
          <w:szCs w:val="21"/>
          <w:highlight w:val="none"/>
          <w:lang w:val="en-US" w:eastAsia="zh-CN"/>
        </w:rPr>
        <w:t xml:space="preserve">2、</w:t>
      </w:r>
      <w:r>
        <w:rPr>
          <w:rFonts w:hint="default"/>
          <w:szCs w:val="21"/>
          <w:highlight w:val="none"/>
        </w:rPr>
        <w:t xml:space="preserve">供应商</w:t>
      </w:r>
      <w:r>
        <w:rPr>
          <w:rFonts w:hint="default"/>
          <w:szCs w:val="21"/>
          <w:highlight w:val="none"/>
          <w:lang w:eastAsia="zh-CN"/>
        </w:rPr>
        <w:t xml:space="preserve">完成全部服务事项后提交结案报告，供</w:t>
      </w:r>
      <w:r>
        <w:rPr>
          <w:rFonts w:hint="default"/>
          <w:szCs w:val="21"/>
          <w:highlight w:val="none"/>
        </w:rPr>
        <w:t xml:space="preserve">采购人</w:t>
      </w:r>
      <w:r>
        <w:rPr>
          <w:rFonts w:hint="default"/>
          <w:szCs w:val="21"/>
          <w:highlight w:val="none"/>
          <w:lang w:eastAsia="zh-CN"/>
        </w:rPr>
        <w:t xml:space="preserve">考核验收，验收合格后30个工作日内，</w:t>
      </w:r>
      <w:r>
        <w:rPr>
          <w:rFonts w:hint="default"/>
          <w:szCs w:val="21"/>
          <w:highlight w:val="none"/>
        </w:rPr>
        <w:t xml:space="preserve">采购人</w:t>
      </w:r>
      <w:r>
        <w:rPr>
          <w:rFonts w:hint="default"/>
          <w:szCs w:val="21"/>
          <w:highlight w:val="none"/>
          <w:lang w:eastAsia="zh-CN"/>
        </w:rPr>
        <w:t xml:space="preserve">支付合同款项的剩余</w:t>
      </w:r>
      <w:r>
        <w:rPr>
          <w:rFonts w:hint="default"/>
          <w:szCs w:val="21"/>
          <w:highlight w:val="none"/>
          <w:lang w:val="en-US" w:eastAsia="zh-CN"/>
        </w:rPr>
        <w:t xml:space="preserve">5</w:t>
      </w:r>
      <w:r>
        <w:rPr>
          <w:rFonts w:hint="default"/>
          <w:szCs w:val="21"/>
          <w:highlight w:val="none"/>
          <w:lang w:eastAsia="zh-CN"/>
        </w:rPr>
        <w:t xml:space="preserve">0%；验收不合格的，</w:t>
      </w:r>
      <w:r>
        <w:rPr>
          <w:rFonts w:hint="default"/>
          <w:szCs w:val="21"/>
          <w:highlight w:val="none"/>
        </w:rPr>
        <w:t xml:space="preserve">供应商</w:t>
      </w:r>
      <w:r>
        <w:rPr>
          <w:rFonts w:hint="default"/>
          <w:szCs w:val="21"/>
          <w:highlight w:val="none"/>
          <w:lang w:eastAsia="zh-CN"/>
        </w:rPr>
        <w:t xml:space="preserve">应在15个工作日内整改完毕并重新提交验收，整改后仍不合格的，</w:t>
      </w:r>
      <w:r>
        <w:rPr>
          <w:rFonts w:hint="default"/>
          <w:szCs w:val="21"/>
          <w:highlight w:val="none"/>
        </w:rPr>
        <w:t xml:space="preserve">采购人</w:t>
      </w:r>
      <w:r>
        <w:rPr>
          <w:rFonts w:hint="default"/>
          <w:szCs w:val="21"/>
          <w:highlight w:val="none"/>
          <w:lang w:eastAsia="zh-CN"/>
        </w:rPr>
        <w:t xml:space="preserve">有权拒绝支付剩余款项。</w:t>
      </w:r>
      <w:r/>
    </w:p>
    <w:p>
      <w:pPr>
        <w:ind w:firstLine="420"/>
        <w:spacing w:line="360" w:lineRule="auto"/>
        <w:rPr>
          <w:rFonts w:hint="default"/>
          <w:szCs w:val="21"/>
          <w:highlight w:val="none"/>
        </w:rPr>
      </w:pPr>
      <w:r>
        <w:rPr>
          <w:rFonts w:hint="default"/>
          <w:szCs w:val="21"/>
          <w:highlight w:val="none"/>
          <w:lang w:val="en-US" w:eastAsia="zh-CN"/>
        </w:rPr>
        <w:t xml:space="preserve">3、</w:t>
      </w:r>
      <w:r>
        <w:rPr>
          <w:rFonts w:hint="default"/>
          <w:szCs w:val="21"/>
          <w:highlight w:val="none"/>
        </w:rPr>
        <w:t xml:space="preserve">采购人</w:t>
      </w:r>
      <w:r>
        <w:rPr>
          <w:rFonts w:hint="default"/>
          <w:szCs w:val="21"/>
          <w:highlight w:val="none"/>
          <w:lang w:eastAsia="zh-CN"/>
        </w:rPr>
        <w:t xml:space="preserve">每次付款前，</w:t>
      </w:r>
      <w:r>
        <w:rPr>
          <w:rFonts w:hint="default"/>
          <w:szCs w:val="21"/>
          <w:highlight w:val="none"/>
        </w:rPr>
        <w:t xml:space="preserve">供应商</w:t>
      </w:r>
      <w:r>
        <w:rPr>
          <w:rFonts w:hint="default"/>
          <w:szCs w:val="21"/>
          <w:highlight w:val="none"/>
          <w:lang w:eastAsia="zh-CN"/>
        </w:rPr>
        <w:t xml:space="preserve">须向</w:t>
      </w:r>
      <w:r>
        <w:rPr>
          <w:rFonts w:hint="default"/>
          <w:szCs w:val="21"/>
          <w:highlight w:val="none"/>
        </w:rPr>
        <w:t xml:space="preserve">采购人</w:t>
      </w:r>
      <w:r>
        <w:rPr>
          <w:rFonts w:hint="default"/>
          <w:szCs w:val="21"/>
          <w:highlight w:val="none"/>
          <w:lang w:eastAsia="zh-CN"/>
        </w:rPr>
        <w:t xml:space="preserve">开具正式发票。以上付款均无银行利息，一律通过银行结转。若因</w:t>
      </w:r>
      <w:r>
        <w:rPr>
          <w:rFonts w:hint="default"/>
          <w:szCs w:val="21"/>
          <w:highlight w:val="none"/>
        </w:rPr>
        <w:t xml:space="preserve">供应商</w:t>
      </w:r>
      <w:r>
        <w:rPr>
          <w:rFonts w:hint="default"/>
          <w:szCs w:val="21"/>
          <w:highlight w:val="none"/>
          <w:lang w:eastAsia="zh-CN"/>
        </w:rPr>
        <w:t xml:space="preserve">提供的服务不符合合同要求或未能按</w:t>
      </w:r>
      <w:r>
        <w:rPr>
          <w:rFonts w:hint="default"/>
          <w:szCs w:val="21"/>
          <w:highlight w:val="none"/>
        </w:rPr>
        <w:t xml:space="preserve">采购人</w:t>
      </w:r>
      <w:r>
        <w:rPr>
          <w:rFonts w:hint="default"/>
          <w:szCs w:val="21"/>
          <w:highlight w:val="none"/>
          <w:lang w:eastAsia="zh-CN"/>
        </w:rPr>
        <w:t xml:space="preserve">要求办理相应的付款手续，</w:t>
      </w:r>
      <w:r>
        <w:rPr>
          <w:rFonts w:hint="eastAsia"/>
          <w:szCs w:val="21"/>
          <w:highlight w:val="none"/>
          <w:lang w:val="en-US" w:eastAsia="zh-CN"/>
        </w:rPr>
        <w:t xml:space="preserve">采购人</w:t>
      </w:r>
      <w:r>
        <w:rPr>
          <w:rFonts w:hint="default"/>
          <w:szCs w:val="21"/>
          <w:highlight w:val="none"/>
          <w:lang w:eastAsia="zh-CN"/>
        </w:rPr>
        <w:t xml:space="preserve">有权暂缓付款，且对此不承担迟延付款责任。</w:t>
      </w:r>
      <w:r/>
    </w:p>
    <w:p>
      <w:pPr>
        <w:spacing w:line="360" w:lineRule="auto"/>
        <w:rPr>
          <w:b/>
          <w:highlight w:val="none"/>
        </w:rPr>
      </w:pPr>
      <w:r>
        <w:rPr>
          <w:b/>
          <w:highlight w:val="none"/>
        </w:rPr>
        <w:t xml:space="preserve">九、备注</w:t>
      </w:r>
      <w:r/>
    </w:p>
    <w:p>
      <w:pPr>
        <w:ind w:firstLine="422"/>
        <w:spacing w:line="360" w:lineRule="auto"/>
        <w:rPr>
          <w:b/>
          <w:highlight w:val="none"/>
        </w:rPr>
      </w:pPr>
      <w:r>
        <w:rPr>
          <w:b/>
          <w:highlight w:val="none"/>
        </w:rPr>
        <w:t xml:space="preserve">本章中所有要求为“南京江北新区2026年市级电视新闻专栏制作与传播项目”合同不可分割的一部分，成交供应商在项目实施过程中应严格按照采购项目需求中各项要求、采购合同各项条款、采购人要求以及响应文件中确定的事项和承诺履行本项目。</w:t>
      </w:r>
      <w:r/>
    </w:p>
    <w:p>
      <w:pPr>
        <w:spacing w:line="360" w:lineRule="auto"/>
        <w:rPr>
          <w:highlight w:val="none"/>
        </w:rPr>
      </w:pPr>
      <w:r>
        <w:rPr>
          <w:highlight w:val="none"/>
        </w:rPr>
        <w:br w:type="page" w:clear="all"/>
      </w:r>
      <w:r/>
    </w:p>
    <w:p>
      <w:pPr>
        <w:pStyle w:val="708"/>
        <w:numPr>
          <w:ilvl w:val="0"/>
          <w:numId w:val="5"/>
        </w:numPr>
        <w:spacing w:line="360" w:lineRule="auto"/>
        <w:rPr>
          <w:rFonts w:ascii="Times New Roman" w:hAnsi="Times New Roman"/>
          <w:highlight w:val="none"/>
        </w:rPr>
      </w:pPr>
      <w:r/>
      <w:bookmarkStart w:id="25" w:name="_Toc29119"/>
      <w:r/>
      <w:bookmarkStart w:id="26" w:name="_Toc504044378"/>
      <w:r/>
      <w:bookmarkStart w:id="27" w:name="_Toc531257237"/>
      <w:r/>
      <w:bookmarkStart w:id="28" w:name="_Toc515797970"/>
      <w:r>
        <w:rPr>
          <w:rFonts w:ascii="Times New Roman" w:hAnsi="Times New Roman"/>
          <w:highlight w:val="none"/>
        </w:rPr>
        <w:t xml:space="preserve">合同主要条款及格式</w:t>
      </w:r>
      <w:bookmarkEnd w:id="25"/>
      <w:r/>
      <w:bookmarkEnd w:id="26"/>
      <w:r/>
      <w:bookmarkEnd w:id="27"/>
      <w:r/>
      <w:bookmarkEnd w:id="28"/>
      <w:r/>
      <w:r/>
    </w:p>
    <w:p>
      <w:pPr>
        <w:rPr>
          <w:highlight w:val="none"/>
        </w:rPr>
      </w:pPr>
      <w:r>
        <w:rPr>
          <w:highlight w:val="none"/>
        </w:rPr>
      </w:r>
      <w:r/>
    </w:p>
    <w:p>
      <w:pPr>
        <w:rPr>
          <w:highlight w:val="none"/>
        </w:rPr>
      </w:pPr>
      <w:r>
        <w:rPr>
          <w:highlight w:val="none"/>
        </w:rPr>
      </w:r>
      <w:r/>
    </w:p>
    <w:p>
      <w:pPr>
        <w:jc w:val="center"/>
        <w:spacing w:line="360" w:lineRule="auto"/>
        <w:rPr>
          <w:b/>
          <w:bCs/>
          <w:sz w:val="48"/>
          <w:szCs w:val="36"/>
          <w:highlight w:val="none"/>
        </w:rPr>
      </w:pPr>
      <w:r>
        <w:rPr>
          <w:b/>
          <w:bCs/>
          <w:sz w:val="48"/>
          <w:szCs w:val="36"/>
          <w:highlight w:val="none"/>
        </w:rPr>
        <w:t xml:space="preserve">南京江北新区2026年市级电视新闻专栏制作与传播项目合同</w:t>
      </w:r>
      <w:r/>
    </w:p>
    <w:p>
      <w:pPr>
        <w:pStyle w:val="817"/>
        <w:ind w:firstLine="0"/>
        <w:jc w:val="center"/>
        <w:rPr>
          <w:highlight w:val="none"/>
          <w:lang w:val="en-US"/>
        </w:rPr>
      </w:pPr>
      <w:r>
        <w:rPr>
          <w:highlight w:val="none"/>
          <w:lang w:val="en-US"/>
        </w:rPr>
        <w:t xml:space="preserve">（仅供参考）</w:t>
      </w:r>
      <w:r/>
    </w:p>
    <w:p>
      <w:pPr>
        <w:pStyle w:val="817"/>
        <w:ind w:firstLine="0"/>
        <w:jc w:val="center"/>
        <w:rPr>
          <w:highlight w:val="none"/>
          <w:lang w:val="en-US"/>
        </w:rPr>
      </w:pPr>
      <w:r>
        <w:rPr>
          <w:highlight w:val="none"/>
          <w:lang w:val="en-US"/>
        </w:rPr>
      </w:r>
      <w:r/>
    </w:p>
    <w:p>
      <w:pPr>
        <w:pStyle w:val="817"/>
        <w:ind w:firstLine="0"/>
        <w:jc w:val="center"/>
        <w:rPr>
          <w:highlight w:val="none"/>
          <w:lang w:val="en-US"/>
        </w:rPr>
      </w:pPr>
      <w:r>
        <w:rPr>
          <w:highlight w:val="none"/>
          <w:lang w:val="en-US"/>
        </w:rPr>
      </w:r>
      <w:r/>
    </w:p>
    <w:tbl>
      <w:tblPr>
        <w:tblStyle w:val="679"/>
        <w:tblW w:w="0" w:type="auto"/>
        <w:jc w:val="center"/>
        <w:tblLayout w:type="fixed"/>
        <w:tblCellMar>
          <w:left w:w="0" w:type="dxa"/>
          <w:top w:w="0" w:type="dxa"/>
          <w:right w:w="0" w:type="dxa"/>
          <w:bottom w:w="0" w:type="dxa"/>
        </w:tblCellMar>
        <w:tblLook w:val="04A0" w:firstRow="1" w:lastRow="0" w:firstColumn="1" w:lastColumn="0" w:noHBand="0" w:noVBand="1"/>
      </w:tblPr>
      <w:tblGrid>
        <w:gridCol w:w="4216"/>
        <w:gridCol w:w="4216"/>
      </w:tblGrid>
      <w:tr>
        <w:trPr>
          <w:jc w:val="center"/>
          <w:trHeight w:val="559"/>
        </w:trPr>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highlight w:val="none"/>
              </w:rPr>
            </w:pPr>
            <w:r/>
            <w:bookmarkStart w:id="29" w:name="_Toc515797971"/>
            <w:r>
              <w:rPr>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highlight w:val="none"/>
              </w:rPr>
            </w:pPr>
            <w:r>
              <w:rPr>
                <w:highlight w:val="none"/>
              </w:rPr>
              <w:t xml:space="preserve">供应商（以下称乙方）：</w:t>
            </w:r>
            <w:r/>
          </w:p>
        </w:tc>
      </w:tr>
      <w:tr>
        <w:trPr>
          <w:jc w:val="center"/>
          <w:trHeight w:val="559"/>
        </w:trPr>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highlight w:val="none"/>
              </w:rPr>
            </w:pPr>
            <w:r>
              <w:rPr>
                <w:highlight w:val="none"/>
              </w:rPr>
              <w:t xml:space="preserve">住所地：</w:t>
            </w:r>
            <w:r/>
          </w:p>
        </w:tc>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highlight w:val="none"/>
              </w:rPr>
            </w:pPr>
            <w:r>
              <w:rPr>
                <w:highlight w:val="none"/>
              </w:rPr>
              <w:t xml:space="preserve">住所地：</w:t>
            </w:r>
            <w:r/>
          </w:p>
        </w:tc>
      </w:tr>
    </w:tbl>
    <w:p>
      <w:pPr>
        <w:spacing w:line="360" w:lineRule="auto"/>
        <w:rPr>
          <w:highlight w:val="none"/>
        </w:rPr>
      </w:pPr>
      <w:r>
        <w:rPr>
          <w:highlight w:val="none"/>
        </w:rPr>
      </w:r>
      <w:r/>
    </w:p>
    <w:p>
      <w:pPr>
        <w:ind w:firstLine="420"/>
        <w:spacing w:line="360" w:lineRule="auto"/>
        <w:rPr>
          <w:highlight w:val="none"/>
        </w:rPr>
      </w:pPr>
      <w:r>
        <w:rPr>
          <w:highlight w:val="none"/>
        </w:rPr>
        <w:t xml:space="preserve">根据《中华人民共和国政府采购法》和《中华人民共和国民法典》等法律法规的规定，甲乙双方按照南京典晶工程项目管理有限公司的成交结果签订本合同。</w:t>
      </w:r>
      <w:r/>
    </w:p>
    <w:p>
      <w:pPr>
        <w:ind w:firstLine="422"/>
        <w:spacing w:line="360" w:lineRule="auto"/>
        <w:rPr>
          <w:b/>
          <w:highlight w:val="none"/>
        </w:rPr>
      </w:pPr>
      <w:r>
        <w:rPr>
          <w:b/>
          <w:highlight w:val="none"/>
        </w:rPr>
        <w:t xml:space="preserve">第一条 合同标的</w:t>
      </w:r>
      <w:r/>
    </w:p>
    <w:p>
      <w:pPr>
        <w:ind w:firstLine="420"/>
        <w:spacing w:line="360" w:lineRule="auto"/>
        <w:rPr>
          <w:highlight w:val="none"/>
        </w:rPr>
      </w:pPr>
      <w:r>
        <w:rPr>
          <w:highlight w:val="none"/>
        </w:rPr>
        <w:t xml:space="preserve">乙方根据甲方要求提供下列服务：</w:t>
      </w:r>
      <w:r>
        <w:rPr>
          <w:highlight w:val="none"/>
          <w:u w:val="single"/>
        </w:rPr>
        <w:t xml:space="preserve">             </w:t>
      </w:r>
      <w:r>
        <w:rPr>
          <w:highlight w:val="none"/>
        </w:rPr>
        <w:t xml:space="preserve">（服务内容）详见乙方响应性文件等。</w:t>
      </w:r>
      <w:r/>
    </w:p>
    <w:p>
      <w:pPr>
        <w:ind w:firstLine="420"/>
        <w:spacing w:line="360" w:lineRule="auto"/>
        <w:rPr>
          <w:highlight w:val="none"/>
        </w:rPr>
      </w:pPr>
      <w:r>
        <w:rPr>
          <w:highlight w:val="none"/>
          <w:lang w:val="zh-CN"/>
        </w:rPr>
        <w:t xml:space="preserve">合同期限：</w:t>
      </w:r>
      <w:r>
        <w:rPr>
          <w:highlight w:val="none"/>
        </w:rPr>
        <w:t xml:space="preserve">自合同签订之日起至202</w:t>
      </w:r>
      <w:r>
        <w:rPr>
          <w:rFonts w:hint="eastAsia"/>
          <w:highlight w:val="none"/>
        </w:rPr>
        <w:t xml:space="preserve">6</w:t>
      </w:r>
      <w:r>
        <w:rPr>
          <w:highlight w:val="none"/>
        </w:rPr>
        <w:t xml:space="preserve">年12月31日</w:t>
      </w:r>
      <w:r>
        <w:rPr>
          <w:highlight w:val="none"/>
          <w:lang w:val="zh-CN"/>
        </w:rPr>
        <w:t xml:space="preserve">。</w:t>
      </w:r>
      <w:r/>
    </w:p>
    <w:p>
      <w:pPr>
        <w:ind w:firstLine="422"/>
        <w:spacing w:line="360" w:lineRule="auto"/>
        <w:rPr>
          <w:b/>
          <w:highlight w:val="none"/>
        </w:rPr>
      </w:pPr>
      <w:r>
        <w:rPr>
          <w:b/>
          <w:highlight w:val="none"/>
        </w:rPr>
        <w:t xml:space="preserve">第二条 合同总价款</w:t>
      </w:r>
      <w:r/>
    </w:p>
    <w:p>
      <w:pPr>
        <w:ind w:firstLine="420"/>
        <w:spacing w:line="360" w:lineRule="auto"/>
        <w:rPr>
          <w:highlight w:val="none"/>
        </w:rPr>
      </w:pPr>
      <w:r>
        <w:rPr>
          <w:highlight w:val="none"/>
        </w:rPr>
        <w:t xml:space="preserve">本合同含税总</w:t>
      </w:r>
      <w:r>
        <w:rPr>
          <w:rFonts w:hint="eastAsia"/>
          <w:highlight w:val="none"/>
        </w:rPr>
        <w:t xml:space="preserve">价款</w:t>
      </w:r>
      <w:r>
        <w:rPr>
          <w:highlight w:val="none"/>
        </w:rPr>
        <w:t xml:space="preserve">：人民币大写__________元整，小写￥__________。</w:t>
      </w:r>
      <w:r/>
    </w:p>
    <w:p>
      <w:pPr>
        <w:ind w:firstLine="420"/>
        <w:spacing w:line="360" w:lineRule="auto"/>
        <w:rPr>
          <w:highlight w:val="none"/>
        </w:rPr>
      </w:pPr>
      <w:r>
        <w:rPr>
          <w:highlight w:val="none"/>
        </w:rPr>
        <w:t xml:space="preserve">合同总价款包含所有为履行本合同而支出的全部费用，除此以外采购单位不会以任何形式支付任何费用。</w:t>
      </w:r>
      <w:r/>
    </w:p>
    <w:p>
      <w:pPr>
        <w:ind w:firstLine="422"/>
        <w:spacing w:line="360" w:lineRule="auto"/>
        <w:rPr>
          <w:b/>
          <w:highlight w:val="none"/>
        </w:rPr>
      </w:pPr>
      <w:r>
        <w:rPr>
          <w:b/>
          <w:highlight w:val="none"/>
        </w:rPr>
        <w:t xml:space="preserve">第三条 组成本合同的有关文件</w:t>
      </w:r>
      <w:r/>
    </w:p>
    <w:p>
      <w:pPr>
        <w:ind w:firstLine="420"/>
        <w:spacing w:line="360" w:lineRule="auto"/>
        <w:rPr>
          <w:highlight w:val="none"/>
        </w:rPr>
      </w:pPr>
      <w:r>
        <w:rPr>
          <w:highlight w:val="none"/>
        </w:rPr>
        <w:t xml:space="preserve">单一来源采购文件、乙方响应文件及承诺等有关附件是本合同不可分割的组成部分，与本合同具有同等法律效力。</w:t>
      </w:r>
      <w:r/>
    </w:p>
    <w:p>
      <w:pPr>
        <w:ind w:firstLine="422"/>
        <w:spacing w:line="360" w:lineRule="auto"/>
        <w:rPr>
          <w:b/>
          <w:highlight w:val="none"/>
        </w:rPr>
      </w:pPr>
      <w:r>
        <w:rPr>
          <w:b/>
          <w:highlight w:val="none"/>
        </w:rPr>
        <w:t xml:space="preserve">第四条 权利保证</w:t>
      </w:r>
      <w:r/>
    </w:p>
    <w:p>
      <w:pPr>
        <w:ind w:firstLine="420"/>
        <w:spacing w:line="360" w:lineRule="auto"/>
        <w:rPr>
          <w:highlight w:val="none"/>
        </w:rPr>
      </w:pPr>
      <w:r>
        <w:rPr>
          <w:highlight w:val="none"/>
        </w:rPr>
        <w:t xml:space="preserve">乙方应保证为甲方提供的货物和服务不侵犯第三方的著作权、专利权、商标权或其他权利。一旦出现侵权纠纷，乙方应承担全部责任。</w:t>
      </w:r>
      <w:r/>
    </w:p>
    <w:p>
      <w:pPr>
        <w:ind w:firstLine="422"/>
        <w:spacing w:line="360" w:lineRule="auto"/>
        <w:rPr>
          <w:b/>
          <w:highlight w:val="none"/>
        </w:rPr>
      </w:pPr>
      <w:r>
        <w:rPr>
          <w:b/>
          <w:highlight w:val="none"/>
        </w:rPr>
        <w:t xml:space="preserve">第五条 质量保证</w:t>
      </w:r>
      <w:r/>
    </w:p>
    <w:p>
      <w:pPr>
        <w:ind w:firstLine="420"/>
        <w:spacing w:line="360" w:lineRule="auto"/>
        <w:rPr>
          <w:b/>
          <w:highlight w:val="none"/>
        </w:rPr>
      </w:pPr>
      <w:r>
        <w:rPr>
          <w:highlight w:val="none"/>
        </w:rPr>
        <w:t xml:space="preserve">乙方提供的服务必须全部达到采购文件各项要求，国家或行业有规定的，还要符合相应规定。</w:t>
      </w:r>
      <w:r/>
    </w:p>
    <w:p>
      <w:pPr>
        <w:ind w:firstLine="422"/>
        <w:spacing w:line="360" w:lineRule="auto"/>
        <w:rPr>
          <w:b/>
          <w:highlight w:val="none"/>
        </w:rPr>
      </w:pPr>
      <w:r>
        <w:rPr>
          <w:b/>
          <w:highlight w:val="none"/>
        </w:rPr>
        <w:t xml:space="preserve">第六条 交付使用和验收</w:t>
      </w:r>
      <w:r/>
    </w:p>
    <w:p>
      <w:pPr>
        <w:ind w:firstLine="420"/>
        <w:spacing w:line="360" w:lineRule="auto"/>
        <w:rPr>
          <w:highlight w:val="none"/>
        </w:rPr>
      </w:pPr>
      <w:r>
        <w:rPr>
          <w:highlight w:val="none"/>
        </w:rPr>
        <w:t xml:space="preserve">1、乙方应当在</w:t>
      </w:r>
      <w:r>
        <w:rPr>
          <w:bCs/>
          <w:highlight w:val="none"/>
          <w:u w:val="single"/>
        </w:rPr>
        <w:t xml:space="preserve">   </w:t>
      </w:r>
      <w:r>
        <w:rPr>
          <w:bCs/>
          <w:highlight w:val="none"/>
        </w:rPr>
        <w:t xml:space="preserve">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日前</w:t>
      </w:r>
      <w:r>
        <w:rPr>
          <w:highlight w:val="none"/>
        </w:rPr>
        <w:t xml:space="preserve">完成采购文件规定的项目并交付甲方使用。采购文件有约定的，从其约定。</w:t>
      </w:r>
      <w:r/>
    </w:p>
    <w:p>
      <w:pPr>
        <w:ind w:firstLine="420"/>
        <w:spacing w:line="360" w:lineRule="auto"/>
        <w:rPr>
          <w:highlight w:val="none"/>
        </w:rPr>
      </w:pPr>
      <w:r>
        <w:rPr>
          <w:highlight w:val="none"/>
        </w:rPr>
        <w:t xml:space="preserve">2、甲方自行组织或视情邀请相关专家或国家认可的质量检测机构参加验收，乙方提供的服务不符合采购文件、乙方响应文件及承诺等有关附件和合同规定的，甲方有权拒收，并由乙方承担验收费用等。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22"/>
        <w:spacing w:line="360" w:lineRule="auto"/>
        <w:rPr>
          <w:b/>
          <w:highlight w:val="none"/>
        </w:rPr>
      </w:pPr>
      <w:r>
        <w:rPr>
          <w:b/>
          <w:highlight w:val="none"/>
        </w:rPr>
        <w:t xml:space="preserve">第七条 合同款支付</w:t>
      </w:r>
      <w:r/>
    </w:p>
    <w:p>
      <w:pPr>
        <w:ind w:firstLine="420"/>
        <w:spacing w:line="360" w:lineRule="auto"/>
        <w:rPr>
          <w:highlight w:val="none"/>
        </w:rPr>
      </w:pPr>
      <w:r>
        <w:rPr>
          <w:highlight w:val="none"/>
        </w:rPr>
        <w:t xml:space="preserve">1、本合同项下所有款项均以人民币支付。</w:t>
      </w:r>
      <w:r/>
    </w:p>
    <w:p>
      <w:pPr>
        <w:ind w:firstLine="420"/>
        <w:spacing w:line="360" w:lineRule="auto"/>
        <w:rPr>
          <w:highlight w:val="none"/>
        </w:rPr>
      </w:pPr>
      <w:r>
        <w:rPr>
          <w:highlight w:val="none"/>
        </w:rPr>
        <w:t xml:space="preserve">2、本合同项下的采购资金由甲方自行支付，乙方向甲方开具发票。</w:t>
      </w:r>
      <w:r/>
    </w:p>
    <w:p>
      <w:pPr>
        <w:ind w:firstLine="420"/>
        <w:spacing w:line="360" w:lineRule="auto"/>
        <w:rPr>
          <w:highlight w:val="none"/>
        </w:rPr>
      </w:pPr>
      <w:r>
        <w:rPr>
          <w:highlight w:val="none"/>
        </w:rPr>
        <w:t xml:space="preserve">3、付款条件：</w:t>
      </w:r>
      <w:r/>
    </w:p>
    <w:p>
      <w:pPr>
        <w:ind w:firstLine="420"/>
        <w:spacing w:line="360" w:lineRule="auto"/>
        <w:rPr>
          <w:highlight w:val="none"/>
        </w:rPr>
      </w:pPr>
      <w:r>
        <w:rPr>
          <w:highlight w:val="none"/>
        </w:rPr>
        <w:t xml:space="preserve">（1）合同签订后30个工作日内，</w:t>
      </w:r>
      <w:r>
        <w:rPr>
          <w:rFonts w:hint="eastAsia"/>
          <w:highlight w:val="none"/>
        </w:rPr>
        <w:t xml:space="preserve">甲方</w:t>
      </w:r>
      <w:r>
        <w:rPr>
          <w:highlight w:val="none"/>
        </w:rPr>
        <w:t xml:space="preserve">向</w:t>
      </w:r>
      <w:r>
        <w:rPr>
          <w:rFonts w:hint="eastAsia"/>
          <w:highlight w:val="none"/>
        </w:rPr>
        <w:t xml:space="preserve">乙方</w:t>
      </w:r>
      <w:r>
        <w:rPr>
          <w:highlight w:val="none"/>
        </w:rPr>
        <w:t xml:space="preserve">支付合同款项的50%；</w:t>
      </w:r>
      <w:r/>
    </w:p>
    <w:p>
      <w:pPr>
        <w:ind w:firstLine="420"/>
        <w:spacing w:line="360" w:lineRule="auto"/>
        <w:rPr>
          <w:highlight w:val="none"/>
        </w:rPr>
      </w:pPr>
      <w:r>
        <w:rPr>
          <w:highlight w:val="none"/>
        </w:rPr>
        <w:t xml:space="preserve">（</w:t>
      </w:r>
      <w:r>
        <w:rPr>
          <w:rFonts w:hint="eastAsia"/>
          <w:highlight w:val="none"/>
        </w:rPr>
        <w:t xml:space="preserve">2</w:t>
      </w:r>
      <w:r>
        <w:rPr>
          <w:highlight w:val="none"/>
        </w:rPr>
        <w:t xml:space="preserve">）乙方完成全部服务事项后提交结案报告，供</w:t>
      </w:r>
      <w:r>
        <w:rPr>
          <w:rFonts w:hint="eastAsia"/>
          <w:highlight w:val="none"/>
        </w:rPr>
        <w:t xml:space="preserve">甲方</w:t>
      </w:r>
      <w:r>
        <w:rPr>
          <w:highlight w:val="none"/>
        </w:rPr>
        <w:t xml:space="preserve">考核验收，验收合格后30个工作日内，甲方支付合同款项的剩余</w:t>
      </w:r>
      <w:r>
        <w:rPr>
          <w:rFonts w:hint="eastAsia"/>
          <w:highlight w:val="none"/>
        </w:rPr>
        <w:t xml:space="preserve">5</w:t>
      </w:r>
      <w:r>
        <w:rPr>
          <w:highlight w:val="none"/>
        </w:rPr>
        <w:t xml:space="preserve">0%</w:t>
      </w:r>
      <w:r>
        <w:rPr>
          <w:rFonts w:hint="eastAsia"/>
          <w:highlight w:val="none"/>
        </w:rPr>
        <w:t xml:space="preserve">；</w:t>
      </w:r>
      <w:r>
        <w:rPr>
          <w:highlight w:val="none"/>
        </w:rPr>
        <w:t xml:space="preserve">验收不合格的，乙方应在15个工作日内整改完毕并重新提交验收，整改后仍不合格的，甲方有权拒绝支付剩余款项。</w:t>
      </w:r>
      <w:r/>
    </w:p>
    <w:p>
      <w:pPr>
        <w:ind w:firstLine="420"/>
        <w:spacing w:line="360" w:lineRule="auto"/>
        <w:rPr>
          <w:highlight w:val="none"/>
        </w:rPr>
      </w:pPr>
      <w:r>
        <w:rPr>
          <w:highlight w:val="none"/>
        </w:rPr>
        <w:t xml:space="preserve">（</w:t>
      </w:r>
      <w:r>
        <w:rPr>
          <w:rFonts w:hint="eastAsia"/>
          <w:highlight w:val="none"/>
        </w:rPr>
        <w:t xml:space="preserve">3</w:t>
      </w:r>
      <w:r>
        <w:rPr>
          <w:highlight w:val="none"/>
        </w:rPr>
        <w:t xml:space="preserve">）</w:t>
      </w:r>
      <w:r>
        <w:rPr>
          <w:rFonts w:hint="eastAsia"/>
          <w:highlight w:val="none"/>
        </w:rPr>
        <w:t xml:space="preserve">甲方</w:t>
      </w:r>
      <w:r>
        <w:rPr>
          <w:highlight w:val="none"/>
        </w:rPr>
        <w:t xml:space="preserve">每次付款前，</w:t>
      </w:r>
      <w:r>
        <w:rPr>
          <w:rFonts w:hint="eastAsia"/>
          <w:highlight w:val="none"/>
        </w:rPr>
        <w:t xml:space="preserve">乙方</w:t>
      </w:r>
      <w:r>
        <w:rPr>
          <w:highlight w:val="none"/>
        </w:rPr>
        <w:t xml:space="preserve">须向</w:t>
      </w:r>
      <w:r>
        <w:rPr>
          <w:rFonts w:hint="eastAsia"/>
          <w:highlight w:val="none"/>
        </w:rPr>
        <w:t xml:space="preserve">甲方</w:t>
      </w:r>
      <w:r>
        <w:rPr>
          <w:highlight w:val="none"/>
        </w:rPr>
        <w:t xml:space="preserve">开具正式发票。以上付款均无银行利息，一律通过银行结转。若因</w:t>
      </w:r>
      <w:r>
        <w:rPr>
          <w:rFonts w:hint="eastAsia"/>
          <w:highlight w:val="none"/>
        </w:rPr>
        <w:t xml:space="preserve">乙方</w:t>
      </w:r>
      <w:r>
        <w:rPr>
          <w:highlight w:val="none"/>
        </w:rPr>
        <w:t xml:space="preserve">提供的服务不符合合同要求或未能按</w:t>
      </w:r>
      <w:r>
        <w:rPr>
          <w:rFonts w:hint="eastAsia"/>
          <w:highlight w:val="none"/>
        </w:rPr>
        <w:t xml:space="preserve">甲方</w:t>
      </w:r>
      <w:r>
        <w:rPr>
          <w:highlight w:val="none"/>
        </w:rPr>
        <w:t xml:space="preserve">要求办理相应的付款手续，</w:t>
      </w:r>
      <w:r>
        <w:rPr>
          <w:rFonts w:hint="eastAsia"/>
          <w:highlight w:val="none"/>
        </w:rPr>
        <w:t xml:space="preserve">甲方</w:t>
      </w:r>
      <w:r>
        <w:rPr>
          <w:highlight w:val="none"/>
        </w:rPr>
        <w:t xml:space="preserve">有权暂缓付款，且对此不承担迟延付款责任。</w:t>
      </w:r>
      <w:r/>
    </w:p>
    <w:p>
      <w:pPr>
        <w:ind w:firstLine="422"/>
        <w:spacing w:line="360" w:lineRule="auto"/>
        <w:rPr>
          <w:b/>
          <w:highlight w:val="none"/>
        </w:rPr>
      </w:pPr>
      <w:r>
        <w:rPr>
          <w:b/>
          <w:highlight w:val="none"/>
        </w:rPr>
        <w:t xml:space="preserve">第八条 违约责任</w:t>
      </w:r>
      <w:r/>
    </w:p>
    <w:p>
      <w:pPr>
        <w:ind w:firstLine="420"/>
        <w:spacing w:line="360" w:lineRule="auto"/>
        <w:rPr>
          <w:highlight w:val="none"/>
        </w:rPr>
      </w:pPr>
      <w:r>
        <w:rPr>
          <w:highlight w:val="none"/>
        </w:rPr>
        <w:t xml:space="preserve">1、甲方无正当理由拒绝验收或拒付款的，甲方向乙方支付合同总价的5%违约金。</w:t>
      </w:r>
      <w:r/>
    </w:p>
    <w:p>
      <w:pPr>
        <w:ind w:firstLine="420"/>
        <w:spacing w:line="360" w:lineRule="auto"/>
        <w:rPr>
          <w:highlight w:val="none"/>
        </w:rPr>
      </w:pPr>
      <w:r>
        <w:rPr>
          <w:highlight w:val="none"/>
        </w:rPr>
        <w:t xml:space="preserve">2、甲方未按合同规定的期限向乙方支付合同款的，每逾期1天甲方向乙方支付应付未付合同款项5‰违约金，但累计违约金总额不超过欠款总额的5%。</w:t>
      </w:r>
      <w:r/>
    </w:p>
    <w:p>
      <w:pPr>
        <w:ind w:firstLine="420"/>
        <w:spacing w:line="360" w:lineRule="auto"/>
        <w:rPr>
          <w:highlight w:val="none"/>
        </w:rPr>
      </w:pPr>
      <w:r>
        <w:rPr>
          <w:highlight w:val="none"/>
        </w:rPr>
        <w:t xml:space="preserve">3、如乙方不能按期交付服务的，每逾期1天，乙方向甲方支付合同总额的5‰的违约金，累计违约金总额不超过合同总额的5%。如乙方逾期交付达10天，甲方有权解除合同，解除合同的通知自到达乙方时生效。乙方逾期交付的，今后参加政府采购信誉将受到影响。</w:t>
      </w:r>
      <w:r/>
    </w:p>
    <w:p>
      <w:pPr>
        <w:ind w:firstLine="420"/>
        <w:spacing w:line="360" w:lineRule="auto"/>
        <w:rPr>
          <w:highlight w:val="none"/>
        </w:rPr>
      </w:pPr>
      <w:r>
        <w:rPr>
          <w:highlight w:val="none"/>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highlight w:val="none"/>
        </w:rPr>
      </w:pPr>
      <w:r>
        <w:rPr>
          <w:highlight w:val="none"/>
        </w:rPr>
        <w:t xml:space="preserve">5、乙方虚假承诺，或经权威部门检测提供的货物和服务不能满足采购文件要求，或是由于乙方的过错造成合同无法继续履行的，</w:t>
      </w:r>
      <w:r>
        <w:rPr>
          <w:rFonts w:hint="eastAsia"/>
          <w:highlight w:val="none"/>
        </w:rPr>
        <w:t xml:space="preserve">应向甲方支付合同总价30%的违约金。</w:t>
      </w:r>
      <w:r/>
    </w:p>
    <w:p>
      <w:pPr>
        <w:ind w:firstLine="422"/>
        <w:spacing w:line="360" w:lineRule="auto"/>
        <w:rPr>
          <w:b/>
          <w:highlight w:val="none"/>
        </w:rPr>
      </w:pPr>
      <w:r>
        <w:rPr>
          <w:b/>
          <w:highlight w:val="none"/>
        </w:rPr>
        <w:t xml:space="preserve">第九条 合同的变更和终止</w:t>
      </w:r>
      <w:r/>
    </w:p>
    <w:p>
      <w:pPr>
        <w:ind w:firstLine="420"/>
        <w:spacing w:line="360" w:lineRule="auto"/>
        <w:rPr>
          <w:highlight w:val="none"/>
        </w:rPr>
      </w:pPr>
      <w:r>
        <w:rPr>
          <w:highlight w:val="none"/>
        </w:rPr>
        <w:t xml:space="preserve">1、</w:t>
      </w:r>
      <w:bookmarkStart w:id="30" w:name="_Hlk8218177"/>
      <w:r>
        <w:rPr>
          <w:highlight w:val="none"/>
        </w:rPr>
        <w:t xml:space="preserve">除《中华人民共和国政府采购法》第49条、</w:t>
      </w:r>
      <w:bookmarkEnd w:id="30"/>
      <w:r>
        <w:rPr>
          <w:highlight w:val="none"/>
        </w:rPr>
        <w:t xml:space="preserve">第50条第二款规定的情形外，本合同一经签订，甲乙双方不得擅自变更、中止或终止合同。</w:t>
      </w:r>
      <w:r/>
    </w:p>
    <w:p>
      <w:pPr>
        <w:ind w:firstLine="420"/>
        <w:spacing w:line="360" w:lineRule="auto"/>
        <w:rPr>
          <w:highlight w:val="none"/>
        </w:rPr>
      </w:pPr>
      <w:r>
        <w:rPr>
          <w:highlight w:val="none"/>
        </w:rPr>
        <w:t xml:space="preserve">2、除发生法律规定的不能预见、不能避免并不能克服的客观情况外，甲乙双方不得放弃或拒绝履行合同。乙方放弃或拒绝履行合同，在三年内不得参加中共南京江北新区工作委员会宣传和统战部组织的政府采购活动。</w:t>
      </w:r>
      <w:r/>
    </w:p>
    <w:p>
      <w:pPr>
        <w:ind w:firstLine="422"/>
        <w:spacing w:line="360" w:lineRule="auto"/>
        <w:rPr>
          <w:b/>
          <w:highlight w:val="none"/>
        </w:rPr>
      </w:pPr>
      <w:r>
        <w:rPr>
          <w:b/>
          <w:highlight w:val="none"/>
        </w:rPr>
        <w:t xml:space="preserve">第十条 合同的转让</w:t>
      </w:r>
      <w:r/>
    </w:p>
    <w:p>
      <w:pPr>
        <w:ind w:firstLine="420"/>
        <w:spacing w:line="360" w:lineRule="auto"/>
        <w:rPr>
          <w:highlight w:val="none"/>
        </w:rPr>
      </w:pPr>
      <w:r>
        <w:rPr>
          <w:highlight w:val="none"/>
        </w:rPr>
        <w:t xml:space="preserve">乙方不得擅自部分或全部转让其应履行的合同义务。</w:t>
      </w:r>
      <w:r/>
    </w:p>
    <w:p>
      <w:pPr>
        <w:ind w:firstLine="422"/>
        <w:spacing w:line="360" w:lineRule="auto"/>
        <w:rPr>
          <w:b/>
          <w:highlight w:val="none"/>
        </w:rPr>
      </w:pPr>
      <w:r>
        <w:rPr>
          <w:b/>
          <w:highlight w:val="none"/>
        </w:rPr>
        <w:t xml:space="preserve">第十一条 争议的解决</w:t>
      </w:r>
      <w:r/>
    </w:p>
    <w:p>
      <w:pPr>
        <w:ind w:firstLine="420"/>
        <w:spacing w:line="360" w:lineRule="auto"/>
        <w:rPr>
          <w:highlight w:val="none"/>
        </w:rPr>
      </w:pPr>
      <w:r>
        <w:rPr>
          <w:highlight w:val="none"/>
        </w:rPr>
        <w:t xml:space="preserve">1、因履行本合同引起的或与本合同有关的争议，甲、乙双方应首先通过友好协商解决，如果协商不能解决争议，则采取以下第（1）种方式解决争议：</w:t>
      </w:r>
      <w:r/>
    </w:p>
    <w:p>
      <w:pPr>
        <w:ind w:firstLine="420"/>
        <w:spacing w:line="360" w:lineRule="auto"/>
        <w:rPr>
          <w:highlight w:val="none"/>
        </w:rPr>
      </w:pPr>
      <w:r>
        <w:rPr>
          <w:highlight w:val="none"/>
        </w:rPr>
        <w:t xml:space="preserve">（1）向甲方所在地有管辖权的人民法院提起诉讼；</w:t>
      </w:r>
      <w:r/>
    </w:p>
    <w:p>
      <w:pPr>
        <w:ind w:firstLine="420"/>
        <w:spacing w:line="360" w:lineRule="auto"/>
        <w:rPr>
          <w:highlight w:val="none"/>
        </w:rPr>
      </w:pPr>
      <w:r>
        <w:rPr>
          <w:highlight w:val="none"/>
        </w:rPr>
        <w:t xml:space="preserve">（2）向</w:t>
      </w:r>
      <w:r>
        <w:rPr>
          <w:highlight w:val="none"/>
          <w:shd w:val="clear" w:color="auto" w:fill="ffffff"/>
        </w:rPr>
        <w:t xml:space="preserve">项目所在地</w:t>
      </w:r>
      <w:r>
        <w:rPr>
          <w:highlight w:val="none"/>
        </w:rPr>
        <w:t xml:space="preserve">仲裁委员会按其仲裁规则申请仲裁。</w:t>
      </w:r>
      <w:r/>
    </w:p>
    <w:p>
      <w:pPr>
        <w:ind w:firstLine="420"/>
        <w:spacing w:line="360" w:lineRule="auto"/>
        <w:rPr>
          <w:highlight w:val="none"/>
        </w:rPr>
      </w:pPr>
      <w:r>
        <w:rPr>
          <w:highlight w:val="none"/>
        </w:rPr>
        <w:t xml:space="preserve">如没有约定，默认采取第2种方式解决争议。</w:t>
      </w:r>
      <w:r/>
    </w:p>
    <w:p>
      <w:pPr>
        <w:ind w:firstLine="420"/>
        <w:spacing w:line="360" w:lineRule="auto"/>
        <w:rPr>
          <w:highlight w:val="none"/>
        </w:rPr>
      </w:pPr>
      <w:r>
        <w:rPr>
          <w:highlight w:val="none"/>
        </w:rPr>
        <w:t xml:space="preserve">2、在诉讼或仲裁期间，本合同应继续履行。</w:t>
      </w:r>
      <w:r/>
    </w:p>
    <w:p>
      <w:pPr>
        <w:ind w:firstLine="422"/>
        <w:spacing w:line="360" w:lineRule="auto"/>
        <w:rPr>
          <w:b/>
          <w:highlight w:val="none"/>
        </w:rPr>
      </w:pPr>
      <w:r>
        <w:rPr>
          <w:b/>
          <w:highlight w:val="none"/>
        </w:rPr>
        <w:t xml:space="preserve">第十</w:t>
      </w:r>
      <w:r>
        <w:rPr>
          <w:rFonts w:hint="eastAsia"/>
          <w:b/>
          <w:highlight w:val="none"/>
          <w:lang w:val="en-US" w:eastAsia="zh-CN"/>
        </w:rPr>
        <w:t xml:space="preserve">二</w:t>
      </w:r>
      <w:r>
        <w:rPr>
          <w:b/>
          <w:highlight w:val="none"/>
        </w:rPr>
        <w:t xml:space="preserve">条 诚实信用</w:t>
      </w:r>
      <w:r/>
    </w:p>
    <w:p>
      <w:pPr>
        <w:ind w:firstLine="420"/>
        <w:spacing w:line="360" w:lineRule="auto"/>
        <w:rPr>
          <w:highlight w:val="none"/>
        </w:rPr>
      </w:pPr>
      <w:r>
        <w:rPr>
          <w:highlight w:val="none"/>
        </w:rPr>
        <w:t xml:space="preserve">乙方应诚实信用，严格按照采购文件要求和承诺履行合同，不向甲方进行商业贿赂或者提供不正当利益。</w:t>
      </w:r>
      <w:r/>
    </w:p>
    <w:p>
      <w:pPr>
        <w:ind w:firstLine="422"/>
        <w:spacing w:line="360" w:lineRule="auto"/>
        <w:rPr>
          <w:b/>
          <w:highlight w:val="none"/>
        </w:rPr>
      </w:pPr>
      <w:r>
        <w:rPr>
          <w:b/>
          <w:highlight w:val="none"/>
        </w:rPr>
        <w:t xml:space="preserve">第十</w:t>
      </w:r>
      <w:r>
        <w:rPr>
          <w:rFonts w:hint="eastAsia"/>
          <w:b/>
          <w:highlight w:val="none"/>
          <w:lang w:val="en-US" w:eastAsia="zh-CN"/>
        </w:rPr>
        <w:t xml:space="preserve">三</w:t>
      </w:r>
      <w:r>
        <w:rPr>
          <w:b/>
          <w:highlight w:val="none"/>
        </w:rPr>
        <w:t xml:space="preserve">条 合同生效及其他</w:t>
      </w:r>
      <w:r/>
    </w:p>
    <w:p>
      <w:pPr>
        <w:ind w:firstLine="420"/>
        <w:spacing w:line="360" w:lineRule="auto"/>
        <w:rPr>
          <w:highlight w:val="none"/>
        </w:rPr>
      </w:pPr>
      <w:r>
        <w:rPr>
          <w:rFonts w:hint="eastAsia"/>
          <w:highlight w:val="none"/>
        </w:rPr>
        <w:t xml:space="preserve">1、</w:t>
      </w:r>
      <w:r>
        <w:rPr>
          <w:highlight w:val="none"/>
        </w:rPr>
        <w:t xml:space="preserve">本合同经双方法定代表人或授权代表签字、加盖单位公章后生效。</w:t>
      </w:r>
      <w:r/>
    </w:p>
    <w:p>
      <w:pPr>
        <w:ind w:firstLine="420"/>
        <w:spacing w:line="360" w:lineRule="auto"/>
        <w:rPr>
          <w:highlight w:val="none"/>
        </w:rPr>
      </w:pPr>
      <w:r>
        <w:rPr>
          <w:rFonts w:hint="eastAsia"/>
          <w:highlight w:val="none"/>
        </w:rPr>
        <w:t xml:space="preserve">2、</w:t>
      </w:r>
      <w:r>
        <w:rPr>
          <w:highlight w:val="none"/>
        </w:rPr>
        <w:t xml:space="preserve">本合同未尽事宜，遵照《中华人民共和国民法典》《中华人民共和国政府采购法》有关条文执行。</w:t>
      </w:r>
      <w:r/>
    </w:p>
    <w:p>
      <w:pPr>
        <w:ind w:firstLine="420"/>
        <w:spacing w:line="360" w:lineRule="auto"/>
        <w:rPr>
          <w:highlight w:val="none"/>
        </w:rPr>
      </w:pPr>
      <w:r>
        <w:rPr>
          <w:rFonts w:hint="eastAsia"/>
          <w:highlight w:val="none"/>
        </w:rPr>
        <w:t xml:space="preserve">3、</w:t>
      </w:r>
      <w:r>
        <w:rPr>
          <w:highlight w:val="none"/>
        </w:rPr>
        <w:t xml:space="preserve">本合同正本一式陆份，甲方、乙方各执叁份，每份具有同等法律效力。</w:t>
      </w:r>
      <w:r/>
    </w:p>
    <w:p>
      <w:pPr>
        <w:ind w:firstLine="420"/>
        <w:spacing w:line="360" w:lineRule="auto"/>
        <w:rPr>
          <w:highlight w:val="none"/>
        </w:rPr>
      </w:pPr>
      <w:r>
        <w:rPr>
          <w:highlight w:val="none"/>
        </w:rPr>
      </w:r>
      <w:r/>
    </w:p>
    <w:p>
      <w:pPr>
        <w:ind w:firstLine="420"/>
        <w:spacing w:line="360" w:lineRule="auto"/>
        <w:rPr>
          <w:highlight w:val="none"/>
        </w:rPr>
      </w:pPr>
      <w:r>
        <w:rPr>
          <w:highlight w:val="none"/>
        </w:rPr>
        <w:t xml:space="preserve">甲方（采购人）：    （盖章）       乙方（供应商）：    （盖章）</w:t>
      </w:r>
      <w:r/>
    </w:p>
    <w:p>
      <w:pPr>
        <w:ind w:firstLine="420"/>
        <w:spacing w:line="360" w:lineRule="auto"/>
        <w:rPr>
          <w:highlight w:val="none"/>
        </w:rPr>
      </w:pPr>
      <w:r>
        <w:rPr>
          <w:highlight w:val="none"/>
        </w:rPr>
        <w:t xml:space="preserve">法定代表人或授权代表：         </w:t>
      </w:r>
      <w:r>
        <w:rPr>
          <w:rFonts w:hint="eastAsia"/>
          <w:highlight w:val="none"/>
        </w:rPr>
        <w:t xml:space="preserve">    </w:t>
      </w:r>
      <w:r>
        <w:rPr>
          <w:highlight w:val="none"/>
        </w:rPr>
        <w:t xml:space="preserve">法定代表人或授权代表： </w:t>
      </w:r>
      <w:r/>
    </w:p>
    <w:p>
      <w:pPr>
        <w:ind w:firstLine="420"/>
        <w:spacing w:line="360" w:lineRule="auto"/>
        <w:rPr>
          <w:highlight w:val="none"/>
        </w:rPr>
      </w:pPr>
      <w:r>
        <w:rPr>
          <w:highlight w:val="none"/>
        </w:rPr>
        <w:t xml:space="preserve">开户银行：                         开户银行：</w:t>
      </w:r>
      <w:r/>
    </w:p>
    <w:p>
      <w:pPr>
        <w:ind w:firstLine="420"/>
        <w:spacing w:line="360" w:lineRule="auto"/>
        <w:rPr>
          <w:highlight w:val="none"/>
        </w:rPr>
      </w:pPr>
      <w:r>
        <w:rPr>
          <w:highlight w:val="none"/>
        </w:rPr>
        <w:t xml:space="preserve">账号：                             账号：</w:t>
      </w:r>
      <w:r/>
    </w:p>
    <w:p>
      <w:pPr>
        <w:ind w:firstLine="420"/>
        <w:spacing w:line="360" w:lineRule="auto"/>
        <w:rPr>
          <w:highlight w:val="none"/>
        </w:rPr>
      </w:pPr>
      <w:r>
        <w:rPr>
          <w:highlight w:val="none"/>
        </w:rPr>
        <w:t xml:space="preserve">日期：    年   月   日             日期：    年   月   日</w:t>
      </w:r>
      <w:r/>
    </w:p>
    <w:p>
      <w:pPr>
        <w:jc w:val="center"/>
        <w:spacing w:line="360" w:lineRule="auto"/>
        <w:rPr>
          <w:rFonts w:ascii="宋体" w:hAnsi="宋体" w:cs="宋体"/>
          <w:b/>
          <w:bCs/>
          <w:sz w:val="28"/>
          <w:szCs w:val="24"/>
          <w:highlight w:val="none"/>
          <w:lang w:val="zh-CN"/>
        </w:rPr>
      </w:pPr>
      <w:r>
        <w:rPr>
          <w:rFonts w:ascii="宋体" w:hAnsi="宋体" w:cs="宋体"/>
          <w:b/>
          <w:bCs/>
          <w:sz w:val="28"/>
          <w:szCs w:val="24"/>
          <w:highlight w:val="none"/>
          <w:lang w:val="zh-CN"/>
        </w:rPr>
        <w:t xml:space="preserve">《*******合同》补充协议（合同附件）</w:t>
      </w:r>
      <w:r/>
    </w:p>
    <w:p>
      <w:pPr>
        <w:jc w:val="left"/>
        <w:spacing w:line="360" w:lineRule="auto"/>
        <w:rPr>
          <w:rFonts w:ascii="宋体" w:hAnsi="宋体" w:cs="宋体"/>
          <w:sz w:val="28"/>
          <w:szCs w:val="24"/>
          <w:highlight w:val="none"/>
          <w:lang w:val="zh-CN"/>
        </w:rPr>
      </w:pPr>
      <w:r>
        <w:rPr>
          <w:rFonts w:ascii="宋体" w:hAnsi="宋体" w:cs="宋体"/>
          <w:sz w:val="28"/>
          <w:szCs w:val="24"/>
          <w:highlight w:val="none"/>
          <w:lang w:val="zh-CN"/>
        </w:rPr>
        <w:t xml:space="preserve">   采购文件及合同未约定事项，双方可友好协商签订补充协议。</w:t>
      </w:r>
      <w:r/>
    </w:p>
    <w:p>
      <w:pPr>
        <w:pStyle w:val="680"/>
        <w:rPr>
          <w:highlight w:val="none"/>
        </w:rPr>
      </w:pPr>
      <w:r>
        <w:rPr>
          <w:highlight w:val="none"/>
        </w:rPr>
      </w:r>
      <w:r/>
    </w:p>
    <w:p>
      <w:pPr>
        <w:spacing w:line="360" w:lineRule="auto"/>
        <w:rPr>
          <w:highlight w:val="none"/>
        </w:rPr>
      </w:pPr>
      <w:r>
        <w:rPr>
          <w:highlight w:val="none"/>
        </w:rPr>
        <w:br w:type="page" w:clear="all"/>
      </w:r>
      <w:r/>
    </w:p>
    <w:p>
      <w:pPr>
        <w:pStyle w:val="708"/>
        <w:spacing w:line="360" w:lineRule="auto"/>
        <w:rPr>
          <w:rFonts w:ascii="Times New Roman" w:hAnsi="Times New Roman"/>
          <w:highlight w:val="none"/>
        </w:rPr>
      </w:pPr>
      <w:r/>
      <w:bookmarkStart w:id="31" w:name="_Toc531257238"/>
      <w:r>
        <w:rPr>
          <w:rFonts w:ascii="Times New Roman" w:hAnsi="Times New Roman"/>
          <w:highlight w:val="none"/>
        </w:rPr>
        <w:t xml:space="preserve">第五章 响应文件格式</w:t>
      </w:r>
      <w:bookmarkEnd w:id="29"/>
      <w:r/>
      <w:bookmarkEnd w:id="31"/>
      <w:r/>
      <w:r/>
    </w:p>
    <w:p>
      <w:pPr>
        <w:jc w:val="center"/>
        <w:spacing w:line="360" w:lineRule="auto"/>
        <w:rPr>
          <w:sz w:val="72"/>
          <w:szCs w:val="72"/>
          <w:highlight w:val="none"/>
        </w:rPr>
      </w:pPr>
      <w:r>
        <w:rPr>
          <w:sz w:val="72"/>
          <w:szCs w:val="72"/>
          <w:highlight w:val="none"/>
        </w:rPr>
        <w:t xml:space="preserve">单一来源采购响应文件</w:t>
      </w:r>
      <w:r/>
    </w:p>
    <w:p>
      <w:pPr>
        <w:spacing w:line="360" w:lineRule="auto"/>
        <w:rPr>
          <w:sz w:val="72"/>
          <w:szCs w:val="72"/>
          <w:highlight w:val="none"/>
        </w:rPr>
      </w:pPr>
      <w:r>
        <w:rPr>
          <w:sz w:val="72"/>
          <w:szCs w:val="72"/>
          <w:highlight w:val="none"/>
        </w:rPr>
      </w:r>
      <w:r/>
    </w:p>
    <w:p>
      <w:pPr>
        <w:jc w:val="center"/>
        <w:spacing w:line="360" w:lineRule="auto"/>
        <w:rPr>
          <w:sz w:val="44"/>
          <w:szCs w:val="44"/>
          <w:highlight w:val="none"/>
        </w:rPr>
      </w:pPr>
      <w:r>
        <w:rPr>
          <w:sz w:val="44"/>
          <w:szCs w:val="44"/>
          <w:highlight w:val="none"/>
        </w:rPr>
        <w:t xml:space="preserve">【正/副本】</w:t>
      </w:r>
      <w:r/>
    </w:p>
    <w:p>
      <w:pPr>
        <w:spacing w:line="360" w:lineRule="auto"/>
        <w:rPr>
          <w:sz w:val="44"/>
          <w:szCs w:val="44"/>
          <w:highlight w:val="none"/>
        </w:rPr>
      </w:pPr>
      <w:r>
        <w:rPr>
          <w:sz w:val="44"/>
          <w:szCs w:val="44"/>
          <w:highlight w:val="none"/>
        </w:rPr>
      </w:r>
      <w:r/>
    </w:p>
    <w:p>
      <w:pPr>
        <w:spacing w:line="360" w:lineRule="auto"/>
        <w:rPr>
          <w:sz w:val="44"/>
          <w:szCs w:val="44"/>
          <w:highlight w:val="none"/>
        </w:rPr>
      </w:pPr>
      <w:r>
        <w:rPr>
          <w:sz w:val="44"/>
          <w:szCs w:val="44"/>
          <w:highlight w:val="none"/>
        </w:rPr>
      </w:r>
      <w:r/>
    </w:p>
    <w:p>
      <w:pPr>
        <w:spacing w:line="360" w:lineRule="auto"/>
        <w:rPr>
          <w:sz w:val="44"/>
          <w:szCs w:val="44"/>
          <w:highlight w:val="none"/>
        </w:rPr>
      </w:pPr>
      <w:r>
        <w:rPr>
          <w:sz w:val="44"/>
          <w:szCs w:val="44"/>
          <w:highlight w:val="none"/>
        </w:rPr>
      </w:r>
      <w:r/>
    </w:p>
    <w:p>
      <w:pPr>
        <w:ind w:firstLine="440"/>
        <w:spacing w:line="360" w:lineRule="auto"/>
        <w:rPr>
          <w:sz w:val="44"/>
          <w:szCs w:val="44"/>
          <w:highlight w:val="none"/>
        </w:rPr>
      </w:pPr>
      <w:r>
        <w:rPr>
          <w:sz w:val="44"/>
          <w:szCs w:val="44"/>
          <w:highlight w:val="none"/>
        </w:rPr>
        <w:t xml:space="preserve">项目编号：</w:t>
      </w:r>
      <w:r/>
    </w:p>
    <w:p>
      <w:pPr>
        <w:spacing w:line="360" w:lineRule="auto"/>
        <w:rPr>
          <w:sz w:val="44"/>
          <w:szCs w:val="44"/>
          <w:highlight w:val="none"/>
        </w:rPr>
      </w:pPr>
      <w:r>
        <w:rPr>
          <w:sz w:val="44"/>
          <w:szCs w:val="44"/>
          <w:highlight w:val="none"/>
        </w:rPr>
      </w:r>
      <w:r/>
    </w:p>
    <w:p>
      <w:pPr>
        <w:ind w:firstLine="440"/>
        <w:spacing w:line="360" w:lineRule="auto"/>
        <w:rPr>
          <w:sz w:val="44"/>
          <w:szCs w:val="44"/>
          <w:highlight w:val="none"/>
        </w:rPr>
      </w:pPr>
      <w:r>
        <w:rPr>
          <w:sz w:val="44"/>
          <w:szCs w:val="44"/>
          <w:highlight w:val="none"/>
        </w:rPr>
        <w:t xml:space="preserve">项目名称：</w:t>
      </w:r>
      <w:r/>
    </w:p>
    <w:p>
      <w:pPr>
        <w:spacing w:line="360" w:lineRule="auto"/>
        <w:rPr>
          <w:sz w:val="44"/>
          <w:szCs w:val="44"/>
          <w:highlight w:val="none"/>
        </w:rPr>
      </w:pPr>
      <w:r>
        <w:rPr>
          <w:sz w:val="44"/>
          <w:szCs w:val="44"/>
          <w:highlight w:val="none"/>
        </w:rPr>
      </w:r>
      <w:r/>
    </w:p>
    <w:p>
      <w:pPr>
        <w:spacing w:line="360" w:lineRule="auto"/>
        <w:rPr>
          <w:sz w:val="44"/>
          <w:szCs w:val="44"/>
          <w:highlight w:val="none"/>
        </w:rPr>
      </w:pPr>
      <w:r>
        <w:rPr>
          <w:sz w:val="44"/>
          <w:szCs w:val="44"/>
          <w:highlight w:val="none"/>
        </w:rPr>
      </w:r>
      <w:r/>
    </w:p>
    <w:p>
      <w:pPr>
        <w:spacing w:line="360" w:lineRule="auto"/>
        <w:rPr>
          <w:sz w:val="44"/>
          <w:szCs w:val="44"/>
          <w:highlight w:val="none"/>
        </w:rPr>
      </w:pPr>
      <w:r>
        <w:rPr>
          <w:sz w:val="44"/>
          <w:szCs w:val="44"/>
          <w:highlight w:val="none"/>
        </w:rPr>
      </w:r>
      <w:r/>
    </w:p>
    <w:p>
      <w:pPr>
        <w:spacing w:line="360" w:lineRule="auto"/>
        <w:rPr>
          <w:sz w:val="44"/>
          <w:szCs w:val="44"/>
          <w:highlight w:val="none"/>
        </w:rPr>
      </w:pPr>
      <w:r>
        <w:rPr>
          <w:sz w:val="44"/>
          <w:szCs w:val="44"/>
          <w:highlight w:val="none"/>
        </w:rPr>
      </w:r>
      <w:r/>
    </w:p>
    <w:p>
      <w:pPr>
        <w:ind w:firstLine="1280"/>
        <w:spacing w:line="360" w:lineRule="auto"/>
        <w:rPr>
          <w:sz w:val="32"/>
          <w:szCs w:val="44"/>
          <w:highlight w:val="none"/>
        </w:rPr>
      </w:pPr>
      <w:r>
        <w:rPr>
          <w:sz w:val="32"/>
          <w:szCs w:val="44"/>
          <w:highlight w:val="none"/>
        </w:rPr>
        <w:t xml:space="preserve">供应商（全称）(单位盖章)：</w:t>
      </w:r>
      <w:r/>
    </w:p>
    <w:p>
      <w:pPr>
        <w:ind w:firstLine="1280"/>
        <w:spacing w:line="360" w:lineRule="auto"/>
        <w:rPr>
          <w:sz w:val="32"/>
          <w:szCs w:val="44"/>
          <w:highlight w:val="none"/>
        </w:rPr>
      </w:pPr>
      <w:r>
        <w:rPr>
          <w:sz w:val="32"/>
          <w:szCs w:val="44"/>
          <w:highlight w:val="none"/>
        </w:rPr>
        <w:t xml:space="preserve">法定代表人（或授权代表）（签字或签章）：</w:t>
      </w:r>
      <w:r/>
    </w:p>
    <w:p>
      <w:pPr>
        <w:ind w:firstLine="1280"/>
        <w:spacing w:line="360" w:lineRule="auto"/>
        <w:rPr>
          <w:sz w:val="32"/>
          <w:szCs w:val="44"/>
          <w:highlight w:val="none"/>
        </w:rPr>
      </w:pPr>
      <w:r>
        <w:rPr>
          <w:sz w:val="32"/>
          <w:szCs w:val="44"/>
          <w:highlight w:val="none"/>
        </w:rPr>
        <w:t xml:space="preserve">联系电话：</w:t>
      </w:r>
      <w:r/>
    </w:p>
    <w:p>
      <w:pPr>
        <w:ind w:firstLine="1280"/>
        <w:spacing w:line="360" w:lineRule="auto"/>
        <w:rPr>
          <w:sz w:val="32"/>
          <w:szCs w:val="44"/>
          <w:highlight w:val="none"/>
        </w:rPr>
      </w:pPr>
      <w:r>
        <w:rPr>
          <w:sz w:val="32"/>
          <w:szCs w:val="44"/>
          <w:highlight w:val="none"/>
        </w:rPr>
        <w:t xml:space="preserve">日    期：</w:t>
      </w:r>
      <w:r/>
    </w:p>
    <w:p>
      <w:pPr>
        <w:spacing w:line="360" w:lineRule="auto"/>
        <w:rPr>
          <w:sz w:val="32"/>
          <w:szCs w:val="44"/>
          <w:highlight w:val="none"/>
        </w:rPr>
      </w:pPr>
      <w:r>
        <w:rPr>
          <w:sz w:val="32"/>
          <w:szCs w:val="44"/>
          <w:highlight w:val="none"/>
        </w:rPr>
        <w:br w:type="page" w:clear="all"/>
      </w:r>
      <w:r/>
    </w:p>
    <w:p>
      <w:pPr>
        <w:jc w:val="center"/>
        <w:spacing w:line="360" w:lineRule="auto"/>
        <w:rPr>
          <w:sz w:val="44"/>
          <w:highlight w:val="none"/>
        </w:rPr>
      </w:pPr>
      <w:r>
        <w:rPr>
          <w:sz w:val="44"/>
          <w:highlight w:val="none"/>
        </w:rPr>
        <w:t xml:space="preserve">目录</w:t>
      </w:r>
      <w:bookmarkStart w:id="32" w:name="_Toc264974206"/>
      <w:r/>
      <w:r/>
    </w:p>
    <w:p>
      <w:pPr>
        <w:jc w:val="center"/>
        <w:spacing w:line="360" w:lineRule="auto"/>
        <w:rPr>
          <w:sz w:val="28"/>
          <w:highlight w:val="none"/>
        </w:rPr>
      </w:pPr>
      <w:r>
        <w:rPr>
          <w:sz w:val="28"/>
          <w:highlight w:val="none"/>
        </w:rPr>
        <w:t xml:space="preserve">请供应商编制目录及页码，否则可能将影响对响应文件的评价。</w:t>
      </w:r>
      <w:r/>
    </w:p>
    <w:p>
      <w:pPr>
        <w:spacing w:line="360" w:lineRule="auto"/>
        <w:rPr>
          <w:highlight w:val="none"/>
        </w:rPr>
      </w:pPr>
      <w:r>
        <w:rPr>
          <w:highlight w:val="none"/>
        </w:rPr>
        <w:br w:type="page" w:clear="all"/>
      </w:r>
      <w:bookmarkEnd w:id="32"/>
      <w:r/>
      <w:r/>
    </w:p>
    <w:p>
      <w:pPr>
        <w:spacing w:line="360" w:lineRule="auto"/>
        <w:rPr>
          <w:b/>
          <w:sz w:val="32"/>
          <w:szCs w:val="32"/>
          <w:highlight w:val="none"/>
        </w:rPr>
      </w:pPr>
      <w:r>
        <w:rPr>
          <w:b/>
          <w:sz w:val="32"/>
          <w:szCs w:val="32"/>
          <w:highlight w:val="none"/>
        </w:rPr>
        <w:t xml:space="preserve">一、谈判协商申请及声明、报价表及项目相关文件</w:t>
      </w:r>
      <w:r/>
    </w:p>
    <w:p>
      <w:pPr>
        <w:spacing w:line="360" w:lineRule="auto"/>
        <w:rPr>
          <w:sz w:val="28"/>
          <w:highlight w:val="none"/>
        </w:rPr>
      </w:pPr>
      <w:r>
        <w:rPr>
          <w:sz w:val="28"/>
          <w:highlight w:val="none"/>
        </w:rPr>
        <w:t xml:space="preserve">1、单一来源申请及声明</w:t>
      </w:r>
      <w:r/>
    </w:p>
    <w:p>
      <w:pPr>
        <w:jc w:val="center"/>
        <w:spacing w:line="360" w:lineRule="auto"/>
        <w:rPr>
          <w:b/>
          <w:highlight w:val="none"/>
        </w:rPr>
      </w:pPr>
      <w:r>
        <w:rPr>
          <w:b/>
          <w:sz w:val="32"/>
          <w:highlight w:val="none"/>
        </w:rPr>
        <w:t xml:space="preserve">单一来源申请及声明</w:t>
      </w:r>
      <w:r/>
    </w:p>
    <w:p>
      <w:pPr>
        <w:spacing w:line="360" w:lineRule="auto"/>
        <w:rPr>
          <w:highlight w:val="none"/>
        </w:rPr>
      </w:pPr>
      <w:r>
        <w:rPr>
          <w:highlight w:val="none"/>
        </w:rPr>
      </w:r>
      <w:r/>
    </w:p>
    <w:p>
      <w:pPr>
        <w:spacing w:line="360" w:lineRule="auto"/>
        <w:rPr>
          <w:highlight w:val="none"/>
        </w:rPr>
      </w:pPr>
      <w:r>
        <w:rPr>
          <w:highlight w:val="none"/>
        </w:rPr>
        <w:t xml:space="preserve">致：南京典晶工程项目管理有限公司</w:t>
      </w:r>
      <w:r/>
    </w:p>
    <w:p>
      <w:pPr>
        <w:ind w:firstLine="420"/>
        <w:spacing w:line="360" w:lineRule="auto"/>
        <w:rPr>
          <w:highlight w:val="none"/>
        </w:rPr>
      </w:pPr>
      <w:r>
        <w:rPr>
          <w:highlight w:val="none"/>
        </w:rPr>
        <w:t xml:space="preserve">中共南京江北新区工作委员会宣传和统战部：</w:t>
      </w:r>
      <w:r/>
    </w:p>
    <w:p>
      <w:pPr>
        <w:spacing w:line="360" w:lineRule="auto"/>
        <w:rPr>
          <w:highlight w:val="none"/>
        </w:rPr>
      </w:pPr>
      <w:r>
        <w:rPr>
          <w:highlight w:val="none"/>
        </w:rPr>
      </w:r>
      <w:r/>
    </w:p>
    <w:p>
      <w:pPr>
        <w:ind w:firstLine="420"/>
        <w:jc w:val="left"/>
        <w:spacing w:line="360" w:lineRule="auto"/>
        <w:rPr>
          <w:highlight w:val="none"/>
        </w:rPr>
      </w:pPr>
      <w:r>
        <w:rPr>
          <w:highlight w:val="none"/>
        </w:rPr>
        <w:t xml:space="preserve">根据贵方</w:t>
      </w:r>
      <w:r>
        <w:rPr>
          <w:highlight w:val="none"/>
          <w:u w:val="single"/>
        </w:rPr>
        <w:t xml:space="preserve">  南京江北新区2026年市级电视新闻专栏制作与传播项目  </w:t>
      </w:r>
      <w:r>
        <w:rPr>
          <w:highlight w:val="none"/>
        </w:rPr>
        <w:t xml:space="preserve">（项目名称）</w:t>
      </w:r>
      <w:r>
        <w:rPr>
          <w:highlight w:val="none"/>
          <w:u w:val="single"/>
        </w:rPr>
        <w:t xml:space="preserve">  </w:t>
      </w:r>
      <w:r>
        <w:rPr>
          <w:rFonts w:hint="eastAsia"/>
          <w:highlight w:val="none"/>
          <w:u w:val="single"/>
        </w:rPr>
        <w:t xml:space="preserve">JSZC-320192-NJDJ-D2026-0003</w:t>
      </w:r>
      <w:r>
        <w:rPr>
          <w:highlight w:val="none"/>
          <w:u w:val="single"/>
        </w:rPr>
        <w:t xml:space="preserve">  </w:t>
      </w:r>
      <w:r>
        <w:rPr>
          <w:highlight w:val="none"/>
        </w:rPr>
        <w:t xml:space="preserve">（项目编号）谈判协商邀请，正式授权下述签字人</w:t>
      </w:r>
      <w:r>
        <w:rPr>
          <w:highlight w:val="none"/>
          <w:u w:val="single"/>
        </w:rPr>
        <w:t xml:space="preserve">            </w:t>
      </w:r>
      <w:r>
        <w:rPr>
          <w:highlight w:val="none"/>
        </w:rPr>
        <w:t xml:space="preserve">（姓名和职务）代表</w:t>
      </w:r>
      <w:r>
        <w:rPr>
          <w:highlight w:val="none"/>
          <w:u w:val="single"/>
        </w:rPr>
        <w:t xml:space="preserve">                     </w:t>
      </w:r>
      <w:r>
        <w:rPr>
          <w:highlight w:val="none"/>
        </w:rPr>
        <w:t xml:space="preserve">（供应商名称），提交响应文件并参加谈判协商。</w:t>
      </w:r>
      <w:r/>
    </w:p>
    <w:p>
      <w:pPr>
        <w:ind w:firstLine="420"/>
        <w:spacing w:line="360" w:lineRule="auto"/>
        <w:rPr>
          <w:highlight w:val="none"/>
        </w:rPr>
      </w:pPr>
      <w:r>
        <w:rPr>
          <w:highlight w:val="none"/>
        </w:rPr>
        <w:t xml:space="preserve">据此函，签字人兹宣布同意如下：</w:t>
      </w:r>
      <w:r/>
    </w:p>
    <w:p>
      <w:pPr>
        <w:ind w:firstLine="420"/>
        <w:spacing w:line="360" w:lineRule="auto"/>
        <w:rPr>
          <w:highlight w:val="none"/>
        </w:rPr>
      </w:pPr>
      <w:r>
        <w:rPr>
          <w:highlight w:val="none"/>
        </w:rPr>
        <w:t xml:space="preserve">1、</w:t>
      </w:r>
      <w:r>
        <w:rPr>
          <w:b/>
          <w:highlight w:val="none"/>
        </w:rPr>
        <w:t xml:space="preserve">我方的资格条件完全符合政府采购法和本次采购要求</w:t>
      </w:r>
      <w:r>
        <w:rPr>
          <w:highlight w:val="none"/>
        </w:rPr>
        <w:t xml:space="preserve">，我方同意并向贵方提供了与本次采购活动有关的所有证据和资料。</w:t>
      </w:r>
      <w:r/>
    </w:p>
    <w:p>
      <w:pPr>
        <w:ind w:firstLine="420"/>
        <w:spacing w:line="360" w:lineRule="auto"/>
        <w:rPr>
          <w:highlight w:val="none"/>
        </w:rPr>
      </w:pPr>
      <w:r>
        <w:rPr>
          <w:highlight w:val="none"/>
        </w:rPr>
        <w:t xml:space="preserve">2、我方的总报价为人民币（大写）</w:t>
      </w:r>
      <w:r>
        <w:rPr>
          <w:highlight w:val="none"/>
          <w:u w:val="single"/>
        </w:rPr>
        <w:t xml:space="preserve">           </w:t>
      </w:r>
      <w:r>
        <w:rPr>
          <w:highlight w:val="none"/>
        </w:rPr>
        <w:t xml:space="preserve">（¥          元）。</w:t>
      </w:r>
      <w:r/>
    </w:p>
    <w:p>
      <w:pPr>
        <w:ind w:firstLine="420"/>
        <w:spacing w:line="360" w:lineRule="auto"/>
        <w:rPr>
          <w:highlight w:val="none"/>
        </w:rPr>
      </w:pPr>
      <w:r>
        <w:rPr>
          <w:highlight w:val="none"/>
        </w:rPr>
        <w:t xml:space="preserve">3、我方已详细审核全部采购文件及其有效补充文件，我方放弃对采购文件任何误解的权利，提交响应文件后，</w:t>
      </w:r>
      <w:r>
        <w:rPr>
          <w:b/>
          <w:highlight w:val="none"/>
        </w:rPr>
        <w:t xml:space="preserve">不对采购文件本身提出质疑</w:t>
      </w:r>
      <w:r>
        <w:rPr>
          <w:highlight w:val="none"/>
        </w:rPr>
        <w:t xml:space="preserve">。否则，属于不诚信和故意扰乱政府采购活动行为，我方将无条件接受处罚。</w:t>
      </w:r>
      <w:r/>
    </w:p>
    <w:p>
      <w:pPr>
        <w:ind w:firstLine="420"/>
        <w:spacing w:line="360" w:lineRule="auto"/>
        <w:rPr>
          <w:highlight w:val="none"/>
        </w:rPr>
      </w:pPr>
      <w:r>
        <w:rPr>
          <w:highlight w:val="none"/>
        </w:rPr>
        <w:t xml:space="preserve">4、响应文件有效期为从递交响应文件截止时间起计算的九十天，在此期间，本响应文件将始终对我方具有约束力，并可随时被接受。如果我方成交，本响应文件在此期间之后将继续保持有效。</w:t>
      </w:r>
      <w:r/>
    </w:p>
    <w:p>
      <w:pPr>
        <w:ind w:firstLine="420"/>
        <w:spacing w:line="360" w:lineRule="auto"/>
        <w:rPr>
          <w:highlight w:val="none"/>
        </w:rPr>
      </w:pPr>
      <w:r>
        <w:rPr>
          <w:highlight w:val="none"/>
        </w:rPr>
        <w:t xml:space="preserve">5、一旦我方成交，我方将根据采购文件的规定，严格履行合同，保证于承诺的时间内完成本项目规定的服务内容。</w:t>
      </w:r>
      <w:r/>
    </w:p>
    <w:p>
      <w:pPr>
        <w:ind w:firstLine="420"/>
        <w:spacing w:line="360" w:lineRule="auto"/>
        <w:rPr>
          <w:highlight w:val="none"/>
        </w:rPr>
      </w:pPr>
      <w:r>
        <w:rPr>
          <w:highlight w:val="none"/>
        </w:rPr>
        <w:t xml:space="preserve">6、我方决不提供虚假材料谋取成交、决不采取不正当手段诋毁、排挤其他供应商、决不与采购人、其它供应商或者代理机构恶意串通、决不向采购人、代理机构工作人员和采购人员进行商业贿赂、决不拒绝有关部门监督检查或提供虚假情况，如有违反，无条件接受贵方及相关管理部门的处罚。</w:t>
      </w:r>
      <w:r/>
    </w:p>
    <w:p>
      <w:pPr>
        <w:ind w:firstLine="420"/>
        <w:spacing w:line="360" w:lineRule="auto"/>
        <w:rPr>
          <w:highlight w:val="none"/>
        </w:rPr>
      </w:pPr>
      <w:r>
        <w:rPr>
          <w:highlight w:val="none"/>
        </w:rPr>
        <w:t xml:space="preserve">7、我方正式通讯方式为：</w:t>
      </w:r>
      <w:r/>
    </w:p>
    <w:p>
      <w:pPr>
        <w:ind w:firstLine="420"/>
        <w:spacing w:line="360" w:lineRule="auto"/>
        <w:rPr>
          <w:highlight w:val="none"/>
        </w:rPr>
      </w:pPr>
      <w:r>
        <w:rPr>
          <w:highlight w:val="none"/>
        </w:rPr>
        <w:t xml:space="preserve">地  址：</w:t>
      </w:r>
      <w:r/>
    </w:p>
    <w:p>
      <w:pPr>
        <w:ind w:firstLine="420"/>
        <w:spacing w:line="360" w:lineRule="auto"/>
        <w:rPr>
          <w:highlight w:val="none"/>
        </w:rPr>
      </w:pPr>
      <w:r>
        <w:rPr>
          <w:highlight w:val="none"/>
        </w:rPr>
        <w:t xml:space="preserve">电  话：</w:t>
      </w:r>
      <w:r/>
    </w:p>
    <w:p>
      <w:pPr>
        <w:ind w:firstLine="420"/>
        <w:spacing w:line="360" w:lineRule="auto"/>
        <w:rPr>
          <w:highlight w:val="none"/>
        </w:rPr>
      </w:pPr>
      <w:r>
        <w:rPr>
          <w:highlight w:val="none"/>
        </w:rPr>
        <w:t xml:space="preserve">传  真：</w:t>
      </w:r>
      <w:r/>
    </w:p>
    <w:p>
      <w:pPr>
        <w:ind w:firstLine="420"/>
        <w:spacing w:line="360" w:lineRule="auto"/>
        <w:rPr>
          <w:highlight w:val="none"/>
        </w:rPr>
      </w:pPr>
      <w:r>
        <w:rPr>
          <w:highlight w:val="none"/>
        </w:rPr>
        <w:t xml:space="preserve">8、我方正式开户银行和账号为：</w:t>
      </w:r>
      <w:r/>
    </w:p>
    <w:p>
      <w:pPr>
        <w:ind w:firstLine="420"/>
        <w:spacing w:line="360" w:lineRule="auto"/>
        <w:rPr>
          <w:highlight w:val="none"/>
        </w:rPr>
      </w:pPr>
      <w:r>
        <w:rPr>
          <w:highlight w:val="none"/>
        </w:rPr>
        <w:t xml:space="preserve">开户银行：</w:t>
      </w:r>
      <w:r/>
    </w:p>
    <w:p>
      <w:pPr>
        <w:ind w:firstLine="420"/>
        <w:spacing w:line="360" w:lineRule="auto"/>
        <w:rPr>
          <w:highlight w:val="none"/>
        </w:rPr>
      </w:pPr>
      <w:r>
        <w:rPr>
          <w:highlight w:val="none"/>
        </w:rPr>
        <w:t xml:space="preserve">账  号：</w:t>
      </w:r>
      <w:r/>
    </w:p>
    <w:p>
      <w:pPr>
        <w:ind w:firstLine="420"/>
        <w:spacing w:line="360" w:lineRule="auto"/>
        <w:rPr>
          <w:highlight w:val="none"/>
        </w:rPr>
      </w:pPr>
      <w:r>
        <w:rPr>
          <w:highlight w:val="none"/>
        </w:rPr>
        <w:t xml:space="preserve">供应商授权代表姓名（签字）：</w:t>
      </w:r>
      <w:r/>
    </w:p>
    <w:p>
      <w:pPr>
        <w:ind w:firstLine="420"/>
        <w:spacing w:line="360" w:lineRule="auto"/>
        <w:rPr>
          <w:highlight w:val="none"/>
        </w:rPr>
      </w:pPr>
      <w:r>
        <w:rPr>
          <w:highlight w:val="none"/>
        </w:rPr>
        <w:t xml:space="preserve">供应商名称（公章）：</w:t>
      </w:r>
      <w:r/>
    </w:p>
    <w:p>
      <w:pPr>
        <w:ind w:firstLine="420"/>
        <w:spacing w:line="360" w:lineRule="auto"/>
        <w:rPr>
          <w:highlight w:val="none"/>
        </w:rPr>
      </w:pPr>
      <w:r>
        <w:rPr>
          <w:highlight w:val="none"/>
        </w:rPr>
        <w:t xml:space="preserve">日  期：    年   月   日</w:t>
      </w:r>
      <w:r/>
    </w:p>
    <w:p>
      <w:pPr>
        <w:spacing w:line="360" w:lineRule="auto"/>
        <w:rPr>
          <w:highlight w:val="none"/>
        </w:rPr>
      </w:pPr>
      <w:r>
        <w:rPr>
          <w:highlight w:val="none"/>
        </w:rPr>
        <w:br w:type="page" w:clear="all"/>
      </w:r>
      <w:r/>
    </w:p>
    <w:p>
      <w:pPr>
        <w:spacing w:line="360" w:lineRule="auto"/>
        <w:rPr>
          <w:sz w:val="28"/>
          <w:highlight w:val="none"/>
        </w:rPr>
      </w:pPr>
      <w:r>
        <w:rPr>
          <w:sz w:val="28"/>
          <w:highlight w:val="none"/>
        </w:rPr>
        <w:t xml:space="preserve">2、法定代表人授权书格式</w:t>
      </w:r>
      <w:r/>
    </w:p>
    <w:p>
      <w:pPr>
        <w:jc w:val="center"/>
        <w:spacing w:line="360" w:lineRule="auto"/>
        <w:rPr>
          <w:b/>
          <w:sz w:val="32"/>
          <w:highlight w:val="none"/>
        </w:rPr>
      </w:pPr>
      <w:r>
        <w:rPr>
          <w:b/>
          <w:sz w:val="32"/>
          <w:highlight w:val="none"/>
        </w:rPr>
        <w:t xml:space="preserve">法定代表人授权书</w:t>
      </w:r>
      <w:r/>
    </w:p>
    <w:p>
      <w:pPr>
        <w:spacing w:line="360" w:lineRule="auto"/>
        <w:rPr>
          <w:highlight w:val="none"/>
        </w:rPr>
      </w:pPr>
      <w:r>
        <w:rPr>
          <w:highlight w:val="none"/>
        </w:rPr>
      </w:r>
      <w:r/>
    </w:p>
    <w:p>
      <w:pPr>
        <w:ind w:firstLine="420"/>
        <w:spacing w:line="360" w:lineRule="auto"/>
        <w:rPr>
          <w:highlight w:val="none"/>
        </w:rPr>
      </w:pPr>
      <w:r>
        <w:rPr>
          <w:highlight w:val="none"/>
        </w:rPr>
        <w:t xml:space="preserve">本授权书声明：注册于</w:t>
      </w:r>
      <w:r>
        <w:rPr>
          <w:highlight w:val="none"/>
          <w:u w:val="single"/>
        </w:rPr>
        <w:t xml:space="preserve">                                         </w:t>
      </w:r>
      <w:r>
        <w:rPr>
          <w:highlight w:val="none"/>
        </w:rPr>
        <w:t xml:space="preserve">（供应商住址）的</w:t>
      </w:r>
      <w:r>
        <w:rPr>
          <w:highlight w:val="none"/>
          <w:u w:val="single"/>
        </w:rPr>
        <w:t xml:space="preserve">                </w:t>
      </w:r>
      <w:r>
        <w:rPr>
          <w:highlight w:val="none"/>
        </w:rPr>
        <w:t xml:space="preserve">（供应商名称）法定代表人</w:t>
      </w:r>
      <w:r>
        <w:rPr>
          <w:highlight w:val="none"/>
          <w:u w:val="single"/>
        </w:rPr>
        <w:t xml:space="preserve">                  </w:t>
      </w:r>
      <w:r>
        <w:rPr>
          <w:highlight w:val="none"/>
        </w:rPr>
        <w:t xml:space="preserve">（法定代表人姓名、职务）代表本公司授权在下面签字的</w:t>
      </w:r>
      <w:r>
        <w:rPr>
          <w:highlight w:val="none"/>
          <w:u w:val="single"/>
        </w:rPr>
        <w:t xml:space="preserve">                       </w:t>
      </w:r>
      <w:r>
        <w:rPr>
          <w:highlight w:val="none"/>
        </w:rPr>
        <w:t xml:space="preserve">（供应商代表姓名、职务）为本单位的合法代理人（即授权代表），以本单位的名义参加南京典晶工程项目管理有限公司组织的</w:t>
      </w:r>
      <w:r>
        <w:rPr>
          <w:highlight w:val="none"/>
          <w:u w:val="single"/>
        </w:rPr>
        <w:t xml:space="preserve">   南京江北新区2026年市级电视新闻专栏制作与传播项目  </w:t>
      </w:r>
      <w:r>
        <w:rPr>
          <w:highlight w:val="none"/>
        </w:rPr>
        <w:t xml:space="preserve">（项目名称）</w:t>
      </w:r>
      <w:bookmarkStart w:id="33" w:name="_Hlk515217750"/>
      <w:r>
        <w:rPr>
          <w:rFonts w:hint="eastAsia"/>
          <w:highlight w:val="none"/>
          <w:u w:val="single"/>
        </w:rPr>
        <w:t xml:space="preserve">JSZC-320192-NJDJ-D2026-0003</w:t>
      </w:r>
      <w:r>
        <w:rPr>
          <w:highlight w:val="none"/>
          <w:u w:val="single"/>
        </w:rPr>
        <w:t xml:space="preserve"> </w:t>
      </w:r>
      <w:bookmarkEnd w:id="33"/>
      <w:r>
        <w:rPr>
          <w:highlight w:val="none"/>
        </w:rPr>
        <w:t xml:space="preserve">（项目编号）的谈判协商，授权代表签署的一切文件和处理与之有关的一切事务，我均予以承认。</w:t>
      </w:r>
      <w:r/>
    </w:p>
    <w:p>
      <w:pPr>
        <w:ind w:firstLine="420"/>
        <w:spacing w:line="360" w:lineRule="auto"/>
        <w:rPr>
          <w:highlight w:val="none"/>
        </w:rPr>
      </w:pPr>
      <w:r>
        <w:rPr>
          <w:highlight w:val="none"/>
        </w:rPr>
        <w:t xml:space="preserve">授权日期自    年   月   日始，到委托项目全部完成止。授权代表无权就以上事项再授权。特此委托。</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t xml:space="preserve">授权代表（签字）：                    性  别：</w:t>
      </w:r>
      <w:r/>
    </w:p>
    <w:p>
      <w:pPr>
        <w:spacing w:line="360" w:lineRule="auto"/>
        <w:rPr>
          <w:highlight w:val="none"/>
        </w:rPr>
      </w:pPr>
      <w:r>
        <w:rPr>
          <w:highlight w:val="none"/>
        </w:rPr>
        <w:t xml:space="preserve">身份证号码：</w:t>
      </w:r>
      <w:r/>
    </w:p>
    <w:p>
      <w:pPr>
        <w:spacing w:line="360" w:lineRule="auto"/>
        <w:rPr>
          <w:highlight w:val="none"/>
        </w:rPr>
      </w:pPr>
      <w:r>
        <w:rPr>
          <w:highlight w:val="none"/>
        </w:rPr>
        <w:t xml:space="preserve">委托代理人身份证复印件：</w:t>
      </w:r>
      <w:r/>
    </w:p>
    <w:p>
      <w:pPr>
        <w:spacing w:line="360" w:lineRule="auto"/>
        <w:rPr>
          <w:highlight w:val="none"/>
        </w:rPr>
      </w:pPr>
      <w:r>
        <w:rPr>
          <w:highlight w:val="none"/>
        </w:rPr>
      </w:r>
      <w:r/>
    </w:p>
    <w:p>
      <w:pPr>
        <w:spacing w:line="360" w:lineRule="auto"/>
        <w:rPr>
          <w:highlight w:val="none"/>
        </w:rPr>
      </w:pPr>
      <w:r>
        <w:rPr>
          <w:highlight w:val="none"/>
        </w:rPr>
        <w:t xml:space="preserve">法定代表人（签字或盖章）：</w:t>
      </w:r>
      <w:r/>
    </w:p>
    <w:p>
      <w:pPr>
        <w:spacing w:line="360" w:lineRule="auto"/>
        <w:rPr>
          <w:highlight w:val="none"/>
        </w:rPr>
      </w:pPr>
      <w:r>
        <w:rPr>
          <w:highlight w:val="none"/>
        </w:rPr>
        <w:t xml:space="preserve">供应商单位（盖章）：</w:t>
      </w:r>
      <w:r/>
    </w:p>
    <w:p>
      <w:pPr>
        <w:spacing w:line="360" w:lineRule="auto"/>
        <w:rPr>
          <w:highlight w:val="none"/>
        </w:rPr>
      </w:pPr>
      <w:r>
        <w:rPr>
          <w:highlight w:val="none"/>
        </w:rPr>
        <w:t xml:space="preserve">法人代表身份证复印件：</w:t>
      </w:r>
      <w:r/>
    </w:p>
    <w:p>
      <w:pPr>
        <w:spacing w:line="360" w:lineRule="auto"/>
        <w:rPr>
          <w:highlight w:val="none"/>
        </w:rPr>
      </w:pPr>
      <w:r>
        <w:rPr>
          <w:highlight w:val="none"/>
        </w:rPr>
      </w:r>
      <w:r/>
    </w:p>
    <w:p>
      <w:pPr>
        <w:spacing w:line="360" w:lineRule="auto"/>
        <w:rPr>
          <w:highlight w:val="none"/>
        </w:rPr>
      </w:pPr>
      <w:r>
        <w:rPr>
          <w:highlight w:val="none"/>
        </w:rPr>
        <w:t xml:space="preserve">日期：    年   月   日</w:t>
      </w:r>
      <w:r/>
    </w:p>
    <w:p>
      <w:pPr>
        <w:spacing w:line="360" w:lineRule="auto"/>
        <w:rPr>
          <w:highlight w:val="none"/>
        </w:rPr>
      </w:pPr>
      <w:r>
        <w:rPr>
          <w:highlight w:val="none"/>
        </w:rPr>
      </w:r>
      <w:r/>
    </w:p>
    <w:p>
      <w:pPr>
        <w:spacing w:line="360" w:lineRule="auto"/>
        <w:rPr>
          <w:highlight w:val="none"/>
        </w:rPr>
      </w:pPr>
      <w:r>
        <w:rPr>
          <w:highlight w:val="none"/>
        </w:rPr>
        <w:t xml:space="preserve">（说明：如是法定代表人参加谈判协商，本格式不需提供，但须附法定代表人身份证明复印件。如是非法人的其他组织参加谈判协商，参照本格式执行。）</w:t>
      </w:r>
      <w:r/>
    </w:p>
    <w:p>
      <w:pPr>
        <w:spacing w:line="360" w:lineRule="auto"/>
        <w:rPr>
          <w:highlight w:val="none"/>
        </w:rPr>
      </w:pPr>
      <w:r>
        <w:rPr>
          <w:highlight w:val="none"/>
        </w:rPr>
        <w:br w:type="page" w:clear="all"/>
      </w:r>
      <w:r/>
    </w:p>
    <w:p>
      <w:pPr>
        <w:spacing w:line="360" w:lineRule="auto"/>
        <w:rPr>
          <w:sz w:val="28"/>
          <w:highlight w:val="none"/>
        </w:rPr>
      </w:pPr>
      <w:r>
        <w:rPr>
          <w:sz w:val="28"/>
          <w:highlight w:val="none"/>
        </w:rPr>
        <w:t xml:space="preserve">3、报价表格式</w:t>
      </w:r>
      <w:r/>
    </w:p>
    <w:p>
      <w:pPr>
        <w:jc w:val="center"/>
        <w:spacing w:line="360" w:lineRule="auto"/>
        <w:rPr>
          <w:b/>
          <w:sz w:val="32"/>
          <w:highlight w:val="none"/>
        </w:rPr>
      </w:pPr>
      <w:r>
        <w:rPr>
          <w:b/>
          <w:sz w:val="32"/>
          <w:highlight w:val="none"/>
        </w:rPr>
        <w:t xml:space="preserve">报价表</w:t>
      </w:r>
      <w:r/>
    </w:p>
    <w:p>
      <w:pPr>
        <w:jc w:val="left"/>
        <w:spacing w:line="360" w:lineRule="auto"/>
        <w:tabs>
          <w:tab w:val="left" w:pos="2520" w:leader="none"/>
        </w:tabs>
        <w:rPr>
          <w:highlight w:val="none"/>
        </w:rPr>
      </w:pPr>
      <w:r>
        <w:rPr>
          <w:highlight w:val="none"/>
        </w:rPr>
        <w:t xml:space="preserve">项目名称：南京江北新区2026年市级电视新闻专栏制作与传播项目                       </w:t>
      </w:r>
      <w:r/>
    </w:p>
    <w:p>
      <w:pPr>
        <w:jc w:val="left"/>
        <w:spacing w:line="360" w:lineRule="auto"/>
        <w:rPr>
          <w:highlight w:val="none"/>
        </w:rPr>
      </w:pPr>
      <w:r>
        <w:rPr>
          <w:highlight w:val="none"/>
        </w:rPr>
        <w:t xml:space="preserve">项目编号：JSZC-320192-NJDJ-D2026-0003</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9"/>
        <w:gridCol w:w="978"/>
        <w:gridCol w:w="4207"/>
        <w:gridCol w:w="1110"/>
      </w:tblGrid>
      <w:tr>
        <w:trPr>
          <w:cantSplit/>
          <w:jc w:val="center"/>
          <w:trHeight w:val="1284"/>
        </w:trPr>
        <w:tc>
          <w:tcPr>
            <w:tcBorders>
              <w:bottom w:val="single" w:color="auto" w:sz="4" w:space="0"/>
            </w:tcBorders>
            <w:tcW w:w="1889" w:type="dxa"/>
            <w:vAlign w:val="center"/>
            <w:textDirection w:val="lrTb"/>
            <w:noWrap w:val="false"/>
          </w:tcPr>
          <w:p>
            <w:pPr>
              <w:jc w:val="center"/>
              <w:rPr>
                <w:b/>
                <w:highlight w:val="none"/>
              </w:rPr>
            </w:pPr>
            <w:r>
              <w:rPr>
                <w:b/>
                <w:highlight w:val="none"/>
              </w:rPr>
              <w:t xml:space="preserve">总报价</w:t>
            </w:r>
            <w:r/>
          </w:p>
        </w:tc>
        <w:tc>
          <w:tcPr>
            <w:tcBorders>
              <w:bottom w:val="single" w:color="auto" w:sz="4" w:space="0"/>
            </w:tcBorders>
            <w:tcW w:w="978" w:type="dxa"/>
            <w:vAlign w:val="center"/>
            <w:textDirection w:val="lrTb"/>
            <w:noWrap w:val="false"/>
          </w:tcPr>
          <w:p>
            <w:pPr>
              <w:jc w:val="center"/>
              <w:rPr>
                <w:highlight w:val="none"/>
              </w:rPr>
            </w:pPr>
            <w:r>
              <w:rPr>
                <w:highlight w:val="none"/>
              </w:rPr>
              <w:t xml:space="preserve">合计</w:t>
            </w:r>
            <w:r/>
          </w:p>
        </w:tc>
        <w:tc>
          <w:tcPr>
            <w:tcBorders>
              <w:bottom w:val="single" w:color="auto" w:sz="4" w:space="0"/>
            </w:tcBorders>
            <w:tcW w:w="4207" w:type="dxa"/>
            <w:vAlign w:val="center"/>
            <w:textDirection w:val="lrTb"/>
            <w:noWrap w:val="false"/>
          </w:tcPr>
          <w:p>
            <w:pPr>
              <w:rPr>
                <w:highlight w:val="none"/>
              </w:rPr>
            </w:pPr>
            <w:r>
              <w:rPr>
                <w:highlight w:val="none"/>
              </w:rPr>
              <w:t xml:space="preserve">小写：人民币             元</w:t>
            </w:r>
            <w:r/>
          </w:p>
          <w:p>
            <w:pPr>
              <w:rPr>
                <w:highlight w:val="none"/>
              </w:rPr>
            </w:pPr>
            <w:r>
              <w:rPr>
                <w:highlight w:val="none"/>
              </w:rPr>
            </w:r>
            <w:r/>
          </w:p>
          <w:p>
            <w:pPr>
              <w:rPr>
                <w:highlight w:val="none"/>
              </w:rPr>
            </w:pPr>
            <w:r>
              <w:rPr>
                <w:highlight w:val="none"/>
              </w:rPr>
              <w:t xml:space="preserve">大写：</w:t>
            </w:r>
            <w:r/>
          </w:p>
        </w:tc>
        <w:tc>
          <w:tcPr>
            <w:tcBorders>
              <w:bottom w:val="single" w:color="auto" w:sz="4" w:space="0"/>
            </w:tcBorders>
            <w:tcW w:w="1110" w:type="dxa"/>
            <w:vAlign w:val="center"/>
            <w:textDirection w:val="lrTb"/>
            <w:noWrap w:val="false"/>
          </w:tcPr>
          <w:p>
            <w:pPr>
              <w:jc w:val="center"/>
              <w:rPr>
                <w:highlight w:val="none"/>
              </w:rPr>
            </w:pPr>
            <w:r>
              <w:rPr>
                <w:highlight w:val="none"/>
              </w:rPr>
              <w:t xml:space="preserve">备注</w:t>
            </w:r>
            <w:r/>
          </w:p>
        </w:tc>
      </w:tr>
      <w:tr>
        <w:trPr>
          <w:jc w:val="center"/>
          <w:trHeight w:val="1306"/>
        </w:trPr>
        <w:tc>
          <w:tcPr>
            <w:tcBorders>
              <w:bottom w:val="single" w:color="auto" w:sz="4" w:space="0"/>
            </w:tcBorders>
            <w:tcW w:w="1889" w:type="dxa"/>
            <w:vAlign w:val="center"/>
            <w:textDirection w:val="lrTb"/>
            <w:noWrap w:val="false"/>
          </w:tcPr>
          <w:p>
            <w:pPr>
              <w:jc w:val="center"/>
              <w:rPr>
                <w:b/>
                <w:highlight w:val="none"/>
              </w:rPr>
            </w:pPr>
            <w:r>
              <w:rPr>
                <w:b/>
                <w:highlight w:val="none"/>
              </w:rPr>
              <w:t xml:space="preserve">服务时间</w:t>
            </w:r>
            <w:r/>
          </w:p>
        </w:tc>
        <w:tc>
          <w:tcPr>
            <w:gridSpan w:val="2"/>
            <w:tcBorders>
              <w:bottom w:val="single" w:color="auto" w:sz="4" w:space="0"/>
            </w:tcBorders>
            <w:tcW w:w="5185" w:type="dxa"/>
            <w:vAlign w:val="center"/>
            <w:textDirection w:val="lrTb"/>
            <w:noWrap w:val="false"/>
          </w:tcPr>
          <w:p>
            <w:pPr>
              <w:jc w:val="center"/>
              <w:rPr>
                <w:highlight w:val="none"/>
                <w:u w:val="single"/>
              </w:rPr>
            </w:pPr>
            <w:r>
              <w:rPr>
                <w:highlight w:val="none"/>
                <w:u w:val="single"/>
              </w:rPr>
              <w:t xml:space="preserve">满足采购文件要求</w:t>
            </w:r>
            <w:r/>
          </w:p>
        </w:tc>
        <w:tc>
          <w:tcPr>
            <w:tcBorders>
              <w:bottom w:val="single" w:color="auto" w:sz="4" w:space="0"/>
            </w:tcBorders>
            <w:tcW w:w="1110" w:type="dxa"/>
            <w:vAlign w:val="center"/>
            <w:textDirection w:val="lrTb"/>
            <w:noWrap w:val="false"/>
          </w:tcPr>
          <w:p>
            <w:pPr>
              <w:jc w:val="center"/>
              <w:rPr>
                <w:highlight w:val="none"/>
              </w:rPr>
            </w:pPr>
            <w:r>
              <w:rPr>
                <w:highlight w:val="none"/>
              </w:rPr>
            </w:r>
            <w:r/>
          </w:p>
        </w:tc>
      </w:tr>
    </w:tbl>
    <w:p>
      <w:pPr>
        <w:spacing w:line="360" w:lineRule="auto"/>
        <w:rPr>
          <w:highlight w:val="none"/>
        </w:rPr>
      </w:pPr>
      <w:r>
        <w:rPr>
          <w:highlight w:val="none"/>
        </w:rPr>
      </w:r>
      <w:r/>
    </w:p>
    <w:p>
      <w:pPr>
        <w:spacing w:line="360" w:lineRule="auto"/>
        <w:rPr>
          <w:highlight w:val="none"/>
        </w:rPr>
      </w:pPr>
      <w:r>
        <w:rPr>
          <w:highlight w:val="none"/>
        </w:rPr>
        <w:t xml:space="preserve">供应商名称：</w:t>
      </w:r>
      <w:r>
        <w:rPr>
          <w:highlight w:val="none"/>
          <w:u w:val="single"/>
        </w:rPr>
        <w:t xml:space="preserve">                                   </w:t>
      </w:r>
      <w:r>
        <w:rPr>
          <w:highlight w:val="none"/>
        </w:rPr>
        <w:t xml:space="preserve">（加盖公章）</w:t>
      </w:r>
      <w:r/>
    </w:p>
    <w:p>
      <w:pPr>
        <w:spacing w:line="360" w:lineRule="auto"/>
        <w:rPr>
          <w:highlight w:val="none"/>
        </w:rPr>
      </w:pPr>
      <w:r>
        <w:rPr>
          <w:highlight w:val="none"/>
        </w:rPr>
      </w:r>
      <w:r/>
    </w:p>
    <w:p>
      <w:pPr>
        <w:spacing w:line="360" w:lineRule="auto"/>
        <w:rPr>
          <w:highlight w:val="none"/>
        </w:rPr>
      </w:pPr>
      <w:r>
        <w:rPr>
          <w:highlight w:val="none"/>
        </w:rPr>
        <w:t xml:space="preserve">法定代表人（或授权代表）签名：</w:t>
      </w:r>
      <w:r/>
    </w:p>
    <w:p>
      <w:pPr>
        <w:spacing w:line="360" w:lineRule="auto"/>
        <w:rPr>
          <w:highlight w:val="none"/>
        </w:rPr>
      </w:pPr>
      <w:r>
        <w:rPr>
          <w:highlight w:val="none"/>
        </w:rPr>
      </w:r>
      <w:r/>
    </w:p>
    <w:p>
      <w:pPr>
        <w:spacing w:line="360" w:lineRule="auto"/>
        <w:rPr>
          <w:highlight w:val="none"/>
        </w:rPr>
      </w:pPr>
      <w:r>
        <w:rPr>
          <w:highlight w:val="none"/>
        </w:rPr>
        <w:t xml:space="preserve">说明：</w:t>
      </w:r>
      <w:r/>
    </w:p>
    <w:p>
      <w:pPr>
        <w:spacing w:line="360" w:lineRule="auto"/>
        <w:rPr>
          <w:highlight w:val="none"/>
        </w:rPr>
      </w:pPr>
      <w:r>
        <w:rPr>
          <w:highlight w:val="none"/>
        </w:rPr>
        <w:t xml:space="preserve">1、此表为样表，如果行数不够请自行增加。</w:t>
      </w:r>
      <w:r/>
    </w:p>
    <w:p>
      <w:pPr>
        <w:spacing w:line="360" w:lineRule="auto"/>
        <w:rPr>
          <w:highlight w:val="none"/>
        </w:rPr>
      </w:pPr>
      <w:r>
        <w:rPr>
          <w:highlight w:val="none"/>
        </w:rPr>
        <w:t xml:space="preserve">2、报价应包括采购文件所规定的采购范围的全部内容。</w:t>
      </w:r>
      <w:r/>
    </w:p>
    <w:p>
      <w:pPr>
        <w:rPr>
          <w:highlight w:val="none"/>
        </w:rPr>
      </w:pPr>
      <w:r>
        <w:rPr>
          <w:highlight w:val="none"/>
        </w:rPr>
        <w:br w:type="page" w:clear="all"/>
      </w:r>
      <w:r/>
    </w:p>
    <w:p>
      <w:pPr>
        <w:spacing w:line="360" w:lineRule="auto"/>
        <w:rPr>
          <w:sz w:val="28"/>
          <w:highlight w:val="none"/>
        </w:rPr>
      </w:pPr>
      <w:r>
        <w:rPr>
          <w:sz w:val="28"/>
          <w:highlight w:val="none"/>
        </w:rPr>
        <w:t xml:space="preserve">4、分项（成本）报价表格式</w:t>
      </w:r>
      <w:r/>
    </w:p>
    <w:p>
      <w:pPr>
        <w:jc w:val="center"/>
        <w:spacing w:line="360" w:lineRule="auto"/>
        <w:rPr>
          <w:b/>
          <w:sz w:val="32"/>
          <w:highlight w:val="none"/>
        </w:rPr>
      </w:pPr>
      <w:r>
        <w:rPr>
          <w:b/>
          <w:sz w:val="32"/>
          <w:highlight w:val="none"/>
        </w:rPr>
        <w:t xml:space="preserve">分项（成本）报价表</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046"/>
        <w:gridCol w:w="2891"/>
        <w:gridCol w:w="1745"/>
        <w:gridCol w:w="882"/>
      </w:tblGrid>
      <w:tr>
        <w:trPr>
          <w:jc w:val="center"/>
          <w:trHeight w:val="553"/>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b/>
                <w:highlight w:val="none"/>
              </w:rPr>
            </w:pPr>
            <w:r>
              <w:rPr>
                <w:b/>
                <w:highlight w:val="none"/>
              </w:rPr>
              <w:t xml:space="preserve">序号</w:t>
            </w:r>
            <w:r/>
          </w:p>
        </w:tc>
        <w:tc>
          <w:tcPr>
            <w:tcBorders>
              <w:top w:val="single" w:color="auto" w:sz="4" w:space="0"/>
              <w:left w:val="single" w:color="auto" w:sz="4" w:space="0"/>
              <w:right w:val="single" w:color="auto" w:sz="4" w:space="0"/>
            </w:tcBorders>
            <w:tcW w:w="2046" w:type="dxa"/>
            <w:vAlign w:val="center"/>
            <w:textDirection w:val="lrTb"/>
            <w:noWrap w:val="false"/>
          </w:tcPr>
          <w:p>
            <w:pPr>
              <w:jc w:val="center"/>
              <w:rPr>
                <w:b/>
                <w:highlight w:val="none"/>
              </w:rPr>
            </w:pPr>
            <w:r>
              <w:rPr>
                <w:b/>
                <w:highlight w:val="none"/>
              </w:rPr>
              <w:t xml:space="preserve">名称</w:t>
            </w:r>
            <w:r/>
          </w:p>
        </w:tc>
        <w:tc>
          <w:tcPr>
            <w:tcBorders>
              <w:top w:val="single" w:color="auto" w:sz="4" w:space="0"/>
              <w:left w:val="single" w:color="auto" w:sz="4" w:space="0"/>
              <w:right w:val="single" w:color="auto" w:sz="4" w:space="0"/>
            </w:tcBorders>
            <w:tcW w:w="2891" w:type="dxa"/>
            <w:vAlign w:val="center"/>
            <w:textDirection w:val="lrTb"/>
            <w:noWrap w:val="false"/>
          </w:tcPr>
          <w:p>
            <w:pPr>
              <w:jc w:val="center"/>
              <w:rPr>
                <w:b/>
                <w:highlight w:val="none"/>
              </w:rPr>
            </w:pPr>
            <w:r>
              <w:rPr>
                <w:b/>
                <w:highlight w:val="none"/>
              </w:rPr>
              <w:t xml:space="preserve">品牌、规格或型号或分项目</w:t>
            </w:r>
            <w:r/>
          </w:p>
        </w:tc>
        <w:tc>
          <w:tcPr>
            <w:tcBorders>
              <w:top w:val="single" w:color="auto" w:sz="4" w:space="0"/>
              <w:left w:val="single" w:color="auto" w:sz="4" w:space="0"/>
              <w:right w:val="single" w:color="auto" w:sz="4" w:space="0"/>
            </w:tcBorders>
            <w:tcW w:w="1745" w:type="dxa"/>
            <w:vAlign w:val="center"/>
            <w:textDirection w:val="lrTb"/>
            <w:noWrap w:val="false"/>
          </w:tcPr>
          <w:p>
            <w:pPr>
              <w:jc w:val="center"/>
              <w:rPr>
                <w:b/>
                <w:highlight w:val="none"/>
              </w:rPr>
            </w:pPr>
            <w:r>
              <w:rPr>
                <w:b/>
                <w:highlight w:val="none"/>
              </w:rPr>
              <w:t xml:space="preserve">单价（元）</w:t>
            </w:r>
            <w:r/>
          </w:p>
        </w:tc>
        <w:tc>
          <w:tcPr>
            <w:tcBorders>
              <w:top w:val="single" w:color="auto" w:sz="4" w:space="0"/>
              <w:left w:val="single" w:color="auto" w:sz="4" w:space="0"/>
              <w:right w:val="single" w:color="auto" w:sz="4" w:space="0"/>
            </w:tcBorders>
            <w:tcW w:w="882" w:type="dxa"/>
            <w:vAlign w:val="center"/>
            <w:textDirection w:val="lrTb"/>
            <w:noWrap w:val="false"/>
          </w:tcPr>
          <w:p>
            <w:pPr>
              <w:jc w:val="center"/>
              <w:rPr>
                <w:b/>
                <w:highlight w:val="none"/>
              </w:rPr>
            </w:pPr>
            <w:r>
              <w:rPr>
                <w:b/>
                <w:highlight w:val="none"/>
              </w:rPr>
              <w:t xml:space="preserve">备注</w:t>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046"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891"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1745"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882" w:type="dxa"/>
            <w:vAlign w:val="center"/>
            <w:textDirection w:val="lrTb"/>
            <w:noWrap w:val="false"/>
          </w:tcPr>
          <w:p>
            <w:pPr>
              <w:jc w:val="center"/>
              <w:rPr>
                <w:highlight w:val="none"/>
              </w:rPr>
            </w:pPr>
            <w:r>
              <w:rPr>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046"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891"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1745"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882" w:type="dxa"/>
            <w:vAlign w:val="center"/>
            <w:textDirection w:val="lrTb"/>
            <w:noWrap w:val="false"/>
          </w:tcPr>
          <w:p>
            <w:pPr>
              <w:jc w:val="center"/>
              <w:rPr>
                <w:highlight w:val="none"/>
              </w:rPr>
            </w:pPr>
            <w:r>
              <w:rPr>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046"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891"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1745"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882" w:type="dxa"/>
            <w:vAlign w:val="center"/>
            <w:textDirection w:val="lrTb"/>
            <w:noWrap w:val="false"/>
          </w:tcPr>
          <w:p>
            <w:pPr>
              <w:jc w:val="center"/>
              <w:rPr>
                <w:highlight w:val="none"/>
              </w:rPr>
            </w:pPr>
            <w:r>
              <w:rPr>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046"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2891"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1745" w:type="dxa"/>
            <w:vAlign w:val="center"/>
            <w:textDirection w:val="lrTb"/>
            <w:noWrap w:val="false"/>
          </w:tcPr>
          <w:p>
            <w:pPr>
              <w:jc w:val="center"/>
              <w:rPr>
                <w:highlight w:val="none"/>
              </w:rPr>
            </w:pPr>
            <w:r>
              <w:rPr>
                <w:highlight w:val="none"/>
              </w:rPr>
            </w:r>
            <w:r/>
          </w:p>
        </w:tc>
        <w:tc>
          <w:tcPr>
            <w:tcBorders>
              <w:left w:val="single" w:color="auto" w:sz="4" w:space="0"/>
              <w:right w:val="single" w:color="auto" w:sz="4" w:space="0"/>
            </w:tcBorders>
            <w:tcW w:w="882" w:type="dxa"/>
            <w:vAlign w:val="center"/>
            <w:textDirection w:val="lrTb"/>
            <w:noWrap w:val="false"/>
          </w:tcPr>
          <w:p>
            <w:pPr>
              <w:jc w:val="center"/>
              <w:rPr>
                <w:highlight w:val="none"/>
              </w:rPr>
            </w:pPr>
            <w:r>
              <w:rPr>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2046"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2891"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1745"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882" w:type="dxa"/>
            <w:vAlign w:val="center"/>
            <w:textDirection w:val="lrTb"/>
            <w:noWrap w:val="false"/>
          </w:tcPr>
          <w:p>
            <w:pPr>
              <w:jc w:val="center"/>
              <w:rPr>
                <w:highlight w:val="none"/>
              </w:rPr>
            </w:pPr>
            <w:r>
              <w:rPr>
                <w:highlight w:val="none"/>
              </w:rPr>
            </w:r>
            <w:r/>
          </w:p>
        </w:tc>
      </w:tr>
      <w:tr>
        <w:trPr>
          <w:jc w:val="center"/>
          <w:trHeight w:val="507"/>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2046"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代理服务费</w:t>
            </w:r>
            <w:r/>
          </w:p>
        </w:tc>
        <w:tc>
          <w:tcPr>
            <w:tcBorders>
              <w:left w:val="single" w:color="auto" w:sz="4" w:space="0"/>
              <w:bottom w:val="single" w:color="auto" w:sz="4" w:space="0"/>
              <w:right w:val="single" w:color="auto" w:sz="4" w:space="0"/>
            </w:tcBorders>
            <w:tcW w:w="2891"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1745" w:type="dxa"/>
            <w:vAlign w:val="center"/>
            <w:textDirection w:val="lrTb"/>
            <w:noWrap w:val="false"/>
          </w:tcPr>
          <w:p>
            <w:pPr>
              <w:jc w:val="center"/>
              <w:rPr>
                <w:highlight w:val="none"/>
              </w:rPr>
            </w:pPr>
            <w:r>
              <w:rPr>
                <w:highlight w:val="none"/>
              </w:rPr>
            </w:r>
            <w:r/>
          </w:p>
        </w:tc>
        <w:tc>
          <w:tcPr>
            <w:tcBorders>
              <w:left w:val="single" w:color="auto" w:sz="4" w:space="0"/>
              <w:bottom w:val="single" w:color="auto" w:sz="4" w:space="0"/>
              <w:right w:val="single" w:color="auto" w:sz="4" w:space="0"/>
            </w:tcBorders>
            <w:tcW w:w="882" w:type="dxa"/>
            <w:vAlign w:val="center"/>
            <w:textDirection w:val="lrTb"/>
            <w:noWrap w:val="false"/>
          </w:tcPr>
          <w:p>
            <w:pPr>
              <w:jc w:val="center"/>
              <w:rPr>
                <w:highlight w:val="none"/>
              </w:rPr>
            </w:pPr>
            <w:r>
              <w:rPr>
                <w:highlight w:val="none"/>
              </w:rPr>
            </w:r>
            <w:r/>
          </w:p>
        </w:tc>
      </w:tr>
    </w:tbl>
    <w:p>
      <w:pPr>
        <w:spacing w:line="360" w:lineRule="auto"/>
        <w:rPr>
          <w:highlight w:val="none"/>
        </w:rPr>
      </w:pPr>
      <w:r>
        <w:rPr>
          <w:highlight w:val="none"/>
        </w:rPr>
      </w:r>
      <w:r/>
    </w:p>
    <w:p>
      <w:pPr>
        <w:spacing w:line="360" w:lineRule="auto"/>
        <w:rPr>
          <w:highlight w:val="none"/>
        </w:rPr>
      </w:pPr>
      <w:r>
        <w:rPr>
          <w:highlight w:val="none"/>
        </w:rPr>
        <w:t xml:space="preserve">供应商名称：</w:t>
      </w:r>
      <w:r>
        <w:rPr>
          <w:highlight w:val="none"/>
          <w:u w:val="single"/>
        </w:rPr>
        <w:t xml:space="preserve">                                </w:t>
      </w:r>
      <w:r>
        <w:rPr>
          <w:highlight w:val="none"/>
        </w:rPr>
        <w:t xml:space="preserve">（盖章）</w:t>
      </w:r>
      <w:r/>
    </w:p>
    <w:p>
      <w:pPr>
        <w:spacing w:line="360" w:lineRule="auto"/>
        <w:rPr>
          <w:highlight w:val="none"/>
        </w:rPr>
      </w:pPr>
      <w:r>
        <w:rPr>
          <w:highlight w:val="none"/>
        </w:rPr>
      </w:r>
      <w:r/>
    </w:p>
    <w:p>
      <w:pPr>
        <w:spacing w:line="360" w:lineRule="auto"/>
        <w:rPr>
          <w:highlight w:val="none"/>
        </w:rPr>
      </w:pPr>
      <w:r>
        <w:rPr>
          <w:highlight w:val="none"/>
        </w:rPr>
        <w:t xml:space="preserve">说明：</w:t>
      </w:r>
      <w:r/>
    </w:p>
    <w:p>
      <w:pPr>
        <w:spacing w:line="360" w:lineRule="auto"/>
        <w:rPr>
          <w:highlight w:val="none"/>
        </w:rPr>
      </w:pPr>
      <w:r>
        <w:rPr>
          <w:highlight w:val="none"/>
        </w:rPr>
        <w:t xml:space="preserve">1、此表仅供参考，可根据需要自行调整。</w:t>
      </w:r>
      <w:r/>
    </w:p>
    <w:p>
      <w:pPr>
        <w:ind w:firstLine="0"/>
        <w:jc w:val="left"/>
        <w:spacing w:line="360" w:lineRule="auto"/>
        <w:widowControl/>
        <w:rPr>
          <w:rFonts w:hint="default" w:ascii="Times New Roman" w:hAnsi="Times New Roman" w:cs="Times New Roman"/>
          <w:highlight w:val="none"/>
        </w:rPr>
      </w:pPr>
      <w:r>
        <w:rPr>
          <w:highlight w:val="none"/>
        </w:rPr>
        <w:t xml:space="preserve">2、</w:t>
      </w:r>
      <w:r>
        <w:rPr>
          <w:rFonts w:hint="default" w:ascii="Times New Roman" w:hAnsi="Times New Roman" w:cs="Times New Roman"/>
          <w:b w:val="0"/>
          <w:sz w:val="21"/>
          <w:highlight w:val="none"/>
          <w:lang w:val="en-US" w:eastAsia="zh-CN"/>
        </w:rPr>
        <w:t xml:space="preserve">经谈判协商后，如成交价低于供应商首次报价，代理服务费按本项目采购文件中代理服务费规定，以最终成交价为基数计算。</w:t>
      </w:r>
      <w:r/>
    </w:p>
    <w:p>
      <w:pPr>
        <w:spacing w:line="360" w:lineRule="auto"/>
        <w:rPr>
          <w:highlight w:val="none"/>
        </w:rPr>
      </w:pPr>
      <w:r>
        <w:rPr>
          <w:highlight w:val="none"/>
        </w:rPr>
      </w:r>
      <w:r/>
    </w:p>
    <w:p>
      <w:pPr>
        <w:rPr>
          <w:highlight w:val="none"/>
        </w:rPr>
      </w:pPr>
      <w:r>
        <w:rPr>
          <w:highlight w:val="none"/>
        </w:rPr>
        <w:br w:type="page" w:clear="all"/>
      </w:r>
      <w:r/>
    </w:p>
    <w:p>
      <w:pPr>
        <w:spacing w:line="360" w:lineRule="auto"/>
        <w:rPr>
          <w:sz w:val="28"/>
          <w:highlight w:val="none"/>
        </w:rPr>
      </w:pPr>
      <w:r>
        <w:rPr>
          <w:sz w:val="28"/>
          <w:highlight w:val="none"/>
        </w:rPr>
        <w:t xml:space="preserve">5、技术条款偏离表</w:t>
      </w:r>
      <w:bookmarkStart w:id="34" w:name="_Toc514847877"/>
      <w:r/>
      <w:bookmarkStart w:id="35" w:name="_Toc514848662"/>
      <w:r>
        <w:rPr>
          <w:sz w:val="28"/>
          <w:highlight w:val="none"/>
        </w:rPr>
        <w:t xml:space="preserve">格式</w:t>
      </w:r>
      <w:r/>
    </w:p>
    <w:p>
      <w:pPr>
        <w:jc w:val="center"/>
        <w:spacing w:line="360" w:lineRule="auto"/>
        <w:rPr>
          <w:b/>
          <w:sz w:val="32"/>
          <w:highlight w:val="none"/>
        </w:rPr>
      </w:pPr>
      <w:r>
        <w:rPr>
          <w:b/>
          <w:sz w:val="32"/>
          <w:highlight w:val="none"/>
        </w:rPr>
        <w:t xml:space="preserve">技术条款偏离表</w:t>
      </w:r>
      <w:bookmarkEnd w:id="34"/>
      <w:r/>
      <w:bookmarkEnd w:id="35"/>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7"/>
        <w:gridCol w:w="1832"/>
        <w:gridCol w:w="3383"/>
        <w:gridCol w:w="1127"/>
        <w:gridCol w:w="1011"/>
      </w:tblGrid>
      <w:tr>
        <w:trPr>
          <w:jc w:val="center"/>
          <w:trHeight w:val="552"/>
        </w:trPr>
        <w:tc>
          <w:tcPr>
            <w:tcW w:w="787" w:type="dxa"/>
            <w:vAlign w:val="center"/>
            <w:textDirection w:val="lrTb"/>
            <w:noWrap w:val="false"/>
          </w:tcPr>
          <w:p>
            <w:pPr>
              <w:jc w:val="center"/>
              <w:rPr>
                <w:b/>
                <w:highlight w:val="none"/>
              </w:rPr>
            </w:pPr>
            <w:r>
              <w:rPr>
                <w:b/>
                <w:highlight w:val="none"/>
              </w:rPr>
              <w:t xml:space="preserve">序号</w:t>
            </w:r>
            <w:r/>
          </w:p>
        </w:tc>
        <w:tc>
          <w:tcPr>
            <w:tcW w:w="1832" w:type="dxa"/>
            <w:vAlign w:val="center"/>
            <w:textDirection w:val="lrTb"/>
            <w:noWrap w:val="false"/>
          </w:tcPr>
          <w:p>
            <w:pPr>
              <w:jc w:val="center"/>
              <w:rPr>
                <w:b/>
                <w:highlight w:val="none"/>
              </w:rPr>
            </w:pPr>
            <w:r>
              <w:rPr>
                <w:b/>
                <w:highlight w:val="none"/>
              </w:rPr>
              <w:t xml:space="preserve">采购文件条目号</w:t>
            </w:r>
            <w:r/>
          </w:p>
        </w:tc>
        <w:tc>
          <w:tcPr>
            <w:tcW w:w="3383" w:type="dxa"/>
            <w:vAlign w:val="center"/>
            <w:textDirection w:val="lrTb"/>
            <w:noWrap w:val="false"/>
          </w:tcPr>
          <w:p>
            <w:pPr>
              <w:jc w:val="center"/>
              <w:rPr>
                <w:b/>
                <w:highlight w:val="none"/>
              </w:rPr>
            </w:pPr>
            <w:r>
              <w:rPr>
                <w:b/>
                <w:highlight w:val="none"/>
              </w:rPr>
              <w:t xml:space="preserve">采购文件要求的主要技术条款描述</w:t>
            </w:r>
            <w:r/>
          </w:p>
        </w:tc>
        <w:tc>
          <w:tcPr>
            <w:tcW w:w="1127" w:type="dxa"/>
            <w:vAlign w:val="center"/>
            <w:textDirection w:val="lrTb"/>
            <w:noWrap w:val="false"/>
          </w:tcPr>
          <w:p>
            <w:pPr>
              <w:jc w:val="center"/>
              <w:rPr>
                <w:b/>
                <w:highlight w:val="none"/>
              </w:rPr>
            </w:pPr>
            <w:r>
              <w:rPr>
                <w:b/>
                <w:highlight w:val="none"/>
              </w:rPr>
              <w:t xml:space="preserve">响应描述</w:t>
            </w:r>
            <w:r/>
          </w:p>
        </w:tc>
        <w:tc>
          <w:tcPr>
            <w:tcW w:w="1011" w:type="dxa"/>
            <w:vAlign w:val="center"/>
            <w:textDirection w:val="lrTb"/>
            <w:noWrap w:val="false"/>
          </w:tcPr>
          <w:p>
            <w:pPr>
              <w:jc w:val="center"/>
              <w:rPr>
                <w:b/>
                <w:highlight w:val="none"/>
              </w:rPr>
            </w:pPr>
            <w:r>
              <w:rPr>
                <w:b/>
                <w:highlight w:val="none"/>
              </w:rPr>
              <w:t xml:space="preserve">偏离情况</w:t>
            </w:r>
            <w:r/>
          </w:p>
        </w:tc>
      </w:tr>
      <w:tr>
        <w:trPr>
          <w:jc w:val="center"/>
          <w:trHeight w:val="497"/>
        </w:trPr>
        <w:tc>
          <w:tcPr>
            <w:tcW w:w="787" w:type="dxa"/>
            <w:vAlign w:val="center"/>
            <w:textDirection w:val="lrTb"/>
            <w:noWrap w:val="false"/>
          </w:tcPr>
          <w:p>
            <w:pPr>
              <w:jc w:val="center"/>
              <w:rPr>
                <w:highlight w:val="none"/>
              </w:rPr>
            </w:pPr>
            <w:r>
              <w:rPr>
                <w:highlight w:val="none"/>
              </w:rPr>
            </w:r>
            <w:r/>
          </w:p>
        </w:tc>
        <w:tc>
          <w:tcPr>
            <w:tcW w:w="1832" w:type="dxa"/>
            <w:vAlign w:val="center"/>
            <w:textDirection w:val="lrTb"/>
            <w:noWrap w:val="false"/>
          </w:tcPr>
          <w:p>
            <w:pPr>
              <w:jc w:val="center"/>
              <w:rPr>
                <w:highlight w:val="none"/>
              </w:rPr>
            </w:pPr>
            <w:r>
              <w:rPr>
                <w:highlight w:val="none"/>
              </w:rPr>
            </w:r>
            <w:r/>
          </w:p>
        </w:tc>
        <w:tc>
          <w:tcPr>
            <w:tcW w:w="3383" w:type="dxa"/>
            <w:vAlign w:val="center"/>
            <w:textDirection w:val="lrTb"/>
            <w:noWrap w:val="false"/>
          </w:tcPr>
          <w:p>
            <w:pPr>
              <w:jc w:val="center"/>
              <w:rPr>
                <w:highlight w:val="none"/>
              </w:rPr>
            </w:pPr>
            <w:r>
              <w:rPr>
                <w:highlight w:val="none"/>
              </w:rPr>
            </w:r>
            <w:r/>
          </w:p>
        </w:tc>
        <w:tc>
          <w:tcPr>
            <w:tcW w:w="1127" w:type="dxa"/>
            <w:vAlign w:val="center"/>
            <w:textDirection w:val="lrTb"/>
            <w:noWrap w:val="false"/>
          </w:tcPr>
          <w:p>
            <w:pPr>
              <w:jc w:val="center"/>
              <w:rPr>
                <w:highlight w:val="none"/>
              </w:rPr>
            </w:pPr>
            <w:r>
              <w:rPr>
                <w:highlight w:val="none"/>
              </w:rPr>
            </w:r>
            <w:r/>
          </w:p>
        </w:tc>
        <w:tc>
          <w:tcPr>
            <w:tcW w:w="1011" w:type="dxa"/>
            <w:vAlign w:val="center"/>
            <w:textDirection w:val="lrTb"/>
            <w:noWrap w:val="false"/>
          </w:tcPr>
          <w:p>
            <w:pPr>
              <w:jc w:val="center"/>
              <w:rPr>
                <w:highlight w:val="none"/>
              </w:rPr>
            </w:pPr>
            <w:r>
              <w:rPr>
                <w:highlight w:val="none"/>
              </w:rPr>
            </w:r>
            <w:r/>
          </w:p>
        </w:tc>
      </w:tr>
      <w:tr>
        <w:trPr>
          <w:jc w:val="center"/>
          <w:trHeight w:val="497"/>
        </w:trPr>
        <w:tc>
          <w:tcPr>
            <w:tcW w:w="787" w:type="dxa"/>
            <w:vAlign w:val="center"/>
            <w:textDirection w:val="lrTb"/>
            <w:noWrap w:val="false"/>
          </w:tcPr>
          <w:p>
            <w:pPr>
              <w:jc w:val="center"/>
              <w:rPr>
                <w:highlight w:val="none"/>
              </w:rPr>
            </w:pPr>
            <w:r>
              <w:rPr>
                <w:highlight w:val="none"/>
              </w:rPr>
            </w:r>
            <w:r/>
          </w:p>
        </w:tc>
        <w:tc>
          <w:tcPr>
            <w:tcW w:w="1832" w:type="dxa"/>
            <w:vAlign w:val="center"/>
            <w:textDirection w:val="lrTb"/>
            <w:noWrap w:val="false"/>
          </w:tcPr>
          <w:p>
            <w:pPr>
              <w:jc w:val="center"/>
              <w:rPr>
                <w:highlight w:val="none"/>
              </w:rPr>
            </w:pPr>
            <w:r>
              <w:rPr>
                <w:highlight w:val="none"/>
              </w:rPr>
            </w:r>
            <w:r/>
          </w:p>
        </w:tc>
        <w:tc>
          <w:tcPr>
            <w:tcW w:w="3383" w:type="dxa"/>
            <w:vAlign w:val="center"/>
            <w:textDirection w:val="lrTb"/>
            <w:noWrap w:val="false"/>
          </w:tcPr>
          <w:p>
            <w:pPr>
              <w:jc w:val="center"/>
              <w:rPr>
                <w:highlight w:val="none"/>
              </w:rPr>
            </w:pPr>
            <w:r>
              <w:rPr>
                <w:highlight w:val="none"/>
              </w:rPr>
            </w:r>
            <w:r/>
          </w:p>
        </w:tc>
        <w:tc>
          <w:tcPr>
            <w:tcW w:w="1127" w:type="dxa"/>
            <w:vAlign w:val="center"/>
            <w:textDirection w:val="lrTb"/>
            <w:noWrap w:val="false"/>
          </w:tcPr>
          <w:p>
            <w:pPr>
              <w:jc w:val="center"/>
              <w:rPr>
                <w:highlight w:val="none"/>
              </w:rPr>
            </w:pPr>
            <w:r>
              <w:rPr>
                <w:highlight w:val="none"/>
              </w:rPr>
            </w:r>
            <w:r/>
          </w:p>
        </w:tc>
        <w:tc>
          <w:tcPr>
            <w:tcW w:w="1011" w:type="dxa"/>
            <w:vAlign w:val="center"/>
            <w:textDirection w:val="lrTb"/>
            <w:noWrap w:val="false"/>
          </w:tcPr>
          <w:p>
            <w:pPr>
              <w:jc w:val="center"/>
              <w:rPr>
                <w:highlight w:val="none"/>
              </w:rPr>
            </w:pPr>
            <w:r>
              <w:rPr>
                <w:highlight w:val="none"/>
              </w:rPr>
            </w:r>
            <w:r/>
          </w:p>
        </w:tc>
      </w:tr>
      <w:tr>
        <w:trPr>
          <w:jc w:val="center"/>
          <w:trHeight w:val="497"/>
        </w:trPr>
        <w:tc>
          <w:tcPr>
            <w:tcW w:w="787" w:type="dxa"/>
            <w:vAlign w:val="center"/>
            <w:textDirection w:val="lrTb"/>
            <w:noWrap w:val="false"/>
          </w:tcPr>
          <w:p>
            <w:pPr>
              <w:jc w:val="center"/>
              <w:rPr>
                <w:highlight w:val="none"/>
              </w:rPr>
            </w:pPr>
            <w:r>
              <w:rPr>
                <w:highlight w:val="none"/>
              </w:rPr>
            </w:r>
            <w:r/>
          </w:p>
        </w:tc>
        <w:tc>
          <w:tcPr>
            <w:tcW w:w="1832" w:type="dxa"/>
            <w:vAlign w:val="center"/>
            <w:textDirection w:val="lrTb"/>
            <w:noWrap w:val="false"/>
          </w:tcPr>
          <w:p>
            <w:pPr>
              <w:jc w:val="center"/>
              <w:rPr>
                <w:highlight w:val="none"/>
              </w:rPr>
            </w:pPr>
            <w:r>
              <w:rPr>
                <w:highlight w:val="none"/>
              </w:rPr>
            </w:r>
            <w:r/>
          </w:p>
        </w:tc>
        <w:tc>
          <w:tcPr>
            <w:tcW w:w="3383" w:type="dxa"/>
            <w:vAlign w:val="center"/>
            <w:textDirection w:val="lrTb"/>
            <w:noWrap w:val="false"/>
          </w:tcPr>
          <w:p>
            <w:pPr>
              <w:jc w:val="center"/>
              <w:rPr>
                <w:highlight w:val="none"/>
              </w:rPr>
            </w:pPr>
            <w:r>
              <w:rPr>
                <w:highlight w:val="none"/>
              </w:rPr>
            </w:r>
            <w:r/>
          </w:p>
        </w:tc>
        <w:tc>
          <w:tcPr>
            <w:tcW w:w="1127" w:type="dxa"/>
            <w:vAlign w:val="center"/>
            <w:textDirection w:val="lrTb"/>
            <w:noWrap w:val="false"/>
          </w:tcPr>
          <w:p>
            <w:pPr>
              <w:jc w:val="center"/>
              <w:rPr>
                <w:highlight w:val="none"/>
              </w:rPr>
            </w:pPr>
            <w:r>
              <w:rPr>
                <w:highlight w:val="none"/>
              </w:rPr>
            </w:r>
            <w:r/>
          </w:p>
        </w:tc>
        <w:tc>
          <w:tcPr>
            <w:tcW w:w="1011" w:type="dxa"/>
            <w:vAlign w:val="center"/>
            <w:textDirection w:val="lrTb"/>
            <w:noWrap w:val="false"/>
          </w:tcPr>
          <w:p>
            <w:pPr>
              <w:jc w:val="center"/>
              <w:rPr>
                <w:highlight w:val="none"/>
              </w:rPr>
            </w:pPr>
            <w:r>
              <w:rPr>
                <w:highlight w:val="none"/>
              </w:rPr>
            </w:r>
            <w:r/>
          </w:p>
        </w:tc>
      </w:tr>
      <w:tr>
        <w:trPr>
          <w:jc w:val="center"/>
          <w:trHeight w:val="522"/>
        </w:trPr>
        <w:tc>
          <w:tcPr>
            <w:tcW w:w="787" w:type="dxa"/>
            <w:vAlign w:val="center"/>
            <w:textDirection w:val="lrTb"/>
            <w:noWrap w:val="false"/>
          </w:tcPr>
          <w:p>
            <w:pPr>
              <w:jc w:val="center"/>
              <w:rPr>
                <w:highlight w:val="none"/>
              </w:rPr>
            </w:pPr>
            <w:r>
              <w:rPr>
                <w:highlight w:val="none"/>
              </w:rPr>
            </w:r>
            <w:r/>
          </w:p>
        </w:tc>
        <w:tc>
          <w:tcPr>
            <w:tcW w:w="1832" w:type="dxa"/>
            <w:vAlign w:val="center"/>
            <w:textDirection w:val="lrTb"/>
            <w:noWrap w:val="false"/>
          </w:tcPr>
          <w:p>
            <w:pPr>
              <w:jc w:val="center"/>
              <w:rPr>
                <w:highlight w:val="none"/>
              </w:rPr>
            </w:pPr>
            <w:r>
              <w:rPr>
                <w:highlight w:val="none"/>
              </w:rPr>
            </w:r>
            <w:r/>
          </w:p>
        </w:tc>
        <w:tc>
          <w:tcPr>
            <w:tcW w:w="3383" w:type="dxa"/>
            <w:vAlign w:val="center"/>
            <w:textDirection w:val="lrTb"/>
            <w:noWrap w:val="false"/>
          </w:tcPr>
          <w:p>
            <w:pPr>
              <w:jc w:val="center"/>
              <w:rPr>
                <w:highlight w:val="none"/>
              </w:rPr>
            </w:pPr>
            <w:r>
              <w:rPr>
                <w:highlight w:val="none"/>
              </w:rPr>
            </w:r>
            <w:r/>
          </w:p>
        </w:tc>
        <w:tc>
          <w:tcPr>
            <w:tcW w:w="1127" w:type="dxa"/>
            <w:vAlign w:val="center"/>
            <w:textDirection w:val="lrTb"/>
            <w:noWrap w:val="false"/>
          </w:tcPr>
          <w:p>
            <w:pPr>
              <w:jc w:val="center"/>
              <w:rPr>
                <w:highlight w:val="none"/>
              </w:rPr>
            </w:pPr>
            <w:r>
              <w:rPr>
                <w:highlight w:val="none"/>
              </w:rPr>
            </w:r>
            <w:r/>
          </w:p>
        </w:tc>
        <w:tc>
          <w:tcPr>
            <w:tcW w:w="1011" w:type="dxa"/>
            <w:vAlign w:val="center"/>
            <w:textDirection w:val="lrTb"/>
            <w:noWrap w:val="false"/>
          </w:tcPr>
          <w:p>
            <w:pPr>
              <w:jc w:val="center"/>
              <w:rPr>
                <w:highlight w:val="none"/>
              </w:rPr>
            </w:pPr>
            <w:r>
              <w:rPr>
                <w:highlight w:val="none"/>
              </w:rPr>
            </w:r>
            <w:r/>
          </w:p>
        </w:tc>
      </w:tr>
      <w:tr>
        <w:trPr>
          <w:jc w:val="center"/>
          <w:trHeight w:val="497"/>
        </w:trPr>
        <w:tc>
          <w:tcPr>
            <w:tcW w:w="787" w:type="dxa"/>
            <w:vAlign w:val="center"/>
            <w:textDirection w:val="lrTb"/>
            <w:noWrap w:val="false"/>
          </w:tcPr>
          <w:p>
            <w:pPr>
              <w:jc w:val="center"/>
              <w:rPr>
                <w:highlight w:val="none"/>
              </w:rPr>
            </w:pPr>
            <w:r>
              <w:rPr>
                <w:highlight w:val="none"/>
              </w:rPr>
            </w:r>
            <w:r/>
          </w:p>
        </w:tc>
        <w:tc>
          <w:tcPr>
            <w:tcW w:w="1832" w:type="dxa"/>
            <w:vAlign w:val="center"/>
            <w:textDirection w:val="lrTb"/>
            <w:noWrap w:val="false"/>
          </w:tcPr>
          <w:p>
            <w:pPr>
              <w:jc w:val="center"/>
              <w:rPr>
                <w:highlight w:val="none"/>
              </w:rPr>
            </w:pPr>
            <w:r>
              <w:rPr>
                <w:highlight w:val="none"/>
              </w:rPr>
            </w:r>
            <w:r/>
          </w:p>
        </w:tc>
        <w:tc>
          <w:tcPr>
            <w:tcW w:w="3383" w:type="dxa"/>
            <w:vAlign w:val="center"/>
            <w:textDirection w:val="lrTb"/>
            <w:noWrap w:val="false"/>
          </w:tcPr>
          <w:p>
            <w:pPr>
              <w:jc w:val="center"/>
              <w:rPr>
                <w:highlight w:val="none"/>
              </w:rPr>
            </w:pPr>
            <w:r>
              <w:rPr>
                <w:highlight w:val="none"/>
              </w:rPr>
            </w:r>
            <w:r/>
          </w:p>
        </w:tc>
        <w:tc>
          <w:tcPr>
            <w:tcW w:w="1127" w:type="dxa"/>
            <w:vAlign w:val="center"/>
            <w:textDirection w:val="lrTb"/>
            <w:noWrap w:val="false"/>
          </w:tcPr>
          <w:p>
            <w:pPr>
              <w:jc w:val="center"/>
              <w:rPr>
                <w:highlight w:val="none"/>
              </w:rPr>
            </w:pPr>
            <w:r>
              <w:rPr>
                <w:highlight w:val="none"/>
              </w:rPr>
            </w:r>
            <w:r/>
          </w:p>
        </w:tc>
        <w:tc>
          <w:tcPr>
            <w:tcW w:w="1011" w:type="dxa"/>
            <w:vAlign w:val="center"/>
            <w:textDirection w:val="lrTb"/>
            <w:noWrap w:val="false"/>
          </w:tcPr>
          <w:p>
            <w:pPr>
              <w:jc w:val="center"/>
              <w:rPr>
                <w:highlight w:val="none"/>
              </w:rPr>
            </w:pPr>
            <w:r>
              <w:rPr>
                <w:highlight w:val="none"/>
              </w:rPr>
            </w:r>
            <w:r/>
          </w:p>
        </w:tc>
      </w:tr>
      <w:tr>
        <w:trPr>
          <w:jc w:val="center"/>
          <w:trHeight w:val="481"/>
        </w:trPr>
        <w:tc>
          <w:tcPr>
            <w:tcW w:w="787" w:type="dxa"/>
            <w:vAlign w:val="center"/>
            <w:textDirection w:val="lrTb"/>
            <w:noWrap w:val="false"/>
          </w:tcPr>
          <w:p>
            <w:pPr>
              <w:jc w:val="center"/>
              <w:rPr>
                <w:highlight w:val="none"/>
              </w:rPr>
            </w:pPr>
            <w:r>
              <w:rPr>
                <w:highlight w:val="none"/>
              </w:rPr>
            </w:r>
            <w:r/>
          </w:p>
        </w:tc>
        <w:tc>
          <w:tcPr>
            <w:tcW w:w="1832" w:type="dxa"/>
            <w:vAlign w:val="center"/>
            <w:textDirection w:val="lrTb"/>
            <w:noWrap w:val="false"/>
          </w:tcPr>
          <w:p>
            <w:pPr>
              <w:jc w:val="center"/>
              <w:rPr>
                <w:highlight w:val="none"/>
              </w:rPr>
            </w:pPr>
            <w:r>
              <w:rPr>
                <w:highlight w:val="none"/>
              </w:rPr>
            </w:r>
            <w:r/>
          </w:p>
        </w:tc>
        <w:tc>
          <w:tcPr>
            <w:tcW w:w="3383" w:type="dxa"/>
            <w:vAlign w:val="center"/>
            <w:textDirection w:val="lrTb"/>
            <w:noWrap w:val="false"/>
          </w:tcPr>
          <w:p>
            <w:pPr>
              <w:jc w:val="center"/>
              <w:rPr>
                <w:highlight w:val="none"/>
              </w:rPr>
            </w:pPr>
            <w:r>
              <w:rPr>
                <w:highlight w:val="none"/>
              </w:rPr>
            </w:r>
            <w:r/>
          </w:p>
        </w:tc>
        <w:tc>
          <w:tcPr>
            <w:tcW w:w="1127" w:type="dxa"/>
            <w:vAlign w:val="center"/>
            <w:textDirection w:val="lrTb"/>
            <w:noWrap w:val="false"/>
          </w:tcPr>
          <w:p>
            <w:pPr>
              <w:jc w:val="center"/>
              <w:rPr>
                <w:highlight w:val="none"/>
              </w:rPr>
            </w:pPr>
            <w:r>
              <w:rPr>
                <w:highlight w:val="none"/>
              </w:rPr>
            </w:r>
            <w:r/>
          </w:p>
        </w:tc>
        <w:tc>
          <w:tcPr>
            <w:tcW w:w="1011" w:type="dxa"/>
            <w:vAlign w:val="center"/>
            <w:textDirection w:val="lrTb"/>
            <w:noWrap w:val="false"/>
          </w:tcPr>
          <w:p>
            <w:pPr>
              <w:jc w:val="center"/>
              <w:rPr>
                <w:highlight w:val="none"/>
              </w:rPr>
            </w:pPr>
            <w:r>
              <w:rPr>
                <w:highlight w:val="none"/>
              </w:rPr>
            </w:r>
            <w:r/>
          </w:p>
        </w:tc>
      </w:tr>
    </w:tbl>
    <w:p>
      <w:pPr>
        <w:spacing w:line="360" w:lineRule="auto"/>
        <w:rPr>
          <w:highlight w:val="none"/>
        </w:rPr>
      </w:pPr>
      <w:r>
        <w:rPr>
          <w:highlight w:val="none"/>
        </w:rPr>
      </w:r>
      <w:r/>
    </w:p>
    <w:p>
      <w:pPr>
        <w:spacing w:line="360" w:lineRule="auto"/>
        <w:rPr>
          <w:highlight w:val="none"/>
        </w:rPr>
      </w:pPr>
      <w:r>
        <w:rPr>
          <w:highlight w:val="none"/>
        </w:rPr>
        <w:t xml:space="preserve">供应商名称：</w:t>
      </w:r>
      <w:r>
        <w:rPr>
          <w:highlight w:val="none"/>
          <w:u w:val="single"/>
        </w:rPr>
        <w:t xml:space="preserve">                                       </w:t>
      </w:r>
      <w:r>
        <w:rPr>
          <w:highlight w:val="none"/>
        </w:rPr>
        <w:t xml:space="preserve">（盖章）</w:t>
      </w:r>
      <w:r/>
    </w:p>
    <w:p>
      <w:pPr>
        <w:spacing w:line="360" w:lineRule="auto"/>
        <w:rPr>
          <w:highlight w:val="none"/>
        </w:rPr>
      </w:pPr>
      <w:r>
        <w:rPr>
          <w:highlight w:val="none"/>
        </w:rPr>
      </w:r>
      <w:r/>
    </w:p>
    <w:p>
      <w:pPr>
        <w:spacing w:line="360" w:lineRule="auto"/>
        <w:rPr>
          <w:highlight w:val="none"/>
        </w:rPr>
      </w:pPr>
      <w:r>
        <w:rPr>
          <w:highlight w:val="none"/>
        </w:rPr>
        <w:t xml:space="preserve">说明：</w:t>
      </w:r>
      <w:r/>
    </w:p>
    <w:p>
      <w:pPr>
        <w:spacing w:line="360" w:lineRule="auto"/>
        <w:rPr>
          <w:highlight w:val="none"/>
        </w:rPr>
      </w:pPr>
      <w:r>
        <w:rPr>
          <w:highlight w:val="none"/>
        </w:rPr>
        <w:t xml:space="preserve">1、此表为样表，如果行数不够请自行增加。</w:t>
      </w:r>
      <w:r/>
    </w:p>
    <w:p>
      <w:pPr>
        <w:spacing w:line="360" w:lineRule="auto"/>
        <w:rPr>
          <w:highlight w:val="none"/>
        </w:rPr>
      </w:pPr>
      <w:r>
        <w:rPr>
          <w:highlight w:val="none"/>
        </w:rPr>
        <w:t xml:space="preserve">2、供应商应逐一说明提供的产品和服务响应，供应商根据技术方案添加的设备、材料等也请列出。</w:t>
      </w:r>
      <w:r>
        <w:rPr>
          <w:highlight w:val="none"/>
        </w:rPr>
        <w:tab/>
      </w:r>
      <w:r/>
    </w:p>
    <w:p>
      <w:pPr>
        <w:spacing w:line="360" w:lineRule="auto"/>
        <w:rPr>
          <w:highlight w:val="none"/>
        </w:rPr>
      </w:pPr>
      <w:r>
        <w:rPr>
          <w:highlight w:val="none"/>
        </w:rPr>
        <w:t xml:space="preserve">3、供应商必须仔细阅读本采购文件中所有技术规范条款和相关功能要求，并对技术参数和功能出现正负偏离的条目列入上表，未列入上表的视为完全响应采购文件要求。供应商必须按实际情况如实填写，采购人员如发现有虚假描述的，该响应文件视为无效。</w:t>
      </w:r>
      <w:r/>
    </w:p>
    <w:p>
      <w:pPr>
        <w:spacing w:line="360" w:lineRule="auto"/>
        <w:rPr>
          <w:highlight w:val="none"/>
        </w:rPr>
      </w:pPr>
      <w:r>
        <w:rPr>
          <w:highlight w:val="none"/>
        </w:rPr>
        <w:t xml:space="preserve">4、若响应文件中出现技术参数和功能与此表表述不一致的，以此表为准。</w:t>
      </w:r>
      <w:r/>
    </w:p>
    <w:p>
      <w:pPr>
        <w:rPr>
          <w:highlight w:val="none"/>
        </w:rPr>
      </w:pPr>
      <w:r>
        <w:rPr>
          <w:highlight w:val="none"/>
        </w:rPr>
        <w:br w:type="page" w:clear="all"/>
      </w:r>
      <w:r/>
    </w:p>
    <w:p>
      <w:pPr>
        <w:spacing w:line="360" w:lineRule="auto"/>
        <w:rPr>
          <w:sz w:val="28"/>
          <w:highlight w:val="none"/>
        </w:rPr>
      </w:pPr>
      <w:r>
        <w:rPr>
          <w:sz w:val="28"/>
          <w:highlight w:val="none"/>
        </w:rPr>
        <w:t xml:space="preserve">6、商务条款偏离表</w:t>
      </w:r>
      <w:bookmarkStart w:id="36" w:name="_Toc514847878"/>
      <w:r/>
      <w:bookmarkStart w:id="37" w:name="_Toc514848663"/>
      <w:r>
        <w:rPr>
          <w:sz w:val="28"/>
          <w:highlight w:val="none"/>
        </w:rPr>
        <w:t xml:space="preserve">格式</w:t>
      </w:r>
      <w:r/>
    </w:p>
    <w:p>
      <w:pPr>
        <w:jc w:val="center"/>
        <w:spacing w:line="360" w:lineRule="auto"/>
        <w:rPr>
          <w:b/>
          <w:sz w:val="32"/>
          <w:highlight w:val="none"/>
        </w:rPr>
      </w:pPr>
      <w:r>
        <w:rPr>
          <w:b/>
          <w:sz w:val="32"/>
          <w:highlight w:val="none"/>
        </w:rPr>
        <w:t xml:space="preserve">商务条款偏离表</w:t>
      </w:r>
      <w:bookmarkEnd w:id="36"/>
      <w:r/>
      <w:bookmarkEnd w:id="37"/>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8"/>
        <w:gridCol w:w="2103"/>
        <w:gridCol w:w="3402"/>
        <w:gridCol w:w="1151"/>
        <w:gridCol w:w="893"/>
      </w:tblGrid>
      <w:tr>
        <w:trPr>
          <w:jc w:val="center"/>
          <w:trHeight w:val="552"/>
        </w:trPr>
        <w:tc>
          <w:tcPr>
            <w:tcW w:w="708" w:type="dxa"/>
            <w:vAlign w:val="center"/>
            <w:textDirection w:val="lrTb"/>
            <w:noWrap w:val="false"/>
          </w:tcPr>
          <w:p>
            <w:pPr>
              <w:jc w:val="center"/>
              <w:rPr>
                <w:b/>
                <w:highlight w:val="none"/>
              </w:rPr>
            </w:pPr>
            <w:r>
              <w:rPr>
                <w:b/>
                <w:highlight w:val="none"/>
              </w:rPr>
              <w:t xml:space="preserve">序号</w:t>
            </w:r>
            <w:r/>
          </w:p>
        </w:tc>
        <w:tc>
          <w:tcPr>
            <w:tcW w:w="2103" w:type="dxa"/>
            <w:vAlign w:val="center"/>
            <w:textDirection w:val="lrTb"/>
            <w:noWrap w:val="false"/>
          </w:tcPr>
          <w:p>
            <w:pPr>
              <w:jc w:val="center"/>
              <w:rPr>
                <w:b/>
                <w:highlight w:val="none"/>
              </w:rPr>
            </w:pPr>
            <w:r>
              <w:rPr>
                <w:b/>
                <w:highlight w:val="none"/>
              </w:rPr>
              <w:t xml:space="preserve">采购文件条目号</w:t>
            </w:r>
            <w:r/>
          </w:p>
        </w:tc>
        <w:tc>
          <w:tcPr>
            <w:tcW w:w="3402" w:type="dxa"/>
            <w:vAlign w:val="center"/>
            <w:textDirection w:val="lrTb"/>
            <w:noWrap w:val="false"/>
          </w:tcPr>
          <w:p>
            <w:pPr>
              <w:jc w:val="center"/>
              <w:rPr>
                <w:b/>
                <w:highlight w:val="none"/>
              </w:rPr>
            </w:pPr>
            <w:r>
              <w:rPr>
                <w:b/>
                <w:highlight w:val="none"/>
              </w:rPr>
              <w:t xml:space="preserve">采购文件要求的主要商务条款描述</w:t>
            </w:r>
            <w:r/>
          </w:p>
        </w:tc>
        <w:tc>
          <w:tcPr>
            <w:tcW w:w="1151" w:type="dxa"/>
            <w:vAlign w:val="center"/>
            <w:textDirection w:val="lrTb"/>
            <w:noWrap w:val="false"/>
          </w:tcPr>
          <w:p>
            <w:pPr>
              <w:jc w:val="center"/>
              <w:rPr>
                <w:b/>
                <w:highlight w:val="none"/>
              </w:rPr>
            </w:pPr>
            <w:r>
              <w:rPr>
                <w:b/>
                <w:highlight w:val="none"/>
              </w:rPr>
              <w:t xml:space="preserve">响应描述</w:t>
            </w:r>
            <w:r/>
          </w:p>
        </w:tc>
        <w:tc>
          <w:tcPr>
            <w:tcW w:w="893" w:type="dxa"/>
            <w:vAlign w:val="center"/>
            <w:textDirection w:val="lrTb"/>
            <w:noWrap w:val="false"/>
          </w:tcPr>
          <w:p>
            <w:pPr>
              <w:jc w:val="center"/>
              <w:rPr>
                <w:b/>
                <w:highlight w:val="none"/>
              </w:rPr>
            </w:pPr>
            <w:r>
              <w:rPr>
                <w:b/>
                <w:highlight w:val="none"/>
              </w:rPr>
              <w:t xml:space="preserve">偏离情况</w:t>
            </w:r>
            <w:r/>
          </w:p>
        </w:tc>
      </w:tr>
      <w:tr>
        <w:trPr>
          <w:jc w:val="center"/>
          <w:trHeight w:val="476"/>
        </w:trPr>
        <w:tc>
          <w:tcPr>
            <w:tcW w:w="708" w:type="dxa"/>
            <w:vAlign w:val="center"/>
            <w:textDirection w:val="lrTb"/>
            <w:noWrap w:val="false"/>
          </w:tcPr>
          <w:p>
            <w:pPr>
              <w:jc w:val="center"/>
              <w:rPr>
                <w:highlight w:val="none"/>
              </w:rPr>
            </w:pPr>
            <w:r>
              <w:rPr>
                <w:highlight w:val="none"/>
              </w:rPr>
            </w:r>
            <w:r/>
          </w:p>
        </w:tc>
        <w:tc>
          <w:tcPr>
            <w:tcW w:w="2103" w:type="dxa"/>
            <w:vAlign w:val="center"/>
            <w:textDirection w:val="lrTb"/>
            <w:noWrap w:val="false"/>
          </w:tcPr>
          <w:p>
            <w:pPr>
              <w:jc w:val="center"/>
              <w:rPr>
                <w:highlight w:val="none"/>
              </w:rPr>
            </w:pPr>
            <w:r>
              <w:rPr>
                <w:highlight w:val="none"/>
              </w:rPr>
            </w:r>
            <w:r/>
          </w:p>
        </w:tc>
        <w:tc>
          <w:tcPr>
            <w:tcW w:w="3402" w:type="dxa"/>
            <w:vAlign w:val="center"/>
            <w:textDirection w:val="lrTb"/>
            <w:noWrap w:val="false"/>
          </w:tcPr>
          <w:p>
            <w:pPr>
              <w:jc w:val="center"/>
              <w:rPr>
                <w:highlight w:val="none"/>
              </w:rPr>
            </w:pPr>
            <w:r>
              <w:rPr>
                <w:highlight w:val="none"/>
              </w:rPr>
            </w:r>
            <w:r/>
          </w:p>
        </w:tc>
        <w:tc>
          <w:tcPr>
            <w:tcW w:w="1151" w:type="dxa"/>
            <w:vAlign w:val="center"/>
            <w:textDirection w:val="lrTb"/>
            <w:noWrap w:val="false"/>
          </w:tcPr>
          <w:p>
            <w:pPr>
              <w:jc w:val="center"/>
              <w:rPr>
                <w:highlight w:val="none"/>
              </w:rPr>
            </w:pPr>
            <w:r>
              <w:rPr>
                <w:highlight w:val="none"/>
              </w:rPr>
            </w:r>
            <w:r/>
          </w:p>
        </w:tc>
        <w:tc>
          <w:tcPr>
            <w:tcW w:w="893" w:type="dxa"/>
            <w:vAlign w:val="center"/>
            <w:textDirection w:val="lrTb"/>
            <w:noWrap w:val="false"/>
          </w:tcPr>
          <w:p>
            <w:pPr>
              <w:jc w:val="center"/>
              <w:rPr>
                <w:highlight w:val="none"/>
              </w:rPr>
            </w:pPr>
            <w:r>
              <w:rPr>
                <w:highlight w:val="none"/>
              </w:rPr>
            </w:r>
            <w:r/>
          </w:p>
        </w:tc>
      </w:tr>
      <w:tr>
        <w:trPr>
          <w:jc w:val="center"/>
          <w:trHeight w:val="476"/>
        </w:trPr>
        <w:tc>
          <w:tcPr>
            <w:tcW w:w="708" w:type="dxa"/>
            <w:vAlign w:val="center"/>
            <w:textDirection w:val="lrTb"/>
            <w:noWrap w:val="false"/>
          </w:tcPr>
          <w:p>
            <w:pPr>
              <w:jc w:val="center"/>
              <w:rPr>
                <w:highlight w:val="none"/>
              </w:rPr>
            </w:pPr>
            <w:r>
              <w:rPr>
                <w:highlight w:val="none"/>
              </w:rPr>
            </w:r>
            <w:r/>
          </w:p>
        </w:tc>
        <w:tc>
          <w:tcPr>
            <w:tcW w:w="2103" w:type="dxa"/>
            <w:vAlign w:val="center"/>
            <w:textDirection w:val="lrTb"/>
            <w:noWrap w:val="false"/>
          </w:tcPr>
          <w:p>
            <w:pPr>
              <w:jc w:val="center"/>
              <w:rPr>
                <w:highlight w:val="none"/>
              </w:rPr>
            </w:pPr>
            <w:r>
              <w:rPr>
                <w:highlight w:val="none"/>
              </w:rPr>
            </w:r>
            <w:r/>
          </w:p>
        </w:tc>
        <w:tc>
          <w:tcPr>
            <w:tcW w:w="3402" w:type="dxa"/>
            <w:vAlign w:val="center"/>
            <w:textDirection w:val="lrTb"/>
            <w:noWrap w:val="false"/>
          </w:tcPr>
          <w:p>
            <w:pPr>
              <w:jc w:val="center"/>
              <w:rPr>
                <w:highlight w:val="none"/>
              </w:rPr>
            </w:pPr>
            <w:r>
              <w:rPr>
                <w:highlight w:val="none"/>
              </w:rPr>
            </w:r>
            <w:r/>
          </w:p>
        </w:tc>
        <w:tc>
          <w:tcPr>
            <w:tcW w:w="1151" w:type="dxa"/>
            <w:vAlign w:val="center"/>
            <w:textDirection w:val="lrTb"/>
            <w:noWrap w:val="false"/>
          </w:tcPr>
          <w:p>
            <w:pPr>
              <w:jc w:val="center"/>
              <w:rPr>
                <w:highlight w:val="none"/>
              </w:rPr>
            </w:pPr>
            <w:r>
              <w:rPr>
                <w:highlight w:val="none"/>
              </w:rPr>
            </w:r>
            <w:r/>
          </w:p>
        </w:tc>
        <w:tc>
          <w:tcPr>
            <w:tcW w:w="893" w:type="dxa"/>
            <w:vAlign w:val="center"/>
            <w:textDirection w:val="lrTb"/>
            <w:noWrap w:val="false"/>
          </w:tcPr>
          <w:p>
            <w:pPr>
              <w:jc w:val="center"/>
              <w:rPr>
                <w:highlight w:val="none"/>
              </w:rPr>
            </w:pPr>
            <w:r>
              <w:rPr>
                <w:highlight w:val="none"/>
              </w:rPr>
            </w:r>
            <w:r/>
          </w:p>
        </w:tc>
      </w:tr>
      <w:tr>
        <w:trPr>
          <w:jc w:val="center"/>
          <w:trHeight w:val="476"/>
        </w:trPr>
        <w:tc>
          <w:tcPr>
            <w:tcW w:w="708" w:type="dxa"/>
            <w:vAlign w:val="center"/>
            <w:textDirection w:val="lrTb"/>
            <w:noWrap w:val="false"/>
          </w:tcPr>
          <w:p>
            <w:pPr>
              <w:jc w:val="center"/>
              <w:rPr>
                <w:highlight w:val="none"/>
              </w:rPr>
            </w:pPr>
            <w:r>
              <w:rPr>
                <w:highlight w:val="none"/>
              </w:rPr>
            </w:r>
            <w:r/>
          </w:p>
        </w:tc>
        <w:tc>
          <w:tcPr>
            <w:tcW w:w="2103" w:type="dxa"/>
            <w:vAlign w:val="center"/>
            <w:textDirection w:val="lrTb"/>
            <w:noWrap w:val="false"/>
          </w:tcPr>
          <w:p>
            <w:pPr>
              <w:jc w:val="center"/>
              <w:rPr>
                <w:highlight w:val="none"/>
              </w:rPr>
            </w:pPr>
            <w:r>
              <w:rPr>
                <w:highlight w:val="none"/>
              </w:rPr>
            </w:r>
            <w:r/>
          </w:p>
        </w:tc>
        <w:tc>
          <w:tcPr>
            <w:tcW w:w="3402" w:type="dxa"/>
            <w:vAlign w:val="center"/>
            <w:textDirection w:val="lrTb"/>
            <w:noWrap w:val="false"/>
          </w:tcPr>
          <w:p>
            <w:pPr>
              <w:jc w:val="center"/>
              <w:rPr>
                <w:highlight w:val="none"/>
              </w:rPr>
            </w:pPr>
            <w:r>
              <w:rPr>
                <w:highlight w:val="none"/>
              </w:rPr>
            </w:r>
            <w:r/>
          </w:p>
        </w:tc>
        <w:tc>
          <w:tcPr>
            <w:tcW w:w="1151" w:type="dxa"/>
            <w:vAlign w:val="center"/>
            <w:textDirection w:val="lrTb"/>
            <w:noWrap w:val="false"/>
          </w:tcPr>
          <w:p>
            <w:pPr>
              <w:jc w:val="center"/>
              <w:rPr>
                <w:highlight w:val="none"/>
              </w:rPr>
            </w:pPr>
            <w:r>
              <w:rPr>
                <w:highlight w:val="none"/>
              </w:rPr>
            </w:r>
            <w:r/>
          </w:p>
        </w:tc>
        <w:tc>
          <w:tcPr>
            <w:tcW w:w="893" w:type="dxa"/>
            <w:vAlign w:val="center"/>
            <w:textDirection w:val="lrTb"/>
            <w:noWrap w:val="false"/>
          </w:tcPr>
          <w:p>
            <w:pPr>
              <w:jc w:val="center"/>
              <w:rPr>
                <w:highlight w:val="none"/>
              </w:rPr>
            </w:pPr>
            <w:r>
              <w:rPr>
                <w:highlight w:val="none"/>
              </w:rPr>
            </w:r>
            <w:r/>
          </w:p>
        </w:tc>
      </w:tr>
      <w:tr>
        <w:trPr>
          <w:jc w:val="center"/>
          <w:trHeight w:val="476"/>
        </w:trPr>
        <w:tc>
          <w:tcPr>
            <w:tcW w:w="708" w:type="dxa"/>
            <w:vAlign w:val="center"/>
            <w:textDirection w:val="lrTb"/>
            <w:noWrap w:val="false"/>
          </w:tcPr>
          <w:p>
            <w:pPr>
              <w:jc w:val="center"/>
              <w:rPr>
                <w:highlight w:val="none"/>
              </w:rPr>
            </w:pPr>
            <w:r>
              <w:rPr>
                <w:highlight w:val="none"/>
              </w:rPr>
            </w:r>
            <w:r/>
          </w:p>
        </w:tc>
        <w:tc>
          <w:tcPr>
            <w:tcW w:w="2103" w:type="dxa"/>
            <w:vAlign w:val="center"/>
            <w:textDirection w:val="lrTb"/>
            <w:noWrap w:val="false"/>
          </w:tcPr>
          <w:p>
            <w:pPr>
              <w:jc w:val="center"/>
              <w:rPr>
                <w:highlight w:val="none"/>
              </w:rPr>
            </w:pPr>
            <w:r>
              <w:rPr>
                <w:highlight w:val="none"/>
              </w:rPr>
            </w:r>
            <w:r/>
          </w:p>
        </w:tc>
        <w:tc>
          <w:tcPr>
            <w:tcW w:w="3402" w:type="dxa"/>
            <w:vAlign w:val="center"/>
            <w:textDirection w:val="lrTb"/>
            <w:noWrap w:val="false"/>
          </w:tcPr>
          <w:p>
            <w:pPr>
              <w:jc w:val="center"/>
              <w:rPr>
                <w:highlight w:val="none"/>
              </w:rPr>
            </w:pPr>
            <w:r>
              <w:rPr>
                <w:highlight w:val="none"/>
              </w:rPr>
            </w:r>
            <w:r/>
          </w:p>
        </w:tc>
        <w:tc>
          <w:tcPr>
            <w:tcW w:w="1151" w:type="dxa"/>
            <w:vAlign w:val="center"/>
            <w:textDirection w:val="lrTb"/>
            <w:noWrap w:val="false"/>
          </w:tcPr>
          <w:p>
            <w:pPr>
              <w:jc w:val="center"/>
              <w:rPr>
                <w:highlight w:val="none"/>
              </w:rPr>
            </w:pPr>
            <w:r>
              <w:rPr>
                <w:highlight w:val="none"/>
              </w:rPr>
            </w:r>
            <w:r/>
          </w:p>
        </w:tc>
        <w:tc>
          <w:tcPr>
            <w:tcW w:w="893" w:type="dxa"/>
            <w:vAlign w:val="center"/>
            <w:textDirection w:val="lrTb"/>
            <w:noWrap w:val="false"/>
          </w:tcPr>
          <w:p>
            <w:pPr>
              <w:jc w:val="center"/>
              <w:rPr>
                <w:highlight w:val="none"/>
              </w:rPr>
            </w:pPr>
            <w:r>
              <w:rPr>
                <w:highlight w:val="none"/>
              </w:rPr>
            </w:r>
            <w:r/>
          </w:p>
        </w:tc>
      </w:tr>
      <w:tr>
        <w:trPr>
          <w:jc w:val="center"/>
          <w:trHeight w:val="476"/>
        </w:trPr>
        <w:tc>
          <w:tcPr>
            <w:tcW w:w="708" w:type="dxa"/>
            <w:vAlign w:val="center"/>
            <w:textDirection w:val="lrTb"/>
            <w:noWrap w:val="false"/>
          </w:tcPr>
          <w:p>
            <w:pPr>
              <w:jc w:val="center"/>
              <w:rPr>
                <w:highlight w:val="none"/>
              </w:rPr>
            </w:pPr>
            <w:r>
              <w:rPr>
                <w:highlight w:val="none"/>
              </w:rPr>
            </w:r>
            <w:r/>
          </w:p>
        </w:tc>
        <w:tc>
          <w:tcPr>
            <w:tcW w:w="2103" w:type="dxa"/>
            <w:vAlign w:val="center"/>
            <w:textDirection w:val="lrTb"/>
            <w:noWrap w:val="false"/>
          </w:tcPr>
          <w:p>
            <w:pPr>
              <w:jc w:val="center"/>
              <w:rPr>
                <w:highlight w:val="none"/>
              </w:rPr>
            </w:pPr>
            <w:r>
              <w:rPr>
                <w:highlight w:val="none"/>
              </w:rPr>
            </w:r>
            <w:r/>
          </w:p>
        </w:tc>
        <w:tc>
          <w:tcPr>
            <w:tcW w:w="3402" w:type="dxa"/>
            <w:vAlign w:val="center"/>
            <w:textDirection w:val="lrTb"/>
            <w:noWrap w:val="false"/>
          </w:tcPr>
          <w:p>
            <w:pPr>
              <w:jc w:val="center"/>
              <w:rPr>
                <w:highlight w:val="none"/>
              </w:rPr>
            </w:pPr>
            <w:r>
              <w:rPr>
                <w:highlight w:val="none"/>
              </w:rPr>
            </w:r>
            <w:r/>
          </w:p>
        </w:tc>
        <w:tc>
          <w:tcPr>
            <w:tcW w:w="1151" w:type="dxa"/>
            <w:vAlign w:val="center"/>
            <w:textDirection w:val="lrTb"/>
            <w:noWrap w:val="false"/>
          </w:tcPr>
          <w:p>
            <w:pPr>
              <w:jc w:val="center"/>
              <w:rPr>
                <w:highlight w:val="none"/>
              </w:rPr>
            </w:pPr>
            <w:r>
              <w:rPr>
                <w:highlight w:val="none"/>
              </w:rPr>
            </w:r>
            <w:r/>
          </w:p>
        </w:tc>
        <w:tc>
          <w:tcPr>
            <w:tcW w:w="893" w:type="dxa"/>
            <w:vAlign w:val="center"/>
            <w:textDirection w:val="lrTb"/>
            <w:noWrap w:val="false"/>
          </w:tcPr>
          <w:p>
            <w:pPr>
              <w:jc w:val="center"/>
              <w:rPr>
                <w:highlight w:val="none"/>
              </w:rPr>
            </w:pPr>
            <w:r>
              <w:rPr>
                <w:highlight w:val="none"/>
              </w:rPr>
            </w:r>
            <w:r/>
          </w:p>
        </w:tc>
      </w:tr>
      <w:tr>
        <w:trPr>
          <w:jc w:val="center"/>
          <w:trHeight w:val="487"/>
        </w:trPr>
        <w:tc>
          <w:tcPr>
            <w:tcW w:w="708" w:type="dxa"/>
            <w:vAlign w:val="center"/>
            <w:textDirection w:val="lrTb"/>
            <w:noWrap w:val="false"/>
          </w:tcPr>
          <w:p>
            <w:pPr>
              <w:jc w:val="center"/>
              <w:rPr>
                <w:highlight w:val="none"/>
              </w:rPr>
            </w:pPr>
            <w:r>
              <w:rPr>
                <w:highlight w:val="none"/>
              </w:rPr>
            </w:r>
            <w:r/>
          </w:p>
        </w:tc>
        <w:tc>
          <w:tcPr>
            <w:tcW w:w="2103" w:type="dxa"/>
            <w:vAlign w:val="center"/>
            <w:textDirection w:val="lrTb"/>
            <w:noWrap w:val="false"/>
          </w:tcPr>
          <w:p>
            <w:pPr>
              <w:jc w:val="center"/>
              <w:rPr>
                <w:highlight w:val="none"/>
              </w:rPr>
            </w:pPr>
            <w:r>
              <w:rPr>
                <w:highlight w:val="none"/>
              </w:rPr>
            </w:r>
            <w:r/>
          </w:p>
        </w:tc>
        <w:tc>
          <w:tcPr>
            <w:tcW w:w="3402" w:type="dxa"/>
            <w:vAlign w:val="center"/>
            <w:textDirection w:val="lrTb"/>
            <w:noWrap w:val="false"/>
          </w:tcPr>
          <w:p>
            <w:pPr>
              <w:jc w:val="center"/>
              <w:rPr>
                <w:highlight w:val="none"/>
              </w:rPr>
            </w:pPr>
            <w:r>
              <w:rPr>
                <w:highlight w:val="none"/>
              </w:rPr>
            </w:r>
            <w:r/>
          </w:p>
        </w:tc>
        <w:tc>
          <w:tcPr>
            <w:tcW w:w="1151" w:type="dxa"/>
            <w:vAlign w:val="center"/>
            <w:textDirection w:val="lrTb"/>
            <w:noWrap w:val="false"/>
          </w:tcPr>
          <w:p>
            <w:pPr>
              <w:jc w:val="center"/>
              <w:rPr>
                <w:highlight w:val="none"/>
              </w:rPr>
            </w:pPr>
            <w:r>
              <w:rPr>
                <w:highlight w:val="none"/>
              </w:rPr>
            </w:r>
            <w:r/>
          </w:p>
        </w:tc>
        <w:tc>
          <w:tcPr>
            <w:tcW w:w="893" w:type="dxa"/>
            <w:vAlign w:val="center"/>
            <w:textDirection w:val="lrTb"/>
            <w:noWrap w:val="false"/>
          </w:tcPr>
          <w:p>
            <w:pPr>
              <w:jc w:val="center"/>
              <w:rPr>
                <w:highlight w:val="none"/>
              </w:rPr>
            </w:pPr>
            <w:r>
              <w:rPr>
                <w:highlight w:val="none"/>
              </w:rPr>
            </w:r>
            <w:r/>
          </w:p>
        </w:tc>
      </w:tr>
    </w:tbl>
    <w:p>
      <w:pPr>
        <w:spacing w:line="360" w:lineRule="auto"/>
        <w:rPr>
          <w:highlight w:val="none"/>
        </w:rPr>
      </w:pPr>
      <w:r>
        <w:rPr>
          <w:highlight w:val="none"/>
        </w:rPr>
      </w:r>
      <w:r/>
    </w:p>
    <w:p>
      <w:pPr>
        <w:spacing w:line="360" w:lineRule="auto"/>
        <w:rPr>
          <w:highlight w:val="none"/>
        </w:rPr>
      </w:pPr>
      <w:r>
        <w:rPr>
          <w:highlight w:val="none"/>
        </w:rPr>
        <w:t xml:space="preserve">供应商名称：</w:t>
      </w:r>
      <w:r>
        <w:rPr>
          <w:highlight w:val="none"/>
          <w:u w:val="single"/>
        </w:rPr>
        <w:t xml:space="preserve">                              </w:t>
      </w:r>
      <w:r>
        <w:rPr>
          <w:highlight w:val="none"/>
        </w:rPr>
        <w:t xml:space="preserve">（盖章）</w:t>
      </w:r>
      <w:r/>
    </w:p>
    <w:p>
      <w:pPr>
        <w:spacing w:line="360" w:lineRule="auto"/>
        <w:rPr>
          <w:highlight w:val="none"/>
        </w:rPr>
      </w:pPr>
      <w:r>
        <w:rPr>
          <w:highlight w:val="none"/>
        </w:rPr>
      </w:r>
      <w:r/>
    </w:p>
    <w:p>
      <w:pPr>
        <w:spacing w:line="360" w:lineRule="auto"/>
        <w:rPr>
          <w:highlight w:val="none"/>
        </w:rPr>
      </w:pPr>
      <w:r>
        <w:rPr>
          <w:highlight w:val="none"/>
        </w:rPr>
        <w:t xml:space="preserve">说明：</w:t>
      </w:r>
      <w:r/>
    </w:p>
    <w:p>
      <w:pPr>
        <w:spacing w:line="360" w:lineRule="auto"/>
        <w:rPr>
          <w:highlight w:val="none"/>
        </w:rPr>
      </w:pPr>
      <w:r>
        <w:rPr>
          <w:highlight w:val="none"/>
        </w:rPr>
        <w:t xml:space="preserve">1、此表为样表，如果行数不够请自行增加。</w:t>
      </w:r>
      <w:r/>
    </w:p>
    <w:p>
      <w:pPr>
        <w:spacing w:line="360" w:lineRule="auto"/>
        <w:rPr>
          <w:highlight w:val="none"/>
        </w:rPr>
      </w:pPr>
      <w:r>
        <w:rPr>
          <w:highlight w:val="none"/>
        </w:rPr>
        <w:t xml:space="preserve">2、供应商根据项目添加的服务承诺、培训等也请列出。</w:t>
      </w:r>
      <w:r/>
    </w:p>
    <w:p>
      <w:pPr>
        <w:spacing w:line="360" w:lineRule="auto"/>
        <w:rPr>
          <w:highlight w:val="none"/>
        </w:rPr>
      </w:pPr>
      <w:r>
        <w:rPr>
          <w:highlight w:val="none"/>
        </w:rPr>
        <w:t xml:space="preserve">3、供应商必须仔细阅读本采购文件中所有商务条款和相关服务要求，并对所有商务条款和服务要求偏离的条目列入上表，未列入上表的视为完全响应采购文件要求。供应商必须按实际情况如实填写，采购人员如发现有虚假描述的，该响应文件视为无效。</w:t>
      </w:r>
      <w:r/>
    </w:p>
    <w:p>
      <w:pPr>
        <w:rPr>
          <w:highlight w:val="none"/>
        </w:rPr>
      </w:pPr>
      <w:r>
        <w:rPr>
          <w:highlight w:val="none"/>
        </w:rPr>
        <w:br w:type="page" w:clear="all"/>
      </w:r>
      <w:r/>
    </w:p>
    <w:p>
      <w:pPr>
        <w:spacing w:line="360" w:lineRule="auto"/>
        <w:rPr>
          <w:sz w:val="28"/>
          <w:highlight w:val="none"/>
        </w:rPr>
      </w:pPr>
      <w:r/>
      <w:bookmarkStart w:id="38" w:name="_Toc351731631"/>
      <w:r>
        <w:rPr>
          <w:sz w:val="28"/>
          <w:highlight w:val="none"/>
        </w:rPr>
        <w:t xml:space="preserve">7、</w:t>
      </w:r>
      <w:bookmarkEnd w:id="38"/>
      <w:r>
        <w:rPr>
          <w:sz w:val="28"/>
          <w:highlight w:val="none"/>
        </w:rPr>
        <w:t xml:space="preserve">项目实施方案（自拟）</w:t>
      </w:r>
      <w:r/>
    </w:p>
    <w:p>
      <w:pPr>
        <w:ind w:firstLine="420"/>
        <w:spacing w:line="360" w:lineRule="auto"/>
        <w:rPr>
          <w:highlight w:val="none"/>
        </w:rPr>
      </w:pPr>
      <w:r>
        <w:rPr>
          <w:highlight w:val="none"/>
        </w:rPr>
        <w:t xml:space="preserve">供应商应针对本项目采购需求特点，自行编制包含但不限于以下内容的项目实施方案：项目实施的总体方案、技术服务实施方案、质量保障方案、进度计划安排、项目验收方案、服务承诺及供应商认为需要提供的其它方案。</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sz w:val="28"/>
          <w:highlight w:val="none"/>
        </w:rPr>
      </w:pPr>
      <w:r>
        <w:rPr>
          <w:sz w:val="28"/>
          <w:highlight w:val="none"/>
        </w:rPr>
        <w:t xml:space="preserve">供应商名称：</w:t>
      </w:r>
      <w:r>
        <w:rPr>
          <w:sz w:val="28"/>
          <w:highlight w:val="none"/>
          <w:u w:val="single"/>
        </w:rPr>
        <w:t xml:space="preserve">                        </w:t>
      </w:r>
      <w:r>
        <w:rPr>
          <w:sz w:val="28"/>
          <w:highlight w:val="none"/>
        </w:rPr>
        <w:t xml:space="preserve">（盖章）</w:t>
      </w:r>
      <w:r/>
    </w:p>
    <w:p>
      <w:pPr>
        <w:rPr>
          <w:highlight w:val="none"/>
        </w:rPr>
      </w:pPr>
      <w:r>
        <w:rPr>
          <w:highlight w:val="none"/>
        </w:rPr>
        <w:br w:type="page" w:clear="all"/>
      </w:r>
      <w:r/>
    </w:p>
    <w:p>
      <w:pPr>
        <w:spacing w:line="360" w:lineRule="auto"/>
        <w:rPr>
          <w:sz w:val="28"/>
          <w:highlight w:val="none"/>
        </w:rPr>
      </w:pPr>
      <w:r>
        <w:rPr>
          <w:sz w:val="28"/>
          <w:highlight w:val="none"/>
        </w:rPr>
        <w:t xml:space="preserve">8、拟参与本项目人员一览表及证明材料</w:t>
      </w:r>
      <w:bookmarkStart w:id="39" w:name="_Hlk515436025"/>
      <w:r/>
      <w:r/>
    </w:p>
    <w:p>
      <w:pPr>
        <w:jc w:val="center"/>
        <w:spacing w:line="360" w:lineRule="auto"/>
        <w:rPr>
          <w:b/>
          <w:sz w:val="32"/>
          <w:highlight w:val="none"/>
        </w:rPr>
      </w:pPr>
      <w:r>
        <w:rPr>
          <w:b/>
          <w:sz w:val="32"/>
          <w:highlight w:val="none"/>
        </w:rPr>
        <w:t xml:space="preserve">拟参与本项目人员一览表</w:t>
      </w:r>
      <w:r/>
    </w:p>
    <w:tbl>
      <w:tblPr>
        <w:tblStyle w:val="679"/>
        <w:tblW w:w="8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225"/>
        <w:gridCol w:w="790"/>
        <w:gridCol w:w="773"/>
        <w:gridCol w:w="973"/>
        <w:gridCol w:w="1108"/>
        <w:gridCol w:w="785"/>
        <w:gridCol w:w="1257"/>
        <w:gridCol w:w="658"/>
      </w:tblGrid>
      <w:tr>
        <w:trPr>
          <w:jc w:val="center"/>
          <w:trHeight w:val="840"/>
        </w:trPr>
        <w:tc>
          <w:tcPr>
            <w:tcW w:w="681" w:type="dxa"/>
            <w:vAlign w:val="center"/>
            <w:textDirection w:val="lrTb"/>
            <w:noWrap w:val="false"/>
          </w:tcPr>
          <w:p>
            <w:pPr>
              <w:jc w:val="center"/>
              <w:rPr>
                <w:b/>
                <w:highlight w:val="none"/>
              </w:rPr>
            </w:pPr>
            <w:r>
              <w:rPr>
                <w:b/>
                <w:highlight w:val="none"/>
              </w:rPr>
              <w:t xml:space="preserve">序号</w:t>
            </w:r>
            <w:r/>
          </w:p>
        </w:tc>
        <w:tc>
          <w:tcPr>
            <w:tcW w:w="1225" w:type="dxa"/>
            <w:vAlign w:val="center"/>
            <w:textDirection w:val="lrTb"/>
            <w:noWrap w:val="false"/>
          </w:tcPr>
          <w:p>
            <w:pPr>
              <w:jc w:val="center"/>
              <w:rPr>
                <w:b/>
                <w:highlight w:val="none"/>
              </w:rPr>
            </w:pPr>
            <w:r>
              <w:rPr>
                <w:b/>
                <w:highlight w:val="none"/>
              </w:rPr>
              <w:t xml:space="preserve">拟担任本项目何种工作</w:t>
            </w:r>
            <w:r/>
          </w:p>
        </w:tc>
        <w:tc>
          <w:tcPr>
            <w:tcW w:w="790" w:type="dxa"/>
            <w:vAlign w:val="center"/>
            <w:textDirection w:val="lrTb"/>
            <w:noWrap w:val="false"/>
          </w:tcPr>
          <w:p>
            <w:pPr>
              <w:jc w:val="center"/>
              <w:rPr>
                <w:b/>
                <w:highlight w:val="none"/>
              </w:rPr>
            </w:pPr>
            <w:r>
              <w:rPr>
                <w:b/>
                <w:highlight w:val="none"/>
              </w:rPr>
              <w:t xml:space="preserve">姓名</w:t>
            </w:r>
            <w:r/>
          </w:p>
        </w:tc>
        <w:tc>
          <w:tcPr>
            <w:tcW w:w="773" w:type="dxa"/>
            <w:vAlign w:val="center"/>
            <w:textDirection w:val="lrTb"/>
            <w:noWrap w:val="false"/>
          </w:tcPr>
          <w:p>
            <w:pPr>
              <w:jc w:val="center"/>
              <w:rPr>
                <w:b/>
                <w:highlight w:val="none"/>
              </w:rPr>
            </w:pPr>
            <w:r>
              <w:rPr>
                <w:b/>
                <w:highlight w:val="none"/>
              </w:rPr>
              <w:t xml:space="preserve">年龄</w:t>
            </w:r>
            <w:r/>
          </w:p>
        </w:tc>
        <w:tc>
          <w:tcPr>
            <w:tcW w:w="973" w:type="dxa"/>
            <w:vAlign w:val="center"/>
            <w:textDirection w:val="lrTb"/>
            <w:noWrap w:val="false"/>
          </w:tcPr>
          <w:p>
            <w:pPr>
              <w:jc w:val="center"/>
              <w:rPr>
                <w:b/>
                <w:highlight w:val="none"/>
              </w:rPr>
            </w:pPr>
            <w:r>
              <w:rPr>
                <w:b/>
                <w:highlight w:val="none"/>
              </w:rPr>
              <w:t xml:space="preserve">学历及专业</w:t>
            </w:r>
            <w:r/>
          </w:p>
        </w:tc>
        <w:tc>
          <w:tcPr>
            <w:tcW w:w="1108" w:type="dxa"/>
            <w:vAlign w:val="center"/>
            <w:textDirection w:val="lrTb"/>
            <w:noWrap w:val="false"/>
          </w:tcPr>
          <w:p>
            <w:pPr>
              <w:jc w:val="center"/>
              <w:rPr>
                <w:b/>
                <w:highlight w:val="none"/>
              </w:rPr>
            </w:pPr>
            <w:r>
              <w:rPr>
                <w:b/>
                <w:highlight w:val="none"/>
              </w:rPr>
              <w:t xml:space="preserve">执业资格及证书号</w:t>
            </w:r>
            <w:r/>
          </w:p>
        </w:tc>
        <w:tc>
          <w:tcPr>
            <w:tcW w:w="785" w:type="dxa"/>
            <w:vAlign w:val="center"/>
            <w:textDirection w:val="lrTb"/>
            <w:noWrap w:val="false"/>
          </w:tcPr>
          <w:p>
            <w:pPr>
              <w:jc w:val="center"/>
              <w:rPr>
                <w:b/>
                <w:highlight w:val="none"/>
              </w:rPr>
            </w:pPr>
            <w:r>
              <w:rPr>
                <w:b/>
                <w:highlight w:val="none"/>
              </w:rPr>
              <w:t xml:space="preserve">技术职称</w:t>
            </w:r>
            <w:r/>
          </w:p>
        </w:tc>
        <w:tc>
          <w:tcPr>
            <w:tcW w:w="1257" w:type="dxa"/>
            <w:vAlign w:val="center"/>
            <w:textDirection w:val="lrTb"/>
            <w:noWrap w:val="false"/>
          </w:tcPr>
          <w:p>
            <w:pPr>
              <w:jc w:val="center"/>
              <w:rPr>
                <w:b/>
                <w:highlight w:val="none"/>
              </w:rPr>
            </w:pPr>
            <w:r>
              <w:rPr>
                <w:b/>
                <w:highlight w:val="none"/>
              </w:rPr>
              <w:t xml:space="preserve">相关工作年限及工作经历</w:t>
            </w:r>
            <w:r/>
          </w:p>
        </w:tc>
        <w:tc>
          <w:tcPr>
            <w:tcW w:w="658" w:type="dxa"/>
            <w:vAlign w:val="center"/>
            <w:textDirection w:val="lrTb"/>
            <w:noWrap w:val="false"/>
          </w:tcPr>
          <w:p>
            <w:pPr>
              <w:jc w:val="center"/>
              <w:rPr>
                <w:b/>
                <w:highlight w:val="none"/>
              </w:rPr>
            </w:pPr>
            <w:r>
              <w:rPr>
                <w:b/>
                <w:highlight w:val="none"/>
              </w:rPr>
              <w:t xml:space="preserve">备注</w:t>
            </w:r>
            <w:r/>
          </w:p>
        </w:tc>
      </w:tr>
      <w:tr>
        <w:trPr>
          <w:jc w:val="center"/>
          <w:trHeight w:val="465"/>
        </w:trPr>
        <w:tc>
          <w:tcPr>
            <w:tcW w:w="681" w:type="dxa"/>
            <w:vAlign w:val="center"/>
            <w:textDirection w:val="lrTb"/>
            <w:noWrap w:val="false"/>
          </w:tcPr>
          <w:p>
            <w:pPr>
              <w:jc w:val="center"/>
              <w:rPr>
                <w:highlight w:val="none"/>
              </w:rPr>
            </w:pPr>
            <w:r>
              <w:rPr>
                <w:highlight w:val="none"/>
              </w:rPr>
            </w:r>
            <w:r/>
          </w:p>
        </w:tc>
        <w:tc>
          <w:tcPr>
            <w:tcW w:w="1225" w:type="dxa"/>
            <w:vAlign w:val="center"/>
            <w:textDirection w:val="lrTb"/>
            <w:noWrap w:val="false"/>
          </w:tcPr>
          <w:p>
            <w:pPr>
              <w:jc w:val="center"/>
              <w:rPr>
                <w:highlight w:val="none"/>
              </w:rPr>
            </w:pPr>
            <w:r>
              <w:rPr>
                <w:highlight w:val="none"/>
              </w:rPr>
            </w:r>
            <w:r/>
          </w:p>
        </w:tc>
        <w:tc>
          <w:tcPr>
            <w:tcW w:w="790" w:type="dxa"/>
            <w:vAlign w:val="center"/>
            <w:textDirection w:val="lrTb"/>
            <w:noWrap w:val="false"/>
          </w:tcPr>
          <w:p>
            <w:pPr>
              <w:jc w:val="center"/>
              <w:rPr>
                <w:highlight w:val="none"/>
              </w:rPr>
            </w:pPr>
            <w:r>
              <w:rPr>
                <w:highlight w:val="none"/>
              </w:rPr>
            </w:r>
            <w:r/>
          </w:p>
        </w:tc>
        <w:tc>
          <w:tcPr>
            <w:tcW w:w="773" w:type="dxa"/>
            <w:vAlign w:val="center"/>
            <w:textDirection w:val="lrTb"/>
            <w:noWrap w:val="false"/>
          </w:tcPr>
          <w:p>
            <w:pPr>
              <w:jc w:val="center"/>
              <w:rPr>
                <w:highlight w:val="none"/>
              </w:rPr>
            </w:pPr>
            <w:r>
              <w:rPr>
                <w:highlight w:val="none"/>
              </w:rPr>
            </w:r>
            <w:r/>
          </w:p>
        </w:tc>
        <w:tc>
          <w:tcPr>
            <w:tcW w:w="973" w:type="dxa"/>
            <w:vAlign w:val="center"/>
            <w:textDirection w:val="lrTb"/>
            <w:noWrap w:val="false"/>
          </w:tcPr>
          <w:p>
            <w:pPr>
              <w:jc w:val="center"/>
              <w:rPr>
                <w:highlight w:val="none"/>
              </w:rPr>
            </w:pPr>
            <w:r>
              <w:rPr>
                <w:highlight w:val="none"/>
              </w:rPr>
            </w:r>
            <w:r/>
          </w:p>
        </w:tc>
        <w:tc>
          <w:tcPr>
            <w:tcW w:w="1108" w:type="dxa"/>
            <w:vAlign w:val="center"/>
            <w:textDirection w:val="lrTb"/>
            <w:noWrap w:val="false"/>
          </w:tcPr>
          <w:p>
            <w:pPr>
              <w:jc w:val="center"/>
              <w:rPr>
                <w:highlight w:val="none"/>
              </w:rPr>
            </w:pPr>
            <w:r>
              <w:rPr>
                <w:highlight w:val="none"/>
              </w:rPr>
            </w:r>
            <w:r/>
          </w:p>
        </w:tc>
        <w:tc>
          <w:tcPr>
            <w:tcW w:w="785" w:type="dxa"/>
            <w:vAlign w:val="center"/>
            <w:textDirection w:val="lrTb"/>
            <w:noWrap w:val="false"/>
          </w:tcPr>
          <w:p>
            <w:pPr>
              <w:jc w:val="center"/>
              <w:rPr>
                <w:highlight w:val="none"/>
              </w:rPr>
            </w:pPr>
            <w:r>
              <w:rPr>
                <w:highlight w:val="none"/>
              </w:rPr>
            </w:r>
            <w:r/>
          </w:p>
        </w:tc>
        <w:tc>
          <w:tcPr>
            <w:tcW w:w="1257" w:type="dxa"/>
            <w:vAlign w:val="center"/>
            <w:textDirection w:val="lrTb"/>
            <w:noWrap w:val="false"/>
          </w:tcPr>
          <w:p>
            <w:pPr>
              <w:jc w:val="center"/>
              <w:rPr>
                <w:highlight w:val="none"/>
              </w:rPr>
            </w:pPr>
            <w:r>
              <w:rPr>
                <w:highlight w:val="none"/>
              </w:rPr>
            </w:r>
            <w:r/>
          </w:p>
        </w:tc>
        <w:tc>
          <w:tcPr>
            <w:tcW w:w="658" w:type="dxa"/>
            <w:vAlign w:val="center"/>
            <w:textDirection w:val="lrTb"/>
            <w:noWrap w:val="false"/>
          </w:tcPr>
          <w:p>
            <w:pPr>
              <w:jc w:val="center"/>
              <w:rPr>
                <w:highlight w:val="none"/>
              </w:rPr>
            </w:pPr>
            <w:r>
              <w:rPr>
                <w:highlight w:val="none"/>
              </w:rPr>
            </w:r>
            <w:r/>
          </w:p>
        </w:tc>
      </w:tr>
      <w:tr>
        <w:trPr>
          <w:jc w:val="center"/>
          <w:trHeight w:val="465"/>
        </w:trPr>
        <w:tc>
          <w:tcPr>
            <w:tcW w:w="681" w:type="dxa"/>
            <w:vAlign w:val="center"/>
            <w:textDirection w:val="lrTb"/>
            <w:noWrap w:val="false"/>
          </w:tcPr>
          <w:p>
            <w:pPr>
              <w:jc w:val="center"/>
              <w:rPr>
                <w:highlight w:val="none"/>
              </w:rPr>
            </w:pPr>
            <w:r>
              <w:rPr>
                <w:highlight w:val="none"/>
              </w:rPr>
            </w:r>
            <w:r/>
          </w:p>
        </w:tc>
        <w:tc>
          <w:tcPr>
            <w:tcW w:w="1225" w:type="dxa"/>
            <w:vAlign w:val="center"/>
            <w:textDirection w:val="lrTb"/>
            <w:noWrap w:val="false"/>
          </w:tcPr>
          <w:p>
            <w:pPr>
              <w:jc w:val="center"/>
              <w:rPr>
                <w:highlight w:val="none"/>
              </w:rPr>
            </w:pPr>
            <w:r>
              <w:rPr>
                <w:highlight w:val="none"/>
              </w:rPr>
            </w:r>
            <w:r/>
          </w:p>
        </w:tc>
        <w:tc>
          <w:tcPr>
            <w:tcW w:w="790" w:type="dxa"/>
            <w:vAlign w:val="center"/>
            <w:textDirection w:val="lrTb"/>
            <w:noWrap w:val="false"/>
          </w:tcPr>
          <w:p>
            <w:pPr>
              <w:jc w:val="center"/>
              <w:rPr>
                <w:highlight w:val="none"/>
              </w:rPr>
            </w:pPr>
            <w:r>
              <w:rPr>
                <w:highlight w:val="none"/>
              </w:rPr>
            </w:r>
            <w:r/>
          </w:p>
        </w:tc>
        <w:tc>
          <w:tcPr>
            <w:tcW w:w="773" w:type="dxa"/>
            <w:vAlign w:val="center"/>
            <w:textDirection w:val="lrTb"/>
            <w:noWrap w:val="false"/>
          </w:tcPr>
          <w:p>
            <w:pPr>
              <w:jc w:val="center"/>
              <w:rPr>
                <w:highlight w:val="none"/>
              </w:rPr>
            </w:pPr>
            <w:r>
              <w:rPr>
                <w:highlight w:val="none"/>
              </w:rPr>
            </w:r>
            <w:r/>
          </w:p>
        </w:tc>
        <w:tc>
          <w:tcPr>
            <w:tcW w:w="973" w:type="dxa"/>
            <w:vAlign w:val="center"/>
            <w:textDirection w:val="lrTb"/>
            <w:noWrap w:val="false"/>
          </w:tcPr>
          <w:p>
            <w:pPr>
              <w:jc w:val="center"/>
              <w:rPr>
                <w:highlight w:val="none"/>
              </w:rPr>
            </w:pPr>
            <w:r>
              <w:rPr>
                <w:highlight w:val="none"/>
              </w:rPr>
            </w:r>
            <w:r/>
          </w:p>
        </w:tc>
        <w:tc>
          <w:tcPr>
            <w:tcW w:w="1108" w:type="dxa"/>
            <w:vAlign w:val="center"/>
            <w:textDirection w:val="lrTb"/>
            <w:noWrap w:val="false"/>
          </w:tcPr>
          <w:p>
            <w:pPr>
              <w:jc w:val="center"/>
              <w:rPr>
                <w:highlight w:val="none"/>
              </w:rPr>
            </w:pPr>
            <w:r>
              <w:rPr>
                <w:highlight w:val="none"/>
              </w:rPr>
            </w:r>
            <w:r/>
          </w:p>
        </w:tc>
        <w:tc>
          <w:tcPr>
            <w:tcW w:w="785" w:type="dxa"/>
            <w:vAlign w:val="center"/>
            <w:textDirection w:val="lrTb"/>
            <w:noWrap w:val="false"/>
          </w:tcPr>
          <w:p>
            <w:pPr>
              <w:jc w:val="center"/>
              <w:rPr>
                <w:highlight w:val="none"/>
              </w:rPr>
            </w:pPr>
            <w:r>
              <w:rPr>
                <w:highlight w:val="none"/>
              </w:rPr>
            </w:r>
            <w:r/>
          </w:p>
        </w:tc>
        <w:tc>
          <w:tcPr>
            <w:tcW w:w="1257" w:type="dxa"/>
            <w:vAlign w:val="center"/>
            <w:textDirection w:val="lrTb"/>
            <w:noWrap w:val="false"/>
          </w:tcPr>
          <w:p>
            <w:pPr>
              <w:jc w:val="center"/>
              <w:rPr>
                <w:highlight w:val="none"/>
              </w:rPr>
            </w:pPr>
            <w:r>
              <w:rPr>
                <w:highlight w:val="none"/>
              </w:rPr>
            </w:r>
            <w:r/>
          </w:p>
        </w:tc>
        <w:tc>
          <w:tcPr>
            <w:tcW w:w="658" w:type="dxa"/>
            <w:vAlign w:val="center"/>
            <w:textDirection w:val="lrTb"/>
            <w:noWrap w:val="false"/>
          </w:tcPr>
          <w:p>
            <w:pPr>
              <w:jc w:val="center"/>
              <w:rPr>
                <w:highlight w:val="none"/>
              </w:rPr>
            </w:pPr>
            <w:r>
              <w:rPr>
                <w:highlight w:val="none"/>
              </w:rPr>
            </w:r>
            <w:r/>
          </w:p>
        </w:tc>
      </w:tr>
      <w:tr>
        <w:trPr>
          <w:jc w:val="center"/>
          <w:trHeight w:val="465"/>
        </w:trPr>
        <w:tc>
          <w:tcPr>
            <w:tcW w:w="681" w:type="dxa"/>
            <w:vAlign w:val="center"/>
            <w:textDirection w:val="lrTb"/>
            <w:noWrap w:val="false"/>
          </w:tcPr>
          <w:p>
            <w:pPr>
              <w:jc w:val="center"/>
              <w:rPr>
                <w:highlight w:val="none"/>
              </w:rPr>
            </w:pPr>
            <w:r>
              <w:rPr>
                <w:highlight w:val="none"/>
              </w:rPr>
            </w:r>
            <w:r/>
          </w:p>
        </w:tc>
        <w:tc>
          <w:tcPr>
            <w:tcW w:w="1225" w:type="dxa"/>
            <w:vAlign w:val="center"/>
            <w:textDirection w:val="lrTb"/>
            <w:noWrap w:val="false"/>
          </w:tcPr>
          <w:p>
            <w:pPr>
              <w:jc w:val="center"/>
              <w:rPr>
                <w:highlight w:val="none"/>
              </w:rPr>
            </w:pPr>
            <w:r>
              <w:rPr>
                <w:highlight w:val="none"/>
              </w:rPr>
            </w:r>
            <w:r/>
          </w:p>
        </w:tc>
        <w:tc>
          <w:tcPr>
            <w:tcW w:w="790" w:type="dxa"/>
            <w:vAlign w:val="center"/>
            <w:textDirection w:val="lrTb"/>
            <w:noWrap w:val="false"/>
          </w:tcPr>
          <w:p>
            <w:pPr>
              <w:jc w:val="center"/>
              <w:rPr>
                <w:highlight w:val="none"/>
              </w:rPr>
            </w:pPr>
            <w:r>
              <w:rPr>
                <w:highlight w:val="none"/>
              </w:rPr>
            </w:r>
            <w:r/>
          </w:p>
        </w:tc>
        <w:tc>
          <w:tcPr>
            <w:tcW w:w="773" w:type="dxa"/>
            <w:vAlign w:val="center"/>
            <w:textDirection w:val="lrTb"/>
            <w:noWrap w:val="false"/>
          </w:tcPr>
          <w:p>
            <w:pPr>
              <w:jc w:val="center"/>
              <w:rPr>
                <w:highlight w:val="none"/>
              </w:rPr>
            </w:pPr>
            <w:r>
              <w:rPr>
                <w:highlight w:val="none"/>
              </w:rPr>
            </w:r>
            <w:r/>
          </w:p>
        </w:tc>
        <w:tc>
          <w:tcPr>
            <w:tcW w:w="973" w:type="dxa"/>
            <w:vAlign w:val="center"/>
            <w:textDirection w:val="lrTb"/>
            <w:noWrap w:val="false"/>
          </w:tcPr>
          <w:p>
            <w:pPr>
              <w:jc w:val="center"/>
              <w:rPr>
                <w:highlight w:val="none"/>
              </w:rPr>
            </w:pPr>
            <w:r>
              <w:rPr>
                <w:highlight w:val="none"/>
              </w:rPr>
            </w:r>
            <w:r/>
          </w:p>
        </w:tc>
        <w:tc>
          <w:tcPr>
            <w:tcW w:w="1108" w:type="dxa"/>
            <w:vAlign w:val="center"/>
            <w:textDirection w:val="lrTb"/>
            <w:noWrap w:val="false"/>
          </w:tcPr>
          <w:p>
            <w:pPr>
              <w:jc w:val="center"/>
              <w:rPr>
                <w:highlight w:val="none"/>
              </w:rPr>
            </w:pPr>
            <w:r>
              <w:rPr>
                <w:highlight w:val="none"/>
              </w:rPr>
            </w:r>
            <w:r/>
          </w:p>
        </w:tc>
        <w:tc>
          <w:tcPr>
            <w:tcW w:w="785" w:type="dxa"/>
            <w:vAlign w:val="center"/>
            <w:textDirection w:val="lrTb"/>
            <w:noWrap w:val="false"/>
          </w:tcPr>
          <w:p>
            <w:pPr>
              <w:jc w:val="center"/>
              <w:rPr>
                <w:highlight w:val="none"/>
              </w:rPr>
            </w:pPr>
            <w:r>
              <w:rPr>
                <w:highlight w:val="none"/>
              </w:rPr>
            </w:r>
            <w:r/>
          </w:p>
        </w:tc>
        <w:tc>
          <w:tcPr>
            <w:tcW w:w="1257" w:type="dxa"/>
            <w:vAlign w:val="center"/>
            <w:textDirection w:val="lrTb"/>
            <w:noWrap w:val="false"/>
          </w:tcPr>
          <w:p>
            <w:pPr>
              <w:jc w:val="center"/>
              <w:rPr>
                <w:highlight w:val="none"/>
              </w:rPr>
            </w:pPr>
            <w:r>
              <w:rPr>
                <w:highlight w:val="none"/>
              </w:rPr>
            </w:r>
            <w:r/>
          </w:p>
        </w:tc>
        <w:tc>
          <w:tcPr>
            <w:tcW w:w="658" w:type="dxa"/>
            <w:vAlign w:val="center"/>
            <w:textDirection w:val="lrTb"/>
            <w:noWrap w:val="false"/>
          </w:tcPr>
          <w:p>
            <w:pPr>
              <w:jc w:val="center"/>
              <w:rPr>
                <w:highlight w:val="none"/>
              </w:rPr>
            </w:pPr>
            <w:r>
              <w:rPr>
                <w:highlight w:val="none"/>
              </w:rPr>
            </w:r>
            <w:r/>
          </w:p>
        </w:tc>
      </w:tr>
      <w:tr>
        <w:trPr>
          <w:jc w:val="center"/>
          <w:trHeight w:val="465"/>
        </w:trPr>
        <w:tc>
          <w:tcPr>
            <w:tcW w:w="681" w:type="dxa"/>
            <w:vAlign w:val="center"/>
            <w:textDirection w:val="lrTb"/>
            <w:noWrap w:val="false"/>
          </w:tcPr>
          <w:p>
            <w:pPr>
              <w:jc w:val="center"/>
              <w:rPr>
                <w:highlight w:val="none"/>
              </w:rPr>
            </w:pPr>
            <w:r>
              <w:rPr>
                <w:highlight w:val="none"/>
              </w:rPr>
            </w:r>
            <w:r/>
          </w:p>
        </w:tc>
        <w:tc>
          <w:tcPr>
            <w:tcW w:w="1225" w:type="dxa"/>
            <w:vAlign w:val="center"/>
            <w:textDirection w:val="lrTb"/>
            <w:noWrap w:val="false"/>
          </w:tcPr>
          <w:p>
            <w:pPr>
              <w:jc w:val="center"/>
              <w:rPr>
                <w:highlight w:val="none"/>
              </w:rPr>
            </w:pPr>
            <w:r>
              <w:rPr>
                <w:highlight w:val="none"/>
              </w:rPr>
            </w:r>
            <w:r/>
          </w:p>
        </w:tc>
        <w:tc>
          <w:tcPr>
            <w:tcW w:w="790" w:type="dxa"/>
            <w:vAlign w:val="center"/>
            <w:textDirection w:val="lrTb"/>
            <w:noWrap w:val="false"/>
          </w:tcPr>
          <w:p>
            <w:pPr>
              <w:jc w:val="center"/>
              <w:rPr>
                <w:highlight w:val="none"/>
              </w:rPr>
            </w:pPr>
            <w:r>
              <w:rPr>
                <w:highlight w:val="none"/>
              </w:rPr>
            </w:r>
            <w:r/>
          </w:p>
        </w:tc>
        <w:tc>
          <w:tcPr>
            <w:tcW w:w="773" w:type="dxa"/>
            <w:vAlign w:val="center"/>
            <w:textDirection w:val="lrTb"/>
            <w:noWrap w:val="false"/>
          </w:tcPr>
          <w:p>
            <w:pPr>
              <w:jc w:val="center"/>
              <w:rPr>
                <w:highlight w:val="none"/>
              </w:rPr>
            </w:pPr>
            <w:r>
              <w:rPr>
                <w:highlight w:val="none"/>
              </w:rPr>
            </w:r>
            <w:r/>
          </w:p>
        </w:tc>
        <w:tc>
          <w:tcPr>
            <w:tcW w:w="973" w:type="dxa"/>
            <w:vAlign w:val="center"/>
            <w:textDirection w:val="lrTb"/>
            <w:noWrap w:val="false"/>
          </w:tcPr>
          <w:p>
            <w:pPr>
              <w:jc w:val="center"/>
              <w:rPr>
                <w:highlight w:val="none"/>
              </w:rPr>
            </w:pPr>
            <w:r>
              <w:rPr>
                <w:highlight w:val="none"/>
              </w:rPr>
            </w:r>
            <w:r/>
          </w:p>
        </w:tc>
        <w:tc>
          <w:tcPr>
            <w:tcW w:w="1108" w:type="dxa"/>
            <w:vAlign w:val="center"/>
            <w:textDirection w:val="lrTb"/>
            <w:noWrap w:val="false"/>
          </w:tcPr>
          <w:p>
            <w:pPr>
              <w:jc w:val="center"/>
              <w:rPr>
                <w:highlight w:val="none"/>
              </w:rPr>
            </w:pPr>
            <w:r>
              <w:rPr>
                <w:highlight w:val="none"/>
              </w:rPr>
            </w:r>
            <w:r/>
          </w:p>
        </w:tc>
        <w:tc>
          <w:tcPr>
            <w:tcW w:w="785" w:type="dxa"/>
            <w:vAlign w:val="center"/>
            <w:textDirection w:val="lrTb"/>
            <w:noWrap w:val="false"/>
          </w:tcPr>
          <w:p>
            <w:pPr>
              <w:jc w:val="center"/>
              <w:rPr>
                <w:highlight w:val="none"/>
              </w:rPr>
            </w:pPr>
            <w:r>
              <w:rPr>
                <w:highlight w:val="none"/>
              </w:rPr>
            </w:r>
            <w:r/>
          </w:p>
        </w:tc>
        <w:tc>
          <w:tcPr>
            <w:tcW w:w="1257" w:type="dxa"/>
            <w:vAlign w:val="center"/>
            <w:textDirection w:val="lrTb"/>
            <w:noWrap w:val="false"/>
          </w:tcPr>
          <w:p>
            <w:pPr>
              <w:jc w:val="center"/>
              <w:rPr>
                <w:highlight w:val="none"/>
              </w:rPr>
            </w:pPr>
            <w:r>
              <w:rPr>
                <w:highlight w:val="none"/>
              </w:rPr>
            </w:r>
            <w:r/>
          </w:p>
        </w:tc>
        <w:tc>
          <w:tcPr>
            <w:tcW w:w="658" w:type="dxa"/>
            <w:vAlign w:val="center"/>
            <w:textDirection w:val="lrTb"/>
            <w:noWrap w:val="false"/>
          </w:tcPr>
          <w:p>
            <w:pPr>
              <w:jc w:val="center"/>
              <w:rPr>
                <w:highlight w:val="none"/>
              </w:rPr>
            </w:pPr>
            <w:r>
              <w:rPr>
                <w:highlight w:val="none"/>
              </w:rPr>
            </w:r>
            <w:r/>
          </w:p>
        </w:tc>
      </w:tr>
      <w:tr>
        <w:trPr>
          <w:jc w:val="center"/>
          <w:trHeight w:val="465"/>
        </w:trPr>
        <w:tc>
          <w:tcPr>
            <w:tcW w:w="681" w:type="dxa"/>
            <w:vAlign w:val="center"/>
            <w:textDirection w:val="lrTb"/>
            <w:noWrap w:val="false"/>
          </w:tcPr>
          <w:p>
            <w:pPr>
              <w:jc w:val="center"/>
              <w:rPr>
                <w:highlight w:val="none"/>
              </w:rPr>
            </w:pPr>
            <w:r>
              <w:rPr>
                <w:highlight w:val="none"/>
              </w:rPr>
            </w:r>
            <w:r/>
          </w:p>
        </w:tc>
        <w:tc>
          <w:tcPr>
            <w:tcW w:w="1225" w:type="dxa"/>
            <w:vAlign w:val="center"/>
            <w:textDirection w:val="lrTb"/>
            <w:noWrap w:val="false"/>
          </w:tcPr>
          <w:p>
            <w:pPr>
              <w:jc w:val="center"/>
              <w:rPr>
                <w:highlight w:val="none"/>
              </w:rPr>
            </w:pPr>
            <w:r>
              <w:rPr>
                <w:highlight w:val="none"/>
              </w:rPr>
            </w:r>
            <w:r/>
          </w:p>
        </w:tc>
        <w:tc>
          <w:tcPr>
            <w:tcW w:w="790" w:type="dxa"/>
            <w:vAlign w:val="center"/>
            <w:textDirection w:val="lrTb"/>
            <w:noWrap w:val="false"/>
          </w:tcPr>
          <w:p>
            <w:pPr>
              <w:jc w:val="center"/>
              <w:rPr>
                <w:highlight w:val="none"/>
              </w:rPr>
            </w:pPr>
            <w:r>
              <w:rPr>
                <w:highlight w:val="none"/>
              </w:rPr>
            </w:r>
            <w:r/>
          </w:p>
        </w:tc>
        <w:tc>
          <w:tcPr>
            <w:tcW w:w="773" w:type="dxa"/>
            <w:vAlign w:val="center"/>
            <w:textDirection w:val="lrTb"/>
            <w:noWrap w:val="false"/>
          </w:tcPr>
          <w:p>
            <w:pPr>
              <w:jc w:val="center"/>
              <w:rPr>
                <w:highlight w:val="none"/>
              </w:rPr>
            </w:pPr>
            <w:r>
              <w:rPr>
                <w:highlight w:val="none"/>
              </w:rPr>
            </w:r>
            <w:r/>
          </w:p>
        </w:tc>
        <w:tc>
          <w:tcPr>
            <w:tcW w:w="973" w:type="dxa"/>
            <w:vAlign w:val="center"/>
            <w:textDirection w:val="lrTb"/>
            <w:noWrap w:val="false"/>
          </w:tcPr>
          <w:p>
            <w:pPr>
              <w:jc w:val="center"/>
              <w:rPr>
                <w:highlight w:val="none"/>
              </w:rPr>
            </w:pPr>
            <w:r>
              <w:rPr>
                <w:highlight w:val="none"/>
              </w:rPr>
            </w:r>
            <w:r/>
          </w:p>
        </w:tc>
        <w:tc>
          <w:tcPr>
            <w:tcW w:w="1108" w:type="dxa"/>
            <w:vAlign w:val="center"/>
            <w:textDirection w:val="lrTb"/>
            <w:noWrap w:val="false"/>
          </w:tcPr>
          <w:p>
            <w:pPr>
              <w:jc w:val="center"/>
              <w:rPr>
                <w:highlight w:val="none"/>
              </w:rPr>
            </w:pPr>
            <w:r>
              <w:rPr>
                <w:highlight w:val="none"/>
              </w:rPr>
            </w:r>
            <w:r/>
          </w:p>
        </w:tc>
        <w:tc>
          <w:tcPr>
            <w:tcW w:w="785" w:type="dxa"/>
            <w:vAlign w:val="center"/>
            <w:textDirection w:val="lrTb"/>
            <w:noWrap w:val="false"/>
          </w:tcPr>
          <w:p>
            <w:pPr>
              <w:jc w:val="center"/>
              <w:rPr>
                <w:highlight w:val="none"/>
              </w:rPr>
            </w:pPr>
            <w:r>
              <w:rPr>
                <w:highlight w:val="none"/>
              </w:rPr>
            </w:r>
            <w:r/>
          </w:p>
        </w:tc>
        <w:tc>
          <w:tcPr>
            <w:tcW w:w="1257" w:type="dxa"/>
            <w:vAlign w:val="center"/>
            <w:textDirection w:val="lrTb"/>
            <w:noWrap w:val="false"/>
          </w:tcPr>
          <w:p>
            <w:pPr>
              <w:jc w:val="center"/>
              <w:rPr>
                <w:highlight w:val="none"/>
              </w:rPr>
            </w:pPr>
            <w:r>
              <w:rPr>
                <w:highlight w:val="none"/>
              </w:rPr>
            </w:r>
            <w:r/>
          </w:p>
        </w:tc>
        <w:tc>
          <w:tcPr>
            <w:tcW w:w="658" w:type="dxa"/>
            <w:vAlign w:val="center"/>
            <w:textDirection w:val="lrTb"/>
            <w:noWrap w:val="false"/>
          </w:tcPr>
          <w:p>
            <w:pPr>
              <w:jc w:val="center"/>
              <w:rPr>
                <w:highlight w:val="none"/>
              </w:rPr>
            </w:pPr>
            <w:r>
              <w:rPr>
                <w:highlight w:val="none"/>
              </w:rPr>
            </w:r>
            <w:r/>
          </w:p>
        </w:tc>
      </w:tr>
      <w:tr>
        <w:trPr>
          <w:jc w:val="center"/>
          <w:trHeight w:val="450"/>
        </w:trPr>
        <w:tc>
          <w:tcPr>
            <w:tcW w:w="681" w:type="dxa"/>
            <w:vAlign w:val="center"/>
            <w:textDirection w:val="lrTb"/>
            <w:noWrap w:val="false"/>
          </w:tcPr>
          <w:p>
            <w:pPr>
              <w:jc w:val="center"/>
              <w:rPr>
                <w:highlight w:val="none"/>
              </w:rPr>
            </w:pPr>
            <w:r>
              <w:rPr>
                <w:highlight w:val="none"/>
              </w:rPr>
            </w:r>
            <w:r/>
          </w:p>
        </w:tc>
        <w:tc>
          <w:tcPr>
            <w:tcW w:w="1225" w:type="dxa"/>
            <w:vAlign w:val="center"/>
            <w:textDirection w:val="lrTb"/>
            <w:noWrap w:val="false"/>
          </w:tcPr>
          <w:p>
            <w:pPr>
              <w:jc w:val="center"/>
              <w:rPr>
                <w:highlight w:val="none"/>
              </w:rPr>
            </w:pPr>
            <w:r>
              <w:rPr>
                <w:highlight w:val="none"/>
              </w:rPr>
            </w:r>
            <w:r/>
          </w:p>
        </w:tc>
        <w:tc>
          <w:tcPr>
            <w:tcW w:w="790" w:type="dxa"/>
            <w:vAlign w:val="center"/>
            <w:textDirection w:val="lrTb"/>
            <w:noWrap w:val="false"/>
          </w:tcPr>
          <w:p>
            <w:pPr>
              <w:jc w:val="center"/>
              <w:rPr>
                <w:highlight w:val="none"/>
              </w:rPr>
            </w:pPr>
            <w:r>
              <w:rPr>
                <w:highlight w:val="none"/>
              </w:rPr>
            </w:r>
            <w:r/>
          </w:p>
        </w:tc>
        <w:tc>
          <w:tcPr>
            <w:tcW w:w="773" w:type="dxa"/>
            <w:vAlign w:val="center"/>
            <w:textDirection w:val="lrTb"/>
            <w:noWrap w:val="false"/>
          </w:tcPr>
          <w:p>
            <w:pPr>
              <w:jc w:val="center"/>
              <w:rPr>
                <w:highlight w:val="none"/>
              </w:rPr>
            </w:pPr>
            <w:r>
              <w:rPr>
                <w:highlight w:val="none"/>
              </w:rPr>
            </w:r>
            <w:r/>
          </w:p>
        </w:tc>
        <w:tc>
          <w:tcPr>
            <w:tcW w:w="973" w:type="dxa"/>
            <w:vAlign w:val="center"/>
            <w:textDirection w:val="lrTb"/>
            <w:noWrap w:val="false"/>
          </w:tcPr>
          <w:p>
            <w:pPr>
              <w:jc w:val="center"/>
              <w:rPr>
                <w:highlight w:val="none"/>
              </w:rPr>
            </w:pPr>
            <w:r>
              <w:rPr>
                <w:highlight w:val="none"/>
              </w:rPr>
            </w:r>
            <w:r/>
          </w:p>
        </w:tc>
        <w:tc>
          <w:tcPr>
            <w:tcW w:w="1108" w:type="dxa"/>
            <w:vAlign w:val="center"/>
            <w:textDirection w:val="lrTb"/>
            <w:noWrap w:val="false"/>
          </w:tcPr>
          <w:p>
            <w:pPr>
              <w:jc w:val="center"/>
              <w:rPr>
                <w:highlight w:val="none"/>
              </w:rPr>
            </w:pPr>
            <w:r>
              <w:rPr>
                <w:highlight w:val="none"/>
              </w:rPr>
            </w:r>
            <w:r/>
          </w:p>
        </w:tc>
        <w:tc>
          <w:tcPr>
            <w:tcW w:w="785" w:type="dxa"/>
            <w:vAlign w:val="center"/>
            <w:textDirection w:val="lrTb"/>
            <w:noWrap w:val="false"/>
          </w:tcPr>
          <w:p>
            <w:pPr>
              <w:jc w:val="center"/>
              <w:rPr>
                <w:highlight w:val="none"/>
              </w:rPr>
            </w:pPr>
            <w:r>
              <w:rPr>
                <w:highlight w:val="none"/>
              </w:rPr>
            </w:r>
            <w:r/>
          </w:p>
        </w:tc>
        <w:tc>
          <w:tcPr>
            <w:tcW w:w="1257" w:type="dxa"/>
            <w:vAlign w:val="center"/>
            <w:textDirection w:val="lrTb"/>
            <w:noWrap w:val="false"/>
          </w:tcPr>
          <w:p>
            <w:pPr>
              <w:jc w:val="center"/>
              <w:rPr>
                <w:highlight w:val="none"/>
              </w:rPr>
            </w:pPr>
            <w:r>
              <w:rPr>
                <w:highlight w:val="none"/>
              </w:rPr>
            </w:r>
            <w:r/>
          </w:p>
        </w:tc>
        <w:tc>
          <w:tcPr>
            <w:tcW w:w="658" w:type="dxa"/>
            <w:vAlign w:val="center"/>
            <w:textDirection w:val="lrTb"/>
            <w:noWrap w:val="false"/>
          </w:tcPr>
          <w:p>
            <w:pPr>
              <w:jc w:val="center"/>
              <w:rPr>
                <w:highlight w:val="none"/>
              </w:rPr>
            </w:pPr>
            <w:r>
              <w:rPr>
                <w:highlight w:val="none"/>
              </w:rPr>
            </w:r>
            <w:r/>
          </w:p>
        </w:tc>
      </w:tr>
    </w:tbl>
    <w:p>
      <w:pPr>
        <w:spacing w:line="360" w:lineRule="auto"/>
        <w:rPr>
          <w:highlight w:val="none"/>
        </w:rPr>
      </w:pPr>
      <w:r>
        <w:rPr>
          <w:highlight w:val="none"/>
        </w:rPr>
      </w:r>
      <w:r/>
    </w:p>
    <w:p>
      <w:pPr>
        <w:spacing w:line="360" w:lineRule="auto"/>
        <w:rPr>
          <w:highlight w:val="none"/>
        </w:rPr>
      </w:pPr>
      <w:r>
        <w:rPr>
          <w:highlight w:val="none"/>
        </w:rPr>
        <w:t xml:space="preserve">供应商名称：</w:t>
      </w:r>
      <w:r>
        <w:rPr>
          <w:highlight w:val="none"/>
          <w:u w:val="single"/>
        </w:rPr>
        <w:t xml:space="preserve">                                 </w:t>
      </w:r>
      <w:r>
        <w:rPr>
          <w:highlight w:val="none"/>
        </w:rPr>
        <w:t xml:space="preserve">（盖章）</w:t>
      </w:r>
      <w:r/>
    </w:p>
    <w:p>
      <w:pPr>
        <w:spacing w:line="360" w:lineRule="auto"/>
        <w:rPr>
          <w:highlight w:val="none"/>
        </w:rPr>
      </w:pPr>
      <w:r>
        <w:rPr>
          <w:highlight w:val="none"/>
        </w:rPr>
      </w:r>
      <w:r/>
    </w:p>
    <w:p>
      <w:pPr>
        <w:spacing w:line="360" w:lineRule="auto"/>
        <w:rPr>
          <w:highlight w:val="none"/>
        </w:rPr>
      </w:pPr>
      <w:r>
        <w:rPr>
          <w:highlight w:val="none"/>
        </w:rPr>
        <w:t xml:space="preserve">说明：</w:t>
      </w:r>
      <w:r/>
    </w:p>
    <w:p>
      <w:pPr>
        <w:spacing w:line="360" w:lineRule="auto"/>
        <w:rPr>
          <w:highlight w:val="none"/>
        </w:rPr>
      </w:pPr>
      <w:r>
        <w:rPr>
          <w:highlight w:val="none"/>
        </w:rPr>
        <w:t xml:space="preserve">1、此表仅供参考，可根据需要自行调整。</w:t>
      </w:r>
      <w:r/>
    </w:p>
    <w:p>
      <w:pPr>
        <w:spacing w:line="360" w:lineRule="auto"/>
        <w:rPr>
          <w:highlight w:val="none"/>
        </w:rPr>
      </w:pPr>
      <w:r>
        <w:rPr>
          <w:highlight w:val="none"/>
        </w:rPr>
        <w:t xml:space="preserve">2、提供以上人员的身份证、相关专业、职称或执业资格等证明材料。证明材料按采购文件要求按序作为本表附页附后。</w:t>
      </w:r>
      <w:r/>
    </w:p>
    <w:p>
      <w:pPr>
        <w:rPr>
          <w:sz w:val="28"/>
          <w:highlight w:val="none"/>
        </w:rPr>
      </w:pPr>
      <w:r>
        <w:rPr>
          <w:highlight w:val="none"/>
        </w:rPr>
        <w:br w:type="page" w:clear="all"/>
      </w:r>
      <w:bookmarkEnd w:id="39"/>
      <w:r/>
      <w:r/>
    </w:p>
    <w:p>
      <w:pPr>
        <w:spacing w:line="360" w:lineRule="auto"/>
        <w:rPr>
          <w:sz w:val="28"/>
          <w:highlight w:val="none"/>
        </w:rPr>
      </w:pPr>
      <w:r>
        <w:rPr>
          <w:sz w:val="28"/>
          <w:highlight w:val="none"/>
        </w:rPr>
        <w:t xml:space="preserve">9、同类项目合同价格情况表及证明材料</w:t>
      </w:r>
      <w:r/>
    </w:p>
    <w:p>
      <w:pPr>
        <w:jc w:val="center"/>
        <w:spacing w:line="360" w:lineRule="auto"/>
        <w:rPr>
          <w:b/>
          <w:sz w:val="32"/>
          <w:highlight w:val="none"/>
        </w:rPr>
      </w:pPr>
      <w:r>
        <w:rPr>
          <w:b/>
          <w:sz w:val="32"/>
          <w:highlight w:val="none"/>
        </w:rPr>
        <w:t xml:space="preserve">同类项目合同价格情况表</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85"/>
        <w:gridCol w:w="1253"/>
        <w:gridCol w:w="1134"/>
        <w:gridCol w:w="1214"/>
        <w:gridCol w:w="1336"/>
        <w:gridCol w:w="1136"/>
      </w:tblGrid>
      <w:tr>
        <w:trPr>
          <w:jc w:val="center"/>
          <w:trHeight w:val="633"/>
        </w:trPr>
        <w:tc>
          <w:tcPr>
            <w:tcW w:w="766" w:type="dxa"/>
            <w:vAlign w:val="center"/>
            <w:textDirection w:val="lrTb"/>
            <w:noWrap w:val="false"/>
          </w:tcPr>
          <w:p>
            <w:pPr>
              <w:jc w:val="center"/>
              <w:rPr>
                <w:b/>
                <w:highlight w:val="none"/>
              </w:rPr>
            </w:pPr>
            <w:r>
              <w:rPr>
                <w:b/>
                <w:highlight w:val="none"/>
              </w:rPr>
              <w:t xml:space="preserve">序号</w:t>
            </w:r>
            <w:r/>
          </w:p>
        </w:tc>
        <w:tc>
          <w:tcPr>
            <w:tcW w:w="1285" w:type="dxa"/>
            <w:vAlign w:val="center"/>
            <w:textDirection w:val="lrTb"/>
            <w:noWrap w:val="false"/>
          </w:tcPr>
          <w:p>
            <w:pPr>
              <w:jc w:val="center"/>
              <w:rPr>
                <w:b/>
                <w:highlight w:val="none"/>
              </w:rPr>
            </w:pPr>
            <w:r>
              <w:rPr>
                <w:b/>
                <w:highlight w:val="none"/>
              </w:rPr>
              <w:t xml:space="preserve">项目名称</w:t>
            </w:r>
            <w:r/>
          </w:p>
        </w:tc>
        <w:tc>
          <w:tcPr>
            <w:tcW w:w="1253" w:type="dxa"/>
            <w:vAlign w:val="center"/>
            <w:textDirection w:val="lrTb"/>
            <w:noWrap w:val="false"/>
          </w:tcPr>
          <w:p>
            <w:pPr>
              <w:jc w:val="center"/>
              <w:rPr>
                <w:b/>
                <w:highlight w:val="none"/>
              </w:rPr>
            </w:pPr>
            <w:r>
              <w:rPr>
                <w:b/>
                <w:highlight w:val="none"/>
              </w:rPr>
              <w:t xml:space="preserve">业主单位</w:t>
            </w:r>
            <w:r/>
          </w:p>
        </w:tc>
        <w:tc>
          <w:tcPr>
            <w:tcW w:w="1134" w:type="dxa"/>
            <w:vAlign w:val="center"/>
            <w:textDirection w:val="lrTb"/>
            <w:noWrap w:val="false"/>
          </w:tcPr>
          <w:p>
            <w:pPr>
              <w:jc w:val="center"/>
              <w:rPr>
                <w:b/>
                <w:highlight w:val="none"/>
              </w:rPr>
            </w:pPr>
            <w:r>
              <w:rPr>
                <w:b/>
                <w:highlight w:val="none"/>
              </w:rPr>
              <w:t xml:space="preserve">业主联系方式</w:t>
            </w:r>
            <w:r/>
          </w:p>
        </w:tc>
        <w:tc>
          <w:tcPr>
            <w:tcW w:w="1214" w:type="dxa"/>
            <w:vAlign w:val="center"/>
            <w:textDirection w:val="lrTb"/>
            <w:noWrap w:val="false"/>
          </w:tcPr>
          <w:p>
            <w:pPr>
              <w:jc w:val="center"/>
              <w:rPr>
                <w:b/>
                <w:highlight w:val="none"/>
              </w:rPr>
            </w:pPr>
            <w:r>
              <w:rPr>
                <w:b/>
                <w:highlight w:val="none"/>
              </w:rPr>
              <w:t xml:space="preserve">工作主要内容</w:t>
            </w:r>
            <w:r/>
          </w:p>
        </w:tc>
        <w:tc>
          <w:tcPr>
            <w:tcW w:w="1336" w:type="dxa"/>
            <w:vAlign w:val="center"/>
            <w:textDirection w:val="lrTb"/>
            <w:noWrap w:val="false"/>
          </w:tcPr>
          <w:p>
            <w:pPr>
              <w:jc w:val="center"/>
              <w:rPr>
                <w:b/>
                <w:highlight w:val="none"/>
              </w:rPr>
            </w:pPr>
            <w:r>
              <w:rPr>
                <w:b/>
                <w:highlight w:val="none"/>
              </w:rPr>
              <w:t xml:space="preserve">合同价格</w:t>
            </w:r>
            <w:r/>
          </w:p>
          <w:p>
            <w:pPr>
              <w:jc w:val="center"/>
              <w:rPr>
                <w:b/>
                <w:highlight w:val="none"/>
              </w:rPr>
            </w:pPr>
            <w:r>
              <w:rPr>
                <w:b/>
                <w:highlight w:val="none"/>
              </w:rPr>
              <w:t xml:space="preserve">（元）</w:t>
            </w:r>
            <w:r/>
          </w:p>
        </w:tc>
        <w:tc>
          <w:tcPr>
            <w:tcW w:w="1136" w:type="dxa"/>
            <w:vAlign w:val="center"/>
            <w:textDirection w:val="lrTb"/>
            <w:noWrap w:val="false"/>
          </w:tcPr>
          <w:p>
            <w:pPr>
              <w:jc w:val="center"/>
              <w:rPr>
                <w:b/>
                <w:highlight w:val="none"/>
              </w:rPr>
            </w:pPr>
            <w:r>
              <w:rPr>
                <w:b/>
                <w:highlight w:val="none"/>
              </w:rPr>
              <w:t xml:space="preserve">备注</w:t>
            </w:r>
            <w:r/>
          </w:p>
        </w:tc>
      </w:tr>
      <w:tr>
        <w:trPr>
          <w:jc w:val="center"/>
          <w:trHeight w:val="479"/>
        </w:trPr>
        <w:tc>
          <w:tcPr>
            <w:tcW w:w="766" w:type="dxa"/>
            <w:vAlign w:val="center"/>
            <w:textDirection w:val="lrTb"/>
            <w:noWrap w:val="false"/>
          </w:tcPr>
          <w:p>
            <w:pPr>
              <w:jc w:val="center"/>
              <w:rPr>
                <w:highlight w:val="none"/>
              </w:rPr>
            </w:pPr>
            <w:r>
              <w:rPr>
                <w:highlight w:val="none"/>
              </w:rPr>
            </w:r>
            <w:r/>
          </w:p>
        </w:tc>
        <w:tc>
          <w:tcPr>
            <w:tcW w:w="1285" w:type="dxa"/>
            <w:vAlign w:val="center"/>
            <w:textDirection w:val="lrTb"/>
            <w:noWrap w:val="false"/>
          </w:tcPr>
          <w:p>
            <w:pPr>
              <w:jc w:val="center"/>
              <w:rPr>
                <w:highlight w:val="none"/>
              </w:rPr>
            </w:pPr>
            <w:r>
              <w:rPr>
                <w:highlight w:val="none"/>
              </w:rPr>
            </w:r>
            <w:r/>
          </w:p>
        </w:tc>
        <w:tc>
          <w:tcPr>
            <w:tcW w:w="1253" w:type="dxa"/>
            <w:vAlign w:val="center"/>
            <w:textDirection w:val="lrTb"/>
            <w:noWrap w:val="false"/>
          </w:tcPr>
          <w:p>
            <w:pPr>
              <w:jc w:val="center"/>
              <w:rPr>
                <w:highlight w:val="none"/>
              </w:rPr>
            </w:pPr>
            <w:r>
              <w:rPr>
                <w:highlight w:val="none"/>
              </w:rPr>
            </w:r>
            <w:r/>
          </w:p>
        </w:tc>
        <w:tc>
          <w:tcPr>
            <w:tcW w:w="1134" w:type="dxa"/>
            <w:vAlign w:val="center"/>
            <w:textDirection w:val="lrTb"/>
            <w:noWrap w:val="false"/>
          </w:tcPr>
          <w:p>
            <w:pPr>
              <w:jc w:val="center"/>
              <w:rPr>
                <w:highlight w:val="none"/>
              </w:rPr>
            </w:pPr>
            <w:r>
              <w:rPr>
                <w:highlight w:val="none"/>
              </w:rPr>
            </w:r>
            <w:r/>
          </w:p>
        </w:tc>
        <w:tc>
          <w:tcPr>
            <w:tcW w:w="1214" w:type="dxa"/>
            <w:vAlign w:val="center"/>
            <w:textDirection w:val="lrTb"/>
            <w:noWrap w:val="false"/>
          </w:tcPr>
          <w:p>
            <w:pPr>
              <w:jc w:val="center"/>
              <w:rPr>
                <w:highlight w:val="none"/>
              </w:rPr>
            </w:pPr>
            <w:r>
              <w:rPr>
                <w:highlight w:val="none"/>
              </w:rPr>
            </w:r>
            <w:r/>
          </w:p>
        </w:tc>
        <w:tc>
          <w:tcPr>
            <w:tcW w:w="1336" w:type="dxa"/>
            <w:vAlign w:val="center"/>
            <w:textDirection w:val="lrTb"/>
            <w:noWrap w:val="false"/>
          </w:tcPr>
          <w:p>
            <w:pPr>
              <w:jc w:val="center"/>
              <w:rPr>
                <w:highlight w:val="none"/>
              </w:rPr>
            </w:pPr>
            <w:r>
              <w:rPr>
                <w:highlight w:val="none"/>
              </w:rPr>
            </w:r>
            <w:r/>
          </w:p>
        </w:tc>
        <w:tc>
          <w:tcPr>
            <w:tcW w:w="1136" w:type="dxa"/>
            <w:vAlign w:val="center"/>
            <w:textDirection w:val="lrTb"/>
            <w:noWrap w:val="false"/>
          </w:tcPr>
          <w:p>
            <w:pPr>
              <w:jc w:val="center"/>
              <w:rPr>
                <w:highlight w:val="none"/>
              </w:rPr>
            </w:pPr>
            <w:r>
              <w:rPr>
                <w:highlight w:val="none"/>
              </w:rPr>
            </w:r>
            <w:r/>
          </w:p>
        </w:tc>
      </w:tr>
      <w:tr>
        <w:trPr>
          <w:jc w:val="center"/>
          <w:trHeight w:val="479"/>
        </w:trPr>
        <w:tc>
          <w:tcPr>
            <w:tcW w:w="766" w:type="dxa"/>
            <w:vAlign w:val="center"/>
            <w:textDirection w:val="lrTb"/>
            <w:noWrap w:val="false"/>
          </w:tcPr>
          <w:p>
            <w:pPr>
              <w:jc w:val="center"/>
              <w:rPr>
                <w:highlight w:val="none"/>
              </w:rPr>
            </w:pPr>
            <w:r>
              <w:rPr>
                <w:highlight w:val="none"/>
              </w:rPr>
            </w:r>
            <w:r/>
          </w:p>
        </w:tc>
        <w:tc>
          <w:tcPr>
            <w:tcW w:w="1285" w:type="dxa"/>
            <w:vAlign w:val="center"/>
            <w:textDirection w:val="lrTb"/>
            <w:noWrap w:val="false"/>
          </w:tcPr>
          <w:p>
            <w:pPr>
              <w:jc w:val="center"/>
              <w:rPr>
                <w:highlight w:val="none"/>
              </w:rPr>
            </w:pPr>
            <w:r>
              <w:rPr>
                <w:highlight w:val="none"/>
              </w:rPr>
            </w:r>
            <w:r/>
          </w:p>
        </w:tc>
        <w:tc>
          <w:tcPr>
            <w:tcW w:w="1253" w:type="dxa"/>
            <w:vAlign w:val="center"/>
            <w:textDirection w:val="lrTb"/>
            <w:noWrap w:val="false"/>
          </w:tcPr>
          <w:p>
            <w:pPr>
              <w:jc w:val="center"/>
              <w:rPr>
                <w:highlight w:val="none"/>
              </w:rPr>
            </w:pPr>
            <w:r>
              <w:rPr>
                <w:highlight w:val="none"/>
              </w:rPr>
            </w:r>
            <w:r/>
          </w:p>
        </w:tc>
        <w:tc>
          <w:tcPr>
            <w:tcW w:w="1134" w:type="dxa"/>
            <w:vAlign w:val="center"/>
            <w:textDirection w:val="lrTb"/>
            <w:noWrap w:val="false"/>
          </w:tcPr>
          <w:p>
            <w:pPr>
              <w:jc w:val="center"/>
              <w:rPr>
                <w:highlight w:val="none"/>
              </w:rPr>
            </w:pPr>
            <w:r>
              <w:rPr>
                <w:highlight w:val="none"/>
              </w:rPr>
            </w:r>
            <w:r/>
          </w:p>
        </w:tc>
        <w:tc>
          <w:tcPr>
            <w:tcW w:w="1214" w:type="dxa"/>
            <w:vAlign w:val="center"/>
            <w:textDirection w:val="lrTb"/>
            <w:noWrap w:val="false"/>
          </w:tcPr>
          <w:p>
            <w:pPr>
              <w:jc w:val="center"/>
              <w:rPr>
                <w:highlight w:val="none"/>
              </w:rPr>
            </w:pPr>
            <w:r>
              <w:rPr>
                <w:highlight w:val="none"/>
              </w:rPr>
            </w:r>
            <w:r/>
          </w:p>
        </w:tc>
        <w:tc>
          <w:tcPr>
            <w:tcW w:w="1336" w:type="dxa"/>
            <w:vAlign w:val="center"/>
            <w:textDirection w:val="lrTb"/>
            <w:noWrap w:val="false"/>
          </w:tcPr>
          <w:p>
            <w:pPr>
              <w:jc w:val="center"/>
              <w:rPr>
                <w:highlight w:val="none"/>
              </w:rPr>
            </w:pPr>
            <w:r>
              <w:rPr>
                <w:highlight w:val="none"/>
              </w:rPr>
            </w:r>
            <w:r/>
          </w:p>
        </w:tc>
        <w:tc>
          <w:tcPr>
            <w:tcW w:w="1136" w:type="dxa"/>
            <w:vAlign w:val="center"/>
            <w:textDirection w:val="lrTb"/>
            <w:noWrap w:val="false"/>
          </w:tcPr>
          <w:p>
            <w:pPr>
              <w:jc w:val="center"/>
              <w:rPr>
                <w:highlight w:val="none"/>
              </w:rPr>
            </w:pPr>
            <w:r>
              <w:rPr>
                <w:highlight w:val="none"/>
              </w:rPr>
            </w:r>
            <w:r/>
          </w:p>
        </w:tc>
      </w:tr>
      <w:tr>
        <w:trPr>
          <w:jc w:val="center"/>
          <w:trHeight w:val="479"/>
        </w:trPr>
        <w:tc>
          <w:tcPr>
            <w:tcW w:w="766" w:type="dxa"/>
            <w:vAlign w:val="center"/>
            <w:textDirection w:val="lrTb"/>
            <w:noWrap w:val="false"/>
          </w:tcPr>
          <w:p>
            <w:pPr>
              <w:jc w:val="center"/>
              <w:rPr>
                <w:highlight w:val="none"/>
              </w:rPr>
            </w:pPr>
            <w:r>
              <w:rPr>
                <w:highlight w:val="none"/>
              </w:rPr>
            </w:r>
            <w:r/>
          </w:p>
        </w:tc>
        <w:tc>
          <w:tcPr>
            <w:tcW w:w="1285" w:type="dxa"/>
            <w:vAlign w:val="center"/>
            <w:textDirection w:val="lrTb"/>
            <w:noWrap w:val="false"/>
          </w:tcPr>
          <w:p>
            <w:pPr>
              <w:jc w:val="center"/>
              <w:rPr>
                <w:highlight w:val="none"/>
              </w:rPr>
            </w:pPr>
            <w:r>
              <w:rPr>
                <w:highlight w:val="none"/>
              </w:rPr>
            </w:r>
            <w:r/>
          </w:p>
        </w:tc>
        <w:tc>
          <w:tcPr>
            <w:tcW w:w="1253" w:type="dxa"/>
            <w:vAlign w:val="center"/>
            <w:textDirection w:val="lrTb"/>
            <w:noWrap w:val="false"/>
          </w:tcPr>
          <w:p>
            <w:pPr>
              <w:jc w:val="center"/>
              <w:rPr>
                <w:highlight w:val="none"/>
              </w:rPr>
            </w:pPr>
            <w:r>
              <w:rPr>
                <w:highlight w:val="none"/>
              </w:rPr>
            </w:r>
            <w:r/>
          </w:p>
        </w:tc>
        <w:tc>
          <w:tcPr>
            <w:tcW w:w="1134" w:type="dxa"/>
            <w:vAlign w:val="center"/>
            <w:textDirection w:val="lrTb"/>
            <w:noWrap w:val="false"/>
          </w:tcPr>
          <w:p>
            <w:pPr>
              <w:jc w:val="center"/>
              <w:rPr>
                <w:highlight w:val="none"/>
              </w:rPr>
            </w:pPr>
            <w:r>
              <w:rPr>
                <w:highlight w:val="none"/>
              </w:rPr>
            </w:r>
            <w:r/>
          </w:p>
        </w:tc>
        <w:tc>
          <w:tcPr>
            <w:tcW w:w="1214" w:type="dxa"/>
            <w:vAlign w:val="center"/>
            <w:textDirection w:val="lrTb"/>
            <w:noWrap w:val="false"/>
          </w:tcPr>
          <w:p>
            <w:pPr>
              <w:jc w:val="center"/>
              <w:rPr>
                <w:highlight w:val="none"/>
              </w:rPr>
            </w:pPr>
            <w:r>
              <w:rPr>
                <w:highlight w:val="none"/>
              </w:rPr>
            </w:r>
            <w:r/>
          </w:p>
        </w:tc>
        <w:tc>
          <w:tcPr>
            <w:tcW w:w="1336" w:type="dxa"/>
            <w:vAlign w:val="center"/>
            <w:textDirection w:val="lrTb"/>
            <w:noWrap w:val="false"/>
          </w:tcPr>
          <w:p>
            <w:pPr>
              <w:jc w:val="center"/>
              <w:rPr>
                <w:highlight w:val="none"/>
              </w:rPr>
            </w:pPr>
            <w:r>
              <w:rPr>
                <w:highlight w:val="none"/>
              </w:rPr>
            </w:r>
            <w:r/>
          </w:p>
        </w:tc>
        <w:tc>
          <w:tcPr>
            <w:tcW w:w="1136" w:type="dxa"/>
            <w:vAlign w:val="center"/>
            <w:textDirection w:val="lrTb"/>
            <w:noWrap w:val="false"/>
          </w:tcPr>
          <w:p>
            <w:pPr>
              <w:jc w:val="center"/>
              <w:rPr>
                <w:highlight w:val="none"/>
              </w:rPr>
            </w:pPr>
            <w:r>
              <w:rPr>
                <w:highlight w:val="none"/>
              </w:rPr>
            </w:r>
            <w:r/>
          </w:p>
        </w:tc>
      </w:tr>
      <w:tr>
        <w:trPr>
          <w:jc w:val="center"/>
          <w:trHeight w:val="479"/>
        </w:trPr>
        <w:tc>
          <w:tcPr>
            <w:tcW w:w="766" w:type="dxa"/>
            <w:vAlign w:val="center"/>
            <w:textDirection w:val="lrTb"/>
            <w:noWrap w:val="false"/>
          </w:tcPr>
          <w:p>
            <w:pPr>
              <w:jc w:val="center"/>
              <w:rPr>
                <w:highlight w:val="none"/>
              </w:rPr>
            </w:pPr>
            <w:r>
              <w:rPr>
                <w:highlight w:val="none"/>
              </w:rPr>
            </w:r>
            <w:r/>
          </w:p>
        </w:tc>
        <w:tc>
          <w:tcPr>
            <w:tcW w:w="1285" w:type="dxa"/>
            <w:vAlign w:val="center"/>
            <w:textDirection w:val="lrTb"/>
            <w:noWrap w:val="false"/>
          </w:tcPr>
          <w:p>
            <w:pPr>
              <w:jc w:val="center"/>
              <w:rPr>
                <w:highlight w:val="none"/>
              </w:rPr>
            </w:pPr>
            <w:r>
              <w:rPr>
                <w:highlight w:val="none"/>
              </w:rPr>
            </w:r>
            <w:r/>
          </w:p>
        </w:tc>
        <w:tc>
          <w:tcPr>
            <w:tcW w:w="1253" w:type="dxa"/>
            <w:vAlign w:val="center"/>
            <w:textDirection w:val="lrTb"/>
            <w:noWrap w:val="false"/>
          </w:tcPr>
          <w:p>
            <w:pPr>
              <w:jc w:val="center"/>
              <w:rPr>
                <w:highlight w:val="none"/>
              </w:rPr>
            </w:pPr>
            <w:r>
              <w:rPr>
                <w:highlight w:val="none"/>
              </w:rPr>
            </w:r>
            <w:r/>
          </w:p>
        </w:tc>
        <w:tc>
          <w:tcPr>
            <w:tcW w:w="1134" w:type="dxa"/>
            <w:vAlign w:val="center"/>
            <w:textDirection w:val="lrTb"/>
            <w:noWrap w:val="false"/>
          </w:tcPr>
          <w:p>
            <w:pPr>
              <w:jc w:val="center"/>
              <w:rPr>
                <w:highlight w:val="none"/>
              </w:rPr>
            </w:pPr>
            <w:r>
              <w:rPr>
                <w:highlight w:val="none"/>
              </w:rPr>
            </w:r>
            <w:r/>
          </w:p>
        </w:tc>
        <w:tc>
          <w:tcPr>
            <w:tcW w:w="1214" w:type="dxa"/>
            <w:vAlign w:val="center"/>
            <w:textDirection w:val="lrTb"/>
            <w:noWrap w:val="false"/>
          </w:tcPr>
          <w:p>
            <w:pPr>
              <w:jc w:val="center"/>
              <w:rPr>
                <w:highlight w:val="none"/>
              </w:rPr>
            </w:pPr>
            <w:r>
              <w:rPr>
                <w:highlight w:val="none"/>
              </w:rPr>
            </w:r>
            <w:r/>
          </w:p>
        </w:tc>
        <w:tc>
          <w:tcPr>
            <w:tcW w:w="1336" w:type="dxa"/>
            <w:vAlign w:val="center"/>
            <w:textDirection w:val="lrTb"/>
            <w:noWrap w:val="false"/>
          </w:tcPr>
          <w:p>
            <w:pPr>
              <w:jc w:val="center"/>
              <w:rPr>
                <w:highlight w:val="none"/>
              </w:rPr>
            </w:pPr>
            <w:r>
              <w:rPr>
                <w:highlight w:val="none"/>
              </w:rPr>
            </w:r>
            <w:r/>
          </w:p>
        </w:tc>
        <w:tc>
          <w:tcPr>
            <w:tcW w:w="1136" w:type="dxa"/>
            <w:vAlign w:val="center"/>
            <w:textDirection w:val="lrTb"/>
            <w:noWrap w:val="false"/>
          </w:tcPr>
          <w:p>
            <w:pPr>
              <w:jc w:val="center"/>
              <w:rPr>
                <w:highlight w:val="none"/>
              </w:rPr>
            </w:pPr>
            <w:r>
              <w:rPr>
                <w:highlight w:val="none"/>
              </w:rPr>
            </w:r>
            <w:r/>
          </w:p>
        </w:tc>
      </w:tr>
      <w:tr>
        <w:trPr>
          <w:jc w:val="center"/>
          <w:trHeight w:val="479"/>
        </w:trPr>
        <w:tc>
          <w:tcPr>
            <w:tcW w:w="766" w:type="dxa"/>
            <w:vAlign w:val="center"/>
            <w:textDirection w:val="lrTb"/>
            <w:noWrap w:val="false"/>
          </w:tcPr>
          <w:p>
            <w:pPr>
              <w:jc w:val="center"/>
              <w:rPr>
                <w:highlight w:val="none"/>
              </w:rPr>
            </w:pPr>
            <w:r>
              <w:rPr>
                <w:highlight w:val="none"/>
              </w:rPr>
            </w:r>
            <w:r/>
          </w:p>
        </w:tc>
        <w:tc>
          <w:tcPr>
            <w:tcW w:w="1285" w:type="dxa"/>
            <w:vAlign w:val="center"/>
            <w:textDirection w:val="lrTb"/>
            <w:noWrap w:val="false"/>
          </w:tcPr>
          <w:p>
            <w:pPr>
              <w:jc w:val="center"/>
              <w:rPr>
                <w:highlight w:val="none"/>
              </w:rPr>
            </w:pPr>
            <w:r>
              <w:rPr>
                <w:highlight w:val="none"/>
              </w:rPr>
            </w:r>
            <w:r/>
          </w:p>
        </w:tc>
        <w:tc>
          <w:tcPr>
            <w:tcW w:w="1253" w:type="dxa"/>
            <w:vAlign w:val="center"/>
            <w:textDirection w:val="lrTb"/>
            <w:noWrap w:val="false"/>
          </w:tcPr>
          <w:p>
            <w:pPr>
              <w:jc w:val="center"/>
              <w:rPr>
                <w:highlight w:val="none"/>
              </w:rPr>
            </w:pPr>
            <w:r>
              <w:rPr>
                <w:highlight w:val="none"/>
              </w:rPr>
            </w:r>
            <w:r/>
          </w:p>
        </w:tc>
        <w:tc>
          <w:tcPr>
            <w:tcW w:w="1134" w:type="dxa"/>
            <w:vAlign w:val="center"/>
            <w:textDirection w:val="lrTb"/>
            <w:noWrap w:val="false"/>
          </w:tcPr>
          <w:p>
            <w:pPr>
              <w:jc w:val="center"/>
              <w:rPr>
                <w:highlight w:val="none"/>
              </w:rPr>
            </w:pPr>
            <w:r>
              <w:rPr>
                <w:highlight w:val="none"/>
              </w:rPr>
            </w:r>
            <w:r/>
          </w:p>
        </w:tc>
        <w:tc>
          <w:tcPr>
            <w:tcW w:w="1214" w:type="dxa"/>
            <w:vAlign w:val="center"/>
            <w:textDirection w:val="lrTb"/>
            <w:noWrap w:val="false"/>
          </w:tcPr>
          <w:p>
            <w:pPr>
              <w:jc w:val="center"/>
              <w:rPr>
                <w:highlight w:val="none"/>
              </w:rPr>
            </w:pPr>
            <w:r>
              <w:rPr>
                <w:highlight w:val="none"/>
              </w:rPr>
            </w:r>
            <w:r/>
          </w:p>
        </w:tc>
        <w:tc>
          <w:tcPr>
            <w:tcW w:w="1336" w:type="dxa"/>
            <w:vAlign w:val="center"/>
            <w:textDirection w:val="lrTb"/>
            <w:noWrap w:val="false"/>
          </w:tcPr>
          <w:p>
            <w:pPr>
              <w:jc w:val="center"/>
              <w:rPr>
                <w:highlight w:val="none"/>
              </w:rPr>
            </w:pPr>
            <w:r>
              <w:rPr>
                <w:highlight w:val="none"/>
              </w:rPr>
            </w:r>
            <w:r/>
          </w:p>
        </w:tc>
        <w:tc>
          <w:tcPr>
            <w:tcW w:w="1136" w:type="dxa"/>
            <w:vAlign w:val="center"/>
            <w:textDirection w:val="lrTb"/>
            <w:noWrap w:val="false"/>
          </w:tcPr>
          <w:p>
            <w:pPr>
              <w:jc w:val="center"/>
              <w:rPr>
                <w:highlight w:val="none"/>
              </w:rPr>
            </w:pPr>
            <w:r>
              <w:rPr>
                <w:highlight w:val="none"/>
              </w:rPr>
            </w:r>
            <w:r/>
          </w:p>
        </w:tc>
      </w:tr>
      <w:tr>
        <w:trPr>
          <w:jc w:val="center"/>
          <w:trHeight w:val="490"/>
        </w:trPr>
        <w:tc>
          <w:tcPr>
            <w:tcW w:w="766" w:type="dxa"/>
            <w:vAlign w:val="center"/>
            <w:textDirection w:val="lrTb"/>
            <w:noWrap w:val="false"/>
          </w:tcPr>
          <w:p>
            <w:pPr>
              <w:jc w:val="center"/>
              <w:rPr>
                <w:highlight w:val="none"/>
              </w:rPr>
            </w:pPr>
            <w:r>
              <w:rPr>
                <w:highlight w:val="none"/>
              </w:rPr>
            </w:r>
            <w:r/>
          </w:p>
        </w:tc>
        <w:tc>
          <w:tcPr>
            <w:tcW w:w="1285" w:type="dxa"/>
            <w:vAlign w:val="center"/>
            <w:textDirection w:val="lrTb"/>
            <w:noWrap w:val="false"/>
          </w:tcPr>
          <w:p>
            <w:pPr>
              <w:jc w:val="center"/>
              <w:rPr>
                <w:highlight w:val="none"/>
              </w:rPr>
            </w:pPr>
            <w:r>
              <w:rPr>
                <w:highlight w:val="none"/>
              </w:rPr>
            </w:r>
            <w:r/>
          </w:p>
        </w:tc>
        <w:tc>
          <w:tcPr>
            <w:tcW w:w="1253" w:type="dxa"/>
            <w:vAlign w:val="center"/>
            <w:textDirection w:val="lrTb"/>
            <w:noWrap w:val="false"/>
          </w:tcPr>
          <w:p>
            <w:pPr>
              <w:jc w:val="center"/>
              <w:rPr>
                <w:highlight w:val="none"/>
              </w:rPr>
            </w:pPr>
            <w:r>
              <w:rPr>
                <w:highlight w:val="none"/>
              </w:rPr>
            </w:r>
            <w:r/>
          </w:p>
        </w:tc>
        <w:tc>
          <w:tcPr>
            <w:tcW w:w="1134" w:type="dxa"/>
            <w:vAlign w:val="center"/>
            <w:textDirection w:val="lrTb"/>
            <w:noWrap w:val="false"/>
          </w:tcPr>
          <w:p>
            <w:pPr>
              <w:jc w:val="center"/>
              <w:rPr>
                <w:highlight w:val="none"/>
              </w:rPr>
            </w:pPr>
            <w:r>
              <w:rPr>
                <w:highlight w:val="none"/>
              </w:rPr>
            </w:r>
            <w:r/>
          </w:p>
        </w:tc>
        <w:tc>
          <w:tcPr>
            <w:tcW w:w="1214" w:type="dxa"/>
            <w:vAlign w:val="center"/>
            <w:textDirection w:val="lrTb"/>
            <w:noWrap w:val="false"/>
          </w:tcPr>
          <w:p>
            <w:pPr>
              <w:jc w:val="center"/>
              <w:rPr>
                <w:highlight w:val="none"/>
              </w:rPr>
            </w:pPr>
            <w:r>
              <w:rPr>
                <w:highlight w:val="none"/>
              </w:rPr>
            </w:r>
            <w:r/>
          </w:p>
        </w:tc>
        <w:tc>
          <w:tcPr>
            <w:tcW w:w="1336" w:type="dxa"/>
            <w:vAlign w:val="center"/>
            <w:textDirection w:val="lrTb"/>
            <w:noWrap w:val="false"/>
          </w:tcPr>
          <w:p>
            <w:pPr>
              <w:jc w:val="center"/>
              <w:rPr>
                <w:highlight w:val="none"/>
              </w:rPr>
            </w:pPr>
            <w:r>
              <w:rPr>
                <w:highlight w:val="none"/>
              </w:rPr>
            </w:r>
            <w:r/>
          </w:p>
        </w:tc>
        <w:tc>
          <w:tcPr>
            <w:tcW w:w="1136" w:type="dxa"/>
            <w:vAlign w:val="center"/>
            <w:textDirection w:val="lrTb"/>
            <w:noWrap w:val="false"/>
          </w:tcPr>
          <w:p>
            <w:pPr>
              <w:jc w:val="center"/>
              <w:rPr>
                <w:highlight w:val="none"/>
              </w:rPr>
            </w:pPr>
            <w:r>
              <w:rPr>
                <w:highlight w:val="none"/>
              </w:rPr>
            </w:r>
            <w:r/>
          </w:p>
        </w:tc>
      </w:tr>
    </w:tbl>
    <w:p>
      <w:pPr>
        <w:spacing w:line="360" w:lineRule="auto"/>
        <w:rPr>
          <w:highlight w:val="none"/>
        </w:rPr>
      </w:pPr>
      <w:r>
        <w:rPr>
          <w:highlight w:val="none"/>
        </w:rPr>
      </w:r>
      <w:r/>
    </w:p>
    <w:p>
      <w:pPr>
        <w:spacing w:line="360" w:lineRule="auto"/>
        <w:rPr>
          <w:highlight w:val="none"/>
        </w:rPr>
      </w:pPr>
      <w:r>
        <w:rPr>
          <w:highlight w:val="none"/>
        </w:rPr>
        <w:t xml:space="preserve">供应商名称：</w:t>
      </w:r>
      <w:r>
        <w:rPr>
          <w:highlight w:val="none"/>
          <w:u w:val="single"/>
        </w:rPr>
        <w:t xml:space="preserve">                                  </w:t>
      </w:r>
      <w:r>
        <w:rPr>
          <w:highlight w:val="none"/>
        </w:rPr>
        <w:t xml:space="preserve">（盖章）</w:t>
      </w:r>
      <w:r/>
    </w:p>
    <w:p>
      <w:pPr>
        <w:spacing w:line="360" w:lineRule="auto"/>
        <w:rPr>
          <w:highlight w:val="none"/>
        </w:rPr>
      </w:pPr>
      <w:r>
        <w:rPr>
          <w:highlight w:val="none"/>
        </w:rPr>
      </w:r>
      <w:r/>
    </w:p>
    <w:p>
      <w:pPr>
        <w:spacing w:line="360" w:lineRule="auto"/>
        <w:rPr>
          <w:highlight w:val="none"/>
        </w:rPr>
      </w:pPr>
      <w:r>
        <w:rPr>
          <w:highlight w:val="none"/>
        </w:rPr>
        <w:t xml:space="preserve">说明：</w:t>
      </w:r>
      <w:r/>
    </w:p>
    <w:p>
      <w:pPr>
        <w:spacing w:line="360" w:lineRule="auto"/>
        <w:rPr>
          <w:highlight w:val="none"/>
        </w:rPr>
      </w:pPr>
      <w:r>
        <w:rPr>
          <w:highlight w:val="none"/>
        </w:rPr>
        <w:t xml:space="preserve">1、此表仅供参考，可根据需要自行调整。</w:t>
      </w:r>
      <w:r/>
    </w:p>
    <w:p>
      <w:pPr>
        <w:spacing w:line="360" w:lineRule="auto"/>
        <w:rPr>
          <w:highlight w:val="none"/>
        </w:rPr>
      </w:pPr>
      <w:r>
        <w:rPr>
          <w:highlight w:val="none"/>
        </w:rPr>
        <w:t xml:space="preserve">2、证明材料按采购文件要求按序作为本表附页附后。</w:t>
      </w:r>
      <w:r/>
    </w:p>
    <w:p>
      <w:pPr>
        <w:rPr>
          <w:highlight w:val="none"/>
        </w:rPr>
      </w:pPr>
      <w:r>
        <w:rPr>
          <w:highlight w:val="none"/>
        </w:rPr>
        <w:br w:type="page" w:clear="all"/>
      </w:r>
      <w:r/>
    </w:p>
    <w:p>
      <w:pPr>
        <w:spacing w:line="360" w:lineRule="auto"/>
        <w:rPr>
          <w:b/>
          <w:sz w:val="32"/>
          <w:szCs w:val="32"/>
          <w:highlight w:val="none"/>
        </w:rPr>
      </w:pPr>
      <w:r>
        <w:rPr>
          <w:b/>
          <w:sz w:val="32"/>
          <w:szCs w:val="32"/>
          <w:highlight w:val="none"/>
        </w:rPr>
        <w:t xml:space="preserve">二、供应商资格证明材料</w:t>
      </w:r>
      <w:r/>
    </w:p>
    <w:p>
      <w:pPr>
        <w:ind w:firstLine="420"/>
        <w:spacing w:line="360" w:lineRule="auto"/>
        <w:rPr>
          <w:rFonts w:eastAsiaTheme="minorEastAsia"/>
          <w:szCs w:val="21"/>
          <w:highlight w:val="none"/>
        </w:rPr>
      </w:pPr>
      <w:r>
        <w:rPr>
          <w:rFonts w:hint="eastAsia" w:eastAsiaTheme="minorEastAsia"/>
          <w:szCs w:val="21"/>
          <w:highlight w:val="none"/>
          <w:lang w:val="en-US" w:eastAsia="zh-CN"/>
        </w:rPr>
        <w:t xml:space="preserve">1</w:t>
      </w:r>
      <w:r>
        <w:rPr>
          <w:rFonts w:eastAsiaTheme="minorEastAsia"/>
          <w:szCs w:val="21"/>
          <w:highlight w:val="none"/>
        </w:rPr>
        <w:t xml:space="preserve">. 第一章单一来源采购邀请中二、申请人的资格要求（三）本项目特定资格要求证明文件（如有）</w:t>
      </w:r>
      <w:r>
        <w:rPr>
          <w:rFonts w:eastAsiaTheme="minorEastAsia"/>
          <w:bCs/>
          <w:szCs w:val="21"/>
          <w:highlight w:val="none"/>
        </w:rPr>
        <w:t xml:space="preserve">；</w:t>
      </w:r>
      <w:r/>
    </w:p>
    <w:p>
      <w:pPr>
        <w:ind w:firstLine="420"/>
        <w:spacing w:line="360" w:lineRule="auto"/>
        <w:rPr>
          <w:rFonts w:eastAsiaTheme="minorEastAsia"/>
          <w:szCs w:val="21"/>
          <w:highlight w:val="none"/>
        </w:rPr>
      </w:pPr>
      <w:r>
        <w:rPr>
          <w:rFonts w:hint="eastAsia" w:eastAsiaTheme="minorEastAsia"/>
          <w:bCs/>
          <w:szCs w:val="21"/>
          <w:highlight w:val="none"/>
          <w:lang w:val="en-US" w:eastAsia="zh-CN"/>
        </w:rPr>
        <w:t xml:space="preserve">2</w:t>
      </w:r>
      <w:r>
        <w:rPr>
          <w:rFonts w:eastAsiaTheme="minorEastAsia"/>
          <w:bCs/>
          <w:szCs w:val="21"/>
          <w:highlight w:val="none"/>
        </w:rPr>
        <w:t xml:space="preserve">.《</w:t>
      </w:r>
      <w:r>
        <w:rPr>
          <w:rFonts w:eastAsiaTheme="minorEastAsia"/>
          <w:szCs w:val="21"/>
          <w:highlight w:val="none"/>
        </w:rPr>
        <w:t xml:space="preserve">南京市政府采购供应商信用记录表暨信用承诺书</w:t>
      </w:r>
      <w:r>
        <w:rPr>
          <w:rFonts w:eastAsiaTheme="minorEastAsia"/>
          <w:bCs/>
          <w:szCs w:val="21"/>
          <w:highlight w:val="none"/>
        </w:rPr>
        <w:t xml:space="preserve">》，需</w:t>
      </w:r>
      <w:r>
        <w:rPr>
          <w:rFonts w:eastAsiaTheme="minorEastAsia"/>
          <w:szCs w:val="21"/>
          <w:highlight w:val="none"/>
        </w:rPr>
        <w:t xml:space="preserve">由法人签字并盖单位公章；</w:t>
      </w:r>
      <w:r/>
    </w:p>
    <w:p>
      <w:pPr>
        <w:ind w:firstLine="420"/>
        <w:spacing w:line="360" w:lineRule="auto"/>
        <w:rPr>
          <w:rFonts w:eastAsiaTheme="minorEastAsia"/>
          <w:bCs/>
          <w:szCs w:val="21"/>
          <w:highlight w:val="none"/>
        </w:rPr>
      </w:pPr>
      <w:r>
        <w:rPr>
          <w:rFonts w:hint="eastAsia" w:eastAsiaTheme="minorEastAsia"/>
          <w:bCs/>
          <w:szCs w:val="21"/>
          <w:highlight w:val="none"/>
          <w:lang w:val="en-US" w:eastAsia="zh-CN"/>
        </w:rPr>
        <w:t xml:space="preserve">3</w:t>
      </w:r>
      <w:r>
        <w:rPr>
          <w:rFonts w:eastAsiaTheme="minorEastAsia"/>
          <w:bCs/>
          <w:szCs w:val="21"/>
          <w:highlight w:val="none"/>
        </w:rPr>
        <w:t xml:space="preserve">. 第一章</w:t>
      </w:r>
      <w:r>
        <w:rPr>
          <w:rFonts w:eastAsiaTheme="minorEastAsia"/>
          <w:szCs w:val="21"/>
          <w:highlight w:val="none"/>
        </w:rPr>
        <w:t xml:space="preserve">单一来源采购邀请</w:t>
      </w:r>
      <w:r>
        <w:rPr>
          <w:rFonts w:eastAsiaTheme="minorEastAsia"/>
          <w:bCs/>
          <w:szCs w:val="21"/>
          <w:highlight w:val="none"/>
        </w:rPr>
        <w:t xml:space="preserve">中二、申请人的资格要求（一）《中华人民共和国政府采购法》2—5条规定的资格证明文件；</w:t>
      </w:r>
      <w:r/>
    </w:p>
    <w:p>
      <w:pPr>
        <w:ind w:firstLine="420"/>
        <w:spacing w:line="360" w:lineRule="auto"/>
        <w:rPr>
          <w:rFonts w:eastAsiaTheme="minorEastAsia"/>
          <w:bCs/>
          <w:szCs w:val="21"/>
          <w:highlight w:val="none"/>
        </w:rPr>
      </w:pPr>
      <w:r>
        <w:rPr>
          <w:rFonts w:hint="eastAsia" w:eastAsiaTheme="minorEastAsia"/>
          <w:bCs/>
          <w:szCs w:val="21"/>
          <w:highlight w:val="none"/>
          <w:lang w:val="en-US" w:eastAsia="zh-CN"/>
        </w:rPr>
        <w:t xml:space="preserve">4</w:t>
      </w:r>
      <w:r>
        <w:rPr>
          <w:rFonts w:eastAsiaTheme="minorEastAsia"/>
          <w:bCs/>
          <w:szCs w:val="21"/>
          <w:highlight w:val="none"/>
        </w:rPr>
        <w:t xml:space="preserve">.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eastAsiaTheme="minorEastAsia"/>
          <w:b/>
          <w:szCs w:val="21"/>
          <w:highlight w:val="none"/>
        </w:rPr>
      </w:pPr>
      <w:r>
        <w:rPr>
          <w:rFonts w:eastAsiaTheme="minorEastAsia"/>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eastAsiaTheme="minorEastAsia"/>
          <w:b/>
          <w:szCs w:val="21"/>
          <w:highlight w:val="none"/>
        </w:rPr>
      </w:pPr>
      <w:r>
        <w:rPr>
          <w:rFonts w:eastAsiaTheme="minorEastAsia"/>
          <w:b/>
          <w:szCs w:val="21"/>
          <w:highlight w:val="none"/>
        </w:rPr>
        <w:t xml:space="preserve">供应商仅提供信用承诺书而未提供证明材料的，须在成交后另行提供上述由信用承诺书替代的证明材料（一式两份）</w:t>
      </w:r>
      <w:r>
        <w:rPr>
          <w:rFonts w:eastAsiaTheme="minorEastAsia"/>
          <w:b/>
          <w:bCs/>
          <w:szCs w:val="21"/>
          <w:highlight w:val="none"/>
        </w:rPr>
        <w:t xml:space="preserve">加盖公章</w:t>
      </w:r>
      <w:r>
        <w:rPr>
          <w:rFonts w:eastAsiaTheme="minorEastAsia"/>
          <w:b/>
          <w:szCs w:val="21"/>
          <w:highlight w:val="none"/>
        </w:rPr>
        <w:t xml:space="preserve">，提交采购人或采购代理机构核验。经核验无误后，由采购人或采购代理机构发出成交通知书。</w:t>
      </w:r>
      <w:r/>
    </w:p>
    <w:p>
      <w:pPr>
        <w:ind w:firstLine="422"/>
        <w:spacing w:line="360" w:lineRule="auto"/>
        <w:rPr>
          <w:rFonts w:eastAsiaTheme="minorEastAsia"/>
          <w:b/>
          <w:szCs w:val="21"/>
          <w:highlight w:val="none"/>
        </w:rPr>
      </w:pPr>
      <w:r>
        <w:rPr>
          <w:rFonts w:eastAsiaTheme="minorEastAsia"/>
          <w:b/>
          <w:szCs w:val="21"/>
          <w:highlight w:val="none"/>
        </w:rPr>
        <w:t xml:space="preserve">供应商涉及以下情形的，不适用信用承诺，仍须提供上述证明材料：</w:t>
      </w:r>
      <w:r/>
    </w:p>
    <w:p>
      <w:pPr>
        <w:ind w:firstLine="211"/>
        <w:spacing w:line="360" w:lineRule="auto"/>
        <w:rPr>
          <w:rFonts w:eastAsiaTheme="minorEastAsia"/>
          <w:b/>
          <w:szCs w:val="21"/>
          <w:highlight w:val="none"/>
        </w:rPr>
      </w:pPr>
      <w:r>
        <w:rPr>
          <w:rFonts w:eastAsiaTheme="minorEastAsia"/>
          <w:b/>
          <w:szCs w:val="21"/>
          <w:highlight w:val="none"/>
        </w:rPr>
        <w:t xml:space="preserve">（1）供应商被列入严重失信主体名单；</w:t>
      </w:r>
      <w:r/>
    </w:p>
    <w:p>
      <w:pPr>
        <w:ind w:firstLine="211"/>
        <w:spacing w:line="360" w:lineRule="auto"/>
        <w:rPr>
          <w:rFonts w:eastAsiaTheme="minorEastAsia"/>
          <w:b/>
          <w:szCs w:val="21"/>
          <w:highlight w:val="none"/>
        </w:rPr>
      </w:pPr>
      <w:r>
        <w:rPr>
          <w:rFonts w:eastAsiaTheme="minorEastAsia"/>
          <w:b/>
          <w:szCs w:val="21"/>
          <w:highlight w:val="none"/>
        </w:rPr>
        <w:t xml:space="preserve">（2）被相关监管部门作出行政处罚且尚在处罚有效期内；</w:t>
      </w:r>
      <w:r/>
    </w:p>
    <w:p>
      <w:pPr>
        <w:ind w:firstLine="211"/>
        <w:spacing w:line="360" w:lineRule="auto"/>
        <w:rPr>
          <w:rFonts w:eastAsiaTheme="minorEastAsia"/>
          <w:b/>
          <w:szCs w:val="21"/>
          <w:highlight w:val="none"/>
        </w:rPr>
      </w:pPr>
      <w:r>
        <w:rPr>
          <w:rFonts w:eastAsiaTheme="minorEastAsia"/>
          <w:b/>
          <w:szCs w:val="21"/>
          <w:highlight w:val="none"/>
        </w:rPr>
        <w:t xml:space="preserve">（3）其他法律、行政法规规定的不适用信用承诺的情形。</w:t>
      </w:r>
      <w:r/>
    </w:p>
    <w:p>
      <w:pPr>
        <w:ind w:firstLine="422"/>
        <w:spacing w:line="360" w:lineRule="auto"/>
        <w:rPr>
          <w:rFonts w:eastAsiaTheme="minorEastAsia"/>
          <w:bCs/>
          <w:highlight w:val="none"/>
        </w:rPr>
      </w:pPr>
      <w:r>
        <w:rPr>
          <w:rFonts w:eastAsiaTheme="minorEastAsia"/>
          <w:b/>
          <w:szCs w:val="21"/>
          <w:highlight w:val="none"/>
        </w:rPr>
        <w:t xml:space="preserve">供应商对信用承诺内容的真实性、合法性、有效性负责。如作出虚假信用承诺，视同为“提供虚假材料谋取成交”的违法行为。</w:t>
      </w:r>
      <w:r/>
    </w:p>
    <w:p>
      <w:pPr>
        <w:ind w:firstLine="420"/>
        <w:spacing w:line="360" w:lineRule="auto"/>
        <w:rPr>
          <w:rFonts w:eastAsiaTheme="minorEastAsia"/>
          <w:szCs w:val="21"/>
          <w:highlight w:val="none"/>
        </w:rPr>
      </w:pPr>
      <w:r>
        <w:rPr>
          <w:rFonts w:eastAsiaTheme="minorEastAsia"/>
          <w:szCs w:val="21"/>
          <w:highlight w:val="none"/>
        </w:rPr>
      </w:r>
      <w:r/>
    </w:p>
    <w:p>
      <w:pPr>
        <w:jc w:val="left"/>
        <w:spacing w:line="360" w:lineRule="auto"/>
        <w:rPr>
          <w:bCs/>
          <w:szCs w:val="21"/>
          <w:highlight w:val="none"/>
        </w:rPr>
      </w:pPr>
      <w:r>
        <w:rPr>
          <w:bCs/>
          <w:szCs w:val="21"/>
          <w:highlight w:val="none"/>
        </w:rPr>
      </w:r>
      <w:r/>
    </w:p>
    <w:p>
      <w:pPr>
        <w:jc w:val="left"/>
        <w:widowControl/>
        <w:rPr>
          <w:highlight w:val="none"/>
        </w:rPr>
      </w:pPr>
      <w:r>
        <w:rPr>
          <w:highlight w:val="none"/>
        </w:rPr>
        <w:br w:type="page" w:clear="all"/>
      </w:r>
      <w:r/>
    </w:p>
    <w:p>
      <w:pPr>
        <w:jc w:val="left"/>
        <w:spacing w:line="360" w:lineRule="auto"/>
        <w:rPr>
          <w:bCs/>
          <w:szCs w:val="21"/>
          <w:highlight w:val="none"/>
        </w:rPr>
      </w:pPr>
      <w:r>
        <w:rPr>
          <w:b/>
          <w:bCs/>
          <w:szCs w:val="21"/>
          <w:highlight w:val="none"/>
        </w:rPr>
        <w:t xml:space="preserve">（五）参加政府采购活动前三年内，在经营活动中没有重大违法记录</w:t>
      </w:r>
      <w:r>
        <w:rPr>
          <w:bCs/>
          <w:szCs w:val="21"/>
          <w:highlight w:val="none"/>
        </w:rPr>
        <w:t xml:space="preserve">（声明格式如下）</w:t>
      </w:r>
      <w:r/>
    </w:p>
    <w:p>
      <w:pPr>
        <w:jc w:val="center"/>
        <w:spacing w:line="360" w:lineRule="auto"/>
        <w:rPr>
          <w:b/>
          <w:sz w:val="28"/>
          <w:highlight w:val="none"/>
        </w:rPr>
      </w:pPr>
      <w:r>
        <w:rPr>
          <w:b/>
          <w:sz w:val="28"/>
          <w:highlight w:val="none"/>
        </w:rPr>
        <w:t xml:space="preserve">近3年内在经营活动中没有重大违法记录的书面声明</w:t>
      </w:r>
      <w:r/>
    </w:p>
    <w:p>
      <w:pPr>
        <w:pStyle w:val="817"/>
        <w:ind w:firstLine="0"/>
        <w:spacing w:line="360" w:lineRule="auto"/>
        <w:rPr>
          <w:highlight w:val="none"/>
          <w:lang w:val="en-US"/>
        </w:rPr>
      </w:pPr>
      <w:r>
        <w:rPr>
          <w:highlight w:val="none"/>
          <w:lang w:val="en-US"/>
        </w:rPr>
      </w:r>
      <w:r/>
    </w:p>
    <w:p>
      <w:pPr>
        <w:spacing w:line="360" w:lineRule="auto"/>
        <w:rPr>
          <w:highlight w:val="none"/>
        </w:rPr>
      </w:pPr>
      <w:r/>
      <w:bookmarkStart w:id="40" w:name="_Hlk532213381"/>
      <w:r>
        <w:rPr>
          <w:highlight w:val="none"/>
        </w:rPr>
        <w:t xml:space="preserve">致：南京典晶工程项目管理有限公司</w:t>
      </w:r>
      <w:r/>
    </w:p>
    <w:p>
      <w:pPr>
        <w:ind w:firstLine="420"/>
        <w:spacing w:line="360" w:lineRule="auto"/>
        <w:rPr>
          <w:highlight w:val="none"/>
        </w:rPr>
      </w:pPr>
      <w:r>
        <w:rPr>
          <w:highlight w:val="none"/>
        </w:rPr>
        <w:t xml:space="preserve">中共南京江北新区工作委员会宣传和统战部：</w:t>
      </w:r>
      <w:r/>
    </w:p>
    <w:p>
      <w:pPr>
        <w:spacing w:line="360" w:lineRule="auto"/>
        <w:rPr>
          <w:highlight w:val="none"/>
        </w:rPr>
      </w:pPr>
      <w:r>
        <w:rPr>
          <w:highlight w:val="none"/>
        </w:rPr>
      </w:r>
      <w:r/>
    </w:p>
    <w:p>
      <w:pPr>
        <w:ind w:firstLine="420"/>
        <w:spacing w:line="360" w:lineRule="auto"/>
        <w:rPr>
          <w:highlight w:val="none"/>
        </w:rPr>
      </w:pPr>
      <w:r>
        <w:rPr>
          <w:highlight w:val="none"/>
        </w:rPr>
        <w:t xml:space="preserve">我单位</w:t>
      </w:r>
      <w:r>
        <w:rPr>
          <w:highlight w:val="none"/>
          <w:u w:val="single"/>
        </w:rPr>
        <w:t xml:space="preserve">                           </w:t>
      </w:r>
      <w:r>
        <w:rPr>
          <w:highlight w:val="none"/>
        </w:rPr>
        <w:t xml:space="preserve">（供应商名称）郑重声明：</w:t>
      </w:r>
      <w:r/>
    </w:p>
    <w:p>
      <w:pPr>
        <w:spacing w:line="360" w:lineRule="auto"/>
        <w:rPr>
          <w:highlight w:val="none"/>
        </w:rPr>
      </w:pPr>
      <w:r>
        <w:rPr>
          <w:highlight w:val="none"/>
        </w:rPr>
        <w:t xml:space="preserve">参加政府采购活动前3年内在经营活动中</w:t>
      </w:r>
      <w:r>
        <w:rPr>
          <w:highlight w:val="none"/>
          <w:u w:val="single"/>
        </w:rPr>
        <w:t xml:space="preserve">          </w:t>
      </w:r>
      <w:r>
        <w:rPr>
          <w:highlight w:val="none"/>
        </w:rPr>
        <w:t xml:space="preserve">（在下划线上如实填写：有或没有）重大违法记录。</w:t>
      </w:r>
      <w:r/>
    </w:p>
    <w:p>
      <w:pPr>
        <w:ind w:firstLine="420"/>
        <w:spacing w:line="360" w:lineRule="auto"/>
        <w:rPr>
          <w:highlight w:val="none"/>
        </w:rPr>
      </w:pPr>
      <w:r>
        <w:rPr>
          <w:highlight w:val="none"/>
        </w:rPr>
        <w:t xml:space="preserve">（说明：政府采购法第二十二条第五项所称重大违法记录，是指供应商因违法经营受到刑事处罚或者责令停产停业、吊销许可证或者执照、较大数额罚款等行政处罚。）</w:t>
      </w:r>
      <w:r/>
    </w:p>
    <w:p>
      <w:pPr>
        <w:spacing w:line="360" w:lineRule="auto"/>
        <w:rPr>
          <w:highlight w:val="none"/>
        </w:rPr>
      </w:pPr>
      <w:r>
        <w:rPr>
          <w:highlight w:val="none"/>
        </w:rPr>
      </w:r>
      <w:r/>
    </w:p>
    <w:p>
      <w:pPr>
        <w:spacing w:line="360" w:lineRule="auto"/>
        <w:rPr>
          <w:highlight w:val="none"/>
        </w:rPr>
      </w:pPr>
      <w:r>
        <w:rPr>
          <w:highlight w:val="none"/>
        </w:rPr>
      </w:r>
      <w:r/>
    </w:p>
    <w:p>
      <w:pPr>
        <w:ind w:firstLine="4830"/>
        <w:spacing w:line="360" w:lineRule="auto"/>
        <w:rPr>
          <w:highlight w:val="none"/>
        </w:rPr>
      </w:pPr>
      <w:r>
        <w:rPr>
          <w:highlight w:val="none"/>
        </w:rPr>
        <w:t xml:space="preserve">声明人（公章）：</w:t>
      </w:r>
      <w:r/>
    </w:p>
    <w:p>
      <w:pPr>
        <w:ind w:firstLine="4830"/>
        <w:spacing w:line="360" w:lineRule="auto"/>
        <w:rPr>
          <w:highlight w:val="none"/>
        </w:rPr>
      </w:pPr>
      <w:r>
        <w:rPr>
          <w:highlight w:val="none"/>
        </w:rPr>
        <w:t xml:space="preserve">日  期：    年   月   日</w:t>
      </w:r>
      <w:bookmarkEnd w:id="40"/>
      <w:r/>
    </w:p>
    <w:p>
      <w:pPr>
        <w:jc w:val="left"/>
        <w:spacing w:line="360" w:lineRule="auto"/>
        <w:rPr>
          <w:b/>
          <w:bCs/>
          <w:szCs w:val="21"/>
          <w:highlight w:val="none"/>
        </w:rPr>
      </w:pPr>
      <w:r/>
      <w:bookmarkStart w:id="41" w:name="_Toc5160"/>
      <w:r/>
      <w:bookmarkEnd w:id="41"/>
      <w:r/>
    </w:p>
    <w:p>
      <w:pPr>
        <w:jc w:val="left"/>
        <w:spacing w:line="360" w:lineRule="auto"/>
        <w:rPr>
          <w:bCs/>
          <w:szCs w:val="21"/>
          <w:highlight w:val="none"/>
        </w:rPr>
      </w:pPr>
      <w:r>
        <w:rPr>
          <w:b/>
          <w:bCs/>
          <w:szCs w:val="21"/>
          <w:highlight w:val="none"/>
        </w:rPr>
        <w:t xml:space="preserve">（六）法律、行政法规规定的其他条件的证明材料</w:t>
      </w:r>
      <w:r>
        <w:rPr>
          <w:bCs/>
          <w:szCs w:val="21"/>
          <w:highlight w:val="none"/>
        </w:rPr>
        <w:t xml:space="preserve">（如果有）</w:t>
      </w:r>
      <w:r/>
    </w:p>
    <w:p>
      <w:pPr>
        <w:spacing w:line="360" w:lineRule="auto"/>
        <w:rPr>
          <w:b/>
          <w:bCs/>
          <w:szCs w:val="21"/>
          <w:highlight w:val="none"/>
        </w:rPr>
      </w:pPr>
      <w:r>
        <w:rPr>
          <w:b/>
          <w:bCs/>
          <w:szCs w:val="21"/>
          <w:highlight w:val="none"/>
        </w:rPr>
      </w:r>
      <w:r/>
    </w:p>
    <w:p>
      <w:pPr>
        <w:jc w:val="left"/>
        <w:spacing w:line="360" w:lineRule="auto"/>
        <w:rPr>
          <w:b/>
          <w:bCs/>
          <w:szCs w:val="21"/>
          <w:highlight w:val="none"/>
        </w:rPr>
      </w:pPr>
      <w:r>
        <w:rPr>
          <w:b/>
          <w:bCs/>
          <w:szCs w:val="21"/>
          <w:highlight w:val="none"/>
        </w:rPr>
        <w:t xml:space="preserve">（七）南京市政府采购供应商信用记录表暨信用承诺书</w:t>
      </w:r>
      <w:r>
        <w:rPr>
          <w:szCs w:val="21"/>
          <w:highlight w:val="none"/>
        </w:rPr>
        <w:t xml:space="preserve">（可从网站打印签字盖章后扫描）</w:t>
      </w:r>
      <w:r/>
    </w:p>
    <w:p>
      <w:pPr>
        <w:spacing w:line="360" w:lineRule="auto"/>
        <w:rPr>
          <w:bCs/>
          <w:szCs w:val="21"/>
          <w:highlight w:val="none"/>
        </w:rPr>
      </w:pPr>
      <w:r>
        <w:rPr>
          <w:bCs/>
          <w:szCs w:val="21"/>
          <w:highlight w:val="none"/>
        </w:rPr>
      </w:r>
      <w:r/>
    </w:p>
    <w:p>
      <w:pPr>
        <w:spacing w:line="360" w:lineRule="auto"/>
        <w:rPr>
          <w:bCs/>
          <w:szCs w:val="21"/>
          <w:highlight w:val="none"/>
        </w:rPr>
      </w:pPr>
      <w:r>
        <w:rPr>
          <w:bCs/>
          <w:sz w:val="28"/>
          <w:highlight w:val="none"/>
        </w:rPr>
        <w:br w:type="page" w:clear="all"/>
      </w:r>
      <w:r/>
    </w:p>
    <w:p>
      <w:pPr>
        <w:spacing w:line="360" w:lineRule="auto"/>
        <w:rPr>
          <w:b/>
          <w:sz w:val="32"/>
          <w:highlight w:val="none"/>
        </w:rPr>
      </w:pPr>
      <w:r>
        <w:rPr>
          <w:b/>
          <w:sz w:val="32"/>
          <w:highlight w:val="none"/>
        </w:rPr>
        <w:t xml:space="preserve">三、采购文件要求及供应商认为需要提供的证明文件及材料等（格式自拟）</w:t>
      </w:r>
      <w:bookmarkEnd w:id="42"/>
      <w:r/>
    </w:p>
    <w:sectPr>
      <w:headerReference w:type="default" r:id="rId9"/>
      <w:headerReference w:type="first" r:id="rId10"/>
      <w:footerReference w:type="default" r:id="rId11"/>
      <w:footnotePr/>
      <w:endnotePr/>
      <w:type w:val="nextPage"/>
      <w:pgSz w:w="11906" w:h="16838" w:orient="portrait"/>
      <w:pgMar w:top="1440" w:right="1800" w:bottom="1440" w:left="1800" w:header="964" w:footer="68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Tahoma">
    <w:panose1 w:val="020B0604030504040204"/>
  </w:font>
  <w:font w:name="等线 Light">
    <w:panose1 w:val="0201060003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13</w:t>
    </w:r>
    <w:r>
      <w:rPr>
        <w:rFonts w:ascii="宋体" w:hAnsi="宋体"/>
        <w:sz w:val="21"/>
        <w:szCs w:val="21"/>
      </w:rP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both"/>
    </w:pPr>
    <w:r>
      <w:rPr>
        <w:rFonts w:hint="eastAsia"/>
      </w:rPr>
      <mc:AlternateContent>
        <mc:Choice Requires="wpg">
          <w:drawing>
            <wp:inline xmlns:wp="http://schemas.openxmlformats.org/drawingml/2006/wordprocessingDrawing" distT="0" distB="0" distL="0" distR="0">
              <wp:extent cx="467360" cy="467360"/>
              <wp:effectExtent l="0" t="0" r="5080" b="5080"/>
              <wp:docPr id="1"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
                      <a:stretch/>
                    </pic:blipFill>
                    <pic:spPr bwMode="auto">
                      <a:xfrm>
                        <a:off x="0" y="0"/>
                        <a:ext cx="467360" cy="467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8pt;height:36.8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both"/>
    </w:pPr>
    <w:r>
      <w:rPr>
        <w:rFonts w:hint="eastAsia"/>
      </w:rPr>
      <mc:AlternateContent>
        <mc:Choice Requires="wpg">
          <w:drawing>
            <wp:inline xmlns:wp="http://schemas.openxmlformats.org/drawingml/2006/wordprocessingDrawing" distT="0" distB="0" distL="0" distR="0">
              <wp:extent cx="455295" cy="455295"/>
              <wp:effectExtent l="0" t="0" r="1905" b="1905"/>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r/>
                    </pic:nvPicPr>
                    <pic:blipFill>
                      <a:blip r:embed="rId1"/>
                      <a:stretch/>
                    </pic:blipFill>
                    <pic:spPr bwMode="auto">
                      <a:xfrm>
                        <a:off x="0" y="0"/>
                        <a:ext cx="455295" cy="455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9pt;height:35.9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77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bullet"/>
      <w:pStyle w:val="76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8"/>
      <w:isLgl w:val="false"/>
      <w:suff w:val="tab"/>
      <w:lvlText w:val="%1"/>
      <w:lvlJc w:val="left"/>
      <w:pPr>
        <w:ind w:left="567" w:hanging="567"/>
        <w:tabs>
          <w:tab w:val="left" w:pos="567" w:leader="none"/>
        </w:tabs>
      </w:pPr>
      <w:rPr>
        <w:rFonts w:hint="eastAsia" w:cs="Times New Roman"/>
      </w:rPr>
    </w:lvl>
    <w:lvl w:ilvl="1">
      <w:start w:val="1"/>
      <w:numFmt w:val="decimal"/>
      <w:pStyle w:val="772"/>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character" w:styleId="34">
    <w:name w:val="Title Char"/>
    <w:basedOn w:val="678"/>
    <w:link w:val="720"/>
    <w:uiPriority w:val="10"/>
    <w:rPr>
      <w:sz w:val="48"/>
      <w:szCs w:val="48"/>
    </w:rPr>
  </w:style>
  <w:style w:type="character" w:styleId="36">
    <w:name w:val="Subtitle Char"/>
    <w:basedOn w:val="678"/>
    <w:link w:val="708"/>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703"/>
    <w:uiPriority w:val="99"/>
  </w:style>
  <w:style w:type="character" w:styleId="44">
    <w:name w:val="Footer Char"/>
    <w:basedOn w:val="678"/>
    <w:link w:val="702"/>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9">
    <w:name w:val="TOC Heading"/>
    <w:uiPriority w:val="39"/>
    <w:unhideWhenUsed/>
  </w:style>
  <w:style w:type="paragraph" w:styleId="668" w:default="1">
    <w:name w:val="Normal"/>
    <w:next w:val="680"/>
    <w:uiPriority w:val="0"/>
    <w:qFormat/>
    <w:pPr>
      <w:jc w:val="both"/>
      <w:widowControl w:val="off"/>
    </w:pPr>
    <w:rPr>
      <w:rFonts w:ascii="Times New Roman" w:hAnsi="Times New Roman" w:eastAsia="宋体" w:cs="Times New Roman"/>
      <w:sz w:val="21"/>
      <w:lang w:val="en-US" w:eastAsia="zh-CN" w:bidi="ar-SA"/>
    </w:rPr>
  </w:style>
  <w:style w:type="paragraph" w:styleId="669">
    <w:name w:val="Heading 1"/>
    <w:basedOn w:val="668"/>
    <w:next w:val="668"/>
    <w:link w:val="729"/>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670">
    <w:name w:val="Heading 2"/>
    <w:basedOn w:val="668"/>
    <w:next w:val="668"/>
    <w:link w:val="730"/>
    <w:uiPriority w:val="99"/>
    <w:qFormat/>
    <w:pPr>
      <w:jc w:val="left"/>
      <w:keepLines/>
      <w:keepNext/>
      <w:spacing w:before="120" w:after="120"/>
      <w:outlineLvl w:val="1"/>
    </w:pPr>
    <w:rPr>
      <w:rFonts w:ascii="Cambria" w:hAnsi="Cambria"/>
      <w:b/>
      <w:bCs/>
      <w:sz w:val="32"/>
      <w:szCs w:val="32"/>
    </w:rPr>
  </w:style>
  <w:style w:type="paragraph" w:styleId="671">
    <w:name w:val="Heading 3"/>
    <w:basedOn w:val="668"/>
    <w:next w:val="683"/>
    <w:link w:val="731"/>
    <w:uiPriority w:val="99"/>
    <w:qFormat/>
    <w:pPr>
      <w:keepLines/>
      <w:keepNext/>
      <w:spacing w:before="120" w:after="120"/>
      <w:outlineLvl w:val="2"/>
    </w:pPr>
    <w:rPr>
      <w:b/>
      <w:bCs/>
      <w:sz w:val="32"/>
      <w:szCs w:val="32"/>
    </w:rPr>
  </w:style>
  <w:style w:type="paragraph" w:styleId="672">
    <w:name w:val="Heading 4"/>
    <w:basedOn w:val="668"/>
    <w:next w:val="668"/>
    <w:link w:val="733"/>
    <w:uiPriority w:val="99"/>
    <w:qFormat/>
    <w:pPr>
      <w:keepLines/>
      <w:keepNext/>
      <w:spacing w:before="120" w:after="120"/>
      <w:outlineLvl w:val="3"/>
    </w:pPr>
    <w:rPr>
      <w:rFonts w:ascii="Cambria" w:hAnsi="Cambria"/>
      <w:b/>
      <w:bCs/>
      <w:sz w:val="28"/>
      <w:szCs w:val="28"/>
    </w:rPr>
  </w:style>
  <w:style w:type="paragraph" w:styleId="673">
    <w:name w:val="Heading 5"/>
    <w:basedOn w:val="668"/>
    <w:next w:val="683"/>
    <w:link w:val="734"/>
    <w:uiPriority w:val="99"/>
    <w:qFormat/>
    <w:pPr>
      <w:keepNext/>
      <w:spacing w:before="156" w:after="156"/>
      <w:outlineLvl w:val="4"/>
    </w:pPr>
    <w:rPr>
      <w:b/>
      <w:bCs/>
      <w:sz w:val="28"/>
      <w:szCs w:val="28"/>
    </w:rPr>
  </w:style>
  <w:style w:type="paragraph" w:styleId="674">
    <w:name w:val="Heading 6"/>
    <w:basedOn w:val="668"/>
    <w:next w:val="668"/>
    <w:link w:val="735"/>
    <w:uiPriority w:val="99"/>
    <w:qFormat/>
    <w:pPr>
      <w:keepLines/>
      <w:keepNext/>
      <w:spacing w:before="240" w:after="64" w:line="320" w:lineRule="auto"/>
      <w:outlineLvl w:val="5"/>
    </w:pPr>
    <w:rPr>
      <w:rFonts w:ascii="Cambria" w:hAnsi="Cambria"/>
      <w:b/>
      <w:bCs/>
      <w:sz w:val="24"/>
      <w:szCs w:val="24"/>
    </w:rPr>
  </w:style>
  <w:style w:type="paragraph" w:styleId="675">
    <w:name w:val="Heading 7"/>
    <w:basedOn w:val="668"/>
    <w:next w:val="668"/>
    <w:link w:val="736"/>
    <w:uiPriority w:val="99"/>
    <w:qFormat/>
    <w:pPr>
      <w:keepLines/>
      <w:keepNext/>
      <w:spacing w:before="240" w:after="64" w:line="320" w:lineRule="auto"/>
      <w:outlineLvl w:val="6"/>
    </w:pPr>
    <w:rPr>
      <w:b/>
      <w:bCs/>
      <w:sz w:val="24"/>
      <w:szCs w:val="24"/>
    </w:rPr>
  </w:style>
  <w:style w:type="paragraph" w:styleId="676">
    <w:name w:val="Heading 8"/>
    <w:basedOn w:val="668"/>
    <w:next w:val="668"/>
    <w:link w:val="737"/>
    <w:uiPriority w:val="99"/>
    <w:qFormat/>
    <w:pPr>
      <w:keepLines/>
      <w:keepNext/>
      <w:spacing w:before="240" w:after="64" w:line="320" w:lineRule="auto"/>
      <w:outlineLvl w:val="7"/>
    </w:pPr>
    <w:rPr>
      <w:rFonts w:ascii="Cambria" w:hAnsi="Cambria"/>
      <w:sz w:val="24"/>
      <w:szCs w:val="24"/>
    </w:rPr>
  </w:style>
  <w:style w:type="paragraph" w:styleId="677">
    <w:name w:val="Heading 9"/>
    <w:basedOn w:val="668"/>
    <w:next w:val="668"/>
    <w:link w:val="738"/>
    <w:uiPriority w:val="99"/>
    <w:qFormat/>
    <w:pPr>
      <w:keepLines/>
      <w:keepNext/>
      <w:spacing w:before="240" w:after="64" w:line="320" w:lineRule="auto"/>
      <w:outlineLvl w:val="8"/>
    </w:pPr>
    <w:rPr>
      <w:rFonts w:ascii="Cambria" w:hAnsi="Cambria"/>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First Indent 2"/>
    <w:basedOn w:val="681"/>
    <w:next w:val="668"/>
    <w:uiPriority w:val="0"/>
    <w:qFormat/>
    <w:pPr>
      <w:ind w:firstLine="420"/>
      <w:spacing w:line="360" w:lineRule="auto"/>
    </w:pPr>
    <w:rPr>
      <w:rFonts w:ascii="宋体" w:hAnsi="宋体"/>
      <w:sz w:val="21"/>
    </w:rPr>
  </w:style>
  <w:style w:type="paragraph" w:styleId="681">
    <w:name w:val="Body Text Indent"/>
    <w:basedOn w:val="668"/>
    <w:next w:val="682"/>
    <w:link w:val="743"/>
    <w:uiPriority w:val="99"/>
    <w:qFormat/>
    <w:pPr>
      <w:ind w:firstLine="645"/>
    </w:pPr>
    <w:rPr>
      <w:sz w:val="20"/>
    </w:rPr>
  </w:style>
  <w:style w:type="paragraph" w:styleId="682">
    <w:name w:val="envelope return"/>
    <w:basedOn w:val="668"/>
    <w:uiPriority w:val="0"/>
    <w:qFormat/>
    <w:rPr>
      <w:rFonts w:ascii="Arial" w:hAnsi="Arial" w:cs="宋体"/>
    </w:rPr>
  </w:style>
  <w:style w:type="paragraph" w:styleId="683">
    <w:name w:val="Normal Indent"/>
    <w:basedOn w:val="668"/>
    <w:link w:val="732"/>
    <w:uiPriority w:val="99"/>
    <w:qFormat/>
    <w:pPr>
      <w:ind w:firstLine="420"/>
    </w:pPr>
  </w:style>
  <w:style w:type="paragraph" w:styleId="684">
    <w:name w:val="List 3"/>
    <w:basedOn w:val="668"/>
    <w:uiPriority w:val="99"/>
    <w:qFormat/>
    <w:pPr>
      <w:ind w:left="1260" w:hanging="420"/>
    </w:pPr>
  </w:style>
  <w:style w:type="paragraph" w:styleId="685">
    <w:name w:val="toc 7"/>
    <w:basedOn w:val="668"/>
    <w:next w:val="668"/>
    <w:uiPriority w:val="99"/>
    <w:semiHidden/>
    <w:qFormat/>
    <w:pPr>
      <w:ind w:left="1260"/>
      <w:jc w:val="left"/>
    </w:pPr>
    <w:rPr>
      <w:sz w:val="18"/>
    </w:rPr>
  </w:style>
  <w:style w:type="paragraph" w:styleId="686">
    <w:name w:val="index 8"/>
    <w:basedOn w:val="668"/>
    <w:next w:val="668"/>
    <w:uiPriority w:val="99"/>
    <w:semiHidden/>
    <w:qFormat/>
    <w:pPr>
      <w:ind w:left="2940"/>
    </w:pPr>
  </w:style>
  <w:style w:type="paragraph" w:styleId="687">
    <w:name w:val="index 5"/>
    <w:basedOn w:val="668"/>
    <w:next w:val="668"/>
    <w:uiPriority w:val="99"/>
    <w:semiHidden/>
    <w:qFormat/>
    <w:pPr>
      <w:ind w:left="1680"/>
    </w:pPr>
  </w:style>
  <w:style w:type="paragraph" w:styleId="688">
    <w:name w:val="Document Map"/>
    <w:basedOn w:val="668"/>
    <w:link w:val="739"/>
    <w:uiPriority w:val="99"/>
    <w:semiHidden/>
    <w:qFormat/>
    <w:pPr>
      <w:shd w:val="clear" w:color="auto" w:fill="000080"/>
    </w:pPr>
  </w:style>
  <w:style w:type="paragraph" w:styleId="689">
    <w:name w:val="annotation text"/>
    <w:basedOn w:val="668"/>
    <w:link w:val="740"/>
    <w:uiPriority w:val="99"/>
    <w:semiHidden/>
    <w:qFormat/>
    <w:pPr>
      <w:jc w:val="left"/>
    </w:pPr>
    <w:rPr>
      <w:sz w:val="20"/>
    </w:rPr>
  </w:style>
  <w:style w:type="paragraph" w:styleId="690">
    <w:name w:val="index 6"/>
    <w:basedOn w:val="668"/>
    <w:next w:val="668"/>
    <w:uiPriority w:val="99"/>
    <w:semiHidden/>
    <w:qFormat/>
    <w:pPr>
      <w:ind w:left="2100"/>
    </w:pPr>
  </w:style>
  <w:style w:type="paragraph" w:styleId="691">
    <w:name w:val="Body Text 3"/>
    <w:basedOn w:val="668"/>
    <w:link w:val="741"/>
    <w:uiPriority w:val="99"/>
    <w:qFormat/>
    <w:rPr>
      <w:sz w:val="16"/>
      <w:szCs w:val="16"/>
    </w:rPr>
  </w:style>
  <w:style w:type="paragraph" w:styleId="692">
    <w:name w:val="Body Text"/>
    <w:basedOn w:val="668"/>
    <w:next w:val="668"/>
    <w:link w:val="742"/>
    <w:uiPriority w:val="99"/>
    <w:qFormat/>
    <w:rPr>
      <w:sz w:val="20"/>
    </w:rPr>
  </w:style>
  <w:style w:type="paragraph" w:styleId="693">
    <w:name w:val="index 4"/>
    <w:basedOn w:val="668"/>
    <w:next w:val="668"/>
    <w:uiPriority w:val="99"/>
    <w:semiHidden/>
    <w:qFormat/>
    <w:pPr>
      <w:ind w:left="1260"/>
    </w:pPr>
  </w:style>
  <w:style w:type="paragraph" w:styleId="694">
    <w:name w:val="toc 5"/>
    <w:basedOn w:val="668"/>
    <w:next w:val="668"/>
    <w:uiPriority w:val="99"/>
    <w:semiHidden/>
    <w:qFormat/>
    <w:pPr>
      <w:ind w:left="840"/>
      <w:jc w:val="left"/>
    </w:pPr>
    <w:rPr>
      <w:sz w:val="18"/>
    </w:rPr>
  </w:style>
  <w:style w:type="paragraph" w:styleId="695">
    <w:name w:val="toc 3"/>
    <w:basedOn w:val="668"/>
    <w:next w:val="668"/>
    <w:uiPriority w:val="39"/>
    <w:qFormat/>
    <w:pPr>
      <w:ind w:left="420"/>
      <w:jc w:val="left"/>
    </w:pPr>
    <w:rPr>
      <w:i/>
      <w:sz w:val="20"/>
    </w:rPr>
  </w:style>
  <w:style w:type="paragraph" w:styleId="696">
    <w:name w:val="Plain Text"/>
    <w:basedOn w:val="668"/>
    <w:link w:val="744"/>
    <w:uiPriority w:val="99"/>
    <w:qFormat/>
    <w:rPr>
      <w:rFonts w:ascii="宋体" w:hAnsi="Courier New"/>
      <w:szCs w:val="21"/>
    </w:rPr>
  </w:style>
  <w:style w:type="paragraph" w:styleId="697">
    <w:name w:val="toc 8"/>
    <w:basedOn w:val="668"/>
    <w:next w:val="668"/>
    <w:uiPriority w:val="99"/>
    <w:semiHidden/>
    <w:qFormat/>
    <w:pPr>
      <w:ind w:left="1470"/>
      <w:jc w:val="left"/>
    </w:pPr>
    <w:rPr>
      <w:sz w:val="18"/>
    </w:rPr>
  </w:style>
  <w:style w:type="paragraph" w:styleId="698">
    <w:name w:val="index 3"/>
    <w:basedOn w:val="668"/>
    <w:next w:val="668"/>
    <w:uiPriority w:val="99"/>
    <w:semiHidden/>
    <w:qFormat/>
    <w:pPr>
      <w:ind w:left="840"/>
    </w:pPr>
  </w:style>
  <w:style w:type="paragraph" w:styleId="699">
    <w:name w:val="Date"/>
    <w:basedOn w:val="668"/>
    <w:next w:val="668"/>
    <w:link w:val="745"/>
    <w:uiPriority w:val="99"/>
    <w:qFormat/>
    <w:pPr>
      <w:ind w:left="100"/>
    </w:pPr>
    <w:rPr>
      <w:sz w:val="20"/>
    </w:rPr>
  </w:style>
  <w:style w:type="paragraph" w:styleId="700">
    <w:name w:val="Body Text Indent 2"/>
    <w:basedOn w:val="668"/>
    <w:link w:val="746"/>
    <w:uiPriority w:val="99"/>
    <w:qFormat/>
    <w:pPr>
      <w:ind w:left="630" w:firstLine="645"/>
    </w:pPr>
    <w:rPr>
      <w:sz w:val="20"/>
    </w:rPr>
  </w:style>
  <w:style w:type="paragraph" w:styleId="701">
    <w:name w:val="Balloon Text"/>
    <w:basedOn w:val="668"/>
    <w:link w:val="747"/>
    <w:uiPriority w:val="99"/>
    <w:semiHidden/>
    <w:qFormat/>
    <w:rPr>
      <w:sz w:val="18"/>
      <w:szCs w:val="18"/>
    </w:rPr>
  </w:style>
  <w:style w:type="paragraph" w:styleId="702">
    <w:name w:val="Footer"/>
    <w:basedOn w:val="668"/>
    <w:link w:val="748"/>
    <w:uiPriority w:val="99"/>
    <w:qFormat/>
    <w:pPr>
      <w:jc w:val="left"/>
      <w:tabs>
        <w:tab w:val="center" w:pos="4153" w:leader="none"/>
        <w:tab w:val="right" w:pos="8306" w:leader="none"/>
      </w:tabs>
    </w:pPr>
    <w:rPr>
      <w:sz w:val="18"/>
    </w:rPr>
  </w:style>
  <w:style w:type="paragraph" w:styleId="703">
    <w:name w:val="Header"/>
    <w:basedOn w:val="668"/>
    <w:link w:val="749"/>
    <w:uiPriority w:val="99"/>
    <w:qFormat/>
    <w:pPr>
      <w:jc w:val="center"/>
      <w:tabs>
        <w:tab w:val="center" w:pos="4153" w:leader="none"/>
        <w:tab w:val="right" w:pos="8306" w:leader="none"/>
      </w:tabs>
      <w:pBdr>
        <w:bottom w:val="single" w:color="auto" w:sz="6" w:space="1"/>
      </w:pBdr>
    </w:pPr>
    <w:rPr>
      <w:sz w:val="18"/>
    </w:rPr>
  </w:style>
  <w:style w:type="paragraph" w:styleId="704">
    <w:name w:val="toc 1"/>
    <w:basedOn w:val="668"/>
    <w:next w:val="668"/>
    <w:uiPriority w:val="39"/>
    <w:qFormat/>
    <w:pPr>
      <w:jc w:val="left"/>
      <w:spacing w:before="120" w:after="120"/>
    </w:pPr>
    <w:rPr>
      <w:b/>
      <w:caps/>
      <w:sz w:val="20"/>
    </w:rPr>
  </w:style>
  <w:style w:type="paragraph" w:styleId="705">
    <w:name w:val="toc 4"/>
    <w:basedOn w:val="668"/>
    <w:next w:val="668"/>
    <w:uiPriority w:val="99"/>
    <w:semiHidden/>
    <w:qFormat/>
    <w:pPr>
      <w:ind w:left="630"/>
      <w:jc w:val="left"/>
    </w:pPr>
    <w:rPr>
      <w:sz w:val="18"/>
    </w:rPr>
  </w:style>
  <w:style w:type="paragraph" w:styleId="706">
    <w:name w:val="index heading"/>
    <w:basedOn w:val="668"/>
    <w:next w:val="707"/>
    <w:uiPriority w:val="99"/>
    <w:semiHidden/>
    <w:qFormat/>
  </w:style>
  <w:style w:type="paragraph" w:styleId="707">
    <w:name w:val="index 1"/>
    <w:basedOn w:val="668"/>
    <w:next w:val="668"/>
    <w:uiPriority w:val="99"/>
    <w:semiHidden/>
    <w:qFormat/>
    <w:pPr>
      <w:jc w:val="center"/>
    </w:pPr>
    <w:rPr>
      <w:rFonts w:ascii="仿宋_GB2312" w:hAnsi="宋体" w:eastAsia="仿宋_GB2312"/>
      <w:sz w:val="30"/>
      <w:szCs w:val="24"/>
    </w:rPr>
  </w:style>
  <w:style w:type="paragraph" w:styleId="708">
    <w:name w:val="Subtitle"/>
    <w:basedOn w:val="668"/>
    <w:next w:val="668"/>
    <w:link w:val="750"/>
    <w:uiPriority w:val="0"/>
    <w:qFormat/>
    <w:pPr>
      <w:jc w:val="center"/>
      <w:spacing w:before="240" w:after="60" w:line="312" w:lineRule="auto"/>
      <w:outlineLvl w:val="1"/>
    </w:pPr>
    <w:rPr>
      <w:rFonts w:ascii="Cambria" w:hAnsi="Cambria"/>
      <w:b/>
      <w:bCs/>
      <w:sz w:val="32"/>
      <w:szCs w:val="32"/>
    </w:rPr>
  </w:style>
  <w:style w:type="paragraph" w:styleId="709">
    <w:name w:val="toc 6"/>
    <w:basedOn w:val="668"/>
    <w:next w:val="668"/>
    <w:uiPriority w:val="99"/>
    <w:semiHidden/>
    <w:qFormat/>
    <w:pPr>
      <w:ind w:left="1050"/>
      <w:jc w:val="left"/>
    </w:pPr>
    <w:rPr>
      <w:sz w:val="18"/>
    </w:rPr>
  </w:style>
  <w:style w:type="paragraph" w:styleId="710">
    <w:name w:val="Body Text Indent 3"/>
    <w:basedOn w:val="668"/>
    <w:link w:val="751"/>
    <w:uiPriority w:val="99"/>
    <w:qFormat/>
    <w:pPr>
      <w:ind w:left="645" w:firstLine="645"/>
    </w:pPr>
    <w:rPr>
      <w:sz w:val="16"/>
      <w:szCs w:val="16"/>
    </w:rPr>
  </w:style>
  <w:style w:type="paragraph" w:styleId="711">
    <w:name w:val="index 7"/>
    <w:basedOn w:val="668"/>
    <w:next w:val="668"/>
    <w:uiPriority w:val="99"/>
    <w:semiHidden/>
    <w:qFormat/>
    <w:pPr>
      <w:ind w:left="2520"/>
    </w:pPr>
  </w:style>
  <w:style w:type="paragraph" w:styleId="712">
    <w:name w:val="index 9"/>
    <w:basedOn w:val="668"/>
    <w:next w:val="668"/>
    <w:uiPriority w:val="99"/>
    <w:semiHidden/>
    <w:qFormat/>
    <w:pPr>
      <w:ind w:left="3360"/>
    </w:pPr>
  </w:style>
  <w:style w:type="paragraph" w:styleId="713">
    <w:name w:val="table of figures"/>
    <w:basedOn w:val="668"/>
    <w:next w:val="668"/>
    <w:uiPriority w:val="99"/>
    <w:semiHidden/>
    <w:qFormat/>
    <w:pPr>
      <w:ind w:left="840" w:hanging="420"/>
    </w:pPr>
  </w:style>
  <w:style w:type="paragraph" w:styleId="714">
    <w:name w:val="toc 2"/>
    <w:basedOn w:val="668"/>
    <w:next w:val="668"/>
    <w:uiPriority w:val="39"/>
    <w:qFormat/>
    <w:pPr>
      <w:ind w:left="210"/>
      <w:jc w:val="left"/>
    </w:pPr>
    <w:rPr>
      <w:smallCaps/>
      <w:sz w:val="20"/>
    </w:rPr>
  </w:style>
  <w:style w:type="paragraph" w:styleId="715">
    <w:name w:val="toc 9"/>
    <w:basedOn w:val="668"/>
    <w:next w:val="668"/>
    <w:uiPriority w:val="99"/>
    <w:semiHidden/>
    <w:qFormat/>
    <w:pPr>
      <w:ind w:left="1680"/>
      <w:jc w:val="left"/>
    </w:pPr>
    <w:rPr>
      <w:sz w:val="18"/>
    </w:rPr>
  </w:style>
  <w:style w:type="paragraph" w:styleId="716">
    <w:name w:val="Body Text 2"/>
    <w:basedOn w:val="668"/>
    <w:link w:val="752"/>
    <w:uiPriority w:val="99"/>
    <w:qFormat/>
    <w:pPr>
      <w:jc w:val="center"/>
      <w:widowControl/>
    </w:pPr>
    <w:rPr>
      <w:sz w:val="20"/>
    </w:rPr>
  </w:style>
  <w:style w:type="paragraph" w:styleId="717">
    <w:name w:val="HTML Preformatted"/>
    <w:basedOn w:val="668"/>
    <w:link w:val="7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18">
    <w:name w:val="Normal (Web)"/>
    <w:basedOn w:val="668"/>
    <w:uiPriority w:val="99"/>
    <w:qFormat/>
    <w:pPr>
      <w:jc w:val="left"/>
      <w:spacing w:before="100" w:beforeAutospacing="1" w:after="100" w:afterAutospacing="1"/>
      <w:widowControl/>
    </w:pPr>
    <w:rPr>
      <w:rFonts w:ascii="Arial" w:hAnsi="Arial" w:cs="Arial"/>
      <w:sz w:val="24"/>
      <w:szCs w:val="24"/>
    </w:rPr>
  </w:style>
  <w:style w:type="paragraph" w:styleId="719">
    <w:name w:val="index 2"/>
    <w:basedOn w:val="668"/>
    <w:next w:val="668"/>
    <w:uiPriority w:val="99"/>
    <w:semiHidden/>
    <w:qFormat/>
    <w:pPr>
      <w:ind w:left="420"/>
    </w:pPr>
  </w:style>
  <w:style w:type="paragraph" w:styleId="720">
    <w:name w:val="Title"/>
    <w:basedOn w:val="668"/>
    <w:next w:val="668"/>
    <w:link w:val="754"/>
    <w:uiPriority w:val="10"/>
    <w:qFormat/>
    <w:pPr>
      <w:jc w:val="center"/>
      <w:spacing w:before="240" w:after="60"/>
      <w:outlineLvl w:val="0"/>
    </w:pPr>
    <w:rPr>
      <w:rFonts w:ascii="等线 Light" w:hAnsi="等线 Light"/>
      <w:b/>
      <w:bCs/>
      <w:sz w:val="32"/>
      <w:szCs w:val="32"/>
    </w:rPr>
  </w:style>
  <w:style w:type="paragraph" w:styleId="721">
    <w:name w:val="annotation subject"/>
    <w:basedOn w:val="689"/>
    <w:next w:val="689"/>
    <w:link w:val="755"/>
    <w:uiPriority w:val="99"/>
    <w:semiHidden/>
    <w:qFormat/>
    <w:rPr>
      <w:b/>
      <w:bCs/>
    </w:rPr>
  </w:style>
  <w:style w:type="paragraph" w:styleId="722">
    <w:name w:val="Body Text First Indent"/>
    <w:basedOn w:val="692"/>
    <w:link w:val="756"/>
    <w:uiPriority w:val="99"/>
    <w:qFormat/>
    <w:pPr>
      <w:ind w:firstLine="420"/>
      <w:spacing w:after="120"/>
    </w:pPr>
    <w:rPr>
      <w:sz w:val="21"/>
      <w:szCs w:val="24"/>
    </w:rPr>
  </w:style>
  <w:style w:type="table" w:styleId="723">
    <w:name w:val="Table Grid"/>
    <w:basedOn w:val="67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78"/>
    <w:uiPriority w:val="22"/>
    <w:qFormat/>
    <w:rPr>
      <w:b/>
    </w:rPr>
  </w:style>
  <w:style w:type="character" w:styleId="725">
    <w:name w:val="page number"/>
    <w:uiPriority w:val="0"/>
    <w:qFormat/>
    <w:rPr>
      <w:rFonts w:cs="Times New Roman"/>
    </w:rPr>
  </w:style>
  <w:style w:type="character" w:styleId="726">
    <w:name w:val="FollowedHyperlink"/>
    <w:uiPriority w:val="99"/>
    <w:qFormat/>
    <w:rPr>
      <w:rFonts w:cs="Times New Roman"/>
      <w:color w:val="800080"/>
      <w:u w:val="single"/>
    </w:rPr>
  </w:style>
  <w:style w:type="character" w:styleId="727">
    <w:name w:val="Hyperlink"/>
    <w:uiPriority w:val="99"/>
    <w:qFormat/>
    <w:rPr>
      <w:rFonts w:cs="Times New Roman"/>
      <w:color w:val="0000ff"/>
      <w:u w:val="single"/>
    </w:rPr>
  </w:style>
  <w:style w:type="character" w:styleId="728">
    <w:name w:val="annotation reference"/>
    <w:uiPriority w:val="0"/>
    <w:semiHidden/>
    <w:qFormat/>
    <w:rPr>
      <w:rFonts w:cs="Times New Roman"/>
      <w:sz w:val="21"/>
    </w:rPr>
  </w:style>
  <w:style w:type="character" w:styleId="729" w:customStyle="1">
    <w:name w:val="标题 1 Char"/>
    <w:link w:val="669"/>
    <w:uiPriority w:val="0"/>
    <w:qFormat/>
    <w:rPr>
      <w:rFonts w:ascii="黑体" w:eastAsia="黑体" w:cs="Times New Roman"/>
      <w:b/>
      <w:sz w:val="28"/>
      <w:lang w:val="en-US" w:eastAsia="zh-CN"/>
    </w:rPr>
  </w:style>
  <w:style w:type="character" w:styleId="730" w:customStyle="1">
    <w:name w:val="标题 2 Char"/>
    <w:link w:val="670"/>
    <w:uiPriority w:val="99"/>
    <w:semiHidden/>
    <w:qFormat/>
    <w:rPr>
      <w:rFonts w:ascii="Cambria" w:hAnsi="Cambria" w:eastAsia="宋体" w:cs="Times New Roman"/>
      <w:b/>
      <w:bCs/>
      <w:sz w:val="32"/>
      <w:szCs w:val="32"/>
    </w:rPr>
  </w:style>
  <w:style w:type="character" w:styleId="731" w:customStyle="1">
    <w:name w:val="标题 3 Char1"/>
    <w:link w:val="671"/>
    <w:uiPriority w:val="99"/>
    <w:semiHidden/>
    <w:qFormat/>
    <w:rPr>
      <w:rFonts w:cs="Times New Roman"/>
      <w:b/>
      <w:bCs/>
      <w:sz w:val="32"/>
      <w:szCs w:val="32"/>
    </w:rPr>
  </w:style>
  <w:style w:type="character" w:styleId="732" w:customStyle="1">
    <w:name w:val="正文缩进 Char"/>
    <w:link w:val="683"/>
    <w:uiPriority w:val="99"/>
    <w:qFormat/>
    <w:rPr>
      <w:rFonts w:eastAsia="宋体" w:cs="Times New Roman"/>
      <w:sz w:val="21"/>
      <w:lang w:val="en-US" w:eastAsia="zh-CN" w:bidi="ar-SA"/>
    </w:rPr>
  </w:style>
  <w:style w:type="character" w:styleId="733" w:customStyle="1">
    <w:name w:val="标题 4 Char"/>
    <w:link w:val="672"/>
    <w:uiPriority w:val="99"/>
    <w:semiHidden/>
    <w:qFormat/>
    <w:rPr>
      <w:rFonts w:ascii="Cambria" w:hAnsi="Cambria" w:eastAsia="宋体" w:cs="Times New Roman"/>
      <w:b/>
      <w:bCs/>
      <w:sz w:val="28"/>
      <w:szCs w:val="28"/>
    </w:rPr>
  </w:style>
  <w:style w:type="character" w:styleId="734" w:customStyle="1">
    <w:name w:val="标题 5 Char"/>
    <w:link w:val="673"/>
    <w:uiPriority w:val="99"/>
    <w:semiHidden/>
    <w:qFormat/>
    <w:rPr>
      <w:rFonts w:cs="Times New Roman"/>
      <w:b/>
      <w:bCs/>
      <w:sz w:val="28"/>
      <w:szCs w:val="28"/>
    </w:rPr>
  </w:style>
  <w:style w:type="character" w:styleId="735" w:customStyle="1">
    <w:name w:val="标题 6 Char"/>
    <w:link w:val="674"/>
    <w:uiPriority w:val="99"/>
    <w:semiHidden/>
    <w:qFormat/>
    <w:rPr>
      <w:rFonts w:ascii="Cambria" w:hAnsi="Cambria" w:eastAsia="宋体" w:cs="Times New Roman"/>
      <w:b/>
      <w:bCs/>
      <w:sz w:val="24"/>
      <w:szCs w:val="24"/>
    </w:rPr>
  </w:style>
  <w:style w:type="character" w:styleId="736" w:customStyle="1">
    <w:name w:val="标题 7 Char"/>
    <w:link w:val="675"/>
    <w:uiPriority w:val="99"/>
    <w:semiHidden/>
    <w:qFormat/>
    <w:rPr>
      <w:rFonts w:cs="Times New Roman"/>
      <w:b/>
      <w:bCs/>
      <w:sz w:val="24"/>
      <w:szCs w:val="24"/>
    </w:rPr>
  </w:style>
  <w:style w:type="character" w:styleId="737" w:customStyle="1">
    <w:name w:val="标题 8 Char"/>
    <w:link w:val="676"/>
    <w:uiPriority w:val="99"/>
    <w:semiHidden/>
    <w:qFormat/>
    <w:rPr>
      <w:rFonts w:ascii="Cambria" w:hAnsi="Cambria" w:eastAsia="宋体" w:cs="Times New Roman"/>
      <w:sz w:val="24"/>
      <w:szCs w:val="24"/>
    </w:rPr>
  </w:style>
  <w:style w:type="character" w:styleId="738" w:customStyle="1">
    <w:name w:val="标题 9 Char"/>
    <w:link w:val="677"/>
    <w:uiPriority w:val="99"/>
    <w:semiHidden/>
    <w:qFormat/>
    <w:rPr>
      <w:rFonts w:ascii="Cambria" w:hAnsi="Cambria" w:eastAsia="宋体" w:cs="Times New Roman"/>
      <w:sz w:val="21"/>
      <w:szCs w:val="21"/>
    </w:rPr>
  </w:style>
  <w:style w:type="character" w:styleId="739" w:customStyle="1">
    <w:name w:val="文档结构图 Char"/>
    <w:link w:val="688"/>
    <w:uiPriority w:val="99"/>
    <w:semiHidden/>
    <w:qFormat/>
    <w:rPr>
      <w:sz w:val="21"/>
      <w:shd w:val="clear" w:color="auto" w:fill="000080"/>
    </w:rPr>
  </w:style>
  <w:style w:type="character" w:styleId="740" w:customStyle="1">
    <w:name w:val="批注文字 Char"/>
    <w:link w:val="689"/>
    <w:uiPriority w:val="99"/>
    <w:semiHidden/>
    <w:qFormat/>
    <w:rPr>
      <w:rFonts w:cs="Times New Roman"/>
      <w:sz w:val="20"/>
      <w:szCs w:val="20"/>
    </w:rPr>
  </w:style>
  <w:style w:type="character" w:styleId="741" w:customStyle="1">
    <w:name w:val="正文文本 3 Char"/>
    <w:link w:val="691"/>
    <w:uiPriority w:val="99"/>
    <w:semiHidden/>
    <w:qFormat/>
    <w:rPr>
      <w:rFonts w:cs="Times New Roman"/>
      <w:sz w:val="16"/>
      <w:szCs w:val="16"/>
    </w:rPr>
  </w:style>
  <w:style w:type="character" w:styleId="742" w:customStyle="1">
    <w:name w:val="正文文本 Char"/>
    <w:link w:val="692"/>
    <w:uiPriority w:val="99"/>
    <w:semiHidden/>
    <w:qFormat/>
    <w:rPr>
      <w:rFonts w:cs="Times New Roman"/>
      <w:sz w:val="20"/>
      <w:szCs w:val="20"/>
    </w:rPr>
  </w:style>
  <w:style w:type="character" w:styleId="743" w:customStyle="1">
    <w:name w:val="正文文本缩进 Char"/>
    <w:link w:val="681"/>
    <w:uiPriority w:val="99"/>
    <w:semiHidden/>
    <w:qFormat/>
    <w:rPr>
      <w:rFonts w:cs="Times New Roman"/>
      <w:sz w:val="20"/>
      <w:szCs w:val="20"/>
    </w:rPr>
  </w:style>
  <w:style w:type="character" w:styleId="744" w:customStyle="1">
    <w:name w:val="纯文本 Char"/>
    <w:link w:val="696"/>
    <w:uiPriority w:val="99"/>
    <w:semiHidden/>
    <w:qFormat/>
    <w:rPr>
      <w:rFonts w:ascii="宋体" w:hAnsi="Courier New" w:cs="Courier New"/>
      <w:sz w:val="21"/>
      <w:szCs w:val="21"/>
    </w:rPr>
  </w:style>
  <w:style w:type="character" w:styleId="745" w:customStyle="1">
    <w:name w:val="日期 Char"/>
    <w:link w:val="699"/>
    <w:uiPriority w:val="99"/>
    <w:semiHidden/>
    <w:qFormat/>
    <w:rPr>
      <w:rFonts w:cs="Times New Roman"/>
      <w:sz w:val="20"/>
      <w:szCs w:val="20"/>
    </w:rPr>
  </w:style>
  <w:style w:type="character" w:styleId="746" w:customStyle="1">
    <w:name w:val="正文文本缩进 2 Char"/>
    <w:link w:val="700"/>
    <w:uiPriority w:val="99"/>
    <w:semiHidden/>
    <w:qFormat/>
    <w:rPr>
      <w:rFonts w:cs="Times New Roman"/>
      <w:sz w:val="20"/>
      <w:szCs w:val="20"/>
    </w:rPr>
  </w:style>
  <w:style w:type="character" w:styleId="747" w:customStyle="1">
    <w:name w:val="批注框文本 Char"/>
    <w:link w:val="701"/>
    <w:uiPriority w:val="99"/>
    <w:semiHidden/>
    <w:qFormat/>
    <w:rPr>
      <w:sz w:val="18"/>
      <w:szCs w:val="18"/>
    </w:rPr>
  </w:style>
  <w:style w:type="character" w:styleId="748" w:customStyle="1">
    <w:name w:val="页脚 Char"/>
    <w:link w:val="702"/>
    <w:uiPriority w:val="99"/>
    <w:qFormat/>
    <w:rPr>
      <w:rFonts w:eastAsia="宋体" w:cs="Times New Roman"/>
      <w:sz w:val="18"/>
      <w:lang w:val="en-US" w:eastAsia="zh-CN" w:bidi="ar-SA"/>
    </w:rPr>
  </w:style>
  <w:style w:type="character" w:styleId="749" w:customStyle="1">
    <w:name w:val="页眉 Char"/>
    <w:link w:val="703"/>
    <w:uiPriority w:val="99"/>
    <w:semiHidden/>
    <w:qFormat/>
    <w:rPr>
      <w:rFonts w:eastAsia="宋体" w:cs="Times New Roman"/>
      <w:sz w:val="18"/>
      <w:lang w:val="en-US" w:eastAsia="zh-CN" w:bidi="ar-SA"/>
    </w:rPr>
  </w:style>
  <w:style w:type="character" w:styleId="750" w:customStyle="1">
    <w:name w:val="副标题 Char"/>
    <w:link w:val="708"/>
    <w:uiPriority w:val="0"/>
    <w:qFormat/>
    <w:rPr>
      <w:rFonts w:ascii="Cambria" w:hAnsi="Cambria" w:cs="Times New Roman"/>
      <w:b/>
      <w:bCs/>
      <w:sz w:val="32"/>
      <w:szCs w:val="32"/>
    </w:rPr>
  </w:style>
  <w:style w:type="character" w:styleId="751" w:customStyle="1">
    <w:name w:val="正文文本缩进 3 Char"/>
    <w:link w:val="710"/>
    <w:uiPriority w:val="99"/>
    <w:semiHidden/>
    <w:qFormat/>
    <w:rPr>
      <w:rFonts w:cs="Times New Roman"/>
      <w:sz w:val="16"/>
      <w:szCs w:val="16"/>
    </w:rPr>
  </w:style>
  <w:style w:type="character" w:styleId="752" w:customStyle="1">
    <w:name w:val="正文文本 2 Char"/>
    <w:link w:val="716"/>
    <w:uiPriority w:val="99"/>
    <w:semiHidden/>
    <w:qFormat/>
    <w:rPr>
      <w:rFonts w:cs="Times New Roman"/>
      <w:sz w:val="20"/>
      <w:szCs w:val="20"/>
    </w:rPr>
  </w:style>
  <w:style w:type="character" w:styleId="753" w:customStyle="1">
    <w:name w:val="HTML 预设格式 Char"/>
    <w:link w:val="717"/>
    <w:uiPriority w:val="99"/>
    <w:semiHidden/>
    <w:qFormat/>
    <w:rPr>
      <w:rFonts w:ascii="Courier New" w:hAnsi="Courier New" w:cs="Courier New"/>
      <w:sz w:val="20"/>
      <w:szCs w:val="20"/>
    </w:rPr>
  </w:style>
  <w:style w:type="character" w:styleId="754" w:customStyle="1">
    <w:name w:val="标题 Char"/>
    <w:link w:val="720"/>
    <w:uiPriority w:val="10"/>
    <w:qFormat/>
    <w:rPr>
      <w:rFonts w:ascii="等线 Light" w:hAnsi="等线 Light" w:cs="Times New Roman"/>
      <w:b/>
      <w:bCs/>
      <w:sz w:val="32"/>
      <w:szCs w:val="32"/>
    </w:rPr>
  </w:style>
  <w:style w:type="character" w:styleId="755" w:customStyle="1">
    <w:name w:val="批注主题 Char"/>
    <w:link w:val="721"/>
    <w:uiPriority w:val="99"/>
    <w:semiHidden/>
    <w:qFormat/>
    <w:rPr>
      <w:rFonts w:cs="Times New Roman"/>
      <w:b/>
      <w:bCs/>
      <w:sz w:val="20"/>
      <w:szCs w:val="20"/>
    </w:rPr>
  </w:style>
  <w:style w:type="character" w:styleId="756" w:customStyle="1">
    <w:name w:val="正文首行缩进 Char"/>
    <w:basedOn w:val="742"/>
    <w:link w:val="722"/>
    <w:uiPriority w:val="99"/>
    <w:semiHidden/>
    <w:qFormat/>
    <w:rPr>
      <w:rFonts w:cs="Times New Roman"/>
      <w:sz w:val="20"/>
      <w:szCs w:val="20"/>
    </w:rPr>
  </w:style>
  <w:style w:type="character" w:styleId="757" w:customStyle="1">
    <w:name w:val="point_normal1"/>
    <w:uiPriority w:val="99"/>
    <w:qFormat/>
    <w:rPr>
      <w:rFonts w:ascii="Arial" w:hAnsi="Arial" w:cs="Arial"/>
      <w:sz w:val="18"/>
      <w:szCs w:val="18"/>
    </w:rPr>
  </w:style>
  <w:style w:type="character" w:styleId="758" w:customStyle="1">
    <w:name w:val="页脚 字符"/>
    <w:uiPriority w:val="99"/>
    <w:qFormat/>
  </w:style>
  <w:style w:type="character" w:styleId="759" w:customStyle="1">
    <w:name w:val="HTML Markup"/>
    <w:uiPriority w:val="0"/>
    <w:qFormat/>
    <w:rPr>
      <w:vanish/>
      <w:color w:val="ff0000"/>
    </w:rPr>
  </w:style>
  <w:style w:type="character" w:styleId="760" w:customStyle="1">
    <w:name w:val="标题 3 Char"/>
    <w:uiPriority w:val="99"/>
    <w:qFormat/>
    <w:rPr>
      <w:rFonts w:ascii="宋体" w:hAnsi="宋体" w:eastAsia="宋体" w:cs="Times New Roman"/>
      <w:b/>
      <w:bCs/>
      <w:sz w:val="32"/>
      <w:szCs w:val="32"/>
      <w:lang w:val="en-US" w:eastAsia="zh-CN" w:bidi="ar-SA"/>
    </w:rPr>
  </w:style>
  <w:style w:type="character" w:styleId="761" w:customStyle="1">
    <w:name w:val="para_small"/>
    <w:uiPriority w:val="99"/>
    <w:qFormat/>
    <w:rPr>
      <w:rFonts w:cs="Times New Roman"/>
    </w:rPr>
  </w:style>
  <w:style w:type="character" w:styleId="762" w:customStyle="1">
    <w:name w:val="_Style 91"/>
    <w:uiPriority w:val="99"/>
    <w:unhideWhenUsed/>
    <w:qFormat/>
    <w:rPr>
      <w:color w:val="808080"/>
      <w:shd w:val="clear" w:color="auto" w:fill="e6e6e6"/>
    </w:rPr>
  </w:style>
  <w:style w:type="character" w:styleId="763" w:customStyle="1">
    <w:name w:val="_Style 92"/>
    <w:uiPriority w:val="33"/>
    <w:qFormat/>
    <w:rPr>
      <w:b/>
      <w:bCs/>
      <w:smallCaps/>
      <w:spacing w:val="5"/>
    </w:rPr>
  </w:style>
  <w:style w:type="paragraph" w:styleId="764" w:customStyle="1">
    <w:name w:val="font6"/>
    <w:basedOn w:val="668"/>
    <w:uiPriority w:val="0"/>
    <w:qFormat/>
    <w:pPr>
      <w:jc w:val="left"/>
      <w:spacing w:before="100" w:beforeAutospacing="1" w:after="100" w:afterAutospacing="1"/>
      <w:widowControl/>
    </w:pPr>
    <w:rPr>
      <w:rFonts w:ascii="宋体" w:hAnsi="宋体" w:cs="宋体"/>
      <w:color w:val="000000"/>
      <w:sz w:val="20"/>
    </w:rPr>
  </w:style>
  <w:style w:type="paragraph" w:styleId="765" w:customStyle="1">
    <w:name w:val="Bullets L1"/>
    <w:basedOn w:val="668"/>
    <w:uiPriority w:val="99"/>
    <w:qFormat/>
    <w:pPr>
      <w:numPr>
        <w:ilvl w:val="0"/>
        <w:numId w:val="1"/>
      </w:numPr>
      <w:jc w:val="left"/>
      <w:spacing w:before="60" w:after="60"/>
      <w:widowControl/>
    </w:pPr>
    <w:rPr>
      <w:rFonts w:ascii="Arial" w:hAnsi="Arial"/>
      <w:sz w:val="20"/>
    </w:rPr>
  </w:style>
  <w:style w:type="paragraph" w:styleId="766" w:customStyle="1">
    <w:name w:val="Char"/>
    <w:basedOn w:val="668"/>
    <w:uiPriority w:val="0"/>
    <w:qFormat/>
    <w:rPr>
      <w:rFonts w:ascii="Tahoma" w:hAnsi="Tahoma" w:cs="仿宋_GB2312"/>
      <w:sz w:val="24"/>
      <w:szCs w:val="28"/>
    </w:rPr>
  </w:style>
  <w:style w:type="paragraph" w:styleId="767" w:customStyle="1">
    <w:name w:val="xl110"/>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768" w:customStyle="1">
    <w:name w:val="xl112"/>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769" w:customStyle="1">
    <w:name w:val="ewb-con-p2"/>
    <w:basedOn w:val="668"/>
    <w:uiPriority w:val="0"/>
    <w:qFormat/>
    <w:pPr>
      <w:jc w:val="left"/>
      <w:spacing w:before="100" w:beforeAutospacing="1" w:after="100" w:afterAutospacing="1"/>
      <w:widowControl/>
    </w:pPr>
    <w:rPr>
      <w:rFonts w:ascii="宋体" w:hAnsi="宋体" w:cs="宋体"/>
      <w:sz w:val="24"/>
      <w:szCs w:val="24"/>
    </w:rPr>
  </w:style>
  <w:style w:type="paragraph" w:styleId="770" w:customStyle="1">
    <w:name w:val="默认段落字体 Para Char"/>
    <w:basedOn w:val="668"/>
    <w:uiPriority w:val="99"/>
    <w:qFormat/>
    <w:rPr>
      <w:sz w:val="24"/>
      <w:szCs w:val="24"/>
    </w:rPr>
  </w:style>
  <w:style w:type="paragraph" w:styleId="771" w:customStyle="1">
    <w:name w:val="丁华标题3"/>
    <w:basedOn w:val="772"/>
    <w:next w:val="773"/>
    <w:uiPriority w:val="99"/>
    <w:qFormat/>
    <w:pPr>
      <w:numPr>
        <w:numId w:val="0"/>
      </w:numPr>
      <w:ind w:left="1980" w:hanging="420"/>
      <w:spacing w:after="0"/>
      <w:tabs>
        <w:tab w:val="left" w:pos="567" w:leader="none"/>
        <w:tab w:val="left" w:pos="1470" w:leader="none"/>
        <w:tab w:val="left" w:pos="1980" w:leader="none"/>
      </w:tabs>
      <w:outlineLvl w:val="2"/>
    </w:pPr>
    <w:rPr>
      <w:sz w:val="24"/>
    </w:rPr>
  </w:style>
  <w:style w:type="paragraph" w:styleId="772" w:customStyle="1">
    <w:name w:val="丁华标题2"/>
    <w:basedOn w:val="670"/>
    <w:next w:val="773"/>
    <w:uiPriority w:val="99"/>
    <w:qFormat/>
    <w:pPr>
      <w:numPr>
        <w:ilvl w:val="1"/>
        <w:numId w:val="2"/>
      </w:numPr>
      <w:spacing w:line="415" w:lineRule="auto"/>
      <w:tabs>
        <w:tab w:val="left" w:pos="567" w:leader="none"/>
        <w:tab w:val="clear" w:pos="1004" w:leader="none"/>
      </w:tabs>
    </w:pPr>
    <w:rPr>
      <w:rFonts w:ascii="Arial" w:hAnsi="Arial" w:eastAsia="黑体"/>
      <w:b w:val="0"/>
      <w:sz w:val="28"/>
      <w:szCs w:val="20"/>
    </w:rPr>
  </w:style>
  <w:style w:type="paragraph" w:styleId="773" w:customStyle="1">
    <w:name w:val="丁华正文"/>
    <w:basedOn w:val="710"/>
    <w:uiPriority w:val="99"/>
    <w:qFormat/>
    <w:pPr>
      <w:ind w:left="0" w:firstLine="510"/>
      <w:spacing w:line="360" w:lineRule="auto"/>
    </w:pPr>
    <w:rPr>
      <w:sz w:val="24"/>
    </w:rPr>
  </w:style>
  <w:style w:type="paragraph" w:styleId="774" w:customStyle="1">
    <w:name w:val="xl107"/>
    <w:basedOn w:val="668"/>
    <w:uiPriority w:val="0"/>
    <w:qFormat/>
    <w:pPr>
      <w:jc w:val="left"/>
      <w:spacing w:before="100" w:beforeAutospacing="1" w:after="100" w:afterAutospacing="1"/>
      <w:widowControl/>
    </w:pPr>
    <w:rPr>
      <w:rFonts w:ascii="Arial" w:hAnsi="Arial" w:cs="Arial"/>
      <w:sz w:val="20"/>
    </w:rPr>
  </w:style>
  <w:style w:type="paragraph" w:styleId="775" w:customStyle="1">
    <w:name w:val="xl117"/>
    <w:basedOn w:val="6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776" w:customStyle="1">
    <w:name w:val="Char Char Char"/>
    <w:basedOn w:val="688"/>
    <w:uiPriority w:val="99"/>
    <w:qFormat/>
    <w:pPr>
      <w:spacing w:line="436" w:lineRule="exact"/>
    </w:pPr>
    <w:rPr>
      <w:szCs w:val="24"/>
    </w:rPr>
  </w:style>
  <w:style w:type="paragraph" w:styleId="777" w:customStyle="1">
    <w:name w:val="tableau"/>
    <w:basedOn w:val="668"/>
    <w:uiPriority w:val="99"/>
    <w:qFormat/>
    <w:pPr>
      <w:jc w:val="center"/>
      <w:spacing w:before="20" w:after="20"/>
      <w:widowControl/>
    </w:pPr>
    <w:rPr>
      <w:rFonts w:ascii="Arial" w:hAnsi="Arial"/>
      <w:sz w:val="16"/>
      <w:lang w:eastAsia="en-US"/>
    </w:rPr>
  </w:style>
  <w:style w:type="paragraph" w:styleId="778" w:customStyle="1">
    <w:name w:val="丁华标题1"/>
    <w:basedOn w:val="669"/>
    <w:next w:val="773"/>
    <w:uiPriority w:val="99"/>
    <w:qFormat/>
    <w:pPr>
      <w:numPr>
        <w:ilvl w:val="0"/>
        <w:numId w:val="2"/>
      </w:numPr>
      <w:ind w:firstLine="0"/>
      <w:jc w:val="left"/>
      <w:keepLines/>
      <w:spacing w:before="0" w:line="578" w:lineRule="auto"/>
      <w:tabs>
        <w:tab w:val="clear" w:pos="567" w:leader="none"/>
        <w:tab w:val="clear" w:pos="1440" w:leader="none"/>
        <w:tab w:val="clear" w:pos="5670" w:leader="none"/>
      </w:tabs>
    </w:pPr>
    <w:rPr>
      <w:rFonts w:ascii="Times New Roman"/>
      <w:b w:val="0"/>
      <w:sz w:val="32"/>
    </w:rPr>
  </w:style>
  <w:style w:type="paragraph" w:styleId="779" w:customStyle="1">
    <w:name w:val="Item Step in Table"/>
    <w:uiPriority w:val="99"/>
    <w:qFormat/>
    <w:pPr>
      <w:numPr>
        <w:ilvl w:val="0"/>
        <w:numId w:val="3"/>
      </w:numPr>
      <w:jc w:val="both"/>
      <w:spacing w:before="40" w:after="40"/>
    </w:pPr>
    <w:rPr>
      <w:rFonts w:ascii="Arial" w:hAnsi="Arial" w:eastAsia="宋体" w:cs="Arial"/>
      <w:sz w:val="18"/>
      <w:szCs w:val="18"/>
      <w:lang w:val="en-US" w:eastAsia="zh-CN" w:bidi="ar-SA"/>
    </w:rPr>
  </w:style>
  <w:style w:type="paragraph" w:styleId="780"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781" w:customStyle="1">
    <w:name w:val="Blockquote"/>
    <w:basedOn w:val="668"/>
    <w:uiPriority w:val="0"/>
    <w:qFormat/>
    <w:pPr>
      <w:ind w:left="360" w:right="360"/>
      <w:jc w:val="left"/>
      <w:spacing w:before="100" w:after="100"/>
    </w:pPr>
    <w:rPr>
      <w:sz w:val="24"/>
    </w:rPr>
  </w:style>
  <w:style w:type="paragraph" w:styleId="782" w:customStyle="1">
    <w:name w:val="List Paragraph1"/>
    <w:basedOn w:val="668"/>
    <w:uiPriority w:val="99"/>
    <w:qFormat/>
    <w:pPr>
      <w:ind w:firstLine="420"/>
    </w:pPr>
    <w:rPr>
      <w:szCs w:val="24"/>
    </w:rPr>
  </w:style>
  <w:style w:type="paragraph" w:styleId="783" w:customStyle="1">
    <w:name w:val="xl114"/>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784" w:customStyle="1">
    <w:name w:val="p0"/>
    <w:basedOn w:val="668"/>
    <w:uiPriority w:val="99"/>
    <w:qFormat/>
    <w:pPr>
      <w:widowControl/>
    </w:pPr>
    <w:rPr>
      <w:szCs w:val="21"/>
    </w:rPr>
  </w:style>
  <w:style w:type="paragraph" w:styleId="785" w:customStyle="1">
    <w:name w:val="列出段落2"/>
    <w:basedOn w:val="668"/>
    <w:uiPriority w:val="34"/>
    <w:qFormat/>
    <w:pPr>
      <w:ind w:firstLine="420"/>
    </w:pPr>
  </w:style>
  <w:style w:type="paragraph" w:styleId="786" w:customStyle="1">
    <w:name w:val="样式"/>
    <w:basedOn w:val="668"/>
    <w:next w:val="692"/>
    <w:uiPriority w:val="99"/>
    <w:qFormat/>
    <w:rPr>
      <w:rFonts w:ascii="楷体_GB2312" w:hAnsi="Arial" w:eastAsia="楷体_GB2312"/>
      <w:sz w:val="28"/>
    </w:rPr>
  </w:style>
  <w:style w:type="paragraph" w:styleId="787" w:customStyle="1">
    <w:name w:val="论文正文"/>
    <w:basedOn w:val="700"/>
    <w:uiPriority w:val="99"/>
    <w:qFormat/>
    <w:pPr>
      <w:ind w:left="0" w:firstLine="200"/>
      <w:jc w:val="left"/>
      <w:spacing w:line="360" w:lineRule="auto"/>
    </w:pPr>
    <w:rPr>
      <w:sz w:val="28"/>
      <w:szCs w:val="24"/>
    </w:rPr>
  </w:style>
  <w:style w:type="paragraph" w:styleId="788" w:customStyle="1">
    <w:name w:val="xl116"/>
    <w:basedOn w:val="6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789" w:customStyle="1">
    <w:name w:val="Char Char Char Char Char Char Char Char Char Char Char Char Char"/>
    <w:basedOn w:val="688"/>
    <w:uiPriority w:val="99"/>
    <w:qFormat/>
    <w:rPr>
      <w:rFonts w:ascii="Tahoma" w:hAnsi="Tahoma"/>
      <w:sz w:val="24"/>
      <w:szCs w:val="24"/>
    </w:rPr>
  </w:style>
  <w:style w:type="paragraph" w:styleId="790" w:customStyle="1">
    <w:name w:val="0-正文-ry"/>
    <w:basedOn w:val="668"/>
    <w:uiPriority w:val="99"/>
    <w:qFormat/>
    <w:pPr>
      <w:ind w:firstLine="482"/>
      <w:spacing w:line="360" w:lineRule="auto"/>
    </w:pPr>
    <w:rPr>
      <w:b/>
      <w:bCs/>
    </w:rPr>
  </w:style>
  <w:style w:type="paragraph" w:styleId="791" w:customStyle="1">
    <w:name w:val="reader-word-layer"/>
    <w:basedOn w:val="668"/>
    <w:uiPriority w:val="0"/>
    <w:qFormat/>
    <w:pPr>
      <w:jc w:val="left"/>
      <w:spacing w:before="100" w:beforeAutospacing="1" w:after="100" w:afterAutospacing="1"/>
      <w:widowControl/>
    </w:pPr>
    <w:rPr>
      <w:rFonts w:ascii="宋体" w:hAnsi="宋体" w:cs="宋体"/>
      <w:sz w:val="24"/>
    </w:rPr>
  </w:style>
  <w:style w:type="paragraph" w:styleId="792" w:customStyle="1">
    <w:name w:val="retrait3"/>
    <w:basedOn w:val="668"/>
    <w:uiPriority w:val="99"/>
    <w:qFormat/>
    <w:pPr>
      <w:ind w:left="851"/>
      <w:jc w:val="left"/>
      <w:spacing w:before="20" w:after="20"/>
      <w:widowControl/>
    </w:pPr>
    <w:rPr>
      <w:rFonts w:ascii="Arial" w:hAnsi="Arial"/>
      <w:sz w:val="24"/>
    </w:rPr>
  </w:style>
  <w:style w:type="paragraph" w:styleId="793" w:customStyle="1">
    <w:name w:val="List Paragraph2"/>
    <w:basedOn w:val="668"/>
    <w:uiPriority w:val="99"/>
    <w:qFormat/>
    <w:pPr>
      <w:ind w:firstLine="420"/>
    </w:pPr>
  </w:style>
  <w:style w:type="paragraph" w:styleId="794" w:customStyle="1">
    <w:name w:val="xl10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795" w:customStyle="1">
    <w:name w:val="Char Char Char Char"/>
    <w:basedOn w:val="688"/>
    <w:uiPriority w:val="99"/>
    <w:qFormat/>
    <w:pPr>
      <w:spacing w:line="360" w:lineRule="auto"/>
    </w:pPr>
    <w:rPr>
      <w:rFonts w:ascii="Tahoma" w:hAnsi="Tahoma"/>
      <w:sz w:val="24"/>
      <w:szCs w:val="24"/>
    </w:rPr>
  </w:style>
  <w:style w:type="paragraph" w:styleId="796" w:customStyle="1">
    <w:name w:val="ewb-con-p"/>
    <w:basedOn w:val="668"/>
    <w:uiPriority w:val="0"/>
    <w:qFormat/>
    <w:pPr>
      <w:jc w:val="left"/>
      <w:spacing w:before="100" w:beforeAutospacing="1" w:after="100" w:afterAutospacing="1"/>
      <w:widowControl/>
    </w:pPr>
    <w:rPr>
      <w:rFonts w:ascii="宋体" w:hAnsi="宋体" w:cs="宋体"/>
      <w:sz w:val="24"/>
      <w:szCs w:val="24"/>
    </w:rPr>
  </w:style>
  <w:style w:type="paragraph" w:styleId="797" w:customStyle="1">
    <w:name w:val="font7"/>
    <w:basedOn w:val="668"/>
    <w:uiPriority w:val="0"/>
    <w:qFormat/>
    <w:pPr>
      <w:jc w:val="left"/>
      <w:spacing w:before="100" w:beforeAutospacing="1" w:after="100" w:afterAutospacing="1"/>
      <w:widowControl/>
    </w:pPr>
    <w:rPr>
      <w:rFonts w:ascii="Arial" w:hAnsi="Arial" w:cs="Arial"/>
      <w:color w:val="000000"/>
      <w:sz w:val="20"/>
    </w:rPr>
  </w:style>
  <w:style w:type="paragraph" w:styleId="798" w:customStyle="1">
    <w:name w:val="msolistparagraph"/>
    <w:basedOn w:val="668"/>
    <w:uiPriority w:val="99"/>
    <w:qFormat/>
    <w:pPr>
      <w:ind w:firstLine="420"/>
    </w:pPr>
    <w:rPr>
      <w:rFonts w:ascii="Calibri" w:hAnsi="Calibri"/>
      <w:szCs w:val="22"/>
    </w:rPr>
  </w:style>
  <w:style w:type="paragraph" w:styleId="799">
    <w:name w:val="No Spacing"/>
    <w:uiPriority w:val="1"/>
    <w:qFormat/>
    <w:pPr>
      <w:jc w:val="both"/>
      <w:widowControl w:val="off"/>
    </w:pPr>
    <w:rPr>
      <w:rFonts w:ascii="Times New Roman" w:hAnsi="Times New Roman" w:eastAsia="宋体" w:cs="Times New Roman"/>
      <w:sz w:val="21"/>
      <w:lang w:val="en-US" w:eastAsia="zh-CN" w:bidi="ar-SA"/>
    </w:rPr>
  </w:style>
  <w:style w:type="paragraph" w:styleId="800" w:customStyle="1">
    <w:name w:val="样式 小四号 行距: 1.5陪 + 首行缩进:  2 字符 + 首行缩进:  2 字符"/>
    <w:basedOn w:val="668"/>
    <w:uiPriority w:val="0"/>
    <w:qFormat/>
    <w:pPr>
      <w:ind w:firstLine="480"/>
      <w:spacing w:line="360" w:lineRule="auto"/>
    </w:pPr>
    <w:rPr>
      <w:rFonts w:cs="宋体"/>
      <w:sz w:val="24"/>
    </w:rPr>
  </w:style>
  <w:style w:type="paragraph" w:styleId="801" w:customStyle="1">
    <w:name w:val="Char1"/>
    <w:basedOn w:val="668"/>
    <w:uiPriority w:val="99"/>
    <w:qFormat/>
    <w:pPr>
      <w:jc w:val="left"/>
      <w:spacing w:after="160" w:line="240" w:lineRule="exact"/>
      <w:widowControl/>
    </w:pPr>
    <w:rPr>
      <w:rFonts w:ascii="Verdana" w:hAnsi="Verdana" w:eastAsia="仿宋_GB2312"/>
      <w:sz w:val="24"/>
      <w:lang w:eastAsia="en-US"/>
    </w:rPr>
  </w:style>
  <w:style w:type="paragraph" w:styleId="802" w:customStyle="1">
    <w:name w:val="标题6"/>
    <w:basedOn w:val="673"/>
    <w:uiPriority w:val="99"/>
    <w:qFormat/>
    <w:pPr>
      <w:numPr>
        <w:ilvl w:val="0"/>
        <w:numId w:val="4"/>
      </w:numPr>
      <w:keepLines/>
    </w:pPr>
    <w:rPr>
      <w:b w:val="0"/>
      <w:sz w:val="24"/>
    </w:rPr>
  </w:style>
  <w:style w:type="paragraph" w:styleId="803" w:customStyle="1">
    <w:name w:val="默认段落字体 Para Char Char Char Char Char Char Char"/>
    <w:basedOn w:val="668"/>
    <w:uiPriority w:val="99"/>
    <w:qFormat/>
  </w:style>
  <w:style w:type="paragraph" w:styleId="804">
    <w:name w:val="List Paragraph"/>
    <w:basedOn w:val="668"/>
    <w:uiPriority w:val="99"/>
    <w:qFormat/>
    <w:pPr>
      <w:ind w:firstLine="420"/>
    </w:pPr>
    <w:rPr>
      <w:rFonts w:ascii="Calibri" w:hAnsi="Calibri"/>
      <w:szCs w:val="22"/>
    </w:rPr>
  </w:style>
  <w:style w:type="paragraph" w:styleId="805" w:customStyle="1">
    <w:name w:val="Char Char2 Char Char"/>
    <w:basedOn w:val="688"/>
    <w:uiPriority w:val="99"/>
    <w:qFormat/>
    <w:pPr>
      <w:spacing w:line="436" w:lineRule="exact"/>
    </w:pPr>
    <w:rPr>
      <w:rFonts w:ascii="Tahoma" w:hAnsi="Tahoma"/>
      <w:sz w:val="24"/>
    </w:rPr>
  </w:style>
  <w:style w:type="paragraph" w:styleId="806" w:customStyle="1">
    <w:name w:val="xl115"/>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807" w:customStyle="1">
    <w:name w:val="xl25"/>
    <w:basedOn w:val="668"/>
    <w:uiPriority w:val="99"/>
    <w:qFormat/>
    <w:pPr>
      <w:jc w:val="center"/>
      <w:spacing w:before="100" w:beforeAutospacing="1" w:after="100" w:afterAutospacing="1"/>
      <w:widowControl/>
      <w:pBdr>
        <w:right w:val="single" w:color="auto" w:sz="4" w:space="0"/>
      </w:pBdr>
    </w:pPr>
    <w:rPr>
      <w:szCs w:val="21"/>
    </w:rPr>
  </w:style>
  <w:style w:type="paragraph" w:styleId="808" w:customStyle="1">
    <w:name w:val="xl111"/>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809" w:customStyle="1">
    <w:name w:val="列出段落1"/>
    <w:basedOn w:val="668"/>
    <w:uiPriority w:val="34"/>
    <w:qFormat/>
    <w:pPr>
      <w:contextualSpacing/>
      <w:ind w:left="720"/>
      <w:jc w:val="left"/>
      <w:widowControl/>
    </w:pPr>
    <w:rPr>
      <w:rFonts w:ascii="Arial" w:hAnsi="Arial" w:eastAsia="黑体"/>
      <w:sz w:val="24"/>
      <w:szCs w:val="24"/>
      <w:lang w:eastAsia="en-US"/>
    </w:rPr>
  </w:style>
  <w:style w:type="paragraph" w:styleId="810" w:customStyle="1">
    <w:name w:val="段落"/>
    <w:basedOn w:val="668"/>
    <w:uiPriority w:val="99"/>
    <w:qFormat/>
    <w:pPr>
      <w:ind w:firstLine="480"/>
      <w:spacing w:line="460" w:lineRule="exact"/>
    </w:pPr>
    <w:rPr>
      <w:sz w:val="24"/>
    </w:rPr>
  </w:style>
  <w:style w:type="paragraph" w:styleId="811" w:customStyle="1">
    <w:name w:val="xl113"/>
    <w:basedOn w:val="6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812" w:customStyle="1">
    <w:name w:val="xl10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813" w:customStyle="1">
    <w:name w:val="表格1"/>
    <w:basedOn w:val="668"/>
    <w:uiPriority w:val="99"/>
    <w:qFormat/>
    <w:rPr>
      <w:rFonts w:ascii="宋体"/>
      <w:szCs w:val="21"/>
    </w:rPr>
  </w:style>
  <w:style w:type="paragraph" w:styleId="814" w:customStyle="1">
    <w:name w:val="_Style 143"/>
    <w:basedOn w:val="669"/>
    <w:next w:val="668"/>
    <w:uiPriority w:val="39"/>
    <w:qFormat/>
    <w:pPr>
      <w:ind w:firstLine="0"/>
      <w:jc w:val="left"/>
      <w:keepLines/>
      <w:spacing w:before="240" w:after="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815" w:customStyle="1">
    <w:name w:val="Char Char Char Char Char Char Char Char Char Char Char1 Char Char Char1"/>
    <w:basedOn w:val="668"/>
    <w:uiPriority w:val="99"/>
    <w:semiHidden/>
    <w:qFormat/>
    <w:pPr>
      <w:ind w:firstLine="200"/>
      <w:jc w:val="left"/>
    </w:pPr>
    <w:rPr>
      <w:rFonts w:ascii="Tahoma" w:hAnsi="Tahoma"/>
      <w:sz w:val="24"/>
      <w:szCs w:val="24"/>
    </w:rPr>
  </w:style>
  <w:style w:type="paragraph" w:styleId="816" w:customStyle="1">
    <w:name w:val="列出段落3"/>
    <w:basedOn w:val="668"/>
    <w:uiPriority w:val="34"/>
    <w:qFormat/>
    <w:pPr>
      <w:ind w:firstLine="420"/>
    </w:pPr>
  </w:style>
  <w:style w:type="paragraph" w:styleId="817" w:customStyle="1">
    <w:name w:val="首行缩进"/>
    <w:basedOn w:val="668"/>
    <w:uiPriority w:val="0"/>
    <w:qFormat/>
    <w:pPr>
      <w:ind w:firstLine="480"/>
    </w:pPr>
    <w:rPr>
      <w:lang w:val="zh-CN"/>
    </w:rPr>
  </w:style>
  <w:style w:type="character" w:styleId="818" w:customStyle="1">
    <w:name w:val="not([class*=suffix])"/>
    <w:basedOn w:val="678"/>
    <w:uiPriority w:val="0"/>
    <w:qFormat/>
    <w:rPr>
      <w:sz w:val="13"/>
      <w:szCs w:val="13"/>
    </w:rPr>
  </w:style>
  <w:style w:type="character" w:styleId="819" w:customStyle="1">
    <w:name w:val="not([class*=suffix])1"/>
    <w:basedOn w:val="678"/>
    <w:uiPriority w:val="0"/>
    <w:qFormat/>
  </w:style>
  <w:style w:type="paragraph" w:styleId="820" w:customStyle="1">
    <w:name w:val="正文首行缩进 21"/>
    <w:basedOn w:val="821"/>
    <w:next w:val="668"/>
    <w:uiPriority w:val="0"/>
    <w:qFormat/>
    <w:pPr>
      <w:ind w:left="0" w:firstLine="420"/>
      <w:spacing w:after="0" w:line="360" w:lineRule="auto"/>
    </w:pPr>
    <w:rPr>
      <w:rFonts w:ascii="宋体" w:hAnsi="宋体" w:eastAsia="宋体" w:cs="Times New Roman"/>
      <w:szCs w:val="20"/>
    </w:rPr>
  </w:style>
  <w:style w:type="paragraph" w:styleId="821" w:customStyle="1">
    <w:name w:val="正文文本缩进1"/>
    <w:basedOn w:val="668"/>
    <w:next w:val="822"/>
    <w:uiPriority w:val="0"/>
    <w:unhideWhenUsed/>
    <w:qFormat/>
    <w:pPr>
      <w:ind w:left="420"/>
      <w:spacing w:after="120"/>
    </w:pPr>
  </w:style>
  <w:style w:type="paragraph" w:styleId="822" w:customStyle="1">
    <w:name w:val="寄信人地址1"/>
    <w:basedOn w:val="668"/>
    <w:uiPriority w:val="0"/>
    <w:qFormat/>
    <w:rPr>
      <w:rFonts w:ascii="Arial" w:hAnsi="Arial" w:eastAsia="宋体" w:cs="宋体"/>
    </w:rPr>
  </w:style>
  <w:style w:type="numbering" w:styleId="56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D3877-EFC2-4D76-B7B2-0839CC34E678}"/>
</file>

<file path=docProps/app.xml><?xml version="1.0" encoding="utf-8"?>
<Properties xmlns="http://schemas.openxmlformats.org/officeDocument/2006/extended-properties" xmlns:vt="http://schemas.openxmlformats.org/officeDocument/2006/docPropsVTypes">
  <Application>ONLYOFFICE/7.2.1.34</Application>
  <Company>南京典晶工程项目管理有限公司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单一来源采购文件</dc:title>
  <dc:creator>dianjing</dc:creator>
  <cp:lastModifiedBy>徐艳</cp:lastModifiedBy>
  <cp:revision>5</cp:revision>
  <dcterms:created xsi:type="dcterms:W3CDTF">2026-05-25T02:18:00Z</dcterms:created>
  <dcterms:modified xsi:type="dcterms:W3CDTF">2026-05-29T09:30:23Z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_DocHome">
    <vt:r8>1542883829.000000</vt:r8>
  </property>
  <property fmtid="{D5CDD505-2E9C-101B-9397-08002B2CF9AE}" pid="4" name="ICV">
    <vt:lpwstr>65B42FB651A44A2AB622C8773F4C1252_13</vt:lpwstr>
  </property>
  <property fmtid="{D5CDD505-2E9C-101B-9397-08002B2CF9AE}" pid="5" name="KSOTemplateDocerSaveRecord">
    <vt:lpwstr>eyJoZGlkIjoiOTc1MTA2MjU3ODgzMDhkMzE0ZTU0MjU4NGU4NDljNDMiLCJ1c2VySWQiOiIzNzY1MjUzODEifQ==</vt:lpwstr>
  </property>
</Properties>
</file>