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项目编号：JSZC-320115-NJJC-G2026-0013</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项目名称：九龙湖派出所增设街面视频设备</w:t>
      </w:r>
      <w:r/>
    </w:p>
    <w:p>
      <w:pPr>
        <w:ind w:left="0" w:right="0" w:firstLine="1084"/>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项目类型：货物类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采购人：南京江宁经济技术开发区管理委员会</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采购代理机构：南京江城工程项目管理有限公司</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二○二六年三月</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目   录</w:t>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0229" w:history="1">
        <w:r>
          <w:rPr>
            <w:rStyle w:val="1017"/>
            <w:rFonts w:ascii="SimSun" w:hAnsi="SimSun" w:eastAsia="SimSun" w:cs="SimSun"/>
            <w:b/>
            <w:color w:val="0000ee"/>
            <w:sz w:val="24"/>
            <w:u w:val="single"/>
          </w:rPr>
          <w:t xml:space="preserve">第一章 投标邀请书（招标公告）</w:t>
        </w:r>
        <w:r>
          <w:rPr>
            <w:rStyle w:val="1017"/>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713" w:history="1">
        <w:r>
          <w:rPr>
            <w:rStyle w:val="1017"/>
            <w:rFonts w:ascii="SimSun" w:hAnsi="SimSun" w:eastAsia="SimSun" w:cs="SimSun"/>
            <w:b/>
            <w:color w:val="0000ee"/>
            <w:sz w:val="24"/>
            <w:u w:val="single"/>
          </w:rPr>
          <w:t xml:space="preserve">第三章 评标标准</w:t>
        </w:r>
        <w:r>
          <w:rPr>
            <w:rStyle w:val="1017"/>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9546" w:history="1">
        <w:r>
          <w:rPr>
            <w:rStyle w:val="1017"/>
            <w:rFonts w:ascii="SimSun" w:hAnsi="SimSun" w:eastAsia="SimSun" w:cs="SimSun"/>
            <w:b/>
            <w:color w:val="0000ee"/>
            <w:sz w:val="24"/>
            <w:u w:val="single"/>
          </w:rPr>
          <w:t xml:space="preserve">第四章 招标项目的技术规格、要求和数量等</w:t>
        </w:r>
        <w:r>
          <w:rPr>
            <w:rStyle w:val="1017"/>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7519" w:history="1">
        <w:r>
          <w:rPr>
            <w:rStyle w:val="1017"/>
            <w:rFonts w:ascii="SimSun" w:hAnsi="SimSun" w:eastAsia="SimSun" w:cs="SimSun"/>
            <w:b/>
            <w:color w:val="0000ee"/>
            <w:sz w:val="24"/>
            <w:u w:val="single"/>
          </w:rPr>
          <w:t xml:space="preserve">第五章 合同主要条款及格式</w:t>
        </w:r>
        <w:r>
          <w:rPr>
            <w:rStyle w:val="1017"/>
            <w:rFonts w:ascii="Times New Roman" w:hAnsi="Times New Roman" w:eastAsia="Times New Roman" w:cs="Times New Roman"/>
            <w:b/>
            <w:color w:val="0000ee"/>
            <w:sz w:val="24"/>
            <w:u w:val="single"/>
          </w:rPr>
          <w:tab/>
        </w:r>
      </w:hyperlink>
      <w:r/>
      <w:r/>
    </w:p>
    <w:p>
      <w:pPr>
        <w:ind w:left="0" w:right="0" w:firstLine="0"/>
        <w:spacing w:before="240" w:after="240" w:line="85" w:lineRule="atLeast"/>
        <w:tabs>
          <w:tab w:val="left" w:pos="9746"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9062" w:history="1">
        <w:r>
          <w:rPr>
            <w:rStyle w:val="1017"/>
            <w:rFonts w:ascii="SimSun" w:hAnsi="SimSun" w:eastAsia="SimSun" w:cs="SimSun"/>
            <w:b/>
            <w:color w:val="0000ee"/>
            <w:sz w:val="24"/>
            <w:u w:val="single"/>
          </w:rPr>
          <w:t xml:space="preserve">第六章 附</w:t>
        </w:r>
        <w:r>
          <w:rPr>
            <w:rStyle w:val="1017"/>
            <w:rFonts w:ascii="Times New Roman" w:hAnsi="Times New Roman" w:eastAsia="Times New Roman" w:cs="Times New Roman"/>
            <w:b/>
            <w:color w:val="0000ee"/>
            <w:sz w:val="24"/>
            <w:u w:val="single"/>
          </w:rPr>
          <w:t xml:space="preserve">    </w:t>
        </w:r>
        <w:r>
          <w:rPr>
            <w:rStyle w:val="1017"/>
            <w:rFonts w:ascii="SimSun" w:hAnsi="SimSun" w:eastAsia="SimSun" w:cs="SimSun"/>
            <w:b/>
            <w:color w:val="0000ee"/>
            <w:sz w:val="24"/>
            <w:u w:val="single"/>
          </w:rPr>
          <w:t xml:space="preserve">件</w:t>
        </w:r>
        <w:r>
          <w:rPr>
            <w:rStyle w:val="1017"/>
            <w:rFonts w:ascii="Times New Roman" w:hAnsi="Times New Roman" w:eastAsia="Times New Roman" w:cs="Times New Roman"/>
            <w:b/>
            <w:color w:val="0000ee"/>
            <w:sz w:val="24"/>
            <w:u w:val="single"/>
          </w:rPr>
          <w:tab/>
        </w:r>
      </w:hyperlink>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pStyle w:val="78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第一章投标邀请书（招标公告）</w:t>
      </w:r>
      <w:r/>
    </w:p>
    <w:p>
      <w:pPr>
        <w:ind w:left="0" w:right="0" w:firstLine="6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九龙湖派出所增设街面视频设备</w:t>
      </w:r>
      <w:r>
        <w:rPr>
          <w:rFonts w:ascii="SimSun" w:hAnsi="SimSun" w:eastAsia="SimSun" w:cs="SimSun"/>
          <w:color w:val="000000"/>
          <w:sz w:val="21"/>
        </w:rPr>
        <w:t xml:space="preserve">的潜在供应商应</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 获取招标文件，并于2026年04月28日09时30分（北京时间）前递交投标文件。</w:t>
      </w:r>
      <w:r/>
    </w:p>
    <w:p>
      <w:pPr>
        <w:pStyle w:val="78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一、</w:t>
      </w:r>
      <w:r>
        <w:rPr>
          <w:rFonts w:ascii="SimSun" w:hAnsi="SimSun" w:eastAsia="SimSun" w:cs="SimSun"/>
          <w:b/>
          <w:color w:val="000000"/>
          <w:sz w:val="21"/>
        </w:rPr>
        <w:t xml:space="preserve">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JSZC-320115-NJJC-G2026-0013</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九龙湖派出所增设街面视频设备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预算金额：120万元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最高限价（如有）：119.6917万元，超出最高限价的报价，将作无效投标处理。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采购需求：九龙湖派出所新增40处街面视频设备</w:t>
      </w:r>
      <w:r>
        <w:rPr>
          <w:rFonts w:ascii="SimSun" w:hAnsi="SimSun" w:eastAsia="SimSun" w:cs="SimSun"/>
          <w:color w:val="000000"/>
          <w:sz w:val="21"/>
        </w:rPr>
        <w:t xml:space="preserve">，具体内容详见采购需求。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rPr>
          <w:rFonts w:ascii="SimSun" w:hAnsi="SimSun" w:eastAsia="SimSun" w:cs="SimSun"/>
          <w:color w:val="000000"/>
          <w:sz w:val="21"/>
        </w:rPr>
        <w:t xml:space="preserve">合同签订后60天内将货物安装调试完毕交付采购人正常使用。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5.本项目所属行业：工业</w:t>
      </w:r>
      <w:r/>
    </w:p>
    <w:p>
      <w:pPr>
        <w:pStyle w:val="78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满足《中华人民共和国政府采购法》第二十二条规定：</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2"/>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2.2落实政府采购政策需要满足的资格条件：/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2.4本项目不接受联合体投标</w:t>
      </w:r>
      <w:r>
        <w:rPr>
          <w:rFonts w:ascii="Calibri" w:hAnsi="Calibri" w:eastAsia="Calibri" w:cs="Calibri"/>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Calibri" w:hAnsi="Calibri" w:eastAsia="Calibri" w:cs="Calibri"/>
          <w:color w:val="000000"/>
          <w:sz w:val="21"/>
        </w:rPr>
        <w:t xml:space="preserve">拒绝下列供应商参加本次</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1</w:t>
      </w:r>
      <w:r>
        <w:rPr>
          <w:rFonts w:ascii="Calibri" w:hAnsi="Calibri" w:eastAsia="Calibri" w:cs="Calibri"/>
          <w:color w:val="000000"/>
          <w:sz w:val="21"/>
        </w:rPr>
        <w:t xml:space="preserve">）供应商单位负责人为同一人或者存在直接控股、管理关系的不同供应商，不得参加同一合同项下的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2</w:t>
      </w:r>
      <w:r>
        <w:rPr>
          <w:rFonts w:ascii="Calibri" w:hAnsi="Calibri" w:eastAsia="Calibri" w:cs="Calibri"/>
          <w:color w:val="000000"/>
          <w:sz w:val="21"/>
        </w:rPr>
        <w:t xml:space="preserve">）凡为</w:t>
      </w:r>
      <w:r>
        <w:rPr>
          <w:rFonts w:ascii="SimSun" w:hAnsi="SimSun" w:eastAsia="SimSun" w:cs="SimSun"/>
          <w:color w:val="000000"/>
          <w:sz w:val="21"/>
        </w:rPr>
        <w:t xml:space="preserve">采购</w:t>
      </w:r>
      <w:r>
        <w:rPr>
          <w:rFonts w:ascii="Calibri" w:hAnsi="Calibri" w:eastAsia="Calibri" w:cs="Calibri"/>
          <w:color w:val="000000"/>
          <w:sz w:val="21"/>
        </w:rPr>
        <w:t xml:space="preserve">项目提供整体设计、规范编制或者项目管理、监理、检测等服务的供应商，不得再参加本项目的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3</w:t>
      </w:r>
      <w:r>
        <w:rPr>
          <w:rFonts w:ascii="Calibri" w:hAnsi="Calibri" w:eastAsia="Calibri" w:cs="Calibri"/>
          <w:color w:val="000000"/>
          <w:sz w:val="21"/>
        </w:rPr>
        <w:t xml:space="preserve">）</w:t>
      </w:r>
      <w:r>
        <w:rPr>
          <w:rFonts w:ascii="SimSun" w:hAnsi="SimSun" w:eastAsia="SimSun" w:cs="SimSun"/>
          <w:color w:val="000000"/>
          <w:sz w:val="21"/>
        </w:rPr>
        <w:t xml:space="preserve">拒绝列入失信被执行人、重大税收违法案件当事人名单、政府采购严重违法失信行为记录名单及《南京市政府采购供应商信用管理工作暂行办法》宁财规[2018]10号第十一条、十二条所列严重失信行为情形的供应商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2.6本项目不接受进口产品投标</w:t>
      </w:r>
      <w:r/>
    </w:p>
    <w:p>
      <w:pPr>
        <w:pStyle w:val="78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自招标文件公告发布之日起5个工作日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78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2026年04月28日09时30分（北京时间）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b/>
          <w:color w:val="000000"/>
          <w:sz w:val="21"/>
        </w:rPr>
        <w:t xml:space="preserve">“苏采云”政府采购交易系统网上开标大厅</w:t>
      </w:r>
      <w:r/>
    </w:p>
    <w:p>
      <w:pPr>
        <w:pStyle w:val="78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78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6.2潜在供应商访问政府采购管理交易系统（苏采云）的网络地址和方法：</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）‘南京市政府采购供应商诚信档案’系统链接打开系统页面（</w:t>
      </w:r>
      <w:r>
        <w:rPr>
          <w:rFonts w:ascii="Times New Roman" w:hAnsi="Times New Roman" w:eastAsia="Times New Roman" w:cs="Times New Roman"/>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）登录（未注册的供应商应先点击‘供应商注册点这里’并按要求完成注册），然后在“信用记录”模块页面点击“信用记录打印”下载本单位信用记录表，由法人签字并盖单位公章，</w:t>
      </w:r>
      <w:r>
        <w:rPr>
          <w:rFonts w:ascii="SimSun" w:hAnsi="SimSun" w:eastAsia="SimSun" w:cs="SimSun"/>
          <w:b/>
          <w:color w:val="000000"/>
          <w:sz w:val="21"/>
        </w:rPr>
        <w:t xml:space="preserve">上传至电子响应文件中，</w:t>
      </w:r>
      <w:r>
        <w:rPr>
          <w:rFonts w:ascii="SimSun" w:hAnsi="SimSun" w:eastAsia="SimSun" w:cs="SimSun"/>
          <w:color w:val="000000"/>
          <w:sz w:val="21"/>
        </w:rPr>
        <w:t xml:space="preserve">未按要求提供信用记录表的，响应文件将按无效投标处理。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 </w:t>
      </w:r>
      <w:r/>
    </w:p>
    <w:p>
      <w:pPr>
        <w:pStyle w:val="786"/>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七、对本次招标提出询问，请按以下方式联系。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名称：南京江宁经济技术开发区管理委员会</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地址：南京市江宁区将军中路166号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联系人：经纬</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联系方式：025-52110361</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2.采购代理机构信息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名称：南京江城工程项目管理有限公司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址：南京市建邺区云龙山路89号龙湖天街1栋29楼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联系人：曹雪</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联系电话：025-58066836、025-58835827-0</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投标人须知</w:t>
      </w:r>
      <w:r/>
    </w:p>
    <w:p>
      <w:pPr>
        <w:ind w:left="0" w:right="0" w:firstLine="0"/>
        <w:spacing w:before="1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5"/>
        </w:rPr>
        <w:t xml:space="preserve"> </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989"/>
        <w:gridCol w:w="6657"/>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称：南京江宁经济技术开发区管理委员会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址：南京市江宁区将军中路166号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联系方式：经纬025-52110361</w:t>
            </w:r>
            <w:r/>
          </w:p>
        </w:tc>
      </w:tr>
      <w:tr>
        <w:trPr>
          <w:trHeight w:val="1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称：南京江城工程项目管理有限公司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址：南京市建邺区云龙山路89号龙湖时代上城1栋29楼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项目联系人：曹雪</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025-58066836</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九龙湖派出所增设街面视频设备</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南京市江宁区</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财政资金</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w:t>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提交投标文件截止之日起60日</w:t>
            </w:r>
            <w:r/>
          </w:p>
        </w:tc>
      </w:tr>
      <w:tr>
        <w:trPr>
          <w:trHeight w:val="29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供应商企业信用信息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（1）查询渠道：“信用中国”网站（www.creditchina.gov.cn）、“中国政府采购网”网站（www.ccgp.gov.cn）；</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（2）查询时间：资格审查时；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（3）查询记录留存方式：由采购代理机构负责将供应商各网站信用记录截图保存；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（4）查询结果处理：对具有违法失信记录的供应商作无效投标处理。</w:t>
            </w:r>
            <w:r/>
          </w:p>
        </w:tc>
      </w:tr>
      <w:tr>
        <w:trPr>
          <w:trHeight w:val="1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盖章要求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供应商投标文件中加盖的公章仅能使用与供应商名称一致的标准公章，不得使用其他形式（如带有“专用章”、“合同章”、“财务章”、“业务章”等字样）的印章；否则，按无效投标处理。</w:t>
            </w:r>
            <w:r/>
          </w:p>
        </w:tc>
      </w:tr>
    </w:tbl>
    <w:p>
      <w:pPr>
        <w:ind w:left="798" w:right="0" w:hanging="240"/>
        <w:spacing w:before="0" w:after="0" w:line="85" w:lineRule="atLeast"/>
        <w:tabs>
          <w:tab w:val="left" w:pos="1760" w:leader="none"/>
        </w:tabs>
        <w:pBdr>
          <w:top w:val="none" w:color="000000" w:sz="4" w:space="0"/>
          <w:left w:val="none" w:color="000000" w:sz="4" w:space="0"/>
          <w:bottom w:val="none" w:color="000000" w:sz="4" w:space="0"/>
          <w:right w:val="none" w:color="000000" w:sz="4" w:space="0"/>
        </w:pBdr>
      </w:pPr>
      <w:r>
        <w:br w:type="page" w:clear="all"/>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7、联合体投标（本项目无）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8.1投标人编写的投标文件应包括资格证明文件、符合性证明文件、投标分项报价表、响应及偏离表、其他证明文件、投标函、开标一览表等部分</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如标书制作工具中格式和内容与“江苏政府采购网”发布的招标文件不一致，以“江苏政府采购网”发布的招标文件为准。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投标函（投标申请及声明）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法人授权书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投标人资格证明文件：</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采购人根据采购项目的特殊要求规定的特定条件证明文件。（如有）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（8）其他（投标人认为有必要提供的声明和文件，如有，自行拟定并添加）。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（1）技术说明或项目实施方案；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（3）售后服务及其他承诺；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（3）投标人认为需要提供的其他技术资料。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w:t>
      </w:r>
      <w:r>
        <w:rPr>
          <w:rFonts w:ascii="SimSun" w:hAnsi="SimSun" w:eastAsia="SimSun" w:cs="SimSun"/>
          <w:color w:val="000000"/>
          <w:sz w:val="21"/>
        </w:rPr>
        <w:t xml:space="preserve">招标代理服务费：按照1980号文件收费标准的80%收取，计算基准值为中标价；该项费用请供应商综合考虑在投标报价中，须在领取中标通知书前向招标代理机构支付招标服务费。</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 招标人可以按照规定，通过修改招标文件酌情延长投标截止时间，在此情况下，投标人的所有权利和义务均以延长后新的截止时间为准。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19.1.1投标人可在投标截止时间前撤回其电子投标文件，具体操作方法见《操作手册》。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19.1.2投标人撤回电子投标文件，则认为其不再参与本项目投标活动。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19.2.1投标人可在投标截止时间前对其电子投标文件进行修改，具体操作方法见《操作手册》。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19.2.2投标截止时间之后，投标人不得对其电子投标文件作任何修改。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19.2.3 在投标截止时间至招标文件中规定的投标有效期满之间的这段时间内，投标人不得撤回其投标。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评标由组织评标委员会（以下简称“评委会”）进行。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评委会由采购人代表和有关技术、经济等方面的专家组成，且人员构成符合政府采购有关规定。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评委会独立工作，负责评审所有投标文件并推荐中标候选人，或根据采购人授权直接确定中标人。</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（1）投标人在“苏采云”系统规定的时间内未成功解密电子投标文件的；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（2）投标人未按照招标文件要求上传电子投标文件的；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（3）同一投标人提交两个（含两个）以上不同的投标报价的；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（4）投标文件未按照招标文件要求加盖电子公章的；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（5）不具备招标文件中规定的资格要求的；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（6）报价超过招标文件中规定的预算金额或者最高限价的；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（7）投标文件含有采购人不能接受的附加条件的；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（8）投标文件内容不全或不符合招标文件中规定的其他实质性要求的；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（9）不满足招标文件★或者其他实质性要求的；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（10）现行法律、法规、规章和招标文件规定的其他无效情形。</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实质性要求是指本招标文件中用带星号（“★”）等或者其他明确要求的废标的商务和技术要求。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22.2.2.4政府采购异常低价审查：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评审过程中出现下列情形之一的，评标委员会应当启动异常低价投标审查程序：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应)报价平均值65%的，即投标(响应)报价&lt;全部通过符合性审查供应商投标(响应)报价平均值×65%；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投标(响应)报价65%的，即投标(响应)报价&lt;通过符合性审查 的次低报价供应商投标(响应)报价×65%；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 应)报价&lt;采购项目最高限价×65%；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（4）评审委员会认定的供应商响应报价过低、有可能影响产品质量或者不能诚信履约的其他情形。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采用综合评分法的，评标结果按评审后最终得分由高到低进行排名，得分相同的，按投标报价由低到高顺序排列。得分且投标报价相同的，按技术部分方案优劣顺序排列。</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采用综合评分法的，评标结果按评审后最终得分由高到低进行排名，得分相同的，按投标报价由低到高顺序排列。得分且投标报价相同的，按技术部分方案优劣顺序排列。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23.2按以下第（2）种方式确定中标人：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中标人确定后，将在“江苏政府采购网”发布中标公告，公告期限为1个工作日。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24.2《中标通知书》是合同的一个组成部分，对采购人和中标人均具有法律效力。《中标通知书》发出后，采购人改变中标结果或者中标人放弃中标项目的，应当依法承担法律责任。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凡是与审查、澄清、评价和比较投标的有关资料以及投标建议等，采购人、评委、均不得向投标人或与评标无关的其他人员透露。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投标人不得以任何方式影响评标，否则其投标文件将被作为无效投标文件。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招标人和评委会不向未中标的投标人解释未中标原因，也不公布评标过程中的相关细节。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采用综合评分法的项目，未中标的投标人可于中标结果公告期限届满之日起通过苏采云系统查看本单位的评审得分及排名情况。</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26.1中标人应当在《中标通知书》发出之日起三十日内，按照招标文件确定的事项与采购人签订政府采购合同。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招标文件、中标人的投标文件及招标过程中有关澄清、承诺文件均作为合同附件</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26.4中标人因自身原因拒绝与采购人签订合同的，不得参加采购人重新组织的采购活动，且将可能被拒绝参加该采购人一年内的其他政府采购活动。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中标人因不可抗力或者自身原因不能履行合同的，采购人可以重新招标，也可以视情与排位在中标供应商之后第一位的中标候选人签订采购合同。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质疑函应当使用中文。相关当事人提供外文书证或者外国语视听资料的，应当附有中文译本，由翻译机构电子公章或者翻译人员签名。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78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78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 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采用综合评分法的，评标结果按评审后最终得分由高到低进行排名，得分相同的，按投标报价由低到高顺序排列。得分且投标报价相同的，按技术部分方案优劣顺序排列。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729"/>
        <w:gridCol w:w="1276"/>
        <w:gridCol w:w="6378"/>
        <w:gridCol w:w="1363"/>
      </w:tblGrid>
      <w:tr>
        <w:trPr>
          <w:trHeight w:val="416"/>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110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采用低价优先法计算，即满足招标文件要求且评审价格最低的价格为评标基准价，其价格分为满分</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评审价格</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小数点保留两位</w:t>
            </w:r>
            <w:r>
              <w:rPr>
                <w:rFonts w:ascii="Times New Roman" w:hAnsi="Times New Roman" w:eastAsia="Times New Roman" w:cs="Times New Roma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（评标委员会在评审时发现供应商的报价明显低于成本价的，应当要求供应商书面说明并提供相关证明材料。供应商不能合理说明原因并提供证明材料的，评标委员会应有权将该供应商的投标文件作无效处理）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p>
        </w:tc>
      </w:tr>
      <w:tr>
        <w:trPr>
          <w:trHeight w:val="68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根据招标文件中 “</w:t>
            </w:r>
            <w:r>
              <w:rPr>
                <w:rFonts w:ascii="SimSun" w:hAnsi="SimSun" w:eastAsia="SimSun" w:cs="SimSun"/>
                <w:b/>
                <w:color w:val="000000"/>
                <w:sz w:val="21"/>
              </w:rPr>
              <w:t xml:space="preserve">第四章</w:t>
            </w:r>
            <w:r>
              <w:rPr>
                <w:rFonts w:ascii="SimSun" w:hAnsi="SimSun" w:eastAsia="SimSun" w:cs="SimSun"/>
                <w:color w:val="000000"/>
                <w:sz w:val="21"/>
              </w:rPr>
              <w:t xml:space="preserve"> </w:t>
            </w:r>
            <w:r>
              <w:rPr>
                <w:rFonts w:ascii="SimSun" w:hAnsi="SimSun" w:eastAsia="SimSun" w:cs="SimSun"/>
                <w:b/>
                <w:color w:val="000000"/>
                <w:sz w:val="21"/>
              </w:rPr>
              <w:t xml:space="preserve">招标项目的技术规格、要求和数量等</w:t>
            </w:r>
            <w:r>
              <w:rPr>
                <w:rFonts w:ascii="SimSun" w:hAnsi="SimSun" w:eastAsia="SimSun" w:cs="SimSun"/>
                <w:color w:val="000000"/>
                <w:sz w:val="21"/>
              </w:rPr>
              <w:t xml:space="preserve">”响应情况进行打分。完全符合技术参数及配置要求且提供了技术条款偏离表的得满分34分。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1.带“★”项的技术指标，负偏离为无效投标。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2.带“▲”项的技术指标，每负偏离一项扣2分，扣完为止。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3.非“▲”项的技术指标，每负偏离一项扣1分，扣完为止。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凡标有最低一级序号的指标项即为一项技术条款，无论是否隶属于上一级编号；投标人需在技术条款偏离表中逐条进行应答，列明所投产品详细技术特性，并说明偏离情况。带“★”或“▲”项的技术指标需提供证明材料上传至投标系统，未提供或内容不全的不予赋分（需求中有其他要求的从其要求），以佐证所投产品的主要技术参数及功能。非“▲”项技术指标未有要求的则以技术条款偏离表中应答为准（需求中有其他要求的从其要求）。未按要求提供证明材料的视为负偏离。）</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w:t>
            </w:r>
            <w:r>
              <w:rPr>
                <w:rFonts w:ascii="SimSun" w:hAnsi="SimSun" w:eastAsia="SimSun" w:cs="SimSun"/>
                <w:color w:val="000000"/>
                <w:sz w:val="21"/>
              </w:rPr>
              <w:t xml:space="preserve">分</w:t>
            </w:r>
            <w:r/>
          </w:p>
        </w:tc>
      </w:tr>
      <w:tr>
        <w:trPr>
          <w:trHeight w:val="141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供货方案：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根据供应商针对本项目的供货方案包括方案针对性及供货任务划分、供货进度计划及保障措施、安全保障措施、质量保证措施、应急保障措施等进行综合评分。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方案具有全面性、科学性、合理性和可操作性的得4分；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方案略有瑕疵，具有的科学性、合理性和可操作性一般的得2分；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方案片面，且具有的科学性、合理性和可操作性较差的得1分；未提供不得分。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1046"/>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产品详细配置、备品备件：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根据供应商提供的所投产品的详细配置、备品备件等满足采购要求的情况进行综合评分。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方案详细，全面，满足招标文件要求的，得4分；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方案较为详细，全面，基本满足招标文件要求的，得2分；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方案不详细，不全面，但能满足招标文件要求的，得1分；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方案不能满足招标文件要求或者未提供的不得分。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1282"/>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售后服务方案：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售后服务方案（服务期内维护保养内容及要求；服务期内维护保养方案；服务期内维护保养的备品备件配置与管理及维护保养配置的工具、器材、人员及管理；遇到突发事件以及任务保障方案）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售后服务方案要素齐全得4分；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售后服务方案符合要求的得2分；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售后服务方案有缺失、低于要求的得1分；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未提供具体实施方案的不得分。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421"/>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培训方案：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根据供应商提供的培训方案（包含培训计划、培训师资力量、培训内容及时间等）进行评分。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培训方案要素齐全、培训时间满足采购人要求的得4分；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培训方案要素基本齐全、培训时间基本满足采购人要求得2分；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培训方案有缺失的得1分；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未提供具体实施方案的不得分。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421"/>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项目组团队人员：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投标人拟投入本项目的</w:t>
            </w:r>
            <w:r>
              <w:rPr>
                <w:rFonts w:ascii="SimSun" w:hAnsi="SimSun" w:eastAsia="SimSun" w:cs="SimSun"/>
                <w:b/>
                <w:color w:val="000000"/>
                <w:sz w:val="21"/>
              </w:rPr>
              <w:t xml:space="preserve">项目组团队人员</w:t>
            </w:r>
            <w:r>
              <w:rPr>
                <w:rFonts w:ascii="SimSun" w:hAnsi="SimSun" w:eastAsia="SimSun" w:cs="SimSun"/>
                <w:color w:val="000000"/>
                <w:sz w:val="21"/>
              </w:rPr>
              <w:t xml:space="preserve">具有IT运维工程师、安全运维工程师。每提供一种证书得2分，全部满足得4分（同一人员不可重复计取，一个人有多个证书的只算一个证书，社保机构出具的近半年（2025年09月至2026年02月）中任意一月供应商为其缴纳的养老保险缴费证明（需明确缴费月份、个人姓名、缴费单位）材料并加盖社保中心章或社保中心参保缴费证明电子专用章及有效期内的劳动合同）</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83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7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供应商提供自</w:t>
            </w: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日以来承担过类似供货业绩的得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个，最多得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提供合同、供货期内任一一张发票和中标</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通知书扫描件加盖公章，三者缺一不可，时间以合同签订时间为准，提供的证明材料须能反应相关数据和内容，否则视为未提供。</w:t>
            </w:r>
            <w:r>
              <w:rPr>
                <w:rFonts w:ascii="Times New Roman" w:hAnsi="Times New Roman" w:eastAsia="Times New Roman" w:cs="Times New Roman"/>
                <w:color w:val="000000"/>
                <w:sz w:val="21"/>
              </w:rPr>
              <w:t xml:space="preserve">)</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r>
      <w:tr>
        <w:trPr>
          <w:trHeight w:val="632"/>
        </w:trPr>
        <w:tc>
          <w:tcPr>
            <w:gridSpan w:val="3"/>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3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100</w:t>
            </w:r>
            <w:r>
              <w:rPr>
                <w:rFonts w:ascii="SimSun" w:hAnsi="SimSun" w:eastAsia="SimSun" w:cs="SimSun"/>
                <w:b/>
                <w:color w:val="000000"/>
                <w:sz w:val="21"/>
              </w:rPr>
              <w:t xml:space="preserve">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1、所有认证、证明和业绩除上表要求外均须提供有效的证明材料加盖电子公章。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2、评审小组不保证有效报价最低的供应商成交。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3、小微企业的价格扣除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3.1本项目对小微企业投标报价给予报价的10%价格扣除，用扣除后的价格参与评审。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3.3小企业（含小型、微型企业）应当同时符合以下条件：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（1）供应商为小企业，且符合中小企业划分标准；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（2）提供本企业制造的货物、承担的工程或者服务，或者提供其他小企业制造的货物。如果提供的货物为大中型企业注册商标的货物，视同大中型企业。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本项目对监狱和戒毒企业（简称监狱企业），给予10%的价格扣除，用扣除后的价格参与评审。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残疾人福利单位需按照采购文件的要求提供《残疾人福利性单位声明函》。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残疾人福利单位标准请参照《关于促进残疾人就业政府采购政策的通知》（财库〔2017〕141号）。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5.4根据财政部、国家环保总局《关于环境标志产品政府采购实施的意见》，投标产品属于《环境标志产品政府采购品目清单》范围内的产品，对相应产品的价格给予 1%的扣除，用扣除后的价格参与评审。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5.2根据财政部、国家发改委《节能产品政府采购实施意见》，投标产品属于《节能产品政府采购品目清单》范围内的产品，对相应产品的价格给予 1%的扣除，用扣除后的价格参与评审。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6、监狱企业、残疾人福利单位属于小型、微型企业的，不重复享受政策。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7、本项目所属行业：“工业”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8、本项目核心产品：全景球形摄像机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成交候选人；（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w:t>
      </w:r>
      <w:r>
        <w:rPr>
          <w:rFonts w:ascii="SimSun" w:hAnsi="SimSun" w:eastAsia="SimSun" w:cs="SimSun"/>
          <w:color w:val="000000"/>
          <w:sz w:val="21"/>
        </w:rPr>
        <w:t xml:space="preserve">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10、采购本国产品的支持政策：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具体内容如下：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（1）本项目政府采购活动中既有本国产品又有非本国产品参与竞争的，依法对本国产品给予价格评审优惠，对本国产品的报价给予20%的价格扣除，用扣除后的价格参与评审。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（2）当采购项目或者采购包中含有多种产品，供应商为该采购项目或者采购包提供的符合本国产品标准的产品成本之和占该供应商提供的全部产品成本之和的比例达到80%以上时（</w:t>
      </w:r>
      <w:r>
        <w:rPr>
          <w:rFonts w:ascii="SimSun" w:hAnsi="SimSun" w:eastAsia="SimSun" w:cs="SimSun"/>
          <w:b/>
          <w:color w:val="000000"/>
          <w:sz w:val="21"/>
        </w:rPr>
        <w:t xml:space="preserve">供应商需在“投标文件格式”中填写比例数值</w:t>
      </w:r>
      <w:r>
        <w:rPr>
          <w:rFonts w:ascii="SimSun" w:hAnsi="SimSun" w:eastAsia="SimSun" w:cs="SimSun"/>
          <w:color w:val="000000"/>
          <w:sz w:val="21"/>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br w:type="page" w:clear="all"/>
      </w:r>
      <w:r/>
    </w:p>
    <w:p>
      <w:pPr>
        <w:pStyle w:val="784"/>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第四章 招标项目的技术规格、要求和数量等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1、项目名称：九龙湖派出所增设街面视频设备项目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背景：九龙湖派出所辖区区域内的新建诚信大道五号线各地铁口、九龙湖公园等区域人口密集，建成后均未安装监控设施，为减少公安在服务辖区企业、案件侦办等工作的难度，提高周边企业及居民的安全感、满意度。现需在九龙湖派出所辖区的区域内安装视屏监控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二、采购清单：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1、项目清单</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6"/>
        <w:gridCol w:w="2436"/>
        <w:gridCol w:w="2436"/>
        <w:gridCol w:w="2436"/>
      </w:tblGrid>
      <w:tr>
        <w:trPr>
          <w:trHeight w:val="2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1600w高空鹰眼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400w星光枪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全景球形摄像机（核心产品）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双镜头全要素结构化摄像机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信号防雷器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4m杆件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6m杆件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借杆横臂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高空支架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设备机箱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前端接入交换机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接地系统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手井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基坑开挖及浇灌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18.84</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绿化带开挖及恢复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道板砖开挖及恢复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超五类网线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监控电源线及敷设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监控电源线及敷设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4000</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人脸算法技战法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r>
      <w:tr>
        <w:trPr>
          <w:trHeight w:val="2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租赁视频专网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bottom"/>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6"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2、采购项目具体技术需求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 1600w高空鹰眼</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7"/>
        <w:gridCol w:w="2939"/>
        <w:gridCol w:w="457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83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9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5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3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9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5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1、设备内置2个雨刷器，雨刷器1可清洁全景通道镜头表面玻璃，雨刷器2可清洁细节通道镜头表面玻璃。（提供具有CMA标识的检测报告加盖公章并上传至投标系统，未提供或内容不全的将作无效投标处理）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3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9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5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18"/>
              </w:rPr>
              <w:t xml:space="preserve">1、可将4个全景视频图像进行拼接，实现180°拼接画面显示，并抓拍拼接后的图片。（提供技术参数或产品白皮书或宣传手册加盖公章上传至投标系统）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color w:val="000000"/>
                <w:sz w:val="18"/>
              </w:rPr>
              <w:t xml:space="preserve">2、可通过客户端软件对全景摄像机进行一键自动标定，实现全景摄像机与细节摄像机之间检测区域的定位。全景通道最高分辨率不小于6072 x 2640，细节通道最高分辨率不小于2688 × 1520。（提供技术参数或产品白皮书或宣传手册加盖公章上传至投标系统）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3、全景通道内置4个镜头、靶面尺寸不小于1/1.8英寸的CMOS传感器，细节通道内置1个镜头，靶面尺寸不小于1/1.8英寸的CMOS传感器。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细节通道内置镜头支持不小于40倍光学变倍，镜头最大焦距不小于240mm。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支持不小于300个预置位，支持预置位冻结功能。内置不少于3个GPU芯片。支持智能行为分析功能，智能分析行为类型为区域入侵、越界入侵、进入区域、离开区域等，支持行为分析触发后联动聚焦、联动目标跟踪、报警上传等多种报警触发方式。设备可切换智能模式，当更换当前智能模式时设备不需重启，新智能模式即可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5、设备支持画中画功能，可通过IE浏览器在细节图像中叠加全景视频图像进行预览。设备具有偏色矫正功能，可通过手动或自动的方式对采集到的视频进行偏色矫正。防护等级不低于IP67。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3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9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57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2 400w星光枪</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38"/>
        <w:gridCol w:w="2940"/>
        <w:gridCol w:w="4577"/>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83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94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5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3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94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5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设备具有周界大模型算法目标检测功能，可对距离设备160m处不小于20×20像素的目标（人员、机动车、非机动车）触发的绊线入侵事件进行检测；环境照度不低于100lx，在距离设备100m处，画面成像目标宽度不小于20像素的5人依次循环通行进行绊线入侵试验，试验人员通行速度不小于1m/s，人员通行时间间隔不小于1s，共重复100人次，触发绊线入侵报警事件不小于99人次  </w:t>
            </w:r>
            <w:r>
              <w:rPr>
                <w:rFonts w:ascii="SimSun" w:hAnsi="SimSun" w:eastAsia="SimSun" w:cs="SimSun"/>
                <w:b/>
                <w:color w:val="000000"/>
                <w:sz w:val="18"/>
              </w:rPr>
              <w:t xml:space="preserve">（提供具有CMA标识的检测报告加盖公章并上传至投标系统，未提供或内容不全的将作无效投标处理）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3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94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5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▲1、支持自学习功能,可通过设备本地SD卡将录像导入负样本经验库,可有效过滤经验库中的误报事件;最大支持关联5个经验库。（提供技术参数或产品白皮书或宣传手册加盖公章上传至投标系统）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▲2、支持定时语音播报,最大可添加10个不同语音文件,可设置时间优先、次数优先,播放间隔可设置,支持针对不同语音单独配置播放时间计划 （提供技术参数或产品白皮书或宣传手册加盖公章上传至投标系统）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▲3、支持针对人、机动车、动物3类有效目标进行检测,并触发报警和设置事件联动 （提供技术参数或产品白皮书或宣传手册加盖公章上传至投标系统）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4、传感器类型：1/2.7英寸CMOS；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像素：400万；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最大分辨率：2688×1520；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最低照度：0.002lux（彩色模式）；0.0002lux（黑白模式）；0lux（补光灯开启）；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最大补光距离：60m（红外）；30m（暖光）；5m（人脸检测距离）；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补光灯：4颗（多晶（红外+暖光）灯）；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镜头类型：电动变焦；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镜头焦距：2.7mm～13.5mm；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镜头光圈：F1.6；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周界防范：绊线入侵；区域入侵；快速移动（三项均支持人车分类及精准检测）；徘徊检测；人员聚集；停车检测；物品遗留；物品搬移。支持周界大模型模式，提升目标检测距离，降低目标误报率。支持自学习，通过自学习过滤误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脸检测：支持人脸检测；支持跟踪；支持优选；支持抓拍；支持上报最优的人脸抓图；支持人脸抓图增强，支持人脸曝光；支持人脸属性提取，支持6种属性8种表情：性别，年龄，眼镜，表情（愤怒，平静，高兴，悲伤，厌恶，惊讶，困惑，害怕），口罩，胡子；支持人脸抠图区域可设:人脸，单寸照，自定义；支持实时抓拍、优选抓拍、质量优先三种抓拍策略；支持人脸角度过滤功能；支持优选时长可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车辆检测：支持机动车抓拍及报警联动，支持机动车号牌识别。</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3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94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57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 全景球机</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44"/>
        <w:gridCol w:w="2950"/>
        <w:gridCol w:w="4561"/>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84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95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4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95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4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95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1、▲全景通道可电动调节垂直旋转,旋转范围支持5°~25°；细节通道支持0°~360°连续旋转,垂直旋转范围支持-30°~+90°（提供具有CMA标识的检测报告加盖公章并上传至投标系统）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2、▲全景通道具有4颗补光灯、细节摄像机具有10颗红外灯和2颗白光灯，混合补光灯可对红外及白光进行独立调节（提供技术参数或产品白皮书或宣传手册加盖公章上传至投标系统）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3、▲全景通道可输出2个镜头无缝拼接的全景图像,拼接偏差像素不大于4个像素,全景画面水平视场角不小于210°,垂直视场角不小于90°（提供技术参数或产品白皮书或宣传手册加盖公章上传至投标系统）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4、传感器类型：全景：1/1.8英寸CMOS；细节：1/1.8英寸CMOS；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像素：全景：600万；细节：400万；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最大分辨率：全景：3632×1632；细节：2688×1520；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最低照度：全景： 彩色：0.001lux@F1.0黑白：0.0001lux@F1.00lux（白光灯开启）细节：彩色：0.001lux@F1.6黑白：0.0001lux@F1.60lux（红外灯开启）；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最大补光距离：全景：30m（白光）；细节：白光30m（白光）；红外250m（红外）；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补光类型：全景：白光；细节：红外+柔光双色；</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镜头焦距：全景：2.8mm；细节：5.8mm～192mm；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镜头光圈：全景：F1.0；细节：F1.6～F5.0；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视场角：全景：水平：200°±5°；垂直：82°细节：水平：61.8°～2.2°；垂直：36.3°～1.3°；对角：69.2°～2.4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光学变倍：全景：NA；细节：33倍；</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定时任务：预置点；巡迹；巡航；线扫；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可视域功能：支持；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智能分类：全智能；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5、视频结构化：支持机动车、非机动车、人脸、人体检测；支持优选；支持抓拍；支持上报最优的抓图机动车属性（车牌，车牌颜色 ，车辆类型，车身颜色，车标，车系，遮阳板，安全带，抽烟，打电话，车内饰品，年检标志）非机动车属性（车辆类型，车身颜色，车上人数，上装，上装颜色，帽子，下装，下装颜色、车牌）人体属性（上装，下装，上装颜色，下装颜色，包，帽子，性别，雨伞）人脸属性（性别，年龄，表情，眼镜，口罩，胡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周界防范：支持绊线入侵；支持区域入侵；支持穿越围栏；支持徘徊检测；支持物品遗留；支持物品搬移；支持快速移动；支持停车检测；支持人员聚集；支持人车分类报警；支持多种规则触发后联动细节相机定位、跟踪；</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人脸识别：支持人脸检测；支持优选；支持抓拍；支持上报最优的人脸抓图；支持人脸增强；支持人脸属性提取，支持6种属性，8种表情：性别，年龄，眼镜，表情（愤怒，悲伤，厌恶，害怕，惊讶，平静，高兴，困惑），口罩，胡子；支持人脸抠图区域可设：人脸，单寸照；支持添加5个人脸库；支持单个以及批量人员注册；支持人脸识别相似度设置；支持1万人脸底库的人脸比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84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95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56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 双镜头全要素结构化摄像机</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1、外部接线口（含电源输入输出接口、音频输入输出接口、报警输入输出接口、RJ45网络接口、RS485接口）未封闭、破损或截断情况下测试，应符合GB/T 4208-2017中IP68 等级的要求(水下 1m，1h)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设备支持2路独立的视频采集通道，可同时采集2路不同场景的音视频码流，通道1支持主码流最大为2688×1520，通道2支持：主码流最大为2688×1520；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设备内置2颗靶面尺寸均为 1/1.8英寸、内置1颗GPU芯片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最低照度2路图像采集通道均可满足彩色不大于0.0005 lx，黑白不大于0.0001 lx；</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设备支持H.264、H.265、MJPEG视频编码格式；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支持同时对检测区域内不少于60个移动目标（机动车、非机动车及行人）进行检测、框选跟踪、筛选、抓拍，并支持人脸与人体图片、车牌与车辆图片关联显示；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设备具有耀光抑制功能，耀光区域≤1%；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设备支持人脸抓拍功能，可同时对设定区域的不低于60个行人进行人脸检测、框选，当检测到人脸后，可筛选和抓拍最佳人脸图片；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设备外壳防护能力支持IP67。</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 电源防雷器</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20-40kv，电源防雷器</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 信号防雷器</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RJ45 防雷设备</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 4m杆件</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材质:Q235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规格尺寸:固定法兰300*300-3mm 厚，对角中心距300mm-4 支M16 圆钢0.6 米长</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 6m杆件</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材质:Q235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规格尺寸:固定法兰直径400-4mm 厚，预埋件螺栓对角中心距300mm-6 个M20 圆钢，长1.0 米</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 借杆横臂</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包括借杆横臂,包含大抱箍和丝杠。按照《南京市公共安全视频监控联网共享建设规范》要求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设计和安装。技术规格:φ60mm-2mm 厚-（0.5-3 米），镀锌喷塑</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 高空支架</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高空鹰眼支架安装，按照《南京市公共安全视频监控联网共享建设规范》要求设计和安装。</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 设备机箱</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镀锌板喷塑，40*50*25cm，厚1.2mm，规格按照现有机柜保持一致。箱体上注明“公安监控”及“施工单位名称、联系电话”等字体。安装高度:2.5 米-3 米。包括箱体、五眼插座1 个、接地铜排及端子排各1 套、16A2 匹空开1 套、BV2.5 箱内连接线50 米、配线盒，维护开关，温控风扇</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 前端接入交换机</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至少具备1个千兆光口及4个百兆/千兆自适应电口，背板带宽不小于10Gbps，光口单纤双向，传输距离20KM；内置浪涌和静电保护，三级防雷设计；</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 光模块</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千兆、单模单纤、20公里、SC/LC接口，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波长：1310nm/1550nm；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与前端接入交换机同一品牌</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 接地系统</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热镀锌角钢（每个接地点至少4 根接地角钢）；使用BV25m²接地母线；接地阻止≤4 欧姆。规格:50*50*5mm，长度2500mm。</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 手井</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规格尺寸:48cm*48cm，使用在落地机箱和杆件旁。盖板材质、规格:定制江宁公安专用标识。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基础、垫层：厚度:深度60cm，底部使用黄沙进行渗透处理。开挖工序:a.人工开挖三类土方（＜2 米，一侧弃土；基坑规格0.6m*0.6m*0.6m）；机动车翻斗运土汇聚（≤200 米）；人工装运土方；自卸汽车运土（距离30KM)至消纳场；进行工井施工。工序:材料采用M10 砖砌，井盖采用45×45cm 钢纤维盖板（有江宁公安专用标识）。</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 基坑开挖及浇灌</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包含杆件及落地机箱基础开挖及C25商品混凝土回填</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 绿化带开挖及恢复</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开挖深度≥40cm，宽度≥40cm，包含内敷设50PE管，一侧弃土，使用原土回填，采用保护措施，确保绿化灌木存活</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 道板砖开挖及恢复</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开挖深度≥60cm，宽度≥40cm，包含内敷设50PE管，渣土根据城管要求运输至指定地点（包含渣土处理费），40cm沙土回填，15cm商混回填，使用原道板砖恢复</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 超五类网线</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室外超五类网线，包含材料穿管敷设、线缆接驳、标识标牌等。</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 监控电源线及敷设1</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监控电源线及敷设1 RVV3*1 mm2，包含材料穿管敷设、线缆接驳、标识标牌等。</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 监控电源线及敷设2</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监控电源线及敷设2 RVV3*4 mm2，包含材料穿管敷设、线缆接驳、标识标牌等。</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 人脸算法技战法</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1.系统支持根据人脸相似度对人脸照片进行人脸归档功能；在不少于6000万实名档案下，归档准确率大于99.5%，召回率大于99.5%</w:t>
            </w:r>
            <w:r>
              <w:rPr>
                <w:rFonts w:ascii="SimSun" w:hAnsi="SimSun" w:eastAsia="SimSun" w:cs="SimSun"/>
                <w:b/>
                <w:color w:val="000000"/>
                <w:sz w:val="18"/>
              </w:rPr>
              <w:t xml:space="preserve">（提供具有CMA标识的检测报告加盖公章并上传至投标系统或提供承诺书在中标后满足采购要求承诺书原件，未提供或内容不全的将作无效投标处理）</w:t>
            </w:r>
            <w:r>
              <w:rPr>
                <w:rFonts w:ascii="SimSun" w:hAnsi="SimSun" w:eastAsia="SimSun" w:cs="SimSun"/>
                <w:color w:val="000000"/>
                <w:sz w:val="18"/>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2.系统支持每天不少于950万路人库与不少于6000万实名档案库碰撞聚档功能</w:t>
            </w:r>
            <w:r>
              <w:rPr>
                <w:rFonts w:ascii="SimSun" w:hAnsi="SimSun" w:eastAsia="SimSun" w:cs="SimSun"/>
                <w:b/>
                <w:color w:val="000000"/>
                <w:sz w:val="18"/>
              </w:rPr>
              <w:t xml:space="preserve">（提供具有CMA标识的检测报告加盖公章并上传至投标系统或提供承诺书在中标后满足采购要求承诺书原件，未提供或内容不全的将作无效投标处理）</w:t>
            </w:r>
            <w:r>
              <w:rPr>
                <w:rFonts w:ascii="SimSun" w:hAnsi="SimSun" w:eastAsia="SimSun" w:cs="SimSun"/>
                <w:color w:val="000000"/>
                <w:sz w:val="18"/>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53.供应商承诺本次人脸算法技战法应用可无缝兼容江宁现有智慧人像平台，无需新增硬件进行图片二次解析并且解析后的人像图片能够实现现有系统的人像检索、布控和聚档功能。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1.人像1：1比对：支持导入两张人脸图片进行一对一比对，输出比对相似度，比对响应时间不超过1秒；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2.静态比对功能：系统支持用户上传一张查询照片，在静态人像库中检索（比如常口库、在逃库等），返回人像库中与查询照相似的人像序列；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▲3.系统支持对档案添加标签识别功能，可添加不少于40种系统预设标签，并支持自定义标签功能，或类似功能；（提供技术参数或产品白皮书或宣传手册加盖公章上传至投标系统）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▲4.系统支持对不少于5段时空信息进行人脸碰撞分析功能；（提供技术参数或产品白皮书或宣传手册加盖公章上传至投标系统）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4.1亿人脸库规模下，单张人脸图片进行以脸搜脸检索后台平均响应速度不超过1秒；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5.人像辅助识别查询：系统支持在网络端对过于模糊且无法识别的人像图片通过双目强制标注进行查询；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6.系统支持对40×40像素以上，眼间距30像素以上的人像照片进行建库；支持jpg、jpeg、png、gif、bmp照片格式；支持zip、rar、tar、winzip、winrar压缩文件上传；支持对多类目录、多层目录自动搜索照片；建库成功率100%；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7.系统支持单台服务器的人脸图片建库速度不低于3000张/秒；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8.支持对水平转动角不超过±75°、俯仰角不超过±45°及两眼瞳间距不小于15像素点的视频或图片进行人脸分析功能；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9.千万人脸库规模下，以脸搜脸首位命中率不低于99%，以脸搜脸前十位命中率不低于99.9%，以脸搜脸前五十位命中率不低于99.99%；</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10.系统支持人脸检测功能：支持对抓拍的路人图片进行属性识别；支持分析路人的年龄、年龄段，性别，是否戴眼镜；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11.报警信息展示推送：系统支持对报警命中后的目标人员人像照片、场景图、身份信息等报警记录在浏览器中展示，并且报警记录可以关联抓拍、布控人员的人像照片；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12.报警信息查询：系统支持对报警信息按照多种条件进行筛选查询，如按照时间、相似度等标签信息查询；并支持对历史报警记录的查询；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13.系统人像抓拍查询：系统支持对实时抓拍和历史抓拍人像图片及场景图以时间、地点、路人特征标签（如年龄段，性别，眼镜）为查询条件进行筛选查询；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14.系统支持对水平转动角不超过±60°侧脸图片的底库聚档功能，支持对俯仰角不超过±45°的人脸图片的底库聚档功能；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15.系统支持查询360天档案数据，返回平均时间不超过2秒，支持根据人脸相似度对人脸照片进行人脸归档功能；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系统支持按实名档案籍贯地分布、性别、年龄段分布展示静态库，年龄段包括小孩、青少年、青年、中青年、中年、中老年、老年，支持显示指定区域、指定时间段的实有人员和非实有人员的统计数据及档案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17.系统支持一人一档功能，归档结果包含个人基本信息（姓名、身份证号、常住地址、库来源，性别，年龄段、高危、是否戴眼镜、夜行指数）、抓拍照和人像轨迹；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18.支持以人为维度建设档案，档案包括个人基本信息、抓拍照、活动轨迹、同行分析等综合信息；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19.支持针对小区进行管理，支持重点关注人员档案，支持对档案进行快速检索与信息核查，可广泛应用于社区使用；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20.支持系统数据统计页面能够显示系统总档案数、确认身份档案数、今日新增档案数支持一人一档底库和路人档案库的结构化信息提取、汇聚、导入、按需定期更新和互相比对更新的功能；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21.支持在地图上选择一定时间范围内出现路人抓拍的摄像头点位，支持按照目标出现时间先后顺序，支持结合GIS地图可视化描绘目标人员经过摄像机的轨迹连线的功能；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22.支持在一定时间范围内，按照摄像头、时间和路人抓拍次数查询，且单次查询时间不超过5秒。</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 租赁视频专网</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39"/>
        <w:gridCol w:w="2783"/>
        <w:gridCol w:w="4832"/>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功能、性能、配置要求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非实质性要求</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视频专网，租用裸纤，租用运营商线路三年（从验收之日起开始计算）</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73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83"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参考图片</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483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暂无内容</w:t>
            </w:r>
            <w:r/>
          </w:p>
        </w:tc>
      </w:tr>
    </w:tbl>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商务部分要求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合同履行期限：</w:t>
      </w:r>
      <w:r>
        <w:rPr>
          <w:rFonts w:ascii="SimSun" w:hAnsi="SimSun" w:eastAsia="SimSun" w:cs="SimSun"/>
          <w:color w:val="000000"/>
          <w:sz w:val="21"/>
        </w:rPr>
        <w:t xml:space="preserve">合同签订后60天内将货物安装调试完毕交付采购人正常使用。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2、供应商应为采购人提供免费质保服务，并指派专人负责与采购人联系售后服务事宜（投标文件中提供承诺函加盖公章原件）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3、所有产品保修服务方式均为供应商上门保修，即由供应商派人员到产品使用现场维修，由此产生的一切费用均由供应商承担。（投标文件中提供承诺函加盖公章原件）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4、供应商所供设备、安装的免费质量保证期不低于3年（招标文件中另有约定的除外，但均不得低于3年），自验收合格起计算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服务响应时间应为接到采购人故障电话后半小时内予以响应，5小时内到达采购人现场并提供解决方案，一般故障到达现场8小时内予以修复解决，如12小时内仍无法解决的，必须在24小时提供备机，以保证采购人系统的正常运行。（投标文件中提供承诺函原件，不接受负偏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实施过程中，供应商应提供专业的技术服务、售后服务及培训计划，以确保项目的顺利实施，实施过程中，不得因供应商提供的产品或者设备导致出现任何事故，一旦发现采购人有权对其进行处罚，所有责任均由采购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需承诺本次前端建设的感知设备够无缝接入江宁智慧警务平台，本次新建的人脸技战法应用能够无缝兼容江宁分局现有智慧人像平台。在取得分局相关接入证明后，项目方可验收，项目验收后还需向相关使用部门提供培训服务和介绍各前端感知设备的具体的安装位置。（提供承诺书原件，未提供视为无效投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b/>
          <w:color w:val="000000"/>
          <w:sz w:val="21"/>
        </w:rPr>
        <w:t xml:space="preserve">本项目中打“★”“▲”技术参数，签订合同时提供招标文件技术要求中要求的证明资料包含但不限于产品说明书等技术支持资料（如白皮书、彩页、手册、官网截图、具有CMA标识的检测报告等）供采购人核验（招标文件中另有要求的，按文件要求提供），未按要求提供或提供的证明材料不满足招标文件技术指标，采购人有权对不满足要求的中标供应商视为虚假应标，按无效投标处理。</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四、报价及付款方式：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投标报价含安装人员意外伤害保险费、清单所列及施工、安装、运输、调试、集成、保洁、原厂免费质保、税金等与本项目相关的一切费用，本项目验收前中标方承担所有货物的保管责任；本项目单项报价中已含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（二）付款方式：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自合同签订生效之日起，所有材料进场后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个工作日内采购人向供应商支付合同金额的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，货物安装完成后经验收通过后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个工作日内支付至合同金额的</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，项目整体实施完成经采购人签字后一次性付清尾款。</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注：加★项为实质性要求，不允许负偏离，否则按无效标处理，其他内容不允许负偏离。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173"/>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合同主要条款及格式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合同编号：</w: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政府采购计划号：</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根据《中华人民共和国政府采购法》、《中华人民共和国民法典》等法律法规的规定，甲乙双方按照招标结果签订本合同。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乙方根据甲方需求提供下列供货、服务：</w:t>
      </w:r>
      <w:r>
        <w:rPr>
          <w:rFonts w:ascii="SimSun" w:hAnsi="SimSun" w:eastAsia="SimSun" w:cs="SimSun"/>
          <w:color w:val="000000"/>
          <w:sz w:val="21"/>
          <w:u w:val="single"/>
        </w:rPr>
        <w:t xml:space="preserve">                    </w:t>
      </w:r>
      <w:r>
        <w:rPr>
          <w:rFonts w:ascii="SimSun" w:hAnsi="SimSun" w:eastAsia="SimSun" w:cs="SimSun"/>
          <w:color w:val="000000"/>
          <w:sz w:val="21"/>
        </w:rPr>
        <w:t xml:space="preserve">，详见乙方投标文件。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本合同项下合同总价款为___________（大写）人民币，分项价款在“分项报价表”中有明确规定。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总价款包括本项目所有产品供货、包装、运输、安装、调试费/质量管理费、软件信息升级、保险、竣工资料以及验收合格之前的保管及保修期内备品备件、专用工具、伴随服务、支付给员工的工资和国家强制缴纳的各种社会保障资金，以及供应商认为需要的其他费用等全部工作内容（即报价内容均涵盖报价要求之一切费用和伴随服务）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本合同执行期间合同总价款不变。</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rPr>
          <w:rFonts w:ascii="SimSun" w:hAnsi="SimSun" w:eastAsia="SimSun" w:cs="SimSun"/>
          <w:color w:val="000000"/>
          <w:sz w:val="21"/>
        </w:rPr>
        <w:t xml:space="preserve">  下列关于</w:t>
      </w:r>
      <w:r>
        <w:rPr>
          <w:rFonts w:ascii="SimSun" w:hAnsi="SimSun" w:eastAsia="SimSun" w:cs="SimSun"/>
          <w:b/>
          <w:color w:val="000000"/>
          <w:sz w:val="21"/>
          <w:u w:val="single"/>
        </w:rPr>
        <w:t xml:space="preserve">             </w:t>
      </w:r>
      <w:r>
        <w:rPr>
          <w:rFonts w:ascii="SimSun" w:hAnsi="SimSun" w:eastAsia="SimSun" w:cs="SimSun"/>
          <w:color w:val="000000"/>
          <w:sz w:val="21"/>
        </w:rPr>
        <w:t xml:space="preserve">标的招投标文件或与本次采购活动方式相适应的文件及有关附件是本合同不可分割的组成部分，与本合同具有同等法律效力，这些文件包括但不限于：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（1）乙方提供的投标文件和投标报价表；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（2）技术规格响应表；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（3）投标承诺/服务承诺；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（5）甲乙双方商定的其他文件等。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乙方应保证甲方在使用该服务或其任何一部分时不受第三方提出侵犯其专利权、版权、商标权或其他权利的起诉。一旦出现侵权，乙方应承担全部责任。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1、乙方所提供的服务的技术规格应与招标文件规定的技术规格及所附的“技术条款偏离表”相一致；若技术性能无特殊说明，则按国家有关部门最新颁布的标准及规范为准。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2、质保期：  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交付和验收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1、乙方应当在合同期限内完成服务事项。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2、验收标准：按行业通行标准和乙方投标文件的承诺（详见合同附件载明的标准，并不低于国家相关标准）。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应当在到货后对货物进行验收，验收包括：型号、规格、数量、外观质量及货物包装是否完好，安装调试是否合格。所提供货物的装箱清单、用户手册、原厂保修卡、随机资料及配件、随机工具等是否齐全。验收合格后甲方应在验收报告单上签字盖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本项目无需缴纳履约保证金。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3、付款条件：</w:t>
      </w:r>
      <w:r>
        <w:rPr>
          <w:rFonts w:ascii="SimSun" w:hAnsi="SimSun" w:eastAsia="SimSun" w:cs="SimSun"/>
          <w:color w:val="000000"/>
          <w:sz w:val="21"/>
        </w:rPr>
        <w:t xml:space="preserve">自合同签订生效之日起，所有材料进场后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个工作日内甲方向乙方支付合同金额的</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，货物安装完成后经验收通过后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个工作日内支付至合同金额的</w:t>
      </w:r>
      <w:r>
        <w:rPr>
          <w:rFonts w:ascii="Times New Roman" w:hAnsi="Times New Roman" w:eastAsia="Times New Roman" w:cs="Times New Roman"/>
          <w:color w:val="000000"/>
          <w:sz w:val="21"/>
        </w:rPr>
        <w:t xml:space="preserve">95%</w:t>
      </w:r>
      <w:r>
        <w:rPr>
          <w:rFonts w:ascii="SimSun" w:hAnsi="SimSun" w:eastAsia="SimSun" w:cs="SimSun"/>
          <w:color w:val="000000"/>
          <w:sz w:val="21"/>
        </w:rPr>
        <w:t xml:space="preserve">，项目整体实施完成经甲方签字后一次性付清尾款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1、甲方无正当理由拒收服务、拒付服务款的，由甲方向乙方偿付合同总价的5%违约金。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2、甲方未按合同规定的期限向乙方支付货款的，每逾期1天甲方向乙方偿付欠款总额的5‰滞纳金，但累计滞纳金总额不超过欠款总额的5%。</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3、如乙方不能交付服务、完成安装调试的，乙方应向甲方支付合同总价5%的违约金。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4、乙方逾期交付的，每逾期1天，乙方向甲方偿付合同总额的5‰的滞纳金。如乙方逾期交付达10天，甲方有权解除合同，解除合同的通知自到达乙方时生效。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5、乙方所交付的服务不符合合同规定的，甲方有权拒收。甲方拒收的，乙方应向甲方支付合同总款5%的违约金。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7、乙方未按本合同的规定和“服务承诺”提供伴随服务/售后服务的，应按合同总价款的5 %向甲方承担违约责任。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9、乙方投标属虚假承诺，或经部门验收提供的货物及服务不能满足招标文件要求，或是由于乙方的过错造成合同无法继续履行的，乙方应向甲方支付不少于合同总价30%赔偿金。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合同的变更和终止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1、除《政府采购法》第50条规定的情形外，本合同一经签订，甲乙双方不得擅自变更、中止或终止合同。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2、除发生法律规定的不能预见、不能避免并不能克服的客观情况外，甲乙双方不得放弃或拒绝履行合同。乙方放弃或拒绝履行合同，甲方有权对其进行处罚。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合同的转让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争议的解决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1、因服务的质量问题发生争议的，应当邀请国家认可的质量检测机构对服务质量进行鉴定。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2、因履行本合同引起的或与本合同有关的争议，甲、乙双方应首先通过友好协商解决，如果协商不能解决争议，则采取以下第（ ）种方式解决争议：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如没有约定，默认采取第2种方式解决争议。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3、在仲裁期间，本合同应继续履行。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诚实信用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乙方应诚实信用，严格按照招标文件要求和投标承诺履行合同，不向甲方进行商业贿赂或者提供不正当利益。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合同生效及其他要求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1、本合同自签字盖章生效。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2、本合同一式伍份，甲乙双方各执两份，一份交代理机构存档。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p>
      <w:pPr>
        <w:ind w:left="126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《*******采购合同》补充协议（合同附件）</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如遇招标文件及合同未约定事项，双方可友好协商签订补充协议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附</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（项目名称、项目编号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致：南京江宁经济技术开发区管理委员会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2、按招标要求，我们的投标报价为 </w:t>
      </w:r>
      <w:r>
        <w:rPr>
          <w:rFonts w:ascii="SimSun" w:hAnsi="SimSun" w:eastAsia="SimSun" w:cs="SimSun"/>
          <w:color w:val="000000"/>
          <w:sz w:val="21"/>
          <w:u w:val="single"/>
        </w:rPr>
        <w:t xml:space="preserve">    </w:t>
      </w:r>
      <w:r>
        <w:rPr>
          <w:rFonts w:ascii="SimSun" w:hAnsi="SimSun" w:eastAsia="SimSun" w:cs="SimSun"/>
          <w:color w:val="000000"/>
          <w:sz w:val="21"/>
        </w:rPr>
        <w:t xml:space="preserve">万元，大写</w:t>
      </w:r>
      <w:r>
        <w:rPr>
          <w:rFonts w:ascii="SimSun" w:hAnsi="SimSun" w:eastAsia="SimSun" w:cs="SimSun"/>
          <w:color w:val="000000"/>
          <w:sz w:val="21"/>
          <w:u w:val="single"/>
        </w:rPr>
        <w:t xml:space="preserve">    ，小写。</w:t>
      </w: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3、合同履行期为</w:t>
      </w:r>
      <w:r>
        <w:rPr>
          <w:rFonts w:ascii="SimSun" w:hAnsi="SimSun" w:eastAsia="SimSun" w:cs="SimSun"/>
          <w:color w:val="000000"/>
          <w:sz w:val="21"/>
          <w:u w:val="single"/>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4、核心品牌：</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8、一旦我方中标，我方将根据招标文件的规定严格履行合同，并保证于承诺的时间完成货物的启动/集成、调试等服务，交付采购人验收、使用。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致：（招标人）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 ）投标，以本公司名义处理一切与之有关的事务。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    年  月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法定代表人、委托代理人的身份证明文件：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01"/>
        <w:gridCol w:w="2153"/>
        <w:gridCol w:w="2332"/>
        <w:gridCol w:w="432"/>
        <w:gridCol w:w="3336"/>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01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33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报价（万元）</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1"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85"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6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5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投标货物中有无进口产品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有无</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25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是否中小微企业</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54" w:type="dxa"/>
            <w:vAlign w:val="center"/>
            <w:textDirection w:val="lrTb"/>
            <w:noWrap w:val="false"/>
          </w:tcPr>
          <w:p>
            <w:pPr>
              <w:ind w:left="630" w:right="0" w:hanging="63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本采购项目中提供的符合本国产品标准的产品成本之和占该采购包提供的全部产品成本之和的比例为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本项目仅接受一个价格，不得填报有选择性报价方案。若有优惠条款须注明，但不得影响报价，影响产品整体功能。</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“投标供应商是否属于小微型企业”栏内填写“是”或“否”。如为代理商投标，还需提供投标产品制造商出具的上述文件。非小微企业产品不享受价格扣除。</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0"/>
        <w:gridCol w:w="1133"/>
        <w:gridCol w:w="1366"/>
        <w:gridCol w:w="660"/>
        <w:gridCol w:w="766"/>
        <w:gridCol w:w="822"/>
        <w:gridCol w:w="744"/>
        <w:gridCol w:w="726"/>
        <w:gridCol w:w="1204"/>
        <w:gridCol w:w="897"/>
      </w:tblGrid>
      <w:tr>
        <w:trPr>
          <w:trHeight w:val="355"/>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分项内容</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规格/技术参数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82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总价(元)</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制造商</w:t>
            </w:r>
            <w:r/>
          </w:p>
        </w:tc>
        <w:tc>
          <w:tcPr>
            <w:shd w:val="clear" w:color="ffffff" w:fill="ffffff"/>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是否为小微企业</w:t>
            </w:r>
            <w:r/>
          </w:p>
        </w:tc>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36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13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6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2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4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0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512"/>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投标报价总计（元）</w:t>
            </w:r>
            <w:r/>
          </w:p>
        </w:tc>
        <w:tc>
          <w:tcPr>
            <w:gridSpan w:val="7"/>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28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9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1.</w:t>
      </w:r>
      <w:r>
        <w:rPr>
          <w:rFonts w:ascii="SimSun" w:hAnsi="SimSun" w:eastAsia="SimSun" w:cs="SimSun"/>
          <w:color w:val="000000"/>
          <w:sz w:val="21"/>
        </w:rPr>
        <w:t xml:space="preserve">此表为表样，行数可自行添加，但表式不变。</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2.</w:t>
      </w:r>
      <w:r>
        <w:rPr>
          <w:rFonts w:ascii="SimSun" w:hAnsi="SimSun" w:eastAsia="SimSun" w:cs="SimSun"/>
          <w:color w:val="000000"/>
          <w:sz w:val="21"/>
        </w:rPr>
        <w:t xml:space="preserve">总价</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单价</w:t>
      </w:r>
      <w:r>
        <w:rPr>
          <w:rFonts w:ascii="Microsoft YaHei" w:hAnsi="Microsoft YaHei" w:eastAsia="Microsoft YaHei" w:cs="Microsoft YaHei"/>
          <w:color w:val="000000"/>
          <w:sz w:val="21"/>
        </w:rPr>
        <w:t xml:space="preserve">*</w:t>
      </w:r>
      <w:r>
        <w:rPr>
          <w:rFonts w:ascii="SimSun" w:hAnsi="SimSun" w:eastAsia="SimSun" w:cs="SimSun"/>
          <w:color w:val="000000"/>
          <w:sz w:val="21"/>
        </w:rPr>
        <w:t xml:space="preserve">数量，数量由供应商根据项目需求计算并填列。</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3.</w:t>
      </w:r>
      <w:r>
        <w:rPr>
          <w:rFonts w:ascii="SimSun" w:hAnsi="SimSun" w:eastAsia="SimSun" w:cs="SimSun"/>
          <w:color w:val="000000"/>
          <w:sz w:val="21"/>
        </w:rPr>
        <w:t xml:space="preserve">供应商必须保证承诺使用小、微型企业参加投标的真实性，如出现虚假响应，一经查实，将按照采购方采购有关法律法规进行处理。</w:t>
      </w:r>
      <w:r/>
    </w:p>
    <w:p>
      <w:pPr>
        <w:ind w:left="0" w:right="0" w:firstLine="0"/>
        <w:spacing w:before="0" w:after="0" w:line="85" w:lineRule="atLeast"/>
        <w:tabs>
          <w:tab w:val="left" w:pos="220" w:leader="none"/>
        </w:tabs>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1"/>
        </w:rPr>
        <w:t xml:space="preserve">4.</w:t>
      </w:r>
      <w:r>
        <w:rPr>
          <w:rFonts w:ascii="SimSun" w:hAnsi="SimSun" w:eastAsia="SimSun" w:cs="SimSun"/>
          <w:color w:val="000000"/>
          <w:sz w:val="21"/>
        </w:rPr>
        <w:t xml:space="preserve">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附件五、技术规格偏离表格式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技术规格偏离表</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24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2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4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附件六、商务条款偏离表格式</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0"/>
        <w:gridCol w:w="2529"/>
        <w:gridCol w:w="1859"/>
        <w:gridCol w:w="729"/>
        <w:gridCol w:w="18"/>
        <w:gridCol w:w="1606"/>
        <w:gridCol w:w="36"/>
        <w:gridCol w:w="1061"/>
        <w:gridCol w:w="500"/>
      </w:tblGrid>
      <w:tr>
        <w:trPr>
          <w:trHeight w:val="28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52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项目名称：</w:t>
            </w:r>
            <w:r/>
          </w:p>
        </w:tc>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9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6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2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58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0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9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1、说明：如果行数不够，请自行增加。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投标人近年来类似业绩情况表</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说明：请投标人根据第三章评标标准要求提供相关资料。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拟参与本项目人员一览表</w:t>
      </w:r>
      <w:r/>
    </w:p>
    <w:p>
      <w:pPr>
        <w:ind w:left="0" w:right="0" w:firstLine="211"/>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1096"/>
        <w:gridCol w:w="811"/>
        <w:gridCol w:w="867"/>
        <w:gridCol w:w="1386"/>
        <w:gridCol w:w="1139"/>
        <w:gridCol w:w="1039"/>
        <w:gridCol w:w="2364"/>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本项目中担任岗位</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w:t>
      </w:r>
      <w:r>
        <w:rPr>
          <w:rFonts w:ascii="SimSun" w:hAnsi="SimSun" w:eastAsia="SimSun" w:cs="SimSun"/>
          <w:b/>
          <w:color w:val="000000"/>
          <w:sz w:val="24"/>
        </w:rPr>
        <w:t xml:space="preserve">供货一览表格式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TXihei" w:hAnsi="STXihei" w:eastAsia="STXihei" w:cs="STXihei"/>
          <w:color w:val="000000"/>
          <w:sz w:val="36"/>
        </w:rPr>
        <w:t xml:space="preserve">供货一览表</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4"/>
        <w:gridCol w:w="323"/>
        <w:gridCol w:w="868"/>
        <w:gridCol w:w="899"/>
        <w:gridCol w:w="1539"/>
        <w:gridCol w:w="1415"/>
        <w:gridCol w:w="22"/>
        <w:gridCol w:w="1702"/>
        <w:gridCol w:w="1571"/>
      </w:tblGrid>
      <w:tr>
        <w:trPr>
          <w:trHeight w:val="350"/>
        </w:trPr>
        <w:tc>
          <w:tcPr>
            <w:gridSpan w:val="7"/>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0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2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项目编号：</w:t>
            </w:r>
            <w:r/>
          </w:p>
        </w:tc>
      </w:tr>
      <w:tr>
        <w:trPr>
          <w:trHeight w:val="3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生产企业名称</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生产企业地址</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主要技术参数</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0"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（1）具有独立承担民事责任的能力（提供法人或者其他组织的营业执照，自然人的身份证明）；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（3）具有履行合同所必需的设备和专业技术能力（根据项目需求提供履行合同所必需的设备和专业技术能力的证明材料）；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（5）参加政府采购活动前三年内，在经营活动中没有重大违法记录（提供参加本次政府采购活动前3年内在经营活动中没有重大违法记录的书面声明）（格式见后附件）；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附件1：具有独立承担民事责任的能力（提供法人或者其他组织的营业执照，自然人的身份证明）；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附件2：具有良好的商业信誉和健全的财务会计制度；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附件3：具有履行合同所必需的设备和专业技术能力（根据项目需求提供履行合同所必需的设备和专业技术能力的证明材料）；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具备履行合同所必需的设备和专业技术能力的声明格式</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若有 )</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w:t>
      </w:r>
      <w:r>
        <w:rPr>
          <w:rFonts w:ascii="SimSun" w:hAnsi="SimSun" w:eastAsia="SimSun" w:cs="SimSun"/>
          <w:color w:val="000000"/>
          <w:sz w:val="24"/>
        </w:rPr>
        <w:t xml:space="preserve">有依法缴纳税收和社会保障资金的良好记录；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附件5：参加政府采购活动前三年内，在经营活动中没有重大违法记录（提供参加本次政府采购活动前3年内在经营活动中没有重大违法记录的书面声明）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南京江宁经济技术开发区管理委员会：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参加政府采购活动前3年内在经营活动中（在下划线上如实填写：有或没有）重大违法记录。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26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525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附件7：《南京市政府采购供应商信用记录表暨信用承诺书》</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SimSun" w:hAnsi="SimSun" w:eastAsia="SimSun" w:cs="SimSun"/>
          <w:color w:val="000000"/>
          <w:sz w:val="21"/>
        </w:rPr>
        <w:t xml:space="preserve">action;jsessionid=769BA9C8E1729422E7173B991C8EC1E5）登录（未注册的供应商应先点击‘供应商注册点这里’并按要求完成注册），然后在“信用记录”模块页面点击“信用记录打印”下载本单位信用记录表，由法人签字并盖单位公章，上传至电子响应文件中，响应文件将按无效投标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理</w:t>
      </w:r>
      <w:r>
        <w:rPr>
          <w:rFonts w:ascii="SimSun" w:hAnsi="SimSun" w:eastAsia="SimSun" w:cs="SimSun"/>
          <w:color w:val="000000"/>
          <w:sz w:val="21"/>
        </w:rPr>
        <w:t xml:space="preserve">机构核验。经核验无误后，由采购人或采购代理机构发出中标（成交）通知书。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单位负责人、公司控股关系及公司管理关系释义：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①单位负责人：</w:t>
      </w:r>
      <w:r>
        <w:rPr>
          <w:rFonts w:ascii="SimSun" w:hAnsi="SimSun" w:eastAsia="SimSun" w:cs="SimSun"/>
          <w:color w:val="000000"/>
          <w:sz w:val="21"/>
        </w:rPr>
        <w:t xml:space="preserve">是指</w:t>
      </w:r>
      <w:r>
        <w:rPr>
          <w:rFonts w:ascii="SimSun" w:hAnsi="SimSun" w:eastAsia="SimSun" w:cs="SimSun"/>
          <w:b/>
          <w:color w:val="000000"/>
          <w:sz w:val="21"/>
        </w:rPr>
        <w:t xml:space="preserve">A </w:t>
      </w:r>
      <w:r>
        <w:rPr>
          <w:rFonts w:ascii="SimSun" w:hAnsi="SimSun" w:eastAsia="SimSun" w:cs="SimSun"/>
          <w:b/>
          <w:color w:val="000000"/>
          <w:sz w:val="21"/>
          <w:u w:val="single"/>
        </w:rPr>
        <w:t xml:space="preserve">单位法定代表人</w:t>
      </w:r>
      <w:r>
        <w:rPr>
          <w:rFonts w:ascii="SimSun" w:hAnsi="SimSun" w:eastAsia="SimSun" w:cs="SimSun"/>
          <w:color w:val="000000"/>
          <w:sz w:val="21"/>
        </w:rPr>
        <w:t xml:space="preserve">或者</w:t>
      </w:r>
      <w:r>
        <w:rPr>
          <w:rFonts w:ascii="SimSun" w:hAnsi="SimSun" w:eastAsia="SimSun" w:cs="SimSun"/>
          <w:b/>
          <w:color w:val="000000"/>
          <w:sz w:val="21"/>
        </w:rPr>
        <w:t xml:space="preserve">B </w:t>
      </w:r>
      <w:r>
        <w:rPr>
          <w:rFonts w:ascii="SimSun" w:hAnsi="SimSun" w:eastAsia="SimSun" w:cs="SimSun"/>
          <w:b/>
          <w:color w:val="000000"/>
          <w:sz w:val="21"/>
          <w:u w:val="single"/>
        </w:rPr>
        <w:t xml:space="preserve">法律、行政法规规定代表单位行使职权的主要负责人。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A：所谓法定代表人：</w:t>
      </w:r>
      <w:r>
        <w:rPr>
          <w:rFonts w:ascii="SimSun" w:hAnsi="SimSun" w:eastAsia="SimSun" w:cs="SimSun"/>
          <w:color w:val="000000"/>
          <w:sz w:val="21"/>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B：所谓法律、行政法规规定代表单位行使职权的主要负责人：</w:t>
      </w:r>
      <w:r>
        <w:rPr>
          <w:rFonts w:ascii="SimSun" w:hAnsi="SimSun" w:eastAsia="SimSun" w:cs="SimSun"/>
          <w:color w:val="000000"/>
          <w:sz w:val="21"/>
        </w:rPr>
        <w:t xml:space="preserve">是指除法定代表人以外，法律、行政法规规定的代表单位行使职权的主要负责人。如个人独资企业的投资人，代表合伙企业执行合伙企业事务的合伙人等。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②控股关系：</w:t>
      </w:r>
      <w:r>
        <w:rPr>
          <w:rFonts w:ascii="SimSun" w:hAnsi="SimSun" w:eastAsia="SimSun" w:cs="SimSun"/>
          <w:color w:val="000000"/>
          <w:sz w:val="21"/>
        </w:rPr>
        <w:t xml:space="preserve">政府采购法实施条例所谓控股关系是指单位或个人股东的控股关系。控股的含义：根据《中华人民共和国公司法》第二百一十六条规定：“本法相关用语的含义：</w:t>
      </w:r>
      <w:r>
        <w:rPr>
          <w:rFonts w:ascii="SimSun" w:hAnsi="SimSun" w:eastAsia="SimSun" w:cs="SimSun"/>
          <w:b/>
          <w:color w:val="000000"/>
          <w:sz w:val="21"/>
        </w:rPr>
        <w:t xml:space="preserve">（二）控股股东，是指 A </w:t>
      </w:r>
      <w:r>
        <w:rPr>
          <w:rFonts w:ascii="SimSun" w:hAnsi="SimSun" w:eastAsia="SimSun" w:cs="SimSun"/>
          <w:b/>
          <w:color w:val="000000"/>
          <w:sz w:val="21"/>
          <w:u w:val="single"/>
        </w:rPr>
        <w:t xml:space="preserve">其出资额占有限责任公司资本总额百分之五十以上或者其持有的股份占股份有限公司股本总额百分之五十以上的股东</w:t>
      </w:r>
      <w:r>
        <w:rPr>
          <w:rFonts w:ascii="SimSun" w:hAnsi="SimSun" w:eastAsia="SimSun" w:cs="SimSun"/>
          <w:b/>
          <w:color w:val="000000"/>
          <w:sz w:val="21"/>
        </w:rPr>
        <w:t xml:space="preserve">；B </w:t>
      </w:r>
      <w:r>
        <w:rPr>
          <w:rFonts w:ascii="SimSun" w:hAnsi="SimSun" w:eastAsia="SimSun" w:cs="SimSun"/>
          <w:b/>
          <w:color w:val="000000"/>
          <w:sz w:val="21"/>
          <w:u w:val="single"/>
        </w:rPr>
        <w:t xml:space="preserve">出资额或者持有股份的比例虽然不足百分之五十，但依其出资额或者持有的股份所享有的表决权已足以对股东会、股东大会的决议产生重大影响的股东</w:t>
      </w:r>
      <w:r>
        <w:rPr>
          <w:rFonts w:ascii="SimSun" w:hAnsi="SimSun" w:eastAsia="SimSun" w:cs="SimSun"/>
          <w:color w:val="000000"/>
          <w:sz w:val="21"/>
        </w:rPr>
        <w:t xml:space="preserve">”。实践中，一般对 A 所述情形称为绝对控股，B 所述情形称为相对控股，政府采购法实施条例所称“控股”包括绝对控股和相对控股。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③管理关系：</w:t>
      </w:r>
      <w:r>
        <w:rPr>
          <w:rFonts w:ascii="SimSun" w:hAnsi="SimSun" w:eastAsia="SimSun" w:cs="SimSun"/>
          <w:color w:val="000000"/>
          <w:sz w:val="21"/>
        </w:rPr>
        <w:t xml:space="preserve">政府采购法实施条例所谓管理关系是指不具有出资持股关系的其他单位之间存在的管理与被管理关系，如一些上下级关系的事业单位和团体组织。</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附件十一、11-1 中小企业声明函（货物）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采购活动，提供的货物全部由符合政策要求的中小企业制造。相关企业（含联合体中的中小企业、签订分包意向协议的中小企业）的具体情况如下：</w:t>
      </w:r>
      <w:r/>
    </w:p>
    <w:p>
      <w:pPr>
        <w:ind w:left="0" w:right="0" w:firstLine="40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05"/>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（采购文件中明确的所属行业）行业</w:t>
      </w:r>
      <w:r>
        <w:rPr>
          <w:rFonts w:ascii="SimSun" w:hAnsi="SimSun" w:eastAsia="SimSun" w:cs="SimSun"/>
          <w:color w:val="000000"/>
          <w:sz w:val="21"/>
        </w:rPr>
        <w:t xml:space="preserve">；制造商为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，从业人员人，营业收入为万元，资产总额为万元，属于</w:t>
      </w:r>
      <w:r>
        <w:rPr>
          <w:rFonts w:ascii="SimSun" w:hAnsi="SimSun" w:eastAsia="SimSun" w:cs="SimSun"/>
          <w:color w:val="000000"/>
          <w:sz w:val="21"/>
          <w:u w:val="single"/>
        </w:rPr>
        <w:t xml:space="preserve">（中型企业、小型企业、微型企业）；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53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企业名称（电子公章）：</w:t>
      </w:r>
      <w:r/>
    </w:p>
    <w:p>
      <w:pPr>
        <w:ind w:left="0" w:right="0" w:firstLine="53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注：【1】从业人员、营业收入、资产总额填报上一年度数据，无上一年度数据的新成立企业可不填报。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中小企业划型标准规定</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一、根据《中华人民共和国中小企业促进法》和《国务院关于进一步促进中小企业发展的若干意见》（国发〔</w:t>
      </w:r>
      <w:r>
        <w:rPr>
          <w:rFonts w:ascii="Times New Roman" w:hAnsi="Times New Roman" w:eastAsia="Times New Roman" w:cs="Times New Roman"/>
          <w:color w:val="000000"/>
          <w:sz w:val="21"/>
        </w:rPr>
        <w:t xml:space="preserve">2009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，制定本规定。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二、中小企业划分为中型、小型、微型三种类型，具体标准根据企业从业人员、营业收入、资产总额等指标，结合行业特点制定。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四、各行业划型标准为：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6000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8000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11-2 </w:t>
      </w:r>
      <w:r>
        <w:rPr>
          <w:rFonts w:ascii="FangSong" w:hAnsi="FangSong" w:eastAsia="FangSong" w:cs="FangSong"/>
          <w:color w:val="000000"/>
          <w:sz w:val="24"/>
        </w:rPr>
        <w:t xml:space="preserve">采购本国产品的支持政策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关于符合本国产品标准的声明函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本公司（单位）郑重声明，根据《国务院办公厅关于在政府采购中实施本国产品标准及相关政策的通知》（国办发〔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FangSong" w:hAnsi="FangSong" w:eastAsia="FangSong" w:cs="FangSong"/>
          <w:color w:val="000000"/>
          <w:sz w:val="24"/>
        </w:rPr>
        <w:t xml:space="preserve">〕</w:t>
      </w:r>
      <w:r>
        <w:rPr>
          <w:rFonts w:ascii="Times New Roman" w:hAnsi="Times New Roman" w:eastAsia="Times New Roman" w:cs="Times New Roman"/>
          <w:color w:val="000000"/>
          <w:sz w:val="24"/>
        </w:rPr>
        <w:t xml:space="preserve">34</w:t>
      </w:r>
      <w:r>
        <w:rPr>
          <w:rFonts w:ascii="FangSong" w:hAnsi="FangSong" w:eastAsia="FangSong" w:cs="FangSong"/>
          <w:color w:val="000000"/>
          <w:sz w:val="24"/>
        </w:rPr>
        <w:t xml:space="preserve">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
        <mc:AlternateContent>
          <mc:Choice Requires="wpg">
            <w:drawing>
              <wp:anchor xmlns:wp="http://schemas.openxmlformats.org/drawingml/2006/wordprocessingDrawing" xmlns:wp14="http://schemas.microsoft.com/office/word/2010/wordprocessingDrawing" distT="0" distB="0" distL="115200" distR="115200" simplePos="0" relativeHeight="251695106" behindDoc="0" locked="0" layoutInCell="1" allowOverlap="1">
                <wp:simplePos x="0" y="0"/>
                <wp:positionH relativeFrom="column">
                  <wp:posOffset>1484225</wp:posOffset>
                </wp:positionH>
                <wp:positionV relativeFrom="paragraph">
                  <wp:posOffset>645925</wp:posOffset>
                </wp:positionV>
                <wp:extent cx="905346" cy="113168"/>
                <wp:effectExtent l="4762" t="4762" r="4762" b="4762"/>
                <wp:wrapNone/>
                <wp:docPr id="4" name=""/>
                <wp:cNvGraphicFramePr/>
                <a:graphic xmlns:a="http://schemas.openxmlformats.org/drawingml/2006/main">
                  <a:graphicData uri="http://schemas.microsoft.com/office/word/2010/wordprocessingShape">
                    <wps:wsp>
                      <wps:cNvPr id="0" name=""/>
                      <wps:cNvSpPr/>
                      <wps:spPr bwMode="auto">
                        <a:xfrm flipH="0" flipV="1">
                          <a:off x="0" y="0"/>
                          <a:ext cx="905346" cy="11316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95106;mso-wrap-distance-left:9.1pt;mso-wrap-distance-top:0.0pt;mso-wrap-distance-right:9.1pt;mso-wrap-distance-bottom:0.0pt;flip:y;visibility:visible;" from="116.9pt,50.9pt" to="188.2pt,59.8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4082" behindDoc="0" locked="0" layoutInCell="1" allowOverlap="1">
                <wp:simplePos x="0" y="0"/>
                <wp:positionH relativeFrom="column">
                  <wp:posOffset>314819</wp:posOffset>
                </wp:positionH>
                <wp:positionV relativeFrom="paragraph">
                  <wp:posOffset>674217</wp:posOffset>
                </wp:positionV>
                <wp:extent cx="1018515" cy="103738"/>
                <wp:effectExtent l="4762" t="4762" r="4762" b="4762"/>
                <wp:wrapNone/>
                <wp:docPr id="5" name=""/>
                <wp:cNvGraphicFramePr/>
                <a:graphic xmlns:a="http://schemas.openxmlformats.org/drawingml/2006/main">
                  <a:graphicData uri="http://schemas.microsoft.com/office/word/2010/wordprocessingShape">
                    <wps:wsp>
                      <wps:cNvPr id="0" name=""/>
                      <wps:cNvSpPr/>
                      <wps:spPr bwMode="auto">
                        <a:xfrm flipH="0" flipV="1">
                          <a:off x="0" y="0"/>
                          <a:ext cx="1018514" cy="10373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94082;mso-wrap-distance-left:9.1pt;mso-wrap-distance-top:0.0pt;mso-wrap-distance-right:9.1pt;mso-wrap-distance-bottom:0.0pt;flip:y;visibility:visible;" from="24.8pt,53.1pt" to="105.0pt,61.3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3058" behindDoc="0" locked="0" layoutInCell="1" allowOverlap="1">
                <wp:simplePos x="0" y="0"/>
                <wp:positionH relativeFrom="column">
                  <wp:posOffset>4219125</wp:posOffset>
                </wp:positionH>
                <wp:positionV relativeFrom="paragraph">
                  <wp:posOffset>344143</wp:posOffset>
                </wp:positionV>
                <wp:extent cx="1009084" cy="141460"/>
                <wp:effectExtent l="4762" t="4762" r="4762" b="4762"/>
                <wp:wrapNone/>
                <wp:docPr id="6" name=""/>
                <wp:cNvGraphicFramePr/>
                <a:graphic xmlns:a="http://schemas.openxmlformats.org/drawingml/2006/main">
                  <a:graphicData uri="http://schemas.microsoft.com/office/word/2010/wordprocessingShape">
                    <wps:wsp>
                      <wps:cNvPr id="0" name=""/>
                      <wps:cNvSpPr/>
                      <wps:spPr bwMode="auto">
                        <a:xfrm flipH="0" flipV="1">
                          <a:off x="0" y="0"/>
                          <a:ext cx="1009083" cy="14146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93058;mso-wrap-distance-left:9.1pt;mso-wrap-distance-top:0.0pt;mso-wrap-distance-right:9.1pt;mso-wrap-distance-bottom:0.0pt;flip:y;visibility:visible;" from="332.2pt,27.1pt" to="411.7pt,38.2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2034" behindDoc="0" locked="0" layoutInCell="1" allowOverlap="1">
                <wp:simplePos x="0" y="0"/>
                <wp:positionH relativeFrom="column">
                  <wp:posOffset>3030858</wp:posOffset>
                </wp:positionH>
                <wp:positionV relativeFrom="paragraph">
                  <wp:posOffset>344143</wp:posOffset>
                </wp:positionV>
                <wp:extent cx="999653" cy="141460"/>
                <wp:effectExtent l="4762" t="4762" r="4762" b="4762"/>
                <wp:wrapNone/>
                <wp:docPr id="7" name=""/>
                <wp:cNvGraphicFramePr/>
                <a:graphic xmlns:a="http://schemas.openxmlformats.org/drawingml/2006/main">
                  <a:graphicData uri="http://schemas.microsoft.com/office/word/2010/wordprocessingShape">
                    <wps:wsp>
                      <wps:cNvPr id="0" name=""/>
                      <wps:cNvSpPr/>
                      <wps:spPr bwMode="auto">
                        <a:xfrm flipH="0" flipV="1">
                          <a:off x="0" y="0"/>
                          <a:ext cx="999653" cy="14146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92034;mso-wrap-distance-left:9.1pt;mso-wrap-distance-top:0.0pt;mso-wrap-distance-right:9.1pt;mso-wrap-distance-bottom:0.0pt;flip:y;visibility:visible;" from="238.7pt,27.1pt" to="317.4pt,38.2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1010" behindDoc="0" locked="0" layoutInCell="1" allowOverlap="1">
                <wp:simplePos x="0" y="0"/>
                <wp:positionH relativeFrom="column">
                  <wp:posOffset>1927467</wp:posOffset>
                </wp:positionH>
                <wp:positionV relativeFrom="paragraph">
                  <wp:posOffset>334712</wp:posOffset>
                </wp:positionV>
                <wp:extent cx="839331" cy="132030"/>
                <wp:effectExtent l="4762" t="4762" r="4762" b="4762"/>
                <wp:wrapNone/>
                <wp:docPr id="8" name=""/>
                <wp:cNvGraphicFramePr/>
                <a:graphic xmlns:a="http://schemas.openxmlformats.org/drawingml/2006/main">
                  <a:graphicData uri="http://schemas.microsoft.com/office/word/2010/wordprocessingShape">
                    <wps:wsp>
                      <wps:cNvPr id="0" name=""/>
                      <wps:cNvSpPr/>
                      <wps:spPr bwMode="auto">
                        <a:xfrm flipH="0" flipV="1">
                          <a:off x="0" y="0"/>
                          <a:ext cx="839331" cy="13202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91010;mso-wrap-distance-left:9.1pt;mso-wrap-distance-top:0.0pt;mso-wrap-distance-right:9.1pt;mso-wrap-distance-bottom:0.0pt;flip:y;visibility:visible;" from="151.8pt,26.4pt" to="217.9pt,36.8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89986" behindDoc="0" locked="0" layoutInCell="1" allowOverlap="1">
                <wp:simplePos x="0" y="0"/>
                <wp:positionH relativeFrom="column">
                  <wp:posOffset>4558631</wp:posOffset>
                </wp:positionH>
                <wp:positionV relativeFrom="paragraph">
                  <wp:posOffset>70653</wp:posOffset>
                </wp:positionV>
                <wp:extent cx="1056237" cy="103738"/>
                <wp:effectExtent l="4762" t="4762" r="4762" b="4762"/>
                <wp:wrapNone/>
                <wp:docPr id="9" name=""/>
                <wp:cNvGraphicFramePr/>
                <a:graphic xmlns:a="http://schemas.openxmlformats.org/drawingml/2006/main">
                  <a:graphicData uri="http://schemas.microsoft.com/office/word/2010/wordprocessingShape">
                    <wps:wsp>
                      <wps:cNvPr id="0" name=""/>
                      <wps:cNvSpPr/>
                      <wps:spPr bwMode="auto">
                        <a:xfrm flipH="0" flipV="1">
                          <a:off x="0" y="0"/>
                          <a:ext cx="1056237" cy="10373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89986;mso-wrap-distance-left:9.1pt;mso-wrap-distance-top:0.0pt;mso-wrap-distance-right:9.1pt;mso-wrap-distance-bottom:0.0pt;flip:y;visibility:visible;" from="358.9pt,5.6pt" to="442.1pt,13.7pt" filled="f" strokecolor="#233B59" strokeweight="0.75pt"/>
            </w:pict>
          </mc:Fallback>
        </mc:AlternateContent>
      </w:r>
      <w:r/>
      <w:r>
        <w:rPr>
          <w:rFonts w:ascii="Times New Roman" w:hAnsi="Times New Roman" w:eastAsia="Times New Roman" w:cs="Times New Roman"/>
          <w:color w:val="000000"/>
          <w:sz w:val="24"/>
          <w:highlight w:val="white"/>
        </w:rPr>
        <w:t xml:space="preserve">1.</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Times New Roman" w:hAnsi="Times New Roman" w:eastAsia="Times New Roman" w:cs="Times New Roman"/>
          <w:color w:val="000000"/>
          <w:sz w:val="20"/>
          <w:highlight w:val="white"/>
          <w:vertAlign w:val="superscript"/>
        </w:rPr>
        <w:t xml:space="preserve">1</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Times New Roman" w:hAnsi="Times New Roman" w:eastAsia="Times New Roman" w:cs="Times New Roman"/>
          <w:color w:val="000000"/>
          <w:sz w:val="20"/>
          <w:highlight w:val="white"/>
          <w:vertAlign w:val="superscript"/>
        </w:rPr>
        <w:t xml:space="preserve">2</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Times New Roman" w:hAnsi="Times New Roman" w:eastAsia="Times New Roman" w:cs="Times New Roman"/>
          <w:color w:val="000000"/>
          <w:sz w:val="24"/>
          <w:highlight w:val="white"/>
          <w:u w:val="single"/>
        </w:rPr>
        <w:t xml:space="preserve"> </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 </w:t>
      </w:r>
      <w:r>
        <w:rPr>
          <w:rFonts w:ascii="FangSong" w:hAnsi="FangSong" w:eastAsia="FangSong" w:cs="FangSong"/>
          <w:color w:val="000000"/>
          <w:sz w:val="24"/>
          <w:highlight w:val="white"/>
        </w:rPr>
        <w:t xml:space="preserve">的中国境内生产的组件成本占比</w:t>
      </w:r>
      <w:r>
        <w:rPr>
          <w:rFonts w:ascii="Times New Roman" w:hAnsi="Times New Roman" w:eastAsia="Times New Roman" w:cs="Times New Roman"/>
          <w:color w:val="000000"/>
          <w:sz w:val="24"/>
          <w:highlight w:val="white"/>
        </w:rPr>
        <w:t xml:space="preserve">≥</w:t>
      </w:r>
      <w:r>
        <w:rPr>
          <w:rFonts w:ascii="FangSong" w:hAnsi="FangSong" w:eastAsia="FangSong" w:cs="FangSong"/>
          <w:color w:val="000000"/>
          <w:sz w:val="24"/>
          <w:highlight w:val="white"/>
          <w:u w:val="single"/>
        </w:rPr>
        <w:t xml:space="preserve">（规定比例）</w:t>
      </w:r>
      <w:r>
        <w:rPr>
          <w:rFonts w:ascii="Times New Roman" w:hAnsi="Times New Roman" w:eastAsia="Times New Roman" w:cs="Times New Roman"/>
          <w:color w:val="000000"/>
          <w:sz w:val="20"/>
          <w:highlight w:val="white"/>
          <w:vertAlign w:val="superscript"/>
        </w:rPr>
        <w:t xml:space="preserve">3</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（关键组件）</w:t>
      </w:r>
      <w:r>
        <w:rPr>
          <w:rFonts w:ascii="Times New Roman" w:hAnsi="Times New Roman" w:eastAsia="Times New Roman" w:cs="Times New Roman"/>
          <w:color w:val="000000"/>
          <w:sz w:val="20"/>
          <w:highlight w:val="white"/>
          <w:vertAlign w:val="superscript"/>
        </w:rPr>
        <w:t xml:space="preserve">4</w:t>
      </w:r>
      <w:r>
        <w:rPr>
          <w:rFonts w:ascii="FangSong" w:hAnsi="FangSong" w:eastAsia="FangSong" w:cs="FangSong"/>
          <w:color w:val="000000"/>
          <w:sz w:val="24"/>
          <w:highlight w:val="white"/>
        </w:rPr>
        <w:t xml:space="preserve">在中国境内生产。</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（关键工序）</w:t>
      </w:r>
      <w:r>
        <w:rPr>
          <w:rFonts w:ascii="Times New Roman" w:hAnsi="Times New Roman" w:eastAsia="Times New Roman" w:cs="Times New Roman"/>
          <w:color w:val="000000"/>
          <w:sz w:val="20"/>
          <w:highlight w:val="white"/>
          <w:vertAlign w:val="superscript"/>
        </w:rPr>
        <w:t xml:space="preserve">5</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
        <mc:AlternateContent>
          <mc:Choice Requires="wpg">
            <w:drawing>
              <wp:anchor xmlns:wp="http://schemas.openxmlformats.org/drawingml/2006/wordprocessingDrawing" xmlns:wp14="http://schemas.microsoft.com/office/word/2010/wordprocessingDrawing" distT="0" distB="0" distL="115200" distR="115200" simplePos="0" relativeHeight="251701250" behindDoc="0" locked="0" layoutInCell="1" allowOverlap="1">
                <wp:simplePos x="0" y="0"/>
                <wp:positionH relativeFrom="column">
                  <wp:posOffset>871230</wp:posOffset>
                </wp:positionH>
                <wp:positionV relativeFrom="paragraph">
                  <wp:posOffset>623775</wp:posOffset>
                </wp:positionV>
                <wp:extent cx="773317" cy="141460"/>
                <wp:effectExtent l="4762" t="4762" r="4762" b="4762"/>
                <wp:wrapNone/>
                <wp:docPr id="10" name=""/>
                <wp:cNvGraphicFramePr/>
                <a:graphic xmlns:a="http://schemas.openxmlformats.org/drawingml/2006/main">
                  <a:graphicData uri="http://schemas.microsoft.com/office/word/2010/wordprocessingShape">
                    <wps:wsp>
                      <wps:cNvPr id="0" name=""/>
                      <wps:cNvSpPr/>
                      <wps:spPr bwMode="auto">
                        <a:xfrm flipH="0" flipV="1">
                          <a:off x="0" y="0"/>
                          <a:ext cx="773316" cy="14146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701250;mso-wrap-distance-left:9.1pt;mso-wrap-distance-top:0.0pt;mso-wrap-distance-right:9.1pt;mso-wrap-distance-bottom:0.0pt;flip:y;visibility:visible;" from="68.6pt,49.1pt" to="129.5pt,60.3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700226" behindDoc="0" locked="0" layoutInCell="1" allowOverlap="1">
                <wp:simplePos x="0" y="0"/>
                <wp:positionH relativeFrom="column">
                  <wp:posOffset>-52978</wp:posOffset>
                </wp:positionH>
                <wp:positionV relativeFrom="paragraph">
                  <wp:posOffset>652067</wp:posOffset>
                </wp:positionV>
                <wp:extent cx="716733" cy="94307"/>
                <wp:effectExtent l="4762" t="4762" r="4762" b="4762"/>
                <wp:wrapNone/>
                <wp:docPr id="11" name=""/>
                <wp:cNvGraphicFramePr/>
                <a:graphic xmlns:a="http://schemas.openxmlformats.org/drawingml/2006/main">
                  <a:graphicData uri="http://schemas.microsoft.com/office/word/2010/wordprocessingShape">
                    <wps:wsp>
                      <wps:cNvPr id="0" name=""/>
                      <wps:cNvSpPr/>
                      <wps:spPr bwMode="auto">
                        <a:xfrm flipH="0" flipV="1">
                          <a:off x="0" y="0"/>
                          <a:ext cx="716732" cy="94306"/>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700226;mso-wrap-distance-left:9.1pt;mso-wrap-distance-top:0.0pt;mso-wrap-distance-right:9.1pt;mso-wrap-distance-bottom:0.0pt;flip:y;visibility:visible;" from="-4.2pt,51.3pt" to="52.3pt,58.8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9202" behindDoc="0" locked="0" layoutInCell="1" allowOverlap="1">
                <wp:simplePos x="0" y="0"/>
                <wp:positionH relativeFrom="column">
                  <wp:posOffset>3728730</wp:posOffset>
                </wp:positionH>
                <wp:positionV relativeFrom="paragraph">
                  <wp:posOffset>369146</wp:posOffset>
                </wp:positionV>
                <wp:extent cx="867624" cy="103738"/>
                <wp:effectExtent l="4762" t="4762" r="4762" b="4762"/>
                <wp:wrapNone/>
                <wp:docPr id="12" name=""/>
                <wp:cNvGraphicFramePr/>
                <a:graphic xmlns:a="http://schemas.openxmlformats.org/drawingml/2006/main">
                  <a:graphicData uri="http://schemas.microsoft.com/office/word/2010/wordprocessingShape">
                    <wps:wsp>
                      <wps:cNvPr id="0" name=""/>
                      <wps:cNvSpPr/>
                      <wps:spPr bwMode="auto">
                        <a:xfrm flipH="0" flipV="1">
                          <a:off x="0" y="0"/>
                          <a:ext cx="867623" cy="103737"/>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99202;mso-wrap-distance-left:9.1pt;mso-wrap-distance-top:0.0pt;mso-wrap-distance-right:9.1pt;mso-wrap-distance-bottom:0.0pt;flip:y;visibility:visible;" from="293.6pt,29.1pt" to="361.9pt,37.2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8178" behindDoc="0" locked="0" layoutInCell="1" allowOverlap="1">
                <wp:simplePos x="0" y="0"/>
                <wp:positionH relativeFrom="column">
                  <wp:posOffset>2663061</wp:posOffset>
                </wp:positionH>
                <wp:positionV relativeFrom="paragraph">
                  <wp:posOffset>312562</wp:posOffset>
                </wp:positionV>
                <wp:extent cx="848762" cy="122599"/>
                <wp:effectExtent l="4762" t="4762" r="4762" b="4762"/>
                <wp:wrapNone/>
                <wp:docPr id="13" name=""/>
                <wp:cNvGraphicFramePr/>
                <a:graphic xmlns:a="http://schemas.openxmlformats.org/drawingml/2006/main">
                  <a:graphicData uri="http://schemas.microsoft.com/office/word/2010/wordprocessingShape">
                    <wps:wsp>
                      <wps:cNvPr id="0" name=""/>
                      <wps:cNvSpPr/>
                      <wps:spPr bwMode="auto">
                        <a:xfrm flipH="0" flipV="1">
                          <a:off x="0" y="0"/>
                          <a:ext cx="848762" cy="122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98178;mso-wrap-distance-left:9.1pt;mso-wrap-distance-top:0.0pt;mso-wrap-distance-right:9.1pt;mso-wrap-distance-bottom:0.0pt;flip:y;visibility:visible;" from="209.7pt,24.6pt" to="276.5pt,34.3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7154" behindDoc="0" locked="0" layoutInCell="1" allowOverlap="1">
                <wp:simplePos x="0" y="0"/>
                <wp:positionH relativeFrom="column">
                  <wp:posOffset>4549200</wp:posOffset>
                </wp:positionH>
                <wp:positionV relativeFrom="paragraph">
                  <wp:posOffset>57933</wp:posOffset>
                </wp:positionV>
                <wp:extent cx="886485" cy="84876"/>
                <wp:effectExtent l="4762" t="4762" r="4762" b="4762"/>
                <wp:wrapNone/>
                <wp:docPr id="14" name=""/>
                <wp:cNvGraphicFramePr/>
                <a:graphic xmlns:a="http://schemas.openxmlformats.org/drawingml/2006/main">
                  <a:graphicData uri="http://schemas.microsoft.com/office/word/2010/wordprocessingShape">
                    <wps:wsp>
                      <wps:cNvPr id="0" name=""/>
                      <wps:cNvSpPr/>
                      <wps:spPr bwMode="auto">
                        <a:xfrm flipH="0" flipV="1">
                          <a:off x="0" y="0"/>
                          <a:ext cx="886484" cy="84876"/>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97154;mso-wrap-distance-left:9.1pt;mso-wrap-distance-top:0.0pt;mso-wrap-distance-right:9.1pt;mso-wrap-distance-bottom:0.0pt;flip:y;visibility:visible;" from="358.2pt,4.6pt" to="428.0pt,11.2pt" filled="f" strokecolor="#233B59" strokeweight="0.75pt"/>
            </w:pict>
          </mc:Fallback>
        </mc:AlternateContent>
      </w:r>
      <w:r/>
      <w:r>
        <mc:AlternateContent>
          <mc:Choice Requires="wpg">
            <w:drawing>
              <wp:anchor xmlns:wp="http://schemas.openxmlformats.org/drawingml/2006/wordprocessingDrawing" xmlns:wp14="http://schemas.microsoft.com/office/word/2010/wordprocessingDrawing" distT="0" distB="0" distL="115200" distR="115200" simplePos="0" relativeHeight="251696130" behindDoc="0" locked="0" layoutInCell="1" allowOverlap="1">
                <wp:simplePos x="0" y="0"/>
                <wp:positionH relativeFrom="column">
                  <wp:posOffset>1484225</wp:posOffset>
                </wp:positionH>
                <wp:positionV relativeFrom="paragraph">
                  <wp:posOffset>312562</wp:posOffset>
                </wp:positionV>
                <wp:extent cx="943069" cy="132030"/>
                <wp:effectExtent l="4762" t="4762" r="4762" b="4762"/>
                <wp:wrapNone/>
                <wp:docPr id="15" name=""/>
                <wp:cNvGraphicFramePr/>
                <a:graphic xmlns:a="http://schemas.openxmlformats.org/drawingml/2006/main">
                  <a:graphicData uri="http://schemas.microsoft.com/office/word/2010/wordprocessingShape">
                    <wps:wsp>
                      <wps:cNvPr id="0" name=""/>
                      <wps:cNvSpPr/>
                      <wps:spPr bwMode="auto">
                        <a:xfrm flipH="0" flipV="1">
                          <a:off x="0" y="0"/>
                          <a:ext cx="943068" cy="13202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4" o:spid="_x0000_s14" style="position:absolute;left:0;text-align:left;z-index:251696130;mso-wrap-distance-left:9.1pt;mso-wrap-distance-top:0.0pt;mso-wrap-distance-right:9.1pt;mso-wrap-distance-bottom:0.0pt;flip:y;visibility:visible;" from="116.9pt,24.6pt" to="191.1pt,35.0pt" filled="f" strokecolor="#233B59" strokeweight="0.75pt"/>
            </w:pict>
          </mc:Fallback>
        </mc:AlternateContent>
      </w:r>
      <w:r/>
      <w:r>
        <w:rPr>
          <w:rFonts w:ascii="Times New Roman" w:hAnsi="Times New Roman" w:eastAsia="Times New Roman" w:cs="Times New Roman"/>
          <w:color w:val="000000"/>
          <w:sz w:val="24"/>
          <w:highlight w:val="white"/>
        </w:rPr>
        <w:t xml:space="preserve">2.</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，生产厂为</w:t>
      </w:r>
      <w:r>
        <w:rPr>
          <w:rFonts w:ascii="FangSong" w:hAnsi="FangSong" w:eastAsia="FangSong" w:cs="FangSong"/>
          <w:color w:val="000000"/>
          <w:sz w:val="24"/>
          <w:highlight w:val="white"/>
          <w:u w:val="single"/>
        </w:rPr>
        <w:t xml:space="preserve">（厂名）</w:t>
      </w:r>
      <w:r>
        <w:rPr>
          <w:rFonts w:ascii="FangSong" w:hAnsi="FangSong" w:eastAsia="FangSong" w:cs="FangSong"/>
          <w:color w:val="000000"/>
          <w:sz w:val="24"/>
          <w:highlight w:val="white"/>
        </w:rPr>
        <w:t xml:space="preserve">，厂址为</w:t>
      </w:r>
      <w:r>
        <w:rPr>
          <w:rFonts w:ascii="FangSong" w:hAnsi="FangSong" w:eastAsia="FangSong" w:cs="FangSong"/>
          <w:color w:val="000000"/>
          <w:sz w:val="24"/>
          <w:highlight w:val="white"/>
          <w:u w:val="single"/>
        </w:rPr>
        <w:t xml:space="preserve">（生产厂址）</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的中国境内生产的组件成本占比</w:t>
      </w:r>
      <w:r>
        <w:rPr>
          <w:rFonts w:ascii="Times New Roman" w:hAnsi="Times New Roman" w:eastAsia="Times New Roman" w:cs="Times New Roman"/>
          <w:color w:val="000000"/>
          <w:sz w:val="24"/>
          <w:highlight w:val="white"/>
        </w:rPr>
        <w:t xml:space="preserve">≥</w:t>
      </w:r>
      <w:r>
        <w:rPr>
          <w:rFonts w:ascii="FangSong" w:hAnsi="FangSong" w:eastAsia="FangSong" w:cs="FangSong"/>
          <w:color w:val="000000"/>
          <w:sz w:val="24"/>
          <w:highlight w:val="white"/>
          <w:u w:val="single"/>
        </w:rPr>
        <w:t xml:space="preserve">（规定比例）</w:t>
      </w:r>
      <w:r>
        <w:rPr>
          <w:rFonts w:ascii="FangSong" w:hAnsi="FangSong" w:eastAsia="FangSong" w:cs="FangSong"/>
          <w:color w:val="000000"/>
          <w:sz w:val="24"/>
          <w:highlight w:val="white"/>
        </w:rPr>
        <w:t xml:space="preserve">。</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2</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（关键组件）</w:t>
      </w:r>
      <w:r>
        <w:rPr>
          <w:rFonts w:ascii="FangSong" w:hAnsi="FangSong" w:eastAsia="FangSong" w:cs="FangSong"/>
          <w:color w:val="000000"/>
          <w:sz w:val="24"/>
          <w:highlight w:val="white"/>
        </w:rPr>
        <w:t xml:space="preserve">在中国境内生产。</w:t>
      </w:r>
      <w:r>
        <w:rPr>
          <w:rFonts w:ascii="FangSong" w:hAnsi="FangSong" w:eastAsia="FangSong" w:cs="FangSong"/>
          <w:color w:val="000000"/>
          <w:sz w:val="24"/>
          <w:highlight w:val="white"/>
          <w:u w:val="single"/>
        </w:rPr>
        <w:t xml:space="preserve">（产品名称</w:t>
      </w:r>
      <w:r>
        <w:rPr>
          <w:rFonts w:ascii="Times New Roman" w:hAnsi="Times New Roman" w:eastAsia="Times New Roman" w:cs="Times New Roman"/>
          <w:color w:val="000000"/>
          <w:sz w:val="24"/>
          <w:highlight w:val="white"/>
          <w:u w:val="single"/>
        </w:rPr>
        <w:t xml:space="preserve">1</w:t>
      </w:r>
      <w:r>
        <w:rPr>
          <w:rFonts w:ascii="FangSong" w:hAnsi="FangSong" w:eastAsia="FangSong" w:cs="FangSong"/>
          <w:color w:val="000000"/>
          <w:sz w:val="24"/>
          <w:highlight w:val="white"/>
          <w:u w:val="single"/>
        </w:rPr>
        <w:t xml:space="preserve">）</w:t>
      </w:r>
      <w:r>
        <w:rPr>
          <w:rFonts w:ascii="FangSong" w:hAnsi="FangSong" w:eastAsia="FangSong" w:cs="FangSong"/>
          <w:color w:val="000000"/>
          <w:sz w:val="24"/>
          <w:highlight w:val="white"/>
        </w:rPr>
        <w:t xml:space="preserve">的</w:t>
      </w:r>
      <w:r>
        <w:rPr>
          <w:rFonts w:ascii="FangSong" w:hAnsi="FangSong" w:eastAsia="FangSong" w:cs="FangSong"/>
          <w:color w:val="000000"/>
          <w:sz w:val="24"/>
          <w:highlight w:val="white"/>
          <w:u w:val="single"/>
        </w:rPr>
        <w:t xml:space="preserve">（关键工序）</w:t>
      </w:r>
      <w:r>
        <w:rPr>
          <w:rFonts w:ascii="FangSong" w:hAnsi="FangSong" w:eastAsia="FangSong" w:cs="FangSong"/>
          <w:color w:val="000000"/>
          <w:sz w:val="24"/>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本公司（单位）对上述声明内容的真实性负责。如有虚假，愿承担相应法律责任。</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480" w:firstLine="3720"/>
        <w:spacing w:before="30" w:after="3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公司（单位）名称（盖章）：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                                </w:t>
      </w:r>
      <w:r>
        <w:rPr>
          <w:rFonts w:ascii="FangSong" w:hAnsi="FangSong" w:eastAsia="FangSong" w:cs="FangSong"/>
          <w:color w:val="000000"/>
          <w:sz w:val="24"/>
          <w:highlight w:val="white"/>
        </w:rPr>
        <w:t xml:space="preserve">日期：　年　月　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1.</w:t>
      </w:r>
      <w:r>
        <w:rPr>
          <w:rFonts w:ascii="FangSong" w:hAnsi="FangSong" w:eastAsia="FangSong" w:cs="FangSong"/>
          <w:color w:val="000000"/>
          <w:sz w:val="22"/>
          <w:highlight w:val="white"/>
        </w:rPr>
        <w:t xml:space="preserve">产品如有型号，请在</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产品名称</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2.</w:t>
      </w:r>
      <w:r>
        <w:rPr>
          <w:rFonts w:ascii="FangSong" w:hAnsi="FangSong" w:eastAsia="FangSong" w:cs="FangSong"/>
          <w:color w:val="000000"/>
          <w:sz w:val="22"/>
          <w:highlight w:val="white"/>
        </w:rPr>
        <w:t xml:space="preserve">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3.</w:t>
      </w:r>
      <w:r>
        <w:rPr>
          <w:rFonts w:ascii="FangSong" w:hAnsi="FangSong" w:eastAsia="FangSong" w:cs="FangSong"/>
          <w:color w:val="000000"/>
          <w:sz w:val="22"/>
          <w:highlight w:val="white"/>
        </w:rPr>
        <w:t xml:space="preserve">该产品的中国境内生产的组件成本占比相关要求实施前，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规定比例</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4.</w:t>
      </w:r>
      <w:r>
        <w:rPr>
          <w:rFonts w:ascii="FangSong" w:hAnsi="FangSong" w:eastAsia="FangSong" w:cs="FangSong"/>
          <w:color w:val="000000"/>
          <w:sz w:val="22"/>
          <w:highlight w:val="white"/>
        </w:rPr>
        <w:t xml:space="preserve">该产品的关键组件要求实施前，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关键组件</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5.</w:t>
      </w:r>
      <w:r>
        <w:rPr>
          <w:rFonts w:ascii="FangSong" w:hAnsi="FangSong" w:eastAsia="FangSong" w:cs="FangSong"/>
          <w:color w:val="000000"/>
          <w:sz w:val="22"/>
          <w:highlight w:val="white"/>
        </w:rPr>
        <w:t xml:space="preserve">该产品的关键工序要求实施前，</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关键工序</w:t>
      </w:r>
      <w:r>
        <w:rPr>
          <w:rFonts w:ascii="Times New Roman" w:hAnsi="Times New Roman" w:eastAsia="Times New Roman" w:cs="Times New Roman"/>
          <w:color w:val="000000"/>
          <w:sz w:val="22"/>
          <w:highlight w:val="white"/>
        </w:rPr>
        <w:t xml:space="preserve">”</w:t>
      </w:r>
      <w:r>
        <w:rPr>
          <w:rFonts w:ascii="FangSong" w:hAnsi="FangSong" w:eastAsia="FangSong" w:cs="FangSong"/>
          <w:color w:val="000000"/>
          <w:sz w:val="22"/>
          <w:highlight w:val="white"/>
        </w:rPr>
        <w:t xml:space="preserve">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6.</w:t>
      </w:r>
      <w:r>
        <w:rPr>
          <w:rFonts w:ascii="FangSong" w:hAnsi="FangSong" w:eastAsia="FangSong" w:cs="FangSong"/>
          <w:color w:val="000000"/>
          <w:sz w:val="22"/>
          <w:highlight w:val="white"/>
        </w:rPr>
        <w:t xml:space="preserve">用斜线划除的地方无需填写。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7.</w:t>
      </w:r>
      <w:r>
        <w:rPr>
          <w:rFonts w:ascii="FangSong" w:hAnsi="FangSong" w:eastAsia="FangSong" w:cs="FangSong"/>
          <w:color w:val="000000"/>
          <w:sz w:val="22"/>
          <w:highlight w:val="white"/>
        </w:rPr>
        <w:t xml:space="preserve">供应商提供虚假《声明函》、虚假证明文件谋取中标、成交的，依照《中华人民共和国政府采购法》等法律法规规定追究相应责任。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highlight w:val="white"/>
        </w:rPr>
        <w:t xml:space="preserve">8.</w:t>
      </w:r>
      <w:r>
        <w:rPr>
          <w:rFonts w:ascii="FangSong" w:hAnsi="FangSong" w:eastAsia="FangSong" w:cs="FangSong"/>
          <w:color w:val="000000"/>
          <w:sz w:val="22"/>
          <w:highlight w:val="white"/>
        </w:rPr>
        <w:t xml:space="preserve">中标、成交供应商提供的《声明函》或有关证明文件将随中标、成交结果同时公告。</w:t>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附件十二、残疾人福利性单位声明函、属于监狱企业的证明文件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12-1残疾人福利性单位声明函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 141</w:t>
      </w:r>
      <w:r>
        <w:rPr>
          <w:rFonts w:ascii="SimSun" w:hAnsi="SimSun" w:eastAsia="SimSun" w:cs="SimSun"/>
          <w:color w:val="000000"/>
          <w:spacing w:val="6"/>
          <w:sz w:val="21"/>
        </w:rPr>
        <w:t xml:space="preserve">号）的规定，本单位为（符合/不符合）条件的残疾人福利性单位，且本单位参加</w:t>
      </w:r>
      <w:r>
        <w:rPr>
          <w:rFonts w:ascii="SimSun" w:hAnsi="SimSun" w:eastAsia="SimSun" w:cs="SimSun"/>
          <w:color w:val="000000"/>
          <w:sz w:val="21"/>
        </w:rPr>
        <w:t xml:space="preserve">______</w:t>
      </w:r>
      <w:r>
        <w:rPr>
          <w:rFonts w:ascii="SimSun" w:hAnsi="SimSun" w:eastAsia="SimSun" w:cs="SimSun"/>
          <w:color w:val="000000"/>
          <w:spacing w:val="6"/>
          <w:sz w:val="21"/>
        </w:rPr>
        <w:t xml:space="preserve">单位的项目采购活动提供本单位制造的货物（由本单位承担工程/提供服务），或者提供其他残疾人福利性单位制造的货物（不包括使用非残疾人福利性单位注册商标的货物）。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rPr>
          <w:rFonts w:ascii="SimSun" w:hAnsi="SimSun" w:eastAsia="SimSun" w:cs="SimSun"/>
          <w:color w:val="000000"/>
          <w:sz w:val="21"/>
          <w:u w:val="single"/>
        </w:rPr>
        <w:tab/>
        <w:tab/>
        <w:tab/>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ab/>
        <w:tab/>
        <w:tab/>
        <w:tab/>
        <w:tab/>
        <w:tab/>
        <w:tab/>
        <w:tab/>
        <w:tab/>
        <w:tab/>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注：具体以《关于促进残疾人就业政府采购政策的通知》（财库〔2017〕141号）的规定为准。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（提供由省级以上监狱管理局、戒毒管理局（含新疆生产建设兵团）出具的属于监狱企业的证明文件，不符合可不提供）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附件十三、服务方案</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（各投标人根据招标文件规定的服务方案打分细则内容，格式自拟）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（各投标人根据采购文件规定的打分细则对应提供相关证明材料等，格式自拟）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Xihei">
    <w:panose1 w:val="02010600040101010101"/>
  </w:font>
  <w:font w:name="FangSong">
    <w:panose1 w:val="02010609060101010101"/>
  </w:font>
  <w:font w:name="SimHei">
    <w:panose1 w:val="02010609060101010101"/>
  </w:font>
  <w:font w:name="Symbol">
    <w:panose1 w:val="05050102010706020507"/>
  </w:font>
  <w:font w:name="Arial Unicode MS">
    <w:panose1 w:val="020B0604020202020204"/>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SimSun">
    <w:panose1 w:val="02010600030101010101"/>
  </w:font>
  <w:font w:name="monospace">
    <w:panose1 w:val="020B0503020202020204"/>
  </w:font>
  <w:font w:name="Ari">
    <w:panose1 w:val="020B0606020202030204"/>
  </w:font>
  <w:font w:name="宋体">
    <w:panose1 w:val="02010600030101010101"/>
  </w:font>
  <w:font w:name="Microsoft YaHei">
    <w:panose1 w:val="020B0503020204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jc w:val="center"/>
      <w:tabs>
        <w:tab w:val="center" w:pos="4153" w:leader="none"/>
        <w:tab w:val="right" w:pos="8306" w:leader="none"/>
      </w:tabs>
      <w:rPr>
        <w:rStyle w:val="108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62"/>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962"/>
                    </w:pPr>
                    <w:r/>
                    <w:r/>
                  </w:p>
                </w:txbxContent>
              </v:textbox>
            </v:shape>
          </w:pict>
        </mc:Fallback>
      </mc:AlternateContent>
    </w:r>
    <w:r>
      <w:rPr>
        <w:rStyle w:val="108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962"/>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t xml:space="preserve">第 </w:t>
                    </w:r>
                    <w:r>
                      <w:fldChar w:fldCharType="begin"/>
                    </w:r>
                    <w:r>
                      <w:instrText xml:space="preserve"> PAGE  \* MERGEFORMAT </w:instrText>
                    </w:r>
                    <w:r>
                      <w:fldChar w:fldCharType="separate"/>
                    </w:r>
                    <w:r>
                      <w:t xml:space="preserve">36</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p>
                    <w:pPr>
                      <w:pStyle w:val="9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998"/>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rPr>
      <w:t xml:space="preserve">九龙湖派出所增设街面视频设备招标文件</w:t>
    </w:r>
    <w:r/>
  </w:p>
  <w:p>
    <w:pPr>
      <w:pStyle w:val="1073"/>
      <w:tabs>
        <w:tab w:val="center" w:pos="4153" w:leader="none"/>
        <w:tab w:val="right" w:pos="8306" w:leader="none"/>
      </w:tabs>
      <w:rPr>
        <w:rStyle w:val="1085"/>
      </w:rPr>
      <w:pBdr>
        <w:bottom w:val="none" w:color="000000" w:sz="0" w:space="0"/>
      </w:pBdr>
    </w:pPr>
    <w:r>
      <w:rPr>
        <w:rStyle w:val="108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w:r>
    <w:r>
      <w:rPr>
        <w:rFonts w:ascii="宋体" w:hAnsi="宋体" w:cs="宋体"/>
        <w:b/>
        <w:bCs/>
        <w:color w:val="000000"/>
        <w:sz w:val="18"/>
        <w:szCs w:val="21"/>
        <w:lang w:val="zh-TW"/>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48"/>
      <w:isLgl w:val="false"/>
      <w:suff w:val="tab"/>
      <w:lvlText w:val="%1."/>
      <w:lvlJc w:val="left"/>
      <w:pPr>
        <w:pStyle w:val="962"/>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62"/>
        <w:ind w:left="630" w:hanging="420"/>
        <w:tabs>
          <w:tab w:val="num" w:pos="630" w:leader="none"/>
        </w:tabs>
      </w:pPr>
      <w:rPr>
        <w:rFonts w:cs="Times New Roman"/>
      </w:rPr>
    </w:lvl>
    <w:lvl w:ilvl="1">
      <w:start w:val="1"/>
      <w:numFmt w:val="decimal"/>
      <w:isLgl w:val="false"/>
      <w:suff w:val="tab"/>
      <w:lvlText w:val="%2)"/>
      <w:lvlJc w:val="left"/>
      <w:pPr>
        <w:pStyle w:val="962"/>
        <w:ind w:left="990" w:hanging="360"/>
        <w:tabs>
          <w:tab w:val="num" w:pos="990" w:leader="none"/>
        </w:tabs>
      </w:pPr>
      <w:rPr>
        <w:color w:val="000000"/>
      </w:rPr>
    </w:lvl>
    <w:lvl w:ilvl="2">
      <w:start w:val="1"/>
      <w:numFmt w:val="lowerRoman"/>
      <w:isLgl w:val="false"/>
      <w:suff w:val="tab"/>
      <w:lvlText w:val="%3."/>
      <w:lvlJc w:val="right"/>
      <w:pPr>
        <w:pStyle w:val="962"/>
        <w:ind w:left="1470" w:hanging="420"/>
        <w:tabs>
          <w:tab w:val="num" w:pos="1470" w:leader="none"/>
        </w:tabs>
      </w:pPr>
      <w:rPr>
        <w:rFonts w:cs="Times New Roman"/>
      </w:rPr>
    </w:lvl>
    <w:lvl w:ilvl="3">
      <w:start w:val="1"/>
      <w:numFmt w:val="decimal"/>
      <w:isLgl w:val="false"/>
      <w:suff w:val="tab"/>
      <w:lvlText w:val="%4."/>
      <w:lvlJc w:val="left"/>
      <w:pPr>
        <w:pStyle w:val="962"/>
        <w:ind w:left="1890" w:hanging="420"/>
        <w:tabs>
          <w:tab w:val="num" w:pos="1890" w:leader="none"/>
        </w:tabs>
      </w:pPr>
      <w:rPr>
        <w:rFonts w:cs="Times New Roman"/>
      </w:rPr>
    </w:lvl>
    <w:lvl w:ilvl="4">
      <w:start w:val="1"/>
      <w:numFmt w:val="lowerLetter"/>
      <w:isLgl w:val="false"/>
      <w:suff w:val="tab"/>
      <w:lvlText w:val="%5)"/>
      <w:lvlJc w:val="left"/>
      <w:pPr>
        <w:pStyle w:val="962"/>
        <w:ind w:left="2310" w:hanging="420"/>
        <w:tabs>
          <w:tab w:val="num" w:pos="2310" w:leader="none"/>
        </w:tabs>
      </w:pPr>
      <w:rPr>
        <w:rFonts w:cs="Times New Roman"/>
      </w:rPr>
    </w:lvl>
    <w:lvl w:ilvl="5">
      <w:start w:val="1"/>
      <w:numFmt w:val="lowerRoman"/>
      <w:isLgl w:val="false"/>
      <w:suff w:val="tab"/>
      <w:lvlText w:val="%6."/>
      <w:lvlJc w:val="right"/>
      <w:pPr>
        <w:pStyle w:val="962"/>
        <w:ind w:left="2730" w:hanging="420"/>
        <w:tabs>
          <w:tab w:val="num" w:pos="2730" w:leader="none"/>
        </w:tabs>
      </w:pPr>
      <w:rPr>
        <w:rFonts w:cs="Times New Roman"/>
      </w:rPr>
    </w:lvl>
    <w:lvl w:ilvl="6">
      <w:start w:val="1"/>
      <w:numFmt w:val="decimal"/>
      <w:isLgl w:val="false"/>
      <w:suff w:val="tab"/>
      <w:lvlText w:val="%7."/>
      <w:lvlJc w:val="left"/>
      <w:pPr>
        <w:pStyle w:val="962"/>
        <w:ind w:left="3150" w:hanging="420"/>
        <w:tabs>
          <w:tab w:val="num" w:pos="3150" w:leader="none"/>
        </w:tabs>
      </w:pPr>
      <w:rPr>
        <w:rFonts w:cs="Times New Roman"/>
      </w:rPr>
    </w:lvl>
    <w:lvl w:ilvl="7">
      <w:start w:val="1"/>
      <w:numFmt w:val="lowerLetter"/>
      <w:isLgl w:val="false"/>
      <w:suff w:val="tab"/>
      <w:lvlText w:val="%8)"/>
      <w:lvlJc w:val="left"/>
      <w:pPr>
        <w:pStyle w:val="962"/>
        <w:ind w:left="3570" w:hanging="420"/>
        <w:tabs>
          <w:tab w:val="num" w:pos="3570" w:leader="none"/>
        </w:tabs>
      </w:pPr>
      <w:rPr>
        <w:rFonts w:cs="Times New Roman"/>
      </w:rPr>
    </w:lvl>
    <w:lvl w:ilvl="8">
      <w:start w:val="1"/>
      <w:numFmt w:val="lowerRoman"/>
      <w:isLgl w:val="false"/>
      <w:suff w:val="tab"/>
      <w:lvlText w:val="%9."/>
      <w:lvlJc w:val="right"/>
      <w:pPr>
        <w:pStyle w:val="962"/>
        <w:ind w:left="3990" w:hanging="420"/>
        <w:tabs>
          <w:tab w:val="num" w:pos="3990" w:leader="none"/>
        </w:tabs>
      </w:pPr>
      <w:rPr>
        <w:rFonts w:cs="Times New Roman"/>
      </w:rPr>
    </w:lvl>
  </w:abstractNum>
  <w:abstractNum w:abstractNumId="2">
    <w:multiLevelType w:val="hybridMultilevel"/>
    <w:lvl w:ilvl="0">
      <w:start w:val="1"/>
      <w:numFmt w:val="chineseCountingThousand"/>
      <w:pStyle w:val="1110"/>
      <w:isLgl w:val="false"/>
      <w:suff w:val="nothing"/>
      <w:lvlText w:val="第%1章"/>
      <w:lvlJc w:val="left"/>
      <w:pPr>
        <w:pStyle w:val="962"/>
        <w:ind w:left="3402"/>
      </w:pPr>
      <w:rPr>
        <w:rFonts w:cs="Times New Roman"/>
      </w:rPr>
    </w:lvl>
    <w:lvl w:ilvl="1">
      <w:start w:val="1"/>
      <w:numFmt w:val="lowerLetter"/>
      <w:pStyle w:val="1134"/>
      <w:isLgl w:val="false"/>
      <w:suff w:val="tab"/>
      <w:lvlText w:val="%1)"/>
      <w:lvlJc w:val="left"/>
      <w:pPr>
        <w:pStyle w:val="962"/>
        <w:ind w:left="840" w:hanging="420"/>
      </w:pPr>
      <w:rPr>
        <w:rFonts w:cs="Times New Roman"/>
      </w:rPr>
    </w:lvl>
    <w:lvl w:ilvl="2">
      <w:start w:val="1"/>
      <w:numFmt w:val="lowerRoman"/>
      <w:pStyle w:val="1147"/>
      <w:isLgl w:val="false"/>
      <w:suff w:val="tab"/>
      <w:lvlText w:val="%1."/>
      <w:lvlJc w:val="right"/>
      <w:pPr>
        <w:pStyle w:val="962"/>
        <w:ind w:left="1260" w:hanging="420"/>
      </w:pPr>
      <w:rPr>
        <w:rFonts w:cs="Times New Roman"/>
      </w:rPr>
    </w:lvl>
    <w:lvl w:ilvl="3">
      <w:start w:val="1"/>
      <w:numFmt w:val="decimal"/>
      <w:pStyle w:val="1131"/>
      <w:isLgl w:val="false"/>
      <w:suff w:val="tab"/>
      <w:lvlText w:val="%1."/>
      <w:lvlJc w:val="left"/>
      <w:pPr>
        <w:pStyle w:val="962"/>
        <w:ind w:left="1680" w:hanging="420"/>
      </w:pPr>
      <w:rPr>
        <w:rFonts w:cs="Times New Roman"/>
      </w:rPr>
    </w:lvl>
    <w:lvl w:ilvl="4">
      <w:start w:val="1"/>
      <w:numFmt w:val="lowerLetter"/>
      <w:pStyle w:val="1140"/>
      <w:isLgl w:val="false"/>
      <w:suff w:val="tab"/>
      <w:lvlText w:val="%1)"/>
      <w:lvlJc w:val="left"/>
      <w:pPr>
        <w:pStyle w:val="962"/>
        <w:ind w:left="2100" w:hanging="420"/>
      </w:pPr>
      <w:rPr>
        <w:rFonts w:cs="Times New Roman"/>
      </w:rPr>
    </w:lvl>
    <w:lvl w:ilvl="5">
      <w:start w:val="1"/>
      <w:numFmt w:val="lowerRoman"/>
      <w:pStyle w:val="1114"/>
      <w:isLgl w:val="false"/>
      <w:suff w:val="tab"/>
      <w:lvlText w:val="%1."/>
      <w:lvlJc w:val="right"/>
      <w:pPr>
        <w:pStyle w:val="962"/>
        <w:ind w:left="2520" w:hanging="420"/>
      </w:pPr>
      <w:rPr>
        <w:rFonts w:cs="Times New Roman"/>
      </w:rPr>
    </w:lvl>
    <w:lvl w:ilvl="6">
      <w:start w:val="1"/>
      <w:numFmt w:val="decimal"/>
      <w:pStyle w:val="1161"/>
      <w:isLgl w:val="false"/>
      <w:suff w:val="tab"/>
      <w:lvlText w:val="%1."/>
      <w:lvlJc w:val="left"/>
      <w:pPr>
        <w:pStyle w:val="962"/>
        <w:ind w:left="2940" w:hanging="420"/>
      </w:pPr>
      <w:rPr>
        <w:rFonts w:cs="Times New Roman"/>
      </w:rPr>
    </w:lvl>
    <w:lvl w:ilvl="7">
      <w:start w:val="1"/>
      <w:numFmt w:val="lowerLetter"/>
      <w:pStyle w:val="1113"/>
      <w:isLgl w:val="false"/>
      <w:suff w:val="tab"/>
      <w:lvlText w:val="%1)"/>
      <w:lvlJc w:val="left"/>
      <w:pPr>
        <w:pStyle w:val="962"/>
        <w:ind w:left="3360" w:hanging="420"/>
      </w:pPr>
      <w:rPr>
        <w:rFonts w:cs="Times New Roman"/>
      </w:rPr>
    </w:lvl>
    <w:lvl w:ilvl="8">
      <w:start w:val="1"/>
      <w:numFmt w:val="lowerRoman"/>
      <w:pStyle w:val="1128"/>
      <w:isLgl w:val="false"/>
      <w:suff w:val="tab"/>
      <w:lvlText w:val="%1."/>
      <w:lvlJc w:val="right"/>
      <w:pPr>
        <w:pStyle w:val="962"/>
        <w:ind w:left="3780" w:hanging="420"/>
      </w:pPr>
      <w:rPr>
        <w:rFonts w:cs="Times New Roman"/>
      </w:rPr>
    </w:lvl>
  </w:abstractNum>
  <w:abstractNum w:abstractNumId="3">
    <w:multiLevelType w:val="hybridMultilevel"/>
    <w:lvl w:ilvl="0">
      <w:start w:val="1"/>
      <w:numFmt w:val="decimal"/>
      <w:isLgl w:val="false"/>
      <w:suff w:val="nothing"/>
      <w:lvlText w:val="%1、"/>
      <w:lvlJc w:val="left"/>
      <w:pPr>
        <w:pStyle w:val="9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2"/>
        <w:ind w:left="0" w:firstLine="0"/>
      </w:pPr>
      <w:rPr>
        <w:rFonts w:ascii="Times New Roman" w:hAnsi="Times New Roman" w:cs="Times New Roman"/>
      </w:rPr>
    </w:lvl>
    <w:lvl w:ilvl="1">
      <w:start w:val="1"/>
      <w:numFmt w:val="decimal"/>
      <w:isLgl w:val="false"/>
      <w:suff w:val="tab"/>
      <w:lvlText w:val="%2."/>
      <w:lvlJc w:val="left"/>
      <w:pPr>
        <w:pStyle w:val="962"/>
        <w:ind w:left="1440" w:hanging="360"/>
        <w:tabs>
          <w:tab w:val="num" w:pos="1440" w:leader="none"/>
        </w:tabs>
      </w:pPr>
    </w:lvl>
    <w:lvl w:ilvl="2">
      <w:start w:val="1"/>
      <w:numFmt w:val="decimal"/>
      <w:isLgl w:val="false"/>
      <w:suff w:val="tab"/>
      <w:lvlText w:val="%3."/>
      <w:lvlJc w:val="left"/>
      <w:pPr>
        <w:pStyle w:val="962"/>
        <w:ind w:left="2160" w:hanging="360"/>
        <w:tabs>
          <w:tab w:val="num" w:pos="2160" w:leader="none"/>
        </w:tabs>
      </w:pPr>
    </w:lvl>
    <w:lvl w:ilvl="3">
      <w:start w:val="1"/>
      <w:numFmt w:val="decimal"/>
      <w:isLgl w:val="false"/>
      <w:suff w:val="tab"/>
      <w:lvlText w:val="%4."/>
      <w:lvlJc w:val="left"/>
      <w:pPr>
        <w:pStyle w:val="962"/>
        <w:ind w:left="2880" w:hanging="360"/>
        <w:tabs>
          <w:tab w:val="num" w:pos="2880" w:leader="none"/>
        </w:tabs>
      </w:pPr>
    </w:lvl>
    <w:lvl w:ilvl="4">
      <w:start w:val="1"/>
      <w:numFmt w:val="decimal"/>
      <w:isLgl w:val="false"/>
      <w:suff w:val="tab"/>
      <w:lvlText w:val="%5."/>
      <w:lvlJc w:val="left"/>
      <w:pPr>
        <w:pStyle w:val="962"/>
        <w:ind w:left="3600" w:hanging="360"/>
        <w:tabs>
          <w:tab w:val="num" w:pos="3600" w:leader="none"/>
        </w:tabs>
      </w:pPr>
    </w:lvl>
    <w:lvl w:ilvl="5">
      <w:start w:val="1"/>
      <w:numFmt w:val="decimal"/>
      <w:isLgl w:val="false"/>
      <w:suff w:val="tab"/>
      <w:lvlText w:val="%6."/>
      <w:lvlJc w:val="left"/>
      <w:pPr>
        <w:pStyle w:val="962"/>
        <w:ind w:left="4320" w:hanging="360"/>
        <w:tabs>
          <w:tab w:val="num" w:pos="4320" w:leader="none"/>
        </w:tabs>
      </w:pPr>
    </w:lvl>
    <w:lvl w:ilvl="6">
      <w:start w:val="1"/>
      <w:numFmt w:val="decimal"/>
      <w:isLgl w:val="false"/>
      <w:suff w:val="tab"/>
      <w:lvlText w:val="%7."/>
      <w:lvlJc w:val="left"/>
      <w:pPr>
        <w:pStyle w:val="962"/>
        <w:ind w:left="5040" w:hanging="360"/>
        <w:tabs>
          <w:tab w:val="num" w:pos="5040" w:leader="none"/>
        </w:tabs>
      </w:pPr>
    </w:lvl>
    <w:lvl w:ilvl="7">
      <w:start w:val="1"/>
      <w:numFmt w:val="decimal"/>
      <w:isLgl w:val="false"/>
      <w:suff w:val="tab"/>
      <w:lvlText w:val="%8."/>
      <w:lvlJc w:val="left"/>
      <w:pPr>
        <w:pStyle w:val="962"/>
        <w:ind w:left="5760" w:hanging="360"/>
        <w:tabs>
          <w:tab w:val="num" w:pos="5760" w:leader="none"/>
        </w:tabs>
      </w:pPr>
    </w:lvl>
    <w:lvl w:ilvl="8">
      <w:start w:val="1"/>
      <w:numFmt w:val="decimal"/>
      <w:isLgl w:val="false"/>
      <w:suff w:val="tab"/>
      <w:lvlText w:val="%9."/>
      <w:lvlJc w:val="left"/>
      <w:pPr>
        <w:pStyle w:val="962"/>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962"/>
    <w:next w:val="962"/>
    <w:link w:val="785"/>
    <w:uiPriority w:val="9"/>
    <w:qFormat/>
    <w:pPr>
      <w:keepLines/>
      <w:keepNext/>
      <w:spacing w:before="480" w:after="200"/>
      <w:outlineLvl w:val="0"/>
    </w:pPr>
    <w:rPr>
      <w:rFonts w:ascii="Arial" w:hAnsi="Arial" w:eastAsia="Arial" w:cs="Arial"/>
      <w:sz w:val="40"/>
      <w:szCs w:val="40"/>
    </w:rPr>
  </w:style>
  <w:style w:type="character" w:styleId="785">
    <w:name w:val="Heading 1 Char"/>
    <w:link w:val="784"/>
    <w:uiPriority w:val="9"/>
    <w:rPr>
      <w:rFonts w:ascii="Arial" w:hAnsi="Arial" w:eastAsia="Arial" w:cs="Arial"/>
      <w:sz w:val="40"/>
      <w:szCs w:val="40"/>
    </w:rPr>
  </w:style>
  <w:style w:type="paragraph" w:styleId="786">
    <w:name w:val="Heading 2"/>
    <w:basedOn w:val="962"/>
    <w:next w:val="962"/>
    <w:link w:val="787"/>
    <w:uiPriority w:val="9"/>
    <w:unhideWhenUsed/>
    <w:qFormat/>
    <w:pPr>
      <w:keepLines/>
      <w:keepNext/>
      <w:spacing w:before="360" w:after="200"/>
      <w:outlineLvl w:val="1"/>
    </w:pPr>
    <w:rPr>
      <w:rFonts w:ascii="Arial" w:hAnsi="Arial" w:eastAsia="Arial" w:cs="Arial"/>
      <w:sz w:val="34"/>
    </w:rPr>
  </w:style>
  <w:style w:type="character" w:styleId="787">
    <w:name w:val="Heading 2 Char"/>
    <w:link w:val="786"/>
    <w:uiPriority w:val="9"/>
    <w:rPr>
      <w:rFonts w:ascii="Arial" w:hAnsi="Arial" w:eastAsia="Arial" w:cs="Arial"/>
      <w:sz w:val="34"/>
    </w:rPr>
  </w:style>
  <w:style w:type="paragraph" w:styleId="788">
    <w:name w:val="Heading 3"/>
    <w:basedOn w:val="962"/>
    <w:next w:val="962"/>
    <w:link w:val="789"/>
    <w:uiPriority w:val="9"/>
    <w:unhideWhenUsed/>
    <w:qFormat/>
    <w:pPr>
      <w:keepLines/>
      <w:keepNext/>
      <w:spacing w:before="320" w:after="200"/>
      <w:outlineLvl w:val="2"/>
    </w:pPr>
    <w:rPr>
      <w:rFonts w:ascii="Arial" w:hAnsi="Arial" w:eastAsia="Arial" w:cs="Arial"/>
      <w:sz w:val="30"/>
      <w:szCs w:val="30"/>
    </w:rPr>
  </w:style>
  <w:style w:type="character" w:styleId="789">
    <w:name w:val="Heading 3 Char"/>
    <w:link w:val="788"/>
    <w:uiPriority w:val="9"/>
    <w:rPr>
      <w:rFonts w:ascii="Arial" w:hAnsi="Arial" w:eastAsia="Arial" w:cs="Arial"/>
      <w:sz w:val="30"/>
      <w:szCs w:val="30"/>
    </w:rPr>
  </w:style>
  <w:style w:type="paragraph" w:styleId="790">
    <w:name w:val="Heading 4"/>
    <w:basedOn w:val="962"/>
    <w:next w:val="962"/>
    <w:link w:val="791"/>
    <w:uiPriority w:val="9"/>
    <w:unhideWhenUsed/>
    <w:qFormat/>
    <w:pPr>
      <w:keepLines/>
      <w:keepNext/>
      <w:spacing w:before="320" w:after="200"/>
      <w:outlineLvl w:val="3"/>
    </w:pPr>
    <w:rPr>
      <w:rFonts w:ascii="Arial" w:hAnsi="Arial" w:eastAsia="Arial" w:cs="Arial"/>
      <w:b/>
      <w:bCs/>
      <w:sz w:val="26"/>
      <w:szCs w:val="26"/>
    </w:rPr>
  </w:style>
  <w:style w:type="character" w:styleId="791">
    <w:name w:val="Heading 4 Char"/>
    <w:link w:val="790"/>
    <w:uiPriority w:val="9"/>
    <w:rPr>
      <w:rFonts w:ascii="Arial" w:hAnsi="Arial" w:eastAsia="Arial" w:cs="Arial"/>
      <w:b/>
      <w:bCs/>
      <w:sz w:val="26"/>
      <w:szCs w:val="26"/>
    </w:rPr>
  </w:style>
  <w:style w:type="paragraph" w:styleId="792">
    <w:name w:val="Heading 5"/>
    <w:basedOn w:val="962"/>
    <w:next w:val="962"/>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link w:val="792"/>
    <w:uiPriority w:val="9"/>
    <w:rPr>
      <w:rFonts w:ascii="Arial" w:hAnsi="Arial" w:eastAsia="Arial" w:cs="Arial"/>
      <w:b/>
      <w:bCs/>
      <w:sz w:val="24"/>
      <w:szCs w:val="24"/>
    </w:rPr>
  </w:style>
  <w:style w:type="paragraph" w:styleId="794">
    <w:name w:val="Heading 6"/>
    <w:basedOn w:val="962"/>
    <w:next w:val="962"/>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link w:val="794"/>
    <w:uiPriority w:val="9"/>
    <w:rPr>
      <w:rFonts w:ascii="Arial" w:hAnsi="Arial" w:eastAsia="Arial" w:cs="Arial"/>
      <w:b/>
      <w:bCs/>
      <w:sz w:val="22"/>
      <w:szCs w:val="22"/>
    </w:rPr>
  </w:style>
  <w:style w:type="paragraph" w:styleId="796">
    <w:name w:val="Heading 7"/>
    <w:basedOn w:val="962"/>
    <w:next w:val="962"/>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link w:val="796"/>
    <w:uiPriority w:val="9"/>
    <w:rPr>
      <w:rFonts w:ascii="Arial" w:hAnsi="Arial" w:eastAsia="Arial" w:cs="Arial"/>
      <w:b/>
      <w:bCs/>
      <w:i/>
      <w:iCs/>
      <w:sz w:val="22"/>
      <w:szCs w:val="22"/>
    </w:rPr>
  </w:style>
  <w:style w:type="paragraph" w:styleId="798">
    <w:name w:val="Heading 8"/>
    <w:basedOn w:val="962"/>
    <w:next w:val="962"/>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link w:val="798"/>
    <w:uiPriority w:val="9"/>
    <w:rPr>
      <w:rFonts w:ascii="Arial" w:hAnsi="Arial" w:eastAsia="Arial" w:cs="Arial"/>
      <w:i/>
      <w:iCs/>
      <w:sz w:val="22"/>
      <w:szCs w:val="22"/>
    </w:rPr>
  </w:style>
  <w:style w:type="paragraph" w:styleId="800">
    <w:name w:val="Heading 9"/>
    <w:basedOn w:val="962"/>
    <w:next w:val="962"/>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link w:val="800"/>
    <w:uiPriority w:val="9"/>
    <w:rPr>
      <w:rFonts w:ascii="Arial" w:hAnsi="Arial" w:eastAsia="Arial" w:cs="Arial"/>
      <w:i/>
      <w:iCs/>
      <w:sz w:val="21"/>
      <w:szCs w:val="21"/>
    </w:rPr>
  </w:style>
  <w:style w:type="paragraph" w:styleId="802">
    <w:name w:val="List Paragraph"/>
    <w:basedOn w:val="962"/>
    <w:uiPriority w:val="34"/>
    <w:qFormat/>
    <w:pPr>
      <w:contextualSpacing/>
      <w:ind w:left="720"/>
    </w:pPr>
  </w:style>
  <w:style w:type="paragraph" w:styleId="803">
    <w:name w:val="No Spacing"/>
    <w:uiPriority w:val="1"/>
    <w:qFormat/>
    <w:pPr>
      <w:spacing w:before="0" w:after="0" w:line="240" w:lineRule="auto"/>
    </w:pPr>
  </w:style>
  <w:style w:type="paragraph" w:styleId="804">
    <w:name w:val="Title"/>
    <w:basedOn w:val="962"/>
    <w:next w:val="962"/>
    <w:link w:val="805"/>
    <w:uiPriority w:val="10"/>
    <w:qFormat/>
    <w:pPr>
      <w:contextualSpacing/>
      <w:spacing w:before="300" w:after="200"/>
    </w:pPr>
    <w:rPr>
      <w:sz w:val="48"/>
      <w:szCs w:val="48"/>
    </w:rPr>
  </w:style>
  <w:style w:type="character" w:styleId="805">
    <w:name w:val="Title Char"/>
    <w:link w:val="804"/>
    <w:uiPriority w:val="10"/>
    <w:rPr>
      <w:sz w:val="48"/>
      <w:szCs w:val="48"/>
    </w:rPr>
  </w:style>
  <w:style w:type="paragraph" w:styleId="806">
    <w:name w:val="Subtitle"/>
    <w:basedOn w:val="962"/>
    <w:next w:val="962"/>
    <w:link w:val="807"/>
    <w:uiPriority w:val="11"/>
    <w:qFormat/>
    <w:pPr>
      <w:spacing w:before="200" w:after="200"/>
    </w:pPr>
    <w:rPr>
      <w:sz w:val="24"/>
      <w:szCs w:val="24"/>
    </w:rPr>
  </w:style>
  <w:style w:type="character" w:styleId="807">
    <w:name w:val="Subtitle Char"/>
    <w:link w:val="806"/>
    <w:uiPriority w:val="11"/>
    <w:rPr>
      <w:sz w:val="24"/>
      <w:szCs w:val="24"/>
    </w:rPr>
  </w:style>
  <w:style w:type="paragraph" w:styleId="808">
    <w:name w:val="Quote"/>
    <w:basedOn w:val="962"/>
    <w:next w:val="962"/>
    <w:link w:val="809"/>
    <w:uiPriority w:val="29"/>
    <w:qFormat/>
    <w:pPr>
      <w:ind w:left="720" w:right="720"/>
    </w:pPr>
    <w:rPr>
      <w:i/>
    </w:rPr>
  </w:style>
  <w:style w:type="character" w:styleId="809">
    <w:name w:val="Quote Char"/>
    <w:link w:val="808"/>
    <w:uiPriority w:val="29"/>
    <w:rPr>
      <w:i/>
    </w:rPr>
  </w:style>
  <w:style w:type="paragraph" w:styleId="810">
    <w:name w:val="Intense Quote"/>
    <w:basedOn w:val="962"/>
    <w:next w:val="9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link w:val="810"/>
    <w:uiPriority w:val="30"/>
    <w:rPr>
      <w:i/>
    </w:rPr>
  </w:style>
  <w:style w:type="paragraph" w:styleId="812">
    <w:name w:val="Header"/>
    <w:basedOn w:val="962"/>
    <w:link w:val="813"/>
    <w:uiPriority w:val="99"/>
    <w:unhideWhenUsed/>
    <w:pPr>
      <w:spacing w:after="0" w:line="240" w:lineRule="auto"/>
      <w:tabs>
        <w:tab w:val="center" w:pos="7143" w:leader="none"/>
        <w:tab w:val="right" w:pos="14287" w:leader="none"/>
      </w:tabs>
    </w:pPr>
  </w:style>
  <w:style w:type="character" w:styleId="813">
    <w:name w:val="Header Char"/>
    <w:link w:val="812"/>
    <w:uiPriority w:val="99"/>
  </w:style>
  <w:style w:type="paragraph" w:styleId="814">
    <w:name w:val="Footer"/>
    <w:basedOn w:val="962"/>
    <w:link w:val="817"/>
    <w:uiPriority w:val="99"/>
    <w:unhideWhenUsed/>
    <w:pPr>
      <w:spacing w:after="0" w:line="240" w:lineRule="auto"/>
      <w:tabs>
        <w:tab w:val="center" w:pos="7143" w:leader="none"/>
        <w:tab w:val="right" w:pos="14287" w:leader="none"/>
      </w:tabs>
    </w:pPr>
  </w:style>
  <w:style w:type="character" w:styleId="815">
    <w:name w:val="Footer Char"/>
    <w:link w:val="814"/>
    <w:uiPriority w:val="99"/>
  </w:style>
  <w:style w:type="paragraph" w:styleId="816">
    <w:name w:val="Caption"/>
    <w:basedOn w:val="962"/>
    <w:next w:val="962"/>
    <w:uiPriority w:val="35"/>
    <w:semiHidden/>
    <w:unhideWhenUsed/>
    <w:qFormat/>
    <w:pPr>
      <w:spacing w:line="276" w:lineRule="auto"/>
    </w:pPr>
    <w:rPr>
      <w:b/>
      <w:bCs/>
      <w:color w:val="4f81bd" w:themeColor="accent1"/>
      <w:sz w:val="18"/>
      <w:szCs w:val="18"/>
    </w:rPr>
  </w:style>
  <w:style w:type="character" w:styleId="817">
    <w:name w:val="Caption Char"/>
    <w:basedOn w:val="816"/>
    <w:link w:val="814"/>
    <w:uiPriority w:val="99"/>
  </w:style>
  <w:style w:type="table" w:styleId="8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4">
    <w:name w:val="Hyperlink"/>
    <w:uiPriority w:val="99"/>
    <w:unhideWhenUsed/>
    <w:rPr>
      <w:color w:val="0000ff" w:themeColor="hyperlink"/>
      <w:u w:val="single"/>
    </w:rPr>
  </w:style>
  <w:style w:type="paragraph" w:styleId="945">
    <w:name w:val="footnote text"/>
    <w:basedOn w:val="962"/>
    <w:link w:val="946"/>
    <w:uiPriority w:val="99"/>
    <w:semiHidden/>
    <w:unhideWhenUsed/>
    <w:pPr>
      <w:spacing w:after="40" w:line="240" w:lineRule="auto"/>
    </w:pPr>
    <w:rPr>
      <w:sz w:val="18"/>
    </w:rPr>
  </w:style>
  <w:style w:type="character" w:styleId="946">
    <w:name w:val="Footnote Text Char"/>
    <w:link w:val="945"/>
    <w:uiPriority w:val="99"/>
    <w:rPr>
      <w:sz w:val="18"/>
    </w:rPr>
  </w:style>
  <w:style w:type="character" w:styleId="947">
    <w:name w:val="footnote reference"/>
    <w:uiPriority w:val="99"/>
    <w:unhideWhenUsed/>
    <w:rPr>
      <w:vertAlign w:val="superscript"/>
    </w:rPr>
  </w:style>
  <w:style w:type="paragraph" w:styleId="948">
    <w:name w:val="endnote text"/>
    <w:basedOn w:val="962"/>
    <w:link w:val="949"/>
    <w:uiPriority w:val="99"/>
    <w:semiHidden/>
    <w:unhideWhenUsed/>
    <w:pPr>
      <w:spacing w:after="0" w:line="240" w:lineRule="auto"/>
    </w:pPr>
    <w:rPr>
      <w:sz w:val="20"/>
    </w:rPr>
  </w:style>
  <w:style w:type="character" w:styleId="949">
    <w:name w:val="Endnote Text Char"/>
    <w:link w:val="948"/>
    <w:uiPriority w:val="99"/>
    <w:rPr>
      <w:sz w:val="20"/>
    </w:rPr>
  </w:style>
  <w:style w:type="character" w:styleId="950">
    <w:name w:val="endnote reference"/>
    <w:uiPriority w:val="99"/>
    <w:semiHidden/>
    <w:unhideWhenUsed/>
    <w:rPr>
      <w:vertAlign w:val="superscript"/>
    </w:rPr>
  </w:style>
  <w:style w:type="paragraph" w:styleId="951">
    <w:name w:val="toc 1"/>
    <w:basedOn w:val="962"/>
    <w:next w:val="962"/>
    <w:uiPriority w:val="39"/>
    <w:unhideWhenUsed/>
    <w:pPr>
      <w:ind w:left="0" w:right="0" w:firstLine="0"/>
      <w:spacing w:after="57"/>
    </w:pPr>
  </w:style>
  <w:style w:type="paragraph" w:styleId="952">
    <w:name w:val="toc 2"/>
    <w:basedOn w:val="962"/>
    <w:next w:val="962"/>
    <w:uiPriority w:val="39"/>
    <w:unhideWhenUsed/>
    <w:pPr>
      <w:ind w:left="283" w:right="0" w:firstLine="0"/>
      <w:spacing w:after="57"/>
    </w:pPr>
  </w:style>
  <w:style w:type="paragraph" w:styleId="953">
    <w:name w:val="toc 3"/>
    <w:basedOn w:val="962"/>
    <w:next w:val="962"/>
    <w:uiPriority w:val="39"/>
    <w:unhideWhenUsed/>
    <w:pPr>
      <w:ind w:left="567" w:right="0" w:firstLine="0"/>
      <w:spacing w:after="57"/>
    </w:pPr>
  </w:style>
  <w:style w:type="paragraph" w:styleId="954">
    <w:name w:val="toc 4"/>
    <w:basedOn w:val="962"/>
    <w:next w:val="962"/>
    <w:uiPriority w:val="39"/>
    <w:unhideWhenUsed/>
    <w:pPr>
      <w:ind w:left="850" w:right="0" w:firstLine="0"/>
      <w:spacing w:after="57"/>
    </w:pPr>
  </w:style>
  <w:style w:type="paragraph" w:styleId="955">
    <w:name w:val="toc 5"/>
    <w:basedOn w:val="962"/>
    <w:next w:val="962"/>
    <w:uiPriority w:val="39"/>
    <w:unhideWhenUsed/>
    <w:pPr>
      <w:ind w:left="1134" w:right="0" w:firstLine="0"/>
      <w:spacing w:after="57"/>
    </w:pPr>
  </w:style>
  <w:style w:type="paragraph" w:styleId="956">
    <w:name w:val="toc 6"/>
    <w:basedOn w:val="962"/>
    <w:next w:val="962"/>
    <w:uiPriority w:val="39"/>
    <w:unhideWhenUsed/>
    <w:pPr>
      <w:ind w:left="1417" w:right="0" w:firstLine="0"/>
      <w:spacing w:after="57"/>
    </w:pPr>
  </w:style>
  <w:style w:type="paragraph" w:styleId="957">
    <w:name w:val="toc 7"/>
    <w:basedOn w:val="962"/>
    <w:next w:val="962"/>
    <w:uiPriority w:val="39"/>
    <w:unhideWhenUsed/>
    <w:pPr>
      <w:ind w:left="1701" w:right="0" w:firstLine="0"/>
      <w:spacing w:after="57"/>
    </w:pPr>
  </w:style>
  <w:style w:type="paragraph" w:styleId="958">
    <w:name w:val="toc 8"/>
    <w:basedOn w:val="962"/>
    <w:next w:val="962"/>
    <w:uiPriority w:val="39"/>
    <w:unhideWhenUsed/>
    <w:pPr>
      <w:ind w:left="1984" w:right="0" w:firstLine="0"/>
      <w:spacing w:after="57"/>
    </w:pPr>
  </w:style>
  <w:style w:type="paragraph" w:styleId="959">
    <w:name w:val="toc 9"/>
    <w:basedOn w:val="962"/>
    <w:next w:val="962"/>
    <w:uiPriority w:val="39"/>
    <w:unhideWhenUsed/>
    <w:pPr>
      <w:ind w:left="2268"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next w:val="962"/>
    <w:link w:val="962"/>
    <w:qFormat/>
    <w:pPr>
      <w:jc w:val="both"/>
    </w:pPr>
    <w:rPr>
      <w:sz w:val="21"/>
      <w:szCs w:val="24"/>
      <w:lang w:val="en-US" w:eastAsia="zh-CN" w:bidi="ar-SA"/>
    </w:rPr>
  </w:style>
  <w:style w:type="paragraph" w:styleId="963">
    <w:name w:val="标题 1"/>
    <w:basedOn w:val="962"/>
    <w:next w:val="962"/>
    <w:link w:val="974"/>
    <w:uiPriority w:val="99"/>
    <w:qFormat/>
    <w:pPr>
      <w:jc w:val="center"/>
      <w:keepLines/>
      <w:keepNext/>
      <w:spacing w:before="340" w:after="330" w:line="578" w:lineRule="auto"/>
      <w:widowControl w:val="off"/>
      <w:outlineLvl w:val="0"/>
    </w:pPr>
    <w:rPr>
      <w:b/>
      <w:bCs/>
      <w:sz w:val="44"/>
      <w:szCs w:val="44"/>
    </w:rPr>
  </w:style>
  <w:style w:type="paragraph" w:styleId="964">
    <w:name w:val="标题 2"/>
    <w:basedOn w:val="962"/>
    <w:next w:val="962"/>
    <w:link w:val="975"/>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65">
    <w:name w:val="标题 3"/>
    <w:basedOn w:val="962"/>
    <w:next w:val="962"/>
    <w:link w:val="976"/>
    <w:uiPriority w:val="99"/>
    <w:qFormat/>
    <w:pPr>
      <w:keepLines/>
      <w:keepNext/>
      <w:spacing w:before="260" w:after="260" w:line="416" w:lineRule="auto"/>
      <w:widowControl w:val="off"/>
      <w:outlineLvl w:val="2"/>
    </w:pPr>
    <w:rPr>
      <w:b/>
      <w:bCs/>
      <w:sz w:val="32"/>
      <w:szCs w:val="32"/>
    </w:rPr>
  </w:style>
  <w:style w:type="paragraph" w:styleId="966">
    <w:name w:val="标题 4"/>
    <w:basedOn w:val="962"/>
    <w:next w:val="962"/>
    <w:link w:val="977"/>
    <w:uiPriority w:val="99"/>
    <w:qFormat/>
    <w:pPr>
      <w:keepLines/>
      <w:keepNext/>
      <w:spacing w:before="280" w:after="290" w:line="376" w:lineRule="auto"/>
      <w:widowControl w:val="off"/>
      <w:outlineLvl w:val="3"/>
    </w:pPr>
    <w:rPr>
      <w:rFonts w:ascii="Cambria" w:hAnsi="Cambria"/>
      <w:b/>
      <w:bCs/>
      <w:sz w:val="28"/>
      <w:szCs w:val="28"/>
    </w:rPr>
  </w:style>
  <w:style w:type="paragraph" w:styleId="967">
    <w:name w:val="标题 5"/>
    <w:basedOn w:val="962"/>
    <w:next w:val="962"/>
    <w:link w:val="978"/>
    <w:uiPriority w:val="99"/>
    <w:qFormat/>
    <w:pPr>
      <w:keepLines/>
      <w:keepNext/>
      <w:spacing w:before="280" w:after="290" w:line="376" w:lineRule="auto"/>
      <w:widowControl w:val="off"/>
      <w:outlineLvl w:val="4"/>
    </w:pPr>
    <w:rPr>
      <w:b/>
      <w:bCs/>
      <w:sz w:val="28"/>
      <w:szCs w:val="28"/>
    </w:rPr>
  </w:style>
  <w:style w:type="paragraph" w:styleId="968">
    <w:name w:val="标题 6"/>
    <w:basedOn w:val="962"/>
    <w:next w:val="962"/>
    <w:link w:val="979"/>
    <w:uiPriority w:val="99"/>
    <w:qFormat/>
    <w:pPr>
      <w:keepLines/>
      <w:keepNext/>
      <w:spacing w:before="240" w:after="64" w:line="320" w:lineRule="auto"/>
      <w:widowControl w:val="off"/>
      <w:outlineLvl w:val="5"/>
    </w:pPr>
    <w:rPr>
      <w:rFonts w:ascii="Cambria" w:hAnsi="Cambria"/>
      <w:b/>
      <w:bCs/>
      <w:sz w:val="24"/>
    </w:rPr>
  </w:style>
  <w:style w:type="paragraph" w:styleId="969">
    <w:name w:val="标题 7"/>
    <w:basedOn w:val="962"/>
    <w:next w:val="962"/>
    <w:link w:val="980"/>
    <w:uiPriority w:val="99"/>
    <w:qFormat/>
    <w:pPr>
      <w:keepLines/>
      <w:keepNext/>
      <w:spacing w:before="240" w:after="64" w:line="320" w:lineRule="auto"/>
      <w:widowControl w:val="off"/>
      <w:outlineLvl w:val="6"/>
    </w:pPr>
    <w:rPr>
      <w:b/>
      <w:bCs/>
      <w:sz w:val="24"/>
    </w:rPr>
  </w:style>
  <w:style w:type="paragraph" w:styleId="970">
    <w:name w:val="标题 8"/>
    <w:basedOn w:val="962"/>
    <w:next w:val="962"/>
    <w:link w:val="981"/>
    <w:uiPriority w:val="99"/>
    <w:qFormat/>
    <w:pPr>
      <w:keepLines/>
      <w:keepNext/>
      <w:spacing w:before="240" w:after="64" w:line="320" w:lineRule="auto"/>
      <w:widowControl w:val="off"/>
      <w:outlineLvl w:val="7"/>
    </w:pPr>
    <w:rPr>
      <w:rFonts w:ascii="Cambria" w:hAnsi="Cambria"/>
      <w:sz w:val="24"/>
    </w:rPr>
  </w:style>
  <w:style w:type="paragraph" w:styleId="971">
    <w:name w:val="标题 9"/>
    <w:basedOn w:val="962"/>
    <w:next w:val="962"/>
    <w:link w:val="982"/>
    <w:uiPriority w:val="99"/>
    <w:qFormat/>
    <w:pPr>
      <w:keepLines/>
      <w:keepNext/>
      <w:spacing w:before="240" w:after="64" w:line="320" w:lineRule="auto"/>
      <w:widowControl w:val="off"/>
      <w:outlineLvl w:val="8"/>
    </w:pPr>
    <w:rPr>
      <w:rFonts w:ascii="Cambria" w:hAnsi="Cambria"/>
      <w:szCs w:val="21"/>
    </w:rPr>
  </w:style>
  <w:style w:type="character" w:styleId="972">
    <w:name w:val="默认段落字体"/>
    <w:next w:val="972"/>
    <w:link w:val="962"/>
    <w:uiPriority w:val="1"/>
    <w:unhideWhenUsed/>
  </w:style>
  <w:style w:type="table" w:styleId="973">
    <w:name w:val="普通表格"/>
    <w:next w:val="973"/>
    <w:link w:val="962"/>
    <w:uiPriority w:val="99"/>
    <w:unhideWhenUsed/>
    <w:qFormat/>
    <w:tblPr/>
  </w:style>
  <w:style w:type="character" w:styleId="974">
    <w:name w:val="标题 1 字符"/>
    <w:next w:val="974"/>
    <w:link w:val="963"/>
    <w:uiPriority w:val="99"/>
    <w:qFormat/>
    <w:rPr>
      <w:rFonts w:cs="Times New Roman"/>
      <w:b/>
      <w:bCs/>
      <w:sz w:val="44"/>
      <w:szCs w:val="44"/>
    </w:rPr>
  </w:style>
  <w:style w:type="character" w:styleId="975">
    <w:name w:val="标题 2 字符"/>
    <w:next w:val="975"/>
    <w:link w:val="964"/>
    <w:uiPriority w:val="99"/>
    <w:qFormat/>
    <w:rPr>
      <w:rFonts w:ascii="Arial" w:hAnsi="Arial" w:eastAsia="黑体" w:cs="Arial"/>
      <w:b/>
      <w:bCs/>
      <w:sz w:val="32"/>
      <w:szCs w:val="32"/>
    </w:rPr>
  </w:style>
  <w:style w:type="character" w:styleId="976">
    <w:name w:val="标题 3 字符"/>
    <w:next w:val="976"/>
    <w:link w:val="965"/>
    <w:uiPriority w:val="99"/>
    <w:qFormat/>
    <w:rPr>
      <w:rFonts w:cs="Times New Roman"/>
      <w:b/>
      <w:bCs/>
      <w:sz w:val="32"/>
      <w:szCs w:val="32"/>
    </w:rPr>
  </w:style>
  <w:style w:type="character" w:styleId="977">
    <w:name w:val="标题 4 字符"/>
    <w:next w:val="977"/>
    <w:link w:val="966"/>
    <w:uiPriority w:val="99"/>
    <w:qFormat/>
    <w:rPr>
      <w:rFonts w:ascii="Cambria" w:hAnsi="Cambria" w:cs="Times New Roman"/>
      <w:b/>
      <w:bCs/>
      <w:sz w:val="28"/>
      <w:szCs w:val="28"/>
    </w:rPr>
  </w:style>
  <w:style w:type="character" w:styleId="978">
    <w:name w:val="标题 5 字符"/>
    <w:next w:val="978"/>
    <w:link w:val="967"/>
    <w:uiPriority w:val="99"/>
    <w:qFormat/>
    <w:rPr>
      <w:rFonts w:cs="Times New Roman"/>
      <w:b/>
      <w:bCs/>
      <w:sz w:val="28"/>
      <w:szCs w:val="28"/>
    </w:rPr>
  </w:style>
  <w:style w:type="character" w:styleId="979">
    <w:name w:val="标题 6 字符"/>
    <w:next w:val="979"/>
    <w:link w:val="968"/>
    <w:uiPriority w:val="99"/>
    <w:qFormat/>
    <w:rPr>
      <w:rFonts w:ascii="Cambria" w:hAnsi="Cambria" w:cs="Times New Roman"/>
      <w:b/>
      <w:bCs/>
      <w:sz w:val="24"/>
      <w:szCs w:val="24"/>
    </w:rPr>
  </w:style>
  <w:style w:type="character" w:styleId="980">
    <w:name w:val="标题 7 字符"/>
    <w:next w:val="980"/>
    <w:link w:val="969"/>
    <w:uiPriority w:val="99"/>
    <w:qFormat/>
    <w:rPr>
      <w:rFonts w:cs="Times New Roman"/>
      <w:b/>
      <w:bCs/>
      <w:sz w:val="24"/>
      <w:szCs w:val="24"/>
    </w:rPr>
  </w:style>
  <w:style w:type="character" w:styleId="981">
    <w:name w:val="标题 8 字符"/>
    <w:next w:val="981"/>
    <w:link w:val="970"/>
    <w:uiPriority w:val="99"/>
    <w:qFormat/>
    <w:rPr>
      <w:rFonts w:ascii="Cambria" w:hAnsi="Cambria" w:cs="Times New Roman"/>
      <w:sz w:val="24"/>
      <w:szCs w:val="24"/>
    </w:rPr>
  </w:style>
  <w:style w:type="character" w:styleId="982">
    <w:name w:val="标题 9 字符"/>
    <w:next w:val="982"/>
    <w:link w:val="971"/>
    <w:uiPriority w:val="99"/>
    <w:qFormat/>
    <w:rPr>
      <w:rFonts w:ascii="Cambria" w:hAnsi="Cambria" w:cs="Times New Roman"/>
      <w:sz w:val="21"/>
      <w:szCs w:val="21"/>
    </w:rPr>
  </w:style>
  <w:style w:type="paragraph" w:styleId="983">
    <w:name w:val="正文缩进"/>
    <w:basedOn w:val="962"/>
    <w:next w:val="983"/>
    <w:link w:val="962"/>
    <w:uiPriority w:val="99"/>
    <w:semiHidden/>
    <w:qFormat/>
    <w:pPr>
      <w:ind w:firstLine="420"/>
      <w:widowControl w:val="off"/>
    </w:pPr>
  </w:style>
  <w:style w:type="paragraph" w:styleId="984">
    <w:name w:val="批注文字"/>
    <w:basedOn w:val="962"/>
    <w:next w:val="984"/>
    <w:link w:val="985"/>
    <w:qFormat/>
    <w:pPr>
      <w:contextualSpacing/>
      <w:jc w:val="left"/>
      <w:widowControl w:val="off"/>
    </w:pPr>
    <w:rPr>
      <w:color w:val="0000ff"/>
      <w:sz w:val="24"/>
    </w:rPr>
  </w:style>
  <w:style w:type="character" w:styleId="985">
    <w:name w:val="批注文字 字符"/>
    <w:next w:val="985"/>
    <w:link w:val="984"/>
    <w:qFormat/>
    <w:rPr>
      <w:rFonts w:cs="Times New Roman"/>
      <w:color w:val="0000ff"/>
      <w:sz w:val="24"/>
      <w:szCs w:val="24"/>
      <w:lang w:val="en-US" w:eastAsia="zh-CN" w:bidi="ar-SA"/>
    </w:rPr>
  </w:style>
  <w:style w:type="paragraph" w:styleId="986">
    <w:name w:val="正文文本"/>
    <w:basedOn w:val="962"/>
    <w:next w:val="986"/>
    <w:link w:val="987"/>
    <w:uiPriority w:val="99"/>
    <w:qFormat/>
    <w:rPr>
      <w:sz w:val="24"/>
    </w:rPr>
  </w:style>
  <w:style w:type="character" w:styleId="987">
    <w:name w:val="正文文本 字符"/>
    <w:next w:val="987"/>
    <w:link w:val="986"/>
    <w:uiPriority w:val="99"/>
    <w:semiHidden/>
    <w:qFormat/>
    <w:rPr>
      <w:rFonts w:cs="Times New Roman"/>
      <w:sz w:val="24"/>
      <w:szCs w:val="24"/>
    </w:rPr>
  </w:style>
  <w:style w:type="paragraph" w:styleId="988">
    <w:name w:val="目录 5"/>
    <w:basedOn w:val="962"/>
    <w:next w:val="962"/>
    <w:link w:val="962"/>
    <w:uiPriority w:val="99"/>
    <w:semiHidden/>
    <w:qFormat/>
    <w:pPr>
      <w:ind w:left="840"/>
      <w:jc w:val="left"/>
    </w:pPr>
    <w:rPr>
      <w:sz w:val="18"/>
    </w:rPr>
  </w:style>
  <w:style w:type="paragraph" w:styleId="989">
    <w:name w:val="目录 3"/>
    <w:basedOn w:val="962"/>
    <w:next w:val="962"/>
    <w:link w:val="962"/>
    <w:uiPriority w:val="99"/>
    <w:semiHidden/>
    <w:qFormat/>
    <w:pPr>
      <w:ind w:left="420"/>
      <w:jc w:val="left"/>
    </w:pPr>
    <w:rPr>
      <w:i/>
      <w:sz w:val="20"/>
    </w:rPr>
  </w:style>
  <w:style w:type="paragraph" w:styleId="990">
    <w:name w:val="纯文本"/>
    <w:basedOn w:val="962"/>
    <w:next w:val="990"/>
    <w:link w:val="991"/>
    <w:uiPriority w:val="99"/>
    <w:qFormat/>
    <w:pPr>
      <w:widowControl w:val="off"/>
    </w:pPr>
    <w:rPr>
      <w:rFonts w:ascii="宋体" w:hAnsi="Courier New"/>
      <w:sz w:val="20"/>
      <w:szCs w:val="20"/>
    </w:rPr>
  </w:style>
  <w:style w:type="character" w:styleId="991">
    <w:name w:val="纯文本 字符"/>
    <w:next w:val="991"/>
    <w:link w:val="990"/>
    <w:uiPriority w:val="99"/>
    <w:qFormat/>
    <w:rPr>
      <w:rFonts w:ascii="宋体" w:hAnsi="Courier New" w:cs="Times New Roman"/>
    </w:rPr>
  </w:style>
  <w:style w:type="paragraph" w:styleId="992">
    <w:name w:val="日期"/>
    <w:basedOn w:val="962"/>
    <w:next w:val="962"/>
    <w:link w:val="993"/>
    <w:uiPriority w:val="99"/>
    <w:qFormat/>
    <w:rPr>
      <w:sz w:val="24"/>
      <w:szCs w:val="20"/>
    </w:rPr>
  </w:style>
  <w:style w:type="character" w:styleId="993">
    <w:name w:val="日期 字符"/>
    <w:next w:val="993"/>
    <w:link w:val="992"/>
    <w:uiPriority w:val="99"/>
    <w:qFormat/>
    <w:rPr>
      <w:rFonts w:cs="Times New Roman"/>
      <w:sz w:val="24"/>
    </w:rPr>
  </w:style>
  <w:style w:type="paragraph" w:styleId="994">
    <w:name w:val="批注框文本"/>
    <w:basedOn w:val="962"/>
    <w:next w:val="994"/>
    <w:link w:val="995"/>
    <w:rPr>
      <w:sz w:val="18"/>
      <w:szCs w:val="18"/>
    </w:rPr>
  </w:style>
  <w:style w:type="character" w:styleId="995">
    <w:name w:val="批注框文本 字符"/>
    <w:next w:val="995"/>
    <w:link w:val="994"/>
    <w:qFormat/>
    <w:rPr>
      <w:rFonts w:cs="Times New Roman"/>
      <w:sz w:val="18"/>
      <w:szCs w:val="18"/>
    </w:rPr>
  </w:style>
  <w:style w:type="paragraph" w:styleId="996">
    <w:name w:val="页脚"/>
    <w:basedOn w:val="962"/>
    <w:next w:val="996"/>
    <w:link w:val="997"/>
    <w:qFormat/>
    <w:pPr>
      <w:jc w:val="left"/>
      <w:tabs>
        <w:tab w:val="center" w:pos="4153" w:leader="none"/>
        <w:tab w:val="right" w:pos="8306" w:leader="none"/>
      </w:tabs>
    </w:pPr>
    <w:rPr>
      <w:sz w:val="18"/>
      <w:szCs w:val="18"/>
    </w:rPr>
  </w:style>
  <w:style w:type="character" w:styleId="997">
    <w:name w:val="页脚 字符"/>
    <w:next w:val="997"/>
    <w:link w:val="996"/>
    <w:qFormat/>
    <w:rPr>
      <w:rFonts w:cs="Times New Roman"/>
      <w:sz w:val="18"/>
      <w:szCs w:val="18"/>
    </w:rPr>
  </w:style>
  <w:style w:type="paragraph" w:styleId="998">
    <w:name w:val="页眉"/>
    <w:basedOn w:val="962"/>
    <w:next w:val="998"/>
    <w:link w:val="999"/>
    <w:qFormat/>
    <w:pPr>
      <w:jc w:val="center"/>
      <w:tabs>
        <w:tab w:val="center" w:pos="4153" w:leader="none"/>
        <w:tab w:val="right" w:pos="8306" w:leader="none"/>
      </w:tabs>
      <w:pBdr>
        <w:bottom w:val="single" w:color="000000" w:sz="6" w:space="1"/>
      </w:pBdr>
    </w:pPr>
    <w:rPr>
      <w:sz w:val="18"/>
      <w:szCs w:val="18"/>
    </w:rPr>
  </w:style>
  <w:style w:type="character" w:styleId="999">
    <w:name w:val="页眉 字符"/>
    <w:next w:val="999"/>
    <w:link w:val="998"/>
    <w:qFormat/>
    <w:rPr>
      <w:rFonts w:cs="Times New Roman"/>
      <w:sz w:val="18"/>
      <w:szCs w:val="18"/>
    </w:rPr>
  </w:style>
  <w:style w:type="paragraph" w:styleId="1000">
    <w:name w:val="目录 4"/>
    <w:basedOn w:val="962"/>
    <w:next w:val="962"/>
    <w:link w:val="962"/>
    <w:uiPriority w:val="99"/>
    <w:semiHidden/>
    <w:qFormat/>
    <w:pPr>
      <w:ind w:left="630"/>
      <w:jc w:val="left"/>
    </w:pPr>
    <w:rPr>
      <w:sz w:val="18"/>
    </w:rPr>
  </w:style>
  <w:style w:type="paragraph" w:styleId="1001">
    <w:name w:val="列表"/>
    <w:basedOn w:val="1002"/>
    <w:next w:val="1001"/>
    <w:link w:val="962"/>
    <w:uiPriority w:val="99"/>
    <w:qFormat/>
    <w:pPr>
      <w:jc w:val="left"/>
      <w:spacing w:after="120"/>
    </w:pPr>
    <w:rPr>
      <w:rFonts w:eastAsia="宋体"/>
      <w:b w:val="0"/>
    </w:rPr>
  </w:style>
  <w:style w:type="paragraph" w:styleId="1002">
    <w:name w:val="BodyText1"/>
    <w:basedOn w:val="962"/>
    <w:next w:val="1002"/>
    <w:link w:val="1003"/>
    <w:uiPriority w:val="99"/>
    <w:qFormat/>
    <w:pPr>
      <w:jc w:val="center"/>
    </w:pPr>
    <w:rPr>
      <w:rFonts w:eastAsia="幼圆"/>
      <w:b/>
      <w:sz w:val="24"/>
      <w:szCs w:val="20"/>
    </w:rPr>
  </w:style>
  <w:style w:type="character" w:styleId="1003">
    <w:name w:val="UserStyle_52"/>
    <w:next w:val="1003"/>
    <w:link w:val="1002"/>
    <w:uiPriority w:val="99"/>
    <w:qFormat/>
    <w:rPr>
      <w:rFonts w:eastAsia="幼圆"/>
      <w:b/>
      <w:sz w:val="24"/>
    </w:rPr>
  </w:style>
  <w:style w:type="paragraph" w:styleId="1004">
    <w:name w:val="目录 2"/>
    <w:basedOn w:val="962"/>
    <w:next w:val="962"/>
    <w:link w:val="962"/>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05">
    <w:name w:val="HTML 预设格式"/>
    <w:basedOn w:val="962"/>
    <w:next w:val="1005"/>
    <w:link w:val="1006"/>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6">
    <w:name w:val="HTML 预设格式 字符"/>
    <w:next w:val="1006"/>
    <w:link w:val="1005"/>
    <w:uiPriority w:val="99"/>
    <w:semiHidden/>
    <w:rPr>
      <w:rFonts w:ascii="宋体" w:hAnsi="宋体" w:cs="宋体"/>
      <w:sz w:val="24"/>
      <w:szCs w:val="24"/>
    </w:rPr>
  </w:style>
  <w:style w:type="paragraph" w:styleId="1007">
    <w:name w:val="普通(网站)"/>
    <w:basedOn w:val="962"/>
    <w:next w:val="1007"/>
    <w:link w:val="962"/>
    <w:uiPriority w:val="99"/>
    <w:qFormat/>
    <w:pPr>
      <w:jc w:val="left"/>
      <w:spacing w:before="100" w:beforeAutospacing="1" w:after="100" w:afterAutospacing="1"/>
    </w:pPr>
    <w:rPr>
      <w:rFonts w:ascii="Arial" w:hAnsi="Arial" w:cs="Arial"/>
      <w:sz w:val="24"/>
    </w:rPr>
  </w:style>
  <w:style w:type="paragraph" w:styleId="1008">
    <w:name w:val="标题"/>
    <w:basedOn w:val="962"/>
    <w:next w:val="1008"/>
    <w:link w:val="1009"/>
    <w:uiPriority w:val="99"/>
    <w:qFormat/>
    <w:pPr>
      <w:jc w:val="center"/>
    </w:pPr>
    <w:rPr>
      <w:b/>
      <w:sz w:val="30"/>
      <w:szCs w:val="20"/>
    </w:rPr>
  </w:style>
  <w:style w:type="character" w:styleId="1009">
    <w:name w:val="标题 字符"/>
    <w:next w:val="1009"/>
    <w:link w:val="1008"/>
    <w:uiPriority w:val="99"/>
    <w:qFormat/>
    <w:rPr>
      <w:rFonts w:cs="Times New Roman"/>
      <w:b/>
      <w:sz w:val="30"/>
    </w:rPr>
  </w:style>
  <w:style w:type="paragraph" w:styleId="1010">
    <w:name w:val="批注主题"/>
    <w:basedOn w:val="984"/>
    <w:next w:val="984"/>
    <w:link w:val="1011"/>
    <w:qFormat/>
    <w:rPr>
      <w:b/>
      <w:bCs/>
      <w:color w:val="000000"/>
    </w:rPr>
  </w:style>
  <w:style w:type="character" w:styleId="1011">
    <w:name w:val="批注主题 字符"/>
    <w:next w:val="1011"/>
    <w:link w:val="1010"/>
    <w:qFormat/>
    <w:rPr>
      <w:rFonts w:cs="Times New Roman"/>
      <w:b/>
      <w:bCs/>
      <w:sz w:val="24"/>
      <w:szCs w:val="24"/>
    </w:rPr>
  </w:style>
  <w:style w:type="table" w:styleId="1012">
    <w:name w:val="网格型"/>
    <w:basedOn w:val="973"/>
    <w:next w:val="1012"/>
    <w:link w:val="962"/>
    <w:uiPriority w:val="99"/>
    <w:qFormat/>
    <w:tblPr/>
  </w:style>
  <w:style w:type="character" w:styleId="1013">
    <w:name w:val="已访问的超链接"/>
    <w:next w:val="1013"/>
    <w:link w:val="962"/>
    <w:uiPriority w:val="99"/>
    <w:qFormat/>
    <w:rPr>
      <w:rFonts w:cs="Times New Roman"/>
      <w:color w:val="000000"/>
      <w:sz w:val="18"/>
    </w:rPr>
  </w:style>
  <w:style w:type="character" w:styleId="1014">
    <w:name w:val="强调"/>
    <w:next w:val="1014"/>
    <w:link w:val="962"/>
    <w:uiPriority w:val="99"/>
    <w:qFormat/>
    <w:rPr>
      <w:rFonts w:cs="Times New Roman"/>
      <w:color w:val="cc0000"/>
    </w:rPr>
  </w:style>
  <w:style w:type="character" w:styleId="1015">
    <w:name w:val="HTML 打字机"/>
    <w:next w:val="1015"/>
    <w:link w:val="962"/>
    <w:uiPriority w:val="99"/>
    <w:unhideWhenUsed/>
    <w:qFormat/>
    <w:rPr>
      <w:rFonts w:ascii="monospace" w:hAnsi="monospace" w:eastAsia="monospace" w:cs="monospace"/>
      <w:sz w:val="20"/>
    </w:rPr>
  </w:style>
  <w:style w:type="character" w:styleId="1016">
    <w:name w:val="HTML 缩写"/>
    <w:next w:val="1016"/>
    <w:link w:val="962"/>
    <w:uiPriority w:val="99"/>
    <w:unhideWhenUsed/>
    <w:qFormat/>
  </w:style>
  <w:style w:type="character" w:styleId="1017">
    <w:name w:val="超链接"/>
    <w:next w:val="1017"/>
    <w:link w:val="962"/>
    <w:qFormat/>
    <w:rPr>
      <w:rFonts w:cs="Times New Roman"/>
      <w:color w:val="000000"/>
      <w:sz w:val="18"/>
    </w:rPr>
  </w:style>
  <w:style w:type="character" w:styleId="1018">
    <w:name w:val="HTML 代码"/>
    <w:next w:val="1018"/>
    <w:link w:val="962"/>
    <w:uiPriority w:val="99"/>
    <w:unhideWhenUsed/>
    <w:qFormat/>
    <w:rPr>
      <w:rFonts w:ascii="monospace" w:hAnsi="monospace" w:eastAsia="monospace" w:cs="monospace"/>
      <w:sz w:val="20"/>
    </w:rPr>
  </w:style>
  <w:style w:type="character" w:styleId="1019">
    <w:name w:val="批注引用"/>
    <w:next w:val="1019"/>
    <w:link w:val="962"/>
    <w:qFormat/>
    <w:rPr>
      <w:rFonts w:cs="Times New Roman"/>
      <w:sz w:val="21"/>
      <w:szCs w:val="21"/>
    </w:rPr>
  </w:style>
  <w:style w:type="character" w:styleId="1020">
    <w:name w:val="HTML 引文"/>
    <w:next w:val="1020"/>
    <w:link w:val="962"/>
    <w:uiPriority w:val="99"/>
    <w:unhideWhenUsed/>
    <w:qFormat/>
    <w:rPr>
      <w:color w:val="008000"/>
    </w:rPr>
  </w:style>
  <w:style w:type="character" w:styleId="1021">
    <w:name w:val="HTML 键盘"/>
    <w:next w:val="1021"/>
    <w:link w:val="962"/>
    <w:uiPriority w:val="99"/>
    <w:unhideWhenUsed/>
    <w:qFormat/>
    <w:rPr>
      <w:rFonts w:ascii="monospace" w:hAnsi="monospace" w:eastAsia="monospace" w:cs="monospace"/>
      <w:sz w:val="20"/>
    </w:rPr>
  </w:style>
  <w:style w:type="character" w:styleId="1022">
    <w:name w:val="HTML 样本"/>
    <w:next w:val="1022"/>
    <w:link w:val="962"/>
    <w:uiPriority w:val="99"/>
    <w:unhideWhenUsed/>
    <w:qFormat/>
    <w:rPr>
      <w:rFonts w:ascii="monospace" w:hAnsi="monospace" w:eastAsia="monospace" w:cs="monospace"/>
    </w:rPr>
  </w:style>
  <w:style w:type="character" w:styleId="1023">
    <w:name w:val="UserStyle_39"/>
    <w:next w:val="1023"/>
    <w:link w:val="1024"/>
    <w:uiPriority w:val="99"/>
    <w:qFormat/>
    <w:rPr>
      <w:rFonts w:ascii="Arial" w:hAnsi="Arial"/>
      <w:sz w:val="24"/>
    </w:rPr>
  </w:style>
  <w:style w:type="paragraph" w:styleId="1024">
    <w:name w:val="UserStyle_40"/>
    <w:basedOn w:val="1025"/>
    <w:next w:val="1024"/>
    <w:link w:val="1023"/>
    <w:uiPriority w:val="99"/>
    <w:qFormat/>
  </w:style>
  <w:style w:type="paragraph" w:styleId="1025">
    <w:name w:val="UserStyle_9"/>
    <w:basedOn w:val="962"/>
    <w:next w:val="1025"/>
    <w:link w:val="1026"/>
    <w:uiPriority w:val="99"/>
    <w:qFormat/>
    <w:pPr>
      <w:ind w:left="3240" w:hanging="3240"/>
    </w:pPr>
    <w:rPr>
      <w:rFonts w:ascii="Arial" w:hAnsi="Arial"/>
      <w:sz w:val="24"/>
      <w:szCs w:val="20"/>
    </w:rPr>
  </w:style>
  <w:style w:type="character" w:styleId="1026">
    <w:name w:val="UserStyle_8"/>
    <w:next w:val="1026"/>
    <w:link w:val="1025"/>
    <w:uiPriority w:val="99"/>
    <w:qFormat/>
    <w:rPr>
      <w:rFonts w:ascii="Arial" w:hAnsi="Arial"/>
      <w:sz w:val="24"/>
    </w:rPr>
  </w:style>
  <w:style w:type="character" w:styleId="1027">
    <w:name w:val="UserStyle_35"/>
    <w:next w:val="1027"/>
    <w:link w:val="962"/>
    <w:uiPriority w:val="99"/>
    <w:qFormat/>
    <w:rPr>
      <w:rFonts w:ascii="Cambria" w:hAnsi="Cambria"/>
      <w:b/>
      <w:sz w:val="24"/>
    </w:rPr>
  </w:style>
  <w:style w:type="character" w:styleId="1028">
    <w:name w:val="UserStyle_46"/>
    <w:next w:val="1028"/>
    <w:link w:val="962"/>
    <w:uiPriority w:val="99"/>
    <w:qFormat/>
    <w:rPr>
      <w:rFonts w:ascii="Verdana" w:hAnsi="Verdana"/>
      <w:sz w:val="21"/>
    </w:rPr>
  </w:style>
  <w:style w:type="character" w:styleId="1029">
    <w:name w:val="UserStyle_14"/>
    <w:next w:val="1029"/>
    <w:link w:val="962"/>
    <w:uiPriority w:val="99"/>
    <w:qFormat/>
    <w:rPr>
      <w:rFonts w:ascii="宋体" w:hAnsi="宋体" w:eastAsia="宋体"/>
      <w:color w:val="000000"/>
      <w:sz w:val="20"/>
    </w:rPr>
  </w:style>
  <w:style w:type="character" w:styleId="1030">
    <w:name w:val="UserStyle_47"/>
    <w:next w:val="1030"/>
    <w:link w:val="1031"/>
    <w:uiPriority w:val="99"/>
    <w:qFormat/>
    <w:rPr>
      <w:rFonts w:ascii="宋体" w:hAnsi="Courier New" w:eastAsia="楷体_GB2312"/>
      <w:sz w:val="26"/>
    </w:rPr>
  </w:style>
  <w:style w:type="paragraph" w:styleId="1031">
    <w:name w:val="UserStyle_48"/>
    <w:basedOn w:val="962"/>
    <w:next w:val="1031"/>
    <w:link w:val="1030"/>
    <w:uiPriority w:val="99"/>
    <w:qFormat/>
    <w:rPr>
      <w:rFonts w:ascii="宋体" w:hAnsi="Courier New" w:eastAsia="楷体_GB2312"/>
      <w:sz w:val="26"/>
      <w:szCs w:val="20"/>
    </w:rPr>
  </w:style>
  <w:style w:type="character" w:styleId="1032">
    <w:name w:val="UserStyle_13"/>
    <w:next w:val="1032"/>
    <w:link w:val="962"/>
    <w:uiPriority w:val="99"/>
    <w:qFormat/>
    <w:rPr>
      <w:rFonts w:ascii="宋体" w:hAnsi="宋体" w:eastAsia="宋体"/>
      <w:color w:val="000000"/>
      <w:sz w:val="24"/>
    </w:rPr>
  </w:style>
  <w:style w:type="character" w:styleId="1033">
    <w:name w:val="UserStyle_44"/>
    <w:next w:val="1033"/>
    <w:link w:val="962"/>
    <w:uiPriority w:val="99"/>
    <w:qFormat/>
    <w:rPr>
      <w:rFonts w:ascii="Cambria" w:hAnsi="Cambria"/>
      <w:sz w:val="21"/>
    </w:rPr>
  </w:style>
  <w:style w:type="character" w:styleId="1034">
    <w:name w:val="UserStyle_45"/>
    <w:next w:val="1034"/>
    <w:link w:val="962"/>
    <w:uiPriority w:val="99"/>
    <w:qFormat/>
    <w:rPr>
      <w:b/>
      <w:sz w:val="24"/>
    </w:rPr>
  </w:style>
  <w:style w:type="character" w:styleId="1035">
    <w:name w:val="UserStyle_19"/>
    <w:next w:val="1035"/>
    <w:link w:val="962"/>
    <w:uiPriority w:val="99"/>
    <w:qFormat/>
    <w:rPr>
      <w:b/>
      <w:sz w:val="28"/>
    </w:rPr>
  </w:style>
  <w:style w:type="character" w:styleId="1036">
    <w:name w:val="UserStyle_32"/>
    <w:next w:val="1036"/>
    <w:link w:val="962"/>
    <w:uiPriority w:val="99"/>
    <w:qFormat/>
    <w:rPr>
      <w:rFonts w:ascii="Cambria" w:hAnsi="Cambria"/>
      <w:b/>
      <w:sz w:val="32"/>
    </w:rPr>
  </w:style>
  <w:style w:type="character" w:styleId="1037">
    <w:name w:val="UserStyle_16"/>
    <w:next w:val="1037"/>
    <w:link w:val="1038"/>
    <w:uiPriority w:val="99"/>
    <w:qFormat/>
    <w:rPr>
      <w:sz w:val="18"/>
    </w:rPr>
  </w:style>
  <w:style w:type="paragraph" w:styleId="1038">
    <w:name w:val="页脚1"/>
    <w:basedOn w:val="962"/>
    <w:next w:val="1038"/>
    <w:link w:val="1037"/>
    <w:uiPriority w:val="99"/>
    <w:qFormat/>
    <w:pPr>
      <w:jc w:val="left"/>
      <w:tabs>
        <w:tab w:val="center" w:pos="4153" w:leader="none"/>
        <w:tab w:val="right" w:pos="8306" w:leader="none"/>
      </w:tabs>
    </w:pPr>
    <w:rPr>
      <w:sz w:val="18"/>
      <w:szCs w:val="20"/>
    </w:rPr>
  </w:style>
  <w:style w:type="character" w:styleId="1039">
    <w:name w:val="UserStyle_29"/>
    <w:next w:val="1039"/>
    <w:link w:val="962"/>
    <w:uiPriority w:val="99"/>
    <w:qFormat/>
    <w:rPr>
      <w:rFonts w:eastAsia="宋体"/>
      <w:sz w:val="24"/>
      <w:lang w:val="en-US" w:eastAsia="zh-CN"/>
    </w:rPr>
  </w:style>
  <w:style w:type="character" w:styleId="1040">
    <w:name w:val="UserStyle_36"/>
    <w:next w:val="1040"/>
    <w:link w:val="962"/>
    <w:uiPriority w:val="99"/>
    <w:qFormat/>
    <w:rPr>
      <w:rFonts w:eastAsia="宋体"/>
      <w:sz w:val="18"/>
      <w:lang w:val="en-US" w:eastAsia="zh-CN"/>
    </w:rPr>
  </w:style>
  <w:style w:type="character" w:styleId="1041">
    <w:name w:val="HtmlCode1"/>
    <w:next w:val="1041"/>
    <w:link w:val="962"/>
    <w:uiPriority w:val="99"/>
    <w:qFormat/>
    <w:rPr>
      <w:rFonts w:ascii="Courier New" w:hAnsi="Courier New"/>
      <w:sz w:val="20"/>
    </w:rPr>
  </w:style>
  <w:style w:type="character" w:styleId="1042">
    <w:name w:val="UserStyle_31"/>
    <w:next w:val="1042"/>
    <w:link w:val="1043"/>
    <w:uiPriority w:val="99"/>
    <w:semiHidden/>
    <w:qFormat/>
    <w:rPr>
      <w:rFonts w:ascii="Courier New" w:hAnsi="Courier New"/>
      <w:lang w:val="en-US" w:eastAsia="zh-CN" w:bidi="ar-SA"/>
    </w:rPr>
  </w:style>
  <w:style w:type="paragraph" w:styleId="1043">
    <w:name w:val="宏文本1"/>
    <w:next w:val="1043"/>
    <w:link w:val="1042"/>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44">
    <w:name w:val="UserStyle_22"/>
    <w:next w:val="1044"/>
    <w:link w:val="962"/>
    <w:uiPriority w:val="99"/>
    <w:qFormat/>
    <w:rPr>
      <w:rFonts w:ascii="Times New Roman" w:hAnsi="Times New Roman"/>
      <w:color w:val="000000"/>
      <w:sz w:val="21"/>
    </w:rPr>
  </w:style>
  <w:style w:type="character" w:styleId="1045">
    <w:name w:val="UserStyle_26"/>
    <w:next w:val="1045"/>
    <w:link w:val="1046"/>
    <w:uiPriority w:val="99"/>
    <w:qFormat/>
    <w:rPr>
      <w:sz w:val="24"/>
    </w:rPr>
  </w:style>
  <w:style w:type="paragraph" w:styleId="1046">
    <w:name w:val="BodyTextIndent1"/>
    <w:basedOn w:val="962"/>
    <w:next w:val="1046"/>
    <w:link w:val="1045"/>
    <w:uiPriority w:val="99"/>
    <w:qFormat/>
    <w:pPr>
      <w:ind w:left="420"/>
      <w:spacing w:after="120"/>
    </w:pPr>
    <w:rPr>
      <w:sz w:val="24"/>
      <w:szCs w:val="20"/>
    </w:rPr>
  </w:style>
  <w:style w:type="character" w:styleId="1047">
    <w:name w:val="UserStyle_50"/>
    <w:next w:val="1047"/>
    <w:link w:val="1048"/>
    <w:uiPriority w:val="99"/>
    <w:qFormat/>
    <w:rPr>
      <w:rFonts w:ascii="宋体"/>
      <w:sz w:val="28"/>
    </w:rPr>
  </w:style>
  <w:style w:type="paragraph" w:styleId="1048">
    <w:name w:val="UserStyle_51"/>
    <w:basedOn w:val="962"/>
    <w:next w:val="1048"/>
    <w:link w:val="1047"/>
    <w:uiPriority w:val="99"/>
    <w:qFormat/>
    <w:pPr>
      <w:numPr>
        <w:ilvl w:val="0"/>
        <w:numId w:val="1"/>
      </w:numPr>
      <w:ind w:left="0" w:firstLine="0"/>
      <w:spacing w:before="120"/>
      <w:tabs>
        <w:tab w:val="left" w:pos="720" w:leader="none"/>
      </w:tabs>
    </w:pPr>
    <w:rPr>
      <w:rFonts w:ascii="宋体"/>
      <w:sz w:val="28"/>
      <w:szCs w:val="20"/>
    </w:rPr>
  </w:style>
  <w:style w:type="character" w:styleId="1049">
    <w:name w:val="UserStyle_20"/>
    <w:next w:val="1049"/>
    <w:link w:val="962"/>
    <w:uiPriority w:val="99"/>
    <w:qFormat/>
    <w:rPr>
      <w:rFonts w:eastAsia="宋体"/>
      <w:sz w:val="18"/>
      <w:lang w:val="en-US" w:eastAsia="zh-CN"/>
    </w:rPr>
  </w:style>
  <w:style w:type="character" w:styleId="1050">
    <w:name w:val="UserStyle_28"/>
    <w:next w:val="1050"/>
    <w:link w:val="962"/>
    <w:uiPriority w:val="99"/>
    <w:qFormat/>
    <w:rPr>
      <w:rFonts w:ascii="宋体" w:hAnsi="宋体" w:eastAsia="宋体"/>
      <w:color w:val="000000"/>
      <w:sz w:val="21"/>
    </w:rPr>
  </w:style>
  <w:style w:type="character" w:styleId="1051">
    <w:name w:val="UserStyle_43"/>
    <w:next w:val="1051"/>
    <w:link w:val="962"/>
    <w:uiPriority w:val="99"/>
    <w:qFormat/>
    <w:rPr>
      <w:rFonts w:ascii="Cambria" w:hAnsi="Cambria"/>
      <w:b/>
      <w:sz w:val="28"/>
    </w:rPr>
  </w:style>
  <w:style w:type="character" w:styleId="1052">
    <w:name w:val="UserStyle_10"/>
    <w:next w:val="1052"/>
    <w:link w:val="962"/>
    <w:uiPriority w:val="99"/>
    <w:qFormat/>
    <w:rPr>
      <w:rFonts w:ascii="Times New Roman" w:hAnsi="Times New Roman" w:eastAsia="宋体"/>
      <w:sz w:val="24"/>
    </w:rPr>
  </w:style>
  <w:style w:type="character" w:styleId="1053">
    <w:name w:val="HtmlCite1"/>
    <w:next w:val="1053"/>
    <w:link w:val="962"/>
    <w:uiPriority w:val="99"/>
    <w:qFormat/>
    <w:rPr>
      <w:color w:val="008000"/>
    </w:rPr>
  </w:style>
  <w:style w:type="character" w:styleId="1054">
    <w:name w:val="UserStyle_3"/>
    <w:next w:val="1054"/>
    <w:link w:val="1055"/>
    <w:uiPriority w:val="99"/>
    <w:qFormat/>
    <w:rPr>
      <w:b/>
      <w:sz w:val="24"/>
    </w:rPr>
  </w:style>
  <w:style w:type="paragraph" w:styleId="1055">
    <w:name w:val="AnnotationSubject1"/>
    <w:basedOn w:val="1056"/>
    <w:next w:val="1056"/>
    <w:link w:val="1054"/>
    <w:uiPriority w:val="99"/>
    <w:qFormat/>
    <w:rPr>
      <w:b/>
    </w:rPr>
  </w:style>
  <w:style w:type="paragraph" w:styleId="1056">
    <w:name w:val="AnnotationText1"/>
    <w:basedOn w:val="962"/>
    <w:next w:val="1056"/>
    <w:link w:val="1057"/>
    <w:uiPriority w:val="99"/>
    <w:qFormat/>
    <w:pPr>
      <w:jc w:val="left"/>
    </w:pPr>
    <w:rPr>
      <w:sz w:val="24"/>
      <w:szCs w:val="20"/>
    </w:rPr>
  </w:style>
  <w:style w:type="character" w:styleId="1057">
    <w:name w:val="UserStyle_30"/>
    <w:next w:val="1057"/>
    <w:link w:val="1056"/>
    <w:uiPriority w:val="99"/>
    <w:qFormat/>
    <w:rPr>
      <w:sz w:val="24"/>
    </w:rPr>
  </w:style>
  <w:style w:type="character" w:styleId="1058">
    <w:name w:val="UserStyle_5"/>
    <w:next w:val="1058"/>
    <w:link w:val="962"/>
    <w:uiPriority w:val="99"/>
    <w:qFormat/>
    <w:rPr>
      <w:b/>
      <w:sz w:val="44"/>
    </w:rPr>
  </w:style>
  <w:style w:type="character" w:styleId="1059">
    <w:name w:val="font71"/>
    <w:next w:val="1059"/>
    <w:link w:val="962"/>
    <w:qFormat/>
    <w:rPr>
      <w:rFonts w:hint="eastAsia" w:ascii="宋体" w:hAnsi="宋体" w:eastAsia="宋体" w:cs="宋体"/>
      <w:color w:val="000000"/>
      <w:sz w:val="21"/>
      <w:szCs w:val="21"/>
      <w:u w:val="none"/>
    </w:rPr>
  </w:style>
  <w:style w:type="character" w:styleId="1060">
    <w:name w:val="font81"/>
    <w:next w:val="1060"/>
    <w:link w:val="962"/>
    <w:qFormat/>
    <w:rPr>
      <w:rFonts w:hint="eastAsia" w:ascii="宋体" w:hAnsi="宋体" w:eastAsia="宋体" w:cs="宋体"/>
      <w:color w:val="ff0000"/>
      <w:sz w:val="20"/>
      <w:szCs w:val="20"/>
      <w:u w:val="none"/>
    </w:rPr>
  </w:style>
  <w:style w:type="character" w:styleId="1061">
    <w:name w:val="font01"/>
    <w:next w:val="1061"/>
    <w:link w:val="962"/>
    <w:uiPriority w:val="99"/>
    <w:qFormat/>
    <w:rPr>
      <w:rFonts w:ascii="Times New Roman" w:hAnsi="Times New Roman"/>
      <w:color w:val="000000"/>
      <w:sz w:val="24"/>
      <w:u w:val="none"/>
    </w:rPr>
  </w:style>
  <w:style w:type="character" w:styleId="1062">
    <w:name w:val="font101"/>
    <w:next w:val="1062"/>
    <w:link w:val="962"/>
    <w:qFormat/>
    <w:rPr>
      <w:rFonts w:hint="eastAsia" w:ascii="宋体" w:hAnsi="宋体" w:eastAsia="宋体" w:cs="宋体"/>
      <w:color w:val="ff0000"/>
      <w:sz w:val="21"/>
      <w:szCs w:val="21"/>
      <w:u w:val="none"/>
    </w:rPr>
  </w:style>
  <w:style w:type="character" w:styleId="1063">
    <w:name w:val="UserStyle_27"/>
    <w:next w:val="1063"/>
    <w:link w:val="962"/>
    <w:uiPriority w:val="99"/>
    <w:qFormat/>
    <w:rPr>
      <w:rFonts w:eastAsia="宋体"/>
      <w:sz w:val="24"/>
      <w:lang w:val="en-US" w:eastAsia="zh-CN"/>
    </w:rPr>
  </w:style>
  <w:style w:type="character" w:styleId="1064">
    <w:name w:val="UserStyle_12"/>
    <w:next w:val="1064"/>
    <w:link w:val="962"/>
    <w:uiPriority w:val="99"/>
    <w:qFormat/>
  </w:style>
  <w:style w:type="character" w:styleId="1065">
    <w:name w:val="UserStyle_37"/>
    <w:next w:val="1065"/>
    <w:link w:val="962"/>
    <w:uiPriority w:val="99"/>
    <w:qFormat/>
    <w:rPr>
      <w:rFonts w:ascii="Cambria" w:hAnsi="Cambria"/>
      <w:sz w:val="24"/>
    </w:rPr>
  </w:style>
  <w:style w:type="character" w:styleId="1066">
    <w:name w:val="UserStyle_2"/>
    <w:next w:val="1066"/>
    <w:link w:val="1067"/>
    <w:uiPriority w:val="99"/>
    <w:qFormat/>
    <w:rPr>
      <w:sz w:val="21"/>
    </w:rPr>
  </w:style>
  <w:style w:type="paragraph" w:styleId="1067">
    <w:name w:val="BodyText21"/>
    <w:basedOn w:val="962"/>
    <w:next w:val="1067"/>
    <w:link w:val="1066"/>
    <w:uiPriority w:val="99"/>
    <w:qFormat/>
    <w:pPr>
      <w:spacing w:after="120" w:line="480" w:lineRule="auto"/>
    </w:pPr>
    <w:rPr>
      <w:szCs w:val="20"/>
    </w:rPr>
  </w:style>
  <w:style w:type="character" w:styleId="1068">
    <w:name w:val="纯文本 Char1"/>
    <w:next w:val="1068"/>
    <w:link w:val="962"/>
    <w:uiPriority w:val="99"/>
    <w:semiHidden/>
    <w:qFormat/>
    <w:rPr>
      <w:rFonts w:ascii="宋体" w:hAnsi="Courier New" w:cs="Courier New"/>
      <w:sz w:val="21"/>
      <w:szCs w:val="21"/>
    </w:rPr>
  </w:style>
  <w:style w:type="character" w:styleId="1069">
    <w:name w:val="UserStyle_33"/>
    <w:next w:val="1069"/>
    <w:link w:val="962"/>
    <w:uiPriority w:val="99"/>
    <w:qFormat/>
    <w:rPr>
      <w:rFonts w:eastAsia="宋体"/>
      <w:sz w:val="24"/>
      <w:lang w:val="en-US" w:eastAsia="zh-CN"/>
    </w:rPr>
  </w:style>
  <w:style w:type="character" w:styleId="1070">
    <w:name w:val="UserStyle_11"/>
    <w:next w:val="1070"/>
    <w:link w:val="1071"/>
    <w:uiPriority w:val="99"/>
    <w:qFormat/>
    <w:rPr>
      <w:sz w:val="16"/>
    </w:rPr>
  </w:style>
  <w:style w:type="paragraph" w:styleId="1071">
    <w:name w:val="BodyText31"/>
    <w:basedOn w:val="962"/>
    <w:next w:val="1071"/>
    <w:link w:val="1070"/>
    <w:uiPriority w:val="99"/>
    <w:qFormat/>
    <w:pPr>
      <w:spacing w:after="120"/>
    </w:pPr>
    <w:rPr>
      <w:sz w:val="16"/>
      <w:szCs w:val="20"/>
    </w:rPr>
  </w:style>
  <w:style w:type="character" w:styleId="1072">
    <w:name w:val="UserStyle_7"/>
    <w:next w:val="1072"/>
    <w:link w:val="1073"/>
    <w:uiPriority w:val="99"/>
    <w:qFormat/>
    <w:rPr>
      <w:sz w:val="18"/>
    </w:rPr>
  </w:style>
  <w:style w:type="paragraph" w:styleId="1073">
    <w:name w:val="页眉1"/>
    <w:basedOn w:val="962"/>
    <w:next w:val="1073"/>
    <w:link w:val="1072"/>
    <w:uiPriority w:val="99"/>
    <w:qFormat/>
    <w:pPr>
      <w:jc w:val="center"/>
      <w:tabs>
        <w:tab w:val="center" w:pos="4153" w:leader="none"/>
        <w:tab w:val="right" w:pos="8306" w:leader="none"/>
      </w:tabs>
      <w:pBdr>
        <w:bottom w:val="single" w:color="000000" w:sz="6" w:space="1"/>
      </w:pBdr>
    </w:pPr>
    <w:rPr>
      <w:sz w:val="18"/>
      <w:szCs w:val="20"/>
    </w:rPr>
  </w:style>
  <w:style w:type="character" w:styleId="1074">
    <w:name w:val="UserStyle_23"/>
    <w:next w:val="1074"/>
    <w:link w:val="962"/>
    <w:uiPriority w:val="99"/>
    <w:qFormat/>
    <w:rPr>
      <w:rFonts w:ascii="Calibri" w:hAnsi="Calibri"/>
      <w:color w:val="000000"/>
      <w:sz w:val="24"/>
    </w:rPr>
  </w:style>
  <w:style w:type="character" w:styleId="1075">
    <w:name w:val="AnnotationReference1"/>
    <w:next w:val="1075"/>
    <w:link w:val="962"/>
    <w:uiPriority w:val="99"/>
    <w:qFormat/>
    <w:rPr>
      <w:sz w:val="21"/>
    </w:rPr>
  </w:style>
  <w:style w:type="character" w:styleId="1076">
    <w:name w:val="c-icon28"/>
    <w:next w:val="1076"/>
    <w:link w:val="962"/>
    <w:qFormat/>
  </w:style>
  <w:style w:type="character" w:styleId="1077">
    <w:name w:val="hover27"/>
    <w:next w:val="1077"/>
    <w:link w:val="962"/>
    <w:qFormat/>
    <w:rPr>
      <w:color w:val="315efb"/>
    </w:rPr>
  </w:style>
  <w:style w:type="character" w:styleId="1078">
    <w:name w:val="font91"/>
    <w:next w:val="1078"/>
    <w:link w:val="962"/>
    <w:qFormat/>
    <w:rPr>
      <w:rFonts w:hint="eastAsia" w:ascii="宋体" w:hAnsi="宋体" w:eastAsia="宋体" w:cs="宋体"/>
      <w:b/>
      <w:bCs/>
      <w:color w:val="ff0000"/>
      <w:sz w:val="21"/>
      <w:szCs w:val="21"/>
      <w:u w:val="none"/>
    </w:rPr>
  </w:style>
  <w:style w:type="character" w:styleId="1079">
    <w:name w:val="hover26"/>
    <w:next w:val="1079"/>
    <w:link w:val="962"/>
    <w:qFormat/>
  </w:style>
  <w:style w:type="character" w:styleId="1080">
    <w:name w:val="UserStyle_15"/>
    <w:next w:val="1080"/>
    <w:link w:val="962"/>
    <w:uiPriority w:val="99"/>
    <w:qFormat/>
    <w:rPr>
      <w:rFonts w:eastAsia="宋体"/>
      <w:sz w:val="24"/>
      <w:lang w:val="en-US" w:eastAsia="zh-CN"/>
    </w:rPr>
  </w:style>
  <w:style w:type="character" w:styleId="1081">
    <w:name w:val="UserStyle_1"/>
    <w:next w:val="1081"/>
    <w:link w:val="1082"/>
    <w:uiPriority w:val="99"/>
    <w:qFormat/>
    <w:rPr>
      <w:sz w:val="24"/>
    </w:rPr>
  </w:style>
  <w:style w:type="paragraph" w:styleId="1082">
    <w:name w:val="NormalIndent1"/>
    <w:basedOn w:val="962"/>
    <w:next w:val="1082"/>
    <w:link w:val="1081"/>
    <w:uiPriority w:val="99"/>
    <w:qFormat/>
    <w:pPr>
      <w:ind w:firstLine="420"/>
    </w:pPr>
    <w:rPr>
      <w:sz w:val="24"/>
      <w:szCs w:val="20"/>
    </w:rPr>
  </w:style>
  <w:style w:type="character" w:styleId="1083">
    <w:name w:val="UserStyle_41"/>
    <w:next w:val="1083"/>
    <w:link w:val="1084"/>
    <w:uiPriority w:val="99"/>
    <w:qFormat/>
    <w:rPr>
      <w:sz w:val="16"/>
    </w:rPr>
  </w:style>
  <w:style w:type="paragraph" w:styleId="1084">
    <w:name w:val="BodyTextIndent31"/>
    <w:basedOn w:val="962"/>
    <w:next w:val="1084"/>
    <w:link w:val="1083"/>
    <w:uiPriority w:val="99"/>
    <w:qFormat/>
    <w:pPr>
      <w:ind w:left="420"/>
      <w:spacing w:after="120"/>
    </w:pPr>
    <w:rPr>
      <w:sz w:val="16"/>
      <w:szCs w:val="20"/>
    </w:rPr>
  </w:style>
  <w:style w:type="character" w:styleId="1085">
    <w:name w:val="NormalCharacter1"/>
    <w:next w:val="1085"/>
    <w:link w:val="962"/>
    <w:qFormat/>
  </w:style>
  <w:style w:type="character" w:styleId="1086">
    <w:name w:val="UserStyle_49"/>
    <w:next w:val="1086"/>
    <w:link w:val="962"/>
    <w:uiPriority w:val="99"/>
    <w:qFormat/>
    <w:rPr>
      <w:b/>
      <w:sz w:val="32"/>
    </w:rPr>
  </w:style>
  <w:style w:type="character" w:styleId="1087">
    <w:name w:val="font21"/>
    <w:next w:val="1087"/>
    <w:link w:val="962"/>
    <w:qFormat/>
    <w:rPr>
      <w:rFonts w:hint="eastAsia" w:ascii="宋体" w:hAnsi="宋体" w:eastAsia="宋体" w:cs="宋体"/>
      <w:b/>
      <w:bCs/>
      <w:color w:val="000000"/>
      <w:sz w:val="21"/>
      <w:szCs w:val="21"/>
      <w:u w:val="none"/>
    </w:rPr>
  </w:style>
  <w:style w:type="character" w:styleId="1088">
    <w:name w:val="UserStyle_21"/>
    <w:next w:val="1088"/>
    <w:link w:val="1089"/>
    <w:uiPriority w:val="99"/>
    <w:qFormat/>
    <w:rPr>
      <w:sz w:val="18"/>
    </w:rPr>
  </w:style>
  <w:style w:type="paragraph" w:styleId="1089">
    <w:name w:val="Acetate1"/>
    <w:basedOn w:val="962"/>
    <w:next w:val="1089"/>
    <w:link w:val="1088"/>
    <w:uiPriority w:val="99"/>
    <w:qFormat/>
    <w:rPr>
      <w:sz w:val="18"/>
      <w:szCs w:val="20"/>
    </w:rPr>
  </w:style>
  <w:style w:type="character" w:styleId="1090">
    <w:name w:val="font31"/>
    <w:next w:val="1090"/>
    <w:link w:val="962"/>
    <w:uiPriority w:val="99"/>
    <w:qFormat/>
    <w:rPr>
      <w:rFonts w:ascii="宋体" w:hAnsi="宋体" w:eastAsia="宋体"/>
      <w:color w:val="000000"/>
      <w:sz w:val="24"/>
      <w:u w:val="none"/>
    </w:rPr>
  </w:style>
  <w:style w:type="character" w:styleId="1091">
    <w:name w:val="font51"/>
    <w:next w:val="1091"/>
    <w:link w:val="962"/>
    <w:qFormat/>
    <w:rPr>
      <w:rFonts w:hint="eastAsia" w:ascii="仿宋" w:hAnsi="仿宋" w:eastAsia="仿宋" w:cs="仿宋"/>
      <w:color w:val="ff0000"/>
      <w:sz w:val="20"/>
      <w:szCs w:val="20"/>
      <w:u w:val="none"/>
    </w:rPr>
  </w:style>
  <w:style w:type="character" w:styleId="1092">
    <w:name w:val="UserStyle_34"/>
    <w:next w:val="1092"/>
    <w:link w:val="1093"/>
    <w:uiPriority w:val="99"/>
    <w:qFormat/>
    <w:rPr>
      <w:rFonts w:ascii="宋体"/>
      <w:sz w:val="18"/>
    </w:rPr>
  </w:style>
  <w:style w:type="paragraph" w:styleId="1093">
    <w:name w:val="NavPane1"/>
    <w:basedOn w:val="962"/>
    <w:next w:val="1093"/>
    <w:link w:val="1092"/>
    <w:uiPriority w:val="99"/>
    <w:qFormat/>
    <w:rPr>
      <w:rFonts w:ascii="宋体"/>
      <w:sz w:val="18"/>
      <w:szCs w:val="20"/>
    </w:rPr>
  </w:style>
  <w:style w:type="character" w:styleId="1094">
    <w:name w:val="UserStyle_42"/>
    <w:next w:val="1094"/>
    <w:link w:val="1095"/>
    <w:uiPriority w:val="99"/>
    <w:qFormat/>
    <w:rPr>
      <w:rFonts w:ascii="宋体" w:hAnsi="Arial"/>
      <w:sz w:val="28"/>
    </w:rPr>
  </w:style>
  <w:style w:type="paragraph" w:styleId="1095">
    <w:name w:val="BodyTextIndent21"/>
    <w:basedOn w:val="962"/>
    <w:next w:val="1095"/>
    <w:link w:val="1094"/>
    <w:uiPriority w:val="99"/>
    <w:qFormat/>
    <w:pPr>
      <w:ind w:left="-210" w:hanging="20"/>
      <w:spacing w:line="500" w:lineRule="exact"/>
    </w:pPr>
    <w:rPr>
      <w:rFonts w:ascii="宋体" w:hAnsi="Arial"/>
      <w:sz w:val="28"/>
      <w:szCs w:val="20"/>
    </w:rPr>
  </w:style>
  <w:style w:type="character" w:styleId="1096">
    <w:name w:val="UserStyle_17"/>
    <w:next w:val="1096"/>
    <w:link w:val="1097"/>
    <w:uiPriority w:val="99"/>
    <w:qFormat/>
    <w:rPr>
      <w:sz w:val="24"/>
    </w:rPr>
  </w:style>
  <w:style w:type="paragraph" w:styleId="1097">
    <w:name w:val="UserStyle_18"/>
    <w:basedOn w:val="962"/>
    <w:next w:val="1097"/>
    <w:link w:val="1096"/>
    <w:uiPriority w:val="99"/>
    <w:qFormat/>
    <w:pPr>
      <w:ind w:left="1098" w:hanging="2"/>
      <w:spacing w:after="60" w:line="264" w:lineRule="auto"/>
      <w:tabs>
        <w:tab w:val="left" w:pos="1020" w:leader="none"/>
        <w:tab w:val="left" w:pos="1090" w:leader="none"/>
      </w:tabs>
    </w:pPr>
    <w:rPr>
      <w:sz w:val="24"/>
      <w:szCs w:val="20"/>
    </w:rPr>
  </w:style>
  <w:style w:type="character" w:styleId="1098">
    <w:name w:val="font41"/>
    <w:next w:val="1098"/>
    <w:link w:val="962"/>
    <w:qFormat/>
    <w:rPr>
      <w:rFonts w:hint="eastAsia" w:ascii="宋体" w:hAnsi="宋体" w:eastAsia="宋体" w:cs="宋体"/>
      <w:b/>
      <w:bCs/>
      <w:color w:val="000000"/>
      <w:sz w:val="21"/>
      <w:szCs w:val="21"/>
      <w:u w:val="none"/>
    </w:rPr>
  </w:style>
  <w:style w:type="character" w:styleId="1099">
    <w:name w:val="font11"/>
    <w:next w:val="1099"/>
    <w:link w:val="962"/>
    <w:qFormat/>
    <w:rPr>
      <w:rFonts w:hint="eastAsia" w:ascii="宋体" w:hAnsi="宋体" w:eastAsia="宋体" w:cs="宋体"/>
      <w:b/>
      <w:bCs/>
      <w:color w:val="000000"/>
      <w:sz w:val="22"/>
      <w:szCs w:val="22"/>
      <w:u w:val="none"/>
    </w:rPr>
  </w:style>
  <w:style w:type="character" w:styleId="1100">
    <w:name w:val="PageNumber1"/>
    <w:next w:val="1100"/>
    <w:link w:val="962"/>
    <w:uiPriority w:val="99"/>
    <w:qFormat/>
    <w:rPr>
      <w:rFonts w:eastAsia="宋体"/>
      <w:b/>
      <w:sz w:val="24"/>
      <w:lang w:val="en-US" w:eastAsia="zh-CN"/>
    </w:rPr>
  </w:style>
  <w:style w:type="character" w:styleId="1101">
    <w:name w:val="UserStyle_24"/>
    <w:next w:val="1101"/>
    <w:link w:val="1102"/>
    <w:uiPriority w:val="99"/>
    <w:qFormat/>
    <w:rPr>
      <w:rFonts w:ascii="宋体"/>
      <w:color w:val="000000"/>
      <w:sz w:val="24"/>
      <w:szCs w:val="24"/>
      <w:lang w:val="en-US" w:eastAsia="zh-CN" w:bidi="ar-SA"/>
    </w:rPr>
  </w:style>
  <w:style w:type="paragraph" w:styleId="1102">
    <w:name w:val="UserStyle_25"/>
    <w:next w:val="1102"/>
    <w:link w:val="1101"/>
    <w:uiPriority w:val="99"/>
    <w:qFormat/>
    <w:rPr>
      <w:rFonts w:ascii="宋体"/>
      <w:color w:val="000000"/>
      <w:sz w:val="24"/>
      <w:szCs w:val="24"/>
      <w:lang w:val="en-US" w:eastAsia="zh-CN" w:bidi="ar-SA"/>
    </w:rPr>
  </w:style>
  <w:style w:type="character" w:styleId="1103">
    <w:name w:val="font112"/>
    <w:next w:val="1103"/>
    <w:link w:val="962"/>
    <w:qFormat/>
    <w:rPr>
      <w:rFonts w:hint="eastAsia" w:ascii="宋体" w:hAnsi="宋体" w:eastAsia="宋体" w:cs="宋体"/>
      <w:color w:val="555555"/>
      <w:sz w:val="21"/>
      <w:szCs w:val="21"/>
      <w:u w:val="none"/>
    </w:rPr>
  </w:style>
  <w:style w:type="character" w:styleId="1104">
    <w:name w:val="UserStyle_0"/>
    <w:next w:val="1104"/>
    <w:link w:val="1105"/>
    <w:uiPriority w:val="99"/>
    <w:qFormat/>
    <w:rPr>
      <w:rFonts w:ascii="Ari"/>
      <w:lang w:val="en-US" w:eastAsia="zh-CN"/>
    </w:rPr>
  </w:style>
  <w:style w:type="paragraph" w:styleId="1105">
    <w:name w:val="PlainText1"/>
    <w:basedOn w:val="962"/>
    <w:next w:val="1105"/>
    <w:link w:val="1104"/>
    <w:uiPriority w:val="99"/>
    <w:qFormat/>
    <w:rPr>
      <w:rFonts w:ascii="Ari"/>
      <w:sz w:val="20"/>
      <w:szCs w:val="20"/>
    </w:rPr>
  </w:style>
  <w:style w:type="character" w:styleId="1106">
    <w:name w:val="UserStyle_38"/>
    <w:next w:val="1106"/>
    <w:link w:val="962"/>
    <w:uiPriority w:val="99"/>
    <w:qFormat/>
  </w:style>
  <w:style w:type="character" w:styleId="1107">
    <w:name w:val="Max1"/>
    <w:next w:val="1107"/>
    <w:link w:val="962"/>
    <w:uiPriority w:val="99"/>
    <w:semiHidden/>
    <w:qFormat/>
    <w:rPr>
      <w:color w:val="808080"/>
    </w:rPr>
  </w:style>
  <w:style w:type="paragraph" w:styleId="1108">
    <w:name w:val="UserStyle_75"/>
    <w:basedOn w:val="962"/>
    <w:next w:val="1108"/>
    <w:link w:val="962"/>
    <w:uiPriority w:val="99"/>
    <w:qFormat/>
    <w:pPr>
      <w:ind w:left="795" w:hanging="360"/>
      <w:tabs>
        <w:tab w:val="left" w:pos="795" w:leader="none"/>
      </w:tabs>
    </w:pPr>
    <w:rPr>
      <w:sz w:val="24"/>
    </w:rPr>
  </w:style>
  <w:style w:type="paragraph" w:styleId="1109">
    <w:name w:val="WPSOffice手动目录 1"/>
    <w:next w:val="1109"/>
    <w:link w:val="962"/>
    <w:rPr>
      <w:lang w:val="en-US" w:eastAsia="zh-CN" w:bidi="ar-SA"/>
    </w:rPr>
  </w:style>
  <w:style w:type="paragraph" w:styleId="1110">
    <w:name w:val="Heading11"/>
    <w:basedOn w:val="962"/>
    <w:next w:val="962"/>
    <w:link w:val="962"/>
    <w:uiPriority w:val="99"/>
    <w:qFormat/>
    <w:pPr>
      <w:numPr>
        <w:ilvl w:val="0"/>
        <w:numId w:val="2"/>
      </w:numPr>
      <w:jc w:val="center"/>
      <w:keepLines/>
      <w:keepNext/>
      <w:spacing w:before="340" w:after="330" w:line="578" w:lineRule="auto"/>
    </w:pPr>
    <w:rPr>
      <w:b/>
      <w:bCs/>
      <w:sz w:val="32"/>
      <w:szCs w:val="44"/>
    </w:rPr>
  </w:style>
  <w:style w:type="paragraph" w:styleId="1111">
    <w:name w:val="266"/>
    <w:basedOn w:val="1110"/>
    <w:next w:val="962"/>
    <w:link w:val="962"/>
    <w:uiPriority w:val="99"/>
    <w:qFormat/>
    <w:pPr>
      <w:numPr>
        <w:ilvl w:val="0"/>
        <w:numId w:val="0"/>
      </w:numPr>
      <w:jc w:val="left"/>
      <w:spacing w:before="480" w:after="0" w:line="276" w:lineRule="auto"/>
    </w:pPr>
    <w:rPr>
      <w:rFonts w:ascii="Cambria" w:hAnsi="Cambria"/>
      <w:color w:val="365f91"/>
      <w:sz w:val="28"/>
      <w:szCs w:val="28"/>
    </w:rPr>
  </w:style>
  <w:style w:type="paragraph" w:styleId="1112">
    <w:name w:val="UserStyle_58"/>
    <w:basedOn w:val="962"/>
    <w:next w:val="1112"/>
    <w:link w:val="962"/>
    <w:uiPriority w:val="99"/>
    <w:qFormat/>
    <w:pPr>
      <w:jc w:val="left"/>
    </w:pPr>
    <w:rPr>
      <w:sz w:val="24"/>
    </w:rPr>
  </w:style>
  <w:style w:type="paragraph" w:styleId="1113">
    <w:name w:val="Heading81"/>
    <w:basedOn w:val="962"/>
    <w:next w:val="962"/>
    <w:link w:val="962"/>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14">
    <w:name w:val="Heading61"/>
    <w:basedOn w:val="962"/>
    <w:next w:val="962"/>
    <w:link w:val="962"/>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15">
    <w:name w:val="UserStyle_61"/>
    <w:basedOn w:val="1093"/>
    <w:next w:val="1115"/>
    <w:link w:val="962"/>
    <w:uiPriority w:val="99"/>
    <w:qFormat/>
    <w:pPr>
      <w:spacing w:line="360" w:lineRule="auto"/>
      <w:shd w:val="clear" w:color="auto" w:fill="000080"/>
    </w:pPr>
    <w:rPr>
      <w:rFonts w:ascii="Times New Roman"/>
      <w:sz w:val="21"/>
    </w:rPr>
  </w:style>
  <w:style w:type="paragraph" w:styleId="1116">
    <w:name w:val="_Style 7"/>
    <w:basedOn w:val="963"/>
    <w:next w:val="962"/>
    <w:link w:val="962"/>
    <w:uiPriority w:val="99"/>
    <w:qFormat/>
    <w:pPr>
      <w:tabs>
        <w:tab w:val="left" w:pos="1440" w:leader="none"/>
        <w:tab w:val="left" w:pos="5670" w:leader="none"/>
      </w:tabs>
      <w:outlineLvl w:val="9"/>
    </w:pPr>
  </w:style>
  <w:style w:type="paragraph" w:styleId="1117">
    <w:name w:val="font5"/>
    <w:basedOn w:val="962"/>
    <w:next w:val="1117"/>
    <w:link w:val="962"/>
    <w:uiPriority w:val="99"/>
    <w:qFormat/>
    <w:pPr>
      <w:jc w:val="left"/>
      <w:spacing w:before="100" w:beforeAutospacing="1" w:after="100" w:afterAutospacing="1"/>
    </w:pPr>
    <w:rPr>
      <w:rFonts w:ascii="宋体" w:hAnsi="宋体" w:cs="宋体"/>
      <w:sz w:val="18"/>
      <w:szCs w:val="18"/>
    </w:rPr>
  </w:style>
  <w:style w:type="paragraph" w:styleId="1118">
    <w:name w:val="UserStyle_68"/>
    <w:basedOn w:val="962"/>
    <w:next w:val="1118"/>
    <w:link w:val="962"/>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19">
    <w:name w:val="UserStyle_70"/>
    <w:basedOn w:val="962"/>
    <w:next w:val="1119"/>
    <w:link w:val="962"/>
    <w:uiPriority w:val="99"/>
    <w:qFormat/>
    <w:pPr>
      <w:ind w:firstLine="200"/>
      <w:spacing w:line="360" w:lineRule="auto"/>
    </w:pPr>
    <w:rPr>
      <w:sz w:val="24"/>
      <w:szCs w:val="28"/>
    </w:rPr>
  </w:style>
  <w:style w:type="paragraph" w:styleId="1120">
    <w:name w:val="TOC11"/>
    <w:basedOn w:val="962"/>
    <w:next w:val="962"/>
    <w:link w:val="962"/>
    <w:uiPriority w:val="99"/>
    <w:qFormat/>
  </w:style>
  <w:style w:type="paragraph" w:styleId="1121">
    <w:name w:val="UserStyle_76"/>
    <w:basedOn w:val="962"/>
    <w:next w:val="1121"/>
    <w:link w:val="962"/>
    <w:uiPriority w:val="99"/>
    <w:qFormat/>
    <w:rPr>
      <w:szCs w:val="20"/>
    </w:rPr>
  </w:style>
  <w:style w:type="paragraph" w:styleId="1122">
    <w:name w:val="UserStyle_73"/>
    <w:basedOn w:val="962"/>
    <w:next w:val="1122"/>
    <w:link w:val="962"/>
    <w:uiPriority w:val="99"/>
    <w:qFormat/>
    <w:pPr>
      <w:ind w:firstLine="420"/>
      <w:jc w:val="left"/>
    </w:pPr>
    <w:rPr>
      <w:sz w:val="24"/>
    </w:rPr>
  </w:style>
  <w:style w:type="paragraph" w:styleId="1123">
    <w:name w:val="xl72"/>
    <w:basedOn w:val="962"/>
    <w:next w:val="1123"/>
    <w:link w:val="9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24">
    <w:name w:val="UserStyle_54"/>
    <w:basedOn w:val="962"/>
    <w:next w:val="962"/>
    <w:link w:val="962"/>
    <w:uiPriority w:val="99"/>
    <w:qFormat/>
    <w:rPr>
      <w:sz w:val="24"/>
      <w:szCs w:val="20"/>
    </w:rPr>
  </w:style>
  <w:style w:type="paragraph" w:styleId="1125">
    <w:name w:val="178"/>
    <w:next w:val="1125"/>
    <w:link w:val="962"/>
    <w:uiPriority w:val="99"/>
    <w:qFormat/>
    <w:rPr>
      <w:sz w:val="21"/>
      <w:szCs w:val="24"/>
      <w:lang w:val="en-US" w:eastAsia="zh-CN" w:bidi="ar-SA"/>
    </w:rPr>
  </w:style>
  <w:style w:type="paragraph" w:styleId="1126">
    <w:name w:val="首行缩进"/>
    <w:basedOn w:val="962"/>
    <w:next w:val="1126"/>
    <w:link w:val="962"/>
    <w:qFormat/>
    <w:pPr>
      <w:ind w:firstLine="480"/>
    </w:pPr>
    <w:rPr>
      <w:szCs w:val="20"/>
      <w:lang w:val="zh-CN"/>
    </w:rPr>
  </w:style>
  <w:style w:type="paragraph" w:styleId="1127">
    <w:name w:val="179"/>
    <w:basedOn w:val="962"/>
    <w:next w:val="1127"/>
    <w:link w:val="962"/>
    <w:uiPriority w:val="99"/>
    <w:qFormat/>
    <w:pPr>
      <w:ind w:firstLine="420"/>
    </w:pPr>
  </w:style>
  <w:style w:type="paragraph" w:styleId="1128">
    <w:name w:val="Heading91"/>
    <w:basedOn w:val="962"/>
    <w:next w:val="962"/>
    <w:link w:val="962"/>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29">
    <w:name w:val="列出段落1"/>
    <w:basedOn w:val="962"/>
    <w:next w:val="1129"/>
    <w:link w:val="962"/>
    <w:uiPriority w:val="34"/>
    <w:qFormat/>
    <w:pPr>
      <w:ind w:firstLine="420"/>
      <w:widowControl w:val="off"/>
    </w:pPr>
    <w:rPr>
      <w:szCs w:val="20"/>
    </w:rPr>
  </w:style>
  <w:style w:type="paragraph" w:styleId="1130">
    <w:name w:val="UserStyle_57"/>
    <w:next w:val="962"/>
    <w:link w:val="962"/>
    <w:uiPriority w:val="99"/>
    <w:qFormat/>
    <w:rPr>
      <w:rFonts w:ascii="Arial" w:hAnsi="Arial"/>
      <w:sz w:val="22"/>
      <w:szCs w:val="22"/>
      <w:lang w:val="de-DE" w:eastAsia="de-DE" w:bidi="ar-SA"/>
    </w:rPr>
  </w:style>
  <w:style w:type="paragraph" w:styleId="1131">
    <w:name w:val="Heading41"/>
    <w:basedOn w:val="962"/>
    <w:next w:val="962"/>
    <w:link w:val="962"/>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32">
    <w:name w:val="HtmlNormal1"/>
    <w:basedOn w:val="962"/>
    <w:next w:val="1132"/>
    <w:link w:val="962"/>
    <w:uiPriority w:val="99"/>
    <w:qFormat/>
    <w:pPr>
      <w:jc w:val="left"/>
      <w:spacing w:before="100" w:beforeAutospacing="1" w:after="100" w:afterAutospacing="1"/>
    </w:pPr>
    <w:rPr>
      <w:rFonts w:ascii="宋体" w:hAnsi="宋体"/>
      <w:sz w:val="24"/>
    </w:rPr>
  </w:style>
  <w:style w:type="paragraph" w:styleId="1133">
    <w:name w:val="UserStyle_53"/>
    <w:basedOn w:val="1134"/>
    <w:next w:val="1002"/>
    <w:link w:val="962"/>
    <w:uiPriority w:val="99"/>
    <w:qFormat/>
    <w:pPr>
      <w:spacing w:before="156" w:after="156" w:line="360" w:lineRule="auto"/>
      <w:tabs>
        <w:tab w:val="left" w:pos="840" w:leader="none"/>
      </w:tabs>
    </w:pPr>
    <w:rPr>
      <w:bCs w:val="0"/>
      <w:sz w:val="24"/>
    </w:rPr>
  </w:style>
  <w:style w:type="paragraph" w:styleId="1134">
    <w:name w:val="Heading21"/>
    <w:basedOn w:val="962"/>
    <w:next w:val="962"/>
    <w:link w:val="962"/>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35">
    <w:name w:val="UserStyle_55"/>
    <w:basedOn w:val="962"/>
    <w:next w:val="1135"/>
    <w:link w:val="962"/>
    <w:uiPriority w:val="99"/>
    <w:qFormat/>
    <w:pPr>
      <w:contextualSpacing/>
      <w:ind w:left="720"/>
      <w:jc w:val="left"/>
    </w:pPr>
    <w:rPr>
      <w:rFonts w:ascii="Arial" w:hAnsi="Arial" w:eastAsia="黑体"/>
      <w:sz w:val="24"/>
      <w:lang w:eastAsia="en-US"/>
    </w:rPr>
  </w:style>
  <w:style w:type="paragraph" w:styleId="1136">
    <w:name w:val="xl68"/>
    <w:basedOn w:val="962"/>
    <w:next w:val="1136"/>
    <w:link w:val="9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7">
    <w:name w:val="UserStyle_78"/>
    <w:basedOn w:val="962"/>
    <w:next w:val="1137"/>
    <w:link w:val="962"/>
    <w:uiPriority w:val="99"/>
    <w:qFormat/>
    <w:pPr>
      <w:ind w:firstLine="567"/>
      <w:spacing w:line="480" w:lineRule="atLeast"/>
    </w:pPr>
    <w:rPr>
      <w:rFonts w:ascii="Ari" w:eastAsia="Times New Roman"/>
      <w:sz w:val="28"/>
      <w:szCs w:val="20"/>
    </w:rPr>
  </w:style>
  <w:style w:type="paragraph" w:styleId="1138">
    <w:name w:val="UserStyle_62"/>
    <w:basedOn w:val="962"/>
    <w:next w:val="1138"/>
    <w:link w:val="962"/>
    <w:uiPriority w:val="99"/>
    <w:qFormat/>
    <w:pPr>
      <w:ind w:left="600" w:hanging="600"/>
      <w:spacing w:line="420" w:lineRule="exact"/>
    </w:pPr>
    <w:rPr>
      <w:rFonts w:ascii="宋体" w:hAnsi="宋体"/>
      <w:color w:val="000000"/>
      <w:sz w:val="24"/>
      <w:szCs w:val="20"/>
    </w:rPr>
  </w:style>
  <w:style w:type="paragraph" w:styleId="1139">
    <w:name w:val="UserStyle_63"/>
    <w:basedOn w:val="962"/>
    <w:next w:val="1139"/>
    <w:link w:val="962"/>
    <w:uiPriority w:val="99"/>
    <w:qFormat/>
    <w:pPr>
      <w:ind w:firstLine="560"/>
      <w:jc w:val="left"/>
      <w:spacing w:line="460" w:lineRule="exact"/>
    </w:pPr>
    <w:rPr>
      <w:rFonts w:ascii="仿宋_GB2312" w:hAnsi="仿宋_GB2312" w:eastAsia="仿宋_GB2312"/>
      <w:sz w:val="28"/>
      <w:szCs w:val="20"/>
    </w:rPr>
  </w:style>
  <w:style w:type="paragraph" w:styleId="1140">
    <w:name w:val="Heading51"/>
    <w:basedOn w:val="962"/>
    <w:next w:val="962"/>
    <w:link w:val="962"/>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41">
    <w:name w:val="UserStyle_79"/>
    <w:basedOn w:val="962"/>
    <w:next w:val="1141"/>
    <w:link w:val="962"/>
    <w:uiPriority w:val="99"/>
    <w:qFormat/>
    <w:pPr>
      <w:jc w:val="left"/>
    </w:pPr>
    <w:rPr>
      <w:rFonts w:ascii="Calibri" w:hAnsi="Calibri"/>
      <w:sz w:val="22"/>
      <w:lang w:eastAsia="en-US"/>
    </w:rPr>
  </w:style>
  <w:style w:type="paragraph" w:styleId="1142">
    <w:name w:val="ListBullet1"/>
    <w:basedOn w:val="962"/>
    <w:next w:val="1142"/>
    <w:link w:val="962"/>
    <w:uiPriority w:val="99"/>
    <w:qFormat/>
    <w:pPr>
      <w:tabs>
        <w:tab w:val="left" w:pos="0" w:leader="none"/>
      </w:tabs>
    </w:pPr>
    <w:rPr>
      <w:szCs w:val="20"/>
    </w:rPr>
  </w:style>
  <w:style w:type="paragraph" w:styleId="1143">
    <w:name w:val="正文 New New New New New New New"/>
    <w:next w:val="1143"/>
    <w:link w:val="962"/>
    <w:uiPriority w:val="99"/>
    <w:qFormat/>
    <w:pPr>
      <w:jc w:val="both"/>
      <w:widowControl w:val="off"/>
    </w:pPr>
    <w:rPr>
      <w:sz w:val="21"/>
      <w:lang w:val="en-US" w:eastAsia="zh-CN" w:bidi="ar-SA"/>
    </w:rPr>
  </w:style>
  <w:style w:type="paragraph" w:styleId="1144">
    <w:name w:val="UserStyle_77"/>
    <w:basedOn w:val="962"/>
    <w:next w:val="1144"/>
    <w:link w:val="962"/>
    <w:uiPriority w:val="99"/>
    <w:qFormat/>
    <w:pPr>
      <w:ind w:left="360" w:hanging="360"/>
      <w:tabs>
        <w:tab w:val="left" w:pos="360" w:leader="none"/>
        <w:tab w:val="left" w:pos="1545" w:leader="none"/>
      </w:tabs>
    </w:pPr>
    <w:rPr>
      <w:szCs w:val="20"/>
    </w:rPr>
  </w:style>
  <w:style w:type="paragraph" w:styleId="1145">
    <w:name w:val="xl73"/>
    <w:basedOn w:val="962"/>
    <w:next w:val="1145"/>
    <w:link w:val="962"/>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46">
    <w:name w:val="正文（绿盟科技）"/>
    <w:next w:val="1146"/>
    <w:link w:val="962"/>
    <w:qFormat/>
    <w:pPr>
      <w:spacing w:line="300" w:lineRule="auto"/>
    </w:pPr>
    <w:rPr>
      <w:rFonts w:ascii="Arial" w:hAnsi="Arial" w:cs="黑体"/>
      <w:sz w:val="21"/>
      <w:szCs w:val="21"/>
      <w:lang w:val="en-US" w:eastAsia="zh-CN" w:bidi="ar-SA"/>
    </w:rPr>
  </w:style>
  <w:style w:type="paragraph" w:styleId="1147">
    <w:name w:val="Heading31"/>
    <w:basedOn w:val="962"/>
    <w:next w:val="962"/>
    <w:link w:val="962"/>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48">
    <w:name w:val="UserStyle_74"/>
    <w:basedOn w:val="962"/>
    <w:next w:val="1148"/>
    <w:link w:val="962"/>
    <w:uiPriority w:val="99"/>
    <w:qFormat/>
  </w:style>
  <w:style w:type="paragraph" w:styleId="1149">
    <w:name w:val="UserStyle_56"/>
    <w:basedOn w:val="1147"/>
    <w:next w:val="962"/>
    <w:link w:val="962"/>
    <w:uiPriority w:val="99"/>
    <w:qFormat/>
    <w:pPr>
      <w:spacing w:before="0" w:after="0" w:line="400" w:lineRule="exact"/>
      <w:tabs>
        <w:tab w:val="left" w:pos="1260" w:leader="none"/>
      </w:tabs>
    </w:pPr>
    <w:rPr>
      <w:rFonts w:eastAsia="黑体"/>
      <w:b w:val="0"/>
      <w:bCs w:val="0"/>
      <w:sz w:val="24"/>
      <w:szCs w:val="20"/>
    </w:rPr>
  </w:style>
  <w:style w:type="paragraph" w:styleId="1150">
    <w:name w:val="UserStyle_65"/>
    <w:basedOn w:val="962"/>
    <w:next w:val="1150"/>
    <w:link w:val="962"/>
    <w:uiPriority w:val="99"/>
    <w:qFormat/>
    <w:pPr>
      <w:ind w:firstLine="200"/>
    </w:pPr>
    <w:rPr>
      <w:sz w:val="24"/>
      <w:szCs w:val="20"/>
    </w:rPr>
  </w:style>
  <w:style w:type="paragraph" w:styleId="1151">
    <w:name w:val="UserStyle_60"/>
    <w:basedOn w:val="962"/>
    <w:next w:val="1151"/>
    <w:link w:val="962"/>
    <w:uiPriority w:val="99"/>
    <w:qFormat/>
    <w:pPr>
      <w:tabs>
        <w:tab w:val="left" w:pos="0" w:leader="none"/>
        <w:tab w:val="left" w:pos="420" w:leader="none"/>
        <w:tab w:val="left" w:pos="709" w:leader="none"/>
      </w:tabs>
    </w:pPr>
    <w:rPr>
      <w:rFonts w:ascii="宋体" w:hAnsi="宋体"/>
      <w:szCs w:val="20"/>
    </w:rPr>
  </w:style>
  <w:style w:type="paragraph" w:styleId="1152">
    <w:name w:val="UserStyle_71"/>
    <w:basedOn w:val="962"/>
    <w:next w:val="1152"/>
    <w:link w:val="962"/>
    <w:uiPriority w:val="99"/>
    <w:qFormat/>
    <w:rPr>
      <w:b/>
      <w:bCs/>
      <w:sz w:val="24"/>
    </w:rPr>
  </w:style>
  <w:style w:type="paragraph" w:styleId="1153">
    <w:name w:val="列表段落"/>
    <w:basedOn w:val="962"/>
    <w:next w:val="1153"/>
    <w:link w:val="962"/>
    <w:uiPriority w:val="34"/>
    <w:qFormat/>
    <w:pPr>
      <w:ind w:firstLine="420"/>
      <w:jc w:val="left"/>
    </w:pPr>
    <w:rPr>
      <w:rFonts w:ascii="宋体" w:hAnsi="宋体" w:cs="宋体"/>
      <w:sz w:val="24"/>
      <w:szCs w:val="20"/>
    </w:rPr>
  </w:style>
  <w:style w:type="paragraph" w:styleId="1154">
    <w:name w:val="UserStyle_67"/>
    <w:basedOn w:val="962"/>
    <w:next w:val="1154"/>
    <w:link w:val="962"/>
    <w:uiPriority w:val="99"/>
    <w:qFormat/>
    <w:pPr>
      <w:ind w:left="830" w:hanging="534"/>
      <w:jc w:val="left"/>
      <w:spacing w:line="480" w:lineRule="exact"/>
    </w:pPr>
    <w:rPr>
      <w:rFonts w:ascii="仿宋_GB2312" w:hAnsi="仿宋_GB2312" w:eastAsia="仿宋_GB2312"/>
      <w:sz w:val="28"/>
      <w:szCs w:val="20"/>
    </w:rPr>
  </w:style>
  <w:style w:type="paragraph" w:styleId="1155">
    <w:name w:val="UserStyle_69"/>
    <w:basedOn w:val="962"/>
    <w:next w:val="1155"/>
    <w:link w:val="962"/>
    <w:uiPriority w:val="99"/>
    <w:qFormat/>
    <w:pPr>
      <w:ind w:firstLine="200"/>
      <w:spacing w:line="360" w:lineRule="auto"/>
    </w:pPr>
    <w:rPr>
      <w:rFonts w:ascii="仿宋_GB2312" w:hAnsi="Calibri"/>
      <w:sz w:val="24"/>
      <w:szCs w:val="21"/>
    </w:rPr>
  </w:style>
  <w:style w:type="paragraph" w:styleId="1156">
    <w:name w:val="UserStyle_72"/>
    <w:basedOn w:val="962"/>
    <w:next w:val="1156"/>
    <w:link w:val="962"/>
    <w:uiPriority w:val="99"/>
    <w:qFormat/>
    <w:pPr>
      <w:jc w:val="left"/>
      <w:spacing w:before="100" w:beforeAutospacing="1" w:after="100" w:afterAutospacing="1"/>
    </w:pPr>
    <w:rPr>
      <w:rFonts w:ascii="宋体" w:hAnsi="宋体"/>
      <w:sz w:val="24"/>
    </w:rPr>
  </w:style>
  <w:style w:type="paragraph" w:styleId="1157">
    <w:name w:val="修订"/>
    <w:next w:val="1157"/>
    <w:link w:val="962"/>
    <w:uiPriority w:val="99"/>
    <w:semiHidden/>
    <w:rPr>
      <w:sz w:val="21"/>
      <w:szCs w:val="24"/>
      <w:lang w:val="en-US" w:eastAsia="zh-CN" w:bidi="ar-SA"/>
    </w:rPr>
  </w:style>
  <w:style w:type="paragraph" w:styleId="1158">
    <w:name w:val="UserStyle_64"/>
    <w:basedOn w:val="962"/>
    <w:next w:val="1158"/>
    <w:link w:val="962"/>
    <w:uiPriority w:val="99"/>
    <w:qFormat/>
    <w:pPr>
      <w:jc w:val="left"/>
      <w:spacing w:after="160" w:line="240" w:lineRule="exact"/>
    </w:pPr>
    <w:rPr>
      <w:rFonts w:ascii="Verdana" w:hAnsi="Verdana" w:eastAsia="仿宋_GB2312"/>
      <w:sz w:val="24"/>
      <w:szCs w:val="20"/>
      <w:lang w:eastAsia="en-US"/>
    </w:rPr>
  </w:style>
  <w:style w:type="paragraph" w:styleId="1159">
    <w:name w:val="xl69"/>
    <w:basedOn w:val="962"/>
    <w:next w:val="1159"/>
    <w:link w:val="9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0">
    <w:name w:val="正文_0"/>
    <w:next w:val="1160"/>
    <w:link w:val="962"/>
    <w:qFormat/>
    <w:pPr>
      <w:jc w:val="both"/>
      <w:widowControl w:val="off"/>
    </w:pPr>
    <w:rPr>
      <w:rFonts w:ascii="Calibri" w:hAnsi="Calibri"/>
      <w:lang w:val="en-US" w:eastAsia="zh-CN" w:bidi="ar-SA"/>
    </w:rPr>
  </w:style>
  <w:style w:type="paragraph" w:styleId="1161">
    <w:name w:val="Heading71"/>
    <w:basedOn w:val="962"/>
    <w:next w:val="962"/>
    <w:link w:val="962"/>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62">
    <w:name w:val="UserStyle_66"/>
    <w:basedOn w:val="962"/>
    <w:next w:val="1162"/>
    <w:link w:val="962"/>
    <w:uiPriority w:val="99"/>
    <w:qFormat/>
    <w:pPr>
      <w:jc w:val="left"/>
      <w:spacing w:after="160" w:line="240" w:lineRule="exact"/>
    </w:pPr>
  </w:style>
  <w:style w:type="paragraph" w:styleId="1163">
    <w:name w:val="xl70"/>
    <w:basedOn w:val="962"/>
    <w:next w:val="1163"/>
    <w:link w:val="9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name w:val="纯文本1"/>
    <w:basedOn w:val="962"/>
    <w:next w:val="1164"/>
    <w:link w:val="962"/>
    <w:qFormat/>
    <w:pPr>
      <w:widowControl w:val="off"/>
    </w:pPr>
    <w:rPr>
      <w:rFonts w:hint="eastAsia" w:ascii="宋体" w:hAnsi="Courier New" w:eastAsia="楷体_GB2312"/>
      <w:sz w:val="28"/>
      <w:szCs w:val="20"/>
    </w:rPr>
  </w:style>
  <w:style w:type="paragraph" w:styleId="1165">
    <w:name w:val="xl71"/>
    <w:basedOn w:val="962"/>
    <w:next w:val="1165"/>
    <w:link w:val="9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6">
    <w:name w:val="UserStyle_59"/>
    <w:basedOn w:val="962"/>
    <w:next w:val="1166"/>
    <w:link w:val="962"/>
    <w:uiPriority w:val="99"/>
    <w:qFormat/>
    <w:pPr>
      <w:contextualSpacing/>
      <w:ind w:left="720"/>
      <w:jc w:val="left"/>
    </w:pPr>
    <w:rPr>
      <w:rFonts w:ascii="Arial" w:hAnsi="Arial" w:eastAsia="黑体"/>
      <w:sz w:val="24"/>
      <w:lang w:eastAsia="en-US"/>
    </w:rPr>
  </w:style>
  <w:style w:type="paragraph" w:styleId="1167">
    <w:name w:val="xl74"/>
    <w:basedOn w:val="962"/>
    <w:next w:val="1167"/>
    <w:link w:val="962"/>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68">
    <w:name w:val="网格型21"/>
    <w:basedOn w:val="973"/>
    <w:next w:val="1168"/>
    <w:link w:val="962"/>
    <w:uiPriority w:val="39"/>
    <w:qFormat/>
    <w:tblPr/>
  </w:style>
  <w:style w:type="table" w:styleId="1169">
    <w:name w:val="TableNormal1"/>
    <w:next w:val="1169"/>
    <w:link w:val="962"/>
    <w:uiPriority w:val="99"/>
    <w:qFormat/>
    <w:rPr>
      <w:lang w:val="en-US" w:eastAsia="zh-CN" w:bidi="ar-SA"/>
    </w:rPr>
    <w:tblPr/>
  </w:style>
  <w:style w:type="table" w:styleId="1170">
    <w:name w:val="网格型2"/>
    <w:basedOn w:val="973"/>
    <w:next w:val="1170"/>
    <w:link w:val="962"/>
    <w:uiPriority w:val="39"/>
    <w:qFormat/>
    <w:rPr>
      <w:rFonts w:ascii="等线" w:hAnsi="等线" w:eastAsia="等线"/>
    </w:rPr>
    <w:tblPr/>
  </w:style>
  <w:style w:type="table" w:styleId="1171">
    <w:name w:val="TableGrid1"/>
    <w:basedOn w:val="1169"/>
    <w:next w:val="1171"/>
    <w:link w:val="962"/>
    <w:uiPriority w:val="99"/>
    <w:qFormat/>
    <w:tblPr/>
  </w:style>
  <w:style w:type="table" w:styleId="1172">
    <w:name w:val="网格型3"/>
    <w:basedOn w:val="973"/>
    <w:next w:val="1172"/>
    <w:link w:val="962"/>
    <w:uiPriority w:val="39"/>
    <w:rPr>
      <w:rFonts w:ascii="等线" w:hAnsi="等线" w:eastAsia="等线" w:cs="Times New Roman"/>
      <w:sz w:val="21"/>
      <w:szCs w:val="24"/>
    </w:rPr>
    <w:tblPr/>
  </w:style>
  <w:style w:type="table" w:styleId="1173">
    <w:name w:val="网格型1"/>
    <w:next w:val="1173"/>
    <w:link w:val="962"/>
    <w:uiPriority w:val="99"/>
    <w:qFormat/>
    <w:pPr>
      <w:jc w:val="both"/>
      <w:widowControl w:val="off"/>
    </w:pPr>
    <w:rPr>
      <w:lang w:val="en-US" w:eastAsia="zh-CN" w:bidi="ar-SA"/>
    </w:rPr>
    <w:tblPr/>
  </w:style>
  <w:style w:type="character" w:styleId="1174">
    <w:name w:val="active16"/>
    <w:next w:val="1174"/>
    <w:link w:val="962"/>
    <w:rPr>
      <w:color w:val="ffffff"/>
      <w:shd w:val="clear" w:color="auto" w:fill="0f5bb9"/>
    </w:rPr>
  </w:style>
  <w:style w:type="paragraph" w:styleId="1175">
    <w:name w:val="AONormal"/>
    <w:next w:val="1175"/>
    <w:link w:val="962"/>
    <w:qFormat/>
    <w:pPr>
      <w:ind w:firstLine="440"/>
      <w:spacing w:line="400" w:lineRule="exact"/>
    </w:pPr>
    <w:rPr>
      <w:rFonts w:ascii="华文楷体" w:hAnsi="华文楷体" w:eastAsia="华文楷体" w:cs="华文楷体"/>
      <w:sz w:val="22"/>
      <w:szCs w:val="21"/>
      <w:lang w:val="en-US" w:eastAsia="zh-CN" w:bidi="ar-SA"/>
    </w:rPr>
  </w:style>
  <w:style w:type="paragraph" w:styleId="1176">
    <w:name w:val="1.1"/>
    <w:basedOn w:val="962"/>
    <w:next w:val="962"/>
    <w:link w:val="962"/>
    <w:qFormat/>
    <w:pPr>
      <w:spacing w:line="360" w:lineRule="auto"/>
      <w:outlineLvl w:val="1"/>
    </w:pPr>
    <w:rPr>
      <w:rFonts w:ascii="Cambria" w:hAnsi="Cambria" w:eastAsia="黑体"/>
      <w:b/>
      <w:sz w:val="36"/>
    </w:rPr>
  </w:style>
  <w:style w:type="table" w:styleId="1177">
    <w:name w:val="网格型4"/>
    <w:basedOn w:val="973"/>
    <w:next w:val="1177"/>
    <w:link w:val="962"/>
    <w:qFormat/>
    <w:pPr>
      <w:jc w:val="both"/>
      <w:widowControl w:val="off"/>
    </w:pPr>
    <w:tblPr/>
  </w:style>
  <w:style w:type="paragraph" w:styleId="1178">
    <w:name w:val="正文 A"/>
    <w:next w:val="1178"/>
    <w:link w:val="962"/>
    <w:uiPriority w:val="99"/>
    <w:qFormat/>
    <w:rPr>
      <w:rFonts w:ascii="Arial Unicode MS" w:hAnsi="Arial Unicode MS" w:cs="Arial Unicode MS"/>
      <w:color w:val="000000"/>
      <w:lang w:val="en-US" w:eastAsia="zh-CN" w:bidi="ar-SA"/>
    </w:rPr>
  </w:style>
  <w:style w:type="character" w:styleId="1179" w:default="1">
    <w:name w:val="Default Paragraph Font"/>
    <w:uiPriority w:val="1"/>
    <w:semiHidden/>
    <w:unhideWhenUsed/>
  </w:style>
  <w:style w:type="numbering" w:styleId="1180" w:default="1">
    <w:name w:val="No List"/>
    <w:uiPriority w:val="99"/>
    <w:semiHidden/>
    <w:unhideWhenUsed/>
  </w:style>
  <w:style w:type="table" w:styleId="118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22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1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546"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51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6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6</cp:revision>
  <dcterms:created xsi:type="dcterms:W3CDTF">2025-06-10T07:37:00Z</dcterms:created>
  <dcterms:modified xsi:type="dcterms:W3CDTF">2026-04-13T01:59:37Z</dcterms:modified>
</cp:coreProperties>
</file>