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南京脑科医院（胸科院区）</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高端CT维保</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JSZC-320100-NJXD-G2026-0028</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7"/>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7"/>
        <w:jc w:val="center"/>
        <w:spacing w:line="240" w:lineRule="auto"/>
        <w:rPr>
          <w:highlight w:val="none"/>
        </w:rPr>
      </w:pPr>
      <w:r/>
      <w:bookmarkStart w:id="5" w:name="_Toc12815"/>
      <w:r/>
      <w:bookmarkStart w:id="82" w:name="_GoBack"/>
      <w:r/>
      <w:bookmarkEnd w:id="82"/>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南京脑科医院（胸科院区）高端CT维保</w:t>
      </w:r>
      <w:r>
        <w:rPr>
          <w:rFonts w:hint="eastAsia" w:ascii="仿宋" w:hAnsi="仿宋" w:eastAsia="仿宋" w:cs="仿宋"/>
          <w:color w:val="000000"/>
          <w:highlight w:val="none"/>
          <w:lang w:eastAsia="zh-CN"/>
        </w:rPr>
        <w:t xml:space="preserve">JSZC-320100-NJXD-G2026-0028</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5月20日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JSZC-320100-NJXD-G2026-0028</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南京脑科医院（胸科院区）高端CT维保</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345</w:t>
      </w:r>
      <w:r>
        <w:rPr>
          <w:rFonts w:hint="eastAsia" w:ascii="仿宋" w:hAnsi="仿宋" w:eastAsia="仿宋" w:cs="仿宋"/>
          <w:highlight w:val="none"/>
        </w:rPr>
        <w:t xml:space="preserve">万元/3年</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115万元/1年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（四）最高限价：345万元/3年；115万元/1年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南京脑科医院（胸科院区）</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高端CT维保</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本项目为一招三年项目，服务期限为3年，合同一年一签。</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投标人须提供有效期内的《医疗器械经营许可证》</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highlight w:val="none"/>
        </w:rPr>
        <w:t xml:space="preserve">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5月20日14:30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联系人：陈老师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7"/>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38"/>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1"/>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本项目采购代理服务费以一年中标金额为基数，按计价格〔2002〕1980号文的65%收取，不足3500按3500计取，在领取中标通知书前一次性缴纳。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38"/>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38"/>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8"/>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38"/>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20823298"/>
      <w:r/>
      <w:bookmarkEnd w:id="29"/>
      <w:r/>
      <w:bookmarkStart w:id="30" w:name="_Toc16938542"/>
      <w:r/>
      <w:bookmarkEnd w:id="30"/>
      <w:r/>
      <w:bookmarkStart w:id="31" w:name="_Toc513029226"/>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38"/>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8"/>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8"/>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38"/>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38"/>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9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8"/>
        <w:keepLines w:val="0"/>
        <w:keepNext w:val="0"/>
        <w:spacing w:before="0" w:after="0" w:line="520" w:lineRule="exact"/>
        <w:rPr>
          <w:highlight w:val="none"/>
        </w:rPr>
        <w:outlineLvl w:val="9"/>
      </w:pPr>
      <w:r/>
      <w:bookmarkStart w:id="43" w:name="_Toc23826"/>
      <w:r/>
      <w:r/>
    </w:p>
    <w:p>
      <w:pPr>
        <w:pStyle w:val="938"/>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019"/>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37"/>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37"/>
        <w:jc w:val="center"/>
        <w:spacing w:before="160" w:after="150" w:line="240" w:lineRule="auto"/>
        <w:rPr>
          <w:highlight w:val="none"/>
        </w:rPr>
      </w:pPr>
      <w:r/>
      <w:bookmarkStart w:id="47" w:name="_Toc20319"/>
      <w:r/>
      <w:bookmarkStart w:id="48" w:name="_Toc30821"/>
      <w:r>
        <w:rPr>
          <w:rFonts w:hint="eastAsia"/>
          <w:highlight w:val="none"/>
        </w:rPr>
        <w:t xml:space="preserve">第四部分  采购需求</w:t>
      </w:r>
      <w:bookmarkEnd w:id="47"/>
      <w:r/>
      <w:bookmarkEnd w:id="48"/>
      <w:r/>
      <w:r/>
    </w:p>
    <w:p>
      <w:pPr>
        <w:jc w:val="center"/>
        <w:keepLines w:val="0"/>
        <w:keepNext w:val="0"/>
        <w:pageBreakBefore w:val="0"/>
        <w:spacing w:line="440" w:lineRule="exact"/>
        <w:rPr>
          <w:rFonts w:hint="eastAsia" w:ascii="仿宋" w:hAnsi="仿宋" w:eastAsia="仿宋" w:cs="仿宋"/>
          <w:b/>
          <w:color w:val="000000"/>
          <w:sz w:val="36"/>
          <w:szCs w:val="36"/>
        </w:rPr>
      </w:pPr>
      <w:r/>
      <w:bookmarkStart w:id="49" w:name="_Toc3358"/>
      <w:r>
        <w:rPr>
          <w:rFonts w:hint="eastAsia" w:ascii="仿宋" w:hAnsi="仿宋" w:eastAsia="仿宋" w:cs="仿宋"/>
          <w:b/>
          <w:color w:val="000000"/>
          <w:sz w:val="36"/>
          <w:szCs w:val="36"/>
        </w:rPr>
        <w:t xml:space="preserve">一、需求一览表</w:t>
      </w:r>
      <w:r/>
    </w:p>
    <w:tbl>
      <w:tblPr>
        <w:tblStyle w:val="741"/>
        <w:tblpPr w:horzAnchor="margin" w:tblpXSpec="center" w:vertAnchor="text" w:tblpY="158" w:leftFromText="180" w:topFromText="0" w:rightFromText="180" w:bottomFromText="0"/>
        <w:tblW w:w="8966" w:type="dxa"/>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499"/>
        <w:gridCol w:w="3737"/>
        <w:gridCol w:w="1873"/>
      </w:tblGrid>
      <w:tr>
        <w:trPr>
          <w:trHeight w:val="567"/>
        </w:trPr>
        <w:tc>
          <w:tcPr>
            <w:tcW w:w="857"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2499"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项目</w:t>
            </w:r>
            <w:r>
              <w:rPr>
                <w:rFonts w:hint="eastAsia" w:ascii="仿宋" w:hAnsi="仿宋" w:eastAsia="仿宋" w:cs="仿宋"/>
                <w:b/>
                <w:sz w:val="24"/>
                <w:szCs w:val="24"/>
              </w:rPr>
              <w:t xml:space="preserve">名称</w:t>
            </w:r>
            <w:r/>
          </w:p>
        </w:tc>
        <w:tc>
          <w:tcPr>
            <w:tcW w:w="3737" w:type="dxa"/>
            <w:vAlign w:val="center"/>
            <w:textDirection w:val="lrTb"/>
            <w:noWrap w:val="false"/>
          </w:tcPr>
          <w:p>
            <w:pPr>
              <w:jc w:val="center"/>
              <w:keepLines w:val="0"/>
              <w:keepNext w:val="0"/>
              <w:pageBreakBefore w:val="0"/>
              <w:spacing w:line="440" w:lineRule="exact"/>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维保</w:t>
            </w:r>
            <w:r>
              <w:rPr>
                <w:rFonts w:hint="eastAsia" w:ascii="仿宋" w:hAnsi="仿宋" w:eastAsia="仿宋" w:cs="仿宋"/>
                <w:b/>
                <w:sz w:val="24"/>
                <w:szCs w:val="24"/>
              </w:rPr>
              <w:t xml:space="preserve">设备</w:t>
            </w:r>
            <w:r>
              <w:rPr>
                <w:rFonts w:hint="eastAsia" w:ascii="仿宋" w:hAnsi="仿宋" w:eastAsia="仿宋" w:cs="仿宋"/>
                <w:b/>
                <w:sz w:val="24"/>
                <w:szCs w:val="24"/>
                <w:lang w:val="en-US" w:eastAsia="zh-CN"/>
              </w:rPr>
              <w:t xml:space="preserve">品牌型号</w:t>
            </w:r>
            <w:r/>
          </w:p>
        </w:tc>
        <w:tc>
          <w:tcPr>
            <w:tcW w:w="1873"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服务期</w:t>
            </w:r>
            <w:r/>
          </w:p>
        </w:tc>
      </w:tr>
      <w:tr>
        <w:trPr>
          <w:trHeight w:val="509"/>
        </w:trPr>
        <w:tc>
          <w:tcPr>
            <w:tcW w:w="857"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24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color w:val="000000"/>
                <w:sz w:val="24"/>
                <w:szCs w:val="24"/>
              </w:rPr>
              <w:t xml:space="preserve">高端CT维保</w:t>
            </w:r>
            <w:r/>
          </w:p>
        </w:tc>
        <w:tc>
          <w:tcPr>
            <w:tcW w:w="3737"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bCs/>
                <w:sz w:val="24"/>
                <w:szCs w:val="24"/>
              </w:rPr>
              <w:t xml:space="preserve">飞利浦Brilliance iCT</w:t>
            </w:r>
            <w:r/>
          </w:p>
        </w:tc>
        <w:tc>
          <w:tcPr>
            <w:tcW w:w="18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3年</w:t>
            </w:r>
            <w:r/>
          </w:p>
        </w:tc>
      </w:tr>
    </w:tbl>
    <w:p>
      <w:pPr>
        <w:keepLines w:val="0"/>
        <w:keepNext w:val="0"/>
        <w:pageBreakBefore w:val="0"/>
        <w:spacing w:line="44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keepLines w:val="0"/>
        <w:keepNext w:val="0"/>
        <w:pageBreakBefore w:val="0"/>
        <w:spacing w:line="440" w:lineRule="exact"/>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二、</w:t>
      </w:r>
      <w:r>
        <w:rPr>
          <w:rFonts w:hint="default" w:ascii="仿宋" w:hAnsi="仿宋" w:eastAsia="仿宋" w:cs="仿宋"/>
          <w:b/>
          <w:color w:val="000000"/>
          <w:sz w:val="36"/>
          <w:szCs w:val="36"/>
          <w:lang w:val="en-US"/>
        </w:rPr>
        <w:t xml:space="preserve">技术参数及</w:t>
      </w:r>
      <w:r>
        <w:rPr>
          <w:rFonts w:hint="eastAsia" w:ascii="仿宋" w:hAnsi="仿宋" w:eastAsia="仿宋" w:cs="仿宋"/>
          <w:b/>
          <w:color w:val="000000"/>
          <w:sz w:val="36"/>
          <w:szCs w:val="36"/>
          <w:lang w:val="en-US" w:eastAsia="zh-CN"/>
        </w:rPr>
        <w:t xml:space="preserve">服务</w:t>
      </w:r>
      <w:r>
        <w:rPr>
          <w:rFonts w:hint="eastAsia" w:ascii="仿宋" w:hAnsi="仿宋" w:eastAsia="仿宋" w:cs="仿宋"/>
          <w:b/>
          <w:color w:val="000000"/>
          <w:sz w:val="36"/>
          <w:szCs w:val="36"/>
        </w:rPr>
        <w:t xml:space="preserve">要求</w:t>
      </w:r>
      <w:r>
        <w:rPr>
          <w:rFonts w:hint="eastAsia" w:ascii="仿宋" w:hAnsi="仿宋" w:eastAsia="仿宋" w:cs="仿宋"/>
          <w:b/>
          <w:color w:val="000000"/>
          <w:sz w:val="36"/>
          <w:szCs w:val="36"/>
        </w:rPr>
        <w:t xml:space="preserve">（逐一应答）</w:t>
      </w:r>
      <w:r/>
    </w:p>
    <w:p>
      <w:pPr>
        <w:jc w:val="center"/>
        <w:keepLines w:val="0"/>
        <w:keepNext w:val="0"/>
        <w:pageBreakBefore w:val="0"/>
        <w:spacing w:line="44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left="1"/>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val="0"/>
          <w:bCs/>
          <w:color w:val="000000"/>
          <w:sz w:val="24"/>
          <w:szCs w:val="24"/>
          <w:lang w:eastAsia="zh-CN"/>
        </w:rPr>
        <w:t xml:space="preserve">★</w:t>
      </w:r>
      <w:r>
        <w:rPr>
          <w:rFonts w:hint="eastAsia" w:ascii="仿宋" w:hAnsi="仿宋" w:eastAsia="仿宋" w:cs="仿宋"/>
          <w:b/>
          <w:color w:val="000000"/>
          <w:sz w:val="24"/>
          <w:szCs w:val="24"/>
        </w:rPr>
        <w:t xml:space="preserve">（一）</w:t>
      </w:r>
      <w:r>
        <w:rPr>
          <w:rFonts w:hint="eastAsia" w:ascii="仿宋" w:hAnsi="仿宋" w:eastAsia="仿宋" w:cs="仿宋"/>
          <w:b/>
          <w:bCs/>
          <w:sz w:val="24"/>
          <w:szCs w:val="24"/>
        </w:rPr>
        <w:t xml:space="preserve">保养步骤及更换备件的基本要求</w:t>
      </w:r>
      <w:r>
        <w:rPr>
          <w:rFonts w:hint="eastAsia" w:ascii="仿宋" w:hAnsi="仿宋" w:eastAsia="仿宋" w:cs="仿宋"/>
          <w:b/>
          <w:color w:val="000000"/>
          <w:sz w:val="24"/>
          <w:szCs w:val="24"/>
        </w:rPr>
        <w:t xml:space="preserve">  </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服务内容：全保（包含球管，探测器），提供设备的安全检查，影像质量检查，设备除尘保养，运行状态检查，提供定期维护保养报告，远程服务, 远程应用支持，所保设备保证备件的存储并优先提供备件的发货。</w:t>
      </w:r>
      <w:r/>
    </w:p>
    <w:p>
      <w:pPr>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0"/>
        <w:jc w:val="both"/>
        <w:keepLines w:val="0"/>
        <w:keepNext w:val="0"/>
        <w:pageBreakBefore w:val="0"/>
        <w:spacing w:line="44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（二）服务要求</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投标人为原厂或原厂正规授权代理商。</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需配备不少于3名的专职设备服务工程师，并提供经原厂培训资质证明原件或复印件加盖</w:t>
      </w:r>
      <w:r>
        <w:rPr>
          <w:rFonts w:hint="eastAsia" w:ascii="仿宋" w:hAnsi="仿宋" w:eastAsia="仿宋" w:cs="仿宋"/>
          <w:sz w:val="24"/>
          <w:szCs w:val="24"/>
          <w:lang w:val="en-US" w:eastAsia="zh-CN"/>
        </w:rPr>
        <w:t xml:space="preserve">公章</w:t>
      </w:r>
      <w:r>
        <w:rPr>
          <w:rFonts w:hint="eastAsia" w:ascii="仿宋" w:hAnsi="仿宋" w:eastAsia="仿宋" w:cs="仿宋"/>
          <w:sz w:val="24"/>
          <w:szCs w:val="24"/>
        </w:rPr>
        <w:t xml:space="preserve">。</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提供24小时800或400免费维修服务热线，免费提供远程诊断功能，能实现远程可视化中央控制、实施管理，对故障有预判性，可远程处理简单故障。</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用户报修电话响应时间：1小时内，现场维修响应时间：24个小时内。</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提供备件库情况证明文件，并提供同型号CT XS TUBE球管等重要备件的报关单原件或复印件加盖公章。</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投标人所提供的备件必须是原厂的合格零备件，以满足设备运行要求，不会给设备带来安全隐患。</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免费提供设备的系统软件及硬件的安全性改版升级和技术支持；并保证所有系统软件（非新增加功能软件）为最新版本。</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本项目涉及更换球管、探测器、高压模块等重要零配件时，</w:t>
      </w:r>
      <w:r>
        <w:rPr>
          <w:rFonts w:hint="eastAsia" w:ascii="仿宋" w:hAnsi="仿宋" w:eastAsia="仿宋" w:cs="仿宋"/>
          <w:sz w:val="24"/>
          <w:szCs w:val="24"/>
          <w:lang w:val="en-US" w:eastAsia="zh-CN"/>
        </w:rPr>
        <w:t xml:space="preserve">中标人</w:t>
      </w:r>
      <w:r>
        <w:rPr>
          <w:rFonts w:hint="eastAsia" w:ascii="仿宋" w:hAnsi="仿宋" w:eastAsia="仿宋" w:cs="仿宋"/>
          <w:sz w:val="24"/>
          <w:szCs w:val="24"/>
        </w:rPr>
        <w:t xml:space="preserve">需提供零配件的报关单备查。</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确保设备开机率达到95%以上（按照365天/年计），即正常开机达到347天/年，停机不超过18天/年。</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系统保养：</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1）对保修设备及相关配套设备作出日常保养计划，定期进行保养、维护，并做好记录。</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2）可对</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工程技术人员进行培训，以便及时处理简单故障保证设备正常使用。</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3）每年为保修设备提供肆次维护保养服务，并做好记录（设备清洁、性能测试及校准、必要的机械或电气的检查，根据采购人要求对设备的数据进行备份。根据采购人要求的时间段，进行保养工作。）。</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4）年检时，中标人负责机器调试到最佳状态，保证全部检测指标达国家标准，保证该设备能通过相关专业检测，并提供当年的系统状态报告。</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5）保修期内提供不限次数现场维修，免费更换所含备件。</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6）所保设备提供系统及配套设备的相关软件、数字备份，并建立档案。</w:t>
      </w:r>
      <w:r/>
    </w:p>
    <w:p>
      <w:pPr>
        <w:ind w:firstLine="0"/>
        <w:jc w:val="both"/>
        <w:keepLines w:val="0"/>
        <w:keepNext w:val="0"/>
        <w:pageBreakBefore w:val="0"/>
        <w:spacing w:line="44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r>
      <w:r/>
    </w:p>
    <w:p>
      <w:pP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val="0"/>
          <w:bCs/>
          <w:sz w:val="24"/>
          <w:szCs w:val="24"/>
          <w:lang w:eastAsia="zh-CN"/>
        </w:rPr>
        <w:t xml:space="preserve">★</w:t>
      </w:r>
      <w:r>
        <w:rPr>
          <w:rFonts w:hint="eastAsia" w:ascii="仿宋" w:hAnsi="仿宋" w:eastAsia="仿宋" w:cs="仿宋"/>
          <w:b/>
          <w:sz w:val="24"/>
          <w:szCs w:val="24"/>
        </w:rPr>
        <w:t xml:space="preserve">（三）付款条件：</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自合同签订，维保服务六个月后支付本年度合同金额的50%，本年度维保期满后支付本年度剩余50%合同款。</w:t>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val="0"/>
          <w:bCs/>
          <w:color w:val="000000"/>
          <w:sz w:val="24"/>
          <w:szCs w:val="24"/>
          <w:lang w:eastAsia="zh-CN"/>
        </w:rPr>
        <w:t xml:space="preserve">★</w:t>
      </w:r>
      <w:r>
        <w:rPr>
          <w:rFonts w:hint="eastAsia" w:ascii="仿宋" w:hAnsi="仿宋" w:eastAsia="仿宋" w:cs="仿宋"/>
          <w:b/>
          <w:color w:val="000000"/>
          <w:sz w:val="24"/>
          <w:szCs w:val="24"/>
        </w:rPr>
        <w:t xml:space="preserve">（四）</w:t>
      </w:r>
      <w:bookmarkStart w:id="50" w:name="OLE_LINK4"/>
      <w:r/>
      <w:bookmarkStart w:id="51" w:name="OLE_LINK3"/>
      <w:r>
        <w:rPr>
          <w:rFonts w:hint="eastAsia" w:ascii="仿宋" w:hAnsi="仿宋" w:eastAsia="仿宋" w:cs="仿宋"/>
          <w:b/>
          <w:sz w:val="24"/>
          <w:szCs w:val="24"/>
        </w:rPr>
        <w:t xml:space="preserve">服务期限：3年</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本项目为一招三年项目，服务期限为3年，合同一年一签。</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合同采取一年一延续。院方对中标单位服务质量一年一考核，经院方根据合同中考核条款考核合格后，合同继续履行一年，双方签订延续合同；如院方考核不合格，考核期结束后，合同自动终止。</w:t>
      </w:r>
      <w:bookmarkEnd w:id="50"/>
      <w:r/>
      <w:bookmarkEnd w:id="51"/>
      <w:r/>
      <w:r/>
    </w:p>
    <w:p>
      <w:pP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r>
      <w:r/>
    </w:p>
    <w:p>
      <w:pP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考核表详见附表：医疗设备维保服务供应商履约评价表</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val="0"/>
          <w:bCs w:val="0"/>
          <w:sz w:val="24"/>
          <w:szCs w:val="24"/>
        </w:rPr>
      </w:pPr>
      <w:r/>
      <w:bookmarkStart w:id="52" w:name="OLE_LINK8"/>
      <w:r/>
      <w:bookmarkStart w:id="53" w:name="OLE_LINK7"/>
      <w:r>
        <w:rPr>
          <w:rFonts w:hint="eastAsia" w:ascii="仿宋" w:hAnsi="仿宋" w:eastAsia="仿宋" w:cs="仿宋"/>
          <w:b w:val="0"/>
          <w:bCs w:val="0"/>
          <w:sz w:val="24"/>
          <w:szCs w:val="24"/>
        </w:rPr>
        <w:br w:type="page" w:clear="all"/>
      </w:r>
      <w:r/>
    </w:p>
    <w:p>
      <w:pPr>
        <w:keepLines w:val="0"/>
        <w:keepNext w:val="0"/>
        <w:pageBreakBefore w:val="0"/>
        <w:spacing w:line="44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附表：医疗设备维保服务供应商履约评价表</w:t>
      </w:r>
      <w:bookmarkEnd w:id="52"/>
      <w:r/>
      <w:bookmarkEnd w:id="53"/>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41"/>
        <w:tblW w:w="9226" w:type="dxa"/>
        <w:jc w:val="center"/>
        <w:tblLayout w:type="fixed"/>
        <w:tblCellMar>
          <w:left w:w="108" w:type="dxa"/>
          <w:top w:w="0" w:type="dxa"/>
          <w:right w:w="108" w:type="dxa"/>
          <w:bottom w:w="0" w:type="dxa"/>
        </w:tblCellMar>
        <w:tblLook w:val="04A0" w:firstRow="1" w:lastRow="0" w:firstColumn="1" w:lastColumn="0" w:noHBand="0" w:noVBand="1"/>
      </w:tblPr>
      <w:tblGrid>
        <w:gridCol w:w="2387"/>
        <w:gridCol w:w="3995"/>
        <w:gridCol w:w="1832"/>
        <w:gridCol w:w="1012"/>
      </w:tblGrid>
      <w:tr>
        <w:trPr>
          <w:jc w:val="center"/>
          <w:trHeight w:val="739"/>
        </w:trPr>
        <w:tc>
          <w:tcPr>
            <w:gridSpan w:val="4"/>
            <w:shd w:val="clear" w:color="auto" w:fill="auto"/>
            <w:tcBorders>
              <w:top w:val="single" w:color="auto" w:sz="4" w:space="0"/>
              <w:left w:val="single" w:color="auto" w:sz="4" w:space="0"/>
              <w:bottom w:val="single" w:color="auto" w:sz="4" w:space="0"/>
              <w:right w:val="single" w:color="000000" w:sz="4" w:space="0"/>
            </w:tcBorders>
            <w:tcW w:w="9226"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医疗设备维保服务供应商履约评价表</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w:t>
            </w:r>
            <w:r/>
          </w:p>
        </w:tc>
        <w:tc>
          <w:tcPr>
            <w:gridSpan w:val="3"/>
            <w:shd w:val="clear" w:color="auto" w:fill="auto"/>
            <w:tcBorders>
              <w:top w:val="single" w:color="auto" w:sz="4" w:space="0"/>
              <w:left w:val="none" w:color="000000" w:sz="4" w:space="0"/>
              <w:bottom w:val="single" w:color="auto" w:sz="4" w:space="0"/>
              <w:right w:val="single" w:color="000000" w:sz="4" w:space="0"/>
            </w:tcBorders>
            <w:tcW w:w="68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使用科室：</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设备型号：</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起止日期：</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售后服务总体评价：</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合格□    不合格□</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服务评分标准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得分</w:t>
            </w:r>
            <w:r/>
          </w:p>
        </w:tc>
      </w:tr>
      <w:tr>
        <w:trPr>
          <w:jc w:val="center"/>
          <w:trHeight w:val="1140"/>
        </w:trPr>
        <w:tc>
          <w:tcPr>
            <w:shd w:val="clear" w:color="auto" w:fill="auto"/>
            <w:tcBorders>
              <w:top w:val="none" w:color="000000" w:sz="4" w:space="0"/>
              <w:left w:val="single" w:color="auto" w:sz="4" w:space="0"/>
              <w:bottom w:val="none" w:color="000000" w:sz="4" w:space="0"/>
              <w:right w:val="single" w:color="auto" w:sz="4" w:space="0"/>
            </w:tcBorders>
            <w:tcW w:w="2387" w:type="dxa"/>
            <w:vAlign w:val="center"/>
            <w:vMerge w:val="restart"/>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具体评价内容</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1、服务及时性 （在合同和投标文件中约定的时间内响应服务要求，超时一次扣5分，扣完为止。）</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1122"/>
        </w:trPr>
        <w:tc>
          <w:tcPr>
            <w:tcBorders>
              <w:top w:val="none" w:color="000000" w:sz="4" w:space="0"/>
              <w:left w:val="single" w:color="auto" w:sz="4" w:space="0"/>
              <w:bottom w:val="none" w:color="000000" w:sz="4" w:space="0"/>
              <w:right w:val="single" w:color="auto" w:sz="4" w:space="0"/>
            </w:tcBorders>
            <w:tcW w:w="2387" w:type="dxa"/>
            <w:vAlign w:val="center"/>
            <w:vMerge w:val="continue"/>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2、服务有效性（在合同和投标文件中约定的时间内完成故障修复，超时一次扣5分，扣完为止。）</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859"/>
        </w:trPr>
        <w:tc>
          <w:tcPr>
            <w:tcBorders>
              <w:top w:val="none" w:color="000000" w:sz="4" w:space="0"/>
              <w:left w:val="single" w:color="auto" w:sz="4" w:space="0"/>
              <w:bottom w:val="none" w:color="000000" w:sz="4" w:space="0"/>
              <w:right w:val="single" w:color="auto" w:sz="4" w:space="0"/>
            </w:tcBorders>
            <w:tcW w:w="2387" w:type="dxa"/>
            <w:vAlign w:val="center"/>
            <w:vMerge w:val="continue"/>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3、服务态度（因服务态度问题被用户投诉（经核实有效的投诉）一次扣5分，扣完为止）</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960"/>
        </w:trPr>
        <w:tc>
          <w:tcPr>
            <w:tcBorders>
              <w:top w:val="none" w:color="000000" w:sz="4" w:space="0"/>
              <w:left w:val="single" w:color="auto" w:sz="4" w:space="0"/>
              <w:bottom w:val="none" w:color="000000" w:sz="4" w:space="0"/>
              <w:right w:val="single" w:color="auto" w:sz="4" w:space="0"/>
            </w:tcBorders>
            <w:tcW w:w="2387" w:type="dxa"/>
            <w:vAlign w:val="center"/>
            <w:vMerge w:val="continue"/>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4、服务频次≥2（按合同和投标文件中约定完成定期巡检，遗漏一次扣10分，扣完为止。）</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1122"/>
        </w:trPr>
        <w:tc>
          <w:tcPr>
            <w:tcBorders>
              <w:top w:val="none" w:color="000000" w:sz="4" w:space="0"/>
              <w:left w:val="single" w:color="auto" w:sz="4" w:space="0"/>
              <w:bottom w:val="none" w:color="000000" w:sz="4" w:space="0"/>
              <w:right w:val="single" w:color="auto" w:sz="4" w:space="0"/>
            </w:tcBorders>
            <w:tcW w:w="2387" w:type="dxa"/>
            <w:vAlign w:val="center"/>
            <w:vMerge w:val="continue"/>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5、服务档案记录（按要求准确、及时地提交服务日志、巡检报告等文档，缺失一份或文档内容不符合要求扣5分，扣完为止。）</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single" w:color="auto"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总分（60分合格）</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扣分说明：</w:t>
            </w:r>
            <w:r/>
          </w:p>
        </w:tc>
        <w:tc>
          <w:tcPr>
            <w:gridSpan w:val="3"/>
            <w:shd w:val="clear" w:color="auto" w:fill="auto"/>
            <w:tcBorders>
              <w:top w:val="single" w:color="auto" w:sz="4" w:space="0"/>
              <w:left w:val="none" w:color="000000" w:sz="4" w:space="0"/>
              <w:bottom w:val="single" w:color="auto" w:sz="4" w:space="0"/>
              <w:right w:val="single" w:color="000000" w:sz="4" w:space="0"/>
            </w:tcBorders>
            <w:tcW w:w="6839"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2387"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使用科室签名：</w:t>
            </w:r>
            <w:r/>
          </w:p>
        </w:tc>
        <w:tc>
          <w:tcPr>
            <w:shd w:val="clear" w:color="auto" w:fill="auto"/>
            <w:tcBorders>
              <w:top w:val="none" w:color="000000" w:sz="4" w:space="0"/>
              <w:left w:val="none" w:color="000000" w:sz="4" w:space="0"/>
              <w:bottom w:val="single" w:color="auto" w:sz="4" w:space="0"/>
              <w:right w:val="single" w:color="auto" w:sz="4" w:space="0"/>
            </w:tcBorders>
            <w:tcW w:w="399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32" w:type="dxa"/>
            <w:vAlign w:val="center"/>
            <w:textDirection w:val="lrTb"/>
            <w:noWrap/>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设备科签名:</w:t>
            </w:r>
            <w:r/>
          </w:p>
        </w:tc>
        <w:tc>
          <w:tcPr>
            <w:shd w:val="clear" w:color="auto" w:fill="auto"/>
            <w:tcBorders>
              <w:top w:val="none" w:color="000000" w:sz="4" w:space="0"/>
              <w:left w:val="none" w:color="000000" w:sz="4" w:space="0"/>
              <w:bottom w:val="single" w:color="auto" w:sz="4" w:space="0"/>
              <w:right w:val="single" w:color="auto" w:sz="4" w:space="0"/>
            </w:tcBorders>
            <w:tcW w:w="1012" w:type="dxa"/>
            <w:vAlign w:val="center"/>
            <w:textDirection w:val="lrTb"/>
            <w:noWrap/>
          </w:tcPr>
          <w:p>
            <w:pPr>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（五）其他</w:t>
      </w:r>
      <w:bookmarkEnd w:id="49"/>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根据该项目提供维保的项目管理、保养方案、项目实施流程及进度安排、对采购单位工程师及使用科室的培训计划安排、维保措施、为项目配备合理技术支持的方案等。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2.质量管控方案</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根据项目需求制定质量管控方案，保证服务质量的内部制度、实施方案、考核办法、项目现场工作规范要求的方案</w:t>
      </w:r>
      <w:r>
        <w:rPr>
          <w:rFonts w:hint="eastAsia" w:ascii="仿宋" w:hAnsi="仿宋" w:eastAsia="仿宋" w:cs="仿宋"/>
          <w:bCs/>
          <w:color w:val="auto"/>
          <w:sz w:val="24"/>
          <w:szCs w:val="24"/>
          <w:lang w:val="en-US" w:eastAsia="zh-CN" w:bidi="ar-SA"/>
        </w:rPr>
        <w:t xml:space="preserve">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3.拟派人员的管理制度及安全管理方案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根据该项目制定拟派人员的管理制度及安全管理方案，管理制度、人员培训、人员资质、人员安排、人员服务能力、人员安全管理的方案等。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4.服务体系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根据项目需求制定针对本项目的服务体系，包括但不限于维修保养规章制度与操作规范、维护保养计划、对采购人有关要求的响应等。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根据该项目提供应急方案的应急预案、应急处理、应急人员安排、时效性、对紧急事故做出快速、正确的反应、应急处理后确保临床工作正常开展的方案等。</w:t>
      </w:r>
      <w:r/>
    </w:p>
    <w:p>
      <w:pPr>
        <w:pStyle w:val="937"/>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4"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4"/>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5"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5"/>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（二）服务要求</w:t>
            </w:r>
            <w:r>
              <w:rPr>
                <w:rFonts w:hint="eastAsia" w:ascii="仿宋" w:hAnsi="仿宋" w:eastAsia="仿宋" w:cs="仿宋"/>
                <w:color w:val="auto"/>
                <w:highlight w:val="none"/>
              </w:rPr>
              <w:t xml:space="preserve">的得满分，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参数不得负偏离，负偏离将视为无效投标；</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注：投标人应如实填写技术偏离表。招标文件提出明确证明材料要求的技术指标，应在投标文件中提供技术支持资料，且均须在技术响应偏差表详尽真实地提供偏差情况及证明材料页码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未按要求提供证明材料或页码的视为负偏离</w:t>
            </w:r>
            <w:r>
              <w:rPr>
                <w:rFonts w:hint="eastAsia" w:ascii="仿宋" w:hAnsi="仿宋" w:eastAsia="仿宋" w:cs="仿宋"/>
                <w:color w:val="auto"/>
                <w:highlight w:val="none"/>
              </w:rPr>
              <w:t xml:space="preserve">。</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投标人在国内设有零备件仓库的，每有一个得3分，最高得6分。提供零备件仓库地址及联系人、联系电话备查，未提供或提供的资料不全不得分。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拟投入本项目的维保工程师具有飞利浦Brilliance iCT款机型原厂培训并考核合格的有效期内的资质证明，在需求要求3名的基础上，每多有一名满足要求的人员得3分，最高得3分。（须提供培训证书复印件</w:t>
            </w:r>
            <w:r>
              <w:rPr>
                <w:rFonts w:hint="eastAsia" w:ascii="仿宋" w:hAnsi="仿宋" w:eastAsia="仿宋" w:cs="仿宋"/>
                <w:color w:val="auto"/>
                <w:highlight w:val="none"/>
                <w:lang w:val="en-US" w:eastAsia="zh-CN"/>
              </w:rPr>
              <w:t xml:space="preserve">及投标</w:t>
            </w:r>
            <w:r>
              <w:rPr>
                <w:rFonts w:hint="eastAsia" w:ascii="仿宋" w:hAnsi="仿宋" w:eastAsia="仿宋" w:cs="仿宋"/>
                <w:color w:val="auto"/>
                <w:highlight w:val="none"/>
              </w:rPr>
              <w:t xml:space="preserve">单位为工程师缴纳的近半年社保证明加盖投标单位公章，未提供资料或资料不符不得分）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根据项目需求提供维保的项目管理、保养方案（详细说明专业保养的项目、内容</w:t>
            </w:r>
            <w:r>
              <w:rPr>
                <w:rFonts w:hint="eastAsia" w:ascii="仿宋" w:hAnsi="仿宋" w:eastAsia="仿宋" w:cs="仿宋"/>
                <w:color w:val="auto"/>
                <w:highlight w:val="none"/>
                <w:lang w:eastAsia="zh-CN"/>
              </w:rPr>
              <w:t xml:space="preserve">，以及</w:t>
            </w:r>
            <w:r>
              <w:rPr>
                <w:rFonts w:hint="eastAsia" w:ascii="仿宋" w:hAnsi="仿宋" w:eastAsia="仿宋" w:cs="仿宋"/>
                <w:color w:val="auto"/>
                <w:highlight w:val="none"/>
              </w:rPr>
              <w:t xml:space="preserve">更换的保养耗材）、项目实施流程及进度安排、对采购单位工程师及使用科室的培训计划安排、维保措施、为项目配备合理技术支持的方案（包含但不限于）。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质量管控方案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根据项目需求制定质量管控方案，保证服务质量的内部制度、实施方案、考核办法、项目现场工作规范要求的方案（包含但不限于）</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根据其方案的内容完善具体、内部制度完整全面、实施方案切实可行、考核办法全面有效、项目现场工作规范要求严格的，得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；方案的内容比较完善具体、内部制度比较全面、实施方案比较切实可行、考核办法比较全面有效、项目现场工作规范要求较严格的，得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；方案的内容不太完善具体、内部制度不太全面、实施方案不太切实可行、考核办法不太有效、项目现场工作规范要求不太严格的，得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团队配置方案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根据项目需求制定团队配置方案</w:t>
            </w:r>
            <w:r>
              <w:rPr>
                <w:rFonts w:hint="eastAsia" w:ascii="仿宋" w:hAnsi="仿宋" w:eastAsia="仿宋" w:cs="仿宋"/>
                <w:color w:val="auto"/>
                <w:highlight w:val="none"/>
                <w:lang w:eastAsia="zh-CN"/>
              </w:rPr>
              <w:t xml:space="preserve">（含工程师及其他团队服务人员）</w:t>
            </w:r>
            <w:r>
              <w:rPr>
                <w:rFonts w:hint="eastAsia" w:ascii="仿宋" w:hAnsi="仿宋" w:eastAsia="仿宋" w:cs="仿宋"/>
                <w:color w:val="auto"/>
                <w:highlight w:val="none"/>
              </w:rPr>
              <w:t xml:space="preserve">，管理制度、人员培训、人员资质、人员安排、人员服务能力、人员安全管理的方案（包含但不限于）。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根据其方案的内容完善具体、人员安排合理、分工明确、人员管理措施有效、人员资质强且服务经验丰富、人员培训定期有效、人员安全保障能力好的，得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；方案的内容比较完善具体、人员安排比较合理、分工比较明确、人员管理措施比较有效、人员资质较强且服务经验比较丰富、人员培训规律有效、人员安全保障能力较好的，得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；方案的内容不太完善、人员安排和分工不太合理、人员管理措施缺少或不太有效、人员资质低和服务经验少、人员培训少、人员安全保障能力不好的，得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91"/>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eastAsia="zh-CN"/>
              </w:rPr>
              <w:t xml:space="preserve">8分</w:t>
            </w:r>
            <w:r/>
          </w:p>
        </w:tc>
        <w:tc>
          <w:tcPr>
            <w:shd w:val="clear" w:color="auto" w:fill="auto"/>
            <w:tcW w:w="6075"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；应急预案比较全面、应急处理比较迅速有效、应急人员安排比较充分、时效性较短，对紧急事故能够做出比较快速、正确的反应，应急处理后能确保临床工作的正常开展，满足采购需求的，得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4</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的维保服务（全保）合同业绩（仅人工服务不计算），每提供一个得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bidi="ar"/>
              </w:rPr>
              <w:t xml:space="preserve">，最高得</w:t>
            </w:r>
            <w:r>
              <w:rPr>
                <w:rFonts w:hint="eastAsia" w:ascii="仿宋" w:hAnsi="仿宋" w:eastAsia="仿宋" w:cs="仿宋"/>
                <w:color w:val="auto"/>
                <w:highlight w:val="none"/>
                <w:lang w:val="en-US" w:eastAsia="zh-CN" w:bidi="ar"/>
              </w:rPr>
              <w:t xml:space="preserve">9</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bidi="ar"/>
              </w:rPr>
              <w:t xml:space="preserve">。须提供合同复印件加盖公章，合同须有双方清晰盖章及项目名称，提供不全不得分。</w:t>
            </w:r>
            <w:r/>
          </w:p>
          <w:p>
            <w:pPr>
              <w:jc w:val="lef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bidi="ar"/>
              </w:rPr>
              <w:t xml:space="preserve">同一采购人不同时期的合同不重复计算。</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6.实质性要求不得负偏离；否则，按照无效投标处理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6" w:name="_Toc477287606"/>
      <w:r/>
      <w:bookmarkStart w:id="57" w:name="_Toc1493"/>
      <w:r/>
      <w:bookmarkStart w:id="58" w:name="_Toc24782"/>
      <w:r>
        <w:rPr>
          <w:rFonts w:hint="eastAsia"/>
          <w:highlight w:val="none"/>
        </w:rPr>
        <w:br w:type="page" w:clear="all"/>
      </w:r>
      <w:r/>
    </w:p>
    <w:p>
      <w:pPr>
        <w:pStyle w:val="937"/>
        <w:jc w:val="center"/>
        <w:spacing w:line="240" w:lineRule="auto"/>
        <w:rPr>
          <w:highlight w:val="none"/>
        </w:rPr>
      </w:pPr>
      <w:r>
        <w:rPr>
          <w:rFonts w:hint="eastAsia"/>
          <w:highlight w:val="none"/>
        </w:rPr>
        <w:t xml:space="preserve">第六部分  投标文件格式</w:t>
      </w:r>
      <w:bookmarkEnd w:id="56"/>
      <w:r/>
      <w:bookmarkEnd w:id="57"/>
      <w:r/>
      <w:bookmarkEnd w:id="58"/>
      <w:r/>
      <w:r/>
    </w:p>
    <w:p>
      <w:pPr>
        <w:rPr>
          <w:rFonts w:ascii="仿宋" w:hAnsi="仿宋" w:eastAsia="仿宋" w:cs="仿宋"/>
          <w:highlight w:val="none"/>
        </w:rPr>
      </w:pPr>
      <w:r/>
      <w:bookmarkStart w:id="59"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60" w:name="_Toc19636"/>
      <w:r/>
      <w:bookmarkStart w:id="61" w:name="_Toc1654"/>
      <w:r/>
      <w:bookmarkStart w:id="62" w:name="_Toc11830"/>
      <w:r/>
      <w:bookmarkStart w:id="63" w:name="_Toc5114"/>
      <w:r>
        <w:rPr>
          <w:rFonts w:hint="eastAsia" w:ascii="仿宋" w:hAnsi="仿宋" w:eastAsia="仿宋" w:cs="仿宋"/>
          <w:color w:val="ff0000"/>
          <w:highlight w:val="none"/>
        </w:rPr>
        <w:t xml:space="preserve">（一）基本目录</w:t>
      </w:r>
      <w:bookmarkEnd w:id="60"/>
      <w:r/>
      <w:bookmarkEnd w:id="61"/>
      <w:r/>
      <w:bookmarkEnd w:id="62"/>
      <w:r/>
      <w:bookmarkEnd w:id="63"/>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6"/>
        <w:rPr>
          <w:rFonts w:ascii="仿宋" w:hAnsi="仿宋" w:eastAsia="仿宋" w:cs="仿宋"/>
          <w:b/>
          <w:sz w:val="32"/>
          <w:szCs w:val="24"/>
          <w:highlight w:val="none"/>
        </w:rPr>
        <w:outlineLvl w:val="2"/>
      </w:pPr>
      <w:r/>
      <w:bookmarkStart w:id="64"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3"/>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3"/>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3"/>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4"/>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3"/>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pStyle w:val="1032"/>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0"/>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ascii="仿宋" w:hAnsi="仿宋" w:eastAsia="仿宋" w:cs="仿宋"/>
          <w:highlight w:val="none"/>
        </w:rPr>
      </w:pPr>
      <w:r>
        <w:rPr>
          <w:rFonts w:ascii="仿宋" w:hAnsi="仿宋" w:eastAsia="仿宋" w:cs="仿宋"/>
          <w:highlight w:val="none"/>
        </w:rPr>
      </w:r>
      <w:r/>
    </w:p>
    <w:p>
      <w:pPr>
        <w:pStyle w:val="1063"/>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3"/>
        <w:rPr>
          <w:rFonts w:ascii="仿宋" w:hAnsi="仿宋" w:eastAsia="仿宋" w:cs="仿宋"/>
          <w:highlight w:val="none"/>
        </w:rPr>
      </w:pPr>
      <w:r>
        <w:rPr>
          <w:rFonts w:ascii="仿宋" w:hAnsi="仿宋" w:eastAsia="仿宋" w:cs="仿宋"/>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5" w:name="_Toc10009"/>
      <w:r/>
      <w:bookmarkStart w:id="66" w:name="_Toc11658"/>
      <w:r/>
      <w:bookmarkStart w:id="67" w:name="_Toc14673"/>
      <w:r/>
      <w:bookmarkStart w:id="68" w:name="_Toc27368"/>
      <w:r>
        <w:rPr>
          <w:rFonts w:hint="eastAsia" w:ascii="仿宋" w:hAnsi="仿宋" w:eastAsia="仿宋" w:cs="仿宋"/>
          <w:color w:val="ff0000"/>
          <w:highlight w:val="none"/>
        </w:rPr>
        <w:t xml:space="preserve">（二）资格条件</w:t>
      </w:r>
      <w:bookmarkEnd w:id="65"/>
      <w:r/>
      <w:bookmarkEnd w:id="66"/>
      <w:r/>
      <w:bookmarkEnd w:id="67"/>
      <w:r/>
      <w:bookmarkEnd w:id="68"/>
      <w:r/>
      <w:r/>
    </w:p>
    <w:p>
      <w:pPr>
        <w:pStyle w:val="1035"/>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0"/>
        <w:spacing w:line="520" w:lineRule="exact"/>
        <w:rPr>
          <w:rFonts w:ascii="仿宋" w:hAnsi="仿宋" w:eastAsia="仿宋" w:cs="仿宋"/>
          <w:b/>
          <w:sz w:val="24"/>
          <w:szCs w:val="20"/>
          <w:highlight w:val="none"/>
        </w:rPr>
      </w:pPr>
      <w:r/>
      <w:bookmarkStart w:id="69" w:name="_Toc17048"/>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70" w:name="_Toc6023"/>
      <w:r/>
      <w:bookmarkStart w:id="71" w:name="_Toc25637"/>
      <w:r/>
      <w:bookmarkStart w:id="72" w:name="_Toc31622"/>
      <w:r/>
      <w:bookmarkStart w:id="73" w:name="_Toc31024"/>
      <w:r>
        <w:rPr>
          <w:rFonts w:hint="eastAsia" w:ascii="仿宋" w:hAnsi="仿宋" w:eastAsia="仿宋" w:cs="仿宋"/>
          <w:color w:val="ff0000"/>
          <w:highlight w:val="none"/>
        </w:rPr>
        <w:t xml:space="preserve">（三）符合条件</w:t>
      </w:r>
      <w:bookmarkEnd w:id="70"/>
      <w:r/>
      <w:bookmarkEnd w:id="71"/>
      <w:r/>
      <w:bookmarkEnd w:id="72"/>
      <w:r/>
      <w:bookmarkEnd w:id="73"/>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6"/>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7"/>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7"/>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0"/>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2"/>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6"/>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4"/>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w:t>
      </w:r>
      <w:r>
        <w:rPr>
          <w:rFonts w:hint="eastAsia" w:ascii="仿宋" w:hAnsi="仿宋" w:eastAsia="仿宋" w:cs="仿宋"/>
          <w:b/>
          <w:bCs/>
          <w:color w:val="ff0000"/>
          <w:sz w:val="24"/>
          <w:szCs w:val="28"/>
          <w:highlight w:val="none"/>
          <w:lang w:val="en-US" w:eastAsia="zh-CN" w:bidi="ar-SA"/>
        </w:rPr>
        <w:t xml:space="preserve">（三）付款条件和（四）服务期限</w:t>
      </w:r>
      <w:r>
        <w:rPr>
          <w:rFonts w:hint="eastAsia" w:ascii="仿宋" w:hAnsi="仿宋" w:eastAsia="仿宋" w:cs="仿宋"/>
          <w:b/>
          <w:bCs/>
          <w:color w:val="auto"/>
          <w:sz w:val="24"/>
          <w:szCs w:val="28"/>
          <w:highlight w:val="none"/>
          <w:lang w:val="en-US" w:eastAsia="zh-CN" w:bidi="ar-SA"/>
        </w:rPr>
        <w:t xml:space="preserve">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highlight w:val="none"/>
        </w:rPr>
        <w:outlineLvl w:val="1"/>
      </w:pPr>
      <w:r/>
      <w:bookmarkStart w:id="74" w:name="_Toc10675"/>
      <w:r/>
      <w:bookmarkStart w:id="75" w:name="_Toc13606"/>
      <w:r/>
      <w:bookmarkStart w:id="76" w:name="_Toc24919"/>
      <w:r/>
      <w:bookmarkStart w:id="77" w:name="_Toc9717"/>
      <w:r>
        <w:rPr>
          <w:rFonts w:hint="eastAsia" w:ascii="仿宋" w:hAnsi="仿宋" w:eastAsia="仿宋" w:cs="仿宋"/>
          <w:color w:val="ff0000"/>
          <w:highlight w:val="none"/>
        </w:rPr>
        <w:t xml:space="preserve">（四）综合评审评分项</w:t>
      </w:r>
      <w:bookmarkEnd w:id="69"/>
      <w:r/>
      <w:bookmarkEnd w:id="74"/>
      <w:r/>
      <w:bookmarkEnd w:id="75"/>
      <w:r/>
      <w:bookmarkEnd w:id="76"/>
      <w:r/>
      <w:bookmarkEnd w:id="77"/>
      <w:r/>
      <w:bookmarkEnd w:id="59"/>
      <w:r/>
      <w:r/>
    </w:p>
    <w:p>
      <w:pPr>
        <w:pStyle w:val="104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w:t>
      </w:r>
      <w:r>
        <w:rPr>
          <w:rFonts w:hint="eastAsia" w:ascii="仿宋" w:hAnsi="仿宋" w:eastAsia="仿宋" w:cs="仿宋"/>
          <w:b/>
          <w:bCs/>
          <w:color w:val="ff0000"/>
          <w:sz w:val="24"/>
          <w:szCs w:val="28"/>
          <w:highlight w:val="none"/>
          <w:lang w:val="en-US" w:eastAsia="zh-CN" w:bidi="ar-SA"/>
        </w:rPr>
        <w:t xml:space="preserve">（一）保养步骤及更换备件的基本要求和（二）服务要求</w:t>
      </w:r>
      <w:r>
        <w:rPr>
          <w:rFonts w:hint="eastAsia" w:ascii="仿宋" w:hAnsi="仿宋" w:eastAsia="仿宋" w:cs="仿宋"/>
          <w:b/>
          <w:bCs/>
          <w:color w:val="auto"/>
          <w:sz w:val="24"/>
          <w:szCs w:val="28"/>
          <w:highlight w:val="none"/>
          <w:lang w:val="en-US" w:eastAsia="zh-CN" w:bidi="ar-SA"/>
        </w:rPr>
        <w:t xml:space="preserve">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2"/>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0"/>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0"/>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78" w:name="_Toc25990"/>
      <w:r/>
      <w:bookmarkStart w:id="79" w:name="_Toc1610"/>
      <w:r/>
      <w:bookmarkStart w:id="80" w:name="_Toc8473"/>
      <w:r/>
      <w:bookmarkStart w:id="81" w:name="_Toc7030"/>
      <w:r>
        <w:rPr>
          <w:rFonts w:hint="eastAsia" w:ascii="仿宋" w:hAnsi="仿宋" w:eastAsia="仿宋" w:cs="仿宋"/>
          <w:color w:val="ff0000"/>
          <w:highlight w:val="none"/>
        </w:rPr>
        <w:t xml:space="preserve">（五）企业报价折扣证明</w:t>
      </w:r>
      <w:bookmarkEnd w:id="78"/>
      <w:r/>
      <w:bookmarkEnd w:id="79"/>
      <w:r/>
      <w:bookmarkEnd w:id="80"/>
      <w:r/>
      <w:bookmarkEnd w:id="81"/>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4"/>
        <w:ind w:firstLine="6120"/>
        <w:spacing w:line="560" w:lineRule="exact"/>
        <w:rPr>
          <w:rStyle w:val="945"/>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5"/>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5"/>
          <w:rFonts w:ascii="仿宋" w:hAnsi="仿宋" w:eastAsia="仿宋" w:cs="仿宋"/>
          <w:color w:val="ff0000"/>
          <w:sz w:val="24"/>
          <w:highlight w:val="none"/>
        </w:rPr>
      </w:pPr>
      <w:r>
        <w:rPr>
          <w:rFonts w:hint="eastAsia" w:hAnsi="宋体"/>
          <w:szCs w:val="24"/>
          <w:highlight w:val="none"/>
        </w:rPr>
        <w:br w:type="page" w:clear="all"/>
      </w:r>
      <w:r>
        <w:rPr>
          <w:rStyle w:val="945"/>
          <w:rFonts w:hint="eastAsia" w:ascii="仿宋" w:hAnsi="仿宋" w:eastAsia="仿宋" w:cs="仿宋"/>
          <w:color w:val="ff0000"/>
          <w:sz w:val="24"/>
          <w:highlight w:val="none"/>
        </w:rPr>
        <w:t xml:space="preserve">根据</w:t>
      </w:r>
      <w:r>
        <w:rPr>
          <w:rStyle w:val="945"/>
          <w:rFonts w:hint="eastAsia" w:ascii="仿宋" w:hAnsi="仿宋" w:eastAsia="仿宋" w:cs="仿宋"/>
          <w:color w:val="ff0000"/>
          <w:sz w:val="24"/>
          <w:highlight w:val="none"/>
          <w:lang w:eastAsia="zh-CN"/>
        </w:rPr>
        <w:t xml:space="preserve">投标人</w:t>
      </w:r>
      <w:r>
        <w:rPr>
          <w:rStyle w:val="945"/>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5"/>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3"/>
        <w:jc w:val="center"/>
        <w:spacing w:before="151" w:after="151" w:line="600" w:lineRule="exact"/>
        <w:rPr>
          <w:rStyle w:val="945"/>
          <w:rFonts w:ascii="仿宋" w:hAnsi="仿宋" w:eastAsia="仿宋" w:cs="仿宋"/>
          <w:b/>
          <w:bCs/>
          <w:sz w:val="32"/>
          <w:szCs w:val="32"/>
          <w:highlight w:val="none"/>
        </w:rPr>
      </w:pPr>
      <w:r>
        <w:rPr>
          <w:rStyle w:val="945"/>
          <w:rFonts w:hint="eastAsia" w:ascii="仿宋" w:hAnsi="仿宋" w:eastAsia="仿宋" w:cs="仿宋"/>
          <w:b/>
          <w:bCs/>
          <w:sz w:val="32"/>
          <w:szCs w:val="32"/>
          <w:highlight w:val="none"/>
        </w:rPr>
        <w:t xml:space="preserve">残疾人福利性单位声明函</w:t>
      </w:r>
      <w:r/>
    </w:p>
    <w:p>
      <w:pPr>
        <w:pStyle w:val="1334"/>
        <w:spacing w:line="588" w:lineRule="exact"/>
        <w:rPr>
          <w:rStyle w:val="945"/>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3"/>
        <w:ind w:firstLine="480"/>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的</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3"/>
        <w:ind w:firstLine="480"/>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本单位对上述声明的真实性负责。如有虚假，将依法承担相应责任。</w:t>
      </w:r>
      <w:r/>
    </w:p>
    <w:p>
      <w:pPr>
        <w:pStyle w:val="1335"/>
        <w:ind w:firstLine="3810"/>
        <w:spacing w:line="500" w:lineRule="exact"/>
        <w:rPr>
          <w:rStyle w:val="945"/>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5"/>
        <w:ind w:firstLine="3628"/>
        <w:jc w:val="left"/>
        <w:spacing w:line="500" w:lineRule="exact"/>
        <w:rPr>
          <w:rStyle w:val="945"/>
          <w:rFonts w:ascii="仿宋" w:hAnsi="仿宋" w:eastAsia="仿宋" w:cs="仿宋"/>
          <w:sz w:val="24"/>
          <w:highlight w:val="none"/>
        </w:rPr>
      </w:pPr>
      <w:r>
        <w:rPr>
          <w:rFonts w:ascii="仿宋" w:hAnsi="仿宋" w:eastAsia="仿宋" w:cs="仿宋"/>
          <w:sz w:val="24"/>
          <w:highlight w:val="none"/>
        </w:rPr>
      </w:r>
      <w:r/>
    </w:p>
    <w:p>
      <w:pPr>
        <w:pStyle w:val="1335"/>
        <w:ind w:firstLine="480"/>
        <w:jc w:val="left"/>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单位名称：</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（签章）</w:t>
      </w:r>
      <w:r/>
    </w:p>
    <w:p>
      <w:pPr>
        <w:pStyle w:val="1024"/>
        <w:ind w:firstLine="480"/>
        <w:jc w:val="left"/>
        <w:spacing w:line="500" w:lineRule="exact"/>
        <w:rPr>
          <w:rStyle w:val="945"/>
          <w:rFonts w:ascii="仿宋" w:hAnsi="仿宋" w:eastAsia="仿宋" w:cs="仿宋"/>
          <w:sz w:val="24"/>
          <w:szCs w:val="20"/>
          <w:highlight w:val="none"/>
        </w:rPr>
      </w:pPr>
      <w:r>
        <w:rPr>
          <w:rStyle w:val="945"/>
          <w:rFonts w:hint="eastAsia" w:ascii="仿宋" w:hAnsi="仿宋" w:eastAsia="仿宋" w:cs="仿宋"/>
          <w:sz w:val="24"/>
          <w:szCs w:val="20"/>
          <w:highlight w:val="none"/>
        </w:rPr>
        <w:t xml:space="preserve">日期：  年  月  日</w:t>
      </w:r>
      <w:r/>
    </w:p>
    <w:p>
      <w:pPr>
        <w:pStyle w:val="1336"/>
        <w:ind w:firstLine="0"/>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63"/>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4"/>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4"/>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5"/>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6"/>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18"/>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19"/>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49"/>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5"/>
    <w:uiPriority w:val="99"/>
    <w:semiHidden/>
    <w:unhideWhenUsed/>
    <w:qFormat/>
    <w:rPr>
      <w:sz w:val="20"/>
    </w:rPr>
  </w:style>
  <w:style w:type="paragraph" w:styleId="753">
    <w:name w:val="Balloon Text"/>
    <w:basedOn w:val="730"/>
    <w:link w:val="1348"/>
    <w:uiPriority w:val="0"/>
    <w:unhideWhenUsed/>
    <w:qFormat/>
    <w:rPr>
      <w:sz w:val="18"/>
      <w:szCs w:val="18"/>
    </w:rPr>
  </w:style>
  <w:style w:type="paragraph" w:styleId="754">
    <w:name w:val="Footer"/>
    <w:basedOn w:val="730"/>
    <w:link w:val="827"/>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1"/>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2"/>
    <w:uiPriority w:val="11"/>
    <w:qFormat/>
    <w:pPr>
      <w:spacing w:before="200" w:after="200"/>
    </w:pPr>
  </w:style>
  <w:style w:type="paragraph" w:styleId="760">
    <w:name w:val="footnote text"/>
    <w:basedOn w:val="730"/>
    <w:link w:val="934"/>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1"/>
    <w:uiPriority w:val="10"/>
    <w:qFormat/>
    <w:pPr>
      <w:contextualSpacing/>
      <w:spacing w:before="300" w:after="200"/>
    </w:pPr>
    <w:rPr>
      <w:sz w:val="48"/>
      <w:szCs w:val="48"/>
    </w:rPr>
  </w:style>
  <w:style w:type="paragraph" w:styleId="767">
    <w:name w:val="annotation subject"/>
    <w:basedOn w:val="745"/>
    <w:next w:val="745"/>
    <w:link w:val="1350"/>
    <w:uiPriority w:val="99"/>
    <w:semiHidden/>
    <w:unhideWhenUsed/>
    <w:qFormat/>
    <w:rPr>
      <w:b/>
      <w:bCs/>
    </w:rPr>
  </w:style>
  <w:style w:type="paragraph" w:styleId="768">
    <w:name w:val="Body Text First Indent 2"/>
    <w:basedOn w:val="747"/>
    <w:uiPriority w:val="0"/>
    <w:qFormat/>
    <w:pPr>
      <w:ind w:left="200" w:firstLine="200"/>
      <w:spacing w:after="120"/>
    </w:pPr>
    <w:rPr>
      <w:rFonts w:ascii="Times New Roman"/>
      <w:sz w:val="24"/>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basedOn w:val="740"/>
    <w:uiPriority w:val="0"/>
    <w:unhideWhenUsed/>
    <w:qFormat/>
    <w:rPr>
      <w:sz w:val="21"/>
      <w:szCs w:val="21"/>
    </w:rPr>
  </w:style>
  <w:style w:type="character" w:styleId="774">
    <w:name w:val="footnote reference"/>
    <w:basedOn w:val="740"/>
    <w:uiPriority w:val="99"/>
    <w:unhideWhenUsed/>
    <w:qFormat/>
    <w:rPr>
      <w:vertAlign w:val="superscript"/>
    </w:rPr>
  </w:style>
  <w:style w:type="table" w:styleId="775"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标题1"/>
    <w:uiPriority w:val="39"/>
    <w:unhideWhenUsed/>
    <w:qFormat/>
    <w:rPr>
      <w:rFonts w:ascii="Times New Roman" w:hAnsi="Times New Roman" w:eastAsia="宋体" w:cs="Times New Roman"/>
      <w:lang w:val="en-US" w:eastAsia="zh-CN" w:bidi="ar-SA"/>
    </w:rPr>
  </w:style>
  <w:style w:type="paragraph" w:styleId="795" w:customStyle="1">
    <w:name w:val="BodyText"/>
    <w:basedOn w:val="730"/>
    <w:next w:val="796"/>
    <w:uiPriority w:val="0"/>
    <w:qFormat/>
    <w:pPr>
      <w:spacing w:line="360" w:lineRule="exact"/>
    </w:pPr>
  </w:style>
  <w:style w:type="paragraph" w:styleId="796" w:customStyle="1">
    <w:name w:val="UserStyle_6"/>
    <w:basedOn w:val="797"/>
    <w:next w:val="798"/>
    <w:uiPriority w:val="0"/>
    <w:qFormat/>
    <w:pPr>
      <w:ind w:left="420"/>
      <w:spacing w:line="240" w:lineRule="auto"/>
    </w:pPr>
  </w:style>
  <w:style w:type="paragraph" w:styleId="797"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98"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99" w:customStyle="1">
    <w:name w:val="标题 31"/>
    <w:basedOn w:val="730"/>
    <w:next w:val="730"/>
    <w:link w:val="947"/>
    <w:uiPriority w:val="0"/>
    <w:qFormat/>
    <w:pPr>
      <w:keepLines/>
      <w:keepNext/>
      <w:spacing w:before="260" w:after="260" w:line="413" w:lineRule="auto"/>
      <w:outlineLvl w:val="2"/>
    </w:pPr>
    <w:rPr>
      <w:rFonts w:eastAsia="宋体"/>
      <w:b/>
      <w:sz w:val="32"/>
      <w:szCs w:val="20"/>
    </w:rPr>
  </w:style>
  <w:style w:type="character" w:styleId="800" w:customStyle="1">
    <w:name w:val="Heading 1 Char"/>
    <w:basedOn w:val="740"/>
    <w:uiPriority w:val="9"/>
    <w:qFormat/>
    <w:rPr>
      <w:rFonts w:ascii="Arial" w:hAnsi="Arial" w:eastAsia="Arial" w:cs="Arial"/>
      <w:sz w:val="40"/>
      <w:szCs w:val="40"/>
    </w:rPr>
  </w:style>
  <w:style w:type="character" w:styleId="801" w:customStyle="1">
    <w:name w:val="Heading 5 Char"/>
    <w:basedOn w:val="740"/>
    <w:uiPriority w:val="9"/>
    <w:qFormat/>
    <w:rPr>
      <w:rFonts w:ascii="Arial" w:hAnsi="Arial" w:eastAsia="Arial" w:cs="Arial"/>
      <w:b/>
      <w:bCs/>
      <w:sz w:val="24"/>
      <w:szCs w:val="24"/>
    </w:rPr>
  </w:style>
  <w:style w:type="character" w:styleId="802" w:customStyle="1">
    <w:name w:val="Heading 6 Char"/>
    <w:basedOn w:val="740"/>
    <w:uiPriority w:val="9"/>
    <w:qFormat/>
    <w:rPr>
      <w:rFonts w:ascii="Arial" w:hAnsi="Arial" w:eastAsia="Arial" w:cs="Arial"/>
      <w:b/>
      <w:bCs/>
      <w:sz w:val="22"/>
      <w:szCs w:val="22"/>
    </w:rPr>
  </w:style>
  <w:style w:type="character" w:styleId="803" w:customStyle="1">
    <w:name w:val="Heading 7 Char"/>
    <w:basedOn w:val="740"/>
    <w:uiPriority w:val="9"/>
    <w:qFormat/>
    <w:rPr>
      <w:rFonts w:ascii="Arial" w:hAnsi="Arial" w:eastAsia="Arial" w:cs="Arial"/>
      <w:b/>
      <w:bCs/>
      <w:i/>
      <w:iCs/>
      <w:sz w:val="22"/>
      <w:szCs w:val="22"/>
    </w:rPr>
  </w:style>
  <w:style w:type="character" w:styleId="804" w:customStyle="1">
    <w:name w:val="Heading 8 Char"/>
    <w:basedOn w:val="740"/>
    <w:uiPriority w:val="9"/>
    <w:qFormat/>
    <w:rPr>
      <w:rFonts w:ascii="Arial" w:hAnsi="Arial" w:eastAsia="Arial" w:cs="Arial"/>
      <w:i/>
      <w:iCs/>
      <w:sz w:val="22"/>
      <w:szCs w:val="22"/>
    </w:rPr>
  </w:style>
  <w:style w:type="character" w:styleId="805" w:customStyle="1">
    <w:name w:val="Heading 9 Char"/>
    <w:basedOn w:val="740"/>
    <w:uiPriority w:val="9"/>
    <w:qFormat/>
    <w:rPr>
      <w:rFonts w:ascii="Arial" w:hAnsi="Arial" w:eastAsia="Arial" w:cs="Arial"/>
      <w:i/>
      <w:iCs/>
      <w:sz w:val="21"/>
      <w:szCs w:val="21"/>
    </w:rPr>
  </w:style>
  <w:style w:type="character" w:styleId="806" w:customStyle="1">
    <w:name w:val="Title Char"/>
    <w:basedOn w:val="740"/>
    <w:uiPriority w:val="10"/>
    <w:qFormat/>
    <w:rPr>
      <w:sz w:val="48"/>
      <w:szCs w:val="48"/>
    </w:rPr>
  </w:style>
  <w:style w:type="character" w:styleId="807" w:customStyle="1">
    <w:name w:val="Subtitle Char"/>
    <w:basedOn w:val="740"/>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ascii="Times New Roman" w:hAnsi="Times New Roman" w:eastAsia="宋体" w:cs="Times New Roman"/>
      <w:lang w:val="en-US" w:eastAsia="zh-CN" w:bidi="ar-SA"/>
    </w:rPr>
  </w:style>
  <w:style w:type="character" w:styleId="814" w:customStyle="1">
    <w:name w:val="标题 1 字符"/>
    <w:link w:val="731"/>
    <w:uiPriority w:val="9"/>
    <w:qFormat/>
    <w:rPr>
      <w:rFonts w:ascii="Arial" w:hAnsi="Arial" w:eastAsia="Arial" w:cs="Arial"/>
      <w:sz w:val="40"/>
      <w:szCs w:val="40"/>
    </w:rPr>
  </w:style>
  <w:style w:type="character" w:styleId="815" w:customStyle="1">
    <w:name w:val="标题 5 字符"/>
    <w:link w:val="735"/>
    <w:uiPriority w:val="0"/>
    <w:qFormat/>
    <w:rPr>
      <w:rFonts w:ascii="Arial" w:hAnsi="Arial" w:eastAsia="Arial" w:cs="Arial"/>
      <w:b/>
      <w:bCs/>
      <w:sz w:val="24"/>
      <w:szCs w:val="24"/>
    </w:rPr>
  </w:style>
  <w:style w:type="character" w:styleId="816" w:customStyle="1">
    <w:name w:val="标题 6 字符"/>
    <w:link w:val="736"/>
    <w:uiPriority w:val="9"/>
    <w:qFormat/>
    <w:rPr>
      <w:rFonts w:ascii="Arial" w:hAnsi="Arial" w:eastAsia="Arial" w:cs="Arial"/>
      <w:b/>
      <w:bCs/>
      <w:sz w:val="22"/>
      <w:szCs w:val="22"/>
    </w:rPr>
  </w:style>
  <w:style w:type="character" w:styleId="817" w:customStyle="1">
    <w:name w:val="标题 7 字符"/>
    <w:link w:val="737"/>
    <w:uiPriority w:val="9"/>
    <w:qFormat/>
    <w:rPr>
      <w:rFonts w:ascii="Arial" w:hAnsi="Arial" w:eastAsia="Arial" w:cs="Arial"/>
      <w:b/>
      <w:bCs/>
      <w:i/>
      <w:iCs/>
      <w:sz w:val="22"/>
      <w:szCs w:val="22"/>
    </w:rPr>
  </w:style>
  <w:style w:type="character" w:styleId="818" w:customStyle="1">
    <w:name w:val="标题 8 字符"/>
    <w:link w:val="738"/>
    <w:uiPriority w:val="9"/>
    <w:qFormat/>
    <w:rPr>
      <w:rFonts w:ascii="Arial" w:hAnsi="Arial" w:eastAsia="Arial" w:cs="Arial"/>
      <w:i/>
      <w:iCs/>
      <w:sz w:val="22"/>
      <w:szCs w:val="22"/>
    </w:rPr>
  </w:style>
  <w:style w:type="character" w:styleId="819" w:customStyle="1">
    <w:name w:val="标题 9 字符"/>
    <w:link w:val="739"/>
    <w:uiPriority w:val="9"/>
    <w:qFormat/>
    <w:rPr>
      <w:rFonts w:ascii="Arial" w:hAnsi="Arial" w:eastAsia="Arial" w:cs="Arial"/>
      <w:i/>
      <w:iCs/>
      <w:sz w:val="21"/>
      <w:szCs w:val="21"/>
    </w:rPr>
  </w:style>
  <w:style w:type="paragraph" w:styleId="820">
    <w:name w:val="No Spacing"/>
    <w:uiPriority w:val="1"/>
    <w:qFormat/>
    <w:rPr>
      <w:rFonts w:ascii="Times New Roman" w:hAnsi="Times New Roman" w:eastAsia="宋体" w:cs="Times New Roman"/>
      <w:lang w:val="en-US" w:eastAsia="zh-CN" w:bidi="ar-SA"/>
    </w:rPr>
  </w:style>
  <w:style w:type="character" w:styleId="821" w:customStyle="1">
    <w:name w:val="标题 字符"/>
    <w:link w:val="766"/>
    <w:uiPriority w:val="10"/>
    <w:qFormat/>
    <w:rPr>
      <w:sz w:val="48"/>
      <w:szCs w:val="48"/>
    </w:rPr>
  </w:style>
  <w:style w:type="character" w:styleId="822" w:customStyle="1">
    <w:name w:val="副标题 字符"/>
    <w:link w:val="759"/>
    <w:uiPriority w:val="11"/>
    <w:qFormat/>
    <w:rPr>
      <w:sz w:val="24"/>
      <w:szCs w:val="24"/>
    </w:rPr>
  </w:style>
  <w:style w:type="paragraph" w:styleId="823">
    <w:name w:val="Quote"/>
    <w:basedOn w:val="730"/>
    <w:next w:val="730"/>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30"/>
    <w:next w:val="730"/>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脚 字符"/>
    <w:link w:val="754"/>
    <w:uiPriority w:val="0"/>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60"/>
    <w:uiPriority w:val="99"/>
    <w:qFormat/>
    <w:rPr>
      <w:sz w:val="18"/>
    </w:rPr>
  </w:style>
  <w:style w:type="character" w:styleId="935" w:customStyle="1">
    <w:name w:val="尾注文本 字符"/>
    <w:link w:val="752"/>
    <w:uiPriority w:val="99"/>
    <w:qFormat/>
    <w:rPr>
      <w:sz w:val="20"/>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标题 11"/>
    <w:basedOn w:val="730"/>
    <w:next w:val="73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30"/>
    <w:next w:val="73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99"/>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1_2"/>
    <w:uiPriority w:val="0"/>
    <w:qFormat/>
    <w:rPr>
      <w:rFonts w:ascii="Times New Roman" w:hAnsi="Times New Roman" w:eastAsia="Times New Roman" w:cs="Times New Roman"/>
      <w:sz w:val="24"/>
      <w:szCs w:val="24"/>
      <w:lang w:val="en-US" w:eastAsia="zh-CN" w:bidi="ar-SA"/>
    </w:rPr>
  </w:style>
  <w:style w:type="paragraph" w:styleId="1026" w:customStyle="1">
    <w:name w:val="Normal_0_1"/>
    <w:uiPriority w:val="0"/>
    <w:qFormat/>
    <w:rPr>
      <w:rFonts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2_0"/>
    <w:uiPriority w:val="0"/>
    <w:qFormat/>
    <w:rPr>
      <w:rFonts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Normal_3_0"/>
    <w:uiPriority w:val="0"/>
    <w:qFormat/>
    <w:rPr>
      <w:rFonts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Normal_3_0_0"/>
    <w:uiPriority w:val="0"/>
    <w:qFormat/>
    <w:rPr>
      <w:rFonts w:ascii="黑体" w:hAnsi="黑体" w:eastAsia="黑体" w:cs="Times New Roman"/>
      <w:b/>
      <w:sz w:val="32"/>
      <w:szCs w:val="24"/>
      <w:lang w:val="en-US" w:eastAsia="zh-CN" w:bidi="ar-SA"/>
    </w:rPr>
  </w:style>
  <w:style w:type="paragraph" w:styleId="1043" w:customStyle="1">
    <w:name w:val="Normal_9_0"/>
    <w:uiPriority w:val="0"/>
    <w:qFormat/>
    <w:rPr>
      <w:rFonts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8_0"/>
    <w:uiPriority w:val="0"/>
    <w:qFormat/>
    <w:rPr>
      <w:rFonts w:ascii="黑体" w:hAnsi="黑体" w:eastAsia="黑体" w:cs="黑体"/>
      <w:b/>
      <w:sz w:val="32"/>
      <w:szCs w:val="24"/>
      <w:lang w:val="en-US" w:eastAsia="zh-CN" w:bidi="ar-SA"/>
    </w:rPr>
  </w:style>
  <w:style w:type="paragraph" w:styleId="1046" w:customStyle="1">
    <w:name w:val="Normal_12_0"/>
    <w:uiPriority w:val="0"/>
    <w:qFormat/>
    <w:rPr>
      <w:rFonts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Normal_14_0"/>
    <w:uiPriority w:val="0"/>
    <w:qFormat/>
    <w:rPr>
      <w:rFonts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Normal_15_0"/>
    <w:uiPriority w:val="0"/>
    <w:qFormat/>
    <w:rPr>
      <w:rFonts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7_0"/>
    <w:uiPriority w:val="0"/>
    <w:qFormat/>
    <w:rPr>
      <w:rFonts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14_0_0"/>
    <w:uiPriority w:val="0"/>
    <w:qFormat/>
    <w:rPr>
      <w:rFonts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8_0"/>
    <w:uiPriority w:val="0"/>
    <w:qFormat/>
    <w:rPr>
      <w:rFonts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34"/>
    <w:qFormat/>
    <w:pPr>
      <w:ind w:firstLine="200"/>
    </w:pPr>
    <w:rPr>
      <w:rFonts w:ascii="Calibri" w:hAnsi="Calibri" w:eastAsia="宋体"/>
      <w:szCs w:val="22"/>
    </w:rPr>
  </w:style>
  <w:style w:type="paragraph" w:styleId="1111"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99"/>
    <w:uiPriority w:val="0"/>
    <w:qFormat/>
    <w:pPr>
      <w:spacing w:line="415" w:lineRule="auto"/>
    </w:pPr>
    <w:rPr>
      <w:rFonts w:ascii="Calibri" w:hAnsi="Calibri"/>
      <w:bCs/>
      <w:color w:val="000000"/>
      <w:sz w:val="28"/>
      <w:szCs w:val="28"/>
    </w:rPr>
  </w:style>
  <w:style w:type="paragraph" w:styleId="1260" w:customStyle="1">
    <w:name w:val="样式3"/>
    <w:basedOn w:val="799"/>
    <w:uiPriority w:val="0"/>
    <w:qFormat/>
    <w:pPr>
      <w:spacing w:line="415" w:lineRule="auto"/>
    </w:pPr>
    <w:rPr>
      <w:rFonts w:ascii="Calibri" w:hAnsi="Calibri"/>
      <w:bCs/>
      <w:color w:val="000000"/>
      <w:sz w:val="28"/>
      <w:szCs w:val="28"/>
    </w:rPr>
  </w:style>
  <w:style w:type="paragraph" w:styleId="1261" w:customStyle="1">
    <w:name w:val="样式4"/>
    <w:basedOn w:val="799"/>
    <w:uiPriority w:val="0"/>
    <w:qFormat/>
    <w:pPr>
      <w:spacing w:line="415" w:lineRule="auto"/>
    </w:pPr>
    <w:rPr>
      <w:rFonts w:ascii="Calibri" w:hAnsi="Calibri"/>
      <w:bCs/>
      <w:color w:val="000000"/>
      <w:sz w:val="28"/>
      <w:szCs w:val="28"/>
    </w:rPr>
  </w:style>
  <w:style w:type="paragraph" w:styleId="1262" w:customStyle="1">
    <w:name w:val="样式5"/>
    <w:basedOn w:val="799"/>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7"/>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2"/>
    <w:uiPriority w:val="0"/>
    <w:qFormat/>
    <w:rPr>
      <w:rFonts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3"/>
    <w:uiPriority w:val="0"/>
    <w:qFormat/>
    <w:rPr>
      <w:rFonts w:ascii="黑体" w:hAnsi="黑体" w:eastAsia="黑体" w:cs="Times New Roman"/>
      <w:b/>
      <w:sz w:val="32"/>
      <w:szCs w:val="24"/>
      <w:lang w:val="en-US" w:eastAsia="zh-CN" w:bidi="ar-SA"/>
    </w:rPr>
  </w:style>
  <w:style w:type="paragraph" w:styleId="1290" w:customStyle="1">
    <w:name w:val="Normal_4"/>
    <w:uiPriority w:val="0"/>
    <w:qFormat/>
    <w:rPr>
      <w:rFonts w:ascii="黑体" w:hAnsi="黑体" w:eastAsia="黑体" w:cs="Times New Roman"/>
      <w:b/>
      <w:sz w:val="32"/>
      <w:szCs w:val="24"/>
      <w:lang w:val="en-US" w:eastAsia="zh-CN" w:bidi="ar-SA"/>
    </w:rPr>
  </w:style>
  <w:style w:type="paragraph" w:styleId="1291" w:customStyle="1">
    <w:name w:val="Normal_5"/>
    <w:uiPriority w:val="0"/>
    <w:qFormat/>
    <w:rPr>
      <w:rFonts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6"/>
    <w:uiPriority w:val="0"/>
    <w:qFormat/>
    <w:rPr>
      <w:rFonts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5" w:customStyle="1">
    <w:name w:val="Normal_7"/>
    <w:uiPriority w:val="0"/>
    <w:qFormat/>
    <w:rPr>
      <w:rFonts w:ascii="黑体" w:hAnsi="黑体" w:eastAsia="黑体" w:cs="Times New Roman"/>
      <w:b/>
      <w:sz w:val="32"/>
      <w:szCs w:val="24"/>
      <w:lang w:val="en-US" w:eastAsia="zh-CN" w:bidi="ar-SA"/>
    </w:rPr>
  </w:style>
  <w:style w:type="paragraph" w:styleId="1296" w:customStyle="1">
    <w:name w:val="Normal_8"/>
    <w:uiPriority w:val="0"/>
    <w:qFormat/>
    <w:rPr>
      <w:rFonts w:ascii="Times New Roman" w:hAnsi="Times New Roman" w:eastAsia="Times New Roman" w:cs="Times New Roman"/>
      <w:sz w:val="24"/>
      <w:szCs w:val="24"/>
      <w:lang w:val="en-US" w:eastAsia="zh-CN" w:bidi="ar-SA"/>
    </w:rPr>
  </w:style>
  <w:style w:type="paragraph" w:styleId="1297" w:customStyle="1">
    <w:name w:val="Normal_9"/>
    <w:uiPriority w:val="0"/>
    <w:qFormat/>
    <w:rPr>
      <w:rFonts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Normal_10"/>
    <w:uiPriority w:val="0"/>
    <w:qFormat/>
    <w:rPr>
      <w:rFonts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2"/>
    <w:uiPriority w:val="0"/>
    <w:qFormat/>
    <w:rPr>
      <w:rFonts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3"/>
    <w:uiPriority w:val="0"/>
    <w:qFormat/>
    <w:rPr>
      <w:rFonts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4"/>
    <w:uiPriority w:val="0"/>
    <w:qFormat/>
    <w:rPr>
      <w:rFonts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5"/>
    <w:uiPriority w:val="0"/>
    <w:qFormat/>
    <w:rPr>
      <w:rFonts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6"/>
    <w:uiPriority w:val="0"/>
    <w:qFormat/>
    <w:rPr>
      <w:rFonts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17"/>
    <w:uiPriority w:val="0"/>
    <w:qFormat/>
    <w:rPr>
      <w:rFonts w:ascii="黑体" w:hAnsi="黑体" w:eastAsia="黑体" w:cs="Times New Roman"/>
      <w:b/>
      <w:sz w:val="32"/>
      <w:szCs w:val="24"/>
      <w:lang w:val="en-US" w:eastAsia="zh-CN" w:bidi="ar-SA"/>
    </w:rPr>
  </w:style>
  <w:style w:type="paragraph" w:styleId="1319" w:customStyle="1">
    <w:name w:val="Normal_18"/>
    <w:uiPriority w:val="0"/>
    <w:qFormat/>
    <w:rPr>
      <w:rFonts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0_0"/>
    <w:uiPriority w:val="0"/>
    <w:qFormat/>
    <w:rPr>
      <w:rFonts w:ascii="黑体" w:hAnsi="黑体" w:eastAsia="黑体" w:cs="Times New Roman"/>
      <w:b/>
      <w:sz w:val="40"/>
      <w:szCs w:val="24"/>
      <w:lang w:val="en-US" w:eastAsia="zh-CN" w:bidi="ar-SA"/>
    </w:rPr>
  </w:style>
  <w:style w:type="paragraph" w:styleId="1322" w:customStyle="1">
    <w:name w:val="Normal_1_0"/>
    <w:uiPriority w:val="0"/>
    <w:qFormat/>
    <w:rPr>
      <w:rFonts w:ascii="Times New Roman" w:hAnsi="Times New Roman" w:eastAsia="Times New Roman" w:cs="Times New Roman"/>
      <w:sz w:val="24"/>
      <w:szCs w:val="24"/>
      <w:lang w:val="en-US" w:eastAsia="zh-CN" w:bidi="ar-SA"/>
    </w:rPr>
  </w:style>
  <w:style w:type="paragraph" w:styleId="1323" w:customStyle="1">
    <w:name w:val="Normal1"/>
    <w:uiPriority w:val="0"/>
    <w:qFormat/>
    <w:rPr>
      <w:rFonts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19"/>
    <w:uiPriority w:val="0"/>
    <w:qFormat/>
    <w:rPr>
      <w:rFonts w:ascii="Times New Roman" w:hAnsi="Times New Roman" w:eastAsia="Times New Roman" w:cs="Times New Roman"/>
      <w:sz w:val="24"/>
      <w:szCs w:val="24"/>
      <w:lang w:val="en-US" w:eastAsia="zh-CN" w:bidi="ar-SA"/>
    </w:rPr>
  </w:style>
  <w:style w:type="paragraph" w:styleId="1327" w:customStyle="1">
    <w:name w:val="Normal_5_0"/>
    <w:uiPriority w:val="0"/>
    <w:qFormat/>
    <w:rPr>
      <w:rFonts w:ascii="黑体" w:hAnsi="黑体" w:eastAsia="黑体" w:cs="黑体"/>
      <w:b/>
      <w:sz w:val="32"/>
      <w:szCs w:val="24"/>
      <w:lang w:val="en-US" w:eastAsia="zh-CN" w:bidi="ar-SA"/>
    </w:rPr>
  </w:style>
  <w:style w:type="paragraph" w:styleId="1328" w:customStyle="1">
    <w:name w:val="Normal_6_0"/>
    <w:uiPriority w:val="0"/>
    <w:qFormat/>
    <w:rPr>
      <w:rFonts w:ascii="黑体" w:hAnsi="黑体" w:eastAsia="黑体" w:cs="黑体"/>
      <w:b/>
      <w:sz w:val="32"/>
      <w:szCs w:val="24"/>
      <w:lang w:val="en-US" w:eastAsia="zh-CN" w:bidi="ar-SA"/>
    </w:rPr>
  </w:style>
  <w:style w:type="paragraph" w:styleId="1329" w:customStyle="1">
    <w:name w:val="Normal_10_0"/>
    <w:uiPriority w:val="0"/>
    <w:qFormat/>
    <w:rPr>
      <w:rFonts w:ascii="Times New Roman" w:hAnsi="Times New Roman" w:eastAsia="Times New Roman" w:cs="Times New Roman"/>
      <w:sz w:val="24"/>
      <w:szCs w:val="24"/>
      <w:lang w:val="en-US" w:eastAsia="zh-CN" w:bidi="ar-SA"/>
    </w:rPr>
  </w:style>
  <w:style w:type="paragraph" w:styleId="1330" w:customStyle="1">
    <w:name w:val="Normal_11_0"/>
    <w:uiPriority w:val="0"/>
    <w:qFormat/>
    <w:rPr>
      <w:rFonts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16_0"/>
    <w:uiPriority w:val="0"/>
    <w:qFormat/>
    <w:rPr>
      <w:rFonts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9_0"/>
    <w:uiPriority w:val="0"/>
    <w:qFormat/>
    <w:rPr>
      <w:rFonts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20"/>
    <w:uiPriority w:val="0"/>
    <w:qFormat/>
    <w:rPr>
      <w:rFonts w:ascii="黑体" w:hAnsi="黑体" w:eastAsia="黑体" w:cs="黑体"/>
      <w:b/>
      <w:sz w:val="32"/>
      <w:szCs w:val="24"/>
      <w:lang w:val="en-US" w:eastAsia="zh-CN" w:bidi="ar-SA"/>
    </w:rPr>
  </w:style>
  <w:style w:type="paragraph" w:styleId="1344" w:customStyle="1">
    <w:name w:val="Normal_21"/>
    <w:uiPriority w:val="0"/>
    <w:qFormat/>
    <w:rPr>
      <w:rFonts w:ascii="黑体" w:hAnsi="黑体" w:eastAsia="黑体" w:cs="黑体"/>
      <w:b/>
      <w:sz w:val="32"/>
      <w:szCs w:val="24"/>
      <w:lang w:val="en-US" w:eastAsia="zh-CN" w:bidi="ar-SA"/>
    </w:rPr>
  </w:style>
  <w:style w:type="paragraph" w:styleId="1345" w:customStyle="1">
    <w:name w:val="Normal_0_2"/>
    <w:uiPriority w:val="0"/>
    <w:qFormat/>
    <w:rPr>
      <w:rFonts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字符"/>
    <w:basedOn w:val="740"/>
    <w:link w:val="753"/>
    <w:uiPriority w:val="0"/>
    <w:qFormat/>
    <w:rPr>
      <w:rFonts w:eastAsia="Times New Roman"/>
      <w:sz w:val="18"/>
      <w:szCs w:val="18"/>
    </w:rPr>
  </w:style>
  <w:style w:type="character" w:styleId="1349" w:customStyle="1">
    <w:name w:val="批注文字 字符"/>
    <w:basedOn w:val="740"/>
    <w:link w:val="745"/>
    <w:uiPriority w:val="99"/>
    <w:semiHidden/>
    <w:qFormat/>
    <w:rPr>
      <w:rFonts w:eastAsia="Times New Roman"/>
      <w:sz w:val="24"/>
      <w:szCs w:val="24"/>
    </w:rPr>
  </w:style>
  <w:style w:type="character" w:styleId="1350" w:customStyle="1">
    <w:name w:val="批注主题 字符"/>
    <w:basedOn w:val="1349"/>
    <w:link w:val="767"/>
    <w:uiPriority w:val="0"/>
    <w:qFormat/>
    <w:rPr>
      <w:rFonts w:eastAsia="Times New Roman"/>
      <w:sz w:val="24"/>
      <w:szCs w:val="24"/>
    </w:rPr>
  </w:style>
  <w:style w:type="paragraph" w:styleId="1351" w:customStyle="1">
    <w:name w:val="WPSOffice手动目录 1"/>
    <w:uiPriority w:val="0"/>
    <w:qFormat/>
    <w:rPr>
      <w:rFonts w:ascii="Times New Roman" w:hAnsi="Times New Roman" w:eastAsia="宋体" w:cs="Times New Roman"/>
      <w:lang w:val="en-US" w:eastAsia="zh-CN" w:bidi="ar-SA"/>
    </w:rPr>
  </w:style>
  <w:style w:type="character" w:styleId="1352" w:customStyle="1">
    <w:name w:val="15"/>
    <w:basedOn w:val="740"/>
    <w:uiPriority w:val="0"/>
    <w:qFormat/>
    <w:rPr>
      <w:rFonts w:hint="default" w:ascii="Times New Roman" w:hAnsi="Times New Roman" w:cs="Times New Roman"/>
    </w:rPr>
  </w:style>
  <w:style w:type="paragraph" w:styleId="1353" w:customStyle="1">
    <w:name w:val="Table Text"/>
    <w:basedOn w:val="730"/>
    <w:uiPriority w:val="0"/>
    <w:semiHidden/>
    <w:qFormat/>
    <w:rPr>
      <w:rFonts w:ascii="宋体" w:hAnsi="宋体" w:eastAsia="宋体" w:cs="宋体"/>
      <w:lang w:eastAsia="en-US"/>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16"/>
    <w:basedOn w:val="740"/>
    <w:uiPriority w:val="0"/>
    <w:qFormat/>
    <w:rPr>
      <w:rFonts w:hint="default" w:ascii="Times New Roman" w:hAnsi="Times New Roman" w:eastAsia="宋体" w:cs="Times New Roman"/>
    </w:rPr>
  </w:style>
  <w:style w:type="character" w:styleId="1356"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7" w:customStyle="1">
    <w:name w:val="font71"/>
    <w:basedOn w:val="740"/>
    <w:uiPriority w:val="0"/>
    <w:qFormat/>
    <w:rPr>
      <w:rFonts w:ascii="等线" w:hAnsi="等线" w:eastAsia="等线" w:cs="等线"/>
      <w:color w:val="000000"/>
      <w:sz w:val="20"/>
      <w:szCs w:val="20"/>
      <w:u w:val="none"/>
    </w:rPr>
  </w:style>
  <w:style w:type="character" w:styleId="1358" w:customStyle="1">
    <w:name w:val="font81"/>
    <w:basedOn w:val="740"/>
    <w:uiPriority w:val="0"/>
    <w:qFormat/>
    <w:rPr>
      <w:rFonts w:hint="eastAsia" w:ascii="等线" w:hAnsi="等线" w:eastAsia="等线" w:cs="等线"/>
      <w:color w:val="000000"/>
      <w:sz w:val="20"/>
      <w:szCs w:val="20"/>
      <w:u w:val="none"/>
    </w:rPr>
  </w:style>
  <w:style w:type="character" w:styleId="1359" w:customStyle="1">
    <w:name w:val="font31"/>
    <w:basedOn w:val="740"/>
    <w:uiPriority w:val="0"/>
    <w:qFormat/>
    <w:rPr>
      <w:rFonts w:hint="default" w:ascii="Arial" w:hAnsi="Arial" w:cs="Arial"/>
      <w:color w:val="000000"/>
      <w:sz w:val="20"/>
      <w:szCs w:val="20"/>
      <w:u w:val="none"/>
    </w:rPr>
  </w:style>
  <w:style w:type="character" w:styleId="1360" w:customStyle="1">
    <w:name w:val="font91"/>
    <w:basedOn w:val="740"/>
    <w:uiPriority w:val="0"/>
    <w:qFormat/>
    <w:rPr>
      <w:rFonts w:ascii="微软雅黑" w:hAnsi="微软雅黑" w:eastAsia="微软雅黑" w:cs="微软雅黑"/>
      <w:color w:val="000000"/>
      <w:sz w:val="20"/>
      <w:szCs w:val="20"/>
      <w:u w:val="none"/>
    </w:rPr>
  </w:style>
  <w:style w:type="character" w:styleId="1361" w:customStyle="1">
    <w:name w:val="页眉 字符"/>
    <w:basedOn w:val="740"/>
    <w:link w:val="756"/>
    <w:uiPriority w:val="0"/>
    <w:qFormat/>
    <w:rPr>
      <w:rFonts w:eastAsia="Times New Roman"/>
      <w:sz w:val="24"/>
      <w:szCs w:val="24"/>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35723b59-b767-48e9-8f90-3a0694dc1801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ec48cb2b-cdfa-4871-8642-59163df275f2</errorID>
      <errorWord>:</errorWord>
      <group>L1_Format</group>
      <groupName>格式问题</groupName>
      <ability>L2_HalfPunc</ability>
      <abilityName>全半角检查</abilityName>
      <candidateList>
        <item>：</item>
      </candidateList>
      <explain>文本全半角错误。</explain>
      <paraID>16464300</paraID>
      <start>7</start>
      <end>8</end>
      <status>modified</status>
      <modifiedWord>：</modifiedWord>
      <trackRevisions>false</trackRevisions>
    </reviewItem>
    <reviewItem>
      <errorID>4edab7b9-554c-4cca-9421-62fc79c29d7b</errorID>
      <errorWord>:</errorWord>
      <group>L1_Format</group>
      <groupName>格式问题</groupName>
      <ability>L2_HalfPunc</ability>
      <abilityName>全半角检查</abilityName>
      <candidateList>
        <item>：</item>
      </candidateList>
      <explain>文本全半角错误。</explain>
      <paraID>27CEAEB3</paraID>
      <start>2</start>
      <end>3</end>
      <status>modified</status>
      <modifiedWord>：</modifiedWord>
      <trackRevisions>false</trackRevisions>
    </reviewItem>
    <reviewItem>
      <errorID>38d31c1e-efcc-4984-8d60-76bb915f7460</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ef18745f-cb25-48e7-932d-a8d38bf677a5</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72b13915-7add-4ac9-81f6-c8e661b576bb</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1af3f04c-03f5-4af0-b3ed-612c44c87701</errorID>
      <errorWord>(</errorWord>
      <group>L1_Format</group>
      <groupName>格式问题</groupName>
      <ability>L2_HalfPunc</ability>
      <abilityName>全半角检查</abilityName>
      <candidateList>
        <item>（</item>
      </candidateList>
      <explain>文本全半角错误。</explain>
      <paraID>19335898</paraID>
      <start>26</start>
      <end>27</end>
      <status>modified</status>
      <modifiedWord>（</modifiedWord>
      <trackRevisions>false</trackRevisions>
    </reviewItem>
    <reviewItem>
      <errorID>ef84fcdf-2809-4df3-8c5e-8a0b8639dcab</errorID>
      <errorWord>：</errorWord>
      <group>L1_Format</group>
      <groupName>格式问题</groupName>
      <ability>L2_HalfPunc</ability>
      <abilityName>全半角检查</abilityName>
      <candidateList>
        <item>:</item>
      </candidateList>
      <explain>文本全半角错误。</explain>
      <paraID>786D43C2</paraID>
      <start>37</start>
      <end>38</end>
      <status>modified</status>
      <modifiedWord>:</modifiedWord>
      <trackRevisions>false</trackRevisions>
    </reviewItem>
    <reviewItem>
      <errorID>6d8e10d3-d812-4b52-bf25-93b57d8a1514</errorID>
      <errorWord>：</errorWord>
      <group>L1_Format</group>
      <groupName>格式问题</groupName>
      <ability>L2_HalfPunc</ability>
      <abilityName>全半角检查</abilityName>
      <candidateList>
        <item>:</item>
      </candidateList>
      <explain>文本全半角错误。</explain>
      <paraID>786D43C2</paraID>
      <start>54</start>
      <end>55</end>
      <status>modified</status>
      <modifiedWord>:</modifiedWord>
      <trackRevisions>false</trackRevisions>
    </reviewItem>
    <reviewItem>
      <errorID>0248bbc0-635c-4b3c-979c-56c9efba4790</errorID>
      <errorWord>(</errorWord>
      <group>L1_Format</group>
      <groupName>格式问题</groupName>
      <ability>L2_HalfPunc</ability>
      <abilityName>全半角检查</abilityName>
      <candidateList>
        <item>（</item>
      </candidateList>
      <explain>文本全半角错误。</explain>
      <paraID>4C305AAD</paraID>
      <start>43</start>
      <end>44</end>
      <status>modified</status>
      <modifiedWord>（</modifiedWord>
      <trackRevisions>false</trackRevisions>
    </reviewItem>
    <reviewItem>
      <errorID>65b2fba8-037c-4f6a-a6ba-f6b759a2dcb0</errorID>
      <errorWord>)</errorWord>
      <group>L1_Format</group>
      <groupName>格式问题</groupName>
      <ability>L2_HalfPunc</ability>
      <abilityName>全半角检查</abilityName>
      <candidateList>
        <item>）</item>
      </candidateList>
      <explain>文本全半角错误。</explain>
      <paraID>4C305AAD</paraID>
      <start>58</start>
      <end>59</end>
      <status>modified</status>
      <modifiedWord>）</modifiedWord>
      <trackRevisions>false</trackRevisions>
    </reviewItem>
    <reviewItem>
      <errorID>491f3aad-5215-4a41-80f7-95e35090c2f5</errorID>
      <errorWord>(</errorWord>
      <group>L1_Format</group>
      <groupName>格式问题</groupName>
      <ability>L2_HalfPunc</ability>
      <abilityName>全半角检查</abilityName>
      <candidateList>
        <item>（</item>
      </candidateList>
      <explain>文本全半角错误。</explain>
      <paraID> 8A7A383</paraID>
      <start>17</start>
      <end>18</end>
      <status>modified</status>
      <modifiedWord>（</modifiedWord>
      <trackRevisions>false</trackRevisions>
    </reviewItem>
    <reviewItem>
      <errorID>c72caab7-79d0-4b6d-9b19-b5b8f0b0e0f6</errorID>
      <errorWord>)</errorWord>
      <group>L1_Format</group>
      <groupName>格式问题</groupName>
      <ability>L2_HalfPunc</ability>
      <abilityName>全半角检查</abilityName>
      <candidateList>
        <item>）</item>
      </candidateList>
      <explain>文本全半角错误。</explain>
      <paraID> 8A7A383</paraID>
      <start>23</start>
      <end>24</end>
      <status>modified</status>
      <modifiedWord>）</modifiedWord>
      <trackRevisions>false</trackRevisions>
    </reviewItem>
    <reviewItem>
      <errorID>416e66f4-5650-4d05-b988-51d2174cdcb3</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f2242a25-2340-4d64-88c2-83325f688ad1</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f96d9338-eaea-45e0-b528-31c2900b6dbf</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fe07dd14-8c28-4b51-9685-e50557cf7854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3df48331-7f25-4686-bc36-8ec0d7cea44e</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e56dc03f-c590-40e7-a194-dd3d5264be83</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1a30eeb2-eb32-4622-8442-6a687f94f5b4</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96678057-0f43-47bb-a4c9-1031604bb20e</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2efec9b9-75b0-43b5-9288-b9de6a289468</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e393fa5b-79c0-4d1e-91ce-c8d34ac1250d</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95f5eebe-1f16-4caf-9175-da3dd87c299e</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04d21186-a508-4a06-a2d4-9a42547706c2</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704a1c9d-6a57-42e2-969d-c1ce4fa0a159</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e4c70a6a-5608-4379-88fb-4bde6d4116c7</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358ce9dd-87e7-4622-b653-07f7027ac98a</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2f1ca2f5-c0ce-4b1a-81e0-15fa77293405</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81611821-fdaf-43de-9346-287e3818e73c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cef676b4-c299-4ee6-aa31-e14b94a08ee6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39</start>
      <end>41</end>
      <status>modified</status>
      <modifiedWord>》《</modifiedWord>
      <trackRevisions>false</trackRevisions>
    </reviewItem>
    <reviewItem>
      <errorID>a08ba051-53dd-4abb-8c1e-40e407cc40bb</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e9f520d7-3757-49e2-ab27-20fc1d4452f8</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06b2ccbb-3840-4177-b54b-d93efc08656c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2e603aa4-3115-4261-876a-c1e8e9606637</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fa2d8c52-f070-4d38-91a7-bd2b43baeff5</errorID>
      <errorWord>，</errorWord>
      <group>L1_Word</group>
      <groupName>字词问题</groupName>
      <ability>L2_Typo</ability>
      <abilityName>字词错误</abilityName>
      <candidateList>
        <item>，并</item>
      </candidateList>
      <explain/>
      <paraID>1AE23F56</paraID>
      <start>73</start>
      <end>74</end>
      <status>ignored</status>
      <modifiedWord/>
      <trackRevisions>false</trackRevisions>
    </reviewItem>
    <reviewItem>
      <errorID>54eb1c17-28a8-4c37-a563-8770b7ec9a46</errorID>
      <errorWord>(</errorWord>
      <group>L1_Format</group>
      <groupName>格式问题</groupName>
      <ability>L2_HalfPunc</ability>
      <abilityName>全半角检查</abilityName>
      <candidateList>
        <item>（</item>
      </candidateList>
      <explain>文本全半角错误。</explain>
      <paraID>7C0AD2B1</paraID>
      <start>14</start>
      <end>15</end>
      <status>modified</status>
      <modifiedWord>（</modifiedWord>
      <trackRevisions>false</trackRevisions>
    </reviewItem>
    <reviewItem>
      <errorID>89d3beab-a927-4f56-b43e-c2d323ff0d9b</errorID>
      <errorWord>)</errorWord>
      <group>L1_Format</group>
      <groupName>格式问题</groupName>
      <ability>L2_HalfPunc</ability>
      <abilityName>全半角检查</abilityName>
      <candidateList>
        <item>）</item>
      </candidateList>
      <explain>文本全半角错误。</explain>
      <paraID>7C0AD2B1</paraID>
      <start>18</start>
      <end>19</end>
      <status>modified</status>
      <modifiedWord>）</modifiedWord>
      <trackRevisions>false</trackRevisions>
    </reviewItem>
    <reviewItem>
      <errorID>8e36fed8-c71b-471f-971c-8f44e0cf3fca</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19c8f5bb-07eb-4919-8a95-4bea77d1866f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ff67eb42-55e6-49a9-add3-fb78734e5787</errorID>
      <errorWord>法律、法规</errorWord>
      <group>L1_Word</group>
      <groupName>字词问题</groupName>
      <ability>L2_Typo</ability>
      <abilityName>字词错误</abilityName>
      <candidateList>
        <item>法律法规</item>
      </candidateList>
      <explain/>
      <paraID>7A9781CE</paraID>
      <start>5</start>
      <end>10</end>
      <status>ignored</status>
      <modifiedWord/>
      <trackRevisions>false</trackRevisions>
    </reviewItem>
    <reviewItem>
      <errorID>e9e8fe2c-6b3e-49f6-afce-e90ca58253e8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4295e514-f4a3-424b-a669-46eadee48133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45e73abe-7611-46aa-a0c1-46782308e008</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83e752e0-13da-44d8-9c6d-90dc126b106b</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a4817292-49a9-418b-bd27-339e29b61f78</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b2c7f8d0-5156-4817-95cb-a78465e38c85</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8eb0644e-0f37-4017-8ad0-9f52aec2e192</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18e1b56c-a71e-4602-b802-08428b6957a3</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c8203d61-5b3f-4197-b0ac-22bd83c1bb04</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e7f87b7b-5f54-491e-ad25-92c37f2ae953</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6ba92cdb-6f42-477d-a19f-57538781ef09</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752df42b-b583-4a4f-ad15-45cddcd676c2</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b763bacc-5091-4371-b244-83027e9ae540</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2931e881-6a6c-469f-b7a4-701f4782cbc7</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d3444c76-7383-4404-808d-a3a89194ef3e</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b1c0f1d0-cf45-4bf9-a497-7cc8203a318b</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73e3aa19-6a0c-40d3-82fb-7d1d810f3bd9</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a94a22e9-5da5-423b-8a2e-2822b21235be</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723b4b4d-c05f-4ad2-8948-3e3d10dfbf22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3c631af1-358c-4bc5-b34b-bcfe55e5d2df</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c860aead-2bda-4f8b-bdf2-624f0db2589f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d45b277f-e0dc-4466-96b0-4cb586f9743d</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4b79fc4b-37c3-4442-9047-2441d7f4d876</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50e63766-6074-452d-98e0-4e6b697cb8c9</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8e16ecd6-7a91-4ed3-a94f-64ebfbef2e9b</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20402999-2797-4223-abd5-8af0883ed185</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6d6a216b-9874-43b5-a891-4290581ee9e5</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6b11ed84-5d41-400e-b267-f7d98f6fb086</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53666d19-bdd6-46fb-9577-6486409288f5</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b6378df8-8eaf-4551-a02f-e7c2af35f859</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c45fc0ad-0e7a-401d-93d9-1318a94fdfd7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7e9d1653-da56-4337-be20-eff001b62014</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bf2dce6a-2a43-49bf-8f76-579559e73892</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331d53cc-f39a-4cca-be16-fd135bc160d6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bfa2b911-f944-4f74-b942-bceae33eb784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5b3bda88-2e0b-4c8b-aedb-f23f72cecde3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c607b8a8-6024-4cdd-b8a2-4aab69f0487e</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546f45eb-e22e-44b8-a90d-377bb1120171</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ad03c283-30f8-40a0-9065-c37a1e1ba6c4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75414079</paraID>
      <start>0</start>
      <end>2</end>
      <status>modified</status>
      <modifiedWord>1.</modifiedWord>
      <trackRevisions>false</trackRevisions>
    </reviewItem>
    <reviewItem>
      <errorID>df9ea70a-0cd4-45d6-bc48-a82f598fd28c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66798BE8</paraID>
      <start>0</start>
      <end>2</end>
      <status>modified</status>
      <modifiedWord>2.</modifiedWord>
      <trackRevisions>false</trackRevisions>
    </reviewItem>
    <reviewItem>
      <errorID>48605cf6-96e4-4158-a545-fda827a73f33</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e98139fc-841b-40c7-bad8-bfad5bb81f61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3446a0cb-6cb9-42a8-9029-329e2d9939f6</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0c6b13a0-63df-4a23-9755-20c0b12bf898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1e3d7c7f-6ef4-4fb7-9bcc-cf8919dcfc2b</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5bc4d5f6-5a50-48ee-ac1f-2417c6213373</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0f74a56c-2998-400d-b046-f1eeec8ee93b</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4ee25148-3e23-4a0f-98e8-0fc4211963a2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3b6d336c-ce97-4955-bb81-280dae6478c4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90ca98fa-b0dd-4d0d-933a-3f1aab699039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2a5602f9-3fdf-4a63-8764-d06493bf377d</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78143afc-8964-4d36-85dd-3732dfedaae0</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55b87db2-25e9-475b-b703-6b473a206ebf</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B663F-8CC8-4A61-AB16-6E596D8338C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16</cp:revision>
  <dcterms:created xsi:type="dcterms:W3CDTF">2025-02-17T02:07:00Z</dcterms:created>
  <dcterms:modified xsi:type="dcterms:W3CDTF">2026-04-29T07:27:02Z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EC9B87F4AE844985B5076E3401464360_13</vt:lpwstr>
  </property>
  <property fmtid="{D5CDD505-2E9C-101B-9397-08002B2CF9AE}" pid="4" name="KSOTemplateDocerSaveRecord">
    <vt:lpwstr>eyJoZGlkIjoiMjYyZmZlM2RiNzNkODYzMmRmMzE4MjFlOTcxMTVjYTIiLCJ1c2VySWQiOiIzMDIxMTIwMyJ9</vt:lpwstr>
  </property>
</Properties>
</file>