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黑体" w:hAnsi="宋体" w:eastAsia="黑体"/>
          <w:color w:val="auto"/>
          <w:sz w:val="44"/>
          <w:szCs w:val="44"/>
          <w:highlight w:val="none"/>
          <w:lang w:val="zh-CN"/>
        </w:rPr>
      </w:pPr>
      <w:bookmarkStart w:id="0" w:name="_Toc3485"/>
    </w:p>
    <w:p>
      <w:pPr>
        <w:pStyle w:val="7"/>
        <w:rPr>
          <w:color w:val="auto"/>
          <w:highlight w:val="none"/>
          <w:lang w:val="zh-CN"/>
        </w:rPr>
      </w:pPr>
    </w:p>
    <w:p>
      <w:pPr>
        <w:jc w:val="center"/>
        <w:rPr>
          <w:rFonts w:hint="eastAsia" w:ascii="黑体" w:hAnsi="宋体" w:eastAsia="黑体"/>
          <w:color w:val="auto"/>
          <w:sz w:val="44"/>
          <w:szCs w:val="44"/>
          <w:highlight w:val="none"/>
        </w:rPr>
      </w:pPr>
      <w:r>
        <w:rPr>
          <w:color w:val="auto"/>
          <w:highlight w:val="none"/>
          <w:u w:val="none"/>
        </w:rPr>
        <w:drawing>
          <wp:inline distT="0" distB="0" distL="114300" distR="114300">
            <wp:extent cx="3367405" cy="1122680"/>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67405" cy="1122680"/>
                    </a:xfrm>
                    <a:prstGeom prst="rect">
                      <a:avLst/>
                    </a:prstGeom>
                    <a:noFill/>
                    <a:ln>
                      <a:noFill/>
                    </a:ln>
                  </pic:spPr>
                </pic:pic>
              </a:graphicData>
            </a:graphic>
          </wp:inline>
        </w:drawing>
      </w: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lang w:eastAsia="zh-CN"/>
        </w:rPr>
        <w:t>公开招标</w:t>
      </w:r>
      <w:r>
        <w:rPr>
          <w:rFonts w:hint="eastAsia" w:ascii="宋体" w:hAnsi="宋体" w:eastAsia="宋体" w:cs="宋体"/>
          <w:b/>
          <w:bCs/>
          <w:color w:val="auto"/>
          <w:sz w:val="84"/>
          <w:szCs w:val="84"/>
          <w:highlight w:val="none"/>
        </w:rPr>
        <w:t>文件</w:t>
      </w:r>
    </w:p>
    <w:p>
      <w:pPr>
        <w:adjustRightInd w:val="0"/>
        <w:snapToGrid w:val="0"/>
        <w:rPr>
          <w:rFonts w:hint="eastAsia" w:ascii="宋体" w:hAnsi="宋体" w:eastAsia="宋体" w:cs="宋体"/>
          <w:color w:val="auto"/>
          <w:sz w:val="36"/>
          <w:szCs w:val="36"/>
          <w:highlight w:val="none"/>
          <w:lang w:val="zh-CN"/>
        </w:rPr>
      </w:pPr>
    </w:p>
    <w:p>
      <w:pPr>
        <w:adjustRightInd w:val="0"/>
        <w:snapToGrid w:val="0"/>
        <w:rPr>
          <w:rFonts w:hint="eastAsia" w:ascii="宋体" w:hAnsi="宋体" w:eastAsia="宋体" w:cs="宋体"/>
          <w:color w:val="auto"/>
          <w:sz w:val="36"/>
          <w:szCs w:val="36"/>
          <w:highlight w:val="none"/>
          <w:lang w:val="zh-CN"/>
        </w:rPr>
      </w:pPr>
    </w:p>
    <w:p>
      <w:pPr>
        <w:adjustRightInd w:val="0"/>
        <w:snapToGrid w:val="0"/>
        <w:ind w:firstLine="705" w:firstLineChars="196"/>
        <w:rPr>
          <w:rFonts w:hint="eastAsia" w:ascii="宋体" w:hAnsi="宋体" w:eastAsia="宋体" w:cs="宋体"/>
          <w:color w:val="auto"/>
          <w:sz w:val="36"/>
          <w:szCs w:val="36"/>
          <w:highlight w:val="none"/>
          <w:lang w:val="zh-CN"/>
        </w:rPr>
      </w:pPr>
    </w:p>
    <w:tbl>
      <w:tblPr>
        <w:tblStyle w:val="20"/>
        <w:tblpPr w:leftFromText="180" w:rightFromText="180" w:vertAnchor="text" w:horzAnchor="page" w:tblpX="1465" w:tblpY="258"/>
        <w:tblW w:w="9440" w:type="dxa"/>
        <w:jc w:val="center"/>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96" w:hRule="atLeast"/>
          <w:jc w:val="center"/>
        </w:trPr>
        <w:tc>
          <w:tcPr>
            <w:tcW w:w="9440" w:type="dxa"/>
            <w:tcBorders>
              <w:top w:val="nil"/>
              <w:left w:val="nil"/>
              <w:bottom w:val="nil"/>
              <w:right w:val="nil"/>
            </w:tcBorders>
            <w:noWrap w:val="0"/>
            <w:vAlign w:val="top"/>
          </w:tcPr>
          <w:p>
            <w:pPr>
              <w:jc w:val="both"/>
              <w:rPr>
                <w:rFonts w:hint="default"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项目编号：</w:t>
            </w:r>
            <w:r>
              <w:rPr>
                <w:rFonts w:hint="eastAsia" w:ascii="宋体" w:hAnsi="宋体" w:eastAsia="宋体" w:cs="宋体"/>
                <w:color w:val="auto"/>
                <w:sz w:val="40"/>
                <w:szCs w:val="40"/>
                <w:highlight w:val="none"/>
                <w:lang w:val="en-US" w:eastAsia="zh-CN"/>
              </w:rPr>
              <w:t>JD-ZB-23057</w:t>
            </w:r>
          </w:p>
          <w:p>
            <w:pPr>
              <w:jc w:val="left"/>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项目名称：</w:t>
            </w:r>
            <w:r>
              <w:rPr>
                <w:rFonts w:hint="eastAsia" w:ascii="宋体" w:hAnsi="宋体" w:eastAsia="宋体" w:cs="宋体"/>
                <w:color w:val="auto"/>
                <w:sz w:val="40"/>
                <w:szCs w:val="40"/>
                <w:highlight w:val="none"/>
                <w:lang w:eastAsia="zh-CN"/>
              </w:rPr>
              <w:t>力学小学等9所学校校园无线网改造项目</w:t>
            </w:r>
          </w:p>
          <w:p>
            <w:pPr>
              <w:jc w:val="left"/>
              <w:rPr>
                <w:rFonts w:hint="eastAsia" w:ascii="宋体" w:hAnsi="宋体" w:eastAsia="宋体" w:cs="宋体"/>
                <w:color w:val="auto"/>
                <w:sz w:val="40"/>
                <w:szCs w:val="40"/>
                <w:highlight w:val="none"/>
                <w:lang w:val="zh-CN"/>
              </w:rPr>
            </w:pPr>
            <w:r>
              <w:rPr>
                <w:rFonts w:hint="eastAsia" w:ascii="宋体" w:hAnsi="宋体" w:eastAsia="宋体" w:cs="宋体"/>
                <w:color w:val="auto"/>
                <w:sz w:val="40"/>
                <w:szCs w:val="40"/>
                <w:highlight w:val="none"/>
                <w:lang w:val="zh-CN"/>
              </w:rPr>
              <w:t>采</w:t>
            </w:r>
            <w:r>
              <w:rPr>
                <w:rFonts w:hint="eastAsia" w:ascii="宋体" w:hAnsi="宋体" w:eastAsia="宋体" w:cs="宋体"/>
                <w:color w:val="auto"/>
                <w:sz w:val="40"/>
                <w:szCs w:val="40"/>
                <w:highlight w:val="none"/>
                <w:lang w:val="en-US" w:eastAsia="zh-CN"/>
              </w:rPr>
              <w:t xml:space="preserve"> </w:t>
            </w:r>
            <w:r>
              <w:rPr>
                <w:rFonts w:hint="eastAsia" w:ascii="宋体" w:hAnsi="宋体" w:eastAsia="宋体" w:cs="宋体"/>
                <w:color w:val="auto"/>
                <w:sz w:val="40"/>
                <w:szCs w:val="40"/>
                <w:highlight w:val="none"/>
                <w:lang w:val="zh-CN"/>
              </w:rPr>
              <w:t>购</w:t>
            </w:r>
            <w:r>
              <w:rPr>
                <w:rFonts w:hint="eastAsia" w:ascii="宋体" w:hAnsi="宋体" w:eastAsia="宋体" w:cs="宋体"/>
                <w:color w:val="auto"/>
                <w:sz w:val="40"/>
                <w:szCs w:val="40"/>
                <w:highlight w:val="none"/>
                <w:lang w:val="en-US" w:eastAsia="zh-CN"/>
              </w:rPr>
              <w:t xml:space="preserve"> </w:t>
            </w:r>
            <w:r>
              <w:rPr>
                <w:rFonts w:hint="eastAsia" w:ascii="宋体" w:hAnsi="宋体" w:eastAsia="宋体" w:cs="宋体"/>
                <w:color w:val="auto"/>
                <w:sz w:val="40"/>
                <w:szCs w:val="40"/>
                <w:highlight w:val="none"/>
                <w:lang w:val="zh-CN"/>
              </w:rPr>
              <w:t>人：南京市鼓楼区教师发展中心</w:t>
            </w:r>
          </w:p>
          <w:p>
            <w:pPr>
              <w:jc w:val="left"/>
              <w:rPr>
                <w:rFonts w:hint="eastAsia" w:ascii="宋体" w:hAnsi="宋体" w:eastAsia="宋体" w:cs="宋体"/>
                <w:color w:val="auto"/>
                <w:sz w:val="36"/>
                <w:szCs w:val="36"/>
                <w:highlight w:val="none"/>
                <w:lang w:val="zh-CN"/>
              </w:rPr>
            </w:pPr>
            <w:r>
              <w:rPr>
                <w:rFonts w:hint="eastAsia" w:ascii="宋体" w:hAnsi="宋体" w:eastAsia="宋体" w:cs="宋体"/>
                <w:color w:val="auto"/>
                <w:sz w:val="40"/>
                <w:szCs w:val="40"/>
                <w:highlight w:val="none"/>
                <w:lang w:val="zh-CN"/>
              </w:rPr>
              <w:t>代理机构：南京金鼎工程造价评估有限责任公司</w:t>
            </w:r>
          </w:p>
        </w:tc>
      </w:tr>
    </w:tbl>
    <w:p>
      <w:pPr>
        <w:jc w:val="right"/>
        <w:rPr>
          <w:rFonts w:hint="eastAsia" w:ascii="宋体" w:hAnsi="宋体" w:eastAsia="宋体" w:cs="宋体"/>
          <w:color w:val="auto"/>
          <w:sz w:val="40"/>
          <w:szCs w:val="40"/>
          <w:highlight w:val="none"/>
        </w:rPr>
      </w:pPr>
    </w:p>
    <w:p>
      <w:pPr>
        <w:jc w:val="center"/>
        <w:rPr>
          <w:rFonts w:hint="eastAsia" w:ascii="宋体" w:hAnsi="宋体" w:eastAsia="宋体" w:cs="宋体"/>
          <w:color w:val="auto"/>
          <w:sz w:val="40"/>
          <w:szCs w:val="40"/>
          <w:highlight w:val="none"/>
        </w:rPr>
      </w:pPr>
    </w:p>
    <w:p>
      <w:pPr>
        <w:spacing w:line="360" w:lineRule="auto"/>
        <w:jc w:val="center"/>
        <w:rPr>
          <w:rFonts w:ascii="黑体" w:hAnsi="宋体" w:eastAsia="黑体"/>
          <w:color w:val="auto"/>
          <w:sz w:val="44"/>
          <w:highlight w:val="none"/>
        </w:rPr>
        <w:sectPr>
          <w:headerReference r:id="rId4" w:type="first"/>
          <w:footerReference r:id="rId6" w:type="first"/>
          <w:headerReference r:id="rId3" w:type="default"/>
          <w:footerReference r:id="rId5" w:type="default"/>
          <w:pgSz w:w="11906" w:h="16838"/>
          <w:pgMar w:top="1440" w:right="1080" w:bottom="1440" w:left="1080" w:header="851" w:footer="680" w:gutter="0"/>
          <w:pgNumType w:fmt="decimal" w:start="0"/>
          <w:cols w:space="720" w:num="1"/>
          <w:docGrid w:type="lines" w:linePitch="312" w:charSpace="0"/>
        </w:sectPr>
      </w:pPr>
      <w:r>
        <w:rPr>
          <w:rFonts w:hint="eastAsia" w:ascii="宋体" w:hAnsi="宋体" w:eastAsia="宋体" w:cs="宋体"/>
          <w:color w:val="auto"/>
          <w:sz w:val="40"/>
          <w:szCs w:val="40"/>
          <w:highlight w:val="none"/>
        </w:rPr>
        <w:t>二〇二</w:t>
      </w:r>
      <w:r>
        <w:rPr>
          <w:rFonts w:hint="eastAsia" w:ascii="宋体" w:hAnsi="宋体" w:eastAsia="宋体" w:cs="宋体"/>
          <w:color w:val="auto"/>
          <w:sz w:val="40"/>
          <w:szCs w:val="40"/>
          <w:highlight w:val="none"/>
          <w:lang w:eastAsia="zh-CN"/>
        </w:rPr>
        <w:t>三</w:t>
      </w:r>
      <w:r>
        <w:rPr>
          <w:rFonts w:hint="eastAsia" w:ascii="宋体" w:hAnsi="宋体" w:eastAsia="宋体" w:cs="宋体"/>
          <w:color w:val="auto"/>
          <w:sz w:val="40"/>
          <w:szCs w:val="40"/>
          <w:highlight w:val="none"/>
        </w:rPr>
        <w:t>年</w:t>
      </w:r>
      <w:r>
        <w:rPr>
          <w:rFonts w:hint="eastAsia" w:ascii="宋体" w:hAnsi="宋体" w:cs="宋体"/>
          <w:color w:val="auto"/>
          <w:sz w:val="40"/>
          <w:szCs w:val="40"/>
          <w:highlight w:val="none"/>
          <w:lang w:eastAsia="zh-CN"/>
        </w:rPr>
        <w:t>七</w:t>
      </w:r>
      <w:r>
        <w:rPr>
          <w:rFonts w:hint="eastAsia" w:ascii="宋体" w:hAnsi="宋体" w:eastAsia="宋体" w:cs="宋体"/>
          <w:color w:val="auto"/>
          <w:sz w:val="40"/>
          <w:szCs w:val="40"/>
          <w:highlight w:val="none"/>
        </w:rPr>
        <w:t>月</w:t>
      </w:r>
    </w:p>
    <w:sdt>
      <w:sdtPr>
        <w:rPr>
          <w:rFonts w:ascii="宋体" w:hAnsi="宋体" w:eastAsia="宋体" w:cs="Times New Roman"/>
          <w:b/>
          <w:bCs/>
          <w:kern w:val="2"/>
          <w:sz w:val="36"/>
          <w:szCs w:val="44"/>
          <w:highlight w:val="none"/>
          <w:lang w:val="en-US" w:eastAsia="zh-CN" w:bidi="ar-SA"/>
        </w:rPr>
        <w:id w:val="147472399"/>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6"/>
              <w:szCs w:val="44"/>
              <w:highlight w:val="none"/>
            </w:rPr>
          </w:pPr>
          <w:r>
            <w:rPr>
              <w:rFonts w:ascii="宋体" w:hAnsi="宋体" w:eastAsia="宋体"/>
              <w:b/>
              <w:bCs/>
              <w:sz w:val="36"/>
              <w:szCs w:val="44"/>
              <w:highlight w:val="none"/>
            </w:rPr>
            <w:t>目录</w:t>
          </w:r>
        </w:p>
        <w:p>
          <w:pPr>
            <w:pStyle w:val="16"/>
            <w:tabs>
              <w:tab w:val="right" w:leader="dot" w:pos="9750"/>
            </w:tabs>
          </w:pPr>
          <w:r>
            <w:fldChar w:fldCharType="begin"/>
          </w:r>
          <w:r>
            <w:instrText xml:space="preserve">TOC \o "1-3" \h \u </w:instrText>
          </w:r>
          <w:r>
            <w:fldChar w:fldCharType="separate"/>
          </w:r>
          <w:r>
            <w:fldChar w:fldCharType="begin"/>
          </w:r>
          <w:r>
            <w:instrText xml:space="preserve"> HYPERLINK \l _Toc29132 </w:instrText>
          </w:r>
          <w:r>
            <w:fldChar w:fldCharType="separate"/>
          </w:r>
          <w:r>
            <w:rPr>
              <w:szCs w:val="36"/>
              <w:highlight w:val="none"/>
            </w:rPr>
            <w:t>第一章</w:t>
          </w:r>
          <w:r>
            <w:rPr>
              <w:rFonts w:hint="eastAsia"/>
              <w:szCs w:val="36"/>
              <w:highlight w:val="none"/>
            </w:rPr>
            <w:t xml:space="preserve"> </w:t>
          </w:r>
          <w:r>
            <w:rPr>
              <w:szCs w:val="36"/>
              <w:highlight w:val="none"/>
            </w:rPr>
            <w:t>招标公告</w:t>
          </w:r>
          <w:r>
            <w:tab/>
          </w:r>
          <w:r>
            <w:fldChar w:fldCharType="begin"/>
          </w:r>
          <w:r>
            <w:instrText xml:space="preserve"> PAGEREF _Toc29132 \h </w:instrText>
          </w:r>
          <w:r>
            <w:fldChar w:fldCharType="separate"/>
          </w:r>
          <w:r>
            <w:t>1</w:t>
          </w:r>
          <w:r>
            <w:fldChar w:fldCharType="end"/>
          </w:r>
          <w:r>
            <w:fldChar w:fldCharType="end"/>
          </w:r>
        </w:p>
        <w:p>
          <w:pPr>
            <w:pStyle w:val="16"/>
            <w:tabs>
              <w:tab w:val="right" w:leader="dot" w:pos="9750"/>
            </w:tabs>
          </w:pPr>
          <w:r>
            <w:fldChar w:fldCharType="begin"/>
          </w:r>
          <w:r>
            <w:instrText xml:space="preserve"> HYPERLINK \l _Toc12004 </w:instrText>
          </w:r>
          <w:r>
            <w:fldChar w:fldCharType="separate"/>
          </w:r>
          <w:r>
            <w:rPr>
              <w:szCs w:val="36"/>
              <w:highlight w:val="none"/>
            </w:rPr>
            <w:t>第二章</w:t>
          </w:r>
          <w:r>
            <w:rPr>
              <w:rFonts w:hint="eastAsia"/>
              <w:szCs w:val="36"/>
              <w:highlight w:val="none"/>
            </w:rPr>
            <w:t xml:space="preserve"> </w:t>
          </w:r>
          <w:r>
            <w:rPr>
              <w:szCs w:val="36"/>
              <w:highlight w:val="none"/>
            </w:rPr>
            <w:t>投标人须知</w:t>
          </w:r>
          <w:r>
            <w:tab/>
          </w:r>
          <w:r>
            <w:fldChar w:fldCharType="begin"/>
          </w:r>
          <w:r>
            <w:instrText xml:space="preserve"> PAGEREF _Toc12004 \h </w:instrText>
          </w:r>
          <w:r>
            <w:fldChar w:fldCharType="separate"/>
          </w:r>
          <w:r>
            <w:t>5</w:t>
          </w:r>
          <w:r>
            <w:fldChar w:fldCharType="end"/>
          </w:r>
          <w:r>
            <w:fldChar w:fldCharType="end"/>
          </w:r>
        </w:p>
        <w:p>
          <w:pPr>
            <w:pStyle w:val="16"/>
            <w:tabs>
              <w:tab w:val="right" w:leader="dot" w:pos="9750"/>
            </w:tabs>
          </w:pPr>
          <w:r>
            <w:fldChar w:fldCharType="begin"/>
          </w:r>
          <w:r>
            <w:instrText xml:space="preserve"> HYPERLINK \l _Toc6151 </w:instrText>
          </w:r>
          <w:r>
            <w:fldChar w:fldCharType="separate"/>
          </w:r>
          <w:r>
            <w:rPr>
              <w:szCs w:val="36"/>
              <w:highlight w:val="none"/>
            </w:rPr>
            <w:t>第三章 评标标准</w:t>
          </w:r>
          <w:r>
            <w:tab/>
          </w:r>
          <w:r>
            <w:fldChar w:fldCharType="begin"/>
          </w:r>
          <w:r>
            <w:instrText xml:space="preserve"> PAGEREF _Toc6151 \h </w:instrText>
          </w:r>
          <w:r>
            <w:fldChar w:fldCharType="separate"/>
          </w:r>
          <w:r>
            <w:t>19</w:t>
          </w:r>
          <w:r>
            <w:fldChar w:fldCharType="end"/>
          </w:r>
          <w:r>
            <w:fldChar w:fldCharType="end"/>
          </w:r>
        </w:p>
        <w:p>
          <w:pPr>
            <w:pStyle w:val="16"/>
            <w:tabs>
              <w:tab w:val="right" w:leader="dot" w:pos="9750"/>
            </w:tabs>
          </w:pPr>
          <w:r>
            <w:fldChar w:fldCharType="begin"/>
          </w:r>
          <w:r>
            <w:instrText xml:space="preserve"> HYPERLINK \l _Toc7054 </w:instrText>
          </w:r>
          <w:r>
            <w:fldChar w:fldCharType="separate"/>
          </w:r>
          <w:r>
            <w:rPr>
              <w:szCs w:val="36"/>
              <w:highlight w:val="none"/>
            </w:rPr>
            <w:t>第四章 招标项目的技术规格、要求和数量等</w:t>
          </w:r>
          <w:r>
            <w:tab/>
          </w:r>
          <w:r>
            <w:fldChar w:fldCharType="begin"/>
          </w:r>
          <w:r>
            <w:instrText xml:space="preserve"> PAGEREF _Toc7054 \h </w:instrText>
          </w:r>
          <w:r>
            <w:fldChar w:fldCharType="separate"/>
          </w:r>
          <w:r>
            <w:t>21</w:t>
          </w:r>
          <w:r>
            <w:fldChar w:fldCharType="end"/>
          </w:r>
          <w:r>
            <w:fldChar w:fldCharType="end"/>
          </w:r>
        </w:p>
        <w:p>
          <w:pPr>
            <w:pStyle w:val="17"/>
            <w:tabs>
              <w:tab w:val="right" w:leader="dot" w:pos="9750"/>
            </w:tabs>
          </w:pPr>
          <w:r>
            <w:fldChar w:fldCharType="begin"/>
          </w:r>
          <w:r>
            <w:instrText xml:space="preserve"> HYPERLINK \l _Toc13206 </w:instrText>
          </w:r>
          <w:r>
            <w:fldChar w:fldCharType="separate"/>
          </w:r>
          <w:r>
            <w:rPr>
              <w:rFonts w:hint="eastAsia" w:ascii="宋体" w:hAnsi="宋体" w:eastAsia="宋体" w:cs="宋体"/>
              <w:bCs/>
              <w:szCs w:val="24"/>
              <w:highlight w:val="none"/>
            </w:rPr>
            <w:t>一、项目概况</w:t>
          </w:r>
          <w:r>
            <w:tab/>
          </w:r>
          <w:r>
            <w:fldChar w:fldCharType="begin"/>
          </w:r>
          <w:r>
            <w:instrText xml:space="preserve"> PAGEREF _Toc13206 \h </w:instrText>
          </w:r>
          <w:r>
            <w:fldChar w:fldCharType="separate"/>
          </w:r>
          <w:r>
            <w:t>21</w:t>
          </w:r>
          <w:r>
            <w:fldChar w:fldCharType="end"/>
          </w:r>
          <w:r>
            <w:fldChar w:fldCharType="end"/>
          </w:r>
        </w:p>
        <w:p>
          <w:pPr>
            <w:pStyle w:val="17"/>
            <w:tabs>
              <w:tab w:val="right" w:leader="dot" w:pos="9750"/>
            </w:tabs>
          </w:pPr>
          <w:r>
            <w:fldChar w:fldCharType="begin"/>
          </w:r>
          <w:r>
            <w:instrText xml:space="preserve"> HYPERLINK \l _Toc9559 </w:instrText>
          </w:r>
          <w:r>
            <w:fldChar w:fldCharType="separate"/>
          </w:r>
          <w:r>
            <w:rPr>
              <w:rFonts w:hint="eastAsia" w:ascii="宋体" w:hAnsi="宋体" w:eastAsia="宋体" w:cs="宋体"/>
              <w:bCs/>
              <w:szCs w:val="24"/>
              <w:highlight w:val="none"/>
              <w:lang w:eastAsia="zh-CN"/>
            </w:rPr>
            <w:t>二、</w:t>
          </w:r>
          <w:r>
            <w:rPr>
              <w:rFonts w:hint="eastAsia" w:ascii="宋体" w:hAnsi="宋体" w:eastAsia="宋体" w:cs="宋体"/>
              <w:szCs w:val="21"/>
              <w:highlight w:val="none"/>
            </w:rPr>
            <w:t>★</w:t>
          </w:r>
          <w:r>
            <w:rPr>
              <w:rFonts w:hint="eastAsia" w:ascii="宋体" w:hAnsi="宋体" w:eastAsia="宋体" w:cs="宋体"/>
              <w:bCs/>
              <w:szCs w:val="24"/>
              <w:highlight w:val="none"/>
            </w:rPr>
            <w:t>实施要求（供应商需完全响应，在响应文件中提供承诺函，不接受负偏离）</w:t>
          </w:r>
          <w:r>
            <w:tab/>
          </w:r>
          <w:r>
            <w:fldChar w:fldCharType="begin"/>
          </w:r>
          <w:r>
            <w:instrText xml:space="preserve"> PAGEREF _Toc9559 \h </w:instrText>
          </w:r>
          <w:r>
            <w:fldChar w:fldCharType="separate"/>
          </w:r>
          <w:r>
            <w:t>21</w:t>
          </w:r>
          <w:r>
            <w:fldChar w:fldCharType="end"/>
          </w:r>
          <w:r>
            <w:fldChar w:fldCharType="end"/>
          </w:r>
        </w:p>
        <w:p>
          <w:pPr>
            <w:pStyle w:val="17"/>
            <w:tabs>
              <w:tab w:val="right" w:leader="dot" w:pos="9750"/>
            </w:tabs>
          </w:pPr>
          <w:r>
            <w:fldChar w:fldCharType="begin"/>
          </w:r>
          <w:r>
            <w:instrText xml:space="preserve"> HYPERLINK \l _Toc32118 </w:instrText>
          </w:r>
          <w:r>
            <w:fldChar w:fldCharType="separate"/>
          </w:r>
          <w:r>
            <w:rPr>
              <w:rFonts w:hint="eastAsia" w:ascii="宋体" w:hAnsi="宋体" w:eastAsia="宋体" w:cs="宋体"/>
              <w:bCs/>
              <w:szCs w:val="24"/>
              <w:highlight w:val="none"/>
              <w:lang w:eastAsia="zh-CN"/>
            </w:rPr>
            <w:t>三</w:t>
          </w:r>
          <w:r>
            <w:rPr>
              <w:rFonts w:hint="eastAsia" w:ascii="宋体" w:hAnsi="宋体" w:eastAsia="宋体" w:cs="宋体"/>
              <w:bCs/>
              <w:szCs w:val="24"/>
              <w:highlight w:val="none"/>
            </w:rPr>
            <w:t>、</w:t>
          </w:r>
          <w:r>
            <w:rPr>
              <w:rFonts w:hint="eastAsia" w:ascii="宋体" w:hAnsi="宋体" w:eastAsia="宋体" w:cs="宋体"/>
              <w:szCs w:val="21"/>
              <w:highlight w:val="none"/>
            </w:rPr>
            <w:t>★</w:t>
          </w:r>
          <w:r>
            <w:rPr>
              <w:rFonts w:hint="eastAsia" w:ascii="宋体" w:hAnsi="宋体" w:eastAsia="宋体" w:cs="宋体"/>
              <w:bCs/>
              <w:szCs w:val="24"/>
              <w:highlight w:val="none"/>
            </w:rPr>
            <w:t>服务要求（供应商需完全响应，在响应文件中提供承诺函，不接受负偏离）</w:t>
          </w:r>
          <w:r>
            <w:tab/>
          </w:r>
          <w:r>
            <w:fldChar w:fldCharType="begin"/>
          </w:r>
          <w:r>
            <w:instrText xml:space="preserve"> PAGEREF _Toc32118 \h </w:instrText>
          </w:r>
          <w:r>
            <w:fldChar w:fldCharType="separate"/>
          </w:r>
          <w:r>
            <w:t>21</w:t>
          </w:r>
          <w:r>
            <w:fldChar w:fldCharType="end"/>
          </w:r>
          <w:r>
            <w:fldChar w:fldCharType="end"/>
          </w:r>
        </w:p>
        <w:p>
          <w:pPr>
            <w:pStyle w:val="17"/>
            <w:tabs>
              <w:tab w:val="right" w:leader="dot" w:pos="9750"/>
            </w:tabs>
          </w:pPr>
          <w:r>
            <w:fldChar w:fldCharType="begin"/>
          </w:r>
          <w:r>
            <w:instrText xml:space="preserve"> HYPERLINK \l _Toc7203 </w:instrText>
          </w:r>
          <w:r>
            <w:fldChar w:fldCharType="separate"/>
          </w:r>
          <w:r>
            <w:rPr>
              <w:rFonts w:hint="eastAsia" w:ascii="宋体" w:hAnsi="宋体" w:eastAsia="宋体" w:cs="宋体"/>
              <w:bCs/>
              <w:szCs w:val="24"/>
              <w:highlight w:val="none"/>
              <w:lang w:eastAsia="zh-CN"/>
            </w:rPr>
            <w:t>四</w:t>
          </w:r>
          <w:r>
            <w:rPr>
              <w:rFonts w:hint="eastAsia" w:ascii="宋体" w:hAnsi="宋体" w:eastAsia="宋体" w:cs="宋体"/>
              <w:bCs/>
              <w:szCs w:val="24"/>
              <w:highlight w:val="none"/>
            </w:rPr>
            <w:t>、</w:t>
          </w:r>
          <w:r>
            <w:rPr>
              <w:rFonts w:hint="eastAsia" w:ascii="宋体" w:hAnsi="宋体" w:eastAsia="宋体" w:cs="宋体"/>
              <w:szCs w:val="21"/>
              <w:highlight w:val="none"/>
            </w:rPr>
            <w:t>★</w:t>
          </w:r>
          <w:r>
            <w:rPr>
              <w:rFonts w:hint="eastAsia" w:ascii="宋体" w:hAnsi="宋体" w:eastAsia="宋体" w:cs="宋体"/>
              <w:bCs/>
              <w:szCs w:val="24"/>
              <w:highlight w:val="none"/>
            </w:rPr>
            <w:t>付款方式</w:t>
          </w:r>
          <w:r>
            <w:tab/>
          </w:r>
          <w:r>
            <w:fldChar w:fldCharType="begin"/>
          </w:r>
          <w:r>
            <w:instrText xml:space="preserve"> PAGEREF _Toc7203 \h </w:instrText>
          </w:r>
          <w:r>
            <w:fldChar w:fldCharType="separate"/>
          </w:r>
          <w:r>
            <w:t>22</w:t>
          </w:r>
          <w:r>
            <w:fldChar w:fldCharType="end"/>
          </w:r>
          <w:r>
            <w:fldChar w:fldCharType="end"/>
          </w:r>
        </w:p>
        <w:p>
          <w:pPr>
            <w:pStyle w:val="17"/>
            <w:tabs>
              <w:tab w:val="right" w:leader="dot" w:pos="9750"/>
            </w:tabs>
          </w:pPr>
          <w:r>
            <w:fldChar w:fldCharType="begin"/>
          </w:r>
          <w:r>
            <w:instrText xml:space="preserve"> HYPERLINK \l _Toc32112 </w:instrText>
          </w:r>
          <w:r>
            <w:fldChar w:fldCharType="separate"/>
          </w:r>
          <w:r>
            <w:rPr>
              <w:rFonts w:hint="eastAsia" w:ascii="宋体" w:hAnsi="宋体" w:eastAsia="宋体" w:cs="宋体"/>
              <w:bCs/>
              <w:szCs w:val="24"/>
              <w:highlight w:val="none"/>
              <w:lang w:eastAsia="zh-CN"/>
            </w:rPr>
            <w:t>五、采购设备清单</w:t>
          </w:r>
          <w:r>
            <w:tab/>
          </w:r>
          <w:r>
            <w:fldChar w:fldCharType="begin"/>
          </w:r>
          <w:r>
            <w:instrText xml:space="preserve"> PAGEREF _Toc32112 \h </w:instrText>
          </w:r>
          <w:r>
            <w:fldChar w:fldCharType="separate"/>
          </w:r>
          <w:r>
            <w:t>24</w:t>
          </w:r>
          <w:r>
            <w:fldChar w:fldCharType="end"/>
          </w:r>
          <w:r>
            <w:fldChar w:fldCharType="end"/>
          </w:r>
        </w:p>
        <w:p>
          <w:pPr>
            <w:pStyle w:val="17"/>
            <w:tabs>
              <w:tab w:val="right" w:leader="dot" w:pos="9750"/>
            </w:tabs>
          </w:pPr>
          <w:r>
            <w:fldChar w:fldCharType="begin"/>
          </w:r>
          <w:r>
            <w:instrText xml:space="preserve"> HYPERLINK \l _Toc19009 </w:instrText>
          </w:r>
          <w:r>
            <w:fldChar w:fldCharType="separate"/>
          </w:r>
          <w:r>
            <w:rPr>
              <w:rFonts w:hint="eastAsia" w:ascii="宋体" w:hAnsi="宋体" w:eastAsia="宋体" w:cs="宋体"/>
              <w:bCs/>
              <w:szCs w:val="24"/>
              <w:highlight w:val="none"/>
              <w:lang w:eastAsia="zh-CN"/>
            </w:rPr>
            <w:t>六、</w:t>
          </w:r>
          <w:r>
            <w:rPr>
              <w:rFonts w:hint="eastAsia" w:ascii="宋体" w:hAnsi="宋体" w:eastAsia="宋体" w:cs="宋体"/>
              <w:szCs w:val="21"/>
              <w:highlight w:val="none"/>
            </w:rPr>
            <w:t>★</w:t>
          </w:r>
          <w:r>
            <w:rPr>
              <w:rFonts w:hint="eastAsia" w:ascii="宋体" w:hAnsi="宋体" w:eastAsia="宋体" w:cs="宋体"/>
              <w:bCs/>
              <w:szCs w:val="24"/>
              <w:highlight w:val="none"/>
            </w:rPr>
            <w:t>其他</w:t>
          </w:r>
          <w:r>
            <w:tab/>
          </w:r>
          <w:r>
            <w:fldChar w:fldCharType="begin"/>
          </w:r>
          <w:r>
            <w:instrText xml:space="preserve"> PAGEREF _Toc19009 \h </w:instrText>
          </w:r>
          <w:r>
            <w:fldChar w:fldCharType="separate"/>
          </w:r>
          <w:r>
            <w:t>47</w:t>
          </w:r>
          <w:r>
            <w:fldChar w:fldCharType="end"/>
          </w:r>
          <w:r>
            <w:fldChar w:fldCharType="end"/>
          </w:r>
        </w:p>
        <w:p>
          <w:pPr>
            <w:pStyle w:val="16"/>
            <w:tabs>
              <w:tab w:val="right" w:leader="dot" w:pos="9750"/>
            </w:tabs>
          </w:pPr>
          <w:r>
            <w:fldChar w:fldCharType="begin"/>
          </w:r>
          <w:r>
            <w:instrText xml:space="preserve"> HYPERLINK \l _Toc22418 </w:instrText>
          </w:r>
          <w:r>
            <w:fldChar w:fldCharType="separate"/>
          </w:r>
          <w:r>
            <w:rPr>
              <w:szCs w:val="36"/>
              <w:highlight w:val="none"/>
            </w:rPr>
            <w:t>第五章 合同主要条款及格式</w:t>
          </w:r>
          <w:r>
            <w:tab/>
          </w:r>
          <w:r>
            <w:fldChar w:fldCharType="begin"/>
          </w:r>
          <w:r>
            <w:instrText xml:space="preserve"> PAGEREF _Toc22418 \h </w:instrText>
          </w:r>
          <w:r>
            <w:fldChar w:fldCharType="separate"/>
          </w:r>
          <w:r>
            <w:t>48</w:t>
          </w:r>
          <w:r>
            <w:fldChar w:fldCharType="end"/>
          </w:r>
          <w:r>
            <w:fldChar w:fldCharType="end"/>
          </w:r>
        </w:p>
        <w:p>
          <w:pPr>
            <w:pStyle w:val="16"/>
            <w:tabs>
              <w:tab w:val="right" w:leader="dot" w:pos="9750"/>
            </w:tabs>
          </w:pPr>
          <w:r>
            <w:fldChar w:fldCharType="begin"/>
          </w:r>
          <w:r>
            <w:instrText xml:space="preserve"> HYPERLINK \l _Toc17023 </w:instrText>
          </w:r>
          <w:r>
            <w:fldChar w:fldCharType="separate"/>
          </w:r>
          <w:r>
            <w:rPr>
              <w:szCs w:val="36"/>
              <w:highlight w:val="none"/>
            </w:rPr>
            <w:t>第六章  附</w:t>
          </w:r>
          <w:r>
            <w:rPr>
              <w:rFonts w:hint="eastAsia"/>
              <w:szCs w:val="36"/>
              <w:highlight w:val="none"/>
              <w:lang w:val="en-US" w:eastAsia="zh-CN"/>
            </w:rPr>
            <w:t xml:space="preserve">  </w:t>
          </w:r>
          <w:r>
            <w:rPr>
              <w:szCs w:val="36"/>
              <w:highlight w:val="none"/>
            </w:rPr>
            <w:t>件</w:t>
          </w:r>
          <w:r>
            <w:tab/>
          </w:r>
          <w:r>
            <w:fldChar w:fldCharType="begin"/>
          </w:r>
          <w:r>
            <w:instrText xml:space="preserve"> PAGEREF _Toc17023 \h </w:instrText>
          </w:r>
          <w:r>
            <w:fldChar w:fldCharType="separate"/>
          </w:r>
          <w:r>
            <w:t>56</w:t>
          </w:r>
          <w:r>
            <w:fldChar w:fldCharType="end"/>
          </w:r>
          <w:r>
            <w:fldChar w:fldCharType="end"/>
          </w:r>
        </w:p>
        <w:p>
          <w:pPr>
            <w:rPr>
              <w:rFonts w:hint="eastAsia" w:ascii="宋体" w:hAnsi="宋体" w:eastAsia="宋体" w:cs="宋体"/>
              <w:b w:val="0"/>
              <w:bCs/>
              <w:color w:val="auto"/>
              <w:sz w:val="24"/>
              <w:szCs w:val="24"/>
              <w:highlight w:val="none"/>
            </w:rPr>
          </w:pPr>
          <w:r>
            <w:fldChar w:fldCharType="end"/>
          </w:r>
        </w:p>
      </w:sdtContent>
    </w:sdt>
    <w:p>
      <w:pPr>
        <w:keepNext w:val="0"/>
        <w:keepLines w:val="0"/>
        <w:widowControl w:val="0"/>
        <w:spacing w:before="0" w:after="0" w:line="720" w:lineRule="auto"/>
        <w:jc w:val="center"/>
        <w:outlineLvl w:val="0"/>
        <w:rPr>
          <w:sz w:val="36"/>
          <w:szCs w:val="36"/>
          <w:highlight w:val="none"/>
        </w:rPr>
        <w:sectPr>
          <w:headerReference r:id="rId7" w:type="default"/>
          <w:footerReference r:id="rId8" w:type="default"/>
          <w:pgSz w:w="11910" w:h="16840"/>
          <w:pgMar w:top="1440" w:right="1080" w:bottom="1440" w:left="1080" w:header="720" w:footer="720" w:gutter="0"/>
          <w:pgNumType w:fmt="decimal" w:start="1"/>
          <w:cols w:space="720" w:num="1"/>
        </w:sectPr>
      </w:pPr>
      <w:bookmarkStart w:id="1" w:name="_Toc16786"/>
    </w:p>
    <w:p>
      <w:pPr>
        <w:keepNext w:val="0"/>
        <w:keepLines w:val="0"/>
        <w:widowControl w:val="0"/>
        <w:spacing w:before="0" w:after="0" w:line="720" w:lineRule="auto"/>
        <w:jc w:val="center"/>
        <w:outlineLvl w:val="0"/>
        <w:rPr>
          <w:sz w:val="36"/>
          <w:szCs w:val="36"/>
          <w:highlight w:val="none"/>
        </w:rPr>
      </w:pPr>
      <w:bookmarkStart w:id="2" w:name="_Toc29132"/>
      <w:r>
        <w:rPr>
          <w:sz w:val="36"/>
          <w:szCs w:val="36"/>
          <w:highlight w:val="none"/>
        </w:rPr>
        <w:t>第一章</w:t>
      </w:r>
      <w:r>
        <w:rPr>
          <w:rFonts w:hint="eastAsia"/>
          <w:sz w:val="36"/>
          <w:szCs w:val="36"/>
          <w:highlight w:val="none"/>
        </w:rPr>
        <w:t xml:space="preserve"> </w:t>
      </w:r>
      <w:r>
        <w:rPr>
          <w:sz w:val="36"/>
          <w:szCs w:val="36"/>
          <w:highlight w:val="none"/>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480" w:firstLineChars="200"/>
        <w:outlineLvl w:val="9"/>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outlineLvl w:val="9"/>
        <w:rPr>
          <w:rFonts w:ascii="宋体" w:hAnsi="宋体" w:cs="宋体"/>
          <w:sz w:val="24"/>
          <w:highlight w:val="none"/>
        </w:rPr>
      </w:pPr>
      <w:r>
        <w:rPr>
          <w:rFonts w:hint="eastAsia" w:ascii="宋体" w:hAnsi="宋体" w:cs="宋体"/>
          <w:sz w:val="24"/>
          <w:highlight w:val="none"/>
          <w:u w:val="single"/>
          <w:lang w:eastAsia="zh-CN"/>
        </w:rPr>
        <w:t>力学小学等9所学校校园无线网改造项目</w:t>
      </w:r>
      <w:r>
        <w:rPr>
          <w:rFonts w:hint="eastAsia" w:ascii="宋体" w:hAnsi="宋体" w:cs="宋体"/>
          <w:sz w:val="24"/>
          <w:highlight w:val="none"/>
        </w:rPr>
        <w:t>采购项目的潜在供应商应在</w:t>
      </w:r>
      <w:r>
        <w:rPr>
          <w:rFonts w:hint="eastAsia" w:ascii="宋体" w:hAnsi="宋体" w:cs="宋体"/>
          <w:bCs/>
          <w:sz w:val="24"/>
          <w:highlight w:val="none"/>
          <w:u w:val="single"/>
          <w:lang w:eastAsia="zh-CN"/>
        </w:rPr>
        <w:t>南京市鼓楼区虎踞北路41号三楼</w:t>
      </w:r>
      <w:r>
        <w:rPr>
          <w:rFonts w:hint="eastAsia" w:ascii="宋体" w:hAnsi="宋体" w:cs="宋体"/>
          <w:sz w:val="24"/>
          <w:highlight w:val="none"/>
        </w:rPr>
        <w:t>获取采购文件，并于</w:t>
      </w:r>
      <w:r>
        <w:rPr>
          <w:rFonts w:hint="eastAsia" w:ascii="宋体" w:hAnsi="宋体" w:cs="宋体"/>
          <w:sz w:val="24"/>
          <w:highlight w:val="none"/>
          <w:u w:val="single"/>
        </w:rPr>
        <w:t>2023</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07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26</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点30分</w:t>
      </w:r>
      <w:r>
        <w:rPr>
          <w:rFonts w:hint="eastAsia" w:ascii="宋体" w:hAnsi="宋体" w:cs="宋体"/>
          <w:bCs/>
          <w:sz w:val="24"/>
          <w:highlight w:val="none"/>
        </w:rPr>
        <w:t>（北京时间）前提交响应文件</w:t>
      </w:r>
      <w:r>
        <w:rPr>
          <w:rFonts w:hint="eastAsia" w:ascii="宋体" w:hAnsi="宋体" w:cs="宋体"/>
          <w:sz w:val="24"/>
          <w:highlight w:val="none"/>
        </w:rPr>
        <w:t>。</w:t>
      </w:r>
    </w:p>
    <w:p>
      <w:pPr>
        <w:spacing w:before="0" w:after="0" w:line="360" w:lineRule="auto"/>
        <w:ind w:firstLine="482" w:firstLineChars="200"/>
        <w:outlineLvl w:val="9"/>
        <w:rPr>
          <w:rFonts w:ascii="宋体" w:hAnsi="宋体" w:eastAsia="宋体" w:cs="宋体"/>
          <w:b/>
          <w:bCs/>
          <w:sz w:val="24"/>
          <w:szCs w:val="24"/>
          <w:highlight w:val="none"/>
        </w:rPr>
      </w:pPr>
      <w:bookmarkStart w:id="3" w:name="_Toc5714_WPSOffice_Level2"/>
      <w:bookmarkStart w:id="4" w:name="_Toc35393790"/>
      <w:bookmarkStart w:id="5" w:name="_Toc28359079"/>
      <w:bookmarkStart w:id="6" w:name="_Toc7398"/>
      <w:bookmarkStart w:id="7" w:name="_Toc44419686"/>
      <w:bookmarkStart w:id="8" w:name="_Toc28359002"/>
      <w:bookmarkStart w:id="9" w:name="_Toc35393621"/>
      <w:bookmarkStart w:id="10" w:name="_Toc44419890"/>
      <w:bookmarkStart w:id="11" w:name="_Hlk24379207"/>
      <w:r>
        <w:rPr>
          <w:rFonts w:hint="eastAsia" w:ascii="宋体" w:hAnsi="宋体" w:eastAsia="宋体" w:cs="宋体"/>
          <w:b/>
          <w:bCs/>
          <w:sz w:val="24"/>
          <w:szCs w:val="24"/>
          <w:highlight w:val="none"/>
        </w:rPr>
        <w:t>一、项目基本情况</w:t>
      </w:r>
      <w:bookmarkEnd w:id="3"/>
      <w:bookmarkEnd w:id="4"/>
      <w:bookmarkEnd w:id="5"/>
      <w:bookmarkEnd w:id="6"/>
      <w:bookmarkEnd w:id="7"/>
      <w:bookmarkEnd w:id="8"/>
      <w:bookmarkEnd w:id="9"/>
      <w:bookmarkEnd w:id="10"/>
    </w:p>
    <w:p>
      <w:pPr>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项目编号：</w:t>
      </w:r>
      <w:r>
        <w:rPr>
          <w:rFonts w:hint="eastAsia" w:ascii="宋体" w:hAnsi="宋体" w:eastAsia="宋体" w:cs="宋体"/>
          <w:color w:val="auto"/>
          <w:sz w:val="24"/>
          <w:szCs w:val="24"/>
          <w:highlight w:val="none"/>
          <w:lang w:val="en-US" w:eastAsia="zh-CN"/>
        </w:rPr>
        <w:t>JD-ZB-23057</w:t>
      </w:r>
    </w:p>
    <w:p>
      <w:pPr>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力学小学等9所学校校园无线网改造项目</w:t>
      </w:r>
    </w:p>
    <w:bookmarkEnd w:id="11"/>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bookmarkStart w:id="12" w:name="_Toc18987"/>
      <w:bookmarkStart w:id="13" w:name="_Toc44419687"/>
      <w:bookmarkStart w:id="14" w:name="_Toc35393622"/>
      <w:bookmarkStart w:id="15" w:name="_Toc44419891"/>
      <w:bookmarkStart w:id="16" w:name="_Toc35393791"/>
      <w:bookmarkStart w:id="17" w:name="_Toc28359080"/>
      <w:bookmarkStart w:id="18" w:name="_Toc28359003"/>
      <w:bookmarkStart w:id="19" w:name="_Toc18960_WPSOffice_Level2"/>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160万元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最高限价：159.86896万元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力学小学等9所学校校园无线网改造项目，详见</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2023年9月15日前完成本项目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hint="eastAsia" w:ascii="宋体" w:hAnsi="宋体" w:eastAsia="宋体" w:cs="宋体"/>
          <w:b/>
          <w:bCs/>
          <w:color w:val="auto"/>
          <w:sz w:val="24"/>
          <w:szCs w:val="24"/>
          <w:highlight w:val="none"/>
        </w:rPr>
        <w:t>接受联合体。</w:t>
      </w:r>
    </w:p>
    <w:p>
      <w:pPr>
        <w:spacing w:before="0" w:after="0" w:line="360" w:lineRule="auto"/>
        <w:ind w:firstLine="482" w:firstLineChars="200"/>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12"/>
      <w:bookmarkEnd w:id="13"/>
      <w:bookmarkEnd w:id="14"/>
      <w:bookmarkEnd w:id="15"/>
      <w:bookmarkEnd w:id="16"/>
      <w:bookmarkEnd w:id="17"/>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textAlignment w:val="baseline"/>
        <w:outlineLvl w:val="9"/>
        <w:rPr>
          <w:rFonts w:hint="eastAsia" w:ascii="宋体" w:hAnsi="宋体" w:eastAsia="宋体" w:cs="宋体"/>
          <w:b/>
          <w:bCs/>
          <w:snapToGrid/>
          <w:color w:val="auto"/>
          <w:spacing w:val="0"/>
          <w:w w:val="100"/>
          <w:kern w:val="2"/>
          <w:sz w:val="24"/>
          <w:szCs w:val="24"/>
          <w:highlight w:val="none"/>
        </w:rPr>
      </w:pPr>
      <w:bookmarkStart w:id="20" w:name="_Toc28359004"/>
      <w:bookmarkStart w:id="21" w:name="_Toc28359081"/>
      <w:r>
        <w:rPr>
          <w:rFonts w:hint="eastAsia" w:ascii="宋体" w:hAnsi="宋体" w:eastAsia="宋体" w:cs="宋体"/>
          <w:b/>
          <w:bCs/>
          <w:snapToGrid/>
          <w:color w:val="auto"/>
          <w:spacing w:val="0"/>
          <w:w w:val="100"/>
          <w:kern w:val="2"/>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提供法人或者其他组织的营业执照，自然人的身份证明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（2）具有良好的商业信誉和健全的财务会计制度（提供近半年任一月份的财务状况报告（至少包括资产负债表和利润表，法人或者其他组织成立未满一年的可以不提供））；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（3）具有履行合同所必需的设备和专业技术能力（根据项目需求提供履行合同所必需的设备和专业技术能力的证明材料或相关加盖公章的承诺声明函）；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（4）有依法缴纳税收和社会保障资金的良好记录（提供近半年任一月份的依法缴纳税收和社会保障资金的相关材料）；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提供参加政府采购活动前3年内在经营活动中没有重大违法记录的书面声明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（6）法律、行政法规规定的其他条件:无。</w:t>
      </w:r>
    </w:p>
    <w:p>
      <w:pPr>
        <w:keepNext w:val="0"/>
        <w:keepLines w:val="0"/>
        <w:pageBreakBefore w:val="0"/>
        <w:widowControl w:val="0"/>
        <w:wordWrap/>
        <w:overflowPunct/>
        <w:topLinePunct w:val="0"/>
        <w:bidi w:val="0"/>
        <w:spacing w:line="360" w:lineRule="auto"/>
        <w:ind w:firstLine="480" w:firstLineChars="200"/>
        <w:jc w:val="both"/>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备注：依据南京市财政局“关于在政府采购中推行信用承诺制的通知”，政府采购供应商只需在资格审查环节针对以上6项提供满足相应条件的书面承诺书（南京市政府采购供应商信用记录表暨信用承诺书），不再需要提供证明材料。供应商在中标（成交）后，应按采购文件要求，将由信用承诺书替代的证明材料提交采购人或采购代理机构核验。经核验无误后，由采购人或采购代理机构发出中标（成交）通知书。</w:t>
      </w:r>
    </w:p>
    <w:p>
      <w:pPr>
        <w:keepNext w:val="0"/>
        <w:keepLines w:val="0"/>
        <w:pageBreakBefore w:val="0"/>
        <w:widowControl w:val="0"/>
        <w:wordWrap/>
        <w:overflowPunct/>
        <w:topLinePunct w:val="0"/>
        <w:bidi w:val="0"/>
        <w:spacing w:line="360" w:lineRule="auto"/>
        <w:ind w:firstLine="480" w:firstLineChars="200"/>
        <w:jc w:val="both"/>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其中不适用信用承诺的情形：</w:t>
      </w:r>
    </w:p>
    <w:p>
      <w:pPr>
        <w:keepNext w:val="0"/>
        <w:keepLines w:val="0"/>
        <w:pageBreakBefore w:val="0"/>
        <w:widowControl w:val="0"/>
        <w:wordWrap/>
        <w:overflowPunct/>
        <w:topLinePunct w:val="0"/>
        <w:bidi w:val="0"/>
        <w:spacing w:line="360" w:lineRule="auto"/>
        <w:ind w:firstLine="480" w:firstLineChars="200"/>
        <w:jc w:val="both"/>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（1）供应商被列入严重失信主体名单</w:t>
      </w:r>
    </w:p>
    <w:p>
      <w:pPr>
        <w:keepNext w:val="0"/>
        <w:keepLines w:val="0"/>
        <w:pageBreakBefore w:val="0"/>
        <w:widowControl w:val="0"/>
        <w:wordWrap/>
        <w:overflowPunct/>
        <w:topLinePunct w:val="0"/>
        <w:bidi w:val="0"/>
        <w:spacing w:line="360" w:lineRule="auto"/>
        <w:ind w:firstLine="480" w:firstLineChars="200"/>
        <w:jc w:val="both"/>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（2）南京市政府采购供应商诚信档案管理系统中诚信档案分在40分以下</w:t>
      </w:r>
    </w:p>
    <w:p>
      <w:pPr>
        <w:keepNext w:val="0"/>
        <w:keepLines w:val="0"/>
        <w:pageBreakBefore w:val="0"/>
        <w:widowControl w:val="0"/>
        <w:wordWrap/>
        <w:overflowPunct/>
        <w:topLinePunct w:val="0"/>
        <w:bidi w:val="0"/>
        <w:spacing w:line="360" w:lineRule="auto"/>
        <w:ind w:firstLine="480" w:firstLineChars="200"/>
        <w:jc w:val="both"/>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（3）被相关监督部门作出行政处罚且尚处在处罚有效期内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32"/>
          <w:highlight w:val="none"/>
          <w:lang w:val="en-US" w:eastAsia="zh-CN" w:bidi="ar-SA"/>
        </w:rPr>
      </w:pPr>
      <w:r>
        <w:rPr>
          <w:rFonts w:hint="eastAsia" w:ascii="宋体" w:hAnsi="宋体" w:eastAsia="宋体" w:cs="宋体"/>
          <w:kern w:val="2"/>
          <w:sz w:val="24"/>
          <w:szCs w:val="32"/>
          <w:highlight w:val="none"/>
          <w:lang w:val="en-US" w:eastAsia="zh-CN" w:bidi="ar-SA"/>
        </w:rPr>
        <w:t>（4）其他法律、行政法规规定的不适用信用承诺的情形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napToGrid/>
          <w:color w:val="auto"/>
          <w:spacing w:val="0"/>
          <w:w w:val="100"/>
          <w:kern w:val="2"/>
          <w:sz w:val="24"/>
          <w:szCs w:val="24"/>
          <w:highlight w:val="none"/>
          <w:lang w:val="en-US" w:eastAsia="zh-CN"/>
        </w:rPr>
        <w:t>2、采购项目需要落实的政府采购政策：</w:t>
      </w:r>
      <w:r>
        <w:rPr>
          <w:rFonts w:hint="eastAsia" w:ascii="宋体" w:hAnsi="宋体" w:eastAsia="宋体" w:cs="宋体"/>
          <w:sz w:val="24"/>
          <w:szCs w:val="24"/>
          <w:highlight w:val="none"/>
          <w:lang w:val="en-US" w:eastAsia="zh-CN"/>
        </w:rPr>
        <w:t>（如属于专门面向中小企业采购的项目，供应商应为中小微企业、监狱企业、残疾人福利性单位）本项目按照采用以下第（4）种方式落实政府采购促进中小企业发展的要求：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（1）本项目整体专门面向中小企业采购货物。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（2）本项目整体专门面向小微企业采购货物。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（3）本项目通过以下第（）种方式预留部分采购份额采购中小企业货物：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①本项目要求供应商以联合体形式参加，中小企业合同金额应当达到的比例为%。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②本项目要求供应商进行合同分包，中小企业合同金额应当达到的比例为%。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本项目为非预留份额的采购项目或采购包，执行价格扣除优惠政策，具体详见第三章评标办法与标准。</w:t>
      </w:r>
    </w:p>
    <w:p>
      <w:pPr>
        <w:widowControl w:val="0"/>
        <w:spacing w:line="360" w:lineRule="auto"/>
        <w:ind w:firstLine="480" w:firstLineChars="200"/>
        <w:jc w:val="left"/>
        <w:outlineLvl w:val="9"/>
        <w:rPr>
          <w:rFonts w:ascii="宋体" w:hAnsi="宋体" w:cs="宋体"/>
          <w:b/>
          <w:bCs/>
          <w:sz w:val="24"/>
          <w:highlight w:val="none"/>
        </w:rPr>
      </w:pPr>
      <w:r>
        <w:rPr>
          <w:rFonts w:hint="eastAsia" w:ascii="宋体" w:hAnsi="宋体" w:cs="宋体"/>
          <w:sz w:val="24"/>
          <w:highlight w:val="none"/>
        </w:rPr>
        <w:t>3.本项目的特定资格要求：无。</w:t>
      </w:r>
    </w:p>
    <w:p>
      <w:pPr>
        <w:widowControl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4.本项目不接受进口产品投标</w:t>
      </w:r>
    </w:p>
    <w:bookmarkEnd w:id="20"/>
    <w:bookmarkEnd w:id="21"/>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val="0"/>
          <w:color w:val="auto"/>
          <w:kern w:val="2"/>
          <w:sz w:val="24"/>
          <w:szCs w:val="24"/>
          <w:highlight w:val="none"/>
          <w:lang w:val="en-US" w:eastAsia="zh-CN" w:bidi="ar-SA"/>
        </w:rPr>
      </w:pPr>
      <w:bookmarkStart w:id="22" w:name="_Toc35393625"/>
      <w:bookmarkStart w:id="23" w:name="_Toc28359084"/>
      <w:bookmarkStart w:id="24" w:name="_Toc28359007"/>
      <w:bookmarkStart w:id="25" w:name="_Toc13993"/>
      <w:bookmarkStart w:id="26" w:name="_Toc35393794"/>
      <w:bookmarkStart w:id="27" w:name="_Toc44419894"/>
      <w:bookmarkStart w:id="28" w:name="_Toc7806_WPSOffice_Level2"/>
      <w:bookmarkStart w:id="29" w:name="_Toc44419690"/>
      <w:r>
        <w:rPr>
          <w:rFonts w:hint="eastAsia" w:ascii="宋体" w:hAnsi="宋体" w:eastAsia="宋体" w:cs="宋体"/>
          <w:b/>
          <w:bCs w:val="0"/>
          <w:color w:val="auto"/>
          <w:kern w:val="2"/>
          <w:sz w:val="24"/>
          <w:szCs w:val="24"/>
          <w:highlight w:val="none"/>
          <w:lang w:val="en-US" w:eastAsia="zh-CN" w:bidi="ar-SA"/>
        </w:rPr>
        <w:t>三、获取采购文件</w:t>
      </w:r>
      <w:bookmarkStart w:id="30" w:name="_Toc35393632"/>
      <w:bookmarkStart w:id="31" w:name="_Toc35393801"/>
      <w:bookmarkStart w:id="32" w:name="_Toc28359092"/>
      <w:bookmarkStart w:id="33" w:name="_Toc2835901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2023年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日，每天上午9:00至11:</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，下午14:</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至17:00（北京时间，法定节假日除外）。</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地点：南京市鼓楼区虎踞北路41号三楼</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现场发售，</w:t>
      </w:r>
      <w:r>
        <w:rPr>
          <w:rFonts w:hint="eastAsia" w:ascii="宋体" w:hAnsi="宋体" w:eastAsia="宋体" w:cs="宋体"/>
          <w:color w:val="auto"/>
          <w:sz w:val="24"/>
          <w:szCs w:val="24"/>
          <w:highlight w:val="none"/>
        </w:rPr>
        <w:t>报名时须提供以下文件的复印件并加盖公章：（1）投标人法定代表人授权委托书原件（如有授权）；（2）法定代表人身份证复印件及被授权委托人身份证</w:t>
      </w:r>
      <w:r>
        <w:rPr>
          <w:rFonts w:hint="eastAsia" w:ascii="宋体" w:hAnsi="宋体" w:eastAsia="宋体" w:cs="宋体"/>
          <w:color w:val="auto"/>
          <w:sz w:val="24"/>
          <w:szCs w:val="24"/>
          <w:highlight w:val="none"/>
          <w:lang w:eastAsia="zh-CN"/>
        </w:rPr>
        <w:t>原件、</w:t>
      </w:r>
      <w:r>
        <w:rPr>
          <w:rFonts w:hint="eastAsia" w:ascii="宋体" w:hAnsi="宋体" w:eastAsia="宋体" w:cs="宋体"/>
          <w:color w:val="auto"/>
          <w:sz w:val="24"/>
          <w:szCs w:val="24"/>
          <w:highlight w:val="none"/>
        </w:rPr>
        <w:t>复印件（如有授权）；（3）企业营业执照复印件。未向代理机构购买招标文件并登记备案的潜在供应商均无资格参加投标。</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lang w:val="en-US" w:eastAsia="zh-CN"/>
        </w:rPr>
        <w:t>100.00元/份（现金），售后不退。</w:t>
      </w:r>
    </w:p>
    <w:p>
      <w:pPr>
        <w:keepNext/>
        <w:keepLines/>
        <w:pageBreakBefore w:val="0"/>
        <w:widowControl w:val="0"/>
        <w:kinsoku/>
        <w:wordWrap/>
        <w:overflowPunct/>
        <w:topLinePunct w:val="0"/>
        <w:bidi w:val="0"/>
        <w:spacing w:line="360" w:lineRule="auto"/>
        <w:ind w:left="0" w:leftChars="0" w:firstLine="482" w:firstLineChars="200"/>
        <w:jc w:val="both"/>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四、响应文件提交</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2023年</w:t>
      </w:r>
      <w:r>
        <w:rPr>
          <w:rFonts w:hint="eastAsia" w:ascii="宋体" w:hAnsi="宋体" w:cs="宋体"/>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南京市鼓楼区虎踞北路41号三楼开标室</w:t>
      </w:r>
    </w:p>
    <w:p>
      <w:pPr>
        <w:keepNext/>
        <w:keepLines/>
        <w:pageBreakBefore w:val="0"/>
        <w:widowControl w:val="0"/>
        <w:kinsoku/>
        <w:wordWrap/>
        <w:overflowPunct/>
        <w:topLinePunct w:val="0"/>
        <w:bidi w:val="0"/>
        <w:spacing w:line="360" w:lineRule="auto"/>
        <w:ind w:left="0" w:leftChars="0" w:firstLine="482" w:firstLineChars="200"/>
        <w:jc w:val="both"/>
        <w:textAlignment w:val="auto"/>
        <w:outlineLvl w:val="9"/>
        <w:rPr>
          <w:rFonts w:hint="eastAsia" w:ascii="宋体" w:hAnsi="宋体" w:eastAsia="宋体" w:cs="宋体"/>
          <w:b/>
          <w:bCs w:val="0"/>
          <w:color w:val="auto"/>
          <w:kern w:val="2"/>
          <w:sz w:val="24"/>
          <w:szCs w:val="24"/>
          <w:highlight w:val="none"/>
          <w:lang w:val="en-US" w:eastAsia="zh-CN" w:bidi="ar-SA"/>
        </w:rPr>
      </w:pPr>
      <w:bookmarkStart w:id="34" w:name="_Toc28359093"/>
      <w:bookmarkStart w:id="35" w:name="_Toc28359016"/>
      <w:bookmarkStart w:id="36" w:name="_Toc35393633"/>
      <w:bookmarkStart w:id="37" w:name="_Toc35393802"/>
      <w:r>
        <w:rPr>
          <w:rFonts w:hint="eastAsia" w:ascii="宋体" w:hAnsi="宋体" w:eastAsia="宋体" w:cs="宋体"/>
          <w:b/>
          <w:bCs w:val="0"/>
          <w:color w:val="auto"/>
          <w:kern w:val="2"/>
          <w:sz w:val="24"/>
          <w:szCs w:val="24"/>
          <w:highlight w:val="none"/>
          <w:lang w:val="en-US" w:eastAsia="zh-CN" w:bidi="ar-SA"/>
        </w:rPr>
        <w:t>五、开启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2023年</w:t>
      </w:r>
      <w:r>
        <w:rPr>
          <w:rFonts w:hint="eastAsia" w:ascii="宋体" w:hAnsi="宋体" w:cs="宋体"/>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南京市鼓楼区虎踞北路41号三楼</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响应文件份数：</w:t>
      </w:r>
      <w:r>
        <w:rPr>
          <w:rFonts w:hint="eastAsia" w:ascii="宋体" w:hAnsi="宋体" w:eastAsia="宋体" w:cs="宋体"/>
          <w:color w:val="auto"/>
          <w:kern w:val="0"/>
          <w:sz w:val="24"/>
          <w:szCs w:val="24"/>
          <w:highlight w:val="none"/>
          <w:lang w:val="zh-CN" w:eastAsia="zh-CN"/>
        </w:rPr>
        <w:t>纸质版响应文件一式伍份（壹份正本、肆份副本），电子版壹份。（电子版须为投标文件</w:t>
      </w:r>
      <w:r>
        <w:rPr>
          <w:rFonts w:hint="eastAsia" w:ascii="宋体" w:hAnsi="宋体" w:cs="宋体"/>
          <w:color w:val="auto"/>
          <w:kern w:val="0"/>
          <w:sz w:val="24"/>
          <w:szCs w:val="24"/>
          <w:highlight w:val="none"/>
          <w:lang w:val="zh-CN" w:eastAsia="zh-CN"/>
        </w:rPr>
        <w:t>可编辑</w:t>
      </w:r>
      <w:r>
        <w:rPr>
          <w:rFonts w:hint="eastAsia" w:ascii="宋体" w:hAnsi="宋体" w:cs="宋体"/>
          <w:color w:val="auto"/>
          <w:kern w:val="0"/>
          <w:sz w:val="24"/>
          <w:szCs w:val="24"/>
          <w:highlight w:val="none"/>
          <w:lang w:val="en-US" w:eastAsia="zh-CN"/>
        </w:rPr>
        <w:t>WORD版本和</w:t>
      </w:r>
      <w:r>
        <w:rPr>
          <w:rFonts w:hint="eastAsia" w:ascii="宋体" w:hAnsi="宋体" w:eastAsia="宋体" w:cs="宋体"/>
          <w:color w:val="auto"/>
          <w:kern w:val="0"/>
          <w:sz w:val="24"/>
          <w:szCs w:val="24"/>
          <w:highlight w:val="none"/>
          <w:lang w:val="zh-CN" w:eastAsia="zh-CN"/>
        </w:rPr>
        <w:t>盖公章（红章）正本的PDF扫描件，</w:t>
      </w:r>
      <w:r>
        <w:rPr>
          <w:rFonts w:hint="eastAsia" w:ascii="宋体" w:hAnsi="宋体" w:cs="宋体"/>
          <w:color w:val="auto"/>
          <w:kern w:val="0"/>
          <w:sz w:val="24"/>
          <w:szCs w:val="24"/>
          <w:highlight w:val="none"/>
          <w:lang w:val="zh-CN" w:eastAsia="zh-CN"/>
        </w:rPr>
        <w:t>缺一不可，</w:t>
      </w:r>
      <w:r>
        <w:rPr>
          <w:rFonts w:hint="eastAsia" w:ascii="宋体" w:hAnsi="宋体" w:eastAsia="宋体" w:cs="宋体"/>
          <w:color w:val="auto"/>
          <w:kern w:val="0"/>
          <w:sz w:val="24"/>
          <w:szCs w:val="24"/>
          <w:highlight w:val="none"/>
          <w:lang w:val="zh-CN" w:eastAsia="zh-CN"/>
        </w:rPr>
        <w:t>以U盘形式随纸质正本文件一并提交。U盘不予退还。）当纸质正本文件与副本、电子版文件不一致时，以纸质正本文件为准。电子版文件用于存档，供应商须承担前述不一致造成的不利后果。每份纸质文件须清楚标明“正本”或“副本”字样。一旦正本和副本不符，以正本为准。</w:t>
      </w:r>
    </w:p>
    <w:p>
      <w:pPr>
        <w:keepNext w:val="0"/>
        <w:keepLines w:val="0"/>
        <w:spacing w:before="0" w:after="0" w:line="360" w:lineRule="auto"/>
        <w:ind w:firstLine="480" w:firstLineChars="200"/>
        <w:outlineLvl w:val="9"/>
        <w:rPr>
          <w:rFonts w:ascii="宋体" w:hAnsi="宋体" w:eastAsia="宋体" w:cs="宋体"/>
          <w:sz w:val="24"/>
          <w:szCs w:val="24"/>
          <w:highlight w:val="none"/>
        </w:rPr>
      </w:pPr>
      <w:r>
        <w:rPr>
          <w:rFonts w:hint="eastAsia" w:ascii="宋体" w:hAnsi="宋体" w:eastAsia="宋体" w:cs="宋体"/>
          <w:color w:val="auto"/>
          <w:kern w:val="0"/>
          <w:sz w:val="24"/>
          <w:szCs w:val="24"/>
          <w:highlight w:val="none"/>
          <w:lang w:val="zh-CN" w:eastAsia="zh-CN"/>
        </w:rPr>
        <w:t>要求：届时请</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eastAsia="zh-CN"/>
        </w:rPr>
        <w:t>法定代表人或其授权代表携带身份证明资料出席开标仪式。</w:t>
      </w:r>
      <w:bookmarkEnd w:id="22"/>
      <w:bookmarkEnd w:id="23"/>
      <w:bookmarkEnd w:id="24"/>
      <w:bookmarkEnd w:id="25"/>
      <w:bookmarkEnd w:id="26"/>
      <w:bookmarkEnd w:id="27"/>
      <w:bookmarkEnd w:id="28"/>
      <w:bookmarkEnd w:id="29"/>
    </w:p>
    <w:p>
      <w:pPr>
        <w:keepNext/>
        <w:keepLines/>
        <w:pageBreakBefore w:val="0"/>
        <w:widowControl w:val="0"/>
        <w:kinsoku/>
        <w:wordWrap/>
        <w:overflowPunct/>
        <w:topLinePunct w:val="0"/>
        <w:bidi w:val="0"/>
        <w:spacing w:line="360" w:lineRule="auto"/>
        <w:ind w:left="0" w:leftChars="0" w:firstLine="482" w:firstLineChars="200"/>
        <w:jc w:val="both"/>
        <w:textAlignment w:val="auto"/>
        <w:outlineLvl w:val="9"/>
        <w:rPr>
          <w:rFonts w:hint="eastAsia" w:ascii="宋体" w:hAnsi="宋体" w:eastAsia="宋体" w:cs="宋体"/>
          <w:b/>
          <w:bCs w:val="0"/>
          <w:color w:val="auto"/>
          <w:kern w:val="2"/>
          <w:sz w:val="24"/>
          <w:szCs w:val="24"/>
          <w:highlight w:val="none"/>
          <w:lang w:val="en-US" w:eastAsia="zh-CN" w:bidi="ar-SA"/>
        </w:rPr>
      </w:pPr>
      <w:bookmarkStart w:id="38" w:name="_Toc28359017"/>
      <w:bookmarkStart w:id="39" w:name="_Toc35393803"/>
      <w:bookmarkStart w:id="40" w:name="_Toc28359094"/>
      <w:bookmarkStart w:id="41" w:name="_Toc35393634"/>
      <w:r>
        <w:rPr>
          <w:rFonts w:hint="eastAsia" w:ascii="宋体" w:hAnsi="宋体" w:eastAsia="宋体" w:cs="宋体"/>
          <w:b/>
          <w:bCs w:val="0"/>
          <w:color w:val="auto"/>
          <w:kern w:val="2"/>
          <w:sz w:val="24"/>
          <w:szCs w:val="24"/>
          <w:highlight w:val="none"/>
          <w:lang w:val="en-US" w:eastAsia="zh-CN" w:bidi="ar-SA"/>
        </w:rPr>
        <w:t>六、公告期限</w:t>
      </w:r>
      <w:bookmarkEnd w:id="38"/>
      <w:bookmarkEnd w:id="39"/>
      <w:bookmarkEnd w:id="40"/>
      <w:bookmarkEnd w:id="41"/>
    </w:p>
    <w:p>
      <w:pPr>
        <w:widowControl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自本公告发布之日起5个工作日。</w:t>
      </w:r>
    </w:p>
    <w:p>
      <w:pPr>
        <w:keepNext/>
        <w:keepLines/>
        <w:pageBreakBefore w:val="0"/>
        <w:widowControl w:val="0"/>
        <w:kinsoku/>
        <w:wordWrap/>
        <w:overflowPunct/>
        <w:topLinePunct w:val="0"/>
        <w:bidi w:val="0"/>
        <w:spacing w:line="360" w:lineRule="auto"/>
        <w:ind w:left="0" w:leftChars="0" w:firstLine="482" w:firstLineChars="200"/>
        <w:jc w:val="both"/>
        <w:textAlignment w:val="auto"/>
        <w:outlineLvl w:val="9"/>
        <w:rPr>
          <w:rFonts w:hint="eastAsia" w:ascii="宋体" w:hAnsi="宋体" w:eastAsia="宋体" w:cs="宋体"/>
          <w:b/>
          <w:bCs w:val="0"/>
          <w:color w:val="auto"/>
          <w:kern w:val="2"/>
          <w:sz w:val="24"/>
          <w:szCs w:val="24"/>
          <w:highlight w:val="none"/>
          <w:lang w:val="en-US" w:eastAsia="zh-CN" w:bidi="ar-SA"/>
        </w:rPr>
      </w:pPr>
      <w:bookmarkStart w:id="42" w:name="_Toc35393804"/>
      <w:bookmarkStart w:id="43" w:name="_Toc35393635"/>
      <w:bookmarkStart w:id="44" w:name="_Toc14042"/>
      <w:bookmarkStart w:id="45" w:name="_Toc23302_WPSOffice_Level2"/>
      <w:r>
        <w:rPr>
          <w:rFonts w:hint="eastAsia" w:ascii="宋体" w:hAnsi="宋体" w:eastAsia="宋体" w:cs="宋体"/>
          <w:b/>
          <w:bCs w:val="0"/>
          <w:color w:val="auto"/>
          <w:kern w:val="2"/>
          <w:sz w:val="24"/>
          <w:szCs w:val="24"/>
          <w:highlight w:val="none"/>
          <w:lang w:val="en-US" w:eastAsia="zh-CN" w:bidi="ar-SA"/>
        </w:rPr>
        <w:t>七、其他补充事宜</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南京市政府采购供应商信用管理工作暂行办法》（宁财规〔2018〕10号）有关规定，凡在南京地区参加政府采购活动的供应商，应当事先登录“信用南京”或“南京公共采购信息网”主页“政府采购供应商诚信档案”栏目进行注册登记。由于特殊原因未及时注册的供应商可先行获取采购文件，但必须在提交投标文件截止日两天前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参加本次政府采购活动时，在采购文件发布之日起至递交投标文件截止日前，应先登录“信用南京”在线打印其“南京市政府采购供应商信用记录表”，经法定代表人签字加盖单位公章后作为投标文件的组成部分。“南京市政府采购供应商信用记录表”是其参加本次政府采购活动的必备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南京市政府采购供应商诚信档案管理系统客服电话：025-52718366；供应商可就用户注册与打印“南京市政府采购供应商信用记录表”等事宜进行咨询。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.采购人拒绝下述供应商参加本次采购活动：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（1）供应商单位负责人为同一人或者存在直接控股、管理关系的不同供应商，不得参加同一合同项下的政府采购活动。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（2）凡为采购项目提供整体设计、规范编制或者项目管理、监理、检测等服务的供应商，不得再参加本项目的采购活动。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3.采购人不组织现场考察，投标人可自行联系采购人。请务必对项目现场和周围环境进行仔细认真地查勘，在随后的采购中，对现场资料和数据所作出的推论、解释和结论及由此造成的后果由供应商负责。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zh-CN"/>
        </w:rPr>
      </w:pPr>
      <w:r>
        <w:rPr>
          <w:rFonts w:hint="eastAsia" w:ascii="宋体" w:hAnsi="宋体" w:eastAsia="宋体" w:cs="宋体"/>
          <w:sz w:val="24"/>
          <w:szCs w:val="24"/>
          <w:highlight w:val="none"/>
          <w:lang w:val="en-US" w:eastAsia="zh-CN"/>
        </w:rPr>
        <w:t>4.有关本次招标的事项若存在变动或修改，敬请及时关注</w:t>
      </w:r>
      <w:bookmarkStart w:id="46" w:name="OLE_LINK2"/>
      <w:r>
        <w:rPr>
          <w:rFonts w:hint="eastAsia" w:ascii="宋体" w:hAnsi="宋体" w:eastAsia="宋体" w:cs="宋体"/>
          <w:sz w:val="24"/>
          <w:szCs w:val="24"/>
          <w:highlight w:val="none"/>
          <w:lang w:val="en-US" w:eastAsia="zh-CN"/>
        </w:rPr>
        <w:t>“江苏政府采购网”、“南京公共采购信息网”</w:t>
      </w:r>
      <w:bookmarkEnd w:id="46"/>
      <w:r>
        <w:rPr>
          <w:rFonts w:hint="eastAsia" w:ascii="宋体" w:hAnsi="宋体" w:eastAsia="宋体" w:cs="宋体"/>
          <w:sz w:val="24"/>
          <w:szCs w:val="24"/>
          <w:highlight w:val="none"/>
          <w:lang w:val="en-US" w:eastAsia="zh-CN"/>
        </w:rPr>
        <w:t>发布的信息更正公告。</w:t>
      </w:r>
    </w:p>
    <w:p>
      <w:pPr>
        <w:keepNext/>
        <w:keepLines/>
        <w:pageBreakBefore w:val="0"/>
        <w:widowControl w:val="0"/>
        <w:kinsoku/>
        <w:wordWrap/>
        <w:overflowPunct/>
        <w:topLinePunct w:val="0"/>
        <w:bidi w:val="0"/>
        <w:spacing w:line="360" w:lineRule="auto"/>
        <w:ind w:left="0" w:leftChars="0" w:firstLine="482" w:firstLineChars="200"/>
        <w:jc w:val="both"/>
        <w:textAlignment w:val="auto"/>
        <w:outlineLvl w:val="9"/>
        <w:rPr>
          <w:rFonts w:hint="eastAsia" w:ascii="宋体" w:hAnsi="宋体" w:eastAsia="宋体" w:cs="宋体"/>
          <w:b/>
          <w:bCs w:val="0"/>
          <w:color w:val="auto"/>
          <w:kern w:val="2"/>
          <w:sz w:val="24"/>
          <w:szCs w:val="24"/>
          <w:highlight w:val="none"/>
          <w:lang w:val="en-US" w:eastAsia="zh-CN" w:bidi="ar-SA"/>
        </w:rPr>
      </w:pPr>
      <w:bookmarkStart w:id="47" w:name="_Toc28359018"/>
      <w:bookmarkStart w:id="48" w:name="_Toc28359095"/>
      <w:bookmarkStart w:id="49" w:name="_Toc35393805"/>
      <w:bookmarkStart w:id="50" w:name="_Toc35393636"/>
      <w:r>
        <w:rPr>
          <w:rFonts w:hint="eastAsia" w:ascii="宋体" w:hAnsi="宋体" w:eastAsia="宋体" w:cs="宋体"/>
          <w:b/>
          <w:bCs w:val="0"/>
          <w:color w:val="auto"/>
          <w:kern w:val="2"/>
          <w:sz w:val="24"/>
          <w:szCs w:val="24"/>
          <w:highlight w:val="none"/>
          <w:lang w:val="en-US" w:eastAsia="zh-CN" w:bidi="ar-SA"/>
        </w:rPr>
        <w:t>八、凡对本次采购提出询问，请按以下方式联系。</w:t>
      </w:r>
      <w:bookmarkEnd w:id="47"/>
      <w:bookmarkEnd w:id="48"/>
      <w:bookmarkEnd w:id="49"/>
      <w:bookmarkEnd w:id="50"/>
    </w:p>
    <w:p>
      <w:pPr>
        <w:keepNext/>
        <w:keepLines/>
        <w:pageBreakBefore w:val="0"/>
        <w:widowControl w:val="0"/>
        <w:kinsoku/>
        <w:wordWrap/>
        <w:overflowPunct/>
        <w:topLinePunct w:val="0"/>
        <w:bidi w:val="0"/>
        <w:spacing w:line="360" w:lineRule="auto"/>
        <w:ind w:left="0" w:leftChars="0" w:firstLine="480" w:firstLineChars="200"/>
        <w:jc w:val="both"/>
        <w:textAlignment w:val="auto"/>
        <w:outlineLvl w:val="9"/>
        <w:rPr>
          <w:rFonts w:hint="eastAsia" w:ascii="宋体" w:hAnsi="宋体" w:eastAsia="宋体" w:cs="宋体"/>
          <w:b w:val="0"/>
          <w:bCs/>
          <w:color w:val="auto"/>
          <w:kern w:val="2"/>
          <w:sz w:val="24"/>
          <w:szCs w:val="24"/>
          <w:highlight w:val="none"/>
          <w:lang w:val="en-US" w:eastAsia="zh-CN" w:bidi="ar-SA"/>
        </w:rPr>
      </w:pPr>
      <w:bookmarkStart w:id="51" w:name="_Toc28359096"/>
      <w:bookmarkStart w:id="52" w:name="_Toc35393806"/>
      <w:bookmarkStart w:id="53" w:name="_Toc35393637"/>
      <w:bookmarkStart w:id="54" w:name="_Toc28359019"/>
      <w:r>
        <w:rPr>
          <w:rFonts w:hint="eastAsia" w:ascii="宋体" w:hAnsi="宋体" w:eastAsia="宋体" w:cs="宋体"/>
          <w:b w:val="0"/>
          <w:bCs/>
          <w:color w:val="auto"/>
          <w:kern w:val="2"/>
          <w:sz w:val="24"/>
          <w:szCs w:val="24"/>
          <w:highlight w:val="none"/>
          <w:lang w:val="en-US" w:eastAsia="zh-CN" w:bidi="ar-SA"/>
        </w:rPr>
        <w:t>1.采购人信息</w:t>
      </w:r>
      <w:bookmarkEnd w:id="51"/>
      <w:bookmarkEnd w:id="52"/>
      <w:bookmarkEnd w:id="53"/>
      <w:bookmarkEnd w:id="54"/>
    </w:p>
    <w:p>
      <w:pPr>
        <w:pageBreakBefore w:val="0"/>
        <w:kinsoku/>
        <w:wordWrap/>
        <w:overflowPunct/>
        <w:topLinePunct w:val="0"/>
        <w:bidi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eastAsia="zh-CN"/>
        </w:rPr>
        <w:t>南京市鼓楼区教师发展中心</w:t>
      </w:r>
    </w:p>
    <w:p>
      <w:pPr>
        <w:pageBreakBefore w:val="0"/>
        <w:kinsoku/>
        <w:wordWrap/>
        <w:overflowPunct/>
        <w:topLinePunct w:val="0"/>
        <w:bidi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南京市虎踞路85号</w:t>
      </w:r>
    </w:p>
    <w:p>
      <w:pPr>
        <w:pageBreakBefore w:val="0"/>
        <w:kinsoku/>
        <w:wordWrap/>
        <w:overflowPunct/>
        <w:topLinePunct w:val="0"/>
        <w:bidi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val="en-US" w:eastAsia="zh-CN"/>
        </w:rPr>
        <w:t>吴骏；025-83759222</w:t>
      </w:r>
    </w:p>
    <w:p>
      <w:pPr>
        <w:keepNext/>
        <w:keepLines/>
        <w:pageBreakBefore w:val="0"/>
        <w:widowControl w:val="0"/>
        <w:kinsoku/>
        <w:wordWrap/>
        <w:overflowPunct/>
        <w:topLinePunct w:val="0"/>
        <w:bidi w:val="0"/>
        <w:spacing w:line="360" w:lineRule="auto"/>
        <w:ind w:left="0" w:leftChars="0" w:firstLine="480" w:firstLineChars="200"/>
        <w:jc w:val="both"/>
        <w:textAlignment w:val="auto"/>
        <w:outlineLvl w:val="9"/>
        <w:rPr>
          <w:rFonts w:hint="eastAsia" w:ascii="宋体" w:hAnsi="宋体" w:eastAsia="宋体" w:cs="宋体"/>
          <w:b w:val="0"/>
          <w:bCs/>
          <w:color w:val="auto"/>
          <w:kern w:val="2"/>
          <w:sz w:val="24"/>
          <w:szCs w:val="24"/>
          <w:highlight w:val="none"/>
          <w:lang w:val="en-US" w:eastAsia="zh-CN" w:bidi="ar-SA"/>
        </w:rPr>
      </w:pPr>
      <w:bookmarkStart w:id="55" w:name="_Toc28359020"/>
      <w:bookmarkStart w:id="56" w:name="_Toc35393807"/>
      <w:bookmarkStart w:id="57" w:name="_Toc35393638"/>
      <w:bookmarkStart w:id="58" w:name="_Toc28359097"/>
      <w:r>
        <w:rPr>
          <w:rFonts w:hint="eastAsia" w:ascii="宋体" w:hAnsi="宋体" w:eastAsia="宋体" w:cs="宋体"/>
          <w:b w:val="0"/>
          <w:bCs/>
          <w:color w:val="auto"/>
          <w:kern w:val="2"/>
          <w:sz w:val="24"/>
          <w:szCs w:val="24"/>
          <w:highlight w:val="none"/>
          <w:lang w:val="en-US" w:eastAsia="zh-CN" w:bidi="ar-SA"/>
        </w:rPr>
        <w:t>2.采购代理机构信息</w:t>
      </w:r>
      <w:bookmarkEnd w:id="55"/>
      <w:bookmarkEnd w:id="56"/>
      <w:bookmarkEnd w:id="57"/>
      <w:bookmarkEnd w:id="58"/>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eastAsia="zh-CN"/>
        </w:rPr>
        <w:t>南京金鼎工程造价评估有限责任公司</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南京市鼓楼区虎踞北路41号三楼</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陈诺；</w:t>
      </w:r>
      <w:r>
        <w:rPr>
          <w:rFonts w:hint="eastAsia" w:ascii="宋体" w:hAnsi="宋体" w:eastAsia="宋体" w:cs="宋体"/>
          <w:color w:val="auto"/>
          <w:sz w:val="24"/>
          <w:szCs w:val="24"/>
          <w:highlight w:val="none"/>
          <w:u w:val="single"/>
          <w:lang w:val="en-US" w:eastAsia="zh-CN"/>
        </w:rPr>
        <w:t>025-83476186</w:t>
      </w:r>
    </w:p>
    <w:p>
      <w:pPr>
        <w:keepNext/>
        <w:keepLines/>
        <w:pageBreakBefore w:val="0"/>
        <w:widowControl w:val="0"/>
        <w:kinsoku/>
        <w:wordWrap/>
        <w:overflowPunct/>
        <w:topLinePunct w:val="0"/>
        <w:bidi w:val="0"/>
        <w:spacing w:line="360" w:lineRule="auto"/>
        <w:ind w:left="0" w:leftChars="0" w:firstLine="480" w:firstLineChars="200"/>
        <w:jc w:val="both"/>
        <w:textAlignment w:val="auto"/>
        <w:outlineLvl w:val="9"/>
        <w:rPr>
          <w:rFonts w:hint="eastAsia" w:ascii="宋体" w:hAnsi="宋体" w:eastAsia="宋体" w:cs="宋体"/>
          <w:b w:val="0"/>
          <w:bCs/>
          <w:color w:val="auto"/>
          <w:kern w:val="2"/>
          <w:sz w:val="24"/>
          <w:szCs w:val="24"/>
          <w:highlight w:val="none"/>
          <w:lang w:val="en-US" w:eastAsia="zh-CN" w:bidi="ar-SA"/>
        </w:rPr>
      </w:pPr>
      <w:bookmarkStart w:id="59" w:name="_Toc28359021"/>
      <w:bookmarkStart w:id="60" w:name="_Toc35393639"/>
      <w:bookmarkStart w:id="61" w:name="_Toc28359098"/>
      <w:bookmarkStart w:id="62" w:name="_Toc35393808"/>
      <w:r>
        <w:rPr>
          <w:rFonts w:hint="eastAsia" w:ascii="宋体" w:hAnsi="宋体" w:eastAsia="宋体" w:cs="宋体"/>
          <w:b w:val="0"/>
          <w:bCs/>
          <w:color w:val="auto"/>
          <w:kern w:val="2"/>
          <w:sz w:val="24"/>
          <w:szCs w:val="24"/>
          <w:highlight w:val="none"/>
          <w:lang w:val="en-US" w:eastAsia="zh-CN" w:bidi="ar-SA"/>
        </w:rPr>
        <w:t>3.项目联系方式</w:t>
      </w:r>
      <w:bookmarkEnd w:id="59"/>
      <w:bookmarkEnd w:id="60"/>
      <w:bookmarkEnd w:id="61"/>
      <w:bookmarkEnd w:id="62"/>
    </w:p>
    <w:p>
      <w:pPr>
        <w:pageBreakBefore w:val="0"/>
        <w:widowControl w:val="0"/>
        <w:kinsoku/>
        <w:wordWrap/>
        <w:overflowPunct/>
        <w:topLinePunct w:val="0"/>
        <w:bidi w:val="0"/>
        <w:spacing w:line="360" w:lineRule="auto"/>
        <w:ind w:left="0" w:lef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eastAsia="宋体" w:cs="宋体"/>
          <w:color w:val="auto"/>
          <w:kern w:val="2"/>
          <w:sz w:val="24"/>
          <w:szCs w:val="24"/>
          <w:highlight w:val="none"/>
          <w:u w:val="single"/>
          <w:lang w:val="en-US" w:eastAsia="zh-CN" w:bidi="ar-SA"/>
        </w:rPr>
        <w:t>陈诺</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电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话：</w:t>
      </w:r>
      <w:r>
        <w:rPr>
          <w:rFonts w:hint="eastAsia" w:ascii="宋体" w:hAnsi="宋体" w:eastAsia="宋体" w:cs="宋体"/>
          <w:color w:val="auto"/>
          <w:sz w:val="24"/>
          <w:szCs w:val="24"/>
          <w:highlight w:val="none"/>
          <w:u w:val="single"/>
          <w:lang w:val="en-US" w:eastAsia="zh-CN"/>
        </w:rPr>
        <w:t>025-83476186</w:t>
      </w:r>
    </w:p>
    <w:bookmarkEnd w:id="44"/>
    <w:bookmarkEnd w:id="45"/>
    <w:p>
      <w:pPr>
        <w:pStyle w:val="6"/>
        <w:outlineLvl w:val="9"/>
        <w:rPr>
          <w:highlight w:val="none"/>
        </w:rPr>
      </w:pPr>
    </w:p>
    <w:p>
      <w:pPr>
        <w:rPr>
          <w:sz w:val="36"/>
          <w:szCs w:val="36"/>
          <w:highlight w:val="none"/>
        </w:rPr>
      </w:pPr>
      <w:bookmarkStart w:id="63" w:name="_Toc44419898"/>
      <w:bookmarkStart w:id="64" w:name="_Toc29835"/>
      <w:r>
        <w:rPr>
          <w:sz w:val="36"/>
          <w:szCs w:val="36"/>
          <w:highlight w:val="none"/>
        </w:rPr>
        <w:br w:type="page"/>
      </w:r>
    </w:p>
    <w:p>
      <w:pPr>
        <w:spacing w:before="100" w:after="100" w:line="240" w:lineRule="auto"/>
        <w:jc w:val="center"/>
        <w:outlineLvl w:val="0"/>
        <w:rPr>
          <w:sz w:val="36"/>
          <w:szCs w:val="36"/>
          <w:highlight w:val="none"/>
        </w:rPr>
      </w:pPr>
      <w:bookmarkStart w:id="65" w:name="_Toc12004"/>
      <w:bookmarkStart w:id="66" w:name="_Toc8824"/>
      <w:r>
        <w:rPr>
          <w:sz w:val="36"/>
          <w:szCs w:val="36"/>
          <w:highlight w:val="none"/>
        </w:rPr>
        <w:t>第二章</w:t>
      </w:r>
      <w:r>
        <w:rPr>
          <w:rFonts w:hint="eastAsia"/>
          <w:sz w:val="36"/>
          <w:szCs w:val="36"/>
          <w:highlight w:val="none"/>
        </w:rPr>
        <w:t xml:space="preserve"> </w:t>
      </w:r>
      <w:r>
        <w:rPr>
          <w:sz w:val="36"/>
          <w:szCs w:val="36"/>
          <w:highlight w:val="none"/>
        </w:rPr>
        <w:t>投标人须知</w:t>
      </w:r>
      <w:bookmarkEnd w:id="63"/>
      <w:bookmarkEnd w:id="64"/>
      <w:bookmarkEnd w:id="65"/>
      <w:bookmarkEnd w:id="66"/>
    </w:p>
    <w:tbl>
      <w:tblPr>
        <w:tblStyle w:val="2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16"/>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b/>
                <w:sz w:val="24"/>
                <w:highlight w:val="none"/>
              </w:rPr>
            </w:pPr>
            <w:bookmarkStart w:id="67" w:name="_Toc7622_WPSOffice_Level2"/>
            <w:r>
              <w:rPr>
                <w:rFonts w:hint="eastAsia" w:ascii="宋体" w:hAnsi="宋体"/>
                <w:b/>
                <w:sz w:val="24"/>
                <w:highlight w:val="none"/>
              </w:rPr>
              <w:t>序号</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b/>
                <w:sz w:val="24"/>
                <w:highlight w:val="none"/>
              </w:rPr>
            </w:pPr>
            <w:r>
              <w:rPr>
                <w:rFonts w:hint="eastAsia" w:ascii="宋体" w:hAnsi="宋体"/>
                <w:b/>
                <w:sz w:val="24"/>
                <w:highlight w:val="none"/>
              </w:rPr>
              <w:t>名称</w:t>
            </w:r>
          </w:p>
        </w:tc>
        <w:tc>
          <w:tcPr>
            <w:tcW w:w="6500"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b/>
                <w:sz w:val="24"/>
                <w:highlight w:val="none"/>
              </w:rPr>
            </w:pPr>
            <w:r>
              <w:rPr>
                <w:rFonts w:hint="eastAsia" w:ascii="宋体" w:hAnsi="宋体"/>
                <w:b/>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1</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采购人</w:t>
            </w:r>
          </w:p>
        </w:tc>
        <w:tc>
          <w:tcPr>
            <w:tcW w:w="6500" w:type="dxa"/>
            <w:tcBorders>
              <w:top w:val="single" w:color="auto" w:sz="4" w:space="0"/>
              <w:left w:val="single" w:color="auto" w:sz="4" w:space="0"/>
              <w:bottom w:val="single" w:color="auto" w:sz="4" w:space="0"/>
              <w:right w:val="single" w:color="auto" w:sz="4" w:space="0"/>
            </w:tcBorders>
            <w:noWrap/>
            <w:vAlign w:val="center"/>
          </w:tcPr>
          <w:p>
            <w:pPr>
              <w:jc w:val="left"/>
              <w:outlineLvl w:val="9"/>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南京市鼓楼区教师发展中心</w:t>
            </w:r>
          </w:p>
          <w:p>
            <w:pPr>
              <w:jc w:val="left"/>
              <w:outlineLvl w:val="9"/>
              <w:rPr>
                <w:rFonts w:hint="eastAsia" w:ascii="宋体" w:hAnsi="宋体" w:eastAsia="宋体"/>
                <w:sz w:val="24"/>
                <w:highlight w:val="none"/>
                <w:lang w:eastAsia="zh-CN"/>
              </w:rPr>
            </w:pPr>
            <w:r>
              <w:rPr>
                <w:rFonts w:hint="eastAsia" w:ascii="宋体" w:hAnsi="宋体"/>
                <w:sz w:val="24"/>
                <w:highlight w:val="none"/>
              </w:rPr>
              <w:t>地址：</w:t>
            </w:r>
            <w:r>
              <w:rPr>
                <w:rFonts w:hint="eastAsia" w:ascii="宋体" w:hAnsi="宋体"/>
                <w:sz w:val="24"/>
                <w:highlight w:val="none"/>
                <w:lang w:eastAsia="zh-CN"/>
              </w:rPr>
              <w:t>南京市虎踞路85号</w:t>
            </w:r>
          </w:p>
          <w:p>
            <w:pPr>
              <w:jc w:val="left"/>
              <w:outlineLvl w:val="9"/>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eastAsia="zh-CN"/>
              </w:rPr>
              <w:t>吴骏</w:t>
            </w:r>
          </w:p>
          <w:p>
            <w:pPr>
              <w:jc w:val="left"/>
              <w:outlineLvl w:val="9"/>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sz w:val="24"/>
                <w:highlight w:val="none"/>
                <w:lang w:eastAsia="zh-CN"/>
              </w:rPr>
              <w:t>025-83759222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2</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采购代理机构</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hint="eastAsia" w:ascii="宋体" w:hAnsi="宋体" w:eastAsia="宋体"/>
                <w:sz w:val="24"/>
                <w:highlight w:val="none"/>
                <w:lang w:eastAsia="zh-CN"/>
              </w:rPr>
            </w:pPr>
            <w:r>
              <w:rPr>
                <w:rFonts w:hint="eastAsia" w:ascii="宋体" w:hAnsi="宋体"/>
                <w:sz w:val="24"/>
                <w:highlight w:val="none"/>
              </w:rPr>
              <w:t>名称：</w:t>
            </w:r>
            <w:r>
              <w:rPr>
                <w:rFonts w:hint="eastAsia" w:ascii="宋体" w:hAnsi="宋体"/>
                <w:sz w:val="24"/>
                <w:highlight w:val="none"/>
                <w:lang w:eastAsia="zh-CN"/>
              </w:rPr>
              <w:t>南京金鼎工程造价评估有限责任公司</w:t>
            </w:r>
          </w:p>
          <w:p>
            <w:pPr>
              <w:outlineLvl w:val="9"/>
              <w:rPr>
                <w:rFonts w:hint="eastAsia" w:ascii="宋体" w:hAnsi="宋体" w:eastAsia="宋体"/>
                <w:sz w:val="24"/>
                <w:highlight w:val="none"/>
                <w:lang w:eastAsia="zh-CN"/>
              </w:rPr>
            </w:pPr>
            <w:r>
              <w:rPr>
                <w:rFonts w:hint="eastAsia" w:ascii="宋体" w:hAnsi="宋体"/>
                <w:sz w:val="24"/>
                <w:highlight w:val="none"/>
              </w:rPr>
              <w:t>地址：</w:t>
            </w:r>
            <w:r>
              <w:rPr>
                <w:rFonts w:hint="eastAsia" w:ascii="宋体" w:hAnsi="宋体"/>
                <w:sz w:val="24"/>
                <w:highlight w:val="none"/>
                <w:lang w:eastAsia="zh-CN"/>
              </w:rPr>
              <w:t>南京市鼓楼区虎踞北路41号三楼</w:t>
            </w:r>
          </w:p>
          <w:p>
            <w:pPr>
              <w:outlineLvl w:val="9"/>
              <w:rPr>
                <w:rFonts w:hint="eastAsia" w:ascii="宋体" w:hAnsi="宋体" w:eastAsia="宋体"/>
                <w:sz w:val="24"/>
                <w:highlight w:val="none"/>
                <w:lang w:eastAsia="zh-CN"/>
              </w:rPr>
            </w:pPr>
            <w:r>
              <w:rPr>
                <w:rFonts w:hint="eastAsia" w:ascii="宋体" w:hAnsi="宋体"/>
                <w:sz w:val="24"/>
                <w:highlight w:val="none"/>
              </w:rPr>
              <w:t>联系人：</w:t>
            </w:r>
            <w:r>
              <w:rPr>
                <w:rFonts w:hint="eastAsia" w:ascii="宋体" w:hAnsi="宋体"/>
                <w:sz w:val="24"/>
                <w:highlight w:val="none"/>
                <w:lang w:eastAsia="zh-CN"/>
              </w:rPr>
              <w:t>陈诺</w:t>
            </w:r>
          </w:p>
          <w:p>
            <w:pPr>
              <w:outlineLvl w:val="9"/>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sz w:val="24"/>
                <w:highlight w:val="none"/>
                <w:lang w:eastAsia="zh-CN"/>
              </w:rPr>
              <w:t>025-83476186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3</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采购项目名称</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hint="eastAsia" w:ascii="宋体" w:hAnsi="宋体" w:eastAsia="宋体"/>
                <w:sz w:val="24"/>
                <w:highlight w:val="none"/>
                <w:lang w:eastAsia="zh-CN"/>
              </w:rPr>
            </w:pPr>
            <w:r>
              <w:rPr>
                <w:rFonts w:hint="eastAsia" w:ascii="宋体" w:hAnsi="宋体"/>
                <w:sz w:val="24"/>
                <w:highlight w:val="none"/>
                <w:lang w:eastAsia="zh-CN"/>
              </w:rPr>
              <w:t>力学小学等9所学校校园无线网改造项目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4</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项目实施地点</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b/>
                <w:sz w:val="24"/>
                <w:highlight w:val="none"/>
              </w:rPr>
            </w:pPr>
            <w:r>
              <w:rPr>
                <w:rFonts w:hint="eastAsia" w:ascii="宋体" w:hAnsi="宋体"/>
                <w:sz w:val="24"/>
                <w:highlight w:val="none"/>
              </w:rPr>
              <w:t>江苏省南京市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5</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资金来源</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sz w:val="24"/>
                <w:highlight w:val="none"/>
              </w:rPr>
            </w:pPr>
            <w:r>
              <w:rPr>
                <w:rFonts w:hint="eastAsia" w:ascii="宋体" w:hAnsi="宋体"/>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6</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评审方法</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sz w:val="24"/>
                <w:highlight w:val="none"/>
              </w:rPr>
            </w:pPr>
            <w:r>
              <w:rPr>
                <w:rFonts w:hint="eastAsia" w:ascii="宋体" w:hAnsi="宋体"/>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7</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投标有效期</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sz w:val="24"/>
                <w:highlight w:val="none"/>
              </w:rPr>
            </w:pPr>
            <w:r>
              <w:rPr>
                <w:rFonts w:hint="eastAsia" w:ascii="宋体" w:hAnsi="宋体"/>
                <w:sz w:val="24"/>
                <w:highlight w:val="none"/>
              </w:rPr>
              <w:t>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8</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供应商企业信用信息</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sz w:val="24"/>
                <w:highlight w:val="none"/>
              </w:rPr>
            </w:pPr>
            <w:r>
              <w:rPr>
                <w:rFonts w:hint="eastAsia" w:ascii="宋体" w:hAnsi="宋体"/>
                <w:sz w:val="24"/>
                <w:highlight w:val="none"/>
              </w:rPr>
              <w:t>（1）查询人：采购代理机构；</w:t>
            </w:r>
          </w:p>
          <w:p>
            <w:pPr>
              <w:outlineLvl w:val="9"/>
              <w:rPr>
                <w:rFonts w:ascii="宋体" w:hAnsi="宋体"/>
                <w:sz w:val="24"/>
                <w:highlight w:val="none"/>
              </w:rPr>
            </w:pPr>
            <w:r>
              <w:rPr>
                <w:rFonts w:hint="eastAsia" w:ascii="宋体" w:hAnsi="宋体"/>
                <w:sz w:val="24"/>
                <w:highlight w:val="none"/>
              </w:rPr>
              <w:t>（2）查询渠道：“信用中国”网站（www.creditchina.gov.cn）、“中国政府采购网”网站（www.ccgp.gov.cn）；</w:t>
            </w:r>
          </w:p>
          <w:p>
            <w:pPr>
              <w:outlineLvl w:val="9"/>
              <w:rPr>
                <w:rFonts w:ascii="宋体" w:hAnsi="宋体"/>
                <w:sz w:val="24"/>
                <w:highlight w:val="none"/>
              </w:rPr>
            </w:pPr>
            <w:r>
              <w:rPr>
                <w:rFonts w:hint="eastAsia" w:ascii="宋体" w:hAnsi="宋体"/>
                <w:sz w:val="24"/>
                <w:highlight w:val="none"/>
              </w:rPr>
              <w:t>（3）查询时间：投标截止时间后；</w:t>
            </w:r>
          </w:p>
          <w:p>
            <w:pPr>
              <w:outlineLvl w:val="9"/>
              <w:rPr>
                <w:rFonts w:ascii="宋体" w:hAnsi="宋体"/>
                <w:sz w:val="24"/>
                <w:highlight w:val="none"/>
              </w:rPr>
            </w:pPr>
            <w:r>
              <w:rPr>
                <w:rFonts w:hint="eastAsia" w:ascii="宋体" w:hAnsi="宋体"/>
                <w:sz w:val="24"/>
                <w:highlight w:val="none"/>
              </w:rPr>
              <w:t>（4）查询记录留存方式：由采购代理机构负责将供应商各网站信用记录截图打印保存，并作为本项目档案资料留存；</w:t>
            </w:r>
          </w:p>
          <w:p>
            <w:pPr>
              <w:outlineLvl w:val="9"/>
              <w:rPr>
                <w:rFonts w:ascii="宋体" w:hAnsi="宋体"/>
                <w:sz w:val="24"/>
                <w:highlight w:val="none"/>
              </w:rPr>
            </w:pPr>
            <w:r>
              <w:rPr>
                <w:rFonts w:hint="eastAsia" w:ascii="宋体" w:hAnsi="宋体"/>
                <w:sz w:val="24"/>
                <w:highlight w:val="none"/>
              </w:rPr>
              <w:t>（5）查询结果处理：对具有违法失信记录的供应商作无效投标处理。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sz w:val="24"/>
                <w:highlight w:val="none"/>
              </w:rPr>
            </w:pPr>
            <w:r>
              <w:rPr>
                <w:rFonts w:hint="eastAsia" w:ascii="宋体" w:hAnsi="宋体"/>
                <w:sz w:val="24"/>
                <w:highlight w:val="none"/>
              </w:rPr>
              <w:t>12</w:t>
            </w:r>
          </w:p>
        </w:tc>
        <w:tc>
          <w:tcPr>
            <w:tcW w:w="1816" w:type="dxa"/>
            <w:tcBorders>
              <w:top w:val="single" w:color="auto" w:sz="4" w:space="0"/>
              <w:left w:val="single" w:color="auto" w:sz="4" w:space="0"/>
              <w:bottom w:val="single" w:color="auto" w:sz="4" w:space="0"/>
              <w:right w:val="single" w:color="auto" w:sz="4" w:space="0"/>
            </w:tcBorders>
            <w:noWrap/>
            <w:vAlign w:val="center"/>
          </w:tcPr>
          <w:p>
            <w:pPr>
              <w:jc w:val="center"/>
              <w:outlineLvl w:val="9"/>
              <w:rPr>
                <w:rFonts w:ascii="宋体" w:hAnsi="宋体" w:eastAsia="宋体" w:cs="Times New Roman"/>
                <w:kern w:val="2"/>
                <w:sz w:val="24"/>
                <w:szCs w:val="24"/>
                <w:highlight w:val="none"/>
                <w:lang w:val="en-US" w:eastAsia="zh-CN" w:bidi="ar-SA"/>
              </w:rPr>
            </w:pPr>
            <w:r>
              <w:rPr>
                <w:rFonts w:hint="eastAsia" w:ascii="宋体" w:hAnsi="宋体"/>
                <w:sz w:val="24"/>
                <w:highlight w:val="none"/>
              </w:rPr>
              <w:t>盖章要求</w:t>
            </w:r>
          </w:p>
        </w:tc>
        <w:tc>
          <w:tcPr>
            <w:tcW w:w="6500" w:type="dxa"/>
            <w:tcBorders>
              <w:top w:val="single" w:color="auto" w:sz="4" w:space="0"/>
              <w:left w:val="single" w:color="auto" w:sz="4" w:space="0"/>
              <w:bottom w:val="single" w:color="auto" w:sz="4" w:space="0"/>
              <w:right w:val="single" w:color="auto" w:sz="4" w:space="0"/>
            </w:tcBorders>
            <w:noWrap/>
            <w:vAlign w:val="center"/>
          </w:tcPr>
          <w:p>
            <w:pPr>
              <w:outlineLvl w:val="9"/>
              <w:rPr>
                <w:rFonts w:ascii="宋体" w:hAnsi="宋体" w:eastAsia="宋体" w:cs="Times New Roman"/>
                <w:kern w:val="2"/>
                <w:sz w:val="24"/>
                <w:szCs w:val="24"/>
                <w:highlight w:val="none"/>
                <w:lang w:val="en-US" w:eastAsia="zh-CN" w:bidi="ar-SA"/>
              </w:rPr>
            </w:pPr>
            <w:r>
              <w:rPr>
                <w:rFonts w:hint="eastAsia" w:ascii="宋体" w:hAnsi="宋体"/>
                <w:sz w:val="24"/>
                <w:highlight w:val="none"/>
              </w:rPr>
              <w:t>供应商投标文件中加盖的公章仅能使用与供应商名称一致的标准公章，不得使用其他形式（如带有“专用章”、“合同章”、“财务章”、“业务章”等字样）的印章；否则，按无效投标处理。</w:t>
            </w:r>
          </w:p>
        </w:tc>
      </w:tr>
    </w:tbl>
    <w:p>
      <w:pPr>
        <w:outlineLvl w:val="9"/>
        <w:rPr>
          <w:rFonts w:ascii="宋体" w:hAnsi="宋体"/>
          <w:b/>
          <w:bCs/>
          <w:sz w:val="24"/>
          <w:highlight w:val="none"/>
          <w:lang w:val="zh-CN"/>
        </w:rPr>
      </w:pPr>
      <w:bookmarkStart w:id="68" w:name="_Toc32682"/>
      <w:r>
        <w:rPr>
          <w:rFonts w:hint="eastAsia" w:ascii="宋体" w:hAnsi="宋体"/>
          <w:b/>
          <w:bCs/>
          <w:sz w:val="24"/>
          <w:highlight w:val="none"/>
          <w:lang w:val="zh-CN"/>
        </w:rPr>
        <w:br w:type="page"/>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一、总则</w:t>
      </w:r>
      <w:bookmarkEnd w:id="67"/>
      <w:bookmarkEnd w:id="68"/>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1、适用法律</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1.1《中华人民共和国政府采购法》、《中华人民共和国政府采购法实施条例》、《政府采购货物和服务招标投标管理办法》等有关法律、规章和规定等。</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2、供应商定义</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2.1“供应商”是指参加投标竞争，并符合招标文件规定资格条件的法人、其他组织或者自然人。</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3、货物和服务、用户或使用单位定义</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3.1“货物和服务”指本招标文件中所述产品及相关服务。</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3.2“用户或使用单位”是指使用货物及接受服务的单位。</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4、政策功能</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4.1 中小企业政策</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（1）政府采购促进中小企业发展，小企业（含小型、微型企业）提供的产品和服务在评标时将获得优势，参加投标的小企业，应当提供《 中小企业声明函》（“中小企业划型标准”详见《关于印发中小企业划型标准规定的通知》工信部联企业〔2011〕300号及《国家统计局 关于印发统计上大中小微型企业划分办法的通知》国统字〔2011〕75号）。</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lang w:val="zh-CN"/>
        </w:rPr>
        <w:t>（2）</w:t>
      </w:r>
      <w:r>
        <w:rPr>
          <w:rFonts w:hint="eastAsia" w:ascii="宋体" w:hAnsi="宋体"/>
          <w:kern w:val="0"/>
          <w:sz w:val="24"/>
          <w:highlight w:val="none"/>
        </w:rPr>
        <w:t>根据</w:t>
      </w:r>
      <w:r>
        <w:rPr>
          <w:rFonts w:hint="eastAsia" w:ascii="宋体" w:hAnsi="宋体"/>
          <w:kern w:val="0"/>
          <w:sz w:val="24"/>
          <w:highlight w:val="none"/>
          <w:lang w:val="zh-CN"/>
        </w:rPr>
        <w:t>《政府采购促进中小企业发展管理办法》的通知（财库〔2020〕46号）、《关于进一步加大政府采购支持中小企业力度的通知》（财库〔2022〕19号）的规定对于专门面向中小企业或小型、微型企业的项目，只面向中小企业或小型、微型企业采购。对于非专门面向中小企业的项目，</w:t>
      </w:r>
      <w:r>
        <w:rPr>
          <w:rFonts w:hint="eastAsia" w:ascii="宋体" w:hAnsi="宋体"/>
          <w:kern w:val="0"/>
          <w:sz w:val="24"/>
          <w:highlight w:val="none"/>
        </w:rPr>
        <w:t>对符合规定的小微企业报价给予10%的扣除，用扣除后的价格参加评审。</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lang w:val="zh-CN"/>
        </w:rPr>
        <w:t>（3）对于接受供应商以联合体形式参加采购活动的项目，小型、微型企业联合体应当符合《关于进一步加大政府采购支持中小企业力度的通知》（财库〔2022〕19号）规定。联合协议中约定，小型、微型企业的协议合同金额占到联合体协议合同总金额30%以上的，给予联合体</w:t>
      </w:r>
      <w:r>
        <w:rPr>
          <w:rFonts w:hint="eastAsia" w:ascii="宋体" w:hAnsi="宋体"/>
          <w:kern w:val="0"/>
          <w:sz w:val="24"/>
          <w:highlight w:val="none"/>
        </w:rPr>
        <w:t>4</w:t>
      </w:r>
      <w:r>
        <w:rPr>
          <w:rFonts w:hint="eastAsia" w:ascii="宋体" w:hAnsi="宋体"/>
          <w:kern w:val="0"/>
          <w:sz w:val="24"/>
          <w:highlight w:val="none"/>
          <w:lang w:val="zh-CN"/>
        </w:rPr>
        <w:t>%的价格扣除。联合体各方均为小型、微型企业的，联合体视同为小型、微型企业给予10%价格扣除。组成联合体的大中型企业和其他自然人、法人或者其他组织，与小型、微型企业之间不得存在投资关系。</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4）根据《财库〔2014〕68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5）根据《财库〔2017〕141号》符合条件的残疾人福利性单位视同小型、微型企业，享受中小企业发展的政府采购政策。残疾人福利性单位属于小型、微型企业的，不重复享受政策。参加投标的残疾人福利性单位，应当提供《残疾人福利性单位声明函》，未提供上述资料的报价，其价格不予扣除。</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（6）参加政府采购活动的中小企业应当按“关于印发《政府采购促进中小企业发展管理办法》的通知[财库〔2020〕46号]”规定提供《中小企业声明函》，未提供上述资料的报价，其价格不予扣除。</w:t>
      </w:r>
    </w:p>
    <w:p>
      <w:pPr>
        <w:spacing w:line="360" w:lineRule="auto"/>
        <w:ind w:firstLine="480" w:firstLineChars="200"/>
        <w:outlineLvl w:val="9"/>
        <w:rPr>
          <w:rFonts w:ascii="宋体" w:hAnsi="宋体"/>
          <w:kern w:val="0"/>
          <w:sz w:val="24"/>
          <w:highlight w:val="none"/>
        </w:rPr>
      </w:pPr>
      <w:r>
        <w:rPr>
          <w:rFonts w:hint="eastAsia" w:ascii="宋体" w:hAnsi="宋体"/>
          <w:kern w:val="0"/>
          <w:sz w:val="24"/>
          <w:highlight w:val="none"/>
        </w:rPr>
        <w:t>（7）中小企业依据《政府采购促进中小企业发展管理办法》（财库〔2020〕46号）、</w:t>
      </w:r>
      <w:r>
        <w:rPr>
          <w:rFonts w:hint="eastAsia" w:ascii="宋体" w:hAnsi="宋体"/>
          <w:kern w:val="0"/>
          <w:sz w:val="24"/>
          <w:highlight w:val="none"/>
          <w:lang w:val="zh-CN"/>
        </w:rPr>
        <w:t>《关于进一步加大政府采购支持中小企业力度的通知》（财库〔2022〕19号）</w:t>
      </w:r>
      <w:r>
        <w:rPr>
          <w:rFonts w:hint="eastAsia" w:ascii="宋体" w:hAnsi="宋体"/>
          <w:kern w:val="0"/>
          <w:sz w:val="24"/>
          <w:highlight w:val="none"/>
        </w:rPr>
        <w:t>规定的政策获取政府采购合同后，小微企业不得将合同分包给大中型企业，中型企业不得将合同分包给大型企业。</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4.2节能产品、环境标志产品政策</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（1）政府采购节能产品、环境标志产品实施品目清单管理。</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（2）拟采购产品属于节能产品、环境标志产品品目清单规定必须强制采购的，实行强制采购。</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（3）拟采购产品属于节能产品、环境标志产品品目清单规定优先采购的，在性能、技术、服务等指标同等条件下，实行优先采购，优先采购的评审标准详见本招标文件第三章。</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（4）参加政府采购活动的节能产品、环境标志产品供应商应当提供国家确定的认证机构出具的、处于有效期之内的节能产品、环境标志产品认证证书。</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4.3进口产品政策</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（1）除在招标文件另有规定外，不允许进口产品参加。进口产品认定依照《财政部关于政府采购进口产品管理有关问题的通知》（财办库〔2008〕248号）的规定。</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（2）允许进口产品参加的，满足需求的国内产品可以参加。</w:t>
      </w:r>
    </w:p>
    <w:p>
      <w:pPr>
        <w:widowControl w:val="0"/>
        <w:adjustRightInd w:val="0"/>
        <w:spacing w:line="360" w:lineRule="auto"/>
        <w:ind w:firstLine="420"/>
        <w:jc w:val="left"/>
        <w:outlineLvl w:val="9"/>
        <w:rPr>
          <w:rFonts w:ascii="宋体" w:hAnsi="宋体"/>
          <w:kern w:val="0"/>
          <w:sz w:val="24"/>
          <w:highlight w:val="none"/>
        </w:rPr>
      </w:pPr>
      <w:r>
        <w:rPr>
          <w:rFonts w:hint="eastAsia" w:ascii="宋体" w:hAnsi="宋体"/>
          <w:sz w:val="24"/>
          <w:highlight w:val="none"/>
          <w:lang w:val="zh-CN"/>
        </w:rPr>
        <w:t>（3）允许进口产品参加的，优先采购向我国企业转让技术、与我国企业签订消化吸收再创新方</w:t>
      </w:r>
      <w:r>
        <w:rPr>
          <w:rFonts w:hint="eastAsia" w:ascii="宋体" w:hAnsi="宋体"/>
          <w:kern w:val="0"/>
          <w:sz w:val="24"/>
          <w:highlight w:val="none"/>
        </w:rPr>
        <w:t>案的供应商的进口产品。</w:t>
      </w:r>
    </w:p>
    <w:p>
      <w:pPr>
        <w:widowControl w:val="0"/>
        <w:adjustRightInd w:val="0"/>
        <w:spacing w:line="360" w:lineRule="auto"/>
        <w:ind w:firstLine="420"/>
        <w:jc w:val="left"/>
        <w:outlineLvl w:val="9"/>
        <w:rPr>
          <w:rFonts w:ascii="宋体" w:hAnsi="宋体"/>
          <w:b/>
          <w:bCs/>
          <w:sz w:val="24"/>
          <w:highlight w:val="none"/>
          <w:lang w:val="zh-CN"/>
        </w:rPr>
      </w:pPr>
      <w:bookmarkStart w:id="69" w:name="_Toc32428_WPSOffice_Level2"/>
      <w:bookmarkStart w:id="70" w:name="_Toc5548"/>
      <w:r>
        <w:rPr>
          <w:rFonts w:hint="eastAsia" w:ascii="宋体" w:hAnsi="宋体"/>
          <w:b/>
          <w:bCs/>
          <w:sz w:val="24"/>
          <w:highlight w:val="none"/>
          <w:lang w:val="zh-CN"/>
        </w:rPr>
        <w:t>二、招标文件构成</w:t>
      </w:r>
      <w:bookmarkEnd w:id="69"/>
      <w:bookmarkEnd w:id="70"/>
    </w:p>
    <w:p>
      <w:pPr>
        <w:widowControl w:val="0"/>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5、招标文件组成</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5.1</w:t>
      </w:r>
      <w:r>
        <w:rPr>
          <w:rFonts w:hint="eastAsia" w:ascii="宋体" w:hAnsi="宋体"/>
          <w:sz w:val="24"/>
          <w:highlight w:val="none"/>
          <w:lang w:val="en-US" w:eastAsia="zh-CN"/>
        </w:rPr>
        <w:t xml:space="preserve"> </w:t>
      </w:r>
      <w:r>
        <w:rPr>
          <w:rFonts w:hint="eastAsia" w:ascii="宋体" w:hAnsi="宋体"/>
          <w:sz w:val="24"/>
          <w:highlight w:val="none"/>
          <w:lang w:val="zh-CN"/>
        </w:rPr>
        <w:t>招标文件组成：投标邀请、投标人须知、投标人应当提交的资格和资信证明文件、投标报价要求、投标文件编制要求和招标项目的技术规格、要求和数量、合同主要条款及合同签订方式、交货和提供服务的时间、付款条件、评标方法、评标标准、无效投标和废标条款、附件等。</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5.2</w:t>
      </w:r>
      <w:r>
        <w:rPr>
          <w:rFonts w:hint="eastAsia" w:ascii="宋体" w:hAnsi="宋体"/>
          <w:sz w:val="24"/>
          <w:highlight w:val="none"/>
          <w:lang w:val="en-US" w:eastAsia="zh-CN"/>
        </w:rPr>
        <w:t xml:space="preserve"> </w:t>
      </w:r>
      <w:r>
        <w:rPr>
          <w:rFonts w:hint="eastAsia" w:ascii="宋体" w:hAnsi="宋体"/>
          <w:sz w:val="24"/>
          <w:highlight w:val="none"/>
          <w:lang w:val="zh-CN"/>
        </w:rPr>
        <w:t>招标的最小单位是包。招标货物数量及技术要求中未分包的，投标人对要求提供的货物和服务不得部分投标；招标货物数量及技术要求中已经分包的，可以以包为单位投标。</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5.3 代理机构如果要求投标人按照招标文件规定提交备选投标方案的，投标人可以提交备选方案；否则，备选方案将被拒绝。</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6、招标文件的澄清、补充或修改</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6.1</w:t>
      </w:r>
      <w:r>
        <w:rPr>
          <w:rFonts w:hint="eastAsia" w:ascii="宋体" w:hAnsi="宋体"/>
          <w:sz w:val="24"/>
          <w:highlight w:val="none"/>
          <w:lang w:val="en-US" w:eastAsia="zh-CN"/>
        </w:rPr>
        <w:t xml:space="preserve"> </w:t>
      </w:r>
      <w:r>
        <w:rPr>
          <w:rFonts w:hint="eastAsia" w:ascii="宋体" w:hAnsi="宋体"/>
          <w:sz w:val="24"/>
          <w:highlight w:val="none"/>
          <w:lang w:val="zh-CN"/>
        </w:rPr>
        <w:t>代理机构对已发出的招标文件进行必要澄清、补充或者修改的，将在招标文件要求提交投标文件截止时间</w:t>
      </w:r>
      <w:r>
        <w:rPr>
          <w:rFonts w:hint="eastAsia" w:ascii="宋体" w:hAnsi="宋体"/>
          <w:b/>
          <w:bCs/>
          <w:sz w:val="24"/>
          <w:highlight w:val="none"/>
          <w:u w:val="single"/>
          <w:lang w:val="zh-CN"/>
        </w:rPr>
        <w:t>十五日</w:t>
      </w:r>
      <w:r>
        <w:rPr>
          <w:rFonts w:hint="eastAsia" w:ascii="宋体" w:hAnsi="宋体"/>
          <w:sz w:val="24"/>
          <w:highlight w:val="none"/>
          <w:lang w:val="zh-CN"/>
        </w:rPr>
        <w:t>前，在原招标公告媒体发布更正公告，该澄清、补充或者修改的内容为招标文件的组成部分。</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6.2 代理机构在招标文件要求提交投标文件截止时间</w:t>
      </w:r>
      <w:r>
        <w:rPr>
          <w:rFonts w:hint="eastAsia" w:ascii="宋体" w:hAnsi="宋体"/>
          <w:b/>
          <w:bCs/>
          <w:sz w:val="24"/>
          <w:highlight w:val="none"/>
          <w:u w:val="single"/>
          <w:lang w:val="zh-CN"/>
        </w:rPr>
        <w:t>三日</w:t>
      </w:r>
      <w:r>
        <w:rPr>
          <w:rFonts w:hint="eastAsia" w:ascii="宋体" w:hAnsi="宋体"/>
          <w:sz w:val="24"/>
          <w:highlight w:val="none"/>
          <w:lang w:val="zh-CN"/>
        </w:rPr>
        <w:t>前，有权决定延长投标截止时间和开标时间，并在原采购信息发布媒体上发布变更公告。</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6.3</w:t>
      </w:r>
      <w:r>
        <w:rPr>
          <w:rFonts w:hint="eastAsia" w:ascii="宋体" w:hAnsi="宋体"/>
          <w:sz w:val="24"/>
          <w:highlight w:val="none"/>
          <w:lang w:val="en-US" w:eastAsia="zh-CN"/>
        </w:rPr>
        <w:t xml:space="preserve"> </w:t>
      </w:r>
      <w:r>
        <w:rPr>
          <w:rFonts w:hint="eastAsia" w:ascii="宋体" w:hAnsi="宋体"/>
          <w:sz w:val="24"/>
          <w:highlight w:val="none"/>
          <w:lang w:val="zh-CN"/>
        </w:rPr>
        <w:t>为使投标人在准备投标时，有合理的时间考虑招标文件的补充或修改，招标代理机构将视情况可能推迟投标截止时间和开标时间，并将此变更以书面形式通知所有的投标人。</w:t>
      </w:r>
    </w:p>
    <w:p>
      <w:pPr>
        <w:shd w:val="clear" w:color="auto" w:fill="FFFFFF"/>
        <w:adjustRightInd w:val="0"/>
        <w:snapToGrid w:val="0"/>
        <w:spacing w:line="360" w:lineRule="auto"/>
        <w:ind w:firstLine="420"/>
        <w:outlineLvl w:val="9"/>
        <w:rPr>
          <w:rStyle w:val="23"/>
          <w:rFonts w:ascii="宋体" w:hAnsi="宋体"/>
          <w:kern w:val="0"/>
          <w:sz w:val="24"/>
          <w:highlight w:val="none"/>
        </w:rPr>
      </w:pPr>
      <w:bookmarkStart w:id="71" w:name="_Toc13494_WPSOffice_Level2"/>
      <w:bookmarkStart w:id="72" w:name="_Toc25014"/>
      <w:r>
        <w:rPr>
          <w:rStyle w:val="23"/>
          <w:rFonts w:ascii="宋体" w:hAnsi="宋体"/>
          <w:b/>
          <w:bCs/>
          <w:kern w:val="0"/>
          <w:sz w:val="24"/>
          <w:highlight w:val="none"/>
        </w:rPr>
        <w:t>三、投标文件的编制</w:t>
      </w:r>
      <w:bookmarkEnd w:id="71"/>
      <w:bookmarkEnd w:id="72"/>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7、投标文件的语言、计量单位、货币和编制</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7.1</w:t>
      </w:r>
      <w:r>
        <w:rPr>
          <w:rFonts w:hint="eastAsia" w:ascii="宋体" w:hAnsi="宋体"/>
          <w:sz w:val="24"/>
          <w:highlight w:val="none"/>
          <w:lang w:val="en-US" w:eastAsia="zh-CN"/>
        </w:rPr>
        <w:t xml:space="preserve"> </w:t>
      </w:r>
      <w:r>
        <w:rPr>
          <w:rFonts w:hint="eastAsia" w:ascii="宋体" w:hAnsi="宋体"/>
          <w:sz w:val="24"/>
          <w:highlight w:val="none"/>
          <w:lang w:val="zh-CN"/>
        </w:rPr>
        <w:t>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7.2</w:t>
      </w:r>
      <w:r>
        <w:rPr>
          <w:rFonts w:hint="eastAsia" w:ascii="宋体" w:hAnsi="宋体"/>
          <w:sz w:val="24"/>
          <w:highlight w:val="none"/>
          <w:lang w:val="en-US" w:eastAsia="zh-CN"/>
        </w:rPr>
        <w:t xml:space="preserve"> </w:t>
      </w:r>
      <w:r>
        <w:rPr>
          <w:rFonts w:hint="eastAsia" w:ascii="宋体" w:hAnsi="宋体"/>
          <w:sz w:val="24"/>
          <w:highlight w:val="none"/>
          <w:lang w:val="zh-CN"/>
        </w:rPr>
        <w:t>投标人所使用的计量单位应为国家法定计量单位。</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7.3</w:t>
      </w:r>
      <w:r>
        <w:rPr>
          <w:rFonts w:hint="eastAsia" w:ascii="宋体" w:hAnsi="宋体"/>
          <w:sz w:val="24"/>
          <w:highlight w:val="none"/>
          <w:lang w:val="en-US" w:eastAsia="zh-CN"/>
        </w:rPr>
        <w:t xml:space="preserve"> </w:t>
      </w:r>
      <w:r>
        <w:rPr>
          <w:rFonts w:hint="eastAsia" w:ascii="宋体" w:hAnsi="宋体"/>
          <w:sz w:val="24"/>
          <w:highlight w:val="none"/>
          <w:lang w:val="zh-CN"/>
        </w:rPr>
        <w:t>投标人应用人民币报价。</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7.4</w:t>
      </w:r>
      <w:r>
        <w:rPr>
          <w:rFonts w:hint="eastAsia" w:ascii="宋体" w:hAnsi="宋体"/>
          <w:sz w:val="24"/>
          <w:highlight w:val="none"/>
          <w:lang w:val="en-US" w:eastAsia="zh-CN"/>
        </w:rPr>
        <w:t xml:space="preserve"> </w:t>
      </w:r>
      <w:r>
        <w:rPr>
          <w:rFonts w:hint="eastAsia" w:ascii="宋体" w:hAnsi="宋体"/>
          <w:sz w:val="24"/>
          <w:highlight w:val="none"/>
          <w:lang w:val="zh-CN"/>
        </w:rPr>
        <w:t>投标文件应字迹清楚、内容齐全、不得涂改。如有修改，修改处须有投标人公章或投标专用章和法定代表人或其授权的投标人代表签字。</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7.5</w:t>
      </w:r>
      <w:r>
        <w:rPr>
          <w:rFonts w:hint="eastAsia" w:ascii="宋体" w:hAnsi="宋体"/>
          <w:sz w:val="24"/>
          <w:highlight w:val="none"/>
          <w:lang w:val="en-US" w:eastAsia="zh-CN"/>
        </w:rPr>
        <w:t xml:space="preserve"> </w:t>
      </w:r>
      <w:r>
        <w:rPr>
          <w:rFonts w:hint="eastAsia" w:ascii="宋体" w:hAnsi="宋体"/>
          <w:sz w:val="24"/>
          <w:highlight w:val="none"/>
          <w:lang w:val="zh-CN"/>
        </w:rPr>
        <w:t>投标文件应按照招标文件规定的顺序，统一用A4规格幅面打印、装订成册并编制目录，由于编排混乱导致投标文件被误读或查找不到，责任由投标人承担。</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7.6</w:t>
      </w:r>
      <w:r>
        <w:rPr>
          <w:rFonts w:hint="eastAsia" w:ascii="宋体" w:hAnsi="宋体"/>
          <w:sz w:val="24"/>
          <w:highlight w:val="none"/>
          <w:lang w:val="en-US" w:eastAsia="zh-CN"/>
        </w:rPr>
        <w:t xml:space="preserve"> </w:t>
      </w:r>
      <w:r>
        <w:rPr>
          <w:rFonts w:hint="eastAsia" w:ascii="宋体" w:hAnsi="宋体"/>
          <w:sz w:val="24"/>
          <w:highlight w:val="none"/>
          <w:lang w:val="zh-CN"/>
        </w:rPr>
        <w:t>投标人应在投标文件中写清相应的项目编号、项目名称、投标人全称、地址、电话、传真等。</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7.7</w:t>
      </w:r>
      <w:r>
        <w:rPr>
          <w:rFonts w:hint="eastAsia" w:ascii="宋体" w:hAnsi="宋体"/>
          <w:sz w:val="24"/>
          <w:highlight w:val="none"/>
          <w:lang w:val="en-US" w:eastAsia="zh-CN"/>
        </w:rPr>
        <w:t xml:space="preserve"> </w:t>
      </w:r>
      <w:r>
        <w:rPr>
          <w:rFonts w:hint="eastAsia" w:ascii="宋体" w:hAnsi="宋体"/>
          <w:sz w:val="24"/>
          <w:highlight w:val="none"/>
          <w:lang w:val="zh-CN"/>
        </w:rPr>
        <w:t>投标人根据招标文件载明的标的采购项目实际情况，拟在中标后将中标项目的非主体、非关键性工作交由他人完成的，应当在投标文件中载明。</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8、投标文件的组成</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8.1</w:t>
      </w:r>
      <w:r>
        <w:rPr>
          <w:rFonts w:hint="eastAsia" w:ascii="宋体" w:hAnsi="宋体"/>
          <w:sz w:val="24"/>
          <w:highlight w:val="none"/>
          <w:lang w:val="en-US" w:eastAsia="zh-CN"/>
        </w:rPr>
        <w:t xml:space="preserve"> </w:t>
      </w:r>
      <w:r>
        <w:rPr>
          <w:rFonts w:hint="eastAsia" w:ascii="宋体" w:hAnsi="宋体"/>
          <w:sz w:val="24"/>
          <w:highlight w:val="none"/>
          <w:lang w:val="zh-CN"/>
        </w:rPr>
        <w:t>供应商应当根据招标文件要求编制投标文件，投标文件应对招标文件提出的要求和条件作出实质性响应，并在《商务条款偏离表》和《技术条款偏离表》、《资格性和符合性检查响应对照表》等处逐条标明满足与否。对带星号（“★”）的技术条款必须在投标文件中提供技术支持资料（如白皮书、彩页、手册、检测报告等），未提供技术支持资料的，评审时不予认可。</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8.2 投标文件由商务部分、技术部分、价格部分以及其他部分组成。</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9、投标文件的商务部分</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9.1</w:t>
      </w:r>
      <w:r>
        <w:rPr>
          <w:rFonts w:hint="eastAsia" w:ascii="宋体" w:hAnsi="宋体"/>
          <w:sz w:val="24"/>
          <w:highlight w:val="none"/>
          <w:lang w:val="en-US" w:eastAsia="zh-CN"/>
        </w:rPr>
        <w:t xml:space="preserve"> </w:t>
      </w:r>
      <w:r>
        <w:rPr>
          <w:rFonts w:hint="eastAsia" w:ascii="宋体" w:hAnsi="宋体"/>
          <w:sz w:val="24"/>
          <w:highlight w:val="none"/>
          <w:lang w:val="zh-CN"/>
        </w:rPr>
        <w:t>商务部分是证明投标人有资格参加投标和中标后有能力履行合同的文件，这些文件应能满足招标的要求，包括但不限于下列文件：</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（1）★投标函（投标申请及声明）；</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（2）★法定代表人授权委托书及委托代理人的身份证明文件的复印件；</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（3）★第一章投标邀请书中 《中华人民共和国政府采购法》规定的资格条件证明文件；</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（4）★第一章投标邀请书中 采购人根据采购项目的特殊要求规定的特定条件证明文件（如有）；</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（5）★开标一览表</w:t>
      </w:r>
    </w:p>
    <w:p>
      <w:pPr>
        <w:widowControl w:val="0"/>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（6）★《南京市政府采购供应商信用记录表暨信用承诺书》</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w:t>
      </w:r>
      <w:r>
        <w:rPr>
          <w:rFonts w:hint="eastAsia" w:ascii="宋体" w:hAnsi="宋体"/>
          <w:sz w:val="24"/>
          <w:highlight w:val="none"/>
        </w:rPr>
        <w:t>7</w:t>
      </w:r>
      <w:r>
        <w:rPr>
          <w:rFonts w:hint="eastAsia" w:ascii="宋体" w:hAnsi="宋体"/>
          <w:sz w:val="24"/>
          <w:highlight w:val="none"/>
          <w:lang w:val="zh-CN"/>
        </w:rPr>
        <w:t>）《分项报价表》</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w:t>
      </w:r>
      <w:r>
        <w:rPr>
          <w:rFonts w:hint="eastAsia" w:ascii="宋体" w:hAnsi="宋体"/>
          <w:sz w:val="24"/>
          <w:highlight w:val="none"/>
        </w:rPr>
        <w:t>8</w:t>
      </w:r>
      <w:r>
        <w:rPr>
          <w:rFonts w:hint="eastAsia" w:ascii="宋体" w:hAnsi="宋体"/>
          <w:sz w:val="24"/>
          <w:highlight w:val="none"/>
          <w:lang w:val="zh-CN"/>
        </w:rPr>
        <w:t>）★《商务条款偏离表》</w:t>
      </w:r>
    </w:p>
    <w:p>
      <w:pPr>
        <w:widowControl w:val="0"/>
        <w:adjustRightInd w:val="0"/>
        <w:spacing w:line="360" w:lineRule="auto"/>
        <w:ind w:firstLine="420"/>
        <w:jc w:val="left"/>
        <w:outlineLvl w:val="9"/>
        <w:rPr>
          <w:rStyle w:val="23"/>
          <w:rFonts w:ascii="宋体" w:hAnsi="宋体"/>
          <w:kern w:val="0"/>
          <w:sz w:val="24"/>
          <w:highlight w:val="none"/>
        </w:rPr>
      </w:pPr>
      <w:r>
        <w:rPr>
          <w:rFonts w:hint="eastAsia" w:ascii="宋体" w:hAnsi="宋体"/>
          <w:sz w:val="24"/>
          <w:highlight w:val="none"/>
          <w:lang w:val="zh-CN"/>
        </w:rPr>
        <w:t>（</w:t>
      </w:r>
      <w:r>
        <w:rPr>
          <w:rFonts w:hint="eastAsia" w:ascii="宋体" w:hAnsi="宋体"/>
          <w:sz w:val="24"/>
          <w:highlight w:val="none"/>
        </w:rPr>
        <w:t>9</w:t>
      </w:r>
      <w:r>
        <w:rPr>
          <w:rFonts w:hint="eastAsia" w:ascii="宋体" w:hAnsi="宋体"/>
          <w:sz w:val="24"/>
          <w:highlight w:val="none"/>
          <w:lang w:val="zh-CN"/>
        </w:rPr>
        <w:t>）供应商认为需要提供的其他资格证明文件和商务资料。</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10、投标文件的技术部分</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技术部分是证明</w:t>
      </w:r>
      <w:r>
        <w:rPr>
          <w:rStyle w:val="23"/>
          <w:rFonts w:ascii="宋体" w:hAnsi="宋体"/>
          <w:sz w:val="24"/>
          <w:highlight w:val="none"/>
        </w:rPr>
        <w:t>供应商提供的货物或服务是合格的、并符合招标文件要求的证明文件，以及</w:t>
      </w:r>
      <w:r>
        <w:rPr>
          <w:rStyle w:val="23"/>
          <w:rFonts w:ascii="宋体" w:hAnsi="宋体"/>
          <w:sz w:val="24"/>
          <w:highlight w:val="none"/>
          <w:lang w:val="zh-CN"/>
        </w:rPr>
        <w:t>对服务的详细说明，这些文件可以是文字资料、图纸和数据等。提供的货物和服务如与招标文件要求有不符之处，应说明其差别之所在。包括但不限于下列文件：</w:t>
      </w:r>
    </w:p>
    <w:p>
      <w:pPr>
        <w:widowControl w:val="0"/>
        <w:adjustRightInd w:val="0"/>
        <w:snapToGrid w:val="0"/>
        <w:spacing w:line="360" w:lineRule="auto"/>
        <w:ind w:firstLine="420"/>
        <w:jc w:val="left"/>
        <w:outlineLvl w:val="9"/>
        <w:rPr>
          <w:rStyle w:val="23"/>
          <w:rFonts w:ascii="宋体" w:hAnsi="宋体"/>
          <w:kern w:val="0"/>
          <w:sz w:val="24"/>
          <w:highlight w:val="none"/>
          <w:lang w:val="zh-CN"/>
        </w:rPr>
      </w:pPr>
      <w:r>
        <w:rPr>
          <w:rStyle w:val="23"/>
          <w:rFonts w:ascii="宋体" w:hAnsi="宋体"/>
          <w:kern w:val="0"/>
          <w:sz w:val="24"/>
          <w:highlight w:val="none"/>
          <w:lang w:val="zh-CN"/>
        </w:rPr>
        <w:t>（1）</w:t>
      </w:r>
      <w:r>
        <w:rPr>
          <w:rStyle w:val="23"/>
          <w:rFonts w:ascii="宋体" w:hAnsi="宋体"/>
          <w:sz w:val="24"/>
          <w:highlight w:val="none"/>
          <w:lang w:val="zh-CN"/>
        </w:rPr>
        <w:t>技术说明和服务方案；</w:t>
      </w:r>
    </w:p>
    <w:p>
      <w:pPr>
        <w:widowControl w:val="0"/>
        <w:adjustRightInd w:val="0"/>
        <w:snapToGrid w:val="0"/>
        <w:spacing w:line="360" w:lineRule="auto"/>
        <w:ind w:firstLine="420"/>
        <w:outlineLvl w:val="9"/>
        <w:rPr>
          <w:rStyle w:val="23"/>
          <w:rFonts w:ascii="宋体" w:hAnsi="宋体"/>
          <w:sz w:val="24"/>
          <w:highlight w:val="none"/>
          <w:lang w:val="zh-CN"/>
        </w:rPr>
      </w:pPr>
      <w:r>
        <w:rPr>
          <w:rStyle w:val="23"/>
          <w:rFonts w:ascii="宋体" w:hAnsi="宋体"/>
          <w:sz w:val="24"/>
          <w:highlight w:val="none"/>
          <w:lang w:val="zh-CN"/>
        </w:rPr>
        <w:t>（2）</w:t>
      </w:r>
      <w:r>
        <w:rPr>
          <w:rFonts w:hint="eastAsia" w:ascii="宋体" w:hAnsi="宋体"/>
          <w:sz w:val="24"/>
          <w:highlight w:val="none"/>
          <w:lang w:val="zh-CN"/>
        </w:rPr>
        <w:t>★</w:t>
      </w:r>
      <w:r>
        <w:rPr>
          <w:rStyle w:val="23"/>
          <w:rFonts w:ascii="宋体" w:hAnsi="宋体"/>
          <w:sz w:val="24"/>
          <w:highlight w:val="none"/>
          <w:lang w:val="zh-CN"/>
        </w:rPr>
        <w:t>《技术条款偏离表》；</w:t>
      </w:r>
    </w:p>
    <w:p>
      <w:pPr>
        <w:widowControl w:val="0"/>
        <w:adjustRightInd w:val="0"/>
        <w:snapToGrid w:val="0"/>
        <w:spacing w:line="360" w:lineRule="auto"/>
        <w:ind w:firstLine="420"/>
        <w:jc w:val="left"/>
        <w:outlineLvl w:val="9"/>
        <w:rPr>
          <w:rStyle w:val="23"/>
          <w:rFonts w:ascii="宋体" w:hAnsi="宋体"/>
          <w:kern w:val="0"/>
          <w:sz w:val="24"/>
          <w:highlight w:val="none"/>
          <w:lang w:val="zh-CN"/>
        </w:rPr>
      </w:pPr>
      <w:r>
        <w:rPr>
          <w:rStyle w:val="23"/>
          <w:rFonts w:ascii="宋体" w:hAnsi="宋体"/>
          <w:sz w:val="24"/>
          <w:highlight w:val="none"/>
        </w:rPr>
        <w:t>（3）</w:t>
      </w:r>
      <w:r>
        <w:rPr>
          <w:rStyle w:val="23"/>
          <w:rFonts w:ascii="宋体" w:hAnsi="宋体"/>
          <w:kern w:val="0"/>
          <w:sz w:val="24"/>
          <w:highlight w:val="none"/>
          <w:lang w:val="zh-CN"/>
        </w:rPr>
        <w:t>服务承诺；</w:t>
      </w:r>
    </w:p>
    <w:p>
      <w:pPr>
        <w:widowControl w:val="0"/>
        <w:adjustRightInd w:val="0"/>
        <w:snapToGrid w:val="0"/>
        <w:spacing w:line="360" w:lineRule="auto"/>
        <w:ind w:firstLine="420"/>
        <w:jc w:val="left"/>
        <w:outlineLvl w:val="9"/>
        <w:rPr>
          <w:rStyle w:val="23"/>
          <w:rFonts w:ascii="宋体" w:hAnsi="宋体"/>
          <w:kern w:val="0"/>
          <w:sz w:val="24"/>
          <w:highlight w:val="none"/>
        </w:rPr>
      </w:pPr>
      <w:r>
        <w:rPr>
          <w:rStyle w:val="23"/>
          <w:rFonts w:ascii="宋体" w:hAnsi="宋体"/>
          <w:sz w:val="24"/>
          <w:highlight w:val="none"/>
        </w:rPr>
        <w:t>（</w:t>
      </w:r>
      <w:r>
        <w:rPr>
          <w:rStyle w:val="23"/>
          <w:rFonts w:hint="eastAsia" w:ascii="宋体" w:hAnsi="宋体"/>
          <w:sz w:val="24"/>
          <w:highlight w:val="none"/>
        </w:rPr>
        <w:t>4</w:t>
      </w:r>
      <w:r>
        <w:rPr>
          <w:rStyle w:val="23"/>
          <w:rFonts w:ascii="宋体" w:hAnsi="宋体"/>
          <w:sz w:val="24"/>
          <w:highlight w:val="none"/>
        </w:rPr>
        <w:t>）供应商认为需要</w:t>
      </w:r>
      <w:r>
        <w:rPr>
          <w:rStyle w:val="23"/>
          <w:rFonts w:ascii="宋体" w:hAnsi="宋体"/>
          <w:kern w:val="0"/>
          <w:sz w:val="24"/>
          <w:highlight w:val="none"/>
          <w:lang w:val="zh-CN"/>
        </w:rPr>
        <w:t>提供的其他技术资料。</w:t>
      </w:r>
    </w:p>
    <w:p>
      <w:pPr>
        <w:widowControl w:val="0"/>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11、投标文件的价格部分</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11.1价格部分是对货物和服务价格构成的说明，招标文件如没有特别说明的话，对每一项货物和服务仅接受一个价格。</w:t>
      </w:r>
    </w:p>
    <w:p>
      <w:pPr>
        <w:widowControl w:val="0"/>
        <w:spacing w:line="500" w:lineRule="exact"/>
        <w:ind w:firstLine="482" w:firstLineChars="200"/>
        <w:jc w:val="left"/>
        <w:outlineLvl w:val="9"/>
        <w:rPr>
          <w:rFonts w:ascii="宋体" w:hAnsi="宋体"/>
          <w:b/>
          <w:bCs/>
          <w:sz w:val="24"/>
          <w:highlight w:val="none"/>
        </w:rPr>
      </w:pPr>
      <w:r>
        <w:rPr>
          <w:rFonts w:hint="eastAsia" w:ascii="宋体" w:hAnsi="宋体"/>
          <w:b/>
          <w:bCs/>
          <w:kern w:val="0"/>
          <w:sz w:val="24"/>
          <w:highlight w:val="none"/>
        </w:rPr>
        <w:t>11.2</w:t>
      </w:r>
      <w:r>
        <w:rPr>
          <w:rFonts w:hint="eastAsia" w:ascii="宋体" w:hAnsi="宋体"/>
          <w:b/>
          <w:bCs/>
          <w:sz w:val="24"/>
          <w:highlight w:val="none"/>
        </w:rPr>
        <w:t>投标总报价应包括</w:t>
      </w:r>
      <w:r>
        <w:rPr>
          <w:rFonts w:hint="eastAsia" w:ascii="宋体" w:hAnsi="宋体"/>
          <w:b/>
          <w:bCs/>
          <w:sz w:val="24"/>
          <w:szCs w:val="22"/>
          <w:highlight w:val="none"/>
        </w:rPr>
        <w:t>清单所列及安装、运输、送货等与本项目相关的一切费用，本项目单项报价含税。</w:t>
      </w:r>
    </w:p>
    <w:p>
      <w:pPr>
        <w:widowControl w:val="0"/>
        <w:adjustRightInd w:val="0"/>
        <w:spacing w:line="360" w:lineRule="auto"/>
        <w:ind w:firstLine="420"/>
        <w:jc w:val="left"/>
        <w:outlineLvl w:val="9"/>
        <w:rPr>
          <w:rStyle w:val="23"/>
          <w:rFonts w:ascii="宋体" w:hAnsi="宋体"/>
          <w:kern w:val="0"/>
          <w:sz w:val="24"/>
          <w:highlight w:val="none"/>
        </w:rPr>
      </w:pPr>
      <w:r>
        <w:rPr>
          <w:rFonts w:hint="eastAsia" w:ascii="宋体" w:hAnsi="宋体"/>
          <w:sz w:val="24"/>
          <w:highlight w:val="none"/>
          <w:lang w:val="zh-CN"/>
        </w:rPr>
        <w:t>11.3投标人的任何错漏、优惠、竞争性报价不得作为减轻责任、减少货物和服务、增</w:t>
      </w:r>
      <w:r>
        <w:rPr>
          <w:rStyle w:val="23"/>
          <w:rFonts w:ascii="宋体" w:hAnsi="宋体"/>
          <w:kern w:val="0"/>
          <w:sz w:val="24"/>
          <w:highlight w:val="none"/>
        </w:rPr>
        <w:t>加收费、降低质量的理由。</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kern w:val="0"/>
          <w:sz w:val="24"/>
          <w:highlight w:val="none"/>
        </w:rPr>
        <w:t>11.4 投标人应在《开标一览表》、《投标分项报价》等标明投标货物或服务的单价、总价以及分项报价。投标人系</w:t>
      </w:r>
      <w:r>
        <w:rPr>
          <w:rStyle w:val="23"/>
          <w:rFonts w:ascii="宋体" w:hAnsi="宋体"/>
          <w:b/>
          <w:bCs/>
          <w:kern w:val="0"/>
          <w:sz w:val="24"/>
          <w:highlight w:val="none"/>
        </w:rPr>
        <w:t>中小企业（含中型、小型、微型企业），并提供本企业制造的货物、承担的工程或者服务，</w:t>
      </w:r>
      <w:r>
        <w:rPr>
          <w:rStyle w:val="23"/>
          <w:rFonts w:ascii="宋体" w:hAnsi="宋体"/>
          <w:kern w:val="0"/>
          <w:sz w:val="24"/>
          <w:highlight w:val="none"/>
        </w:rPr>
        <w:t>或者提供其他中小企业制造的货物，须在《开标一览表》、《投标分项报价》中注明。</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kern w:val="0"/>
          <w:sz w:val="24"/>
          <w:highlight w:val="none"/>
        </w:rPr>
        <w:t xml:space="preserve">11.5 </w:t>
      </w:r>
      <w:r>
        <w:rPr>
          <w:rStyle w:val="23"/>
          <w:rFonts w:ascii="宋体" w:hAnsi="宋体"/>
          <w:b/>
          <w:kern w:val="0"/>
          <w:sz w:val="24"/>
          <w:highlight w:val="none"/>
        </w:rPr>
        <w:t>《开标一览表》一式两份，一份装订在投标文件中，一份单独封装，并标明“开标一览表”字样，随投标文件一并递交，以便唱标时使用。</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11.6本项目预算详见招标公告，投标人的投标报价不得超过预算。超过预算的投标文件，按无效投标处理。</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12、投标文件的其他部分</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kern w:val="0"/>
          <w:sz w:val="24"/>
          <w:highlight w:val="none"/>
        </w:rPr>
        <w:t>12.1 其他部分由投标人根据编制投标文件需要提供的其他相关文件。</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13、投标保证金（</w:t>
      </w:r>
      <w:r>
        <w:rPr>
          <w:rStyle w:val="23"/>
          <w:rFonts w:hint="eastAsia" w:ascii="宋体" w:hAnsi="宋体"/>
          <w:b/>
          <w:bCs/>
          <w:kern w:val="0"/>
          <w:sz w:val="24"/>
          <w:highlight w:val="none"/>
        </w:rPr>
        <w:t>本项目不作要求</w:t>
      </w:r>
      <w:r>
        <w:rPr>
          <w:rStyle w:val="23"/>
          <w:rFonts w:ascii="宋体" w:hAnsi="宋体"/>
          <w:b/>
          <w:bCs/>
          <w:kern w:val="0"/>
          <w:sz w:val="24"/>
          <w:highlight w:val="none"/>
        </w:rPr>
        <w:t>）</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14、投标有效期</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kern w:val="0"/>
          <w:sz w:val="24"/>
          <w:highlight w:val="none"/>
        </w:rPr>
        <w:t>14.1 自开标之日起</w:t>
      </w:r>
      <w:r>
        <w:rPr>
          <w:rStyle w:val="23"/>
          <w:rFonts w:ascii="宋体" w:hAnsi="宋体"/>
          <w:b/>
          <w:kern w:val="0"/>
          <w:sz w:val="24"/>
          <w:highlight w:val="none"/>
        </w:rPr>
        <w:t>90</w:t>
      </w:r>
      <w:r>
        <w:rPr>
          <w:rStyle w:val="23"/>
          <w:rFonts w:ascii="宋体" w:hAnsi="宋体"/>
          <w:kern w:val="0"/>
          <w:sz w:val="24"/>
          <w:highlight w:val="none"/>
        </w:rPr>
        <w:t>天内投标有效。</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14.2 在特殊情况下，在原投标有效期截止之前，代理机构可要求投标人同意延长投标有效期，这种要求与答复均以书面形式提交。投标人可拒绝这种要求，并且不影响保证金退还。接收延长投标有效期的投标人将不会要求和允许修正其投标，而只会被要求相应地延长其投标保证金的有效期。在这种情况下，有关投标保证金的退还规定在延长了的有效期内继续有效。</w:t>
      </w:r>
    </w:p>
    <w:p>
      <w:pPr>
        <w:widowControl w:val="0"/>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15、投标文件签署</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15.1 投标文件的正本和副本均由投标人法人代表或经正式授权并对投标人有约束力的委托代理人签字。</w:t>
      </w:r>
    </w:p>
    <w:p>
      <w:pPr>
        <w:widowControl w:val="0"/>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16、投标费用</w:t>
      </w:r>
    </w:p>
    <w:p>
      <w:pPr>
        <w:widowControl w:val="0"/>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16.1 投标人应承担所有与准备和参加投标有关的费用，无论采购结果如何，代理机构和采购人在任何情况下均无义务和责任承担这些费用。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textAlignment w:val="baseline"/>
        <w:rPr>
          <w:rFonts w:hint="eastAsia" w:ascii="宋体" w:hAnsi="宋体" w:eastAsia="宋体" w:cs="宋体"/>
          <w:b/>
          <w:bCs w:val="0"/>
          <w:snapToGrid/>
          <w:color w:val="FF0000"/>
          <w:spacing w:val="0"/>
          <w:kern w:val="2"/>
          <w:sz w:val="24"/>
          <w:szCs w:val="24"/>
          <w:highlight w:val="none"/>
        </w:rPr>
      </w:pPr>
      <w:bookmarkStart w:id="73" w:name="_Toc19417_WPSOffice_Level2"/>
      <w:bookmarkStart w:id="74" w:name="_Toc30418"/>
      <w:r>
        <w:rPr>
          <w:rStyle w:val="23"/>
          <w:rFonts w:ascii="宋体" w:hAnsi="宋体"/>
          <w:b/>
          <w:bCs w:val="0"/>
          <w:color w:val="FF0000"/>
          <w:kern w:val="0"/>
          <w:sz w:val="24"/>
          <w:highlight w:val="none"/>
        </w:rPr>
        <w:t xml:space="preserve">16.2 </w:t>
      </w:r>
      <w:r>
        <w:rPr>
          <w:rFonts w:hint="eastAsia" w:ascii="宋体" w:hAnsi="宋体"/>
          <w:b/>
          <w:bCs w:val="0"/>
          <w:color w:val="FF0000"/>
          <w:sz w:val="24"/>
          <w:highlight w:val="none"/>
          <w:lang w:val="zh-CN"/>
        </w:rPr>
        <w:t>本次招标代理服务费由中标人支付，招标代理服务费按计价格[2002]1980号《招标代理服务收费管理暂行办法》标准的70%计取，计费基数为中标金额。评审费：由代理机构先行垫付，最终由中标人支付。上述费用请响应人综合考虑在投标报价中，后期采购人不单独列支。</w:t>
      </w:r>
    </w:p>
    <w:p>
      <w:pPr>
        <w:widowControl w:val="0"/>
        <w:adjustRightInd w:val="0"/>
        <w:spacing w:line="360" w:lineRule="auto"/>
        <w:ind w:firstLine="420"/>
        <w:jc w:val="left"/>
        <w:outlineLvl w:val="9"/>
        <w:rPr>
          <w:rStyle w:val="23"/>
          <w:rFonts w:ascii="宋体" w:hAnsi="宋体"/>
          <w:b w:val="0"/>
          <w:bCs/>
          <w:kern w:val="0"/>
          <w:sz w:val="24"/>
          <w:highlight w:val="none"/>
        </w:rPr>
      </w:pPr>
      <w:r>
        <w:rPr>
          <w:rStyle w:val="23"/>
          <w:rFonts w:ascii="宋体" w:hAnsi="宋体"/>
          <w:b w:val="0"/>
          <w:bCs/>
          <w:kern w:val="0"/>
          <w:sz w:val="24"/>
          <w:highlight w:val="none"/>
        </w:rPr>
        <w:t>四、投标文件的递交</w:t>
      </w:r>
      <w:bookmarkEnd w:id="73"/>
      <w:bookmarkEnd w:id="74"/>
    </w:p>
    <w:p>
      <w:pPr>
        <w:widowControl w:val="0"/>
        <w:adjustRightInd w:val="0"/>
        <w:spacing w:line="360" w:lineRule="auto"/>
        <w:ind w:firstLine="420"/>
        <w:jc w:val="left"/>
        <w:outlineLvl w:val="9"/>
        <w:rPr>
          <w:rStyle w:val="23"/>
          <w:rFonts w:ascii="宋体" w:hAnsi="宋体"/>
          <w:b w:val="0"/>
          <w:bCs/>
          <w:kern w:val="0"/>
          <w:sz w:val="24"/>
          <w:highlight w:val="none"/>
        </w:rPr>
      </w:pPr>
      <w:r>
        <w:rPr>
          <w:rStyle w:val="23"/>
          <w:rFonts w:ascii="宋体" w:hAnsi="宋体"/>
          <w:b w:val="0"/>
          <w:bCs/>
          <w:kern w:val="0"/>
          <w:sz w:val="24"/>
          <w:highlight w:val="none"/>
        </w:rPr>
        <w:t>17、投标文件的密封和递交</w:t>
      </w:r>
    </w:p>
    <w:p>
      <w:pPr>
        <w:pageBreakBefore w:val="0"/>
        <w:kinsoku/>
        <w:wordWrap/>
        <w:overflowPunct/>
        <w:topLinePunct w:val="0"/>
        <w:bidi w:val="0"/>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zh-CN" w:eastAsia="zh-CN"/>
        </w:rPr>
      </w:pPr>
      <w:r>
        <w:rPr>
          <w:rStyle w:val="23"/>
          <w:rFonts w:ascii="宋体" w:hAnsi="宋体"/>
          <w:b w:val="0"/>
          <w:bCs/>
          <w:kern w:val="0"/>
          <w:sz w:val="24"/>
          <w:highlight w:val="none"/>
        </w:rPr>
        <w:t xml:space="preserve">17.1 </w:t>
      </w:r>
      <w:r>
        <w:rPr>
          <w:rStyle w:val="23"/>
          <w:rFonts w:hint="eastAsia" w:ascii="宋体" w:hAnsi="宋体"/>
          <w:b w:val="0"/>
          <w:bCs/>
          <w:kern w:val="0"/>
          <w:sz w:val="24"/>
          <w:highlight w:val="none"/>
        </w:rPr>
        <w:t>纸质版响应文件一式伍份（壹份正本、肆份副本），电子版壹份。（电子版须为投标文件</w:t>
      </w:r>
      <w:bookmarkStart w:id="269" w:name="_GoBack"/>
      <w:r>
        <w:rPr>
          <w:rStyle w:val="23"/>
          <w:rFonts w:hint="eastAsia" w:ascii="宋体" w:hAnsi="宋体"/>
          <w:b w:val="0"/>
          <w:bCs/>
          <w:color w:val="auto"/>
          <w:kern w:val="0"/>
          <w:sz w:val="24"/>
          <w:highlight w:val="none"/>
        </w:rPr>
        <w:t>可编辑WORD版本和盖公章（红章）正本的PDF扫描件，缺一不可，以</w:t>
      </w:r>
      <w:bookmarkEnd w:id="269"/>
      <w:r>
        <w:rPr>
          <w:rStyle w:val="23"/>
          <w:rFonts w:hint="eastAsia" w:ascii="宋体" w:hAnsi="宋体"/>
          <w:b w:val="0"/>
          <w:bCs/>
          <w:kern w:val="0"/>
          <w:sz w:val="24"/>
          <w:highlight w:val="none"/>
        </w:rPr>
        <w:t>U盘形式随纸质正本文件一并提交。U盘不予退还。）当纸质正本文件与副本、电子版文件不一致时，以纸质正本文件为准。电子版文件用于存档，供应商须承担前述不一致造成的不利后果。每份纸质文件须清楚标明“正本”或“副本”字样。一旦正本和副本不符，以正本为准。</w:t>
      </w:r>
    </w:p>
    <w:p>
      <w:pPr>
        <w:widowControl w:val="0"/>
        <w:adjustRightInd w:val="0"/>
        <w:spacing w:line="360" w:lineRule="auto"/>
        <w:ind w:firstLine="480" w:firstLineChars="200"/>
        <w:jc w:val="left"/>
        <w:outlineLvl w:val="9"/>
        <w:rPr>
          <w:rStyle w:val="23"/>
          <w:rFonts w:ascii="宋体" w:hAnsi="宋体"/>
          <w:b w:val="0"/>
          <w:bCs/>
          <w:kern w:val="0"/>
          <w:sz w:val="24"/>
          <w:highlight w:val="none"/>
          <w:lang w:val="zh-CN"/>
        </w:rPr>
      </w:pPr>
      <w:r>
        <w:rPr>
          <w:rStyle w:val="23"/>
          <w:rFonts w:hint="eastAsia" w:ascii="宋体" w:hAnsi="宋体"/>
          <w:b w:val="0"/>
          <w:bCs/>
          <w:kern w:val="0"/>
          <w:sz w:val="24"/>
          <w:highlight w:val="none"/>
          <w:lang w:val="zh-CN"/>
        </w:rPr>
        <w:t>1</w:t>
      </w:r>
      <w:r>
        <w:rPr>
          <w:rStyle w:val="23"/>
          <w:rFonts w:hint="eastAsia" w:ascii="宋体" w:hAnsi="宋体"/>
          <w:b w:val="0"/>
          <w:bCs/>
          <w:kern w:val="0"/>
          <w:sz w:val="24"/>
          <w:highlight w:val="none"/>
        </w:rPr>
        <w:t>7</w:t>
      </w:r>
      <w:r>
        <w:rPr>
          <w:rStyle w:val="23"/>
          <w:rFonts w:hint="eastAsia" w:ascii="宋体" w:hAnsi="宋体"/>
          <w:b w:val="0"/>
          <w:bCs/>
          <w:kern w:val="0"/>
          <w:sz w:val="24"/>
          <w:highlight w:val="none"/>
          <w:lang w:val="zh-CN"/>
        </w:rPr>
        <w:t>.2 投标文件正本中，除招标文件规定的可提交复印件外，其他文件均须提交原件，文字材料需打印或用不褪色墨水书写。投标文件的正本须经法定代表人或经正式授权并对供应商有约束力的委托代理人签字和加盖投标人公章。本招标文件所表述（指定）的公章是指法定名称章，不包括合同专用章、业务专用章、财务章等印章。</w:t>
      </w:r>
    </w:p>
    <w:p>
      <w:pPr>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kern w:val="0"/>
          <w:sz w:val="24"/>
          <w:highlight w:val="none"/>
        </w:rPr>
        <w:t>17.</w:t>
      </w:r>
      <w:r>
        <w:rPr>
          <w:rStyle w:val="23"/>
          <w:rFonts w:hint="eastAsia" w:ascii="宋体" w:hAnsi="宋体"/>
          <w:kern w:val="0"/>
          <w:sz w:val="24"/>
          <w:highlight w:val="none"/>
        </w:rPr>
        <w:t>3</w:t>
      </w:r>
      <w:r>
        <w:rPr>
          <w:rStyle w:val="23"/>
          <w:rFonts w:ascii="宋体" w:hAnsi="宋体"/>
          <w:kern w:val="0"/>
          <w:sz w:val="24"/>
          <w:highlight w:val="none"/>
        </w:rPr>
        <w:t xml:space="preserve"> 投标文件正本和所有副本均需打印或用不褪色墨水书写，并由投标人法定代表人或授权代表签字。</w:t>
      </w:r>
    </w:p>
    <w:p>
      <w:pPr>
        <w:adjustRightInd w:val="0"/>
        <w:spacing w:line="360" w:lineRule="auto"/>
        <w:ind w:firstLine="420"/>
        <w:jc w:val="left"/>
        <w:outlineLvl w:val="9"/>
        <w:rPr>
          <w:rFonts w:ascii="宋体" w:hAnsi="宋体"/>
          <w:sz w:val="24"/>
          <w:highlight w:val="none"/>
          <w:lang w:val="zh-CN"/>
        </w:rPr>
      </w:pPr>
      <w:r>
        <w:rPr>
          <w:rStyle w:val="23"/>
          <w:rFonts w:ascii="宋体" w:hAnsi="宋体"/>
          <w:kern w:val="0"/>
          <w:sz w:val="24"/>
          <w:highlight w:val="none"/>
        </w:rPr>
        <w:t>17.</w:t>
      </w:r>
      <w:r>
        <w:rPr>
          <w:rStyle w:val="23"/>
          <w:rFonts w:hint="eastAsia" w:ascii="宋体" w:hAnsi="宋体"/>
          <w:kern w:val="0"/>
          <w:sz w:val="24"/>
          <w:highlight w:val="none"/>
        </w:rPr>
        <w:t>4</w:t>
      </w:r>
      <w:r>
        <w:rPr>
          <w:rStyle w:val="23"/>
          <w:rFonts w:ascii="宋体" w:hAnsi="宋体"/>
          <w:kern w:val="0"/>
          <w:sz w:val="24"/>
          <w:highlight w:val="none"/>
        </w:rPr>
        <w:t xml:space="preserve"> 投标文件不应有涂改、增删之处，如必须修改时，修改处必须有投标人法定代</w:t>
      </w:r>
      <w:r>
        <w:rPr>
          <w:rFonts w:hint="eastAsia" w:ascii="宋体" w:hAnsi="宋体"/>
          <w:sz w:val="24"/>
          <w:highlight w:val="none"/>
          <w:lang w:val="zh-CN"/>
        </w:rPr>
        <w:t>表人或授权代表签字，但技术标部分除外，任何情况下不予修改。</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17.5 投标人应当在招标文件要求提交投标文件的截止时间前，将密封的投标文件送达投标地点。</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18、有下列情形的投标文件将拒收：</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18.1在招标文件要求提交投标文件的截止时间之后送达的。</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19、投标文件的修改和撤回</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19.1 投标人在投标截止时间前，可以对所递交的投标文件进行补充、修改或撤回，并书面通知代理机构。补充、修改的内容应当按照招标文件要求签署、盖章，并作为投标文件的组成部分。</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19.2 投标截止时间之后，投标文件不得撤回。</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20、诚实信用</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20.1 投标人之间不得相互串通投标报价，不得妨碍其他投标人的公平竞争，不得损害采购人和其他投标人的合法权益。</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20.2 投标人不得以向代理机构工作人员、评标委员会成员行贿或者采取其他不正当手段谋取中标。</w:t>
      </w:r>
    </w:p>
    <w:p>
      <w:pPr>
        <w:adjustRightInd w:val="0"/>
        <w:spacing w:line="360" w:lineRule="auto"/>
        <w:ind w:firstLine="420"/>
        <w:jc w:val="left"/>
        <w:outlineLvl w:val="9"/>
        <w:rPr>
          <w:rFonts w:ascii="宋体" w:hAnsi="宋体"/>
          <w:b/>
          <w:bCs/>
          <w:sz w:val="24"/>
          <w:highlight w:val="none"/>
          <w:lang w:val="zh-CN"/>
        </w:rPr>
      </w:pPr>
      <w:bookmarkStart w:id="75" w:name="_Toc8577"/>
      <w:bookmarkStart w:id="76" w:name="_Toc20571_WPSOffice_Level2"/>
      <w:r>
        <w:rPr>
          <w:rFonts w:hint="eastAsia" w:ascii="宋体" w:hAnsi="宋体"/>
          <w:b/>
          <w:bCs/>
          <w:sz w:val="24"/>
          <w:highlight w:val="none"/>
          <w:lang w:val="zh-CN"/>
        </w:rPr>
        <w:t>五、开标、评标与定标</w:t>
      </w:r>
      <w:bookmarkEnd w:id="75"/>
      <w:bookmarkEnd w:id="76"/>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21、开标</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21.1 代理机构将在招标文件确定的时间和地点进行公开开标。投标人应委派代表准时参加，参加开标的代表须签名报到以证明其出席。</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21.2 开标时，代理机构将邀请投标人代表或公证机构检查投标文件的密封情况，经确认无误后，由代理机构工作人员当众拆封，宣读投标人名称、投标价格、价格折扣、招标文件允许提供的备选投标人案和投标文件的其他主要内容。</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21.3 未宣读的投标价格、价格折扣和招标文件允许提供的备选投标方案等实质性内容，评标时不予承认。</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21.4 开标时，《开标一览表》内容与投标文件中明细表内容不一致的，以《开标一览表》为准。</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21.5 投标文件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21.6 投标截止后供应商不足3家的不得开标，通过资格性审查或符合性审查的供应商不足3家的，除采购任务取消情形外，按照以下方式处理： </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（1）招标文件存在不合理条款或者招标程序不符合规定的，采购人、采购代理机构改正后依法重新招标； </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招标文件没有不合理条款、招标程序符合规定，需要采用其他采购方式采购的，采购人依法报财政部门或主管部门批准，经批准后，可变更为其他采购方式采购。本次招标文件中对供应商资格条件要求、技术要求和商务要求等，将作为其他采购方式采购的基本要求和谈判依据。</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22、评标</w:t>
      </w:r>
    </w:p>
    <w:p>
      <w:pPr>
        <w:adjustRightIn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22.1 评标组织</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22.1.1 评标工作由代理机构负责组织，具体评标事务由依法组建的评标委员会负责，并独立履行下列职责：</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（1）审查投标文件是否符合招标文件要求，并作出评价；</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（2）要求投标人对投标文件有关事项作出解释或者澄清；</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（3）推荐中标候选供应商名单，或者按照招标文件规定直接确定中标供应商；</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（4）向代理机构或者有关部门报告非法干预评标工作的行为。</w:t>
      </w:r>
    </w:p>
    <w:p>
      <w:pPr>
        <w:adjustRightIn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22.1.2 评标委员会由采购人代表和有关技术、经济等方面的专家组成，独立开展评审工作。</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22.2 评标程序</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 xml:space="preserve">.2.1 投标文件的资格审查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2</w:t>
      </w:r>
      <w:r>
        <w:rPr>
          <w:rFonts w:hint="eastAsia" w:ascii="宋体" w:hAnsi="宋体"/>
          <w:sz w:val="24"/>
          <w:highlight w:val="none"/>
          <w:lang w:val="zh-CN"/>
        </w:rPr>
        <w:t xml:space="preserve">.2.1.1 招标人代表依法对投标人的资格进行审查。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2</w:t>
      </w:r>
      <w:r>
        <w:rPr>
          <w:rFonts w:hint="eastAsia" w:ascii="宋体" w:hAnsi="宋体"/>
          <w:sz w:val="24"/>
          <w:highlight w:val="none"/>
          <w:lang w:val="zh-CN"/>
        </w:rPr>
        <w:t xml:space="preserve">.2.1.2 招标人代表依据法律法规和招标文件的规定，对投标文件中的资格证明文件进行审查，以确定投标人是否具备投标资格。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rPr>
        <w:t>22</w:t>
      </w:r>
      <w:r>
        <w:rPr>
          <w:rFonts w:hint="eastAsia" w:ascii="宋体" w:hAnsi="宋体"/>
          <w:sz w:val="24"/>
          <w:highlight w:val="none"/>
          <w:lang w:val="zh-CN"/>
        </w:rPr>
        <w:t xml:space="preserve">.2.1.3 在进行资格性审查的同时，将在“信用中国”网站 （www.creditchina.gov.cn）、“中国政府采购网”(www.ccgp.gov.cn)对投标人是否被列入失信被执行人、重大税收违法案件当事人名单、政府采购严重违法失信行为记录名单的情况进行查询，以确定投标人是否具备投标资格。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rPr>
        <w:t>22</w:t>
      </w:r>
      <w:r>
        <w:rPr>
          <w:rFonts w:hint="eastAsia" w:ascii="宋体" w:hAnsi="宋体"/>
          <w:sz w:val="24"/>
          <w:highlight w:val="none"/>
          <w:lang w:val="zh-CN"/>
        </w:rPr>
        <w:t xml:space="preserve">.2.1.4 投标文件有下列情况之一的，在资格性审查时按照无效投标处理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（1）不具备招标文件规定资格条件的；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2）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 </w:t>
      </w:r>
    </w:p>
    <w:p>
      <w:pPr>
        <w:widowControl w:val="0"/>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 xml:space="preserve">.2.2 投标文件的符合性审查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2</w:t>
      </w:r>
      <w:r>
        <w:rPr>
          <w:rFonts w:hint="eastAsia" w:ascii="宋体" w:hAnsi="宋体"/>
          <w:sz w:val="24"/>
          <w:highlight w:val="none"/>
          <w:lang w:val="zh-CN"/>
        </w:rPr>
        <w:t>.2.2.1评标委员会将依据法律法规和招标文件的规定，对投标文件的有效性、完整性和对招标文件的响应程度进行审查，以确定是否对招标文件的实质性要求作出响应。</w:t>
      </w:r>
    </w:p>
    <w:p>
      <w:pPr>
        <w:widowControl w:val="0"/>
        <w:adjustRightInd w:val="0"/>
        <w:snapToGrid w:val="0"/>
        <w:spacing w:line="360" w:lineRule="auto"/>
        <w:ind w:firstLine="480" w:firstLineChars="200"/>
        <w:outlineLvl w:val="9"/>
        <w:rPr>
          <w:rFonts w:ascii="宋体" w:hAnsi="宋体"/>
          <w:sz w:val="24"/>
          <w:highlight w:val="none"/>
        </w:rPr>
      </w:pPr>
      <w:r>
        <w:rPr>
          <w:rFonts w:hint="eastAsia" w:ascii="宋体" w:hAnsi="宋体"/>
          <w:sz w:val="24"/>
          <w:highlight w:val="none"/>
        </w:rPr>
        <w:t>22.2.3在详细评标之前，评委会将首先审查每份投标文件是否实质性响应了招标文件的要求。实质性响应的投标应该是与招标文件要求的全部条款、条件和规格相符，没有重大偏离或保留的投标。</w:t>
      </w:r>
    </w:p>
    <w:p>
      <w:pPr>
        <w:widowControl w:val="0"/>
        <w:adjustRightInd w:val="0"/>
        <w:snapToGrid w:val="0"/>
        <w:spacing w:line="360" w:lineRule="auto"/>
        <w:ind w:firstLine="480" w:firstLineChars="200"/>
        <w:outlineLvl w:val="9"/>
        <w:rPr>
          <w:rFonts w:ascii="宋体" w:hAnsi="宋体"/>
          <w:bCs/>
          <w:sz w:val="24"/>
          <w:highlight w:val="none"/>
        </w:rPr>
      </w:pPr>
      <w:r>
        <w:rPr>
          <w:rFonts w:hint="eastAsia" w:ascii="宋体" w:hAnsi="宋体"/>
          <w:sz w:val="24"/>
          <w:highlight w:val="none"/>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highlight w:val="none"/>
        </w:rPr>
        <w:t>评委决定投标文件的响应性只根据投标文件本身的内容，而不寻求外部的证据。</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2</w:t>
      </w:r>
      <w:r>
        <w:rPr>
          <w:rFonts w:hint="eastAsia" w:ascii="宋体" w:hAnsi="宋体"/>
          <w:sz w:val="24"/>
          <w:highlight w:val="none"/>
          <w:lang w:val="zh-CN"/>
        </w:rPr>
        <w:t>.2.</w:t>
      </w:r>
      <w:r>
        <w:rPr>
          <w:rFonts w:hint="eastAsia" w:ascii="宋体" w:hAnsi="宋体"/>
          <w:sz w:val="24"/>
          <w:highlight w:val="none"/>
        </w:rPr>
        <w:t>3.1</w:t>
      </w:r>
      <w:r>
        <w:rPr>
          <w:rFonts w:hint="eastAsia" w:ascii="宋体" w:hAnsi="宋体"/>
          <w:sz w:val="24"/>
          <w:highlight w:val="none"/>
          <w:lang w:val="zh-CN"/>
        </w:rPr>
        <w:t xml:space="preserve"> 实质性要求是指本招标文件中带“★”的商务和技术要求。 </w:t>
      </w:r>
    </w:p>
    <w:p>
      <w:pPr>
        <w:widowControl w:val="0"/>
        <w:adjustRightInd w:val="0"/>
        <w:snapToGrid w:val="0"/>
        <w:spacing w:line="360" w:lineRule="auto"/>
        <w:ind w:firstLine="420"/>
        <w:jc w:val="left"/>
        <w:outlineLvl w:val="9"/>
        <w:rPr>
          <w:rFonts w:ascii="宋体" w:hAnsi="宋体"/>
          <w:bCs/>
          <w:sz w:val="24"/>
          <w:highlight w:val="none"/>
        </w:rPr>
      </w:pPr>
      <w:r>
        <w:rPr>
          <w:rFonts w:hint="eastAsia" w:ascii="宋体" w:hAnsi="宋体"/>
          <w:sz w:val="24"/>
          <w:highlight w:val="none"/>
        </w:rPr>
        <w:t>22.2.3.2</w:t>
      </w:r>
      <w:r>
        <w:rPr>
          <w:rFonts w:hint="eastAsia" w:ascii="宋体" w:hAnsi="宋体"/>
          <w:bCs/>
          <w:sz w:val="24"/>
          <w:highlight w:val="none"/>
        </w:rPr>
        <w:t>如果投标文件实质上没有响应招标文件的要求，评委会将予以拒绝，投标人不得通过修改或撤销不合要求的偏离或保留而使其投标成为实质性响应的投标。</w:t>
      </w:r>
    </w:p>
    <w:p>
      <w:pPr>
        <w:widowControl w:val="0"/>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4</w:t>
      </w:r>
      <w:r>
        <w:rPr>
          <w:rFonts w:hint="eastAsia" w:ascii="宋体" w:hAnsi="宋体"/>
          <w:b/>
          <w:bCs/>
          <w:sz w:val="24"/>
          <w:highlight w:val="none"/>
          <w:lang w:val="zh-CN"/>
        </w:rPr>
        <w:t xml:space="preserve"> 投标文件的详细评审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2</w:t>
      </w:r>
      <w:r>
        <w:rPr>
          <w:rFonts w:hint="eastAsia" w:ascii="宋体" w:hAnsi="宋体"/>
          <w:sz w:val="24"/>
          <w:highlight w:val="none"/>
          <w:lang w:val="zh-CN"/>
        </w:rPr>
        <w:t>.2.</w:t>
      </w:r>
      <w:r>
        <w:rPr>
          <w:rFonts w:hint="eastAsia" w:ascii="宋体" w:hAnsi="宋体"/>
          <w:sz w:val="24"/>
          <w:highlight w:val="none"/>
        </w:rPr>
        <w:t>4</w:t>
      </w:r>
      <w:r>
        <w:rPr>
          <w:rFonts w:hint="eastAsia" w:ascii="宋体" w:hAnsi="宋体"/>
          <w:sz w:val="24"/>
          <w:highlight w:val="none"/>
          <w:lang w:val="zh-CN"/>
        </w:rPr>
        <w:t xml:space="preserve">.1评标委员会将对确定为实质性响应的投标文件进行进一步评审，看其是否有计算上或累加上的算术错误，修正错误的原则如下： </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（1）如果用数字表示的金额和用文字表示的金额不一致时，应以文字表示的金额为准进行修正；</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（2）当单价与数量的乘积和总价不一致时，以单价为准进行修正。只有在评标委员会认为单价有明显的小数点错误时，才能以标出的总价为准，并修改单价。</w:t>
      </w:r>
    </w:p>
    <w:p>
      <w:pPr>
        <w:widowControl w:val="0"/>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rPr>
        <w:t>22</w:t>
      </w:r>
      <w:r>
        <w:rPr>
          <w:rFonts w:hint="eastAsia" w:ascii="宋体" w:hAnsi="宋体"/>
          <w:sz w:val="24"/>
          <w:highlight w:val="none"/>
          <w:lang w:val="zh-CN"/>
        </w:rPr>
        <w:t>.2.</w:t>
      </w:r>
      <w:r>
        <w:rPr>
          <w:rFonts w:hint="eastAsia" w:ascii="宋体" w:hAnsi="宋体"/>
          <w:sz w:val="24"/>
          <w:highlight w:val="none"/>
        </w:rPr>
        <w:t>4</w:t>
      </w:r>
      <w:r>
        <w:rPr>
          <w:rFonts w:hint="eastAsia" w:ascii="宋体" w:hAnsi="宋体"/>
          <w:sz w:val="24"/>
          <w:highlight w:val="none"/>
          <w:lang w:val="zh-CN"/>
        </w:rPr>
        <w:t xml:space="preserve">.2 评标委员会将按上述修正错误的方法调整投标文件中的投标价，调整后的价格应对投标人具有约束力。如果投标人不接受修正后的价格，则其投标将被拒绝。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rPr>
        <w:t>22</w:t>
      </w:r>
      <w:r>
        <w:rPr>
          <w:rFonts w:hint="eastAsia" w:ascii="宋体" w:hAnsi="宋体"/>
          <w:sz w:val="24"/>
          <w:highlight w:val="none"/>
          <w:lang w:val="zh-CN"/>
        </w:rPr>
        <w:t>.2.</w:t>
      </w:r>
      <w:r>
        <w:rPr>
          <w:rFonts w:hint="eastAsia" w:ascii="宋体" w:hAnsi="宋体"/>
          <w:sz w:val="24"/>
          <w:highlight w:val="none"/>
        </w:rPr>
        <w:t>4</w:t>
      </w:r>
      <w:r>
        <w:rPr>
          <w:rFonts w:hint="eastAsia" w:ascii="宋体" w:hAnsi="宋体"/>
          <w:sz w:val="24"/>
          <w:highlight w:val="none"/>
          <w:lang w:val="zh-CN"/>
        </w:rPr>
        <w:t>.3 评标委员会将允许修正投标文件中不构成重大偏离的、微小的、非正规的、不一致的或不规则的地方，但这些修改不能影响任何投标人相应的名次排列。</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5</w:t>
      </w:r>
      <w:r>
        <w:rPr>
          <w:rFonts w:hint="eastAsia" w:ascii="宋体" w:hAnsi="宋体"/>
          <w:b/>
          <w:bCs/>
          <w:sz w:val="24"/>
          <w:highlight w:val="none"/>
          <w:lang w:val="zh-CN"/>
        </w:rPr>
        <w:t xml:space="preserve"> 投标文件有下列情况之一的，在符合性审查时按照无效投标处理 </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（1）未按照招标文件规定要求密封、签署、盖章的；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（2）投标总价超出采购预算金额或者最高限价的；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（3）不同供应商的响应文件由同一单位或者个人编制；</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（4）不同供应商委托同一单位或者个人办理投标事宜；</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（5）不同供应商的响应文件载明的项目管理成员或者联系人员为同一人；</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（6）不同供应商的响应文件异常一致或者投标报价呈规律性差异；</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（7）不同供应商的响应文件相互混装；</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（8）不同供应商的投标保证金从同一单位或者个人的账户转出；</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（9）不同供应商的法定代表人或委托代理人有夫妻、直系血亲关系的；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（10）不同供应商的负责人为同一人或者存在控股、管理关系的；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（11）服务承诺和付款条件未响应招标要求的；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w:t>
      </w:r>
      <w:r>
        <w:rPr>
          <w:rFonts w:hint="eastAsia" w:ascii="宋体" w:hAnsi="宋体" w:cs="宋体"/>
          <w:snapToGrid/>
          <w:color w:val="auto"/>
          <w:spacing w:val="0"/>
          <w:kern w:val="2"/>
          <w:sz w:val="24"/>
          <w:szCs w:val="24"/>
          <w:highlight w:val="none"/>
          <w:lang w:val="en-US" w:eastAsia="zh-CN"/>
        </w:rPr>
        <w:t>2</w:t>
      </w:r>
      <w:r>
        <w:rPr>
          <w:rFonts w:hint="eastAsia" w:ascii="宋体" w:hAnsi="宋体" w:eastAsia="宋体" w:cs="宋体"/>
          <w:snapToGrid/>
          <w:color w:val="auto"/>
          <w:spacing w:val="0"/>
          <w:kern w:val="2"/>
          <w:sz w:val="24"/>
          <w:szCs w:val="24"/>
          <w:highlight w:val="none"/>
        </w:rPr>
        <w:t>）响应文件含有采购人不能接受的附加条件的；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w:t>
      </w:r>
      <w:r>
        <w:rPr>
          <w:rFonts w:hint="eastAsia" w:ascii="宋体" w:hAnsi="宋体" w:cs="宋体"/>
          <w:snapToGrid/>
          <w:color w:val="auto"/>
          <w:spacing w:val="0"/>
          <w:kern w:val="2"/>
          <w:sz w:val="24"/>
          <w:szCs w:val="24"/>
          <w:highlight w:val="none"/>
          <w:lang w:val="en-US" w:eastAsia="zh-CN"/>
        </w:rPr>
        <w:t>3</w:t>
      </w:r>
      <w:r>
        <w:rPr>
          <w:rFonts w:hint="eastAsia" w:ascii="宋体" w:hAnsi="宋体" w:eastAsia="宋体" w:cs="宋体"/>
          <w:snapToGrid/>
          <w:color w:val="auto"/>
          <w:spacing w:val="0"/>
          <w:kern w:val="2"/>
          <w:sz w:val="24"/>
          <w:szCs w:val="24"/>
          <w:highlight w:val="none"/>
        </w:rPr>
        <w:t>）评标委员会认为供应商的报价明显低于其他通过符合性审查供应商的报价，有可能影响产品质量或者不能诚信履约的，未在评标现场合理的时间内提供书面说明或相关证明材料，不能证明其报价合理的；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w:t>
      </w:r>
      <w:r>
        <w:rPr>
          <w:rFonts w:hint="eastAsia" w:ascii="宋体" w:hAnsi="宋体" w:cs="宋体"/>
          <w:snapToGrid/>
          <w:color w:val="auto"/>
          <w:spacing w:val="0"/>
          <w:kern w:val="2"/>
          <w:sz w:val="24"/>
          <w:szCs w:val="24"/>
          <w:highlight w:val="none"/>
          <w:lang w:val="en-US" w:eastAsia="zh-CN"/>
        </w:rPr>
        <w:t>4</w:t>
      </w:r>
      <w:r>
        <w:rPr>
          <w:rFonts w:hint="eastAsia" w:ascii="宋体" w:hAnsi="宋体" w:eastAsia="宋体" w:cs="宋体"/>
          <w:snapToGrid/>
          <w:color w:val="auto"/>
          <w:spacing w:val="0"/>
          <w:kern w:val="2"/>
          <w:sz w:val="24"/>
          <w:szCs w:val="24"/>
          <w:highlight w:val="none"/>
        </w:rPr>
        <w:t>）改变</w:t>
      </w:r>
      <w:r>
        <w:rPr>
          <w:rFonts w:hint="eastAsia" w:ascii="宋体" w:hAnsi="宋体" w:cs="宋体"/>
          <w:snapToGrid/>
          <w:color w:val="auto"/>
          <w:spacing w:val="0"/>
          <w:kern w:val="2"/>
          <w:sz w:val="24"/>
          <w:szCs w:val="24"/>
          <w:highlight w:val="none"/>
          <w:lang w:eastAsia="zh-CN"/>
        </w:rPr>
        <w:t>招标</w:t>
      </w:r>
      <w:r>
        <w:rPr>
          <w:rFonts w:hint="eastAsia" w:ascii="宋体" w:hAnsi="宋体" w:eastAsia="宋体" w:cs="宋体"/>
          <w:snapToGrid/>
          <w:color w:val="auto"/>
          <w:spacing w:val="0"/>
          <w:kern w:val="2"/>
          <w:sz w:val="24"/>
          <w:szCs w:val="24"/>
          <w:highlight w:val="none"/>
        </w:rPr>
        <w:t>文件提供的清单中计量单位、数量的；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w:t>
      </w:r>
      <w:r>
        <w:rPr>
          <w:rFonts w:hint="eastAsia" w:ascii="宋体" w:hAnsi="宋体" w:cs="宋体"/>
          <w:snapToGrid/>
          <w:color w:val="auto"/>
          <w:spacing w:val="0"/>
          <w:kern w:val="2"/>
          <w:sz w:val="24"/>
          <w:szCs w:val="24"/>
          <w:highlight w:val="none"/>
          <w:lang w:val="en-US" w:eastAsia="zh-CN"/>
        </w:rPr>
        <w:t>5</w:t>
      </w:r>
      <w:r>
        <w:rPr>
          <w:rFonts w:hint="eastAsia" w:ascii="宋体" w:hAnsi="宋体" w:eastAsia="宋体" w:cs="宋体"/>
          <w:snapToGrid/>
          <w:color w:val="auto"/>
          <w:spacing w:val="0"/>
          <w:kern w:val="2"/>
          <w:sz w:val="24"/>
          <w:szCs w:val="24"/>
          <w:highlight w:val="none"/>
        </w:rPr>
        <w:t>）与</w:t>
      </w:r>
      <w:r>
        <w:rPr>
          <w:rFonts w:hint="eastAsia" w:ascii="宋体" w:hAnsi="宋体" w:cs="宋体"/>
          <w:snapToGrid/>
          <w:color w:val="auto"/>
          <w:spacing w:val="0"/>
          <w:kern w:val="2"/>
          <w:sz w:val="24"/>
          <w:szCs w:val="24"/>
          <w:highlight w:val="none"/>
          <w:lang w:eastAsia="zh-CN"/>
        </w:rPr>
        <w:t>招标</w:t>
      </w:r>
      <w:r>
        <w:rPr>
          <w:rFonts w:hint="eastAsia" w:ascii="宋体" w:hAnsi="宋体" w:eastAsia="宋体" w:cs="宋体"/>
          <w:snapToGrid/>
          <w:color w:val="auto"/>
          <w:spacing w:val="0"/>
          <w:kern w:val="2"/>
          <w:sz w:val="24"/>
          <w:szCs w:val="24"/>
          <w:highlight w:val="none"/>
        </w:rPr>
        <w:t>文件提供的清单中列出的不可竞争费用项目或费率或计算基础不一致。</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（1</w:t>
      </w:r>
      <w:r>
        <w:rPr>
          <w:rFonts w:hint="eastAsia" w:ascii="宋体" w:hAnsi="宋体" w:cs="宋体"/>
          <w:snapToGrid/>
          <w:color w:val="auto"/>
          <w:spacing w:val="0"/>
          <w:kern w:val="2"/>
          <w:sz w:val="24"/>
          <w:szCs w:val="24"/>
          <w:highlight w:val="none"/>
          <w:lang w:val="en-US" w:eastAsia="zh-CN"/>
        </w:rPr>
        <w:t>6</w:t>
      </w:r>
      <w:r>
        <w:rPr>
          <w:rFonts w:hint="eastAsia" w:ascii="宋体" w:hAnsi="宋体" w:eastAsia="宋体" w:cs="宋体"/>
          <w:snapToGrid/>
          <w:color w:val="auto"/>
          <w:spacing w:val="0"/>
          <w:kern w:val="2"/>
          <w:sz w:val="24"/>
          <w:szCs w:val="24"/>
          <w:highlight w:val="none"/>
        </w:rPr>
        <w:t>）不符合</w:t>
      </w:r>
      <w:r>
        <w:rPr>
          <w:rFonts w:hint="eastAsia" w:ascii="宋体" w:hAnsi="宋体" w:cs="宋体"/>
          <w:snapToGrid/>
          <w:color w:val="auto"/>
          <w:spacing w:val="0"/>
          <w:kern w:val="2"/>
          <w:sz w:val="24"/>
          <w:szCs w:val="24"/>
          <w:highlight w:val="none"/>
          <w:lang w:eastAsia="zh-CN"/>
        </w:rPr>
        <w:t>招标</w:t>
      </w:r>
      <w:r>
        <w:rPr>
          <w:rFonts w:hint="eastAsia" w:ascii="宋体" w:hAnsi="宋体" w:eastAsia="宋体" w:cs="宋体"/>
          <w:snapToGrid/>
          <w:color w:val="auto"/>
          <w:spacing w:val="0"/>
          <w:kern w:val="2"/>
          <w:sz w:val="24"/>
          <w:szCs w:val="24"/>
          <w:highlight w:val="none"/>
        </w:rPr>
        <w:t>文件规定的其他实质性要求的；</w:t>
      </w:r>
    </w:p>
    <w:p>
      <w:pPr>
        <w:adjustRightInd w:val="0"/>
        <w:snapToGrid w:val="0"/>
        <w:spacing w:line="360" w:lineRule="auto"/>
        <w:ind w:firstLine="420"/>
        <w:jc w:val="left"/>
        <w:outlineLvl w:val="9"/>
        <w:rPr>
          <w:rFonts w:hint="eastAsia" w:ascii="宋体" w:hAnsi="宋体" w:eastAsia="宋体" w:cs="宋体"/>
          <w:snapToGrid/>
          <w:color w:val="auto"/>
          <w:spacing w:val="0"/>
          <w:kern w:val="2"/>
          <w:sz w:val="24"/>
          <w:szCs w:val="24"/>
          <w:highlight w:val="none"/>
        </w:rPr>
      </w:pPr>
      <w:r>
        <w:rPr>
          <w:rFonts w:hint="eastAsia" w:ascii="宋体" w:hAnsi="宋体" w:eastAsia="宋体" w:cs="宋体"/>
          <w:snapToGrid/>
          <w:color w:val="auto"/>
          <w:spacing w:val="0"/>
          <w:kern w:val="2"/>
          <w:sz w:val="24"/>
          <w:szCs w:val="24"/>
          <w:highlight w:val="none"/>
        </w:rPr>
        <w:t>（</w:t>
      </w:r>
      <w:r>
        <w:rPr>
          <w:rFonts w:hint="eastAsia" w:ascii="宋体" w:hAnsi="宋体" w:cs="宋体"/>
          <w:snapToGrid/>
          <w:color w:val="auto"/>
          <w:spacing w:val="0"/>
          <w:kern w:val="2"/>
          <w:sz w:val="24"/>
          <w:szCs w:val="24"/>
          <w:highlight w:val="none"/>
          <w:lang w:val="en-US" w:eastAsia="zh-CN"/>
        </w:rPr>
        <w:t>17</w:t>
      </w:r>
      <w:r>
        <w:rPr>
          <w:rFonts w:hint="eastAsia" w:ascii="宋体" w:hAnsi="宋体" w:eastAsia="宋体" w:cs="宋体"/>
          <w:snapToGrid/>
          <w:color w:val="auto"/>
          <w:spacing w:val="0"/>
          <w:kern w:val="2"/>
          <w:sz w:val="24"/>
          <w:szCs w:val="24"/>
          <w:highlight w:val="none"/>
        </w:rPr>
        <w:t>）不符合法律、法规规定的其他无效情形。</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6</w:t>
      </w:r>
      <w:r>
        <w:rPr>
          <w:rFonts w:hint="eastAsia" w:ascii="宋体" w:hAnsi="宋体"/>
          <w:b/>
          <w:bCs/>
          <w:sz w:val="24"/>
          <w:highlight w:val="none"/>
          <w:lang w:val="zh-CN"/>
        </w:rPr>
        <w:t xml:space="preserve"> 有下列情形之一的予以废标，同时将废标理由通知所有供应商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（1）符合资格条件的供应商或者对招标文件作实质性响应的供应商不足三家的；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（2）出现影响采购公正的违法、违规行为的；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（3）供应商的报价均超过了采购预算或最高限价，招标人不能支付的；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（4）因重大变故，采购任务取消的；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（5）招标文件存在歧义、重大缺陷，或者招标文件内容违反国家有关强制性规定的。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 xml:space="preserve">（6）预留份额的采购项目或采购包，通过发布公告方式邀请供应商后，符合资格条件的中小企业数量不足3家的。 </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7</w:t>
      </w:r>
      <w:r>
        <w:rPr>
          <w:rFonts w:hint="eastAsia" w:ascii="宋体" w:hAnsi="宋体"/>
          <w:sz w:val="24"/>
          <w:highlight w:val="none"/>
          <w:lang w:val="zh-CN"/>
        </w:rPr>
        <w:t xml:space="preserve"> 在评标期间，出现符合专业条件的供应商或者对招标文件作出实质性回应的供应商不足三家情形的，比照</w:t>
      </w:r>
      <w:r>
        <w:rPr>
          <w:rFonts w:hint="eastAsia" w:ascii="宋体" w:hAnsi="宋体"/>
          <w:sz w:val="24"/>
          <w:highlight w:val="none"/>
        </w:rPr>
        <w:t>21</w:t>
      </w:r>
      <w:r>
        <w:rPr>
          <w:rFonts w:hint="eastAsia" w:ascii="宋体" w:hAnsi="宋体"/>
          <w:sz w:val="24"/>
          <w:highlight w:val="none"/>
          <w:lang w:val="zh-CN"/>
        </w:rPr>
        <w:t>.6款执行。</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8</w:t>
      </w:r>
      <w:r>
        <w:rPr>
          <w:rFonts w:hint="eastAsia" w:ascii="宋体" w:hAnsi="宋体"/>
          <w:b/>
          <w:bCs/>
          <w:sz w:val="24"/>
          <w:highlight w:val="none"/>
          <w:lang w:val="zh-CN"/>
        </w:rPr>
        <w:t xml:space="preserve"> 澄清有关问题。</w:t>
      </w:r>
      <w:r>
        <w:rPr>
          <w:rFonts w:hint="eastAsia" w:ascii="宋体" w:hAnsi="宋体"/>
          <w:sz w:val="24"/>
          <w:highlight w:val="none"/>
          <w:lang w:val="zh-CN"/>
        </w:rPr>
        <w:t>对投标文件中含义不明确、同类问题表述不一致或者明显文字和计算错误的内容，评标委员会可以要求投标人作出必要的澄清、说明或者补正。投标人的澄清、说明、补正应当采用书面形式，由其授权代表签字，但不得超出投标文件的范围或者改变投标文件的实质性内容。</w:t>
      </w:r>
    </w:p>
    <w:p>
      <w:pPr>
        <w:shd w:val="clear" w:color="auto" w:fill="FFFFFF"/>
        <w:adjustRightInd w:val="0"/>
        <w:snapToGrid w:val="0"/>
        <w:spacing w:line="360" w:lineRule="auto"/>
        <w:ind w:firstLine="420"/>
        <w:jc w:val="left"/>
        <w:outlineLvl w:val="9"/>
        <w:rPr>
          <w:rStyle w:val="23"/>
          <w:rFonts w:ascii="宋体" w:hAnsi="宋体"/>
          <w:kern w:val="0"/>
          <w:sz w:val="24"/>
          <w:highlight w:val="none"/>
        </w:rPr>
      </w:pPr>
      <w:r>
        <w:rPr>
          <w:rFonts w:hint="eastAsia" w:ascii="宋体" w:hAnsi="宋体"/>
          <w:b/>
          <w:bCs/>
          <w:sz w:val="24"/>
          <w:highlight w:val="none"/>
          <w:lang w:val="zh-CN"/>
        </w:rPr>
        <w:t>2</w:t>
      </w:r>
      <w:r>
        <w:rPr>
          <w:rFonts w:hint="eastAsia" w:ascii="宋体" w:hAnsi="宋体"/>
          <w:b/>
          <w:bCs/>
          <w:sz w:val="24"/>
          <w:highlight w:val="none"/>
        </w:rPr>
        <w:t>2</w:t>
      </w:r>
      <w:r>
        <w:rPr>
          <w:rFonts w:hint="eastAsia" w:ascii="宋体" w:hAnsi="宋体"/>
          <w:b/>
          <w:bCs/>
          <w:sz w:val="24"/>
          <w:highlight w:val="none"/>
          <w:lang w:val="zh-CN"/>
        </w:rPr>
        <w:t>.2.</w:t>
      </w:r>
      <w:r>
        <w:rPr>
          <w:rFonts w:hint="eastAsia" w:ascii="宋体" w:hAnsi="宋体"/>
          <w:b/>
          <w:bCs/>
          <w:sz w:val="24"/>
          <w:highlight w:val="none"/>
        </w:rPr>
        <w:t>9</w:t>
      </w:r>
      <w:r>
        <w:rPr>
          <w:rFonts w:hint="eastAsia" w:ascii="宋体" w:hAnsi="宋体"/>
          <w:b/>
          <w:bCs/>
          <w:sz w:val="24"/>
          <w:highlight w:val="none"/>
          <w:lang w:val="en-US" w:eastAsia="zh-CN"/>
        </w:rPr>
        <w:t xml:space="preserve"> </w:t>
      </w:r>
      <w:r>
        <w:rPr>
          <w:rFonts w:hint="eastAsia" w:ascii="宋体" w:hAnsi="宋体"/>
          <w:b/>
          <w:bCs/>
          <w:sz w:val="24"/>
          <w:highlight w:val="none"/>
          <w:lang w:val="zh-CN"/>
        </w:rPr>
        <w:t>比较与评价。</w:t>
      </w:r>
      <w:r>
        <w:rPr>
          <w:rFonts w:hint="eastAsia" w:ascii="宋体" w:hAnsi="宋体"/>
          <w:sz w:val="24"/>
          <w:highlight w:val="none"/>
          <w:lang w:val="zh-CN"/>
        </w:rPr>
        <w:t>按照招标文件中规定的评标方法和标准，对资格性检查和符合性检查合格的投标文件进行商务和技术评估，综合比较与评价。</w:t>
      </w:r>
    </w:p>
    <w:p>
      <w:pPr>
        <w:shd w:val="clear" w:color="auto" w:fill="FFFFFF"/>
        <w:adjustRightInd w:val="0"/>
        <w:snapToGrid w:val="0"/>
        <w:spacing w:line="360" w:lineRule="auto"/>
        <w:ind w:firstLine="420"/>
        <w:jc w:val="left"/>
        <w:outlineLvl w:val="9"/>
        <w:rPr>
          <w:rStyle w:val="23"/>
          <w:rFonts w:ascii="宋体" w:hAnsi="宋体"/>
          <w:kern w:val="0"/>
          <w:sz w:val="24"/>
          <w:highlight w:val="none"/>
        </w:rPr>
      </w:pPr>
      <w:r>
        <w:rPr>
          <w:rStyle w:val="23"/>
          <w:rFonts w:ascii="宋体" w:hAnsi="宋体"/>
          <w:b/>
          <w:bCs/>
          <w:kern w:val="0"/>
          <w:sz w:val="24"/>
          <w:highlight w:val="none"/>
        </w:rPr>
        <w:t>22.3 评标方法和标准</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22.3.1 采用综合评分法。即在最大限度地满足招标文件实质性要求前提下，按照招标文件中规定的各项因素进行综合评审后，以评标总得分最高的投标人作为中标候选供应商或者中标供应商的评标方法。</w:t>
      </w:r>
    </w:p>
    <w:p>
      <w:pPr>
        <w:adjustRightInd w:val="0"/>
        <w:snapToGrid w:val="0"/>
        <w:spacing w:line="360" w:lineRule="auto"/>
        <w:ind w:firstLine="482" w:firstLineChars="200"/>
        <w:outlineLvl w:val="9"/>
        <w:rPr>
          <w:rStyle w:val="23"/>
          <w:rFonts w:ascii="宋体" w:hAnsi="宋体"/>
          <w:kern w:val="0"/>
          <w:sz w:val="24"/>
          <w:highlight w:val="none"/>
        </w:rPr>
      </w:pPr>
      <w:r>
        <w:rPr>
          <w:rStyle w:val="23"/>
          <w:rFonts w:ascii="宋体" w:hAnsi="宋体"/>
          <w:b/>
          <w:bCs/>
          <w:kern w:val="0"/>
          <w:sz w:val="24"/>
          <w:highlight w:val="none"/>
        </w:rPr>
        <w:t>22.3.2</w:t>
      </w:r>
      <w:r>
        <w:rPr>
          <w:rStyle w:val="23"/>
          <w:rFonts w:hint="eastAsia" w:ascii="宋体" w:hAnsi="宋体"/>
          <w:b/>
          <w:bCs/>
          <w:kern w:val="0"/>
          <w:sz w:val="24"/>
          <w:highlight w:val="none"/>
          <w:lang w:val="en-US" w:eastAsia="zh-CN"/>
        </w:rPr>
        <w:t xml:space="preserve"> </w:t>
      </w:r>
      <w:r>
        <w:rPr>
          <w:rStyle w:val="23"/>
          <w:rFonts w:ascii="宋体" w:hAnsi="宋体"/>
          <w:kern w:val="0"/>
          <w:sz w:val="24"/>
          <w:highlight w:val="none"/>
        </w:rPr>
        <w:t>综合评分的主要因素是：</w:t>
      </w:r>
      <w:r>
        <w:rPr>
          <w:rStyle w:val="23"/>
          <w:rFonts w:ascii="宋体" w:hAnsi="宋体"/>
          <w:sz w:val="24"/>
          <w:highlight w:val="none"/>
        </w:rPr>
        <w:t>价格、技术、</w:t>
      </w:r>
      <w:r>
        <w:rPr>
          <w:rStyle w:val="23"/>
          <w:rFonts w:hint="eastAsia" w:ascii="宋体" w:hAnsi="宋体"/>
          <w:sz w:val="24"/>
          <w:highlight w:val="none"/>
        </w:rPr>
        <w:t>商务</w:t>
      </w:r>
      <w:r>
        <w:rPr>
          <w:rStyle w:val="23"/>
          <w:rFonts w:ascii="宋体" w:hAnsi="宋体"/>
          <w:kern w:val="0"/>
          <w:sz w:val="24"/>
          <w:highlight w:val="none"/>
        </w:rPr>
        <w:t>等；</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22.3.3</w:t>
      </w:r>
      <w:r>
        <w:rPr>
          <w:rFonts w:hint="eastAsia" w:ascii="宋体" w:hAnsi="宋体"/>
          <w:b/>
          <w:bCs/>
          <w:sz w:val="24"/>
          <w:highlight w:val="none"/>
          <w:lang w:val="en-US" w:eastAsia="zh-CN"/>
        </w:rPr>
        <w:t xml:space="preserve"> </w:t>
      </w:r>
      <w:r>
        <w:rPr>
          <w:rFonts w:hint="eastAsia" w:ascii="宋体" w:hAnsi="宋体"/>
          <w:b/>
          <w:bCs/>
          <w:sz w:val="24"/>
          <w:highlight w:val="none"/>
          <w:lang w:val="zh-CN"/>
        </w:rPr>
        <w:t>评分标准详见第三章</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23、确定中标供应商</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23.1 在综合比较与评价后按照得分由高到低顺序对供应商进行排列。评标委员会将综合排名第一的供应商确定为中标供应商。得分相同的，按投标报价由低到高顺序排列。得分且投标报价相同的，按技术指标优劣顺序排列。评标委员会将综合排名第一的供应商确定为中标供应商。</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23.2 中标供应商确定后，将中标结果在原招标公告发布媒体进行公告，公告期为一个工作日，公告的同时向中标供应商发出中标通知书。</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23.3 中标通知书对采购人和中标供应商具有同等法律效力。</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23.4</w:t>
      </w:r>
      <w:r>
        <w:rPr>
          <w:rFonts w:hint="eastAsia" w:ascii="宋体" w:hAnsi="宋体"/>
          <w:sz w:val="24"/>
          <w:highlight w:val="none"/>
          <w:lang w:val="en-US" w:eastAsia="zh-CN"/>
        </w:rPr>
        <w:t xml:space="preserve"> </w:t>
      </w:r>
      <w:r>
        <w:rPr>
          <w:rFonts w:hint="eastAsia" w:ascii="宋体" w:hAnsi="宋体"/>
          <w:sz w:val="24"/>
          <w:highlight w:val="none"/>
          <w:lang w:val="zh-CN"/>
        </w:rPr>
        <w:t>中标通知书发出后，采购人或中标供应商拒绝签订合同的，拒绝签订合同的一方应至少向另一方支付补偿金，以及为招标、投标所发生的有关费用和双方商定的其他补偿。</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23.5 中标通知书发出后，中标供应商无正当理由不与采购人签订合同情节严重的，由财政部门将其列入不良行为记录名单，在一至三年内禁止参加政府采购活动，并予以通报。</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23.7</w:t>
      </w:r>
      <w:r>
        <w:rPr>
          <w:rFonts w:hint="eastAsia" w:ascii="宋体" w:hAnsi="宋体"/>
          <w:sz w:val="24"/>
          <w:highlight w:val="none"/>
          <w:lang w:val="en-US" w:eastAsia="zh-CN"/>
        </w:rPr>
        <w:t xml:space="preserve"> </w:t>
      </w:r>
      <w:r>
        <w:rPr>
          <w:rFonts w:hint="eastAsia" w:ascii="宋体" w:hAnsi="宋体"/>
          <w:sz w:val="24"/>
          <w:highlight w:val="none"/>
          <w:lang w:val="zh-CN"/>
        </w:rPr>
        <w:t>代理机构对未中标的投标人不作未中标原因的解释。</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23.8</w:t>
      </w:r>
      <w:r>
        <w:rPr>
          <w:rFonts w:hint="eastAsia" w:ascii="宋体" w:hAnsi="宋体"/>
          <w:sz w:val="24"/>
          <w:highlight w:val="none"/>
          <w:lang w:val="en-US" w:eastAsia="zh-CN"/>
        </w:rPr>
        <w:t xml:space="preserve"> </w:t>
      </w:r>
      <w:r>
        <w:rPr>
          <w:rFonts w:hint="eastAsia" w:ascii="宋体" w:hAnsi="宋体"/>
          <w:sz w:val="24"/>
          <w:highlight w:val="none"/>
          <w:lang w:val="zh-CN"/>
        </w:rPr>
        <w:t>所有投标文件不论中标与否，代理机构均不退回。</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24、编写评标报告</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24.1</w:t>
      </w:r>
      <w:r>
        <w:rPr>
          <w:rFonts w:hint="eastAsia" w:ascii="宋体" w:hAnsi="宋体"/>
          <w:sz w:val="24"/>
          <w:highlight w:val="none"/>
          <w:lang w:val="en-US" w:eastAsia="zh-CN"/>
        </w:rPr>
        <w:t xml:space="preserve"> </w:t>
      </w:r>
      <w:r>
        <w:rPr>
          <w:rFonts w:hint="eastAsia" w:ascii="宋体" w:hAnsi="宋体"/>
          <w:sz w:val="24"/>
          <w:highlight w:val="none"/>
          <w:lang w:val="zh-CN"/>
        </w:rPr>
        <w:t>评标委员会根据全体评标成员签字的原始评标记录和评标结果编写评标报告。</w:t>
      </w:r>
    </w:p>
    <w:p>
      <w:pPr>
        <w:adjustRightInd w:val="0"/>
        <w:snapToGrid w:val="0"/>
        <w:spacing w:line="360" w:lineRule="auto"/>
        <w:ind w:firstLine="420"/>
        <w:jc w:val="left"/>
        <w:outlineLvl w:val="9"/>
        <w:rPr>
          <w:rFonts w:ascii="宋体" w:hAnsi="宋体"/>
          <w:b/>
          <w:bCs/>
          <w:sz w:val="24"/>
          <w:highlight w:val="none"/>
          <w:lang w:val="zh-CN"/>
        </w:rPr>
      </w:pPr>
      <w:r>
        <w:rPr>
          <w:rFonts w:hint="eastAsia" w:ascii="宋体" w:hAnsi="宋体"/>
          <w:b/>
          <w:bCs/>
          <w:sz w:val="24"/>
          <w:highlight w:val="none"/>
          <w:lang w:val="zh-CN"/>
        </w:rPr>
        <w:t>25、评标过程的保密性</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25.1 代理机构将采取必要措施，保证评标在严格保密的情况下进行。</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25.2 任何单位和个人不得非法干预、影响评标办法的确定，以及评标过程和结果。</w:t>
      </w:r>
    </w:p>
    <w:p>
      <w:pPr>
        <w:adjustRightInd w:val="0"/>
        <w:snapToGrid w:val="0"/>
        <w:spacing w:line="360" w:lineRule="auto"/>
        <w:ind w:firstLine="420"/>
        <w:jc w:val="left"/>
        <w:outlineLvl w:val="9"/>
        <w:rPr>
          <w:rFonts w:ascii="宋体" w:hAnsi="宋体"/>
          <w:sz w:val="24"/>
          <w:highlight w:val="none"/>
          <w:lang w:val="zh-CN"/>
        </w:rPr>
      </w:pPr>
      <w:r>
        <w:rPr>
          <w:rFonts w:hint="eastAsia" w:ascii="宋体" w:hAnsi="宋体"/>
          <w:sz w:val="24"/>
          <w:highlight w:val="none"/>
          <w:lang w:val="zh-CN"/>
        </w:rPr>
        <w:t>25.3 凡是与审查、澄清、评价和比较投标的有关资料等，均不向投标人及与评标无关的其他人员透露。</w:t>
      </w:r>
    </w:p>
    <w:p>
      <w:pPr>
        <w:shd w:val="clear" w:color="auto" w:fill="FFFFFF"/>
        <w:adjustRightInd w:val="0"/>
        <w:snapToGrid w:val="0"/>
        <w:spacing w:line="360" w:lineRule="auto"/>
        <w:ind w:firstLine="420"/>
        <w:outlineLvl w:val="9"/>
        <w:rPr>
          <w:rStyle w:val="23"/>
          <w:rFonts w:ascii="宋体" w:hAnsi="宋体"/>
          <w:kern w:val="0"/>
          <w:sz w:val="24"/>
          <w:highlight w:val="none"/>
        </w:rPr>
      </w:pPr>
      <w:bookmarkStart w:id="77" w:name="_Toc8797"/>
      <w:bookmarkStart w:id="78" w:name="_Toc17413_WPSOffice_Level2"/>
      <w:r>
        <w:rPr>
          <w:rStyle w:val="23"/>
          <w:rFonts w:ascii="宋体" w:hAnsi="宋体"/>
          <w:b/>
          <w:bCs/>
          <w:kern w:val="0"/>
          <w:sz w:val="24"/>
          <w:highlight w:val="none"/>
        </w:rPr>
        <w:t>六、签订合同</w:t>
      </w:r>
      <w:bookmarkEnd w:id="77"/>
      <w:bookmarkEnd w:id="78"/>
    </w:p>
    <w:p>
      <w:pPr>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26、签订合同</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26.1</w:t>
      </w:r>
      <w:r>
        <w:rPr>
          <w:rStyle w:val="23"/>
          <w:rFonts w:hint="eastAsia" w:ascii="宋体" w:hAnsi="宋体"/>
          <w:sz w:val="24"/>
          <w:highlight w:val="none"/>
          <w:lang w:val="en-US" w:eastAsia="zh-CN"/>
        </w:rPr>
        <w:t xml:space="preserve"> </w:t>
      </w:r>
      <w:r>
        <w:rPr>
          <w:rStyle w:val="23"/>
          <w:rFonts w:ascii="宋体" w:hAnsi="宋体"/>
          <w:sz w:val="24"/>
          <w:highlight w:val="none"/>
          <w:lang w:val="zh-CN"/>
        </w:rPr>
        <w:t>中标供应商应当自中标通知书发出之日起三十日内，按照招标文件和中标供应商投标文件的约定与采购人签订政府采购合同，所签订的合同不得对招标文件和中标供应商投标文件作实质性修改。</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26.2</w:t>
      </w:r>
      <w:r>
        <w:rPr>
          <w:rStyle w:val="23"/>
          <w:rFonts w:hint="eastAsia" w:ascii="宋体" w:hAnsi="宋体"/>
          <w:sz w:val="24"/>
          <w:highlight w:val="none"/>
          <w:lang w:val="en-US" w:eastAsia="zh-CN"/>
        </w:rPr>
        <w:t xml:space="preserve"> </w:t>
      </w:r>
      <w:r>
        <w:rPr>
          <w:rStyle w:val="23"/>
          <w:rFonts w:ascii="宋体" w:hAnsi="宋体"/>
          <w:sz w:val="24"/>
          <w:highlight w:val="none"/>
          <w:lang w:val="zh-CN"/>
        </w:rPr>
        <w:t>采购人不得向中标供应商提出任何不合理的要求作为签订合同的条件，不得与中标供应商私下订立背离合同实质性内容的协议。</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26.3</w:t>
      </w:r>
      <w:r>
        <w:rPr>
          <w:rStyle w:val="23"/>
          <w:rFonts w:hint="eastAsia" w:ascii="宋体" w:hAnsi="宋体"/>
          <w:sz w:val="24"/>
          <w:highlight w:val="none"/>
          <w:lang w:val="en-US" w:eastAsia="zh-CN"/>
        </w:rPr>
        <w:t xml:space="preserve"> </w:t>
      </w:r>
      <w:r>
        <w:rPr>
          <w:rStyle w:val="23"/>
          <w:rFonts w:ascii="宋体" w:hAnsi="宋体"/>
          <w:sz w:val="24"/>
          <w:highlight w:val="none"/>
          <w:lang w:val="zh-CN"/>
        </w:rPr>
        <w:t>中标供应商因不可抗力或者自身原因不能履行政府采购合同的，采购人可以视情与排位在中标供应商之后第一位的中标候选供应商签订政府采购合同，以此类推。</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26.4 政府采购合同履行中，采购人需追加与合同标的相同的货物的，在不改变合同其他条款的前提下，可以与供应商协商签订补充合同，但所有补充合同的采购金额不得超过原合同采购金额的百分之十。</w:t>
      </w:r>
    </w:p>
    <w:p>
      <w:pPr>
        <w:adjustRightInd w:val="0"/>
        <w:snapToGrid w:val="0"/>
        <w:spacing w:line="360" w:lineRule="auto"/>
        <w:ind w:firstLine="420"/>
        <w:jc w:val="left"/>
        <w:outlineLvl w:val="9"/>
        <w:rPr>
          <w:rFonts w:ascii="宋体" w:hAnsi="宋体"/>
          <w:b/>
          <w:bCs/>
          <w:sz w:val="24"/>
          <w:highlight w:val="none"/>
          <w:lang w:val="zh-CN"/>
        </w:rPr>
      </w:pPr>
      <w:bookmarkStart w:id="79" w:name="_Toc8258"/>
      <w:bookmarkStart w:id="80" w:name="_Toc2217_WPSOffice_Level2"/>
      <w:r>
        <w:rPr>
          <w:rFonts w:hint="eastAsia" w:ascii="宋体" w:hAnsi="宋体"/>
          <w:b/>
          <w:bCs/>
          <w:sz w:val="24"/>
          <w:highlight w:val="none"/>
          <w:lang w:val="zh-CN"/>
        </w:rPr>
        <w:t>七、质疑和投诉</w:t>
      </w:r>
      <w:bookmarkEnd w:id="79"/>
      <w:bookmarkEnd w:id="80"/>
    </w:p>
    <w:p>
      <w:pPr>
        <w:adjustRightInd w:val="0"/>
        <w:snapToGrid w:val="0"/>
        <w:spacing w:line="360" w:lineRule="auto"/>
        <w:ind w:firstLine="420"/>
        <w:jc w:val="left"/>
        <w:outlineLvl w:val="9"/>
        <w:rPr>
          <w:rStyle w:val="23"/>
          <w:rFonts w:ascii="宋体" w:hAnsi="宋体"/>
          <w:b/>
          <w:bCs/>
          <w:sz w:val="24"/>
          <w:highlight w:val="none"/>
          <w:lang w:val="zh-CN"/>
        </w:rPr>
      </w:pPr>
      <w:r>
        <w:rPr>
          <w:rStyle w:val="23"/>
          <w:rFonts w:ascii="宋体" w:hAnsi="宋体"/>
          <w:b/>
          <w:bCs/>
          <w:sz w:val="24"/>
          <w:highlight w:val="none"/>
          <w:lang w:val="zh-CN"/>
        </w:rPr>
        <w:t>27、质疑</w:t>
      </w:r>
    </w:p>
    <w:p>
      <w:pPr>
        <w:adjustRightInd w:val="0"/>
        <w:snapToGrid w:val="0"/>
        <w:spacing w:line="360" w:lineRule="auto"/>
        <w:ind w:firstLine="420"/>
        <w:jc w:val="left"/>
        <w:outlineLvl w:val="9"/>
        <w:rPr>
          <w:rStyle w:val="23"/>
          <w:rFonts w:ascii="宋体" w:hAnsi="宋体"/>
          <w:b/>
          <w:sz w:val="24"/>
          <w:highlight w:val="none"/>
          <w:lang w:val="zh-CN"/>
        </w:rPr>
      </w:pPr>
      <w:r>
        <w:rPr>
          <w:rStyle w:val="23"/>
          <w:rFonts w:ascii="宋体" w:hAnsi="宋体"/>
          <w:sz w:val="24"/>
          <w:highlight w:val="none"/>
          <w:lang w:val="zh-CN"/>
        </w:rPr>
        <w:t>27.1 供应商对采购活动事项有疑问的，可以向代理机构提出询问，代理机构将依法作出答复，但答复的内容不涉及商业秘密</w:t>
      </w:r>
      <w:r>
        <w:rPr>
          <w:rStyle w:val="23"/>
          <w:rFonts w:ascii="宋体" w:hAnsi="宋体"/>
          <w:b/>
          <w:sz w:val="24"/>
          <w:highlight w:val="none"/>
          <w:lang w:val="zh-CN"/>
        </w:rPr>
        <w:t>。</w:t>
      </w:r>
    </w:p>
    <w:p>
      <w:pPr>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27.2 供应商认为采购文件、采购过程和</w:t>
      </w:r>
      <w:r>
        <w:rPr>
          <w:rStyle w:val="23"/>
          <w:rFonts w:hint="eastAsia" w:ascii="宋体" w:hAnsi="宋体"/>
          <w:sz w:val="24"/>
          <w:highlight w:val="none"/>
        </w:rPr>
        <w:t>中标</w:t>
      </w:r>
      <w:r>
        <w:rPr>
          <w:rStyle w:val="23"/>
          <w:rFonts w:ascii="宋体" w:hAnsi="宋体"/>
          <w:sz w:val="24"/>
          <w:highlight w:val="none"/>
          <w:lang w:val="zh-CN"/>
        </w:rPr>
        <w:t>结果使自己的合法权益受到损害的，可以在知道或者应当知道其权益受到损害之日起七个工作日内，将质疑文件原件送达代理机构。</w:t>
      </w:r>
    </w:p>
    <w:p>
      <w:pPr>
        <w:autoSpaceDE w:val="0"/>
        <w:autoSpaceDN w:val="0"/>
        <w:adjustRightInd w:val="0"/>
        <w:snapToGrid w:val="0"/>
        <w:spacing w:line="360" w:lineRule="auto"/>
        <w:ind w:firstLine="480" w:firstLineChars="200"/>
        <w:outlineLvl w:val="9"/>
        <w:rPr>
          <w:rFonts w:ascii="宋体" w:hAnsi="宋体"/>
          <w:sz w:val="24"/>
          <w:highlight w:val="none"/>
          <w:lang w:val="zh-CN"/>
        </w:rPr>
      </w:pPr>
      <w:r>
        <w:rPr>
          <w:rFonts w:hint="eastAsia" w:ascii="宋体" w:hAnsi="宋体"/>
          <w:sz w:val="24"/>
          <w:highlight w:val="none"/>
          <w:lang w:val="zh-CN"/>
        </w:rPr>
        <w:t>质疑文件接收信息：</w:t>
      </w:r>
    </w:p>
    <w:p>
      <w:pPr>
        <w:autoSpaceDE w:val="0"/>
        <w:autoSpaceDN w:val="0"/>
        <w:adjustRightInd w:val="0"/>
        <w:snapToGrid w:val="0"/>
        <w:spacing w:line="360" w:lineRule="auto"/>
        <w:ind w:firstLine="420"/>
        <w:outlineLvl w:val="9"/>
        <w:rPr>
          <w:rFonts w:ascii="宋体" w:hAnsi="宋体"/>
          <w:sz w:val="24"/>
          <w:highlight w:val="none"/>
          <w:lang w:val="zh-CN"/>
        </w:rPr>
      </w:pPr>
      <w:r>
        <w:rPr>
          <w:rFonts w:hint="eastAsia" w:ascii="宋体" w:hAnsi="宋体"/>
          <w:sz w:val="24"/>
          <w:highlight w:val="none"/>
          <w:lang w:val="zh-CN"/>
        </w:rPr>
        <w:t>（1）接收单位：采购代理机构</w:t>
      </w:r>
    </w:p>
    <w:p>
      <w:pPr>
        <w:autoSpaceDE w:val="0"/>
        <w:autoSpaceDN w:val="0"/>
        <w:adjustRightInd w:val="0"/>
        <w:snapToGrid w:val="0"/>
        <w:spacing w:line="360" w:lineRule="auto"/>
        <w:ind w:firstLine="420"/>
        <w:outlineLvl w:val="9"/>
        <w:rPr>
          <w:rFonts w:ascii="宋体" w:hAnsi="宋体"/>
          <w:sz w:val="24"/>
          <w:highlight w:val="none"/>
          <w:lang w:val="zh-CN"/>
        </w:rPr>
      </w:pPr>
      <w:r>
        <w:rPr>
          <w:rFonts w:hint="eastAsia" w:ascii="宋体" w:hAnsi="宋体"/>
          <w:sz w:val="24"/>
          <w:highlight w:val="none"/>
          <w:lang w:val="zh-CN"/>
        </w:rPr>
        <w:t>（2）联 系 人：</w:t>
      </w:r>
      <w:r>
        <w:rPr>
          <w:rFonts w:hint="eastAsia" w:ascii="宋体" w:hAnsi="宋体"/>
          <w:sz w:val="24"/>
          <w:highlight w:val="none"/>
          <w:lang w:eastAsia="zh-CN"/>
        </w:rPr>
        <w:t>陈诺</w:t>
      </w:r>
      <w:r>
        <w:rPr>
          <w:rFonts w:hint="eastAsia" w:ascii="宋体" w:hAnsi="宋体"/>
          <w:sz w:val="24"/>
          <w:highlight w:val="none"/>
          <w:lang w:val="zh-CN"/>
        </w:rPr>
        <w:t xml:space="preserve">   </w:t>
      </w:r>
    </w:p>
    <w:p>
      <w:pPr>
        <w:autoSpaceDE w:val="0"/>
        <w:autoSpaceDN w:val="0"/>
        <w:adjustRightInd w:val="0"/>
        <w:snapToGrid w:val="0"/>
        <w:spacing w:line="360" w:lineRule="auto"/>
        <w:ind w:firstLine="420"/>
        <w:outlineLvl w:val="9"/>
        <w:rPr>
          <w:rFonts w:ascii="宋体" w:hAnsi="宋体"/>
          <w:sz w:val="24"/>
          <w:highlight w:val="none"/>
        </w:rPr>
      </w:pPr>
      <w:r>
        <w:rPr>
          <w:rFonts w:hint="eastAsia" w:ascii="宋体" w:hAnsi="宋体"/>
          <w:sz w:val="24"/>
          <w:highlight w:val="none"/>
          <w:lang w:val="zh-CN"/>
        </w:rPr>
        <w:t>（3）联系电话：025-83476186</w:t>
      </w:r>
    </w:p>
    <w:p>
      <w:pPr>
        <w:autoSpaceDE w:val="0"/>
        <w:autoSpaceDN w:val="0"/>
        <w:adjustRightInd w:val="0"/>
        <w:snapToGrid w:val="0"/>
        <w:spacing w:line="360" w:lineRule="auto"/>
        <w:ind w:firstLine="420"/>
        <w:outlineLvl w:val="9"/>
        <w:rPr>
          <w:rFonts w:ascii="宋体" w:hAnsi="宋体"/>
          <w:sz w:val="24"/>
          <w:highlight w:val="none"/>
        </w:rPr>
      </w:pPr>
      <w:r>
        <w:rPr>
          <w:rFonts w:hint="eastAsia" w:ascii="宋体" w:hAnsi="宋体"/>
          <w:sz w:val="24"/>
          <w:highlight w:val="none"/>
        </w:rPr>
        <w:t>（4）</w:t>
      </w:r>
      <w:r>
        <w:rPr>
          <w:rFonts w:hint="eastAsia" w:ascii="宋体" w:hAnsi="宋体"/>
          <w:sz w:val="24"/>
          <w:highlight w:val="none"/>
          <w:lang w:val="zh-CN"/>
        </w:rPr>
        <w:t>联系邮箱</w:t>
      </w:r>
      <w:r>
        <w:rPr>
          <w:rFonts w:hint="eastAsia" w:ascii="宋体" w:hAnsi="宋体"/>
          <w:sz w:val="24"/>
          <w:highlight w:val="none"/>
        </w:rPr>
        <w:t>：</w:t>
      </w:r>
      <w:r>
        <w:rPr>
          <w:rFonts w:hint="eastAsia" w:ascii="宋体" w:hAnsi="宋体"/>
          <w:sz w:val="24"/>
          <w:highlight w:val="none"/>
          <w:lang w:val="en-US" w:eastAsia="zh-CN"/>
        </w:rPr>
        <w:t>1659104549</w:t>
      </w:r>
      <w:r>
        <w:rPr>
          <w:rFonts w:hint="eastAsia" w:ascii="宋体" w:hAnsi="宋体"/>
          <w:sz w:val="24"/>
          <w:highlight w:val="none"/>
        </w:rPr>
        <w:t>@qq.com</w:t>
      </w:r>
    </w:p>
    <w:p>
      <w:pPr>
        <w:widowControl w:val="0"/>
        <w:autoSpaceDE w:val="0"/>
        <w:autoSpaceDN w:val="0"/>
        <w:adjustRightInd w:val="0"/>
        <w:snapToGrid w:val="0"/>
        <w:spacing w:line="360" w:lineRule="auto"/>
        <w:ind w:firstLine="420"/>
        <w:outlineLvl w:val="9"/>
        <w:rPr>
          <w:rFonts w:hint="eastAsia" w:ascii="宋体" w:hAnsi="宋体" w:eastAsia="宋体"/>
          <w:sz w:val="24"/>
          <w:highlight w:val="none"/>
          <w:lang w:val="zh-CN" w:eastAsia="zh-CN"/>
        </w:rPr>
      </w:pPr>
      <w:r>
        <w:rPr>
          <w:rFonts w:hint="eastAsia" w:ascii="宋体" w:hAnsi="宋体"/>
          <w:sz w:val="24"/>
          <w:highlight w:val="none"/>
          <w:lang w:val="zh-CN"/>
        </w:rPr>
        <w:t>（5）接收地址：</w:t>
      </w:r>
      <w:r>
        <w:rPr>
          <w:rFonts w:hint="eastAsia" w:ascii="宋体" w:hAnsi="宋体" w:cs="宋体"/>
          <w:sz w:val="24"/>
          <w:highlight w:val="none"/>
          <w:lang w:eastAsia="zh-CN"/>
        </w:rPr>
        <w:t>南京市鼓楼区虎踞北路41号三楼</w:t>
      </w:r>
    </w:p>
    <w:p>
      <w:pPr>
        <w:widowControl w:val="0"/>
        <w:autoSpaceDE w:val="0"/>
        <w:autoSpaceDN w:val="0"/>
        <w:adjustRightInd w:val="0"/>
        <w:snapToGrid w:val="0"/>
        <w:spacing w:line="360" w:lineRule="auto"/>
        <w:ind w:firstLine="420"/>
        <w:outlineLvl w:val="9"/>
        <w:rPr>
          <w:rFonts w:hint="default" w:eastAsia="宋体"/>
          <w:highlight w:val="none"/>
          <w:lang w:val="en-US" w:eastAsia="zh-CN"/>
        </w:rPr>
      </w:pPr>
      <w:r>
        <w:rPr>
          <w:rFonts w:hint="eastAsia" w:ascii="宋体" w:hAnsi="宋体"/>
          <w:sz w:val="24"/>
          <w:highlight w:val="none"/>
          <w:lang w:val="zh-CN"/>
        </w:rPr>
        <w:t>（6）邮    编：2100</w:t>
      </w:r>
      <w:r>
        <w:rPr>
          <w:rFonts w:hint="eastAsia" w:ascii="宋体" w:hAnsi="宋体"/>
          <w:sz w:val="24"/>
          <w:highlight w:val="none"/>
          <w:lang w:val="en-US" w:eastAsia="zh-CN"/>
        </w:rPr>
        <w:t xml:space="preserve">00 </w:t>
      </w:r>
    </w:p>
    <w:p>
      <w:pPr>
        <w:widowControl w:val="0"/>
        <w:adjustRightInd w:val="0"/>
        <w:snapToGrid w:val="0"/>
        <w:spacing w:line="360" w:lineRule="auto"/>
        <w:ind w:firstLine="480" w:firstLineChars="200"/>
        <w:jc w:val="left"/>
        <w:outlineLvl w:val="9"/>
        <w:rPr>
          <w:rStyle w:val="23"/>
          <w:rFonts w:ascii="宋体" w:hAnsi="宋体"/>
          <w:sz w:val="24"/>
          <w:highlight w:val="none"/>
        </w:rPr>
      </w:pPr>
      <w:r>
        <w:rPr>
          <w:rStyle w:val="23"/>
          <w:rFonts w:ascii="宋体" w:hAnsi="宋体"/>
          <w:sz w:val="24"/>
          <w:highlight w:val="none"/>
          <w:lang w:val="zh-CN"/>
        </w:rPr>
        <w:t>27.3 质疑文件应包括以下主要内容，并</w:t>
      </w:r>
      <w:r>
        <w:rPr>
          <w:rStyle w:val="23"/>
          <w:rFonts w:ascii="宋体" w:hAnsi="宋体"/>
          <w:sz w:val="24"/>
          <w:highlight w:val="none"/>
        </w:rPr>
        <w:t>按照“谁主张、谁举证”的原则，附上相关证明材料。否则，代理机构不予受理：</w:t>
      </w:r>
    </w:p>
    <w:p>
      <w:pPr>
        <w:widowControl w:val="0"/>
        <w:adjustRightInd w:val="0"/>
        <w:snapToGrid w:val="0"/>
        <w:spacing w:line="360" w:lineRule="auto"/>
        <w:ind w:left="420" w:leftChars="200"/>
        <w:jc w:val="left"/>
        <w:outlineLvl w:val="9"/>
        <w:rPr>
          <w:rStyle w:val="23"/>
          <w:rFonts w:ascii="宋体" w:hAnsi="宋体"/>
          <w:sz w:val="24"/>
          <w:highlight w:val="none"/>
          <w:lang w:val="zh-CN"/>
        </w:rPr>
      </w:pPr>
      <w:r>
        <w:rPr>
          <w:rStyle w:val="23"/>
          <w:rFonts w:ascii="宋体" w:hAnsi="宋体"/>
          <w:sz w:val="24"/>
          <w:highlight w:val="none"/>
        </w:rPr>
        <w:t>（1）质疑项目名称、项目编号、招标公告发布时间、开标时间；</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（2）具体的质疑事项及法律依据（具体条款）；</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（3）质疑相关证明文件或证明材料，如果涉及到产品功能或技术指标的，应出具相关制造商的证明文件（友情提示：</w:t>
      </w:r>
      <w:r>
        <w:rPr>
          <w:rStyle w:val="23"/>
          <w:rFonts w:ascii="宋体" w:hAnsi="宋体"/>
          <w:sz w:val="24"/>
          <w:highlight w:val="none"/>
        </w:rPr>
        <w:t>供应商全部产品线中没有满足技术需求要求的产品才可以对采购产品提出质疑，并提出</w:t>
      </w:r>
      <w:r>
        <w:rPr>
          <w:rStyle w:val="23"/>
          <w:rFonts w:ascii="宋体" w:hAnsi="宋体"/>
          <w:bCs/>
          <w:sz w:val="24"/>
          <w:highlight w:val="none"/>
        </w:rPr>
        <w:t>修改理由</w:t>
      </w:r>
      <w:r>
        <w:rPr>
          <w:rStyle w:val="23"/>
          <w:rFonts w:ascii="宋体" w:hAnsi="宋体"/>
          <w:sz w:val="24"/>
          <w:highlight w:val="none"/>
        </w:rPr>
        <w:t>和</w:t>
      </w:r>
      <w:r>
        <w:rPr>
          <w:rStyle w:val="23"/>
          <w:rFonts w:ascii="宋体" w:hAnsi="宋体"/>
          <w:bCs/>
          <w:sz w:val="24"/>
          <w:highlight w:val="none"/>
        </w:rPr>
        <w:t>修改建议</w:t>
      </w:r>
      <w:r>
        <w:rPr>
          <w:rStyle w:val="23"/>
          <w:rFonts w:ascii="宋体" w:hAnsi="宋体"/>
          <w:sz w:val="24"/>
          <w:highlight w:val="none"/>
          <w:lang w:val="zh-CN"/>
        </w:rPr>
        <w:t>）；</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（4）质疑供应商名称、地址、联系方式</w:t>
      </w:r>
      <w:r>
        <w:rPr>
          <w:rStyle w:val="23"/>
          <w:rFonts w:ascii="宋体" w:hAnsi="宋体"/>
          <w:sz w:val="24"/>
          <w:highlight w:val="none"/>
        </w:rPr>
        <w:t>（包括手机、传真号码）</w:t>
      </w:r>
      <w:r>
        <w:rPr>
          <w:rStyle w:val="23"/>
          <w:rFonts w:ascii="宋体" w:hAnsi="宋体"/>
          <w:sz w:val="24"/>
          <w:highlight w:val="none"/>
          <w:lang w:val="zh-CN"/>
        </w:rPr>
        <w:t>；</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lang w:val="zh-CN"/>
        </w:rPr>
        <w:t>（5）法定代表人</w:t>
      </w:r>
      <w:r>
        <w:rPr>
          <w:rStyle w:val="23"/>
          <w:rFonts w:ascii="宋体" w:hAnsi="宋体"/>
          <w:sz w:val="24"/>
          <w:highlight w:val="none"/>
        </w:rPr>
        <w:t>签署本人姓名或印盖本人姓名章并加盖单位公章，</w:t>
      </w:r>
      <w:r>
        <w:rPr>
          <w:rStyle w:val="23"/>
          <w:rFonts w:ascii="宋体" w:hAnsi="宋体"/>
          <w:sz w:val="24"/>
          <w:highlight w:val="none"/>
          <w:lang w:val="zh-CN"/>
        </w:rPr>
        <w:t>或</w:t>
      </w:r>
      <w:r>
        <w:rPr>
          <w:rStyle w:val="23"/>
          <w:rFonts w:ascii="宋体" w:hAnsi="宋体"/>
          <w:sz w:val="24"/>
          <w:highlight w:val="none"/>
        </w:rPr>
        <w:t>法定代表人授权</w:t>
      </w:r>
      <w:r>
        <w:rPr>
          <w:rStyle w:val="23"/>
          <w:rFonts w:ascii="宋体" w:hAnsi="宋体"/>
          <w:kern w:val="0"/>
          <w:sz w:val="24"/>
          <w:highlight w:val="none"/>
          <w:lang w:val="zh-CN"/>
        </w:rPr>
        <w:t>委托代理人</w:t>
      </w:r>
      <w:r>
        <w:rPr>
          <w:rStyle w:val="23"/>
          <w:rFonts w:ascii="宋体" w:hAnsi="宋体"/>
          <w:sz w:val="24"/>
          <w:highlight w:val="none"/>
        </w:rPr>
        <w:t>加盖单位公章，并由参加采购项目的</w:t>
      </w:r>
      <w:r>
        <w:rPr>
          <w:rStyle w:val="23"/>
          <w:rFonts w:ascii="宋体" w:hAnsi="宋体"/>
          <w:sz w:val="24"/>
          <w:highlight w:val="none"/>
          <w:lang w:val="zh-CN"/>
        </w:rPr>
        <w:t>授权委托代理人</w:t>
      </w:r>
      <w:r>
        <w:rPr>
          <w:rStyle w:val="23"/>
          <w:rFonts w:ascii="宋体" w:hAnsi="宋体"/>
          <w:sz w:val="24"/>
          <w:highlight w:val="none"/>
        </w:rPr>
        <w:t>签署本人姓名或印盖本人姓名章</w:t>
      </w:r>
      <w:r>
        <w:rPr>
          <w:rStyle w:val="23"/>
          <w:rFonts w:ascii="宋体" w:hAnsi="宋体"/>
          <w:sz w:val="24"/>
          <w:highlight w:val="none"/>
          <w:lang w:val="zh-CN"/>
        </w:rPr>
        <w:t>等。</w:t>
      </w:r>
    </w:p>
    <w:p>
      <w:pPr>
        <w:widowControl w:val="0"/>
        <w:adjustRightInd w:val="0"/>
        <w:snapToGrid w:val="0"/>
        <w:spacing w:line="360" w:lineRule="auto"/>
        <w:ind w:firstLine="480" w:firstLineChars="200"/>
        <w:jc w:val="left"/>
        <w:outlineLvl w:val="9"/>
        <w:rPr>
          <w:rStyle w:val="23"/>
          <w:rFonts w:ascii="宋体" w:hAnsi="宋体"/>
          <w:sz w:val="24"/>
          <w:highlight w:val="none"/>
        </w:rPr>
      </w:pPr>
      <w:r>
        <w:rPr>
          <w:rStyle w:val="23"/>
          <w:rFonts w:ascii="宋体" w:hAnsi="宋体"/>
          <w:sz w:val="24"/>
          <w:highlight w:val="none"/>
          <w:lang w:val="zh-CN"/>
        </w:rPr>
        <w:t>27.4质疑</w:t>
      </w:r>
      <w:r>
        <w:rPr>
          <w:rStyle w:val="23"/>
          <w:rFonts w:ascii="宋体" w:hAnsi="宋体"/>
          <w:sz w:val="24"/>
          <w:highlight w:val="none"/>
        </w:rPr>
        <w:t>供应商是指直接参加本项目采购活动的供应商；</w:t>
      </w:r>
      <w:r>
        <w:rPr>
          <w:rStyle w:val="23"/>
          <w:rFonts w:ascii="宋体" w:hAnsi="宋体"/>
          <w:b/>
          <w:sz w:val="24"/>
          <w:highlight w:val="none"/>
        </w:rPr>
        <w:t>对采购文件提出质疑的，应自供应商获得采购文件之日起计算，且应当在递交响应文件截止之日前提出；对采购过程提出质疑的，自采购程序环节结束之日起计算；对</w:t>
      </w:r>
      <w:r>
        <w:rPr>
          <w:rStyle w:val="23"/>
          <w:rFonts w:hint="eastAsia" w:ascii="宋体" w:hAnsi="宋体"/>
          <w:b/>
          <w:sz w:val="24"/>
          <w:highlight w:val="none"/>
        </w:rPr>
        <w:t>中标</w:t>
      </w:r>
      <w:r>
        <w:rPr>
          <w:rStyle w:val="23"/>
          <w:rFonts w:ascii="宋体" w:hAnsi="宋体"/>
          <w:b/>
          <w:sz w:val="24"/>
          <w:highlight w:val="none"/>
        </w:rPr>
        <w:t>结果提出质疑的，自</w:t>
      </w:r>
      <w:r>
        <w:rPr>
          <w:rStyle w:val="23"/>
          <w:rFonts w:hint="eastAsia" w:ascii="宋体" w:hAnsi="宋体"/>
          <w:b/>
          <w:sz w:val="24"/>
          <w:highlight w:val="none"/>
        </w:rPr>
        <w:t>中标</w:t>
      </w:r>
      <w:r>
        <w:rPr>
          <w:rStyle w:val="23"/>
          <w:rFonts w:ascii="宋体" w:hAnsi="宋体"/>
          <w:b/>
          <w:sz w:val="24"/>
          <w:highlight w:val="none"/>
        </w:rPr>
        <w:t>结果公告之日起计算。</w:t>
      </w:r>
    </w:p>
    <w:p>
      <w:pPr>
        <w:widowControl w:val="0"/>
        <w:adjustRightInd w:val="0"/>
        <w:snapToGrid w:val="0"/>
        <w:spacing w:line="360" w:lineRule="auto"/>
        <w:ind w:firstLine="420"/>
        <w:jc w:val="left"/>
        <w:outlineLvl w:val="9"/>
        <w:rPr>
          <w:rStyle w:val="23"/>
          <w:rFonts w:ascii="宋体" w:hAnsi="宋体"/>
          <w:sz w:val="24"/>
          <w:highlight w:val="none"/>
        </w:rPr>
      </w:pPr>
      <w:r>
        <w:rPr>
          <w:rStyle w:val="23"/>
          <w:rFonts w:ascii="宋体" w:hAnsi="宋体"/>
          <w:sz w:val="24"/>
          <w:highlight w:val="none"/>
          <w:lang w:val="zh-CN"/>
        </w:rPr>
        <w:t>27.5 供应商不得虚假质疑和恶意质疑，并对质疑内容的真实性承担责任。</w:t>
      </w:r>
      <w:r>
        <w:rPr>
          <w:rStyle w:val="23"/>
          <w:rFonts w:ascii="宋体" w:hAnsi="宋体"/>
          <w:sz w:val="24"/>
          <w:highlight w:val="none"/>
        </w:rPr>
        <w:t>供应商或者其他利害关系人通过捏造事实、伪造证明材料等方式提出异议或投诉，阻碍政府采购活动正常进行的，属于严重不良行为，代理机构将提请财政部门将其列入不良行为记录名单，并依法予以处罚。</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ascii="宋体" w:hAnsi="宋体"/>
          <w:sz w:val="24"/>
          <w:highlight w:val="none"/>
        </w:rPr>
        <w:t>27.6 代理机构在收到供应商的书面质疑后将及时组织调查核实，在</w:t>
      </w:r>
      <w:r>
        <w:rPr>
          <w:rStyle w:val="23"/>
          <w:rFonts w:ascii="宋体" w:hAnsi="宋体"/>
          <w:b/>
          <w:bCs/>
          <w:sz w:val="24"/>
          <w:highlight w:val="none"/>
          <w:lang w:val="zh-CN"/>
        </w:rPr>
        <w:t>七个工作日内</w:t>
      </w:r>
      <w:r>
        <w:rPr>
          <w:rStyle w:val="23"/>
          <w:rFonts w:ascii="宋体" w:hAnsi="宋体"/>
          <w:sz w:val="24"/>
          <w:highlight w:val="none"/>
          <w:lang w:val="zh-CN"/>
        </w:rPr>
        <w:t>作出答复，并以书面或在网站公告形式通知质疑供应商和其他有关供应商，答复的内容不涉及商业秘密。</w:t>
      </w:r>
      <w:r>
        <w:rPr>
          <w:rStyle w:val="23"/>
          <w:rFonts w:ascii="宋体" w:hAnsi="宋体"/>
          <w:sz w:val="24"/>
          <w:highlight w:val="none"/>
        </w:rPr>
        <w:t>采购中心遵循“谁过错谁负担”的原则，有过错的一方承担调查论证费用。</w:t>
      </w:r>
    </w:p>
    <w:p>
      <w:pPr>
        <w:widowControl w:val="0"/>
        <w:shd w:val="clear" w:color="auto" w:fill="FFFFFF"/>
        <w:adjustRightInd w:val="0"/>
        <w:snapToGrid w:val="0"/>
        <w:spacing w:line="360" w:lineRule="auto"/>
        <w:ind w:firstLine="420"/>
        <w:outlineLvl w:val="9"/>
        <w:rPr>
          <w:rStyle w:val="23"/>
          <w:rFonts w:ascii="宋体" w:hAnsi="宋体"/>
          <w:kern w:val="0"/>
          <w:sz w:val="24"/>
          <w:highlight w:val="none"/>
        </w:rPr>
      </w:pPr>
      <w:r>
        <w:rPr>
          <w:rStyle w:val="23"/>
          <w:rFonts w:ascii="宋体" w:hAnsi="宋体"/>
          <w:b/>
          <w:bCs/>
          <w:kern w:val="0"/>
          <w:sz w:val="24"/>
          <w:highlight w:val="none"/>
        </w:rPr>
        <w:t>28、投诉</w:t>
      </w:r>
    </w:p>
    <w:p>
      <w:pPr>
        <w:widowControl w:val="0"/>
        <w:adjustRightInd w:val="0"/>
        <w:snapToGrid w:val="0"/>
        <w:spacing w:line="360" w:lineRule="auto"/>
        <w:ind w:firstLine="420"/>
        <w:jc w:val="left"/>
        <w:outlineLvl w:val="9"/>
        <w:rPr>
          <w:rStyle w:val="23"/>
          <w:rFonts w:ascii="宋体" w:hAnsi="宋体"/>
          <w:sz w:val="24"/>
          <w:highlight w:val="none"/>
        </w:rPr>
      </w:pPr>
      <w:r>
        <w:rPr>
          <w:rStyle w:val="23"/>
          <w:rFonts w:ascii="宋体" w:hAnsi="宋体"/>
          <w:sz w:val="24"/>
          <w:highlight w:val="none"/>
        </w:rPr>
        <w:t>28.1</w:t>
      </w:r>
      <w:r>
        <w:rPr>
          <w:rStyle w:val="23"/>
          <w:rFonts w:hint="eastAsia" w:ascii="宋体" w:hAnsi="宋体"/>
          <w:sz w:val="24"/>
          <w:highlight w:val="none"/>
          <w:lang w:val="en-US" w:eastAsia="zh-CN"/>
        </w:rPr>
        <w:t xml:space="preserve"> </w:t>
      </w:r>
      <w:r>
        <w:rPr>
          <w:rStyle w:val="23"/>
          <w:rFonts w:ascii="宋体" w:hAnsi="宋体"/>
          <w:sz w:val="24"/>
          <w:highlight w:val="none"/>
        </w:rPr>
        <w:t>质疑投标人对代理机构的答复不满意，或代理机构未在规定的时间内作出答复的，可以在答复期满后</w:t>
      </w:r>
      <w:r>
        <w:rPr>
          <w:rStyle w:val="23"/>
          <w:rFonts w:ascii="宋体" w:hAnsi="宋体"/>
          <w:b/>
          <w:bCs/>
          <w:sz w:val="24"/>
          <w:highlight w:val="none"/>
        </w:rPr>
        <w:t>十五个工作日</w:t>
      </w:r>
      <w:r>
        <w:rPr>
          <w:rStyle w:val="23"/>
          <w:rFonts w:ascii="宋体" w:hAnsi="宋体"/>
          <w:sz w:val="24"/>
          <w:highlight w:val="none"/>
        </w:rPr>
        <w:t>内向采购人同级财政部门投诉。</w:t>
      </w:r>
    </w:p>
    <w:p>
      <w:pPr>
        <w:widowControl w:val="0"/>
        <w:autoSpaceDE w:val="0"/>
        <w:autoSpaceDN w:val="0"/>
        <w:adjustRightInd w:val="0"/>
        <w:snapToGrid w:val="0"/>
        <w:spacing w:line="360" w:lineRule="auto"/>
        <w:ind w:firstLine="420"/>
        <w:outlineLvl w:val="9"/>
        <w:rPr>
          <w:rFonts w:ascii="宋体" w:hAnsi="宋体" w:cs="宋体"/>
          <w:b/>
          <w:bCs/>
          <w:sz w:val="24"/>
          <w:highlight w:val="none"/>
          <w:lang w:val="zh-CN"/>
        </w:rPr>
      </w:pPr>
      <w:r>
        <w:rPr>
          <w:rFonts w:hint="eastAsia" w:ascii="宋体" w:hAnsi="宋体" w:cs="宋体"/>
          <w:b/>
          <w:bCs/>
          <w:sz w:val="24"/>
          <w:highlight w:val="none"/>
        </w:rPr>
        <w:t>29</w:t>
      </w:r>
      <w:r>
        <w:rPr>
          <w:rFonts w:hint="eastAsia" w:ascii="宋体" w:hAnsi="宋体" w:cs="宋体"/>
          <w:b/>
          <w:bCs/>
          <w:sz w:val="24"/>
          <w:highlight w:val="none"/>
          <w:lang w:val="zh-CN"/>
        </w:rPr>
        <w:t>、诚实信用</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hint="eastAsia" w:ascii="宋体" w:hAnsi="宋体"/>
          <w:sz w:val="24"/>
          <w:highlight w:val="none"/>
        </w:rPr>
        <w:t>29</w:t>
      </w:r>
      <w:r>
        <w:rPr>
          <w:rStyle w:val="23"/>
          <w:rFonts w:hint="eastAsia" w:ascii="宋体" w:hAnsi="宋体"/>
          <w:sz w:val="24"/>
          <w:highlight w:val="none"/>
          <w:lang w:val="zh-CN"/>
        </w:rPr>
        <w:t>.1</w:t>
      </w:r>
      <w:r>
        <w:rPr>
          <w:rStyle w:val="23"/>
          <w:rFonts w:hint="eastAsia" w:ascii="宋体" w:hAnsi="宋体"/>
          <w:sz w:val="24"/>
          <w:highlight w:val="none"/>
          <w:lang w:val="en-US" w:eastAsia="zh-CN"/>
        </w:rPr>
        <w:t xml:space="preserve"> </w:t>
      </w:r>
      <w:r>
        <w:rPr>
          <w:rStyle w:val="23"/>
          <w:rFonts w:hint="eastAsia" w:ascii="宋体" w:hAnsi="宋体"/>
          <w:sz w:val="24"/>
          <w:highlight w:val="none"/>
          <w:lang w:val="zh-CN"/>
        </w:rPr>
        <w:t>供应商之间不得相互串通报价，不得妨碍其他供应商的公平竞争，不得损害采购人和其他供应商的合法权益。</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hint="eastAsia" w:ascii="宋体" w:hAnsi="宋体"/>
          <w:sz w:val="24"/>
          <w:highlight w:val="none"/>
        </w:rPr>
        <w:t>29</w:t>
      </w:r>
      <w:r>
        <w:rPr>
          <w:rStyle w:val="23"/>
          <w:rFonts w:hint="eastAsia" w:ascii="宋体" w:hAnsi="宋体"/>
          <w:sz w:val="24"/>
          <w:highlight w:val="none"/>
          <w:lang w:val="zh-CN"/>
        </w:rPr>
        <w:t>.2</w:t>
      </w:r>
      <w:r>
        <w:rPr>
          <w:rStyle w:val="23"/>
          <w:rFonts w:hint="eastAsia" w:ascii="宋体" w:hAnsi="宋体"/>
          <w:sz w:val="24"/>
          <w:highlight w:val="none"/>
          <w:lang w:val="en-US" w:eastAsia="zh-CN"/>
        </w:rPr>
        <w:t xml:space="preserve"> </w:t>
      </w:r>
      <w:r>
        <w:rPr>
          <w:rStyle w:val="23"/>
          <w:rFonts w:hint="eastAsia" w:ascii="宋体" w:hAnsi="宋体"/>
          <w:sz w:val="24"/>
          <w:highlight w:val="none"/>
          <w:lang w:val="zh-CN"/>
        </w:rPr>
        <w:t>供应商不得以向采购代理机构工作人员、</w:t>
      </w:r>
      <w:r>
        <w:rPr>
          <w:rStyle w:val="23"/>
          <w:rFonts w:hint="eastAsia" w:ascii="宋体" w:hAnsi="宋体"/>
          <w:sz w:val="24"/>
          <w:highlight w:val="none"/>
        </w:rPr>
        <w:t>评标</w:t>
      </w:r>
      <w:r>
        <w:rPr>
          <w:rStyle w:val="23"/>
          <w:rFonts w:hint="eastAsia" w:ascii="宋体" w:hAnsi="宋体"/>
          <w:sz w:val="24"/>
          <w:highlight w:val="none"/>
          <w:lang w:val="zh-CN"/>
        </w:rPr>
        <w:t>小组行贿或者采取其他不正当手段谋取中标。经查实供应商有此行为的，政府采购监督管理部门将供应商列入不良行为记录名单，按照政府采购法有关规定处理。</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hint="eastAsia" w:ascii="宋体" w:hAnsi="宋体"/>
          <w:sz w:val="24"/>
          <w:highlight w:val="none"/>
        </w:rPr>
        <w:t>29</w:t>
      </w:r>
      <w:r>
        <w:rPr>
          <w:rStyle w:val="23"/>
          <w:rFonts w:hint="eastAsia" w:ascii="宋体" w:hAnsi="宋体"/>
          <w:sz w:val="24"/>
          <w:highlight w:val="none"/>
          <w:lang w:val="zh-CN"/>
        </w:rPr>
        <w:t>.3 供应商不得虚假承诺，否则，按照提供虚假材料谋取中标成交处理。</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hint="eastAsia" w:ascii="宋体" w:hAnsi="宋体"/>
          <w:sz w:val="24"/>
          <w:highlight w:val="none"/>
          <w:lang w:val="zh-CN"/>
        </w:rPr>
        <w:t>29.4 供应商应自觉遵守开标、评审纪律，扰乱开标、评审现场秩序的，属于失信行为，根据《南京市政府采购供应商信用管理工作暂行办法》、《江苏省政府采购供应商监督管理暂行办法》，失信行为将被记入供应商诚信档案。</w:t>
      </w:r>
    </w:p>
    <w:p>
      <w:pPr>
        <w:widowControl w:val="0"/>
        <w:adjustRightInd w:val="0"/>
        <w:snapToGrid w:val="0"/>
        <w:spacing w:line="360" w:lineRule="auto"/>
        <w:ind w:firstLine="420"/>
        <w:jc w:val="left"/>
        <w:outlineLvl w:val="9"/>
        <w:rPr>
          <w:rStyle w:val="23"/>
          <w:rFonts w:ascii="宋体" w:hAnsi="宋体"/>
          <w:sz w:val="24"/>
          <w:highlight w:val="none"/>
          <w:lang w:val="zh-CN"/>
        </w:rPr>
      </w:pPr>
      <w:r>
        <w:rPr>
          <w:rStyle w:val="23"/>
          <w:rFonts w:hint="eastAsia" w:ascii="宋体" w:hAnsi="宋体"/>
          <w:sz w:val="24"/>
          <w:highlight w:val="none"/>
        </w:rPr>
        <w:t>29.5</w:t>
      </w:r>
      <w:r>
        <w:rPr>
          <w:rStyle w:val="23"/>
          <w:rFonts w:hint="eastAsia" w:ascii="宋体" w:hAnsi="宋体"/>
          <w:sz w:val="24"/>
          <w:highlight w:val="none"/>
          <w:lang w:val="zh-CN"/>
        </w:rPr>
        <w:t>供应商提供“南京市政府采购供应商信用记录表暨信用承诺书”，应对其内容的真实性、合法性、有效性负责。如作出虚假信用承诺，视同为“提供虚假材料谋取中标、成交”的违法行为。经财政部门调查核实后，按照《政府采购法》第七十七条规定，处以采购金额千分之五以上千分之十一下的罚款，列入不良行为记录名单，在一至三年内禁止参加政府采购活动；有违法所得的，并处没收违法所得，情节严重的，由市场监管部门吊销营业执照；构成犯罪的，依法追究刑事责任。</w:t>
      </w:r>
    </w:p>
    <w:p>
      <w:pPr>
        <w:outlineLvl w:val="9"/>
        <w:rPr>
          <w:sz w:val="36"/>
          <w:szCs w:val="36"/>
          <w:highlight w:val="none"/>
        </w:rPr>
      </w:pPr>
      <w:bookmarkStart w:id="81" w:name="_Toc23444"/>
      <w:bookmarkStart w:id="82" w:name="_Toc44419899"/>
      <w:r>
        <w:rPr>
          <w:sz w:val="36"/>
          <w:szCs w:val="36"/>
          <w:highlight w:val="none"/>
        </w:rPr>
        <w:br w:type="page"/>
      </w:r>
    </w:p>
    <w:p>
      <w:pPr>
        <w:spacing w:before="100" w:after="100" w:line="240" w:lineRule="auto"/>
        <w:jc w:val="center"/>
        <w:outlineLvl w:val="0"/>
        <w:rPr>
          <w:sz w:val="36"/>
          <w:szCs w:val="36"/>
          <w:highlight w:val="none"/>
        </w:rPr>
      </w:pPr>
      <w:bookmarkStart w:id="83" w:name="_Toc27463"/>
      <w:bookmarkStart w:id="84" w:name="_Toc6151"/>
      <w:r>
        <w:rPr>
          <w:sz w:val="36"/>
          <w:szCs w:val="36"/>
          <w:highlight w:val="none"/>
        </w:rPr>
        <w:t>第三章 评标标准</w:t>
      </w:r>
      <w:bookmarkEnd w:id="81"/>
      <w:bookmarkEnd w:id="82"/>
      <w:bookmarkEnd w:id="83"/>
      <w:bookmarkEnd w:id="84"/>
    </w:p>
    <w:p>
      <w:pPr>
        <w:pStyle w:val="24"/>
        <w:rPr>
          <w:rFonts w:hint="eastAsia" w:ascii="宋体" w:hAnsi="宋体" w:eastAsia="宋体" w:cs="宋体"/>
          <w:sz w:val="22"/>
          <w:szCs w:val="22"/>
          <w:highlight w:val="none"/>
        </w:rPr>
      </w:pPr>
      <w:r>
        <w:rPr>
          <w:rFonts w:hint="eastAsia" w:ascii="宋体" w:hAnsi="宋体" w:eastAsia="宋体" w:cs="宋体"/>
          <w:sz w:val="22"/>
          <w:szCs w:val="22"/>
          <w:highlight w:val="none"/>
        </w:rPr>
        <w:t>采用综合评分法。评标委员会按照招标文件中规定的各项因素进行综合评审，本评分标准中客观分由评标委员会统一打分；主观分由采购人代表及评委各自独立打分，取评标委会所有成员打分的平均值；汇总上述分值后为每一家投标单位的最终得分。</w:t>
      </w:r>
    </w:p>
    <w:p>
      <w:pPr>
        <w:adjustRightInd w:val="0"/>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根据各供应商最终得分由高到低进行排名，得分相同的，按投标报价由低到高顺序排列。得分且投标报价相同的，按技术方案优劣顺序排列。评标委员会将综合排名第一的供应商确定为中标供应商。</w:t>
      </w:r>
    </w:p>
    <w:tbl>
      <w:tblPr>
        <w:tblStyle w:val="20"/>
        <w:tblpPr w:leftFromText="180" w:rightFromText="180" w:vertAnchor="text" w:horzAnchor="page" w:tblpX="1089" w:tblpY="595"/>
        <w:tblOverlap w:val="never"/>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1475"/>
        <w:gridCol w:w="737"/>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75"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737"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p>
        </w:tc>
        <w:tc>
          <w:tcPr>
            <w:tcW w:w="7094"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1475" w:type="dxa"/>
            <w:noWrap w:val="0"/>
            <w:tcMar>
              <w:left w:w="57" w:type="dxa"/>
              <w:right w:w="57"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报价</w:t>
            </w:r>
          </w:p>
        </w:tc>
        <w:tc>
          <w:tcPr>
            <w:tcW w:w="737" w:type="dxa"/>
            <w:noWrap w:val="0"/>
            <w:tcMar>
              <w:left w:w="57" w:type="dxa"/>
              <w:right w:w="57"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w:t>
            </w:r>
          </w:p>
        </w:tc>
        <w:tc>
          <w:tcPr>
            <w:tcW w:w="7094" w:type="dxa"/>
            <w:noWrap w:val="0"/>
            <w:tcMar>
              <w:left w:w="57" w:type="dxa"/>
              <w:right w:w="57" w:type="dxa"/>
            </w:tcMar>
            <w:vAlign w:val="center"/>
          </w:tcPr>
          <w:p>
            <w:pPr>
              <w:spacing w:line="240" w:lineRule="auto"/>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bidi="ar"/>
              </w:rPr>
              <w:t>采用低价优先法计算，即满足采购文件要求且投标价格最低的投标报价为评标基准价，其价格分为满分。其他供应商的价格分统一按照下列公式计算：投标报价得分=(评标基准价/投标报价)×30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1475"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商务部分</w:t>
            </w:r>
          </w:p>
        </w:tc>
        <w:tc>
          <w:tcPr>
            <w:tcW w:w="737" w:type="dxa"/>
            <w:noWrap w:val="0"/>
            <w:tcMar>
              <w:left w:w="57" w:type="dxa"/>
              <w:right w:w="57" w:type="dxa"/>
            </w:tcMar>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w:t>
            </w:r>
          </w:p>
        </w:tc>
        <w:tc>
          <w:tcPr>
            <w:tcW w:w="7094" w:type="dxa"/>
            <w:noWrap w:val="0"/>
            <w:tcMar>
              <w:left w:w="57" w:type="dxa"/>
              <w:right w:w="57" w:type="dxa"/>
            </w:tcMar>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5" w:type="dxa"/>
            <w:noWrap w:val="0"/>
            <w:tcMar>
              <w:left w:w="57" w:type="dxa"/>
              <w:right w:w="57" w:type="dxa"/>
            </w:tcMar>
            <w:vAlign w:val="center"/>
          </w:tcPr>
          <w:p>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履约能力</w:t>
            </w:r>
          </w:p>
        </w:tc>
        <w:tc>
          <w:tcPr>
            <w:tcW w:w="737" w:type="dxa"/>
            <w:noWrap w:val="0"/>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7</w:t>
            </w:r>
          </w:p>
        </w:tc>
        <w:tc>
          <w:tcPr>
            <w:tcW w:w="7094" w:type="dxa"/>
            <w:noWrap w:val="0"/>
            <w:tcMar>
              <w:left w:w="57" w:type="dxa"/>
              <w:right w:w="57" w:type="dxa"/>
            </w:tcMar>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1、供应商获得中国信息安全测评中心颁发的国家信息安全漏洞库（CNNVD）技术支撑单位等级证书，提供证明材料并加盖公章。一级得3分，二级得2分，三级得1分；（提供证书复印件并加盖供应商公章）</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具备完善的售后服务体系，专业的售后服务专业队伍，健全的售后服务制度和质量监测体系。通过服务体系完善程度认证七星级，提供证明材料并加盖公章。得2分。（提供证书复印件并加盖供应商公章）</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3、供应商具有有效期内的业务连续性管理体系、环境管理认证体系认证证书，每提供一个得1分，最多得2分（提供证书复印件并加盖供应商公章）。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p>
        </w:tc>
        <w:tc>
          <w:tcPr>
            <w:tcW w:w="1475" w:type="dxa"/>
            <w:noWrap w:val="0"/>
            <w:tcMar>
              <w:left w:w="57" w:type="dxa"/>
              <w:right w:w="57" w:type="dxa"/>
            </w:tcMar>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产品兼容</w:t>
            </w:r>
          </w:p>
        </w:tc>
        <w:tc>
          <w:tcPr>
            <w:tcW w:w="737" w:type="dxa"/>
            <w:noWrap w:val="0"/>
            <w:tcMar>
              <w:left w:w="57" w:type="dxa"/>
              <w:right w:w="57" w:type="dxa"/>
            </w:tcMar>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7094" w:type="dxa"/>
            <w:noWrap w:val="0"/>
            <w:tcMar>
              <w:left w:w="57" w:type="dxa"/>
              <w:right w:w="57" w:type="dxa"/>
            </w:tcMar>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供应商所投无线控制器、室内AP、高密AP、室外AP、24口POE交换机为同一品牌，得2分。本项最多2分，未提供不得分（提供承诺书并加盖</w:t>
            </w:r>
            <w:r>
              <w:rPr>
                <w:rFonts w:hint="eastAsia" w:ascii="宋体" w:hAnsi="宋体" w:eastAsia="宋体" w:cs="宋体"/>
                <w:sz w:val="21"/>
                <w:szCs w:val="21"/>
                <w:highlight w:val="none"/>
                <w:lang w:val="en-US" w:eastAsia="zh-CN"/>
              </w:rPr>
              <w:t>供应商</w:t>
            </w:r>
            <w:r>
              <w:rPr>
                <w:rFonts w:hint="eastAsia" w:ascii="宋体" w:hAnsi="宋体" w:eastAsia="宋体" w:cs="宋体"/>
                <w:color w:val="auto"/>
                <w:sz w:val="21"/>
                <w:szCs w:val="21"/>
                <w:highlight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75" w:type="dxa"/>
            <w:noWrap w:val="0"/>
            <w:tcMar>
              <w:left w:w="57" w:type="dxa"/>
              <w:right w:w="57" w:type="dxa"/>
            </w:tcMar>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质保</w:t>
            </w:r>
          </w:p>
        </w:tc>
        <w:tc>
          <w:tcPr>
            <w:tcW w:w="737" w:type="dxa"/>
            <w:noWrap w:val="0"/>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2</w:t>
            </w:r>
          </w:p>
        </w:tc>
        <w:tc>
          <w:tcPr>
            <w:tcW w:w="7094" w:type="dxa"/>
            <w:noWrap w:val="0"/>
            <w:tcMar>
              <w:left w:w="57" w:type="dxa"/>
              <w:right w:w="57" w:type="dxa"/>
            </w:tcMar>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000000"/>
                <w:kern w:val="0"/>
                <w:sz w:val="21"/>
                <w:szCs w:val="21"/>
                <w:highlight w:val="none"/>
                <w:lang w:eastAsia="zh-CN"/>
              </w:rPr>
              <w:t>供应商</w:t>
            </w:r>
            <w:r>
              <w:rPr>
                <w:rFonts w:hint="eastAsia" w:ascii="宋体" w:hAnsi="宋体" w:cs="宋体"/>
                <w:color w:val="000000"/>
                <w:kern w:val="0"/>
                <w:sz w:val="21"/>
                <w:szCs w:val="21"/>
                <w:highlight w:val="none"/>
              </w:rPr>
              <w:t>在项目要求的3年质保的基础上，每</w:t>
            </w:r>
            <w:r>
              <w:rPr>
                <w:rFonts w:ascii="宋体" w:hAnsi="宋体" w:cs="宋体"/>
                <w:color w:val="000000"/>
                <w:kern w:val="0"/>
                <w:sz w:val="21"/>
                <w:szCs w:val="21"/>
                <w:highlight w:val="none"/>
              </w:rPr>
              <w:t>增加一年加</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分</w:t>
            </w:r>
            <w:r>
              <w:rPr>
                <w:rFonts w:ascii="宋体" w:hAnsi="宋体" w:cs="宋体"/>
                <w:color w:val="000000"/>
                <w:kern w:val="0"/>
                <w:sz w:val="21"/>
                <w:szCs w:val="21"/>
                <w:highlight w:val="none"/>
              </w:rPr>
              <w:t>，最多</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分，</w:t>
            </w:r>
            <w:r>
              <w:rPr>
                <w:rFonts w:hint="eastAsia" w:ascii="宋体" w:hAnsi="宋体" w:eastAsia="宋体" w:cs="宋体"/>
                <w:color w:val="auto"/>
                <w:sz w:val="21"/>
                <w:szCs w:val="21"/>
                <w:highlight w:val="none"/>
                <w:lang w:val="en-US" w:eastAsia="zh-CN" w:bidi="ar"/>
              </w:rPr>
              <w:t>（提供承诺书并加盖</w:t>
            </w:r>
            <w:r>
              <w:rPr>
                <w:rFonts w:hint="eastAsia" w:ascii="宋体" w:hAnsi="宋体" w:eastAsia="宋体" w:cs="宋体"/>
                <w:sz w:val="21"/>
                <w:szCs w:val="21"/>
                <w:highlight w:val="none"/>
                <w:lang w:val="en-US" w:eastAsia="zh-CN"/>
              </w:rPr>
              <w:t>供应商</w:t>
            </w:r>
            <w:r>
              <w:rPr>
                <w:rFonts w:hint="eastAsia" w:ascii="宋体" w:hAnsi="宋体" w:eastAsia="宋体" w:cs="宋体"/>
                <w:color w:val="auto"/>
                <w:sz w:val="21"/>
                <w:szCs w:val="21"/>
                <w:highlight w:val="none"/>
                <w:lang w:val="en-US" w:eastAsia="zh-CN"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trPr>
        <w:tc>
          <w:tcPr>
            <w:tcW w:w="667" w:type="dxa"/>
            <w:noWrap w:val="0"/>
            <w:tcMar>
              <w:left w:w="57" w:type="dxa"/>
              <w:right w:w="57" w:type="dxa"/>
            </w:tcMar>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75" w:type="dxa"/>
            <w:noWrap w:val="0"/>
            <w:tcMar>
              <w:left w:w="57" w:type="dxa"/>
              <w:right w:w="57" w:type="dxa"/>
            </w:tcMar>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本地化服务</w:t>
            </w:r>
          </w:p>
        </w:tc>
        <w:tc>
          <w:tcPr>
            <w:tcW w:w="737" w:type="dxa"/>
            <w:noWrap w:val="0"/>
            <w:tcMar>
              <w:left w:w="57" w:type="dxa"/>
              <w:right w:w="57"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w:t>
            </w:r>
          </w:p>
        </w:tc>
        <w:tc>
          <w:tcPr>
            <w:tcW w:w="7094" w:type="dxa"/>
            <w:noWrap w:val="0"/>
            <w:tcMar>
              <w:left w:w="57" w:type="dxa"/>
              <w:right w:w="57"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color w:val="000000"/>
                <w:kern w:val="0"/>
                <w:sz w:val="21"/>
                <w:szCs w:val="21"/>
                <w:highlight w:val="none"/>
                <w:lang w:val="en-US" w:eastAsia="zh-CN"/>
              </w:rPr>
              <w:t>供应商具有本地化服务或中标后能提供本地化服务，得1分，未提供不得分。（提供相关证明材料或承诺书</w:t>
            </w:r>
            <w:r>
              <w:rPr>
                <w:rFonts w:hint="eastAsia" w:ascii="宋体" w:hAnsi="宋体" w:eastAsia="宋体" w:cs="宋体"/>
                <w:color w:val="000000"/>
                <w:kern w:val="0"/>
                <w:sz w:val="21"/>
                <w:szCs w:val="21"/>
                <w:highlight w:val="none"/>
              </w:rPr>
              <w:t>并加盖</w:t>
            </w:r>
            <w:r>
              <w:rPr>
                <w:rFonts w:hint="eastAsia" w:ascii="宋体" w:hAnsi="宋体" w:eastAsia="宋体" w:cs="宋体"/>
                <w:sz w:val="21"/>
                <w:szCs w:val="21"/>
                <w:highlight w:val="none"/>
                <w:lang w:val="en-US" w:eastAsia="zh-CN"/>
              </w:rPr>
              <w:t>供应商</w:t>
            </w:r>
            <w:r>
              <w:rPr>
                <w:rFonts w:hint="eastAsia" w:ascii="宋体" w:hAnsi="宋体" w:eastAsia="宋体" w:cs="宋体"/>
                <w:color w:val="000000"/>
                <w:kern w:val="0"/>
                <w:sz w:val="21"/>
                <w:szCs w:val="21"/>
                <w:highlight w:val="none"/>
              </w:rPr>
              <w:t>公章</w:t>
            </w:r>
            <w:r>
              <w:rPr>
                <w:rFonts w:hint="eastAsia" w:ascii="宋体" w:hAnsi="宋体" w:eastAsia="宋体" w:cs="宋体"/>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tc>
        <w:tc>
          <w:tcPr>
            <w:tcW w:w="1475" w:type="dxa"/>
            <w:noWrap w:val="0"/>
            <w:tcMar>
              <w:left w:w="57"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技术部分</w:t>
            </w:r>
          </w:p>
        </w:tc>
        <w:tc>
          <w:tcPr>
            <w:tcW w:w="737" w:type="dxa"/>
            <w:noWrap w:val="0"/>
            <w:tcMar>
              <w:left w:w="57" w:type="dxa"/>
              <w:right w:w="57" w:type="dxa"/>
            </w:tcMar>
            <w:vAlign w:val="center"/>
          </w:tcPr>
          <w:p>
            <w:pPr>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58</w:t>
            </w:r>
          </w:p>
        </w:tc>
        <w:tc>
          <w:tcPr>
            <w:tcW w:w="7094" w:type="dxa"/>
            <w:noWrap w:val="0"/>
            <w:tcMar>
              <w:left w:w="57" w:type="dxa"/>
              <w:right w:w="57" w:type="dxa"/>
            </w:tcMar>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w:t>
            </w:r>
          </w:p>
        </w:tc>
        <w:tc>
          <w:tcPr>
            <w:tcW w:w="1475" w:type="dxa"/>
            <w:noWrap w:val="0"/>
            <w:tcMar>
              <w:left w:w="57" w:type="dxa"/>
              <w:right w:w="57"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投标设备技术性能指标的响应程度</w:t>
            </w:r>
          </w:p>
        </w:tc>
        <w:tc>
          <w:tcPr>
            <w:tcW w:w="737" w:type="dxa"/>
            <w:noWrap w:val="0"/>
            <w:tcMar>
              <w:left w:w="57" w:type="dxa"/>
              <w:right w:w="57" w:type="dxa"/>
            </w:tcMar>
            <w:vAlign w:val="center"/>
          </w:tcPr>
          <w:p>
            <w:pPr>
              <w:spacing w:line="36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30</w:t>
            </w:r>
          </w:p>
        </w:tc>
        <w:tc>
          <w:tcPr>
            <w:tcW w:w="7094" w:type="dxa"/>
            <w:noWrap w:val="0"/>
            <w:tcMar>
              <w:left w:w="57" w:type="dxa"/>
              <w:right w:w="57" w:type="dxa"/>
            </w:tcMar>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满足招标文件满足“设备清单及技术要求”中参数要求的得满分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其中★部分为实质性要求，负偏离一项将导致投标被否决；▲为重要参数，负偏离一项，扣3分；一般参数，负偏离一项，扣1.5分；扣完为止。注：供应商针对本项评分内容在响应文件《技术响应偏离表》中逐条列出响应及偏离情况，采购需求中要求提供证明材料的，以证明材料为准；采购需求中未要求提供证明材料的，以《技术响应偏离表》为准。未按要求提供证明材料或未在响应偏离表中列明偏离情况的对应项按负偏离进行扣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75"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项目实施方案</w:t>
            </w:r>
          </w:p>
        </w:tc>
        <w:tc>
          <w:tcPr>
            <w:tcW w:w="737" w:type="dxa"/>
            <w:noWrap w:val="0"/>
            <w:tcMar>
              <w:left w:w="57" w:type="dxa"/>
              <w:right w:w="57" w:type="dxa"/>
            </w:tcMar>
            <w:vAlign w:val="center"/>
          </w:tcPr>
          <w:p>
            <w:pPr>
              <w:spacing w:line="360" w:lineRule="auto"/>
              <w:jc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8</w:t>
            </w:r>
          </w:p>
        </w:tc>
        <w:tc>
          <w:tcPr>
            <w:tcW w:w="7094" w:type="dxa"/>
            <w:noWrap w:val="0"/>
            <w:tcMar>
              <w:left w:w="57" w:type="dxa"/>
              <w:right w:w="57" w:type="dxa"/>
            </w:tcMar>
            <w:vAlign w:val="center"/>
          </w:tcPr>
          <w:p>
            <w:pPr>
              <w:spacing w:line="240" w:lineRule="auto"/>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评委根据</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的项目</w:t>
            </w:r>
            <w:r>
              <w:rPr>
                <w:rFonts w:hint="eastAsia" w:ascii="宋体" w:hAnsi="宋体" w:eastAsia="宋体" w:cs="宋体"/>
                <w:color w:val="auto"/>
                <w:sz w:val="21"/>
                <w:szCs w:val="21"/>
                <w:highlight w:val="none"/>
              </w:rPr>
              <w:t>实施方案</w:t>
            </w:r>
            <w:r>
              <w:rPr>
                <w:rFonts w:hint="eastAsia" w:ascii="宋体" w:hAnsi="宋体" w:eastAsia="宋体" w:cs="宋体"/>
                <w:color w:val="auto"/>
                <w:kern w:val="0"/>
                <w:sz w:val="21"/>
                <w:szCs w:val="21"/>
                <w:highlight w:val="none"/>
                <w:lang w:val="en-US" w:eastAsia="zh-CN" w:bidi="ar"/>
              </w:rPr>
              <w:t>的科学性、可行性、全面性、针对性及有效性等评分，</w:t>
            </w:r>
            <w:r>
              <w:rPr>
                <w:rFonts w:hint="eastAsia" w:ascii="宋体" w:hAnsi="宋体" w:eastAsia="宋体" w:cs="宋体"/>
                <w:color w:val="auto"/>
                <w:sz w:val="21"/>
                <w:szCs w:val="21"/>
                <w:highlight w:val="none"/>
                <w:lang w:val="en-US" w:eastAsia="zh-CN" w:bidi="ar"/>
              </w:rPr>
              <w:t>内容包括但不限于：</w:t>
            </w:r>
            <w:r>
              <w:rPr>
                <w:rFonts w:hint="eastAsia" w:ascii="宋体" w:hAnsi="宋体" w:eastAsia="宋体" w:cs="宋体"/>
                <w:color w:val="auto"/>
                <w:sz w:val="21"/>
                <w:szCs w:val="21"/>
                <w:highlight w:val="none"/>
              </w:rPr>
              <w:t>组织机构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人员配置、协调能力和进度安排、质量保证措施</w:t>
            </w:r>
            <w:r>
              <w:rPr>
                <w:rFonts w:hint="eastAsia" w:ascii="宋体" w:hAnsi="宋体" w:eastAsia="宋体" w:cs="宋体"/>
                <w:color w:val="auto"/>
                <w:sz w:val="21"/>
                <w:szCs w:val="21"/>
                <w:highlight w:val="none"/>
                <w:lang w:eastAsia="zh-CN"/>
              </w:rPr>
              <w:t>。</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方案详细合理、科学</w:t>
            </w:r>
            <w:r>
              <w:rPr>
                <w:rFonts w:hint="eastAsia" w:ascii="宋体" w:hAnsi="宋体" w:eastAsia="宋体" w:cs="宋体"/>
                <w:color w:val="auto"/>
                <w:sz w:val="21"/>
                <w:szCs w:val="21"/>
                <w:highlight w:val="none"/>
                <w:lang w:eastAsia="zh-CN"/>
              </w:rPr>
              <w:t>、可行，全面性、针</w:t>
            </w:r>
            <w:r>
              <w:rPr>
                <w:rFonts w:hint="eastAsia" w:ascii="宋体" w:hAnsi="宋体" w:eastAsia="宋体" w:cs="宋体"/>
                <w:color w:val="auto"/>
                <w:sz w:val="21"/>
                <w:szCs w:val="21"/>
                <w:highlight w:val="none"/>
                <w:lang w:val="en-US" w:eastAsia="zh-CN" w:bidi="ar"/>
              </w:rPr>
              <w:t>对性强的得8分；</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方案基本详细、较科学、可行的，全面性、针对性较强的得5分；</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方案不合理、不科学，全面性、针对性不强的得2分；</w:t>
            </w:r>
          </w:p>
          <w:p>
            <w:pPr>
              <w:pStyle w:val="12"/>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未提供实施方案或不能满足项目实际需求不得分。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475"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深化设计方案</w:t>
            </w:r>
          </w:p>
        </w:tc>
        <w:tc>
          <w:tcPr>
            <w:tcW w:w="737" w:type="dxa"/>
            <w:noWrap w:val="0"/>
            <w:tcMar>
              <w:left w:w="57" w:type="dxa"/>
              <w:right w:w="57" w:type="dxa"/>
            </w:tcMar>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7094" w:type="dxa"/>
            <w:noWrap w:val="0"/>
            <w:tcMar>
              <w:left w:w="57" w:type="dxa"/>
              <w:right w:w="57" w:type="dxa"/>
            </w:tcMar>
            <w:vAlign w:val="center"/>
          </w:tcPr>
          <w:p>
            <w:pPr>
              <w:keepNext w:val="0"/>
              <w:keepLines w:val="0"/>
              <w:widowControl/>
              <w:suppressLineNumbers w:val="0"/>
              <w:spacing w:line="240" w:lineRule="auto"/>
              <w:jc w:val="left"/>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bidi="ar"/>
              </w:rPr>
              <w:t>评委根据供应商提供针对本项目深化设计方案进行综合评分，内容包括但不限于：点位线路图、平面布局图、系统拓扑图等：</w:t>
            </w:r>
            <w:r>
              <w:rPr>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color w:val="auto"/>
                <w:sz w:val="21"/>
                <w:szCs w:val="21"/>
                <w:highlight w:val="none"/>
                <w:lang w:val="en-US" w:eastAsia="zh-CN" w:bidi="ar"/>
              </w:rPr>
              <w:t>方案设计规范、完整、准确、合理的，得8分；</w:t>
            </w:r>
            <w:r>
              <w:rPr>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color w:val="auto"/>
                <w:sz w:val="21"/>
                <w:szCs w:val="21"/>
                <w:highlight w:val="none"/>
                <w:lang w:val="en-US" w:eastAsia="zh-CN" w:bidi="ar"/>
              </w:rPr>
              <w:t>方案设计较为规范、完整、准确、合理的，得5分；</w:t>
            </w:r>
            <w:r>
              <w:rPr>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color w:val="auto"/>
                <w:sz w:val="21"/>
                <w:szCs w:val="21"/>
                <w:highlight w:val="none"/>
                <w:lang w:val="en-US" w:eastAsia="zh-CN" w:bidi="ar"/>
              </w:rPr>
              <w:t>方案设计基本规范、完整、准确、合理的，得2分；</w:t>
            </w:r>
            <w:r>
              <w:rPr>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color w:val="auto"/>
                <w:sz w:val="21"/>
                <w:szCs w:val="21"/>
                <w:highlight w:val="none"/>
                <w:lang w:val="en-US" w:eastAsia="zh-CN" w:bidi="ar"/>
              </w:rPr>
              <w:t>未提供实施方案或不能满足项目实际需求不得分。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475" w:type="dxa"/>
            <w:noWrap w:val="0"/>
            <w:tcMar>
              <w:left w:w="57"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安装调试方案</w:t>
            </w:r>
          </w:p>
        </w:tc>
        <w:tc>
          <w:tcPr>
            <w:tcW w:w="737" w:type="dxa"/>
            <w:noWrap w:val="0"/>
            <w:tcMar>
              <w:left w:w="57" w:type="dxa"/>
              <w:right w:w="57" w:type="dxa"/>
            </w:tcMar>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6</w:t>
            </w:r>
          </w:p>
        </w:tc>
        <w:tc>
          <w:tcPr>
            <w:tcW w:w="7094" w:type="dxa"/>
            <w:noWrap w:val="0"/>
            <w:tcMar>
              <w:left w:w="57" w:type="dxa"/>
              <w:right w:w="57" w:type="dxa"/>
            </w:tcMar>
            <w:vAlign w:val="center"/>
          </w:tcPr>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评委根据</w:t>
            </w:r>
            <w:r>
              <w:rPr>
                <w:rFonts w:hint="eastAsia" w:ascii="宋体" w:hAnsi="宋体" w:eastAsia="宋体" w:cs="宋体"/>
                <w:color w:val="auto"/>
                <w:sz w:val="21"/>
                <w:szCs w:val="21"/>
                <w:highlight w:val="none"/>
                <w:lang w:val="en-US" w:eastAsia="zh-CN" w:bidi="ar"/>
              </w:rPr>
              <w:t>供应商提供的安装调试方案</w:t>
            </w:r>
            <w:r>
              <w:rPr>
                <w:rFonts w:hint="eastAsia" w:ascii="宋体" w:hAnsi="宋体" w:eastAsia="宋体" w:cs="宋体"/>
                <w:color w:val="auto"/>
                <w:kern w:val="0"/>
                <w:sz w:val="21"/>
                <w:szCs w:val="21"/>
                <w:highlight w:val="none"/>
                <w:lang w:val="en-US" w:eastAsia="zh-CN" w:bidi="ar"/>
              </w:rPr>
              <w:t>评分</w:t>
            </w:r>
            <w:r>
              <w:rPr>
                <w:rFonts w:hint="eastAsia" w:ascii="宋体" w:hAnsi="宋体" w:eastAsia="宋体" w:cs="宋体"/>
                <w:color w:val="auto"/>
                <w:sz w:val="21"/>
                <w:szCs w:val="21"/>
                <w:highlight w:val="none"/>
                <w:lang w:val="en-US" w:eastAsia="zh-CN" w:bidi="ar"/>
              </w:rPr>
              <w:t>，内容包括但不限于：设备安装及调试、测试、安装程序和步骤、安装管理和协调方法、重点难点分析等。</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 xml:space="preserve">方案内容完整、详细，程序和步骤合理，管理和方法到位，重点难点分析准确，可行性强且完全满足项目实际需求，得6分； </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 xml:space="preserve">方案内容基本完整，程序和步骤基本合理，管理和方法部分细节需要完善，有重点难点分析但略有瑕疵，可基本满足项目实际需求，得4分； </w:t>
            </w:r>
          </w:p>
          <w:p>
            <w:pPr>
              <w:spacing w:line="240" w:lineRule="auto"/>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方案内容有缺失或过于简单，合理可行性欠缺，整体方案需进一步修改完善方可满足项目实际需求，得2分；</w:t>
            </w:r>
          </w:p>
          <w:p>
            <w:pPr>
              <w:spacing w:line="240" w:lineRule="auto"/>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bidi="ar"/>
              </w:rPr>
              <w:t>未提供方案或不能满足项目实际需求不得分。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7" w:type="dxa"/>
            <w:noWrap w:val="0"/>
            <w:tcMar>
              <w:left w:w="57" w:type="dxa"/>
              <w:right w:w="57" w:type="dxa"/>
            </w:tcMar>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1475" w:type="dxa"/>
            <w:noWrap w:val="0"/>
            <w:tcMar>
              <w:left w:w="57" w:type="dxa"/>
              <w:right w:w="57" w:type="dxa"/>
            </w:tcMar>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售后服务方案、售后服务能力</w:t>
            </w:r>
          </w:p>
        </w:tc>
        <w:tc>
          <w:tcPr>
            <w:tcW w:w="737" w:type="dxa"/>
            <w:noWrap w:val="0"/>
            <w:tcMar>
              <w:left w:w="57" w:type="dxa"/>
              <w:right w:w="57" w:type="dxa"/>
            </w:tcMar>
            <w:vAlign w:val="center"/>
          </w:tcPr>
          <w:p>
            <w:pPr>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
              </w:rPr>
              <w:t>6</w:t>
            </w:r>
          </w:p>
        </w:tc>
        <w:tc>
          <w:tcPr>
            <w:tcW w:w="7094" w:type="dxa"/>
            <w:noWrap w:val="0"/>
            <w:tcMar>
              <w:left w:w="57" w:type="dxa"/>
              <w:right w:w="57" w:type="dxa"/>
            </w:tcMar>
            <w:vAlign w:val="center"/>
          </w:tcPr>
          <w:p>
            <w:pPr>
              <w:spacing w:line="240" w:lineRule="auto"/>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评委根据供应商提供的完整的售后服务方案的科学性、可行性、全面性、针对性及有效性等评分，内容包括但不限于：服务体系、服务内容、故障解决方案、故障响应、专业技术人员保障等</w:t>
            </w:r>
          </w:p>
          <w:p>
            <w:pPr>
              <w:spacing w:line="240" w:lineRule="auto"/>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服务体系健全，服务内容满足采购人实际需求，解决方案切实有效，故障响应迅速，技术人员专业性强的得6分；</w:t>
            </w:r>
          </w:p>
          <w:p>
            <w:pPr>
              <w:spacing w:line="240" w:lineRule="auto"/>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服务体系较健全，服务内容基本满足采购人实际需求，解决方案比较合理有效，故障响应较快，技术人员专业性较强的得4分；</w:t>
            </w:r>
          </w:p>
          <w:p>
            <w:pPr>
              <w:spacing w:line="240" w:lineRule="auto"/>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服务体系不够健全，服务内容比采购人实际需求不够匹配，解决方案不够有效，故障响应缓慢，技术人员专业性较弱的得2分。</w:t>
            </w:r>
          </w:p>
          <w:p>
            <w:pPr>
              <w:spacing w:line="240" w:lineRule="auto"/>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未提供方案或不能满足项目实际需求不得分。</w:t>
            </w:r>
          </w:p>
        </w:tc>
      </w:tr>
    </w:tbl>
    <w:p>
      <w:pPr>
        <w:rPr>
          <w:rStyle w:val="23"/>
          <w:rFonts w:ascii="宋体"/>
          <w:b/>
          <w:sz w:val="24"/>
          <w:highlight w:val="none"/>
        </w:rPr>
      </w:pPr>
      <w:r>
        <w:rPr>
          <w:rStyle w:val="23"/>
          <w:rFonts w:hint="eastAsia" w:ascii="宋体"/>
          <w:b/>
          <w:sz w:val="24"/>
          <w:highlight w:val="none"/>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所有证书及合同业绩均以有效的证明文件的复印件加盖公章为依据，原件备查，当复印件不清晰时需要提供原件备查，不能提供者该项不得分。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对国家认定的节能产品和环保产品分别给予最终报价的5%的价格扣除，用扣除后的价格参与评审（节能、环保产品必须纳入“中国政府采购网http://www.ccgp.gov.cn/”等官方网站“节能、环保产品查询系统”，且以提供的有效的证书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根据“关于印发《政府采购促进中小企业发展管理办法》的通知”（财库〔2020〕46 号）的规定</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对于专门面向中小企业或小型、微型企业的项目，只面向中小企业或小型、微型企业采购。对于非专门面向中小企业的项目</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符合规定的小微企业报价给予10%（工程项目为5%）的扣除，用扣除后的价格参加评审。小企业（含小型、微型企业）应当同时符合以下条件：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供应商为小企业，且符合中小企业划分标准；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提供本企业制造的货物、承担的工程或者服务，或者提供其他小企业制造的货物。如果提供的货物为大中型企业注册商标的货物，视同大中型企业。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提供政府主管部门对小企业（含小型、微型企业）认定证明。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评标委员会不保证有效报价最低的供应商成交。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所有认证、证明和业绩均以有效的证明文件的复印件</w:t>
      </w:r>
      <w:r>
        <w:rPr>
          <w:rFonts w:hint="eastAsia" w:ascii="宋体" w:hAnsi="宋体" w:eastAsia="宋体" w:cs="宋体"/>
          <w:color w:val="auto"/>
          <w:spacing w:val="0"/>
          <w:sz w:val="21"/>
          <w:szCs w:val="21"/>
          <w:highlight w:val="none"/>
          <w:lang w:eastAsia="zh-CN"/>
        </w:rPr>
        <w:t>加盖公章</w:t>
      </w:r>
      <w:r>
        <w:rPr>
          <w:rFonts w:hint="eastAsia" w:ascii="宋体" w:hAnsi="宋体" w:eastAsia="宋体" w:cs="宋体"/>
          <w:color w:val="auto"/>
          <w:spacing w:val="0"/>
          <w:sz w:val="21"/>
          <w:szCs w:val="21"/>
          <w:highlight w:val="none"/>
        </w:rPr>
        <w:t>为依据（要求提供原件的除外）。</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jc w:val="center"/>
        <w:textAlignment w:val="auto"/>
        <w:outlineLvl w:val="9"/>
        <w:rPr>
          <w:rFonts w:hint="eastAsia" w:ascii="黑体" w:hAnsi="宋体" w:eastAsia="黑体" w:cs="Times New Roman"/>
          <w:b/>
          <w:bCs/>
          <w:color w:val="auto"/>
          <w:spacing w:val="-10"/>
          <w:sz w:val="36"/>
          <w:szCs w:val="36"/>
          <w:highlight w:val="none"/>
        </w:rPr>
        <w:sectPr>
          <w:footerReference r:id="rId9" w:type="default"/>
          <w:pgSz w:w="11910" w:h="16840"/>
          <w:pgMar w:top="1440" w:right="1080" w:bottom="1440" w:left="1080" w:header="720" w:footer="720" w:gutter="0"/>
          <w:pgNumType w:fmt="decimal" w:start="1"/>
          <w:cols w:space="720" w:num="1"/>
        </w:sectPr>
      </w:pPr>
      <w:r>
        <w:rPr>
          <w:rFonts w:hint="eastAsia" w:ascii="宋体" w:hAnsi="宋体" w:eastAsia="宋体" w:cs="宋体"/>
          <w:color w:val="auto"/>
          <w:spacing w:val="0"/>
          <w:sz w:val="21"/>
          <w:szCs w:val="21"/>
          <w:highlight w:val="none"/>
        </w:rPr>
        <w:t>若供应商提供虚假资料，一经查实作无效文件处理。上述评分办法均以</w:t>
      </w:r>
      <w:r>
        <w:rPr>
          <w:rFonts w:hint="eastAsia" w:ascii="宋体" w:hAnsi="宋体" w:cs="宋体"/>
          <w:color w:val="auto"/>
          <w:spacing w:val="0"/>
          <w:sz w:val="21"/>
          <w:szCs w:val="21"/>
          <w:highlight w:val="none"/>
          <w:lang w:eastAsia="zh-CN"/>
        </w:rPr>
        <w:t>招标</w:t>
      </w:r>
      <w:r>
        <w:rPr>
          <w:rFonts w:hint="eastAsia" w:ascii="宋体" w:hAnsi="宋体" w:eastAsia="宋体" w:cs="宋体"/>
          <w:color w:val="auto"/>
          <w:spacing w:val="0"/>
          <w:sz w:val="21"/>
          <w:szCs w:val="21"/>
          <w:highlight w:val="none"/>
        </w:rPr>
        <w:t>文件、评委的判断为准。</w:t>
      </w:r>
    </w:p>
    <w:p>
      <w:pPr>
        <w:spacing w:before="100" w:after="100" w:line="240" w:lineRule="auto"/>
        <w:jc w:val="center"/>
        <w:outlineLvl w:val="0"/>
        <w:rPr>
          <w:sz w:val="36"/>
          <w:szCs w:val="36"/>
          <w:highlight w:val="none"/>
        </w:rPr>
      </w:pPr>
      <w:bookmarkStart w:id="85" w:name="_Toc7054"/>
      <w:bookmarkStart w:id="86" w:name="_Toc21441"/>
      <w:bookmarkStart w:id="87" w:name="_Toc31376"/>
      <w:bookmarkStart w:id="88" w:name="_Toc44419900"/>
      <w:r>
        <w:rPr>
          <w:sz w:val="36"/>
          <w:szCs w:val="36"/>
          <w:highlight w:val="none"/>
        </w:rPr>
        <w:t>第四章 招标项目的技术规格、要求和数量等</w:t>
      </w:r>
      <w:bookmarkEnd w:id="85"/>
      <w:bookmarkEnd w:id="86"/>
      <w:bookmarkEnd w:id="87"/>
      <w:bookmarkEnd w:id="88"/>
    </w:p>
    <w:p>
      <w:pPr>
        <w:spacing w:before="0" w:after="0" w:line="360" w:lineRule="auto"/>
        <w:ind w:firstLine="241" w:firstLineChars="100"/>
        <w:outlineLvl w:val="1"/>
        <w:rPr>
          <w:rFonts w:hint="eastAsia" w:ascii="宋体" w:hAnsi="宋体" w:eastAsia="宋体" w:cs="宋体"/>
          <w:b/>
          <w:bCs/>
          <w:sz w:val="24"/>
          <w:szCs w:val="24"/>
          <w:highlight w:val="none"/>
        </w:rPr>
      </w:pPr>
      <w:bookmarkStart w:id="89" w:name="_Toc13206"/>
      <w:r>
        <w:rPr>
          <w:rFonts w:hint="eastAsia" w:ascii="宋体" w:hAnsi="宋体" w:eastAsia="宋体" w:cs="宋体"/>
          <w:b/>
          <w:bCs/>
          <w:sz w:val="24"/>
          <w:szCs w:val="24"/>
          <w:highlight w:val="none"/>
        </w:rPr>
        <w:t>一、项目概况</w:t>
      </w:r>
      <w:bookmarkEnd w:id="89"/>
    </w:p>
    <w:p>
      <w:pPr>
        <w:snapToGrid w:val="0"/>
        <w:spacing w:line="360" w:lineRule="auto"/>
        <w:ind w:firstLine="480" w:firstLineChars="200"/>
        <w:rPr>
          <w:rFonts w:hint="eastAsia" w:ascii="宋体" w:hAnsi="宋体" w:eastAsia="宋体" w:cs="宋体"/>
          <w:sz w:val="24"/>
          <w:highlight w:val="none"/>
          <w:u w:val="none"/>
          <w:lang w:eastAsia="zh-CN"/>
        </w:rPr>
      </w:pPr>
      <w:r>
        <w:rPr>
          <w:rFonts w:hint="eastAsia" w:ascii="宋体" w:hAnsi="宋体" w:eastAsia="宋体" w:cs="宋体"/>
          <w:sz w:val="24"/>
          <w:highlight w:val="none"/>
          <w:u w:val="none"/>
          <w:lang w:eastAsia="zh-CN"/>
        </w:rPr>
        <w:t>项目名称：力学小学等9所学校校园无线网改造项目</w:t>
      </w:r>
    </w:p>
    <w:p>
      <w:pPr>
        <w:pStyle w:val="2"/>
        <w:ind w:firstLine="480" w:firstLineChars="200"/>
        <w:rPr>
          <w:rFonts w:hint="eastAsia" w:ascii="宋体" w:hAnsi="宋体" w:eastAsia="宋体" w:cs="宋体"/>
          <w:highlight w:val="none"/>
          <w:lang w:eastAsia="zh-CN"/>
        </w:rPr>
      </w:pPr>
      <w:r>
        <w:rPr>
          <w:rFonts w:hint="eastAsia" w:ascii="宋体" w:hAnsi="宋体" w:eastAsia="宋体" w:cs="宋体"/>
          <w:sz w:val="24"/>
          <w:highlight w:val="none"/>
          <w:u w:val="none"/>
          <w:lang w:eastAsia="zh-CN"/>
        </w:rPr>
        <w:t>项目地点：江苏省南京市</w:t>
      </w:r>
    </w:p>
    <w:p>
      <w:pPr>
        <w:snapToGrid w:val="0"/>
        <w:spacing w:line="360" w:lineRule="auto"/>
        <w:ind w:firstLine="241" w:firstLineChars="100"/>
        <w:outlineLvl w:val="1"/>
        <w:rPr>
          <w:rFonts w:hint="eastAsia" w:ascii="宋体" w:hAnsi="宋体" w:eastAsia="宋体" w:cs="宋体"/>
          <w:sz w:val="24"/>
          <w:szCs w:val="24"/>
          <w:highlight w:val="none"/>
        </w:rPr>
      </w:pPr>
      <w:bookmarkStart w:id="90" w:name="_Toc9559"/>
      <w:r>
        <w:rPr>
          <w:rFonts w:hint="eastAsia" w:ascii="宋体" w:hAnsi="宋体" w:eastAsia="宋体" w:cs="宋体"/>
          <w:b/>
          <w:bCs/>
          <w:sz w:val="24"/>
          <w:szCs w:val="24"/>
          <w:highlight w:val="none"/>
          <w:lang w:eastAsia="zh-CN"/>
        </w:rPr>
        <w:t>二、</w:t>
      </w: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rPr>
        <w:t>实施要求（供应商需完全响应，在响应文件中提供承诺函，不接受负偏离）</w:t>
      </w:r>
      <w:bookmarkEnd w:id="90"/>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必须满足所有功能要求，有义务保证采购人系统的功能性和完整性，未在采购文件中明示的附配件，供应商应在响应时予以补充，本项目为“交钥匙”项目，如项目实施过程中因缺少线材辅料、配件或服务导致采购人系统无法正常运行，成交供应商须免费提供。</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2.供应商应及时与采购人联系，对本项目所有设备的规格等要求进一步确认后方可供货安装，并确保产品质量。</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3.签订合同后2023年9月15日前完成本项目，将所有设备安装到位通过验收并交付使用，严格按照响应文件与采购文件对比验收，保留邀请第三方质检部门验收的权利。</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4.供应商应为其项目实施人员办理各项保险，保险费由供应商承担，加强安全管理，严格操作规程，在货物运输、实施过程中如出现任何安全事故，责任由供应商承担。</w:t>
      </w:r>
    </w:p>
    <w:p>
      <w:pPr>
        <w:snapToGrid w:val="0"/>
        <w:spacing w:line="360" w:lineRule="auto"/>
        <w:ind w:firstLine="241" w:firstLineChars="100"/>
        <w:outlineLvl w:val="1"/>
        <w:rPr>
          <w:rFonts w:hint="eastAsia" w:ascii="宋体" w:hAnsi="宋体" w:eastAsia="宋体" w:cs="宋体"/>
          <w:b/>
          <w:bCs/>
          <w:sz w:val="24"/>
          <w:szCs w:val="24"/>
          <w:highlight w:val="none"/>
        </w:rPr>
      </w:pPr>
      <w:bookmarkStart w:id="91" w:name="_Toc32118"/>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w:t>
      </w: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rPr>
        <w:t>服务要求（供应商需完全响应，在响应文件中提供承诺函，不接受负偏离）</w:t>
      </w:r>
      <w:bookmarkEnd w:id="91"/>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交货地点：供应商负责将货物运到采购人指定地点，由供应商负责办理运输和装卸等，费用由供应商负责，由采购人组织验收，检验不合格或不符合质量要求，供应商除无条件退货、返工外，还应承担采购人的一切损失。供应商所提供的货物开箱后，如采购人发现有任何问题（如外观有损伤），供应商必须立即以同样型号的设备在采购人商定的时间内更换，确保其使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2.质保要求：供应商所供产品免费质保期不少于三年，从验收合格之日起计算，响应时需提供承诺函。</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（1）质保期内因设备本身缺陷造成各种故障应由供应商免费技术服务和维修。</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（2）供应商接到保修请求，维修应在2小时内响应，4小时内维修人员到达现场，必要时应向采购人提供应急备用设备。质保期后，供应商提供终生服务，保证零配件的供给。</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4.验收标准与要求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（1）项目实施完成，供应商应完成文档整理，竣工文档是验收的必要条件。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（2）验收的相关数据及中标产品信息，供应商应及时填入南京市教育装备与勤工俭学办公室网络管理平台。</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（3）申请验收前学校完成清点工作；逐项验收表、验收清单、项目总验收单必须平台打印带水印的表格，不可自己制定。</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（4）供应商在项目实施前需购买二维码，数据录入完毕，变更完成，绑定二维码绑定，并负责将其贴在产品的指定位置；完成设备识别码粘贴是验收的重要环节，未完成验收不予通过。</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5.培训要求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为需方提供免费培训服务，并指派专人负责与需方联系售后服务事宜。主要培训内容为货物的基本结构、性能、主要部件的构造及处理，日常使用操作、保养与管理、常见故障的排除、紧急情况的处理等，如需方</w:t>
      </w:r>
      <w:r>
        <w:rPr>
          <w:rFonts w:hint="eastAsia" w:ascii="宋体" w:hAnsi="宋体" w:cs="宋体"/>
          <w:sz w:val="24"/>
          <w:szCs w:val="24"/>
          <w:highlight w:val="none"/>
          <w:lang w:eastAsia="zh-CN"/>
        </w:rPr>
        <w:t>未</w:t>
      </w:r>
      <w:r>
        <w:rPr>
          <w:rFonts w:hint="eastAsia" w:ascii="宋体" w:hAnsi="宋体" w:eastAsia="宋体" w:cs="宋体"/>
          <w:sz w:val="24"/>
          <w:szCs w:val="24"/>
          <w:highlight w:val="none"/>
        </w:rPr>
        <w:t>使用过同类型货物，供应商还需就货物的功能对供应商人员进行相应的技术培训，培训地点主要在货物安装现场或由供应商安排。</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6.平台监管要求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1、投标人必须承诺接受“南京市教育装备项目管理平台”的信息化过程管理，在“南京市教育装备云服务平台”中公开投标文件、合同与合同清单，接受南京市教育、财政、审计等行政部门的网络在线监督。</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2、投标人必须承诺在履约过程中，严格按照“南京市教育装备项目管理平台”的技术与管理规范，在规定的时间节点，提供相应的合同履约资料，包括照片。</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3、投标人在合同履约过程中，必须通过“南京市教育装备项目管理平台”申请验收。验收不合格即记录在平台中，整改后验收仍不合格的，采购人有权依据法律追究合同责任方的责任。</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4、投标人必须承诺对所有进入固定资产的设备，按南京市的统一要求，通过“南京市教育装备项目管理平台”(南京市教育装备项目管理平台网址http://nj.cneefix.com)制作二维码标签，并张贴到设备上。</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5、投标人必须承诺通过“南京市教育装备项目管理平台”提供售后维护维保服务。</w:t>
      </w:r>
    </w:p>
    <w:p>
      <w:pPr>
        <w:keepNext w:val="0"/>
        <w:keepLines w:val="0"/>
        <w:pageBreakBefore w:val="0"/>
        <w:widowControl/>
        <w:kinsoku/>
        <w:wordWrap/>
        <w:overflowPunct/>
        <w:topLinePunct w:val="0"/>
        <w:autoSpaceDE/>
        <w:autoSpaceDN/>
        <w:bidi w:val="0"/>
        <w:adjustRightInd/>
        <w:snapToGrid w:val="0"/>
        <w:spacing w:line="360" w:lineRule="auto"/>
        <w:ind w:firstLine="241" w:firstLineChars="100"/>
        <w:textAlignment w:val="baseline"/>
        <w:outlineLvl w:val="1"/>
        <w:rPr>
          <w:rFonts w:hint="eastAsia" w:ascii="宋体" w:hAnsi="宋体" w:eastAsia="宋体" w:cs="宋体"/>
          <w:b/>
          <w:bCs/>
          <w:sz w:val="24"/>
          <w:szCs w:val="24"/>
          <w:highlight w:val="none"/>
        </w:rPr>
      </w:pPr>
      <w:bookmarkStart w:id="92" w:name="_Toc7203"/>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w:t>
      </w: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rPr>
        <w:t>付款方式</w:t>
      </w:r>
      <w:bookmarkEnd w:id="92"/>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签订合同后60个日历日内付款，采购人向供应商支付合同金额的30%作为预付款；</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施工、安装、调试完毕，学校接收并全系统正常运行1周后，由南京市鼓楼区教师发展中心职能部门组织验收，验收合格后，供应商开具符合财务规定的全款正式发票，自采购人收到发票后10个工作日内，向供应商支付剩余全部款项。</w:t>
      </w:r>
    </w:p>
    <w:p>
      <w:pPr>
        <w:rPr>
          <w:rFonts w:hint="eastAsia" w:ascii="宋体" w:hAnsi="宋体" w:eastAsia="宋体" w:cs="宋体"/>
          <w:b/>
          <w:bCs/>
          <w:sz w:val="24"/>
          <w:szCs w:val="24"/>
          <w:highlight w:val="none"/>
          <w:lang w:eastAsia="zh-CN"/>
        </w:rPr>
        <w:sectPr>
          <w:footerReference r:id="rId11" w:type="first"/>
          <w:footerReference r:id="rId10" w:type="default"/>
          <w:pgSz w:w="11906" w:h="16838"/>
          <w:pgMar w:top="1157" w:right="1253" w:bottom="1157" w:left="1253" w:header="794" w:footer="737" w:gutter="0"/>
          <w:pgNumType w:fmt="decimal"/>
          <w:cols w:space="720" w:num="1"/>
          <w:titlePg/>
          <w:docGrid w:type="lines" w:linePitch="312" w:charSpace="0"/>
        </w:sectPr>
      </w:pPr>
    </w:p>
    <w:p>
      <w:pPr>
        <w:outlineLvl w:val="1"/>
        <w:rPr>
          <w:rFonts w:hint="eastAsia" w:ascii="宋体" w:hAnsi="宋体" w:eastAsia="宋体" w:cs="宋体"/>
          <w:b/>
          <w:bCs/>
          <w:sz w:val="24"/>
          <w:szCs w:val="24"/>
          <w:highlight w:val="none"/>
          <w:lang w:eastAsia="zh-CN"/>
        </w:rPr>
      </w:pPr>
      <w:bookmarkStart w:id="93" w:name="_Toc32112"/>
      <w:r>
        <w:rPr>
          <w:rFonts w:hint="eastAsia" w:ascii="宋体" w:hAnsi="宋体" w:eastAsia="宋体" w:cs="宋体"/>
          <w:b/>
          <w:bCs/>
          <w:sz w:val="24"/>
          <w:szCs w:val="24"/>
          <w:highlight w:val="none"/>
          <w:lang w:eastAsia="zh-CN"/>
        </w:rPr>
        <w:t>五、采购设备清单</w:t>
      </w:r>
      <w:bookmarkEnd w:id="93"/>
    </w:p>
    <w:p>
      <w:pPr>
        <w:rPr>
          <w:rFonts w:hint="eastAsia" w:ascii="宋体" w:hAnsi="宋体" w:eastAsia="宋体" w:cs="宋体"/>
          <w:b/>
          <w:bCs/>
          <w:sz w:val="24"/>
          <w:szCs w:val="24"/>
          <w:highlight w:val="none"/>
          <w:lang w:eastAsia="zh-CN"/>
        </w:rPr>
      </w:pPr>
    </w:p>
    <w:tbl>
      <w:tblPr>
        <w:tblStyle w:val="20"/>
        <w:tblW w:w="14196" w:type="dxa"/>
        <w:tblInd w:w="-1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1575"/>
        <w:gridCol w:w="7508"/>
        <w:gridCol w:w="1165"/>
        <w:gridCol w:w="531"/>
        <w:gridCol w:w="525"/>
        <w:gridCol w:w="951"/>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力学小学等9所学校校园无线网改造项目需求清单控制价</w:t>
            </w:r>
          </w:p>
        </w:tc>
        <w:tc>
          <w:tcPr>
            <w:tcW w:w="1169" w:type="dxa"/>
            <w:tcBorders>
              <w:left w:val="nil"/>
              <w:bottom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一、力学小学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无线控制器1</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支持管理AP最大数量≥384个，集中转发性能≥10Gbps；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提供≥16个千兆电口，≥8个千兆光口，≥2个万兆兆光口；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支持MAC 地址认证、802.1x认证、Portal认证、MAC+Portal混合认证、WAPI认证，支持WPA标准、WEP(WEP64/WEP128)、TKIP、CCMP；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4、需支持IPV6 SAVI功能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5、▲需支持AC内漫游，支持跨AC间漫游，支持跨VLAN的三层漫游，支持基于802.11k/802.11v/802.11r协议的智能漫游，提供具有 CNAS 或 CMA 标识的检测报告证明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6、▲支持基于空口利用率的SSID自动隐藏功能，当空口繁忙程度达到或超过配置的阈值时，SSID自动隐藏，为用户提供稳定可靠的无线服务，提供具有 CNAS 或 CMA 标识的检测报告证明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7、▲具有雷达检测SSID逃生功能：AC、AP支持SSID自主逃生，当AP射频检测到雷达信号时，会将本射频的SSID迁移到其他射频，保障关键业务正常通信，提供具有 CNAS 或 CMA 标识的检测报告证明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8、需支持对广播组播报文的优化，可对arp/dhcp/ipv6报文有针对性丢弃、代答、转发和限速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9、▲所投设备需具备进网许可证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配置冗余电源；</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无线AP授权1</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无线控制器license授权函-管理128AP-企业网专用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汇聚交换机</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1.▲整机要求：交换容量≥12Tbps､转发性能≥720Mpps；接口要求：固化48个1G/10G SFP+接口，2个QSFP+接口；配置要求：模块化电源≥2｡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2.IP路由，支持IPV4､IPV6路由;支持RIP,OSPF,BGP,RIPng,OSPFv3,BGP4+；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3.组播，支持IGMP Snooping v1/v2/v3,MLD Snooping v1/v2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4.可靠性：支持VRRPv2/v3（虚拟路由冗余协议)；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5.风扇：模块化双风扇，前/后通风，风道可调；风扇≥2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6.性能：路由表容量≥16K；ARP≥16K；MAC地址表≥64K；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7.▲所投设备需具备进网许可证</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 万兆模块(1310nm,10km,LC)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单模光模块，SFP-GE-(1310nm,10km,LC接口)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24口POE交换机1</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24个10/100/1000Base-T以太网端口，4个万兆SFP+端口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交换容量330Gbps，整机包转发率108Mpps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支持基于端口的VLAN，支持VLAN VPN（QinQ），支持Voice VLAN，支持协议VLAN，支持MAC VLAN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支持STP/RSTP/MSTP，支持Smart Link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▲支持SDN，支持OpenFlow 1.3标准，提供含链接的官网截图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▲支持终端准入控制功能，配合后台系统可以将网络安全措施整合为一个联动的安全体系，提升网络对病毒、蠕虫等安全威胁的整体防御能力，提供含链接的官网截图</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1、采用整机三频6流设计，可工作在802.11a/b/g/n/ac/ac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2、▲整机协商速率≥5.375Gbps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3、≥2个接口，其中1个100/1000M/2.5G电口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4、内置蓝牙5.1/RFID/Zigbee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5、支持IPv4/IPv6双协议栈</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3、支持全向天线信号覆盖，提供更广阔的无线覆盖范围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4、内置高增益定向天线设计，且支持外置天线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5、≥3个接口，其中1个10/100/1000M光口接口，2个100/1000M电口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6、内置BLE5.1/RFID/Zigbee, 支持10个外置物联网模块链式扩展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7、满足IP68防护等级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机架式竖排PDU,12位国标防浪涌机柜专用插座，16A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六类4对低烟无卤非屏蔽网线，305米/箱</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六类非屏蔽RJ45，100个/盒</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12或24口 19''标准机架式，含耦合器。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 ST-PC。3米/根</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光纤尾纤9/125UM熔接。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光缆施工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12芯室外单模阻燃光缆施工。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二、凤凰花园城小学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1、无线控制器license授权函-管理16AP-企业网专用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2、★支持注册到学校原有无线控制器中；</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单模光模块，SFP-GE-(1310nm,10km,LC接口)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24口POE交换机2(核心产品)</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1、≥24个10/100/1000Base-T以太网端口，≥4个千兆SFP+端口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2、交换容量≥330Gbps，整机包转发率≥96Mpps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4、需支持基于端口的VLAN(4K个)，支持VLAN VPN（QinQ），支持Voice VLAN，支持协议VLAN，支持MAC VLAN，支持GVRP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5、需支持DHCP client，支持DHCP Snooping，支持 DHCP Relay，支持DHCP Snooping trust，支持DHCP Snooping option 82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6、需支持STP/RSTP/MSTP，支持Smart Link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8、需支持XModem/FTP/TFTP加载升级，需支持命令行接口（CLI），Telnet，需支持SNMPv1/v2/v3，WEB网管，支持IPv6 SNMP 和 IPv6 MIB</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1、采用整机三频6流设计，可工作在802.11a/b/g/n/ac/ac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2、整机协商速率≥5.375Gbps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3、≥2个接口，其中1个100/1000M/2.5G电口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4、内置蓝牙5.1/RFID/Zigbee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5、支持IPv4/IPv6双协议栈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三、汉江路小学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无线控制器2</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1、需支持管理AP最大数量≥144个，吞吐量≥10Gbps；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2、需提供≥8个千兆电口，≥2个千兆光口，≥2个2.5GE口；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3、需支持MAC 地址认证、802.1x认证、Portal认证、MAC+Portal混合认证、WAPI认证，支持WPA标准、WEP(WEP64/WEP128)、TKIP、CCMP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4、需支持IPV6 SAVI功能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5、需支持AC内漫游，支持跨AC间漫游，支持跨VLAN的三层漫游，支持基于802.11k/802.11v/802.11r协议的智能漫游。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6、支持基于空口利用率的SSID自动隐藏功能，当空口繁忙程度达到或超过配置的阈值时，SSID自动隐藏，为用户提供稳定可靠的无线服务。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7、具有雷达检测SSID逃生功能：AC、AP支持SSID自主逃生，当AP射频检测到雷达信号时，会将本射频的SSID迁移到其他射频，保障关键业务正常通信。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8、需支持对广播组播报文的优化，可对arp/dhcp/ipv6报文有针对性丢弃、代答、转发和限速</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无线AP授权3</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无线控制器license授权函-管理64AP-企业网专用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 万兆模块(1310nm,10km,LC)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24口万兆POE交换机1</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24个10/100/1000Base-T以太网端口，4个万兆SFP+端口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交换容量330Gbps，整机包转发率108Mpps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支持基于端口的VLAN，支持VLAN VPN（QinQ），支持Voice VLAN，支持协议VLAN，支持MAC VLAN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支持STP/RSTP/MSTP，支持Smart Link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 支持SDN，支持OpenFlow 1.3标准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支持终端准入控制功能，配合后台系统可以将网络安全措施整合为一个联动的安全体系，提升网络对病毒、蠕虫等安全威胁的整体防御能力</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1、采用整机三频6流设计，可工作在802.11a/b/g/n/ac/ac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2、整机协商速率≥5.375Gbps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3、≥2个接口，其中1个100/1000M/2.5G电口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4、内置蓝牙5.1/RFID/Zigbee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5、支持IPv4/IPv6双协议栈</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3、支持全向天线信号覆盖，提供更广阔的无线覆盖范围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4、内置高增益定向天线设计，且支持外置天线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5、≥3个接口，其中1个10/100/1000M光口接口，2个100/1000M电口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6、内置BLE5.1/RFID/Zigbee, 支持10个外置物联网模块链式扩展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7、满足IP68防护等级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nil"/>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12或24口 19''标准机架式，含耦合器。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 ST-PC。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光纤尾纤9/125UM熔接。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光缆施工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12芯室外单模阻燃光缆施工。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四、第二十九中学致远校区</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无线AP授权4</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1、无线控制器license授权函-管理32AP-企业网专用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2、支持注册到学校原有无线控制器中；</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单模光模块，SFP-GE-(1310nm,10km,LC接口)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1、≥24个10/100/1000Base-T以太网端口，≥4个千兆SFP+端口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2、交换容量≥330Gbps，整机包转发率≥96Mpps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4、需支持终端准入控制功能，配合后台系统可以将网络安全措施整合为一个联动的安全体系，提升网络对病毒、蠕虫等安全威胁的整体防御能力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5、需支持基于端口的VLAN(4K个)，支持VLAN VPN（QinQ），支持Voice VLAN，支持协议VLAN，支持MAC VLAN，支持GVRP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6、需支持IPv4和IPv6的三层路由功能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7、需支持XModem/FTP/TFTP加载升级，支持命令行接口（CLI），Telnet，支持SNMPv1/v2/v3，WEB网管，支持IPv6 SNMP 和 IPv6 MIB</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1、采用整机三频6流设计，可工作在802.11a/b/g/n/ac/ac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2、整机协商速率≥5.375Gbps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3、≥2个接口，其中1个100/1000M/2.5G电口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4、内置蓝牙5.1/RFID/Zigbee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5、支持IPv4/IPv6双协议栈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3、支持全向天线信号覆盖，提供更广阔的无线覆盖范围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4、内置高增益定向天线设计，且支持外置天线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5、≥3个接口，其中1个10/100/1000M光口接口，2个100/1000M电口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6、内置BLE5.1/RFID/Zigbee, 支持10个外置物联网模块链式扩展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7、满足IP68防护等级；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12或24口 19''标准机架式，含耦合器。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 ST-PC。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光纤尾纤9/125UM熔接。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光缆施工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12芯室外单模阻燃光缆施工。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五、象山小学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1、需支持管理AP最大数量≥144个，集中转发性能≥4Gbps；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2、需提供≥8个千兆电口，≥2个千兆光口，≥2个2.5GE口；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3、需支持MAC 地址认证、802.1x认证、Portal认证、MAC+Portal混合认证、WAPI认证，支持WPA标准、WEP(WEP64/WEP128)、TKIP、CCMP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4、需支持IPV6 SAVI功能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5、需支持AC内漫游，支持跨AC间漫游，支持跨VLAN的三层漫游，支持基于802.11k/802.11v/802.11r协议的智能漫游，提供工信部或下属实验室出具的第三方测试报告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6、为提高无线网络认证可靠性，无线控制器支持Portal认证逃生功能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7、需支持对广播组播报文的优化，可对arp/dhcp/ipv6报文有针对性丢弃、代答、转发和限速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8、所投设备需具备进网许可证</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无线AP授权3</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无线控制器license授权函-管理64AP-企业网专用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 万兆模块(1310nm,10km,LC)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24口POE交换机1</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24个10/100/1000Base-T以太网端口，4个万兆SFP+端口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交换容量330Gbps，整机包转发率108Mpps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支持基于端口的VLAN，支持VLAN VPN（QinQ），支持Voice VLAN，支持协议VLAN，支持MAC VLAN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支持STP/RSTP/MSTP，支持Smart Link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 支持SDN，支持OpenFlow 1.3标准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 支持终端准入控制功能，配合后台系统可以将网络安全措施整合为一个联动的安全体系，提升网络对病毒、蠕虫等安全威胁的整体防御能力 </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1、采用整机三频6流设计，可工作在802.11a/b/g/n/ac/ac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2、整机协商速率≥5.375Gbps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3、≥2个接口，其中1个100/1000M/2.5G电口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4、内置蓝牙5.1/RFID/Zigbee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5、支持IPv4/IPv6双协议栈</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3、支持全向天线信号覆盖，提供更广阔的无线覆盖范围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4、内置高增益定向天线设计，且支持外置天线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5、≥3个接口，其中1个10/100/1000M光口接口，2个100/1000M电口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6、内置BLE5.1/RFID/Zigbee, 支持10个外置物联网模块链式扩展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7、满足IP68防护等级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12或24口 19''标准机架式，含耦合器。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 ST-PC。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光纤尾纤9/125UM熔接。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光缆施工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12芯室外单模阻燃光缆施工。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六、民生街实验小学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无线AP授权4</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1、无线控制器license授权函-管理32AP-企业网专用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2、支持注册到学校原有无线控制器中；</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单模光模块，SFP-GE-(1310nm,10km,LC接口)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24口POE交换机2 </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1、≥24个10/100/1000Base-T以太网端口，≥4个千兆SFP+端口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2、交换容量≥330Gbps，整机包转发率≥96Mpps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4、需支持终端准入控制功能，配合后台系统可以将网络安全措施整合为一个联动的安全体系，提升网络对病毒、蠕虫等安全威胁的整体防御能力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5、需支持基于端口的VLAN(4K个)，支持VLAN VPN（QinQ），支持Voice VLAN，支持协议VLAN，支持MAC VLAN，支持GVRP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6、需支持IPv4和IPv6的三层路由功能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7、需支持XModem/FTP/TFTP加载升级，支持命令行接口（CLI），Telnet，支持SNMPv1/v2/v3，WEB网管，支持IPv6 SNMP 和 IPv6 MIB</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本项小计</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七、紫竹苑小学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上网行为管理</w:t>
            </w:r>
          </w:p>
        </w:tc>
        <w:tc>
          <w:tcPr>
            <w:tcW w:w="75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配置6个千兆光口，2个千兆SFP口，最大可以扩展8个千兆接口，吞吐量≥10G，用户数≥500用户，最大可扩展至1000用户；支持PPPOE实名拨号服务，支持自动识别2～7层的网络流量并且自动加以分类，设备能够自动识别不少于800种以上常见的应用或者协议，对使用非标准端口的FTP，HTTP等流量能够正确识别；对加密P2P采用主动探测技术进行处理，支持应用层流量和并发数控制，支持应用层负责均衡，支持共享用户查询及管理功能，支持手机等智能终端的识别和控制，支持基于用户数选择不同策略: 根据不同用户数选用不同带宽管理策略，最大限度的利用带宽，支持DNS牵引服务、PPPOE服务器、WEB认证及微信认证服务，提供日志分析审计软件，日志会话内容包含5元组：会话起始和结束时间、应用协议标识和上下行应用流量、URL访问日志、QQ登陆退出等事件日志、MSN登陆事件日志、DNS查询事件日志、POP3登陆事件日志、淘宝登录账号、新浪微博账号和腾讯微博账号登录事件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2、提供三年原厂质保服务承诺函。</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单模光模块，SFP-GE-(1310nm,10km,LC接口)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1、≥24个10/100/1000Base-T以太网端口，≥4个千兆SFP+端口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2、交换容量≥330Gbps，整机包转发率≥96Mpps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3、需支持POE+供电，整机供电功率不小于370W（AC）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4、需支持终端准入控制功能，配合后台系统可以将网络安全措施整合为一个联动的安全体系，提升网络对病毒、蠕虫等安全威胁的整体防御能力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5、需支持基于端口的VLAN(4K个)，支持VLAN VPN（QinQ），支持Voice VLAN，支持协议VLAN，支持MAC VLAN，支持GVRP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6、需支持IPv4和IPv6的三层路由功能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7、需支持XModem/FTP/TFTP加载升级，支持命令行接口（CLI），Telnet，支持SNMPv1/v2/v3，WEB网管，支持IPv6 SNMP 和 IPv6 MIB</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2、整机协商速率≥2.975Gbps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3、≥2个接口，其中1个2.5G光口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4、支持物联网，内置BLE5.1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5、支持壁挂、吸顶和面板安装方式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不低于以下配置：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2、整机协商速率≥2.4Gbps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3、支持全向天线信号覆盖，提供更广阔的无线覆盖范围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4、内置高增益定向天线设计，且支持外置天线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5、≥3个接口，其中1个10/100/1000M光口接口，2个100/1000M电口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6、内置BLE5.1/RFID/Zigbee, 支持10个外置物联网模块链式扩展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7、满足IP68防护等级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12或24口 19''标准机架式，含耦合器。</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 ST-PC。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光纤尾纤9/125UM熔接。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光缆施工</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12芯室外单模阻燃光缆施工。</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八、力人中学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无线AP授权5</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1、无线控制器license授权函-管理64P-企业网专用；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2、★支持注册到学校原有无线控制器中；</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 万兆模块(1310nm,10km,LC)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24口POE交换机3</w:t>
            </w:r>
          </w:p>
        </w:tc>
        <w:tc>
          <w:tcPr>
            <w:tcW w:w="75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1、交换容量≥336Gbps，包转发率≥96Mpps；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2、支持24个千兆电口，4个万兆光口，支持PoE+，整机PoE输出功率380W；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3、支持标准USB接口，支持U盘快速开局；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4、支持MAC地址≥32K,ARP表项≥4K,IPV4路由规格≥4K,IPV6路由规格≥1K；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5、支持4K个VLAN，支持Voice VLAN，基于端口的VLAN，基于MAC的VLAN，基于协议的VLAN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6、支持RIP、RIPng、OSPF、OSPFv3路由协议；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7、支持DHCPv6Snooping，DAI，SAVI等安全特性；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8、支持以太网环网保护协议ERPS，故障倒换时间小于50ms；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9、支持纵向虚拟化，作为纵向子节点零配置即插即用；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10、支持音视频业务的智能运维，将设备作为监控节点周期统计并上报音视频业务类指标参数至网络分析组件引擎</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4x4 MU-MIMO，2.4GHz射频支持802.11ax 2x2 MU-MIMO；总空间流数≥6；整机速率≥5Gbps；支持GE自适应以太口≥2。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2、内置智能天线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3、内置蓝牙5.0，可实现蓝牙终端精确定位，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4、支持leader AP，无需WAC可小型组网；支持蓝牙串口远距无线运维；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5、支持AP本地转发（又称直接转发）时，应用识别和QOS分类，针对业界常用的Skypes、QQ、微信等应用，能显著提升语音质量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6、支持频谱分析功能，对蓝牙设备、数字无绳电话、无线音频发射器、游戏手柄和微波炉等干扰源进行识别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7、支持云管理模式，在不更换硬件的情况下，可支持切换到云模式，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8、支持硬件加密，DTLS及Ipsec加密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6x6 MU-MIMO，2.4GHz射频支持802.11ax 4x4 MU-MIMO ；总空间流数≥10；整机速率≥8.35Gbps；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2、支持通过额外购买license扩展到12条空间流，整机速率可扩展到10.75 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3、支持1个独立扫描射频，实现2.4G/5G全频谱扫描，实时检测识别非法设备和干扰源。如果不支持，需要额外配置一个双频AP来实现该功能；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4、支持1个10GE电口，1个GE电口，1个10GE光口；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5、内置智能天线；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6、内置蓝牙5.0，可实现蓝牙终端精确定位，支持蓝牙串口远距无线运维；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7、支持leader AP，无需WAC可小型组网；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8、支持AP本地转发（又称直接转发）时，应用识别和QOS分类，针对业界常用的Skypes、QQ、微信等应用，能显著提升语音质量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9、支持频谱分析功能，对婴儿监视器BabyMonitor、蓝牙设备、数字无绳电话、无线音频发射器、游戏手柄和微波炉等干扰源进行识别；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10、支持内置物联网槽位，可以支持Zigbee/RFID/Thread等PCIE插卡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4x4 MU-MIMO，2.4GHz射频支持802.11ax 4x4 MU-MIMO；总空间流数≥8；整机速率≥5Gbps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2、支持5GE电口≥1，GE电口≥1，支持10G光口≥1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3、工作温度：-40°C~65°C，支持IP68防水防尘等级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4、外置天线，实配4根全向外置天线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5、内置蓝牙5.0，可实现蓝牙终端精确定位，支持蓝牙串口远距无线运维6、支持频谱分析功能，对婴儿监视器BabyMonitor、蓝牙设备、数字无绳电话、无线音频发射器、游戏手柄和微波炉等干扰源进行识别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7、支持硬件加密，DTLS及Ipsec加密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九、力人小学</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一、无线网络设备</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无线AP授权5</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1、无线控制器license授权函-管理64P-企业网专用；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2、支持注册到学校原有无线控制器中；</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万兆光纤模块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SFP+ 万兆模块(1310nm,10km,LC)</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24口POE交换机3</w:t>
            </w:r>
          </w:p>
        </w:tc>
        <w:tc>
          <w:tcPr>
            <w:tcW w:w="75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1、交换容量≥336Gbps，包转发率≥96Mpps；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2、支持24个千兆电口，4个万兆光口，支持PoE+，整机PoE输出功率380W；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3、支持标准USB接口，支持U盘快速开局；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4、支持MAC地址≥32K,ARP表项≥4K,IPV4路由规格≥4K,IPV6路由规格≥1K；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5、支持4K个VLAN，支持Voice VLAN，基于端口的VLAN，基于MAC的VLAN，基于协议的VLAN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6、支持RIP、RIPng、OSPF、OSPFv3路由协议；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7、支持DHCPv6Snooping，DAI，SAVI等安全特性；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8、支持以太网环网保护协议ERPS，故障倒换时间小于50ms；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9、支持纵向虚拟化，作为纵向子节点零配置即插即用；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10、支持音视频业务的智能运维，将设备作为监控节点周期统计并上报音视频业务类指标参数至网络分析组件引擎</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4x4 MU-MIMO，2.4GHz射频支持802.11ax 2x2 MU-MIMO；总空间流数≥6；整机速率≥5Gbps；支持GE自适应以太口≥2。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2、内置智能天线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3、内置蓝牙5.0，可实现蓝牙终端精确定位，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4、支持leader AP，无需WAC可小型组网；支持蓝牙串口远距无线运维；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5、支持AP本地转发（又称直接转发）时，应用识别和QOS分类，针对业界常用的Skypes、QQ、微信等应用，能显著提升语音质量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6、支持频谱分析功能，对蓝牙设备、数字无绳电话、无线音频发射器、游戏手柄和微波炉等干扰源进行识别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7、支持云管理模式，在不更换硬件的情况下，可支持切换到云模式，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8、支持硬件加密，DTLS及Ipsec加密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高密AP2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6x6 MU-MIMO，2.4GHz射频支持802.11ax 4x4 MU-MIMO ；总空间流数≥10；整机速率≥8.35Gbps；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2、支持通过额外购买license扩展到12条空间流，整机速率可扩展到10.75 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3、支持1个独立扫描射频，实现2.4G/5G全频谱扫描，实时检测识别非法设备和干扰源。如果不支持，需要额外配置一个双频AP来实现该功能；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4、支持1个10GE电口，1个GE电口，1个10GE光口；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5、内置智能天线；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6、内置蓝牙5.0，可实现蓝牙终端精确定位，支持蓝牙串口远距无线运维；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7、支持leader AP，无需WAC可小型组网；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8、支持AP本地转发（又称直接转发）时，应用识别和QOS分类，针对业界常用的Skypes、QQ、微信等应用，能显著提升语音质量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9、支持频谱分析功能，对婴儿监视器BabyMonitor、蓝牙设备、数字无绳电话、无线音频发射器、游戏手柄和微波炉等干扰源进行识别；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10、支持内置物联网槽位，可以支持Zigbee/RFID/Thread等PCIE插卡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室外AP2</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1、支持802.11ax标准，支持2.4GHz/5GHz双频段同时工作。5GHz射频支持802.11ax 4x4 MU-MIMO，2.4GHz射频支持802.11ax 4x4 MU-MIMO；总空间流数≥8；整机速率≥5Gbps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2、支持5GE电口≥1，GE电口≥1，支持10G光口≥1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3、工作温度：-40°C~65°C，支持IP68防水防尘等级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4、外置天线，实配4根全向外置天线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5、内置蓝牙5.0，可实现蓝牙终端精确定位，支持蓝牙串口远距无线运维6、支持频谱分析功能，对婴儿监视器BabyMonitor、蓝牙设备、数字无绳电话、无线音频发射器、游戏手柄和微波炉等干扰源进行识别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7、支持硬件加密，DTLS及Ipsec加密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8、支持学校原有无线控制器管理。</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华为、H3C、锐捷等同档次及以上</w:t>
            </w:r>
          </w:p>
        </w:tc>
        <w:tc>
          <w:tcPr>
            <w:tcW w:w="5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理线环</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19寸标准机架式</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多模 LC--LC接口</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PDU</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机架式PDU,8位国标10A</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室内AP\高密AP\室外AP</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1、设备安装、技术调试、系统集成架构服务等费；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2、中心设备安装、调试费；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076"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二、无线网络配套综合布线</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网络双绞线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六类4对低烟无卤非屏蔽网线，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网络模块</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六类，非屏蔽RJ45模块插座</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配线架</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24口六类非屏蔽RJ45模块化配线架</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理线器</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19″水平理线器，1U，</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2米跳线，成品 六类非屏蔽双绞线采用4对软线</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六类非屏蔽RJ45</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线槽线管</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PVC20\25，PVC3CM\4CM\6CM线槽</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辅材</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线标\胶带\膨胀管等布线材料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线路施工费</w:t>
            </w:r>
          </w:p>
        </w:tc>
        <w:tc>
          <w:tcPr>
            <w:tcW w:w="7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线路铺设、布线、模块、面板、配线架安装、调试等，根据用户要求对该子项清单中所有设备进行安装调试到位。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1"/>
                <w:szCs w:val="21"/>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027" w:type="dxa"/>
            <w:gridSpan w:val="7"/>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169" w:type="dxa"/>
            <w:tcBorders>
              <w:top w:val="single" w:color="000000" w:sz="4" w:space="0"/>
              <w:left w:val="single" w:color="000000" w:sz="4" w:space="0"/>
              <w:bottom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55" w:type="dxa"/>
            <w:gridSpan w:val="3"/>
            <w:tcBorders>
              <w:top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以上报价含辅材、人工、管理、利润、税金、系统调试、脚手架、人员维护培训等费用。所有更换设备与原有设备对接必须兼容,设备类产品含三年质保。</w:t>
            </w:r>
          </w:p>
        </w:tc>
        <w:tc>
          <w:tcPr>
            <w:tcW w:w="1165" w:type="dxa"/>
            <w:tcBorders>
              <w:top w:val="single" w:color="000000" w:sz="4" w:space="0"/>
              <w:left w:val="nil"/>
              <w:right w:val="nil"/>
            </w:tcBorders>
            <w:shd w:val="clear" w:color="auto" w:fill="FFFFFF"/>
            <w:noWrap w:val="0"/>
            <w:vAlign w:val="center"/>
          </w:tcPr>
          <w:p>
            <w:pPr>
              <w:jc w:val="center"/>
              <w:rPr>
                <w:rFonts w:hint="eastAsia" w:ascii="宋体" w:hAnsi="宋体" w:eastAsia="宋体" w:cs="宋体"/>
                <w:i w:val="0"/>
                <w:iCs w:val="0"/>
                <w:color w:val="FF0000"/>
                <w:sz w:val="21"/>
                <w:szCs w:val="21"/>
                <w:highlight w:val="none"/>
                <w:u w:val="none"/>
              </w:rPr>
            </w:pPr>
          </w:p>
        </w:tc>
        <w:tc>
          <w:tcPr>
            <w:tcW w:w="2007" w:type="dxa"/>
            <w:gridSpan w:val="3"/>
            <w:tcBorders>
              <w:top w:val="single" w:color="000000" w:sz="4" w:space="0"/>
              <w:left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总计</w:t>
            </w:r>
          </w:p>
        </w:tc>
        <w:tc>
          <w:tcPr>
            <w:tcW w:w="1169" w:type="dxa"/>
            <w:tcBorders>
              <w:top w:val="single" w:color="000000" w:sz="4" w:space="0"/>
              <w:lef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bl>
    <w:p>
      <w:pPr>
        <w:pStyle w:val="2"/>
        <w:rPr>
          <w:rFonts w:hint="eastAsia"/>
          <w:highlight w:val="none"/>
          <w:lang w:eastAsia="zh-CN"/>
        </w:rPr>
        <w:sectPr>
          <w:pgSz w:w="16838" w:h="11906" w:orient="landscape"/>
          <w:pgMar w:top="1253" w:right="1157" w:bottom="1253" w:left="1157" w:header="794" w:footer="737" w:gutter="0"/>
          <w:pgNumType w:fmt="decimal"/>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360" w:lineRule="auto"/>
        <w:ind w:firstLine="241" w:firstLineChars="100"/>
        <w:textAlignment w:val="baseline"/>
        <w:outlineLvl w:val="1"/>
        <w:rPr>
          <w:rFonts w:hint="eastAsia" w:ascii="宋体" w:hAnsi="宋体" w:eastAsia="宋体" w:cs="宋体"/>
          <w:b/>
          <w:bCs/>
          <w:sz w:val="24"/>
          <w:szCs w:val="24"/>
          <w:highlight w:val="none"/>
        </w:rPr>
      </w:pPr>
      <w:bookmarkStart w:id="94" w:name="_Toc19009"/>
      <w:r>
        <w:rPr>
          <w:rFonts w:hint="eastAsia" w:ascii="宋体" w:hAnsi="宋体" w:eastAsia="宋体" w:cs="宋体"/>
          <w:b/>
          <w:bCs/>
          <w:sz w:val="24"/>
          <w:szCs w:val="24"/>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rPr>
        <w:t>其他</w:t>
      </w:r>
      <w:bookmarkEnd w:id="94"/>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报价中含清单所列及安装、运输、送货等与本项目相关的一切费用，本项目单项报价含税。供应商任何错漏、优惠、报价不得作为减轻责任、减少服务、增加收费、降低质量的理由。</w:t>
      </w:r>
    </w:p>
    <w:p>
      <w:pPr>
        <w:spacing w:line="360" w:lineRule="auto"/>
        <w:ind w:firstLine="241" w:firstLineChars="100"/>
        <w:jc w:val="left"/>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pPr>
        <w:spacing w:line="360" w:lineRule="auto"/>
        <w:ind w:firstLine="482" w:firstLineChars="200"/>
        <w:jc w:val="left"/>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1、本章加“★”号要求均为实质性要求，不允许负偏离，否则作为无效投标。</w:t>
      </w:r>
      <w:r>
        <w:rPr>
          <w:rFonts w:hint="eastAsia" w:ascii="宋体" w:hAnsi="宋体"/>
          <w:b/>
          <w:bCs/>
          <w:sz w:val="24"/>
          <w:highlight w:val="none"/>
        </w:rPr>
        <w:t>加“▲”号要求为重要参数，其余为一般参数。</w:t>
      </w:r>
    </w:p>
    <w:p>
      <w:pPr>
        <w:outlineLvl w:val="9"/>
        <w:rPr>
          <w:sz w:val="36"/>
          <w:szCs w:val="36"/>
          <w:highlight w:val="none"/>
        </w:rPr>
      </w:pPr>
      <w:bookmarkStart w:id="95" w:name="_Toc15987"/>
      <w:bookmarkStart w:id="96" w:name="_Toc44419901"/>
      <w:r>
        <w:rPr>
          <w:sz w:val="36"/>
          <w:szCs w:val="36"/>
          <w:highlight w:val="none"/>
        </w:rPr>
        <w:br w:type="page"/>
      </w:r>
    </w:p>
    <w:p>
      <w:pPr>
        <w:spacing w:before="100" w:after="100" w:line="240" w:lineRule="auto"/>
        <w:jc w:val="center"/>
        <w:outlineLvl w:val="0"/>
        <w:rPr>
          <w:sz w:val="36"/>
          <w:szCs w:val="36"/>
          <w:highlight w:val="none"/>
        </w:rPr>
      </w:pPr>
      <w:bookmarkStart w:id="97" w:name="_Toc331"/>
      <w:bookmarkStart w:id="98" w:name="_Toc22418"/>
      <w:r>
        <w:rPr>
          <w:sz w:val="36"/>
          <w:szCs w:val="36"/>
          <w:highlight w:val="none"/>
        </w:rPr>
        <w:t>第五章 合同主要条款及格式</w:t>
      </w:r>
      <w:bookmarkEnd w:id="95"/>
      <w:bookmarkEnd w:id="96"/>
      <w:bookmarkEnd w:id="97"/>
      <w:bookmarkEnd w:id="98"/>
    </w:p>
    <w:p>
      <w:pPr>
        <w:spacing w:line="360" w:lineRule="auto"/>
        <w:jc w:val="center"/>
        <w:rPr>
          <w:rFonts w:eastAsia="黑体"/>
          <w:b/>
          <w:bCs/>
          <w:color w:val="auto"/>
          <w:sz w:val="44"/>
          <w:szCs w:val="44"/>
          <w:highlight w:val="none"/>
        </w:rPr>
      </w:pPr>
      <w:bookmarkStart w:id="99" w:name="_Toc16938559"/>
      <w:bookmarkStart w:id="100" w:name="_Toc513029243"/>
      <w:bookmarkStart w:id="101" w:name="_Toc20823315"/>
    </w:p>
    <w:p>
      <w:pPr>
        <w:spacing w:line="360" w:lineRule="auto"/>
        <w:jc w:val="center"/>
        <w:rPr>
          <w:rFonts w:hint="eastAsia" w:eastAsia="黑体"/>
          <w:b/>
          <w:bCs/>
          <w:color w:val="auto"/>
          <w:sz w:val="44"/>
          <w:szCs w:val="44"/>
          <w:highlight w:val="none"/>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（供参考）</w:t>
      </w: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项目编号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pPr>
        <w:spacing w:line="360" w:lineRule="auto"/>
        <w:jc w:val="left"/>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项目名称 ：</w:t>
      </w:r>
      <w:r>
        <w:rPr>
          <w:rFonts w:hint="eastAsia" w:ascii="宋体" w:hAnsi="宋体" w:eastAsia="宋体" w:cs="宋体"/>
          <w:b/>
          <w:color w:val="auto"/>
          <w:sz w:val="28"/>
          <w:szCs w:val="28"/>
          <w:highlight w:val="none"/>
          <w:u w:val="single"/>
          <w:lang w:val="en-US" w:eastAsia="zh-CN"/>
        </w:rPr>
        <w:t xml:space="preserve">               </w:t>
      </w:r>
    </w:p>
    <w:p>
      <w:pPr>
        <w:spacing w:line="360" w:lineRule="auto"/>
        <w:jc w:val="left"/>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采购单位 ：</w:t>
      </w:r>
      <w:r>
        <w:rPr>
          <w:rFonts w:hint="eastAsia" w:ascii="宋体" w:hAnsi="宋体" w:eastAsia="宋体" w:cs="宋体"/>
          <w:b/>
          <w:color w:val="auto"/>
          <w:sz w:val="28"/>
          <w:szCs w:val="28"/>
          <w:highlight w:val="none"/>
          <w:u w:val="single"/>
          <w:lang w:val="en-US" w:eastAsia="zh-CN"/>
        </w:rPr>
        <w:t xml:space="preserve">               </w:t>
      </w:r>
    </w:p>
    <w:p>
      <w:pPr>
        <w:spacing w:line="360" w:lineRule="auto"/>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成交单位 ：</w:t>
      </w:r>
      <w:r>
        <w:rPr>
          <w:rFonts w:hint="eastAsia" w:ascii="宋体" w:hAnsi="宋体" w:eastAsia="宋体" w:cs="宋体"/>
          <w:b/>
          <w:color w:val="auto"/>
          <w:sz w:val="28"/>
          <w:szCs w:val="28"/>
          <w:highlight w:val="none"/>
          <w:u w:val="single"/>
          <w:lang w:val="en-US" w:eastAsia="zh-CN"/>
        </w:rPr>
        <w:t xml:space="preserve">               </w:t>
      </w:r>
    </w:p>
    <w:p>
      <w:pPr>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签订日期 ：</w:t>
      </w:r>
      <w:r>
        <w:rPr>
          <w:rFonts w:hint="eastAsia" w:ascii="宋体" w:hAnsi="宋体" w:eastAsia="宋体" w:cs="宋体"/>
          <w:b/>
          <w:color w:val="auto"/>
          <w:sz w:val="28"/>
          <w:szCs w:val="28"/>
          <w:highlight w:val="none"/>
          <w:u w:val="single"/>
          <w:lang w:val="en-US" w:eastAsia="zh-CN"/>
        </w:rPr>
        <w:t xml:space="preserve">               </w:t>
      </w:r>
    </w:p>
    <w:p>
      <w:pPr>
        <w:jc w:val="left"/>
        <w:rPr>
          <w:color w:val="auto"/>
          <w:szCs w:val="21"/>
          <w:highlight w:val="none"/>
        </w:rPr>
        <w:sectPr>
          <w:pgSz w:w="12240" w:h="15840"/>
          <w:pgMar w:top="1440" w:right="1080" w:bottom="1440" w:left="1080" w:header="851" w:footer="992" w:gutter="0"/>
          <w:pgNumType w:fmt="decimal"/>
          <w:cols w:space="720" w:num="1"/>
          <w:docGrid w:linePitch="312" w:charSpace="0"/>
        </w:sect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采购合同（货物）</w:t>
      </w:r>
    </w:p>
    <w:p>
      <w:pPr>
        <w:jc w:val="center"/>
        <w:rPr>
          <w:rFonts w:hint="default" w:ascii="Calibri" w:hAnsi="Calibri" w:cs="Calibri"/>
          <w:color w:val="auto"/>
          <w:sz w:val="24"/>
          <w:szCs w:val="24"/>
          <w:highlight w:val="none"/>
        </w:rPr>
      </w:pPr>
      <w:r>
        <w:rPr>
          <w:rFonts w:hint="eastAsia" w:ascii="宋体" w:hAnsi="宋体" w:cs="宋体"/>
          <w:color w:val="auto"/>
          <w:highlight w:val="none"/>
        </w:rPr>
        <w:t xml:space="preserve">   </w:t>
      </w:r>
      <w:r>
        <w:rPr>
          <w:rFonts w:hint="default" w:ascii="Calibri" w:hAnsi="Calibri" w:cs="Calibri"/>
          <w:color w:val="auto"/>
          <w:sz w:val="24"/>
          <w:szCs w:val="24"/>
          <w:highlight w:val="none"/>
        </w:rPr>
        <w:t xml:space="preserve"> </w:t>
      </w:r>
    </w:p>
    <w:tbl>
      <w:tblPr>
        <w:tblStyle w:val="20"/>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360" w:lineRule="auto"/>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采购人（以下称甲方）</w:t>
            </w:r>
          </w:p>
        </w:tc>
        <w:tc>
          <w:tcPr>
            <w:tcW w:w="4643" w:type="dxa"/>
            <w:tcBorders>
              <w:top w:val="nil"/>
              <w:left w:val="nil"/>
              <w:bottom w:val="nil"/>
              <w:right w:val="nil"/>
            </w:tcBorders>
            <w:noWrap w:val="0"/>
            <w:vAlign w:val="top"/>
          </w:tcPr>
          <w:p>
            <w:pPr>
              <w:widowControl/>
              <w:adjustRightInd w:val="0"/>
              <w:spacing w:line="360" w:lineRule="auto"/>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供应商：（以下称乙方）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widowControl/>
              <w:adjustRightInd w:val="0"/>
              <w:spacing w:line="360" w:lineRule="auto"/>
              <w:rPr>
                <w:rFonts w:hint="default" w:ascii="Calibri" w:hAnsi="Calibri" w:cs="Calibri"/>
                <w:color w:val="auto"/>
                <w:sz w:val="24"/>
                <w:szCs w:val="24"/>
                <w:highlight w:val="none"/>
              </w:rPr>
            </w:pPr>
            <w:r>
              <w:rPr>
                <w:rFonts w:hint="default" w:ascii="Calibri" w:hAnsi="Calibri" w:cs="Calibri"/>
                <w:color w:val="auto"/>
                <w:sz w:val="24"/>
                <w:szCs w:val="24"/>
                <w:highlight w:val="none"/>
                <w:lang w:val="zh-CN"/>
              </w:rPr>
              <w:t>住所地：</w:t>
            </w:r>
          </w:p>
        </w:tc>
        <w:tc>
          <w:tcPr>
            <w:tcW w:w="4643" w:type="dxa"/>
            <w:tcBorders>
              <w:top w:val="nil"/>
              <w:left w:val="nil"/>
              <w:bottom w:val="nil"/>
              <w:right w:val="nil"/>
            </w:tcBorders>
            <w:noWrap w:val="0"/>
            <w:vAlign w:val="top"/>
          </w:tcPr>
          <w:p>
            <w:pPr>
              <w:widowControl/>
              <w:adjustRightInd w:val="0"/>
              <w:spacing w:line="360" w:lineRule="auto"/>
              <w:rPr>
                <w:rFonts w:hint="default" w:ascii="Calibri" w:hAnsi="Calibri" w:cs="Calibri"/>
                <w:color w:val="auto"/>
                <w:sz w:val="24"/>
                <w:szCs w:val="24"/>
                <w:highlight w:val="none"/>
              </w:rPr>
            </w:pPr>
            <w:r>
              <w:rPr>
                <w:rFonts w:hint="default" w:ascii="Calibri" w:hAnsi="Calibri" w:cs="Calibri"/>
                <w:color w:val="auto"/>
                <w:sz w:val="24"/>
                <w:szCs w:val="24"/>
                <w:highlight w:val="none"/>
                <w:lang w:val="zh-CN"/>
              </w:rPr>
              <w:t>住所地</w:t>
            </w:r>
            <w:r>
              <w:rPr>
                <w:rFonts w:hint="default" w:ascii="Calibri" w:hAnsi="Calibri" w:cs="Calibri"/>
                <w:color w:val="auto"/>
                <w:sz w:val="24"/>
                <w:szCs w:val="24"/>
                <w:highlight w:val="none"/>
              </w:rPr>
              <w:t>：</w:t>
            </w:r>
          </w:p>
        </w:tc>
      </w:tr>
    </w:tbl>
    <w:p>
      <w:pPr>
        <w:widowControl/>
        <w:spacing w:line="360" w:lineRule="auto"/>
        <w:rPr>
          <w:rFonts w:hint="default" w:ascii="Calibri" w:hAnsi="Calibri" w:cs="Calibri"/>
          <w:b/>
          <w:color w:val="auto"/>
          <w:sz w:val="24"/>
          <w:szCs w:val="24"/>
          <w:highlight w:val="none"/>
        </w:rPr>
      </w:pPr>
    </w:p>
    <w:p>
      <w:pPr>
        <w:widowControl/>
        <w:spacing w:line="360" w:lineRule="auto"/>
        <w:ind w:firstLine="615"/>
        <w:rPr>
          <w:rFonts w:hint="default" w:ascii="Calibri" w:hAnsi="Calibri" w:cs="Calibri"/>
          <w:color w:val="auto"/>
          <w:sz w:val="24"/>
          <w:szCs w:val="24"/>
          <w:highlight w:val="none"/>
          <w:lang w:eastAsia="zh-CN"/>
        </w:rPr>
      </w:pPr>
      <w:r>
        <w:rPr>
          <w:rFonts w:hint="default" w:ascii="Calibri" w:hAnsi="Calibri" w:cs="Calibri"/>
          <w:color w:val="auto"/>
          <w:sz w:val="24"/>
          <w:szCs w:val="24"/>
          <w:highlight w:val="none"/>
          <w:lang w:eastAsia="zh-CN"/>
        </w:rPr>
        <w:t>经采购代理机构招标采购，</w:t>
      </w:r>
      <w:r>
        <w:rPr>
          <w:rFonts w:hint="default" w:ascii="Calibri" w:hAnsi="Calibri" w:cs="Calibri"/>
          <w:color w:val="auto"/>
          <w:sz w:val="24"/>
          <w:szCs w:val="24"/>
          <w:highlight w:val="none"/>
          <w:lang w:val="zh-CN" w:eastAsia="zh-CN"/>
        </w:rPr>
        <w:t>根据《中华人民共和国民法典》等法律法规的规定，甲乙双方</w:t>
      </w:r>
      <w:r>
        <w:rPr>
          <w:rFonts w:hint="default" w:ascii="Calibri" w:hAnsi="Calibri" w:cs="Calibri"/>
          <w:color w:val="auto"/>
          <w:sz w:val="24"/>
          <w:szCs w:val="24"/>
          <w:highlight w:val="none"/>
          <w:lang w:eastAsia="zh-CN"/>
        </w:rPr>
        <w:t>同意就</w:t>
      </w:r>
      <w:r>
        <w:rPr>
          <w:rFonts w:hint="default" w:ascii="Calibri" w:hAnsi="Calibri" w:cs="Calibri"/>
          <w:color w:val="auto"/>
          <w:sz w:val="24"/>
          <w:szCs w:val="24"/>
          <w:highlight w:val="none"/>
          <w:u w:val="single"/>
          <w:lang w:eastAsia="zh-CN"/>
        </w:rPr>
        <w:t xml:space="preserve">  </w:t>
      </w:r>
      <w:r>
        <w:rPr>
          <w:rFonts w:hint="default" w:ascii="Calibri" w:hAnsi="Calibri" w:cs="Calibri"/>
          <w:b/>
          <w:color w:val="auto"/>
          <w:sz w:val="24"/>
          <w:szCs w:val="24"/>
          <w:highlight w:val="none"/>
          <w:u w:val="single"/>
          <w:lang w:eastAsia="zh-CN"/>
        </w:rPr>
        <w:t xml:space="preserve">       </w:t>
      </w:r>
      <w:r>
        <w:rPr>
          <w:rFonts w:hint="default" w:ascii="Calibri" w:hAnsi="Calibri" w:cs="Calibri"/>
          <w:color w:val="auto"/>
          <w:sz w:val="24"/>
          <w:szCs w:val="24"/>
          <w:highlight w:val="none"/>
          <w:u w:val="single"/>
          <w:lang w:eastAsia="zh-CN"/>
        </w:rPr>
        <w:t xml:space="preserve">    </w:t>
      </w:r>
      <w:r>
        <w:rPr>
          <w:rFonts w:hint="default" w:ascii="Calibri" w:hAnsi="Calibri" w:cs="Calibri"/>
          <w:b/>
          <w:color w:val="auto"/>
          <w:sz w:val="24"/>
          <w:szCs w:val="24"/>
          <w:highlight w:val="none"/>
          <w:u w:val="single"/>
          <w:lang w:eastAsia="zh-CN"/>
        </w:rPr>
        <w:t xml:space="preserve">    </w:t>
      </w:r>
      <w:r>
        <w:rPr>
          <w:rFonts w:hint="default" w:ascii="Calibri" w:hAnsi="Calibri" w:cs="Calibri"/>
          <w:color w:val="auto"/>
          <w:sz w:val="24"/>
          <w:szCs w:val="24"/>
          <w:highlight w:val="none"/>
          <w:u w:val="single"/>
          <w:lang w:eastAsia="zh-CN"/>
        </w:rPr>
        <w:t xml:space="preserve">     </w:t>
      </w:r>
      <w:r>
        <w:rPr>
          <w:rFonts w:hint="default" w:ascii="Calibri" w:hAnsi="Calibri" w:cs="Calibri"/>
          <w:color w:val="auto"/>
          <w:sz w:val="24"/>
          <w:szCs w:val="24"/>
          <w:highlight w:val="none"/>
          <w:lang w:eastAsia="zh-CN"/>
        </w:rPr>
        <w:t>项目按照以下条款和条件签定本合同（以下简称“合同”）：</w:t>
      </w:r>
    </w:p>
    <w:p>
      <w:pPr>
        <w:widowControl/>
        <w:adjustRightInd w:val="0"/>
        <w:spacing w:line="360" w:lineRule="auto"/>
        <w:ind w:firstLine="482" w:firstLineChars="200"/>
        <w:rPr>
          <w:rFonts w:hint="default" w:ascii="Calibri" w:hAnsi="Calibri" w:cs="Calibri"/>
          <w:color w:val="auto"/>
          <w:sz w:val="24"/>
          <w:szCs w:val="24"/>
          <w:highlight w:val="none"/>
          <w:lang w:val="zh-CN" w:eastAsia="zh-CN"/>
        </w:rPr>
      </w:pPr>
      <w:r>
        <w:rPr>
          <w:rFonts w:hint="default" w:ascii="Calibri" w:hAnsi="Calibri" w:cs="Calibri"/>
          <w:b/>
          <w:color w:val="auto"/>
          <w:sz w:val="24"/>
          <w:szCs w:val="24"/>
          <w:highlight w:val="none"/>
          <w:lang w:eastAsia="zh-CN"/>
        </w:rPr>
        <w:t>第一条、合同标的</w:t>
      </w:r>
      <w:r>
        <w:rPr>
          <w:rFonts w:hint="eastAsia" w:ascii="Calibri" w:hAnsi="Calibri" w:cs="Calibri"/>
          <w:b/>
          <w:color w:val="auto"/>
          <w:sz w:val="24"/>
          <w:szCs w:val="24"/>
          <w:highlight w:val="none"/>
          <w:lang w:val="en-US" w:eastAsia="zh-CN"/>
        </w:rPr>
        <w:t>：</w:t>
      </w:r>
      <w:r>
        <w:rPr>
          <w:rFonts w:hint="default" w:ascii="Calibri" w:hAnsi="Calibri" w:cs="Calibri"/>
          <w:color w:val="auto"/>
          <w:sz w:val="24"/>
          <w:szCs w:val="24"/>
          <w:highlight w:val="none"/>
          <w:lang w:val="zh-CN" w:eastAsia="zh-CN"/>
        </w:rPr>
        <w:t>乙方根据甲方需求提供下列货物：</w:t>
      </w:r>
      <w:r>
        <w:rPr>
          <w:rFonts w:hint="default" w:ascii="Calibri" w:hAnsi="Calibri" w:cs="Calibri"/>
          <w:color w:val="auto"/>
          <w:sz w:val="24"/>
          <w:szCs w:val="24"/>
          <w:highlight w:val="none"/>
          <w:u w:val="single"/>
          <w:lang w:val="zh-CN" w:eastAsia="zh-CN"/>
        </w:rPr>
        <w:t xml:space="preserve">                    </w:t>
      </w:r>
      <w:r>
        <w:rPr>
          <w:rFonts w:hint="default" w:ascii="Calibri" w:hAnsi="Calibri" w:cs="Calibri"/>
          <w:color w:val="auto"/>
          <w:sz w:val="24"/>
          <w:szCs w:val="24"/>
          <w:highlight w:val="none"/>
          <w:lang w:val="zh-CN" w:eastAsia="zh-CN"/>
        </w:rPr>
        <w:t>，货物名称、规格及数量详见乙方投标文件。</w:t>
      </w:r>
    </w:p>
    <w:p>
      <w:pPr>
        <w:autoSpaceDE w:val="0"/>
        <w:autoSpaceDN w:val="0"/>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b/>
          <w:color w:val="auto"/>
          <w:sz w:val="24"/>
          <w:szCs w:val="24"/>
          <w:highlight w:val="none"/>
          <w:lang w:eastAsia="zh-CN"/>
        </w:rPr>
        <w:t>第二条、合同总价款：</w:t>
      </w:r>
      <w:r>
        <w:rPr>
          <w:rFonts w:hint="default" w:ascii="Calibri" w:hAnsi="Calibri" w:cs="Calibri"/>
          <w:color w:val="auto"/>
          <w:sz w:val="24"/>
          <w:szCs w:val="24"/>
          <w:highlight w:val="none"/>
          <w:lang w:val="zh-CN" w:eastAsia="zh-CN"/>
        </w:rPr>
        <w:t>本合同项下货物单价为___________（大写）人民币总价款为___________（大写）人民币，分项价款在“报价表”中有明确规定。</w:t>
      </w:r>
    </w:p>
    <w:p>
      <w:pPr>
        <w:spacing w:line="360" w:lineRule="auto"/>
        <w:ind w:firstLine="480" w:firstLineChars="200"/>
        <w:rPr>
          <w:rFonts w:hint="default" w:ascii="Calibri" w:hAnsi="Calibri" w:cs="Calibri"/>
          <w:b/>
          <w:color w:val="auto"/>
          <w:sz w:val="24"/>
          <w:szCs w:val="24"/>
          <w:highlight w:val="none"/>
          <w:lang w:eastAsia="zh-CN"/>
        </w:rPr>
      </w:pPr>
      <w:r>
        <w:rPr>
          <w:rFonts w:hint="default" w:ascii="Calibri" w:hAnsi="Calibri" w:cs="Calibri"/>
          <w:color w:val="auto"/>
          <w:sz w:val="24"/>
          <w:szCs w:val="24"/>
          <w:highlight w:val="none"/>
          <w:lang w:val="zh-CN" w:eastAsia="zh-CN"/>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default" w:ascii="Calibri" w:hAnsi="Calibri" w:cs="Calibri"/>
          <w:bCs/>
          <w:color w:val="auto"/>
          <w:sz w:val="24"/>
          <w:szCs w:val="24"/>
          <w:highlight w:val="none"/>
          <w:lang w:eastAsia="zh-CN"/>
        </w:rPr>
        <w:t>，以</w:t>
      </w:r>
      <w:r>
        <w:rPr>
          <w:rFonts w:hint="default" w:ascii="Calibri" w:hAnsi="Calibri" w:cs="Calibri"/>
          <w:color w:val="auto"/>
          <w:sz w:val="24"/>
          <w:szCs w:val="24"/>
          <w:highlight w:val="none"/>
          <w:lang w:eastAsia="zh-CN"/>
        </w:rPr>
        <w:t>及供应商认为需要的其他费用等</w:t>
      </w:r>
      <w:r>
        <w:rPr>
          <w:rFonts w:hint="default" w:ascii="Calibri" w:hAnsi="Calibri" w:cs="Calibri"/>
          <w:color w:val="auto"/>
          <w:sz w:val="24"/>
          <w:szCs w:val="24"/>
          <w:highlight w:val="none"/>
          <w:lang w:val="zh-CN" w:eastAsia="zh-CN"/>
        </w:rPr>
        <w:t>。</w:t>
      </w:r>
    </w:p>
    <w:p>
      <w:pPr>
        <w:widowControl/>
        <w:spacing w:line="360" w:lineRule="auto"/>
        <w:ind w:firstLine="480" w:firstLineChars="20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本合同总价款还包含乙方应当提供的伴随服务/售后服务费用。</w:t>
      </w:r>
    </w:p>
    <w:p>
      <w:pPr>
        <w:widowControl/>
        <w:adjustRightInd w:val="0"/>
        <w:spacing w:line="360" w:lineRule="auto"/>
        <w:ind w:firstLine="480" w:firstLineChars="20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本合同执行期间合同单价不变。</w:t>
      </w:r>
    </w:p>
    <w:p>
      <w:pPr>
        <w:widowControl/>
        <w:adjustRightInd w:val="0"/>
        <w:spacing w:line="360" w:lineRule="auto"/>
        <w:ind w:firstLine="472" w:firstLineChars="196"/>
        <w:rPr>
          <w:rFonts w:hint="default" w:ascii="Calibri" w:hAnsi="Calibri" w:cs="Calibri"/>
          <w:color w:val="auto"/>
          <w:sz w:val="24"/>
          <w:szCs w:val="24"/>
          <w:highlight w:val="none"/>
          <w:lang w:val="zh-CN" w:eastAsia="zh-CN"/>
        </w:rPr>
      </w:pPr>
      <w:r>
        <w:rPr>
          <w:rFonts w:hint="default" w:ascii="Calibri" w:hAnsi="Calibri" w:cs="Calibri"/>
          <w:b/>
          <w:color w:val="auto"/>
          <w:sz w:val="24"/>
          <w:szCs w:val="24"/>
          <w:highlight w:val="none"/>
          <w:lang w:eastAsia="zh-CN"/>
        </w:rPr>
        <w:t xml:space="preserve">第三条、组成本合同的有关文件  </w:t>
      </w:r>
      <w:r>
        <w:rPr>
          <w:rFonts w:hint="default" w:ascii="Calibri" w:hAnsi="Calibri" w:cs="Calibri"/>
          <w:color w:val="auto"/>
          <w:sz w:val="24"/>
          <w:szCs w:val="24"/>
          <w:highlight w:val="none"/>
          <w:lang w:val="zh-CN" w:eastAsia="zh-CN"/>
        </w:rPr>
        <w:t>下列关于</w:t>
      </w:r>
      <w:r>
        <w:rPr>
          <w:rFonts w:hint="default" w:ascii="Calibri" w:hAnsi="Calibri" w:cs="Calibri"/>
          <w:color w:val="auto"/>
          <w:sz w:val="24"/>
          <w:szCs w:val="24"/>
          <w:highlight w:val="none"/>
          <w:u w:val="single"/>
          <w:lang w:val="zh-CN" w:eastAsia="zh-CN"/>
        </w:rPr>
        <w:t xml:space="preserve">             </w:t>
      </w:r>
      <w:r>
        <w:rPr>
          <w:rFonts w:hint="default" w:ascii="Calibri" w:hAnsi="Calibri" w:cs="Calibri"/>
          <w:color w:val="auto"/>
          <w:sz w:val="24"/>
          <w:szCs w:val="24"/>
          <w:highlight w:val="none"/>
          <w:lang w:val="zh-CN" w:eastAsia="zh-CN"/>
        </w:rPr>
        <w:t>号标的招投标文件或与本次采购活动方式相适应的文件及有关附件是本合同不可分割的组成部分，与本合同具有同等法律效力，这些文件包括但不限于：</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（1）乙方提供的投标文件和投标报价表；         （2）供货一览表；</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（3）交货一览表；                             （4）技术规格响应表；</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（5）投标承诺；                               （6）服务承诺；</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（7）</w:t>
      </w:r>
      <w:r>
        <w:rPr>
          <w:rFonts w:hint="eastAsia" w:ascii="Calibri" w:hAnsi="Calibri" w:cs="Calibri"/>
          <w:color w:val="auto"/>
          <w:sz w:val="24"/>
          <w:szCs w:val="24"/>
          <w:highlight w:val="none"/>
          <w:lang w:val="zh-CN" w:eastAsia="zh-CN"/>
        </w:rPr>
        <w:t>中标</w:t>
      </w:r>
      <w:r>
        <w:rPr>
          <w:rFonts w:hint="default" w:ascii="Calibri" w:hAnsi="Calibri" w:cs="Calibri"/>
          <w:color w:val="auto"/>
          <w:sz w:val="24"/>
          <w:szCs w:val="24"/>
          <w:highlight w:val="none"/>
          <w:lang w:val="zh-CN" w:eastAsia="zh-CN"/>
        </w:rPr>
        <w:t>通知书；                              （8）甲乙双方商定的其他文件等。</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第四条、权利保证</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乙方应保证甲方在使用该货物或其任何一部分时不受第三方提出侵犯其专利权、版权、商标权或其他权利的起诉。一旦出现侵权，乙方应承担全部责任。</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第五条、质量保证</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1、乙方所提供的货物的技术规格应与招标文件规定的技术规格及所附的“技术规格响应表”相一致；若技术性能无特殊说明，则按国家有关部门最新颁布的标准及规范为准。</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r>
        <w:rPr>
          <w:rFonts w:hint="default" w:ascii="Calibri" w:hAnsi="Calibri" w:cs="Calibri"/>
          <w:color w:val="auto"/>
          <w:sz w:val="24"/>
          <w:szCs w:val="24"/>
          <w:highlight w:val="none"/>
          <w:lang w:eastAsia="zh-CN"/>
        </w:rPr>
        <w:t>在使用过程中，一旦发现乙方所提供的货物不符合以上约定，乙方无条件接受甲方退货，并按第十一条给予乙方处罚。</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第六条、包装要求</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2、每一包装单元内应附详细的装箱单和质量合格凭证。</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第七条 交货和验收</w:t>
      </w:r>
    </w:p>
    <w:p>
      <w:pPr>
        <w:widowControl/>
        <w:adjustRightInd w:val="0"/>
        <w:spacing w:line="360" w:lineRule="auto"/>
        <w:ind w:firstLine="420"/>
        <w:rPr>
          <w:rFonts w:hint="default" w:ascii="Calibri" w:hAnsi="Calibri" w:cs="Calibri"/>
          <w:color w:val="auto"/>
          <w:sz w:val="24"/>
          <w:szCs w:val="24"/>
          <w:highlight w:val="none"/>
          <w:u w:val="single"/>
          <w:lang w:val="zh-CN" w:eastAsia="zh-CN"/>
        </w:rPr>
      </w:pPr>
      <w:r>
        <w:rPr>
          <w:rFonts w:hint="default" w:ascii="Calibri" w:hAnsi="Calibri" w:cs="Calibri"/>
          <w:color w:val="auto"/>
          <w:sz w:val="24"/>
          <w:szCs w:val="24"/>
          <w:highlight w:val="none"/>
          <w:lang w:val="zh-CN" w:eastAsia="zh-CN"/>
        </w:rPr>
        <w:t>1、乙方应当在</w:t>
      </w:r>
      <w:r>
        <w:rPr>
          <w:rFonts w:hint="default" w:ascii="Calibri" w:hAnsi="Calibri" w:cs="Calibri"/>
          <w:color w:val="auto"/>
          <w:sz w:val="24"/>
          <w:szCs w:val="24"/>
          <w:highlight w:val="none"/>
          <w:u w:val="single"/>
          <w:lang w:eastAsia="zh-CN"/>
        </w:rPr>
        <w:t xml:space="preserve"> </w:t>
      </w:r>
      <w:r>
        <w:rPr>
          <w:rFonts w:hint="default" w:ascii="Calibri" w:hAnsi="Calibri" w:cs="Calibri"/>
          <w:b/>
          <w:color w:val="auto"/>
          <w:sz w:val="24"/>
          <w:szCs w:val="24"/>
          <w:highlight w:val="none"/>
          <w:u w:val="single"/>
          <w:lang w:eastAsia="zh-CN"/>
        </w:rPr>
        <w:t xml:space="preserve">    </w:t>
      </w:r>
      <w:r>
        <w:rPr>
          <w:rFonts w:hint="default" w:ascii="Calibri" w:hAnsi="Calibri" w:cs="Calibri"/>
          <w:color w:val="auto"/>
          <w:sz w:val="24"/>
          <w:szCs w:val="24"/>
          <w:highlight w:val="none"/>
          <w:u w:val="single"/>
          <w:lang w:eastAsia="zh-CN"/>
        </w:rPr>
        <w:t xml:space="preserve"> </w:t>
      </w:r>
      <w:r>
        <w:rPr>
          <w:rFonts w:hint="default" w:ascii="Calibri" w:hAnsi="Calibri" w:cs="Calibri"/>
          <w:color w:val="auto"/>
          <w:sz w:val="24"/>
          <w:szCs w:val="24"/>
          <w:highlight w:val="none"/>
          <w:lang w:eastAsia="zh-CN"/>
        </w:rPr>
        <w:t>年</w:t>
      </w:r>
      <w:r>
        <w:rPr>
          <w:rFonts w:hint="default" w:ascii="Calibri" w:hAnsi="Calibri" w:cs="Calibri"/>
          <w:color w:val="auto"/>
          <w:sz w:val="24"/>
          <w:szCs w:val="24"/>
          <w:highlight w:val="none"/>
          <w:u w:val="single"/>
          <w:lang w:eastAsia="zh-CN"/>
        </w:rPr>
        <w:t xml:space="preserve">   </w:t>
      </w:r>
      <w:r>
        <w:rPr>
          <w:rFonts w:hint="default" w:ascii="Calibri" w:hAnsi="Calibri" w:cs="Calibri"/>
          <w:b/>
          <w:color w:val="auto"/>
          <w:sz w:val="24"/>
          <w:szCs w:val="24"/>
          <w:highlight w:val="none"/>
          <w:u w:val="single"/>
          <w:lang w:eastAsia="zh-CN"/>
        </w:rPr>
        <w:t xml:space="preserve"> </w:t>
      </w:r>
      <w:r>
        <w:rPr>
          <w:rFonts w:hint="default" w:ascii="Calibri" w:hAnsi="Calibri" w:cs="Calibri"/>
          <w:color w:val="auto"/>
          <w:sz w:val="24"/>
          <w:szCs w:val="24"/>
          <w:highlight w:val="none"/>
          <w:lang w:eastAsia="zh-CN"/>
        </w:rPr>
        <w:t xml:space="preserve">月 </w:t>
      </w:r>
      <w:r>
        <w:rPr>
          <w:rFonts w:hint="default" w:ascii="Calibri" w:hAnsi="Calibri" w:cs="Calibri"/>
          <w:color w:val="auto"/>
          <w:sz w:val="24"/>
          <w:szCs w:val="24"/>
          <w:highlight w:val="none"/>
          <w:u w:val="single"/>
          <w:lang w:eastAsia="zh-CN"/>
        </w:rPr>
        <w:t xml:space="preserve">  </w:t>
      </w:r>
      <w:r>
        <w:rPr>
          <w:rFonts w:hint="default" w:ascii="Calibri" w:hAnsi="Calibri" w:cs="Calibri"/>
          <w:b/>
          <w:color w:val="auto"/>
          <w:sz w:val="24"/>
          <w:szCs w:val="24"/>
          <w:highlight w:val="none"/>
          <w:u w:val="single"/>
          <w:lang w:eastAsia="zh-CN"/>
        </w:rPr>
        <w:t xml:space="preserve">  </w:t>
      </w:r>
      <w:r>
        <w:rPr>
          <w:rFonts w:hint="default" w:ascii="Calibri" w:hAnsi="Calibri" w:cs="Calibri"/>
          <w:color w:val="auto"/>
          <w:sz w:val="24"/>
          <w:szCs w:val="24"/>
          <w:highlight w:val="none"/>
          <w:lang w:eastAsia="zh-CN"/>
        </w:rPr>
        <w:t>日前</w:t>
      </w:r>
      <w:r>
        <w:rPr>
          <w:rFonts w:hint="default" w:ascii="Calibri" w:hAnsi="Calibri" w:cs="Calibri"/>
          <w:color w:val="auto"/>
          <w:sz w:val="24"/>
          <w:szCs w:val="24"/>
          <w:highlight w:val="none"/>
          <w:lang w:val="zh-CN" w:eastAsia="zh-CN"/>
        </w:rPr>
        <w:t>将货物安装调试完毕交付甲方正常使用，地点由甲方指定。招标文件有约定的，从其约定。</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2、乙方交付的货物应当完全符合本合同或者招投标文件所规定的货物、数量和规格要求。乙方提供的货物不符合招投标文件和合同规定的，甲方有权拒收货物，由此引起的风险，由乙方承担。</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3、货物的到货验收包括：型号、规格、数量、外观质量、及货物包装是否完好。</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5、甲方应当在到货后的2个工作日内对货物进行验收；需要乙方对货物或系统进行安装调试的，应在规定的时间内完成安装调试。甲方应在货物安装调试完毕后的3个工作日内进行质量验收。验收合格的，由甲方签署验收单并加盖单位公章。招标文件对检验期限另有规定的，从其规定。</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6、货物和系统调试验收的标准：按行业通行标准、厂方出厂标准和乙方投标文件的承诺（详见合同附件载明的标准，并不低于国家相关标准）。</w:t>
      </w:r>
    </w:p>
    <w:p>
      <w:pPr>
        <w:widowControl/>
        <w:tabs>
          <w:tab w:val="left" w:pos="0"/>
        </w:tabs>
        <w:spacing w:line="360" w:lineRule="auto"/>
        <w:ind w:firstLine="482" w:firstLineChars="200"/>
        <w:rPr>
          <w:rFonts w:hint="default" w:ascii="Calibri" w:hAnsi="Calibri" w:cs="Calibri"/>
          <w:color w:val="auto"/>
          <w:sz w:val="24"/>
          <w:szCs w:val="24"/>
          <w:highlight w:val="none"/>
          <w:u w:val="single"/>
          <w:lang w:eastAsia="zh-CN"/>
        </w:rPr>
      </w:pPr>
      <w:r>
        <w:rPr>
          <w:rFonts w:hint="default" w:ascii="Calibri" w:hAnsi="Calibri" w:cs="Calibri"/>
          <w:b/>
          <w:color w:val="auto"/>
          <w:sz w:val="24"/>
          <w:szCs w:val="24"/>
          <w:highlight w:val="none"/>
          <w:lang w:eastAsia="zh-CN"/>
        </w:rPr>
        <w:t>第八条、付款条件：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签订合同后60个日历日内付款，采购人向供应商支付合同金额的30%作为预付款；</w:t>
      </w:r>
    </w:p>
    <w:p>
      <w:pPr>
        <w:widowControl/>
        <w:adjustRightInd w:val="0"/>
        <w:spacing w:line="360" w:lineRule="auto"/>
        <w:ind w:firstLine="42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施工、安装、调试完毕，学校接收并全系统正常运行1周后，由南京市鼓楼区教师发展中心职能部门组织验收，验收合格后，供应商开具符合财务规定的全款正式发票，自采购人收到发票后10个工作日内，向供应商支付剩余全部款项。</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color w:val="auto"/>
          <w:sz w:val="24"/>
          <w:szCs w:val="24"/>
          <w:highlight w:val="none"/>
          <w:lang w:eastAsia="zh-CN"/>
        </w:rPr>
        <w:t>第九条、</w:t>
      </w:r>
      <w:r>
        <w:rPr>
          <w:rFonts w:hint="default" w:ascii="Calibri" w:hAnsi="Calibri" w:cs="Calibri"/>
          <w:b/>
          <w:bCs/>
          <w:color w:val="auto"/>
          <w:sz w:val="24"/>
          <w:szCs w:val="24"/>
          <w:highlight w:val="none"/>
          <w:lang w:val="zh-CN" w:eastAsia="zh-CN"/>
        </w:rPr>
        <w:t>履约保证金</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1、乙方在签订本合同时按照采购文件约定递交履约保证金。</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2、如采购文件对项目质量保证金有约定，按照采购文件约定执行。</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3、如乙方未能履行合同规定的义务，甲方有权从履约保证金中取得补偿。</w:t>
      </w:r>
    </w:p>
    <w:p>
      <w:pPr>
        <w:widowControl/>
        <w:adjustRightInd w:val="0"/>
        <w:spacing w:line="360" w:lineRule="auto"/>
        <w:ind w:firstLine="420"/>
        <w:rPr>
          <w:rFonts w:hint="default" w:ascii="Calibri" w:hAnsi="Calibri" w:cs="Calibri"/>
          <w:i/>
          <w:iCs/>
          <w:color w:val="auto"/>
          <w:sz w:val="24"/>
          <w:szCs w:val="24"/>
          <w:highlight w:val="none"/>
          <w:lang w:val="zh-CN" w:eastAsia="zh-CN"/>
        </w:rPr>
      </w:pPr>
      <w:r>
        <w:rPr>
          <w:rFonts w:hint="default" w:ascii="Calibri" w:hAnsi="Calibri" w:cs="Calibri"/>
          <w:color w:val="auto"/>
          <w:sz w:val="24"/>
          <w:szCs w:val="24"/>
          <w:highlight w:val="none"/>
          <w:lang w:val="zh-CN" w:eastAsia="zh-CN"/>
        </w:rPr>
        <w:t>4、履约保证金扣除甲方应得的补偿后的余额在有效期满后七工作日内无息退还给乙方。</w:t>
      </w:r>
    </w:p>
    <w:p>
      <w:pPr>
        <w:widowControl/>
        <w:tabs>
          <w:tab w:val="left" w:pos="0"/>
        </w:tabs>
        <w:spacing w:line="360" w:lineRule="auto"/>
        <w:ind w:firstLine="482" w:firstLineChars="200"/>
        <w:rPr>
          <w:rFonts w:hint="default" w:ascii="Calibri" w:hAnsi="Calibri" w:cs="Calibri"/>
          <w:b/>
          <w:color w:val="auto"/>
          <w:sz w:val="24"/>
          <w:szCs w:val="24"/>
          <w:highlight w:val="none"/>
          <w:lang w:eastAsia="zh-CN"/>
        </w:rPr>
      </w:pPr>
      <w:r>
        <w:rPr>
          <w:rFonts w:hint="default" w:ascii="Calibri" w:hAnsi="Calibri" w:cs="Calibri"/>
          <w:b/>
          <w:color w:val="auto"/>
          <w:sz w:val="24"/>
          <w:szCs w:val="24"/>
          <w:highlight w:val="none"/>
          <w:lang w:eastAsia="zh-CN"/>
        </w:rPr>
        <w:t>第十条、伴随服务／售后服务：</w:t>
      </w:r>
      <w:r>
        <w:rPr>
          <w:rFonts w:hint="default" w:ascii="Calibri" w:hAnsi="Calibri" w:cs="Calibri"/>
          <w:color w:val="auto"/>
          <w:sz w:val="24"/>
          <w:szCs w:val="24"/>
          <w:highlight w:val="none"/>
          <w:lang w:eastAsia="zh-CN"/>
        </w:rPr>
        <w:t>本合同货物的免费质保年限为：</w:t>
      </w:r>
      <w:r>
        <w:rPr>
          <w:rFonts w:hint="eastAsia" w:ascii="Calibri" w:hAnsi="Calibri" w:cs="Calibri"/>
          <w:color w:val="auto"/>
          <w:sz w:val="24"/>
          <w:szCs w:val="24"/>
          <w:highlight w:val="none"/>
          <w:u w:val="single"/>
          <w:lang w:val="en-US" w:eastAsia="zh-CN"/>
        </w:rPr>
        <w:t>3</w:t>
      </w:r>
      <w:r>
        <w:rPr>
          <w:rFonts w:hint="default" w:ascii="Calibri" w:hAnsi="Calibri" w:cs="Calibri"/>
          <w:color w:val="auto"/>
          <w:sz w:val="24"/>
          <w:szCs w:val="24"/>
          <w:highlight w:val="none"/>
          <w:lang w:eastAsia="zh-CN"/>
        </w:rPr>
        <w:t>年。</w:t>
      </w:r>
    </w:p>
    <w:p>
      <w:pPr>
        <w:widowControl/>
        <w:tabs>
          <w:tab w:val="left" w:pos="1620"/>
        </w:tabs>
        <w:adjustRightInd w:val="0"/>
        <w:spacing w:line="360" w:lineRule="auto"/>
        <w:ind w:firstLine="480" w:firstLineChars="200"/>
        <w:rPr>
          <w:rFonts w:hint="default"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1、供应商须积极配合现场施工，施工进度与对方协调一致。</w:t>
      </w:r>
    </w:p>
    <w:p>
      <w:pPr>
        <w:widowControl/>
        <w:tabs>
          <w:tab w:val="left" w:pos="1620"/>
        </w:tabs>
        <w:adjustRightInd w:val="0"/>
        <w:spacing w:line="360" w:lineRule="auto"/>
        <w:ind w:firstLine="480" w:firstLineChars="20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2</w:t>
      </w:r>
      <w:r>
        <w:rPr>
          <w:rFonts w:hint="default" w:ascii="Calibri" w:hAnsi="Calibri" w:cs="Calibri"/>
          <w:color w:val="auto"/>
          <w:sz w:val="24"/>
          <w:szCs w:val="24"/>
          <w:highlight w:val="none"/>
          <w:lang w:val="zh-CN" w:eastAsia="zh-CN"/>
        </w:rPr>
        <w:t>、乙方应按照国家有关法律法规规章和“三包”规定以及合同所附的“服务承诺”提供服务。</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eastAsia="宋体" w:cs="Calibri"/>
          <w:color w:val="auto"/>
          <w:sz w:val="24"/>
          <w:szCs w:val="24"/>
          <w:highlight w:val="none"/>
          <w:lang w:val="en-US" w:eastAsia="zh-CN"/>
        </w:rPr>
        <w:t>3</w:t>
      </w:r>
      <w:r>
        <w:rPr>
          <w:rFonts w:hint="default" w:ascii="Calibri" w:hAnsi="Calibri" w:eastAsia="宋体" w:cs="Calibri"/>
          <w:color w:val="auto"/>
          <w:sz w:val="24"/>
          <w:szCs w:val="24"/>
          <w:highlight w:val="none"/>
          <w:lang w:val="zh-CN" w:eastAsia="zh-CN"/>
        </w:rPr>
        <w:t>、除前款规</w:t>
      </w:r>
      <w:r>
        <w:rPr>
          <w:rFonts w:hint="default" w:ascii="Calibri" w:hAnsi="Calibri" w:cs="Calibri"/>
          <w:color w:val="auto"/>
          <w:sz w:val="24"/>
          <w:szCs w:val="24"/>
          <w:highlight w:val="none"/>
          <w:lang w:val="zh-CN" w:eastAsia="zh-CN"/>
        </w:rPr>
        <w:t>定外，乙方还应提供下列服务：</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（1）货物的现场安装、调试和/或启动监督；</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（2）就货物的安装、启动、运行及维护等对甲方人员进行免费培训。</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、若招标文件中不包含有关伴随服务或售后服务的承诺，双方作如下约定：</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.2 所购货物按乙方投标承诺提供免费维护和质量保证，保修费用计入总价。</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.3 保修期内，乙方负责对其提供的货物整机进行维修和系统维护，不再收取任何费用，但不可抗力（如火灾、雷击等）造成的故障除外。</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.4 货物故障报修的响应时间按乙方投标承诺执行。</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.5 若货物故障在检修8工作小时后仍无法排除，乙方应在</w:t>
      </w:r>
      <w:r>
        <w:rPr>
          <w:rFonts w:hint="eastAsia" w:ascii="Calibri" w:hAnsi="Calibri" w:cs="Calibri"/>
          <w:color w:val="auto"/>
          <w:sz w:val="24"/>
          <w:szCs w:val="24"/>
          <w:highlight w:val="none"/>
          <w:lang w:val="en-US" w:eastAsia="zh-CN"/>
        </w:rPr>
        <w:t>24</w:t>
      </w:r>
      <w:r>
        <w:rPr>
          <w:rFonts w:hint="default" w:ascii="Calibri" w:hAnsi="Calibri" w:cs="Calibri"/>
          <w:color w:val="auto"/>
          <w:sz w:val="24"/>
          <w:szCs w:val="24"/>
          <w:highlight w:val="none"/>
          <w:lang w:val="zh-CN" w:eastAsia="zh-CN"/>
        </w:rPr>
        <w:t>小时内免费提供不低于故障货物规格型号档次的备用货物供甲方使用，直至故障货物修复。</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.6 所有货物保修服务方式均为乙方上门保修，即由乙方派员到货物使用现场维修，由此产生的一切费用均由乙方承担。</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eastAsia" w:ascii="Calibri" w:hAnsi="Calibri" w:cs="Calibri"/>
          <w:color w:val="auto"/>
          <w:sz w:val="24"/>
          <w:szCs w:val="24"/>
          <w:highlight w:val="none"/>
          <w:lang w:val="en-US" w:eastAsia="zh-CN"/>
        </w:rPr>
        <w:t>4</w:t>
      </w:r>
      <w:r>
        <w:rPr>
          <w:rFonts w:hint="default" w:ascii="Calibri" w:hAnsi="Calibri" w:cs="Calibri"/>
          <w:color w:val="auto"/>
          <w:sz w:val="24"/>
          <w:szCs w:val="24"/>
          <w:highlight w:val="none"/>
          <w:lang w:val="zh-CN" w:eastAsia="zh-CN"/>
        </w:rPr>
        <w:t>.7 保修期后的货物维护由双方协商再定。</w:t>
      </w:r>
    </w:p>
    <w:p>
      <w:pPr>
        <w:widowControl/>
        <w:adjustRightInd w:val="0"/>
        <w:spacing w:line="360" w:lineRule="auto"/>
        <w:ind w:firstLine="420"/>
        <w:rPr>
          <w:rFonts w:hint="default" w:ascii="Calibri" w:hAnsi="Calibri" w:cs="Calibri"/>
          <w:b/>
          <w:color w:val="auto"/>
          <w:sz w:val="24"/>
          <w:szCs w:val="24"/>
          <w:highlight w:val="none"/>
          <w:lang w:eastAsia="zh-CN"/>
        </w:rPr>
      </w:pPr>
      <w:r>
        <w:rPr>
          <w:rFonts w:hint="default" w:ascii="Calibri" w:hAnsi="Calibri" w:cs="Calibri"/>
          <w:b/>
          <w:color w:val="auto"/>
          <w:sz w:val="24"/>
          <w:szCs w:val="24"/>
          <w:highlight w:val="none"/>
          <w:lang w:eastAsia="zh-CN"/>
        </w:rPr>
        <w:t>第十一条、违约责任：</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1、甲方无正当理由拒收货物、拒付货物款的，由甲方向乙方偿付合同总价的5%违约金。</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2、甲方未按合同规定的期限向乙方支付货款的，每逾期1天甲方向乙方偿付欠款总额的5‰滞纳金，但累计滞纳金总额不超过欠款总额的5% 。</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3、如乙方不能交付货物、完成安装调试的，甲方有权扣留全部履约保证金；同时乙方应向甲方支付合同总价5%的违约金。</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4、乙方逾期交付的，每逾期1天，乙方向甲方偿付合同总额的5‰的滞纳金。如乙方逾期交付达10天，甲方有权解除合同，解除合同的通知自到达乙方时生效。</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5、乙方所交付的货物品种、型号、规格不符合合同规定的，甲方有权拒收。甲方拒收的，乙方应向甲方支付货款总额5%的违约金。甲方未拒收的，一经发现后将向有关部门反映，并责成乙方按照采购结果提供货物和服务，同时视情况给予不退还部分或全部履约保证金。</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7、乙方未按本合同第九条的规定向甲方交付履约保证金的，应按应交付履约保证金的100%向甲方支付违约金，该违约金的支付不影响乙方应承担的其他违约责任。</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8、乙方未按本合同的规定和“服务承诺”提供伴随服务/售后服务的，应按合同总价款的5 %向甲方承担违约责任。</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9、乙方在承担上述4-7款一项或多项违约责任后，仍应继续履行合同规定的义务（甲方解除合同的除外）。甲方未能及时追究乙方的任何一项违约责任并不表明甲方放弃追究乙方该项或其他违约责任。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10、乙方投标属虚假承诺，或经权威部门监测提供的货物不能满足招标文件要求，或是由于乙方的过错造成合同无法继续履行的，乙方履约保证金不予退还外，还应向甲方支付不少于合同总价30%赔偿金。</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第十二条、合同的变更和终止</w:t>
      </w:r>
    </w:p>
    <w:p>
      <w:pPr>
        <w:widowControl/>
        <w:adjustRightInd w:val="0"/>
        <w:spacing w:line="360" w:lineRule="auto"/>
        <w:ind w:firstLine="480" w:firstLineChars="20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1、本合同一经签订，甲乙双方不得擅自变更、中止或终止合同。</w:t>
      </w:r>
    </w:p>
    <w:p>
      <w:pPr>
        <w:widowControl/>
        <w:adjustRightInd w:val="0"/>
        <w:spacing w:line="360" w:lineRule="auto"/>
        <w:ind w:firstLine="480" w:firstLineChars="20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2、</w:t>
      </w:r>
      <w:r>
        <w:rPr>
          <w:rFonts w:hint="default" w:ascii="Calibri" w:hAnsi="Calibri" w:cs="Calibri"/>
          <w:color w:val="auto"/>
          <w:sz w:val="24"/>
          <w:szCs w:val="24"/>
          <w:highlight w:val="none"/>
          <w:lang w:eastAsia="zh-CN"/>
        </w:rPr>
        <w:t>除发生法律规定的不能预见、不能避免并不能克服的客观情况外，甲乙双方不得放弃或拒绝履行合同。乙方放弃或拒绝履行合同，保证金不予退还。</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第十三条、合同的转让</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乙方不得擅自部分或全部转让其应履行的合同义务。</w:t>
      </w:r>
    </w:p>
    <w:p>
      <w:pPr>
        <w:widowControl/>
        <w:adjustRightInd w:val="0"/>
        <w:spacing w:line="360" w:lineRule="auto"/>
        <w:ind w:firstLine="420"/>
        <w:rPr>
          <w:rFonts w:hint="default" w:ascii="Calibri" w:hAnsi="Calibri" w:cs="Calibri"/>
          <w:b/>
          <w:color w:val="auto"/>
          <w:sz w:val="24"/>
          <w:szCs w:val="24"/>
          <w:highlight w:val="none"/>
          <w:lang w:eastAsia="zh-CN"/>
        </w:rPr>
      </w:pPr>
      <w:r>
        <w:rPr>
          <w:rFonts w:hint="default" w:ascii="Calibri" w:hAnsi="Calibri" w:cs="Calibri"/>
          <w:b/>
          <w:color w:val="auto"/>
          <w:sz w:val="24"/>
          <w:szCs w:val="24"/>
          <w:highlight w:val="none"/>
          <w:lang w:eastAsia="zh-CN"/>
        </w:rPr>
        <w:t>第十四条、争议的解决：</w:t>
      </w:r>
    </w:p>
    <w:p>
      <w:pPr>
        <w:widowControl/>
        <w:adjustRightInd w:val="0"/>
        <w:spacing w:line="360" w:lineRule="auto"/>
        <w:ind w:firstLine="117" w:firstLineChars="49"/>
        <w:rPr>
          <w:rFonts w:hint="default" w:ascii="Calibri" w:hAnsi="Calibri" w:cs="Calibri"/>
          <w:color w:val="auto"/>
          <w:sz w:val="24"/>
          <w:szCs w:val="24"/>
          <w:highlight w:val="none"/>
          <w:lang w:eastAsia="zh-CN"/>
        </w:rPr>
      </w:pPr>
      <w:r>
        <w:rPr>
          <w:rStyle w:val="30"/>
          <w:rFonts w:hint="default" w:ascii="Calibri" w:hAnsi="Calibri" w:cs="Calibri"/>
          <w:color w:val="auto"/>
          <w:sz w:val="24"/>
          <w:szCs w:val="24"/>
          <w:highlight w:val="none"/>
          <w:lang w:eastAsia="zh-CN"/>
        </w:rPr>
        <w:t>1、因货物的质量问题发生争议的，应当邀请国家认可的质量检测机构对货物质量进行鉴定。货物符合标准的，鉴定费由甲方承担；货物不符合质量标准的，鉴定费由乙方承担。</w:t>
      </w:r>
    </w:p>
    <w:p>
      <w:pPr>
        <w:widowControl/>
        <w:adjustRightInd w:val="0"/>
        <w:spacing w:line="360" w:lineRule="auto"/>
        <w:ind w:firstLine="117" w:firstLineChars="49"/>
        <w:rPr>
          <w:rFonts w:hint="default" w:ascii="Calibri" w:hAnsi="Calibri" w:cs="Calibri"/>
          <w:color w:val="auto"/>
          <w:sz w:val="24"/>
          <w:szCs w:val="24"/>
          <w:highlight w:val="none"/>
          <w:lang w:eastAsia="zh-CN"/>
        </w:rPr>
      </w:pPr>
      <w:r>
        <w:rPr>
          <w:rStyle w:val="30"/>
          <w:rFonts w:hint="default" w:ascii="Calibri" w:hAnsi="Calibri" w:cs="Calibri"/>
          <w:color w:val="auto"/>
          <w:sz w:val="24"/>
          <w:szCs w:val="24"/>
          <w:highlight w:val="none"/>
          <w:lang w:eastAsia="zh-CN"/>
        </w:rPr>
        <w:t>  2、因履行本合同引起的或与本合同有关的争议，甲、乙双方应首先通过友好协商解决，如果协商不能解决争议，则可向甲方所在地有管辖权的人民法院提起诉讼；</w:t>
      </w:r>
    </w:p>
    <w:p>
      <w:pPr>
        <w:widowControl/>
        <w:adjustRightInd w:val="0"/>
        <w:spacing w:line="360" w:lineRule="auto"/>
        <w:ind w:firstLine="117" w:firstLineChars="49"/>
        <w:rPr>
          <w:rStyle w:val="30"/>
          <w:rFonts w:hint="default" w:ascii="Calibri" w:hAnsi="Calibri" w:cs="Calibri"/>
          <w:color w:val="auto"/>
          <w:sz w:val="24"/>
          <w:szCs w:val="24"/>
          <w:highlight w:val="none"/>
          <w:lang w:eastAsia="zh-CN"/>
        </w:rPr>
      </w:pPr>
      <w:r>
        <w:rPr>
          <w:rStyle w:val="30"/>
          <w:rFonts w:hint="default" w:ascii="Calibri" w:hAnsi="Calibri" w:cs="Calibri"/>
          <w:color w:val="auto"/>
          <w:sz w:val="24"/>
          <w:szCs w:val="24"/>
          <w:highlight w:val="none"/>
          <w:lang w:eastAsia="zh-CN"/>
        </w:rPr>
        <w:t>  3、在仲裁期间，本合同应继续履行。</w:t>
      </w:r>
    </w:p>
    <w:p>
      <w:pPr>
        <w:widowControl/>
        <w:adjustRightInd w:val="0"/>
        <w:spacing w:line="360" w:lineRule="auto"/>
        <w:ind w:firstLine="420"/>
        <w:rPr>
          <w:rFonts w:hint="default" w:ascii="Calibri" w:hAnsi="Calibri" w:cs="Calibri"/>
          <w:b/>
          <w:bCs/>
          <w:color w:val="auto"/>
          <w:sz w:val="24"/>
          <w:szCs w:val="24"/>
          <w:highlight w:val="none"/>
          <w:lang w:val="zh-CN" w:eastAsia="zh-CN"/>
        </w:rPr>
      </w:pPr>
      <w:r>
        <w:rPr>
          <w:rFonts w:hint="default" w:ascii="Calibri" w:hAnsi="Calibri" w:cs="Calibri"/>
          <w:b/>
          <w:bCs/>
          <w:color w:val="auto"/>
          <w:sz w:val="24"/>
          <w:szCs w:val="24"/>
          <w:highlight w:val="none"/>
          <w:lang w:val="zh-CN" w:eastAsia="zh-CN"/>
        </w:rPr>
        <w:t xml:space="preserve">第十五、诚实信用 </w:t>
      </w:r>
    </w:p>
    <w:p>
      <w:pPr>
        <w:widowControl/>
        <w:adjustRightInd w:val="0"/>
        <w:spacing w:line="360" w:lineRule="auto"/>
        <w:ind w:firstLine="420"/>
        <w:rPr>
          <w:rFonts w:hint="default" w:ascii="Calibri" w:hAnsi="Calibri" w:cs="Calibri"/>
          <w:color w:val="auto"/>
          <w:sz w:val="24"/>
          <w:szCs w:val="24"/>
          <w:highlight w:val="none"/>
          <w:lang w:val="zh-CN" w:eastAsia="zh-CN"/>
        </w:rPr>
      </w:pPr>
      <w:r>
        <w:rPr>
          <w:rFonts w:hint="default" w:ascii="Calibri" w:hAnsi="Calibri" w:cs="Calibri"/>
          <w:color w:val="auto"/>
          <w:sz w:val="24"/>
          <w:szCs w:val="24"/>
          <w:highlight w:val="none"/>
          <w:lang w:val="zh-CN" w:eastAsia="zh-CN"/>
        </w:rPr>
        <w:t>乙方应诚实信用，严格按照招标文件要求和投标承诺履行合同，不向甲方进行商业贿赂或者提供不正当利益。</w:t>
      </w:r>
    </w:p>
    <w:p>
      <w:pPr>
        <w:widowControl/>
        <w:tabs>
          <w:tab w:val="left" w:pos="0"/>
        </w:tabs>
        <w:spacing w:line="360" w:lineRule="auto"/>
        <w:rPr>
          <w:rFonts w:hint="default" w:ascii="Calibri" w:hAnsi="Calibri" w:cs="Calibri"/>
          <w:b/>
          <w:color w:val="auto"/>
          <w:sz w:val="24"/>
          <w:szCs w:val="24"/>
          <w:highlight w:val="none"/>
          <w:lang w:eastAsia="zh-CN"/>
        </w:rPr>
      </w:pPr>
      <w:r>
        <w:rPr>
          <w:rFonts w:hint="default" w:ascii="Calibri" w:hAnsi="Calibri" w:cs="Calibri"/>
          <w:b/>
          <w:color w:val="auto"/>
          <w:sz w:val="24"/>
          <w:szCs w:val="24"/>
          <w:highlight w:val="none"/>
          <w:lang w:eastAsia="zh-CN"/>
        </w:rPr>
        <w:tab/>
      </w:r>
      <w:r>
        <w:rPr>
          <w:rFonts w:hint="default" w:ascii="Calibri" w:hAnsi="Calibri" w:cs="Calibri"/>
          <w:b/>
          <w:color w:val="auto"/>
          <w:sz w:val="24"/>
          <w:szCs w:val="24"/>
          <w:highlight w:val="none"/>
          <w:lang w:eastAsia="zh-CN"/>
        </w:rPr>
        <w:t xml:space="preserve">第十六条、合同生效及其他：  </w:t>
      </w:r>
    </w:p>
    <w:p>
      <w:pPr>
        <w:widowControl/>
        <w:tabs>
          <w:tab w:val="left" w:pos="0"/>
        </w:tabs>
        <w:spacing w:line="360" w:lineRule="auto"/>
        <w:ind w:firstLine="588" w:firstLineChars="245"/>
        <w:rPr>
          <w:rFonts w:hint="default" w:ascii="Calibri" w:hAnsi="Calibri" w:cs="Calibri"/>
          <w:color w:val="auto"/>
          <w:sz w:val="24"/>
          <w:szCs w:val="24"/>
          <w:highlight w:val="none"/>
          <w:lang w:eastAsia="zh-CN"/>
        </w:rPr>
      </w:pPr>
      <w:r>
        <w:rPr>
          <w:rFonts w:hint="default" w:ascii="Calibri" w:hAnsi="Calibri" w:cs="Calibri"/>
          <w:color w:val="auto"/>
          <w:sz w:val="24"/>
          <w:szCs w:val="24"/>
          <w:highlight w:val="none"/>
          <w:lang w:eastAsia="zh-CN"/>
        </w:rPr>
        <w:t>1、本合同经甲方、乙方授权代表签字盖章后生效。</w:t>
      </w:r>
    </w:p>
    <w:p>
      <w:pPr>
        <w:widowControl/>
        <w:tabs>
          <w:tab w:val="left" w:pos="0"/>
        </w:tabs>
        <w:spacing w:line="360" w:lineRule="auto"/>
        <w:ind w:firstLine="540"/>
        <w:rPr>
          <w:rFonts w:hint="default" w:ascii="Calibri" w:hAnsi="Calibri" w:cs="Calibri"/>
          <w:color w:val="auto"/>
          <w:sz w:val="24"/>
          <w:szCs w:val="24"/>
          <w:highlight w:val="none"/>
          <w:lang w:eastAsia="zh-CN"/>
        </w:rPr>
      </w:pPr>
      <w:r>
        <w:rPr>
          <w:rFonts w:hint="default" w:ascii="Calibri" w:hAnsi="Calibri" w:cs="Calibri"/>
          <w:color w:val="auto"/>
          <w:sz w:val="24"/>
          <w:szCs w:val="24"/>
          <w:highlight w:val="none"/>
          <w:lang w:eastAsia="zh-CN"/>
        </w:rPr>
        <w:t>2、本合同一式肆份，甲方贰份，乙方贰份</w:t>
      </w:r>
    </w:p>
    <w:p>
      <w:pPr>
        <w:spacing w:line="360" w:lineRule="auto"/>
        <w:ind w:firstLine="480" w:firstLineChars="200"/>
        <w:jc w:val="left"/>
        <w:rPr>
          <w:rFonts w:hint="default" w:ascii="Calibri" w:hAnsi="Calibri" w:cs="Calibri"/>
          <w:bCs/>
          <w:color w:val="auto"/>
          <w:sz w:val="24"/>
          <w:szCs w:val="24"/>
          <w:highlight w:val="none"/>
        </w:rPr>
      </w:pPr>
      <w:r>
        <w:rPr>
          <w:rFonts w:hint="default" w:ascii="Calibri" w:hAnsi="Calibri" w:cs="Calibri"/>
          <w:color w:val="auto"/>
          <w:sz w:val="24"/>
          <w:szCs w:val="24"/>
          <w:highlight w:val="none"/>
          <w:lang w:eastAsia="zh-CN"/>
        </w:rPr>
        <w:t>3、</w:t>
      </w:r>
      <w:r>
        <w:rPr>
          <w:rFonts w:hint="default" w:ascii="Calibri" w:hAnsi="Calibri" w:cs="Calibri"/>
          <w:color w:val="auto"/>
          <w:sz w:val="24"/>
          <w:szCs w:val="24"/>
          <w:highlight w:val="none"/>
          <w:lang w:val="zh-CN" w:eastAsia="zh-CN"/>
        </w:rPr>
        <w:t>本合同应按照中华人民共和国的现行法律进行解释。</w:t>
      </w:r>
    </w:p>
    <w:tbl>
      <w:tblPr>
        <w:tblStyle w:val="2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9" w:type="dxa"/>
            <w:tcBorders>
              <w:top w:val="nil"/>
              <w:bottom w:val="nil"/>
            </w:tcBorders>
            <w:noWrap w:val="0"/>
            <w:vAlign w:val="top"/>
          </w:tcPr>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甲方（采购人）：（盖章）</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法定代表人：</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委托代理人：</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电话：</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开户银行：</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账号：</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单位地址：</w:t>
            </w:r>
          </w:p>
          <w:p>
            <w:pPr>
              <w:spacing w:line="360" w:lineRule="auto"/>
              <w:jc w:val="left"/>
              <w:rPr>
                <w:rFonts w:hint="default" w:ascii="Calibri" w:hAnsi="Calibri" w:cs="Calibri"/>
                <w:color w:val="auto"/>
                <w:sz w:val="24"/>
                <w:szCs w:val="24"/>
                <w:highlight w:val="none"/>
              </w:rPr>
            </w:pPr>
            <w:r>
              <w:rPr>
                <w:rFonts w:hint="default" w:ascii="Calibri" w:hAnsi="Calibri" w:cs="Calibri"/>
                <w:bCs/>
                <w:color w:val="auto"/>
                <w:sz w:val="24"/>
                <w:szCs w:val="24"/>
                <w:highlight w:val="none"/>
              </w:rPr>
              <w:t>日期：</w:t>
            </w:r>
          </w:p>
        </w:tc>
        <w:tc>
          <w:tcPr>
            <w:tcW w:w="4230" w:type="dxa"/>
            <w:tcBorders>
              <w:top w:val="nil"/>
              <w:bottom w:val="nil"/>
            </w:tcBorders>
            <w:noWrap w:val="0"/>
            <w:vAlign w:val="top"/>
          </w:tcPr>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乙方（供应商）：（盖章）</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委托代表人：</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项目负责人：</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电话：</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开户银行：</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账号：</w:t>
            </w:r>
          </w:p>
          <w:p>
            <w:pPr>
              <w:spacing w:line="360" w:lineRule="auto"/>
              <w:jc w:val="left"/>
              <w:rPr>
                <w:rFonts w:hint="default" w:ascii="Calibri" w:hAnsi="Calibri" w:cs="Calibri"/>
                <w:bCs/>
                <w:color w:val="auto"/>
                <w:sz w:val="24"/>
                <w:szCs w:val="24"/>
                <w:highlight w:val="none"/>
              </w:rPr>
            </w:pPr>
            <w:r>
              <w:rPr>
                <w:rFonts w:hint="default" w:ascii="Calibri" w:hAnsi="Calibri" w:cs="Calibri"/>
                <w:bCs/>
                <w:color w:val="auto"/>
                <w:sz w:val="24"/>
                <w:szCs w:val="24"/>
                <w:highlight w:val="none"/>
              </w:rPr>
              <w:t>单位地址：</w:t>
            </w:r>
          </w:p>
          <w:p>
            <w:pPr>
              <w:spacing w:line="360" w:lineRule="auto"/>
              <w:jc w:val="left"/>
              <w:rPr>
                <w:rFonts w:hint="default" w:ascii="Calibri" w:hAnsi="Calibri" w:cs="Calibri"/>
                <w:color w:val="auto"/>
                <w:sz w:val="24"/>
                <w:szCs w:val="24"/>
                <w:highlight w:val="none"/>
              </w:rPr>
            </w:pPr>
            <w:r>
              <w:rPr>
                <w:rFonts w:hint="default" w:ascii="Calibri" w:hAnsi="Calibri" w:cs="Calibri"/>
                <w:bCs/>
                <w:color w:val="auto"/>
                <w:sz w:val="24"/>
                <w:szCs w:val="24"/>
                <w:highlight w:val="none"/>
              </w:rPr>
              <w:t>日期：</w:t>
            </w:r>
          </w:p>
        </w:tc>
      </w:tr>
    </w:tbl>
    <w:p>
      <w:pPr>
        <w:rPr>
          <w:rFonts w:hint="default" w:ascii="Calibri" w:hAnsi="Calibri" w:cs="Calibri"/>
          <w:color w:val="auto"/>
          <w:sz w:val="24"/>
          <w:szCs w:val="24"/>
          <w:highlight w:val="none"/>
        </w:rPr>
      </w:pPr>
    </w:p>
    <w:p>
      <w:pPr>
        <w:pStyle w:val="10"/>
        <w:spacing w:line="360" w:lineRule="auto"/>
        <w:ind w:left="0" w:leftChars="0" w:firstLine="0" w:firstLineChars="0"/>
        <w:rPr>
          <w:rFonts w:hint="default" w:ascii="Calibri" w:hAnsi="Calibri" w:cs="Calibri"/>
          <w:color w:val="auto"/>
          <w:sz w:val="24"/>
          <w:szCs w:val="24"/>
          <w:highlight w:val="none"/>
        </w:rPr>
      </w:pPr>
    </w:p>
    <w:p>
      <w:pPr>
        <w:pStyle w:val="24"/>
        <w:ind w:firstLine="482"/>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b/>
          <w:color w:val="auto"/>
          <w:sz w:val="36"/>
          <w:szCs w:val="36"/>
          <w:highlight w:val="none"/>
          <w:lang w:eastAsia="zh-CN"/>
        </w:rPr>
        <w:t>廉 洁 合 同</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发包人（甲方）：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（以下简称发包人）</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承包人（乙方）：</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lang w:eastAsia="zh-CN"/>
        </w:rPr>
        <w:t>（以下简称承包人）</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为了在</w:t>
      </w:r>
      <w:r>
        <w:rPr>
          <w:rFonts w:hint="eastAsia" w:ascii="宋体" w:hAnsi="宋体" w:eastAsia="宋体" w:cs="宋体"/>
          <w:color w:val="auto"/>
          <w:sz w:val="22"/>
          <w:szCs w:val="22"/>
          <w:highlight w:val="none"/>
          <w:u w:val="single"/>
          <w:lang w:val="en-US" w:eastAsia="zh-CN"/>
        </w:rPr>
        <w:t xml:space="preserve"> 力学小学等9所学校校园无线网改造项目</w:t>
      </w:r>
      <w:r>
        <w:rPr>
          <w:rFonts w:hint="eastAsia" w:ascii="宋体" w:hAnsi="宋体" w:eastAsia="宋体" w:cs="宋体"/>
          <w:color w:val="auto"/>
          <w:sz w:val="22"/>
          <w:szCs w:val="22"/>
          <w:highlight w:val="none"/>
          <w:lang w:eastAsia="zh-CN"/>
        </w:rPr>
        <w:t xml:space="preserve"> 建设中保持廉洁自律的工作作风，防止各种不正当行为的发生，根据廉政建设的各项规定，结合项目的特点，特定立本合同如下：</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一、甲乙双方应当自觉遵守国家和所在地区关于项目承发包工作规则和廉政建设的各项规定。</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二、发包人及其工作人员不得以任何形式向承包人索要和收受回扣等好处费。</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三、发包人工作人员应当保持与承包人的正常业务交往，不得接受承包人的礼金、有价证券和贵重物品，不得在承包人报销任何应由个人支付的费用。</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四、发包人工作人员不得参加可能对公正执行公务有影响的宴请和娱乐活动。</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五、发包人工作人员不得要求或者接受承包人为其住房装修、婚丧嫁娶、家属和子女的工作安排以及出国提供方便。</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六、发包人工作人员不得向承包人介绍家属或者亲友从事与发包人工程有关的材料设备供应、工程分包等经济活动。</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七、发包人不得在政策保障、社会扶持、救灾救济款物分配等事项目对承包人及其特定关系人进行倾斜优待。</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八、承包人应当通过正常途径开展相对业务工作，不得为获取某些不正当利益而向发包人工作人员赠送礼金、有价证券和贵重物品等。</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九、承包人不得为谋取私利擅自与发包人工作人员就项目承包、项目费用、材料设备供应、工程量变动、工程验收、质量问题等进行私下商谈或者达成默契。</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十、承包人不得以洽谈业务、签订经济合同为借口，邀请发包人工作人员外出旅游和进入营业性高档娱乐场所。</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十一、承包人不得为发包人单位和个人购置或者提供通讯工具、交通工具、家电、高档办公用品等物品。</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十二、承包人不得向发包人家属或者亲友、身边工作人员和其他特定关系人提供可能对公正执行公务有影响的业务往来、严重偏离市场价的大额商品交易等特定利益输送行为。</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三、承包人如发现发包人工作人员有违反上述协议者，应向发包人领导或者发包人上级单位举报。发包人不得找任何借口对承包人进行报复。发包人对举报属实和严格遵守廉洁协议的一方，在同等条件下给与承接后续工程的优先邀请投标权。</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十四、发包人发现承包人有违反本协议或者采取不正当的手段行贿发包人工作人员，发包人根据具体情节和造成的后果追究承包人项目合同造价 1－5％的违约金。由此给发包人单位造成的损失均有承包人承担，承包人用不正当手段获取的非法所得由发包人单位予以追缴。承包人违约行为将记录在案，情节严重的将记入黑名单。</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十五、本廉洁合同作为 主合同 的附件，与本合同具有同等法律效力。经协议双方签署后立即生效。</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十六、本合同一式 捌 份，发包人执 肆 份，承包人执 肆 份。</w:t>
      </w:r>
    </w:p>
    <w:p>
      <w:pPr>
        <w:pStyle w:val="24"/>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（本项目为签署页）</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发包人：（盖章）                      承包人：（盖章）</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                            法定代表人</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或委托代理人：                        或委托代理人：</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通讯地址：                            通讯地址：</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联系电话：                            联系电话：</w:t>
      </w:r>
    </w:p>
    <w:p>
      <w:pPr>
        <w:pStyle w:val="24"/>
        <w:keepNext w:val="0"/>
        <w:keepLines w:val="0"/>
        <w:pageBreakBefore w:val="0"/>
        <w:widowControl w:val="0"/>
        <w:kinsoku/>
        <w:wordWrap/>
        <w:overflowPunct/>
        <w:topLinePunct w:val="0"/>
        <w:autoSpaceDE/>
        <w:autoSpaceDN/>
        <w:bidi w:val="0"/>
        <w:adjustRightInd/>
        <w:snapToGrid/>
        <w:spacing w:line="240" w:lineRule="atLeast"/>
        <w:ind w:left="0" w:leftChars="0" w:firstLine="440" w:firstLineChars="200"/>
        <w:textAlignment w:val="auto"/>
        <w:rPr>
          <w:rFonts w:hint="eastAsia" w:ascii="宋体" w:hAnsi="宋体" w:cs="宋体"/>
          <w:color w:val="auto"/>
          <w:sz w:val="22"/>
          <w:szCs w:val="22"/>
          <w:highlight w:val="none"/>
        </w:rPr>
        <w:sectPr>
          <w:footerReference r:id="rId12" w:type="default"/>
          <w:pgSz w:w="11910" w:h="16840"/>
          <w:pgMar w:top="1440" w:right="1080" w:bottom="1440" w:left="1080" w:header="720" w:footer="720" w:gutter="0"/>
          <w:pgNumType w:fmt="decimal"/>
          <w:cols w:space="720" w:num="1"/>
        </w:sectPr>
      </w:pPr>
      <w:r>
        <w:rPr>
          <w:rFonts w:hint="eastAsia" w:eastAsia="宋体"/>
          <w:color w:val="auto"/>
          <w:sz w:val="22"/>
          <w:szCs w:val="22"/>
          <w:highlight w:val="none"/>
          <w:lang w:eastAsia="zh-CN"/>
        </w:rPr>
        <w:t>签约日期：</w:t>
      </w:r>
      <w:r>
        <w:rPr>
          <w:rFonts w:eastAsia="宋体"/>
          <w:color w:val="auto"/>
          <w:sz w:val="22"/>
          <w:szCs w:val="22"/>
          <w:highlight w:val="none"/>
          <w:lang w:eastAsia="zh-CN"/>
        </w:rPr>
        <w:t xml:space="preserve"> </w:t>
      </w:r>
      <w:r>
        <w:rPr>
          <w:rFonts w:hint="eastAsia" w:eastAsia="宋体"/>
          <w:color w:val="auto"/>
          <w:sz w:val="22"/>
          <w:szCs w:val="22"/>
          <w:highlight w:val="none"/>
          <w:lang w:eastAsia="zh-CN"/>
        </w:rPr>
        <w:t>年</w:t>
      </w:r>
      <w:r>
        <w:rPr>
          <w:rFonts w:eastAsia="宋体"/>
          <w:color w:val="auto"/>
          <w:sz w:val="22"/>
          <w:szCs w:val="22"/>
          <w:highlight w:val="none"/>
          <w:lang w:eastAsia="zh-CN"/>
        </w:rPr>
        <w:t xml:space="preserve"> </w:t>
      </w:r>
      <w:r>
        <w:rPr>
          <w:rFonts w:hint="eastAsia" w:eastAsia="宋体"/>
          <w:color w:val="auto"/>
          <w:sz w:val="22"/>
          <w:szCs w:val="22"/>
          <w:highlight w:val="none"/>
          <w:lang w:eastAsia="zh-CN"/>
        </w:rPr>
        <w:t>月</w:t>
      </w:r>
      <w:r>
        <w:rPr>
          <w:rFonts w:eastAsia="宋体"/>
          <w:color w:val="auto"/>
          <w:sz w:val="22"/>
          <w:szCs w:val="22"/>
          <w:highlight w:val="none"/>
          <w:lang w:eastAsia="zh-CN"/>
        </w:rPr>
        <w:t xml:space="preserve"> </w:t>
      </w:r>
      <w:r>
        <w:rPr>
          <w:rFonts w:hint="eastAsia" w:eastAsia="宋体"/>
          <w:color w:val="auto"/>
          <w:sz w:val="22"/>
          <w:szCs w:val="22"/>
          <w:highlight w:val="none"/>
          <w:lang w:eastAsia="zh-CN"/>
        </w:rPr>
        <w:t>日</w:t>
      </w:r>
    </w:p>
    <w:bookmarkEnd w:id="99"/>
    <w:bookmarkEnd w:id="100"/>
    <w:bookmarkEnd w:id="101"/>
    <w:p>
      <w:pPr>
        <w:spacing w:before="100" w:after="100" w:line="240" w:lineRule="auto"/>
        <w:jc w:val="center"/>
        <w:outlineLvl w:val="0"/>
        <w:rPr>
          <w:sz w:val="36"/>
          <w:szCs w:val="36"/>
          <w:highlight w:val="none"/>
        </w:rPr>
      </w:pPr>
      <w:bookmarkStart w:id="102" w:name="_Toc23640"/>
      <w:bookmarkStart w:id="103" w:name="_Toc44419902"/>
      <w:bookmarkStart w:id="104" w:name="_Toc29880"/>
      <w:bookmarkStart w:id="105" w:name="_Toc17023"/>
      <w:r>
        <w:rPr>
          <w:sz w:val="36"/>
          <w:szCs w:val="36"/>
          <w:highlight w:val="none"/>
        </w:rPr>
        <w:t>第六章  附</w:t>
      </w:r>
      <w:r>
        <w:rPr>
          <w:rFonts w:hint="eastAsia"/>
          <w:sz w:val="36"/>
          <w:szCs w:val="36"/>
          <w:highlight w:val="none"/>
          <w:lang w:val="en-US" w:eastAsia="zh-CN"/>
        </w:rPr>
        <w:t xml:space="preserve">  </w:t>
      </w:r>
      <w:r>
        <w:rPr>
          <w:sz w:val="36"/>
          <w:szCs w:val="36"/>
          <w:highlight w:val="none"/>
        </w:rPr>
        <w:t>件</w:t>
      </w:r>
      <w:bookmarkEnd w:id="102"/>
      <w:bookmarkEnd w:id="103"/>
      <w:bookmarkEnd w:id="104"/>
      <w:bookmarkEnd w:id="105"/>
    </w:p>
    <w:p>
      <w:pPr>
        <w:spacing w:line="440" w:lineRule="exact"/>
        <w:outlineLvl w:val="9"/>
        <w:rPr>
          <w:rStyle w:val="23"/>
          <w:rFonts w:ascii="宋体" w:hAnsi="宋体"/>
          <w:sz w:val="20"/>
          <w:szCs w:val="20"/>
          <w:highlight w:val="none"/>
        </w:rPr>
      </w:pPr>
    </w:p>
    <w:p>
      <w:pPr>
        <w:pStyle w:val="6"/>
        <w:outlineLvl w:val="9"/>
        <w:rPr>
          <w:rStyle w:val="23"/>
          <w:rFonts w:ascii="宋体" w:hAnsi="宋体"/>
          <w:sz w:val="20"/>
          <w:highlight w:val="none"/>
        </w:rPr>
      </w:pPr>
    </w:p>
    <w:p>
      <w:pPr>
        <w:pStyle w:val="6"/>
        <w:outlineLvl w:val="9"/>
        <w:rPr>
          <w:rStyle w:val="23"/>
          <w:rFonts w:ascii="宋体" w:hAnsi="宋体"/>
          <w:sz w:val="20"/>
          <w:highlight w:val="none"/>
        </w:rPr>
      </w:pPr>
    </w:p>
    <w:p>
      <w:pPr>
        <w:pStyle w:val="6"/>
        <w:outlineLvl w:val="9"/>
        <w:rPr>
          <w:rStyle w:val="23"/>
          <w:rFonts w:ascii="宋体" w:hAnsi="宋体"/>
          <w:sz w:val="20"/>
          <w:highlight w:val="none"/>
        </w:rPr>
      </w:pPr>
    </w:p>
    <w:p>
      <w:pPr>
        <w:pStyle w:val="6"/>
        <w:outlineLvl w:val="9"/>
        <w:rPr>
          <w:rStyle w:val="23"/>
          <w:rFonts w:ascii="宋体" w:hAnsi="宋体"/>
          <w:sz w:val="20"/>
          <w:highlight w:val="none"/>
        </w:rPr>
      </w:pPr>
    </w:p>
    <w:p>
      <w:pPr>
        <w:pStyle w:val="6"/>
        <w:outlineLvl w:val="9"/>
        <w:rPr>
          <w:rStyle w:val="23"/>
          <w:rFonts w:ascii="宋体" w:hAnsi="宋体"/>
          <w:sz w:val="20"/>
          <w:highlight w:val="none"/>
        </w:rPr>
      </w:pPr>
    </w:p>
    <w:p>
      <w:pPr>
        <w:jc w:val="center"/>
        <w:outlineLvl w:val="9"/>
        <w:rPr>
          <w:rFonts w:ascii="宋体" w:hAnsi="宋体"/>
          <w:b/>
          <w:sz w:val="72"/>
          <w:highlight w:val="none"/>
        </w:rPr>
      </w:pPr>
      <w:bookmarkStart w:id="106" w:name="_Toc3824_WPSOffice_Level1"/>
      <w:r>
        <w:rPr>
          <w:rFonts w:hint="eastAsia" w:ascii="宋体" w:hAnsi="宋体"/>
          <w:b/>
          <w:sz w:val="72"/>
          <w:highlight w:val="none"/>
        </w:rPr>
        <w:t>投  标  文  件</w:t>
      </w:r>
      <w:bookmarkEnd w:id="106"/>
    </w:p>
    <w:p>
      <w:pPr>
        <w:ind w:firstLine="3708" w:firstLineChars="1026"/>
        <w:outlineLvl w:val="9"/>
        <w:rPr>
          <w:rFonts w:ascii="宋体" w:hAnsi="宋体"/>
          <w:b/>
          <w:sz w:val="36"/>
          <w:highlight w:val="none"/>
        </w:rPr>
      </w:pPr>
    </w:p>
    <w:p>
      <w:pPr>
        <w:jc w:val="center"/>
        <w:outlineLvl w:val="9"/>
        <w:rPr>
          <w:rFonts w:ascii="宋体" w:hAnsi="宋体"/>
          <w:b/>
          <w:sz w:val="72"/>
          <w:highlight w:val="none"/>
        </w:rPr>
      </w:pPr>
    </w:p>
    <w:p>
      <w:pPr>
        <w:jc w:val="center"/>
        <w:outlineLvl w:val="9"/>
        <w:rPr>
          <w:rFonts w:ascii="宋体" w:hAnsi="宋体"/>
          <w:b/>
          <w:sz w:val="36"/>
          <w:highlight w:val="none"/>
        </w:rPr>
      </w:pPr>
    </w:p>
    <w:p>
      <w:pPr>
        <w:jc w:val="center"/>
        <w:outlineLvl w:val="9"/>
        <w:rPr>
          <w:rFonts w:ascii="宋体" w:hAnsi="宋体"/>
          <w:b/>
          <w:sz w:val="36"/>
          <w:highlight w:val="none"/>
        </w:rPr>
      </w:pPr>
    </w:p>
    <w:p>
      <w:pPr>
        <w:jc w:val="center"/>
        <w:outlineLvl w:val="9"/>
        <w:rPr>
          <w:rFonts w:ascii="宋体" w:hAnsi="宋体"/>
          <w:b/>
          <w:sz w:val="36"/>
          <w:highlight w:val="none"/>
        </w:rPr>
      </w:pPr>
    </w:p>
    <w:p>
      <w:pPr>
        <w:ind w:firstLine="1084" w:firstLineChars="300"/>
        <w:outlineLvl w:val="9"/>
        <w:rPr>
          <w:rFonts w:ascii="宋体" w:hAnsi="宋体"/>
          <w:b/>
          <w:sz w:val="36"/>
          <w:highlight w:val="none"/>
        </w:rPr>
      </w:pPr>
      <w:bookmarkStart w:id="107" w:name="_Toc21865_WPSOffice_Level1"/>
      <w:r>
        <w:rPr>
          <w:rFonts w:hint="eastAsia" w:ascii="宋体" w:hAnsi="宋体"/>
          <w:b/>
          <w:sz w:val="36"/>
          <w:highlight w:val="none"/>
        </w:rPr>
        <w:t>项 目 编号：</w:t>
      </w:r>
      <w:bookmarkEnd w:id="107"/>
      <w:r>
        <w:rPr>
          <w:rFonts w:hint="eastAsia" w:ascii="宋体" w:hAnsi="宋体"/>
          <w:b/>
          <w:sz w:val="36"/>
          <w:highlight w:val="none"/>
        </w:rPr>
        <w:t xml:space="preserve"> </w:t>
      </w:r>
      <w:r>
        <w:rPr>
          <w:rFonts w:hint="eastAsia" w:ascii="宋体" w:hAnsi="宋体"/>
          <w:b/>
          <w:sz w:val="36"/>
          <w:highlight w:val="none"/>
          <w:u w:val="single"/>
        </w:rPr>
        <w:t xml:space="preserve">               </w:t>
      </w:r>
    </w:p>
    <w:p>
      <w:pPr>
        <w:ind w:firstLine="1084" w:firstLineChars="300"/>
        <w:outlineLvl w:val="9"/>
        <w:rPr>
          <w:rFonts w:ascii="宋体" w:hAnsi="宋体"/>
          <w:b/>
          <w:sz w:val="36"/>
          <w:highlight w:val="none"/>
          <w:u w:val="single"/>
        </w:rPr>
      </w:pPr>
      <w:bookmarkStart w:id="108" w:name="_Toc23302_WPSOffice_Level1"/>
      <w:r>
        <w:rPr>
          <w:rFonts w:hint="eastAsia" w:ascii="宋体" w:hAnsi="宋体"/>
          <w:b/>
          <w:sz w:val="36"/>
          <w:highlight w:val="none"/>
        </w:rPr>
        <w:t>项 目 名称：</w:t>
      </w:r>
      <w:bookmarkEnd w:id="108"/>
      <w:r>
        <w:rPr>
          <w:rFonts w:hint="eastAsia" w:ascii="宋体" w:hAnsi="宋体"/>
          <w:b/>
          <w:sz w:val="36"/>
          <w:highlight w:val="none"/>
        </w:rPr>
        <w:t xml:space="preserve"> </w:t>
      </w:r>
      <w:r>
        <w:rPr>
          <w:rFonts w:hint="eastAsia" w:ascii="宋体" w:hAnsi="宋体"/>
          <w:b/>
          <w:sz w:val="36"/>
          <w:highlight w:val="none"/>
          <w:u w:val="single"/>
        </w:rPr>
        <w:t xml:space="preserve">               </w:t>
      </w:r>
    </w:p>
    <w:p>
      <w:pPr>
        <w:outlineLvl w:val="9"/>
        <w:rPr>
          <w:rFonts w:ascii="宋体" w:hAnsi="宋体"/>
          <w:b/>
          <w:sz w:val="36"/>
          <w:highlight w:val="none"/>
        </w:rPr>
      </w:pPr>
    </w:p>
    <w:p>
      <w:pPr>
        <w:outlineLvl w:val="9"/>
        <w:rPr>
          <w:rFonts w:ascii="宋体" w:hAnsi="宋体"/>
          <w:b/>
          <w:sz w:val="36"/>
          <w:highlight w:val="none"/>
        </w:rPr>
      </w:pPr>
    </w:p>
    <w:p>
      <w:pPr>
        <w:outlineLvl w:val="9"/>
        <w:rPr>
          <w:rFonts w:ascii="宋体" w:hAnsi="宋体"/>
          <w:b/>
          <w:sz w:val="36"/>
          <w:highlight w:val="none"/>
        </w:rPr>
      </w:pPr>
    </w:p>
    <w:p>
      <w:pPr>
        <w:outlineLvl w:val="9"/>
        <w:rPr>
          <w:rFonts w:ascii="宋体" w:hAnsi="宋体"/>
          <w:b/>
          <w:sz w:val="36"/>
          <w:highlight w:val="none"/>
        </w:rPr>
      </w:pPr>
    </w:p>
    <w:p>
      <w:pPr>
        <w:outlineLvl w:val="9"/>
        <w:rPr>
          <w:rFonts w:ascii="宋体" w:hAnsi="宋体"/>
          <w:b/>
          <w:sz w:val="36"/>
          <w:highlight w:val="none"/>
        </w:rPr>
      </w:pPr>
    </w:p>
    <w:p>
      <w:pPr>
        <w:outlineLvl w:val="9"/>
        <w:rPr>
          <w:rFonts w:ascii="宋体" w:hAnsi="宋体"/>
          <w:b/>
          <w:sz w:val="36"/>
          <w:highlight w:val="none"/>
          <w:u w:val="single"/>
        </w:rPr>
      </w:pPr>
      <w:r>
        <w:rPr>
          <w:rFonts w:hint="eastAsia" w:ascii="宋体" w:hAnsi="宋体"/>
          <w:b/>
          <w:sz w:val="36"/>
          <w:highlight w:val="none"/>
        </w:rPr>
        <w:t xml:space="preserve">       </w:t>
      </w:r>
      <w:bookmarkStart w:id="109" w:name="_Toc7622_WPSOffice_Level1"/>
      <w:r>
        <w:rPr>
          <w:rFonts w:hint="eastAsia" w:ascii="宋体" w:hAnsi="宋体"/>
          <w:b/>
          <w:sz w:val="36"/>
          <w:highlight w:val="none"/>
        </w:rPr>
        <w:t>供应商名称：</w:t>
      </w:r>
      <w:r>
        <w:rPr>
          <w:rFonts w:hint="eastAsia" w:ascii="宋体" w:hAnsi="宋体"/>
          <w:b/>
          <w:sz w:val="36"/>
          <w:highlight w:val="none"/>
          <w:u w:val="single"/>
        </w:rPr>
        <w:t xml:space="preserve">               </w:t>
      </w:r>
      <w:r>
        <w:rPr>
          <w:rFonts w:hint="eastAsia" w:ascii="宋体" w:hAnsi="宋体"/>
          <w:b/>
          <w:sz w:val="36"/>
          <w:highlight w:val="none"/>
        </w:rPr>
        <w:t>（盖章）</w:t>
      </w:r>
      <w:bookmarkEnd w:id="109"/>
      <w:r>
        <w:rPr>
          <w:rFonts w:hint="eastAsia" w:ascii="宋体" w:hAnsi="宋体"/>
          <w:b/>
          <w:sz w:val="36"/>
          <w:highlight w:val="none"/>
        </w:rPr>
        <w:t xml:space="preserve"> </w:t>
      </w:r>
    </w:p>
    <w:p>
      <w:pPr>
        <w:outlineLvl w:val="9"/>
        <w:rPr>
          <w:rFonts w:ascii="宋体" w:hAnsi="宋体"/>
          <w:b/>
          <w:sz w:val="36"/>
          <w:highlight w:val="none"/>
        </w:rPr>
      </w:pPr>
      <w:r>
        <w:rPr>
          <w:rFonts w:hint="eastAsia" w:ascii="宋体" w:hAnsi="宋体"/>
          <w:b/>
          <w:sz w:val="36"/>
          <w:highlight w:val="none"/>
        </w:rPr>
        <w:t xml:space="preserve">       </w:t>
      </w:r>
      <w:bookmarkStart w:id="110" w:name="_Toc32428_WPSOffice_Level1"/>
      <w:r>
        <w:rPr>
          <w:rFonts w:hint="eastAsia" w:ascii="宋体" w:hAnsi="宋体"/>
          <w:b/>
          <w:sz w:val="36"/>
          <w:highlight w:val="none"/>
        </w:rPr>
        <w:t>日      期：</w:t>
      </w:r>
      <w:bookmarkEnd w:id="110"/>
      <w:r>
        <w:rPr>
          <w:rFonts w:hint="eastAsia" w:ascii="宋体" w:hAnsi="宋体"/>
          <w:b/>
          <w:sz w:val="36"/>
          <w:highlight w:val="none"/>
          <w:u w:val="single"/>
        </w:rPr>
        <w:t xml:space="preserve">                      </w:t>
      </w:r>
    </w:p>
    <w:p>
      <w:pPr>
        <w:outlineLvl w:val="9"/>
        <w:rPr>
          <w:highlight w:val="none"/>
        </w:rPr>
      </w:pPr>
    </w:p>
    <w:p>
      <w:pPr>
        <w:ind w:left="-420"/>
        <w:jc w:val="center"/>
        <w:outlineLvl w:val="9"/>
        <w:rPr>
          <w:rFonts w:hint="eastAsia" w:ascii="宋体" w:hAnsi="宋体" w:eastAsia="宋体" w:cs="宋体"/>
          <w:highlight w:val="none"/>
        </w:rPr>
      </w:pPr>
      <w:r>
        <w:rPr>
          <w:rFonts w:ascii="宋体" w:hAnsi="宋体"/>
          <w:sz w:val="36"/>
          <w:highlight w:val="none"/>
        </w:rPr>
        <w:br w:type="page"/>
      </w:r>
      <w:bookmarkStart w:id="111" w:name="_Toc13494_WPSOffice_Level1"/>
      <w:bookmarkStart w:id="112" w:name="_Toc11867"/>
      <w:r>
        <w:rPr>
          <w:rFonts w:hint="eastAsia" w:ascii="宋体" w:hAnsi="宋体" w:eastAsia="宋体" w:cs="宋体"/>
          <w:b/>
          <w:bCs/>
          <w:sz w:val="28"/>
          <w:szCs w:val="36"/>
          <w:highlight w:val="none"/>
        </w:rPr>
        <w:t>资格性和符合性检查响应对照表</w:t>
      </w:r>
      <w:bookmarkEnd w:id="111"/>
      <w:bookmarkEnd w:id="112"/>
    </w:p>
    <w:p>
      <w:pPr>
        <w:snapToGrid w:val="0"/>
        <w:spacing w:before="50" w:after="50" w:line="360" w:lineRule="auto"/>
        <w:ind w:firstLine="235" w:firstLineChars="98"/>
        <w:outlineLvl w:val="9"/>
        <w:rPr>
          <w:rFonts w:hint="eastAsia" w:ascii="宋体" w:hAnsi="宋体" w:eastAsia="宋体" w:cs="宋体"/>
          <w:sz w:val="24"/>
          <w:highlight w:val="none"/>
          <w:u w:val="single"/>
        </w:rPr>
      </w:pPr>
      <w:r>
        <w:rPr>
          <w:rFonts w:hint="eastAsia" w:ascii="宋体" w:hAnsi="宋体" w:eastAsia="宋体" w:cs="宋体"/>
          <w:sz w:val="24"/>
          <w:highlight w:val="none"/>
        </w:rPr>
        <w:t>项目名称：                                         项目编号：</w:t>
      </w:r>
    </w:p>
    <w:tbl>
      <w:tblPr>
        <w:tblStyle w:val="20"/>
        <w:tblW w:w="9676" w:type="dxa"/>
        <w:jc w:val="center"/>
        <w:tblLayout w:type="fixed"/>
        <w:tblCellMar>
          <w:top w:w="0" w:type="dxa"/>
          <w:left w:w="0" w:type="dxa"/>
          <w:bottom w:w="0" w:type="dxa"/>
          <w:right w:w="0" w:type="dxa"/>
        </w:tblCellMar>
      </w:tblPr>
      <w:tblGrid>
        <w:gridCol w:w="736"/>
        <w:gridCol w:w="5552"/>
        <w:gridCol w:w="1680"/>
        <w:gridCol w:w="189"/>
        <w:gridCol w:w="1519"/>
      </w:tblGrid>
      <w:tr>
        <w:tblPrEx>
          <w:tblCellMar>
            <w:top w:w="0" w:type="dxa"/>
            <w:left w:w="0" w:type="dxa"/>
            <w:bottom w:w="0" w:type="dxa"/>
            <w:right w:w="0" w:type="dxa"/>
          </w:tblCellMar>
        </w:tblPrEx>
        <w:trPr>
          <w:trHeight w:val="284" w:hRule="atLeast"/>
          <w:jc w:val="center"/>
        </w:trPr>
        <w:tc>
          <w:tcPr>
            <w:tcW w:w="8157" w:type="dxa"/>
            <w:gridSpan w:val="4"/>
            <w:tcBorders>
              <w:top w:val="nil"/>
              <w:left w:val="nil"/>
              <w:bottom w:val="single" w:color="auto" w:sz="6" w:space="0"/>
              <w:right w:val="nil"/>
            </w:tcBorders>
            <w:noWrap w:val="0"/>
            <w:vAlign w:val="center"/>
          </w:tcPr>
          <w:p>
            <w:pPr>
              <w:widowControl/>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项目名称：</w:t>
            </w:r>
          </w:p>
        </w:tc>
        <w:tc>
          <w:tcPr>
            <w:tcW w:w="1519" w:type="dxa"/>
            <w:tcBorders>
              <w:top w:val="nil"/>
              <w:left w:val="nil"/>
              <w:bottom w:val="single" w:color="auto" w:sz="6" w:space="0"/>
              <w:right w:val="nil"/>
            </w:tcBorders>
            <w:noWrap w:val="0"/>
            <w:vAlign w:val="center"/>
          </w:tcPr>
          <w:p>
            <w:pPr>
              <w:widowControl/>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资格性审查响应内容</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是否响应</w:t>
            </w:r>
          </w:p>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（填是或者否）</w:t>
            </w: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招标</w:t>
            </w:r>
            <w:r>
              <w:rPr>
                <w:rFonts w:hint="eastAsia" w:ascii="宋体" w:hAnsi="宋体" w:eastAsia="宋体" w:cs="宋体"/>
                <w:color w:val="auto"/>
                <w:kern w:val="0"/>
                <w:sz w:val="21"/>
                <w:szCs w:val="21"/>
                <w:highlight w:val="none"/>
                <w:lang w:val="zh-CN"/>
              </w:rPr>
              <w:t>文件中的</w:t>
            </w:r>
          </w:p>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5552"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符合性审查响应内容</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是否响应</w:t>
            </w:r>
          </w:p>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（填是或者否）</w:t>
            </w: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cs="宋体"/>
                <w:b w:val="0"/>
                <w:bCs w:val="0"/>
                <w:color w:val="auto"/>
                <w:kern w:val="0"/>
                <w:sz w:val="21"/>
                <w:szCs w:val="21"/>
                <w:highlight w:val="none"/>
                <w:lang w:val="zh-CN"/>
              </w:rPr>
              <w:t>招标</w:t>
            </w:r>
            <w:r>
              <w:rPr>
                <w:rFonts w:hint="eastAsia" w:ascii="宋体" w:hAnsi="宋体" w:eastAsia="宋体" w:cs="宋体"/>
                <w:color w:val="auto"/>
                <w:kern w:val="0"/>
                <w:sz w:val="21"/>
                <w:szCs w:val="21"/>
                <w:highlight w:val="none"/>
                <w:lang w:val="zh-CN"/>
              </w:rPr>
              <w:t>文件中的</w:t>
            </w:r>
          </w:p>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36"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5552" w:type="dxa"/>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未按照招标文件规定要求密封、签署、盖章的；</w:t>
            </w:r>
          </w:p>
        </w:tc>
        <w:tc>
          <w:tcPr>
            <w:tcW w:w="1680"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5552" w:type="dxa"/>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投标总价超出采购预算金额或者最高限价的；</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p>
        </w:tc>
        <w:tc>
          <w:tcPr>
            <w:tcW w:w="5552" w:type="dxa"/>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不同供应商的响应文件由同一单位或者个人编制；</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4</w:t>
            </w:r>
          </w:p>
        </w:tc>
        <w:tc>
          <w:tcPr>
            <w:tcW w:w="5552" w:type="dxa"/>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不同供应商委托同一单位或者个人办理投标事宜；</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6" w:type="dxa"/>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5</w:t>
            </w:r>
          </w:p>
        </w:tc>
        <w:tc>
          <w:tcPr>
            <w:tcW w:w="5552" w:type="dxa"/>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不同供应商的响应文件载明的项目管理成员或者联系人员为同一人；</w:t>
            </w:r>
          </w:p>
        </w:tc>
        <w:tc>
          <w:tcPr>
            <w:tcW w:w="1680" w:type="dxa"/>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1708" w:type="dxa"/>
            <w:gridSpan w:val="2"/>
            <w:noWrap w:val="0"/>
            <w:vAlign w:val="center"/>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不同供应商的响应文件异常一致或者投标报价呈规律性差异；</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不同供应商的响应文件相互混装；</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不同供应商的投标保证金从同一单位或者个人的账户转出；</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不同供应商的法定代表人或委托代理人有夫妻、直系血亲关系的；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不同供应商的负责人为同一人或者存在控股、管理关系的；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服务承诺和付款条件未响应招标要求的；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响应文件含有采购人不能接受的附加条件的；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评标委员会认为供应商的报价明显低于其他通过符合性审查供应商的报价，有可能影响产品质量或者不能诚信履约的，未在评标现场合理的时间内提供书面说明或相关证明材料，不能证明其报价合理的；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改变</w:t>
            </w:r>
            <w:r>
              <w:rPr>
                <w:rFonts w:hint="eastAsia" w:ascii="宋体" w:hAnsi="宋体" w:cs="宋体"/>
                <w:snapToGrid/>
                <w:color w:val="auto"/>
                <w:spacing w:val="0"/>
                <w:kern w:val="2"/>
                <w:sz w:val="21"/>
                <w:szCs w:val="21"/>
                <w:highlight w:val="none"/>
                <w:lang w:eastAsia="zh-CN"/>
              </w:rPr>
              <w:t>招标</w:t>
            </w:r>
            <w:r>
              <w:rPr>
                <w:rFonts w:hint="eastAsia" w:ascii="宋体" w:hAnsi="宋体" w:eastAsia="宋体" w:cs="宋体"/>
                <w:snapToGrid/>
                <w:color w:val="auto"/>
                <w:spacing w:val="0"/>
                <w:kern w:val="2"/>
                <w:sz w:val="21"/>
                <w:szCs w:val="21"/>
                <w:highlight w:val="none"/>
              </w:rPr>
              <w:t>文件提供的清单中计量单位、数量的；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与</w:t>
            </w:r>
            <w:r>
              <w:rPr>
                <w:rFonts w:hint="eastAsia" w:ascii="宋体" w:hAnsi="宋体" w:cs="宋体"/>
                <w:snapToGrid/>
                <w:color w:val="auto"/>
                <w:spacing w:val="0"/>
                <w:kern w:val="2"/>
                <w:sz w:val="21"/>
                <w:szCs w:val="21"/>
                <w:highlight w:val="none"/>
                <w:lang w:eastAsia="zh-CN"/>
              </w:rPr>
              <w:t>招标</w:t>
            </w:r>
            <w:r>
              <w:rPr>
                <w:rFonts w:hint="eastAsia" w:ascii="宋体" w:hAnsi="宋体" w:eastAsia="宋体" w:cs="宋体"/>
                <w:snapToGrid/>
                <w:color w:val="auto"/>
                <w:spacing w:val="0"/>
                <w:kern w:val="2"/>
                <w:sz w:val="21"/>
                <w:szCs w:val="21"/>
                <w:highlight w:val="none"/>
              </w:rPr>
              <w:t>文件提供的清单中列出的不可竞争费用项目或费率或计算基础不一致。</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0" w:type="auto"/>
            <w:noWrap w:val="0"/>
            <w:vAlign w:val="center"/>
          </w:tcPr>
          <w:p>
            <w:pPr>
              <w:adjustRightInd w:val="0"/>
              <w:snapToGrid w:val="0"/>
              <w:spacing w:line="360" w:lineRule="auto"/>
              <w:jc w:val="both"/>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不符合</w:t>
            </w:r>
            <w:r>
              <w:rPr>
                <w:rFonts w:hint="eastAsia" w:ascii="宋体" w:hAnsi="宋体" w:cs="宋体"/>
                <w:snapToGrid/>
                <w:color w:val="auto"/>
                <w:spacing w:val="0"/>
                <w:kern w:val="2"/>
                <w:sz w:val="21"/>
                <w:szCs w:val="21"/>
                <w:highlight w:val="none"/>
                <w:lang w:eastAsia="zh-CN"/>
              </w:rPr>
              <w:t>招标</w:t>
            </w:r>
            <w:r>
              <w:rPr>
                <w:rFonts w:hint="eastAsia" w:ascii="宋体" w:hAnsi="宋体" w:eastAsia="宋体" w:cs="宋体"/>
                <w:snapToGrid/>
                <w:color w:val="auto"/>
                <w:spacing w:val="0"/>
                <w:kern w:val="2"/>
                <w:sz w:val="21"/>
                <w:szCs w:val="21"/>
                <w:highlight w:val="none"/>
              </w:rPr>
              <w:t>文件规定的其他实质性要求的；</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noWrap w:val="0"/>
            <w:vAlign w:val="center"/>
          </w:tcPr>
          <w:p>
            <w:pPr>
              <w:widowControl/>
              <w:adjustRightInd w:val="0"/>
              <w:spacing w:line="360" w:lineRule="auto"/>
              <w:jc w:val="both"/>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0" w:type="auto"/>
            <w:noWrap w:val="0"/>
            <w:vAlign w:val="center"/>
          </w:tcPr>
          <w:p>
            <w:pPr>
              <w:spacing w:line="240" w:lineRule="auto"/>
              <w:ind w:firstLine="0" w:firstLineChars="0"/>
              <w:jc w:val="both"/>
              <w:rPr>
                <w:rFonts w:hint="eastAsia" w:ascii="宋体" w:hAnsi="宋体" w:eastAsia="宋体" w:cs="宋体"/>
                <w:color w:val="auto"/>
                <w:kern w:val="2"/>
                <w:sz w:val="21"/>
                <w:szCs w:val="21"/>
                <w:highlight w:val="none"/>
                <w:lang w:val="zh-CN" w:eastAsia="zh-CN" w:bidi="ar-SA"/>
              </w:rPr>
            </w:pPr>
            <w:r>
              <w:rPr>
                <w:rFonts w:hint="eastAsia" w:ascii="宋体" w:hAnsi="宋体" w:cs="宋体"/>
                <w:snapToGrid/>
                <w:color w:val="FF0000"/>
                <w:spacing w:val="0"/>
                <w:kern w:val="2"/>
                <w:sz w:val="21"/>
                <w:szCs w:val="21"/>
                <w:highlight w:val="none"/>
                <w:lang w:eastAsia="zh-CN"/>
              </w:rPr>
              <w:t>不存在</w:t>
            </w:r>
            <w:r>
              <w:rPr>
                <w:rFonts w:hint="eastAsia" w:ascii="宋体" w:hAnsi="宋体" w:eastAsia="宋体" w:cs="宋体"/>
                <w:snapToGrid/>
                <w:color w:val="auto"/>
                <w:spacing w:val="0"/>
                <w:kern w:val="2"/>
                <w:sz w:val="21"/>
                <w:szCs w:val="21"/>
                <w:highlight w:val="none"/>
              </w:rPr>
              <w:t>不符合法律、法规规定的其他无效情形。</w:t>
            </w:r>
          </w:p>
        </w:tc>
        <w:tc>
          <w:tcPr>
            <w:tcW w:w="0" w:type="auto"/>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c>
          <w:tcPr>
            <w:tcW w:w="0" w:type="auto"/>
            <w:gridSpan w:val="2"/>
            <w:noWrap w:val="0"/>
            <w:vAlign w:val="top"/>
          </w:tcPr>
          <w:p>
            <w:pPr>
              <w:widowControl/>
              <w:adjustRightInd w:val="0"/>
              <w:spacing w:line="360" w:lineRule="auto"/>
              <w:jc w:val="center"/>
              <w:outlineLvl w:val="9"/>
              <w:rPr>
                <w:rFonts w:hint="eastAsia" w:ascii="宋体" w:hAnsi="宋体" w:eastAsia="宋体" w:cs="宋体"/>
                <w:color w:val="auto"/>
                <w:kern w:val="0"/>
                <w:sz w:val="21"/>
                <w:szCs w:val="21"/>
                <w:highlight w:val="none"/>
                <w:lang w:val="zh-CN"/>
              </w:rPr>
            </w:pPr>
          </w:p>
        </w:tc>
      </w:tr>
    </w:tbl>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adjustRightInd w:val="0"/>
        <w:spacing w:line="360" w:lineRule="auto"/>
        <w:jc w:val="left"/>
        <w:rPr>
          <w:rFonts w:hint="eastAsia" w:ascii="宋体" w:hAnsi="宋体" w:eastAsia="宋体" w:cs="宋体"/>
          <w:kern w:val="0"/>
          <w:sz w:val="24"/>
          <w:szCs w:val="24"/>
          <w:highlight w:val="none"/>
          <w:lang w:val="zh-CN"/>
        </w:rPr>
      </w:pPr>
    </w:p>
    <w:p>
      <w:pPr>
        <w:adjustRightIn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说明：如果行数不够，请自行增加。</w:t>
      </w:r>
    </w:p>
    <w:p>
      <w:pPr>
        <w:rPr>
          <w:rFonts w:hint="eastAsia" w:ascii="宋体" w:hAnsi="宋体" w:eastAsia="宋体" w:cs="宋体"/>
          <w:highlight w:val="none"/>
        </w:rPr>
      </w:pPr>
    </w:p>
    <w:p>
      <w:pPr>
        <w:rPr>
          <w:rFonts w:hint="eastAsia" w:ascii="宋体" w:hAnsi="宋体" w:eastAsia="宋体" w:cs="宋体"/>
          <w:highlight w:val="none"/>
        </w:rPr>
      </w:pPr>
    </w:p>
    <w:p>
      <w:pPr>
        <w:ind w:left="-420"/>
        <w:jc w:val="center"/>
        <w:outlineLvl w:val="9"/>
        <w:rPr>
          <w:rFonts w:hint="eastAsia" w:ascii="宋体" w:hAnsi="宋体" w:eastAsia="宋体" w:cs="宋体"/>
          <w:b/>
          <w:bCs/>
          <w:sz w:val="28"/>
          <w:szCs w:val="36"/>
          <w:highlight w:val="none"/>
        </w:rPr>
      </w:pPr>
      <w:bookmarkStart w:id="113" w:name="_Toc23132"/>
      <w:r>
        <w:rPr>
          <w:rFonts w:hint="eastAsia" w:ascii="宋体" w:hAnsi="宋体" w:eastAsia="宋体" w:cs="宋体"/>
          <w:highlight w:val="none"/>
        </w:rPr>
        <w:br w:type="page"/>
      </w:r>
      <w:bookmarkStart w:id="114" w:name="_Toc16174"/>
      <w:bookmarkStart w:id="115" w:name="_Toc19417_WPSOffice_Level1"/>
      <w:r>
        <w:rPr>
          <w:rFonts w:hint="eastAsia" w:ascii="宋体" w:hAnsi="宋体" w:eastAsia="宋体" w:cs="宋体"/>
          <w:b/>
          <w:bCs/>
          <w:sz w:val="28"/>
          <w:szCs w:val="36"/>
          <w:highlight w:val="none"/>
        </w:rPr>
        <w:t>评分索引表（可按需调整）</w:t>
      </w:r>
      <w:bookmarkEnd w:id="113"/>
      <w:bookmarkEnd w:id="114"/>
      <w:bookmarkEnd w:id="115"/>
    </w:p>
    <w:tbl>
      <w:tblPr>
        <w:tblStyle w:val="20"/>
        <w:tblpPr w:leftFromText="180" w:rightFromText="180" w:vertAnchor="text" w:horzAnchor="page" w:tblpX="1284" w:tblpY="414"/>
        <w:tblOverlap w:val="never"/>
        <w:tblW w:w="9559" w:type="dxa"/>
        <w:tblInd w:w="0" w:type="dxa"/>
        <w:tblLayout w:type="fixed"/>
        <w:tblCellMar>
          <w:top w:w="0" w:type="dxa"/>
          <w:left w:w="108" w:type="dxa"/>
          <w:bottom w:w="0" w:type="dxa"/>
          <w:right w:w="108" w:type="dxa"/>
        </w:tblCellMar>
      </w:tblPr>
      <w:tblGrid>
        <w:gridCol w:w="6337"/>
        <w:gridCol w:w="3222"/>
      </w:tblGrid>
      <w:tr>
        <w:tblPrEx>
          <w:tblCellMar>
            <w:top w:w="0" w:type="dxa"/>
            <w:left w:w="108" w:type="dxa"/>
            <w:bottom w:w="0" w:type="dxa"/>
            <w:right w:w="108" w:type="dxa"/>
          </w:tblCellMar>
        </w:tblPrEx>
        <w:trPr>
          <w:trHeight w:val="449"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pStyle w:val="26"/>
              <w:kinsoku w:val="0"/>
              <w:overflowPunct w:val="0"/>
              <w:ind w:left="722"/>
              <w:jc w:val="center"/>
              <w:outlineLvl w:val="9"/>
              <w:rPr>
                <w:rFonts w:hint="eastAsia" w:ascii="宋体" w:hAnsi="宋体" w:eastAsia="宋体" w:cs="宋体"/>
                <w:highlight w:val="none"/>
              </w:rPr>
            </w:pPr>
            <w:r>
              <w:rPr>
                <w:rFonts w:hint="eastAsia" w:ascii="宋体" w:hAnsi="宋体" w:eastAsia="宋体" w:cs="宋体"/>
                <w:b/>
                <w:sz w:val="21"/>
                <w:highlight w:val="none"/>
              </w:rPr>
              <w:t>评分项目</w:t>
            </w: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pStyle w:val="26"/>
              <w:kinsoku w:val="0"/>
              <w:overflowPunct w:val="0"/>
              <w:jc w:val="center"/>
              <w:outlineLvl w:val="9"/>
              <w:rPr>
                <w:rFonts w:hint="eastAsia" w:ascii="宋体" w:hAnsi="宋体" w:eastAsia="宋体" w:cs="宋体"/>
                <w:highlight w:val="none"/>
                <w:lang w:eastAsia="zh-CN"/>
              </w:rPr>
            </w:pPr>
            <w:r>
              <w:rPr>
                <w:rFonts w:hint="eastAsia" w:ascii="宋体" w:hAnsi="宋体" w:eastAsia="宋体" w:cs="宋体"/>
                <w:b/>
                <w:sz w:val="21"/>
                <w:highlight w:val="none"/>
                <w:lang w:eastAsia="zh-CN"/>
              </w:rPr>
              <w:t>在投标文件中的页码位置</w:t>
            </w: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3" w:hRule="exact"/>
        </w:trPr>
        <w:tc>
          <w:tcPr>
            <w:tcW w:w="9559"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3"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9559"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523"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3"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9559" w:type="dxa"/>
            <w:gridSpan w:val="2"/>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3"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482"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r>
        <w:tblPrEx>
          <w:tblCellMar>
            <w:top w:w="0" w:type="dxa"/>
            <w:left w:w="108" w:type="dxa"/>
            <w:bottom w:w="0" w:type="dxa"/>
            <w:right w:w="108" w:type="dxa"/>
          </w:tblCellMar>
        </w:tblPrEx>
        <w:trPr>
          <w:trHeight w:val="509" w:hRule="exact"/>
        </w:trPr>
        <w:tc>
          <w:tcPr>
            <w:tcW w:w="6337"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c>
          <w:tcPr>
            <w:tcW w:w="3222" w:type="dxa"/>
            <w:tcBorders>
              <w:top w:val="single" w:color="000000" w:sz="4" w:space="0"/>
              <w:left w:val="single" w:color="000000" w:sz="4" w:space="0"/>
              <w:bottom w:val="single" w:color="000000" w:sz="4" w:space="0"/>
              <w:right w:val="single" w:color="000000" w:sz="4" w:space="0"/>
            </w:tcBorders>
            <w:noWrap w:val="0"/>
            <w:vAlign w:val="top"/>
          </w:tcPr>
          <w:p>
            <w:pPr>
              <w:outlineLvl w:val="9"/>
              <w:rPr>
                <w:rFonts w:hint="eastAsia" w:ascii="宋体" w:hAnsi="宋体" w:eastAsia="宋体" w:cs="宋体"/>
                <w:highlight w:val="none"/>
              </w:rPr>
            </w:pPr>
          </w:p>
        </w:tc>
      </w:tr>
    </w:tbl>
    <w:p>
      <w:pPr>
        <w:spacing w:line="360" w:lineRule="auto"/>
        <w:outlineLvl w:val="9"/>
        <w:rPr>
          <w:rFonts w:hint="eastAsia" w:ascii="宋体" w:hAnsi="宋体" w:eastAsia="宋体" w:cs="宋体"/>
          <w:b/>
          <w:w w:val="95"/>
          <w:highlight w:val="none"/>
        </w:rPr>
      </w:pPr>
    </w:p>
    <w:p>
      <w:pPr>
        <w:spacing w:line="360" w:lineRule="auto"/>
        <w:outlineLvl w:val="9"/>
        <w:rPr>
          <w:rFonts w:hint="eastAsia" w:ascii="宋体" w:hAnsi="宋体" w:eastAsia="宋体" w:cs="宋体"/>
          <w:b/>
          <w:highlight w:val="none"/>
        </w:rPr>
      </w:pPr>
      <w:r>
        <w:rPr>
          <w:rFonts w:hint="eastAsia" w:ascii="宋体" w:hAnsi="宋体" w:eastAsia="宋体" w:cs="宋体"/>
          <w:b/>
          <w:highlight w:val="none"/>
        </w:rPr>
        <w:t>注：各供应商可根据企业自身实际情况以及对招标文件的响应程度进行编制投标文件</w:t>
      </w:r>
    </w:p>
    <w:p>
      <w:pPr>
        <w:pStyle w:val="6"/>
        <w:outlineLvl w:val="9"/>
        <w:rPr>
          <w:rFonts w:hint="eastAsia" w:ascii="宋体" w:hAnsi="宋体" w:eastAsia="宋体" w:cs="宋体"/>
          <w:b/>
          <w:szCs w:val="24"/>
          <w:highlight w:val="none"/>
        </w:rPr>
      </w:pPr>
    </w:p>
    <w:p>
      <w:pPr>
        <w:pStyle w:val="6"/>
        <w:outlineLvl w:val="9"/>
        <w:rPr>
          <w:rFonts w:hint="eastAsia" w:ascii="宋体" w:hAnsi="宋体" w:eastAsia="宋体" w:cs="宋体"/>
          <w:b/>
          <w:szCs w:val="24"/>
          <w:highlight w:val="none"/>
        </w:rPr>
      </w:pPr>
    </w:p>
    <w:p>
      <w:pPr>
        <w:outlineLvl w:val="9"/>
        <w:rPr>
          <w:rStyle w:val="27"/>
          <w:rFonts w:hint="eastAsia" w:ascii="宋体" w:hAnsi="宋体" w:eastAsia="宋体" w:cs="宋体"/>
          <w:sz w:val="28"/>
          <w:szCs w:val="28"/>
          <w:highlight w:val="none"/>
          <w:lang w:val="zh-CN"/>
        </w:rPr>
      </w:pPr>
      <w:bookmarkStart w:id="116" w:name="_Toc3276"/>
      <w:bookmarkStart w:id="117" w:name="_Toc20571_WPSOffice_Level1"/>
      <w:r>
        <w:rPr>
          <w:rStyle w:val="27"/>
          <w:rFonts w:hint="eastAsia" w:ascii="宋体" w:hAnsi="宋体" w:eastAsia="宋体" w:cs="宋体"/>
          <w:sz w:val="28"/>
          <w:szCs w:val="28"/>
          <w:highlight w:val="none"/>
          <w:lang w:val="zh-CN"/>
        </w:rPr>
        <w:br w:type="page"/>
      </w:r>
    </w:p>
    <w:p>
      <w:pPr>
        <w:outlineLvl w:val="0"/>
        <w:rPr>
          <w:rStyle w:val="27"/>
          <w:rFonts w:hint="eastAsia" w:ascii="宋体" w:hAnsi="宋体" w:eastAsia="宋体" w:cs="宋体"/>
          <w:b/>
          <w:bCs/>
          <w:sz w:val="28"/>
          <w:szCs w:val="28"/>
          <w:highlight w:val="none"/>
          <w:lang w:val="zh-CN"/>
        </w:rPr>
      </w:pPr>
      <w:bookmarkStart w:id="118" w:name="_Toc16012"/>
      <w:r>
        <w:rPr>
          <w:rStyle w:val="27"/>
          <w:rFonts w:hint="eastAsia" w:ascii="宋体" w:hAnsi="宋体" w:eastAsia="宋体" w:cs="宋体"/>
          <w:b/>
          <w:bCs/>
          <w:sz w:val="28"/>
          <w:szCs w:val="28"/>
          <w:highlight w:val="none"/>
          <w:lang w:val="zh-CN"/>
        </w:rPr>
        <w:t>附件一、投标申请及声明格式</w:t>
      </w:r>
      <w:bookmarkEnd w:id="116"/>
      <w:bookmarkEnd w:id="117"/>
      <w:bookmarkEnd w:id="118"/>
    </w:p>
    <w:p>
      <w:pPr>
        <w:spacing w:line="360" w:lineRule="auto"/>
        <w:ind w:firstLine="562"/>
        <w:jc w:val="center"/>
        <w:outlineLvl w:val="9"/>
        <w:rPr>
          <w:rFonts w:hint="eastAsia" w:ascii="宋体" w:hAnsi="宋体" w:eastAsia="宋体" w:cs="宋体"/>
          <w:b/>
          <w:bCs/>
          <w:sz w:val="28"/>
          <w:highlight w:val="none"/>
          <w:lang w:val="zh-CN"/>
        </w:rPr>
      </w:pPr>
      <w:bookmarkStart w:id="119" w:name="_Toc23403_WPSOffice_Level2"/>
      <w:r>
        <w:rPr>
          <w:rFonts w:hint="eastAsia" w:ascii="宋体" w:hAnsi="宋体" w:eastAsia="宋体" w:cs="宋体"/>
          <w:b/>
          <w:bCs/>
          <w:sz w:val="28"/>
          <w:highlight w:val="none"/>
          <w:lang w:val="zh-CN"/>
        </w:rPr>
        <w:t>投标申请及声明</w:t>
      </w:r>
      <w:bookmarkEnd w:id="119"/>
    </w:p>
    <w:p>
      <w:pPr>
        <w:shd w:val="clear" w:color="auto" w:fill="FFFFFF"/>
        <w:spacing w:line="300" w:lineRule="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致：</w:t>
      </w:r>
      <w:r>
        <w:rPr>
          <w:rFonts w:hint="eastAsia" w:ascii="宋体" w:hAnsi="宋体" w:eastAsia="宋体" w:cs="宋体"/>
          <w:kern w:val="0"/>
          <w:sz w:val="24"/>
          <w:highlight w:val="none"/>
          <w:lang w:eastAsia="zh-CN"/>
        </w:rPr>
        <w:t>南京市鼓楼区教师发展中心</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根据贵方</w:t>
      </w:r>
      <w:r>
        <w:rPr>
          <w:rFonts w:hint="eastAsia" w:ascii="宋体" w:hAnsi="宋体" w:eastAsia="宋体" w:cs="宋体"/>
          <w:kern w:val="0"/>
          <w:sz w:val="24"/>
          <w:highlight w:val="none"/>
          <w:u w:val="single"/>
        </w:rPr>
        <w:t>             </w:t>
      </w:r>
      <w:r>
        <w:rPr>
          <w:rFonts w:hint="eastAsia" w:ascii="宋体" w:hAnsi="宋体" w:eastAsia="宋体" w:cs="宋体"/>
          <w:b/>
          <w:bCs/>
          <w:kern w:val="0"/>
          <w:sz w:val="24"/>
          <w:highlight w:val="none"/>
        </w:rPr>
        <w:t>（项目名称</w:t>
      </w:r>
      <w:r>
        <w:rPr>
          <w:rFonts w:hint="eastAsia" w:ascii="宋体" w:hAnsi="宋体" w:eastAsia="宋体" w:cs="宋体"/>
          <w:kern w:val="0"/>
          <w:sz w:val="24"/>
          <w:highlight w:val="none"/>
        </w:rPr>
        <w:t>） </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（项目编号）投标邀请，正式授权下述签字人</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(姓名和职务)代表投标人</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（供应商名称），提交投标文件。</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据此函，签字人兹宣布声明和承诺如下：</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b/>
          <w:bCs/>
          <w:kern w:val="0"/>
          <w:sz w:val="24"/>
          <w:highlight w:val="none"/>
        </w:rPr>
        <w:t>我们的资格条件完全符合政府采购法和本次招标要求</w:t>
      </w:r>
      <w:r>
        <w:rPr>
          <w:rFonts w:hint="eastAsia" w:ascii="宋体" w:hAnsi="宋体" w:eastAsia="宋体" w:cs="宋体"/>
          <w:kern w:val="0"/>
          <w:sz w:val="24"/>
          <w:highlight w:val="none"/>
        </w:rPr>
        <w:t>，我们同意并向贵方提供了与投标有关的所有证据和资料。</w:t>
      </w:r>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0" w:name="_Toc9628"/>
      <w:r>
        <w:rPr>
          <w:rFonts w:hint="eastAsia" w:ascii="宋体" w:hAnsi="宋体" w:eastAsia="宋体" w:cs="宋体"/>
          <w:kern w:val="0"/>
          <w:sz w:val="24"/>
          <w:szCs w:val="24"/>
          <w:highlight w:val="none"/>
        </w:rPr>
        <w:t>2、按招标要求，我们的投标总报价为（大写）</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元人民币。</w:t>
      </w:r>
      <w:bookmarkEnd w:id="120"/>
      <w:r>
        <w:rPr>
          <w:rFonts w:hint="eastAsia" w:ascii="宋体" w:hAnsi="宋体" w:eastAsia="宋体" w:cs="宋体"/>
          <w:b w:val="0"/>
          <w:bCs w:val="0"/>
          <w:kern w:val="0"/>
          <w:sz w:val="24"/>
          <w:szCs w:val="24"/>
          <w:highlight w:val="none"/>
        </w:rPr>
        <w:t xml:space="preserve"> </w:t>
      </w:r>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1" w:name="_Toc4195"/>
      <w:r>
        <w:rPr>
          <w:rFonts w:hint="eastAsia" w:ascii="宋体" w:hAnsi="宋体" w:eastAsia="宋体" w:cs="宋体"/>
          <w:b w:val="0"/>
          <w:bCs w:val="0"/>
          <w:kern w:val="0"/>
          <w:sz w:val="24"/>
          <w:szCs w:val="24"/>
          <w:highlight w:val="none"/>
        </w:rPr>
        <w:t>3、本项目交付时间为：</w:t>
      </w:r>
      <w:r>
        <w:rPr>
          <w:rFonts w:hint="eastAsia" w:ascii="宋体" w:hAnsi="宋体" w:eastAsia="宋体" w:cs="宋体"/>
          <w:b w:val="0"/>
          <w:bCs w:val="0"/>
          <w:kern w:val="0"/>
          <w:sz w:val="24"/>
          <w:szCs w:val="24"/>
          <w:highlight w:val="none"/>
          <w:u w:val="single"/>
        </w:rPr>
        <w:t>（满足招标文件要求或填写优于招标要求的时间）</w:t>
      </w:r>
      <w:r>
        <w:rPr>
          <w:rFonts w:hint="eastAsia" w:ascii="宋体" w:hAnsi="宋体" w:eastAsia="宋体" w:cs="宋体"/>
          <w:b w:val="0"/>
          <w:bCs w:val="0"/>
          <w:kern w:val="0"/>
          <w:sz w:val="24"/>
          <w:szCs w:val="24"/>
          <w:highlight w:val="none"/>
        </w:rPr>
        <w:t>。</w:t>
      </w:r>
      <w:bookmarkEnd w:id="121"/>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2" w:name="_Toc25527"/>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zh-CN"/>
        </w:rPr>
        <w:t>我们的报价产品中</w:t>
      </w:r>
      <w:r>
        <w:rPr>
          <w:rFonts w:hint="eastAsia" w:ascii="宋体" w:hAnsi="宋体" w:eastAsia="宋体" w:cs="宋体"/>
          <w:b w:val="0"/>
          <w:bCs w:val="0"/>
          <w:kern w:val="0"/>
          <w:sz w:val="24"/>
          <w:szCs w:val="24"/>
          <w:highlight w:val="none"/>
          <w:u w:val="single"/>
          <w:lang w:val="zh-CN"/>
        </w:rPr>
        <w:t xml:space="preserve">     （有或无）</w:t>
      </w:r>
      <w:r>
        <w:rPr>
          <w:rFonts w:hint="eastAsia" w:ascii="宋体" w:hAnsi="宋体" w:eastAsia="宋体" w:cs="宋体"/>
          <w:b w:val="0"/>
          <w:bCs w:val="0"/>
          <w:kern w:val="0"/>
          <w:sz w:val="24"/>
          <w:szCs w:val="24"/>
          <w:highlight w:val="none"/>
          <w:lang w:val="zh-CN"/>
        </w:rPr>
        <w:t>进口产品。</w:t>
      </w:r>
      <w:bookmarkEnd w:id="122"/>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3" w:name="_Toc30794"/>
      <w:r>
        <w:rPr>
          <w:rFonts w:hint="eastAsia" w:ascii="宋体" w:hAnsi="宋体" w:eastAsia="宋体" w:cs="宋体"/>
          <w:b w:val="0"/>
          <w:bCs w:val="0"/>
          <w:kern w:val="0"/>
          <w:sz w:val="24"/>
          <w:szCs w:val="24"/>
          <w:highlight w:val="none"/>
        </w:rPr>
        <w:t>5、我们已详细审核全部招标文件及其有效补充文件，我们放弃对招标文件任何误解的权利，提交投标文件后，</w:t>
      </w:r>
      <w:r>
        <w:rPr>
          <w:rFonts w:hint="eastAsia" w:ascii="宋体" w:hAnsi="宋体" w:eastAsia="宋体" w:cs="宋体"/>
          <w:kern w:val="0"/>
          <w:sz w:val="24"/>
          <w:szCs w:val="24"/>
          <w:highlight w:val="none"/>
        </w:rPr>
        <w:t>不对招标文件本身提出质疑</w:t>
      </w:r>
      <w:r>
        <w:rPr>
          <w:rFonts w:hint="eastAsia" w:ascii="宋体" w:hAnsi="宋体" w:eastAsia="宋体" w:cs="宋体"/>
          <w:b w:val="0"/>
          <w:bCs w:val="0"/>
          <w:kern w:val="0"/>
          <w:sz w:val="24"/>
          <w:szCs w:val="24"/>
          <w:highlight w:val="none"/>
        </w:rPr>
        <w:t>。</w:t>
      </w:r>
      <w:bookmarkEnd w:id="123"/>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4" w:name="_Toc13639"/>
      <w:r>
        <w:rPr>
          <w:rFonts w:hint="eastAsia" w:ascii="宋体" w:hAnsi="宋体" w:eastAsia="宋体" w:cs="宋体"/>
          <w:b w:val="0"/>
          <w:bCs w:val="0"/>
          <w:kern w:val="0"/>
          <w:sz w:val="24"/>
          <w:szCs w:val="24"/>
          <w:highlight w:val="none"/>
        </w:rPr>
        <w:t>6、我们同意从规定的开标日期起遵循本投标文件，并在规定的投标有效期期满之前均具有约束力。</w:t>
      </w:r>
      <w:bookmarkEnd w:id="124"/>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5" w:name="_Toc4765"/>
      <w:r>
        <w:rPr>
          <w:rFonts w:hint="eastAsia" w:ascii="宋体" w:hAnsi="宋体" w:eastAsia="宋体" w:cs="宋体"/>
          <w:b w:val="0"/>
          <w:bCs w:val="0"/>
          <w:kern w:val="0"/>
          <w:sz w:val="24"/>
          <w:szCs w:val="24"/>
          <w:highlight w:val="none"/>
        </w:rPr>
        <w:t>7、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bookmarkEnd w:id="125"/>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6" w:name="_Toc28773"/>
      <w:r>
        <w:rPr>
          <w:rFonts w:hint="eastAsia" w:ascii="宋体" w:hAnsi="宋体" w:eastAsia="宋体" w:cs="宋体"/>
          <w:b w:val="0"/>
          <w:bCs w:val="0"/>
          <w:kern w:val="0"/>
          <w:sz w:val="24"/>
          <w:szCs w:val="24"/>
          <w:highlight w:val="none"/>
        </w:rPr>
        <w:t>8、一旦我方中标，我方将根据招标文件的规定严格履行合同，并保证于承诺的时间完成货物的启动/集成、调试等服务，交付采购人验收、使用。</w:t>
      </w:r>
      <w:bookmarkEnd w:id="126"/>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27" w:name="_Toc7587"/>
      <w:r>
        <w:rPr>
          <w:rFonts w:hint="eastAsia" w:ascii="宋体" w:hAnsi="宋体" w:eastAsia="宋体" w:cs="宋体"/>
          <w:b w:val="0"/>
          <w:bCs w:val="0"/>
          <w:kern w:val="0"/>
          <w:sz w:val="24"/>
          <w:szCs w:val="24"/>
          <w:highlight w:val="none"/>
        </w:rPr>
        <w:t>9、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bookmarkEnd w:id="127"/>
    </w:p>
    <w:p>
      <w:pPr>
        <w:shd w:val="clear" w:color="auto" w:fill="FFFFFF"/>
        <w:spacing w:line="300" w:lineRule="auto"/>
        <w:ind w:firstLine="420"/>
        <w:outlineLvl w:val="9"/>
        <w:rPr>
          <w:rFonts w:hint="eastAsia" w:ascii="宋体" w:hAnsi="宋体" w:eastAsia="宋体" w:cs="宋体"/>
          <w:kern w:val="0"/>
          <w:sz w:val="24"/>
          <w:highlight w:val="none"/>
        </w:rPr>
      </w:pPr>
      <w:bookmarkStart w:id="128" w:name="_Toc2650"/>
      <w:r>
        <w:rPr>
          <w:rFonts w:hint="eastAsia" w:ascii="宋体" w:hAnsi="宋体" w:eastAsia="宋体" w:cs="宋体"/>
          <w:kern w:val="0"/>
          <w:sz w:val="24"/>
          <w:highlight w:val="none"/>
        </w:rPr>
        <w:t>10、与本投标有关的正式联系方式为：</w:t>
      </w:r>
      <w:bookmarkEnd w:id="128"/>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传   真：</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开户银行：</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银行账号：</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投标人授权代表姓名（签字）：</w:t>
      </w:r>
      <w:r>
        <w:rPr>
          <w:rFonts w:hint="eastAsia" w:ascii="宋体" w:hAnsi="宋体" w:eastAsia="宋体" w:cs="宋体"/>
          <w:kern w:val="0"/>
          <w:sz w:val="24"/>
          <w:highlight w:val="none"/>
          <w:u w:val="single"/>
        </w:rPr>
        <w:t>        </w:t>
      </w:r>
    </w:p>
    <w:p>
      <w:pPr>
        <w:shd w:val="clear" w:color="auto" w:fill="FFFFFF"/>
        <w:spacing w:line="300" w:lineRule="auto"/>
        <w:ind w:firstLine="42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（盖章）</w:t>
      </w:r>
    </w:p>
    <w:p>
      <w:pPr>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日    期：</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日</w:t>
      </w:r>
    </w:p>
    <w:p>
      <w:pPr>
        <w:rPr>
          <w:rStyle w:val="27"/>
          <w:rFonts w:hint="eastAsia" w:ascii="宋体" w:hAnsi="宋体" w:eastAsia="宋体" w:cs="宋体"/>
          <w:b/>
          <w:bCs/>
          <w:sz w:val="28"/>
          <w:szCs w:val="28"/>
          <w:highlight w:val="none"/>
          <w:lang w:val="zh-CN"/>
        </w:rPr>
      </w:pPr>
      <w:bookmarkStart w:id="129" w:name="_Toc20045"/>
      <w:bookmarkStart w:id="130" w:name="_Toc17413_WPSOffice_Level1"/>
      <w:bookmarkStart w:id="131" w:name="_Toc537"/>
      <w:r>
        <w:rPr>
          <w:rStyle w:val="27"/>
          <w:rFonts w:hint="eastAsia" w:ascii="宋体" w:hAnsi="宋体" w:eastAsia="宋体" w:cs="宋体"/>
          <w:b/>
          <w:bCs/>
          <w:sz w:val="28"/>
          <w:szCs w:val="28"/>
          <w:highlight w:val="none"/>
          <w:lang w:val="zh-CN"/>
        </w:rPr>
        <w:br w:type="page"/>
      </w:r>
    </w:p>
    <w:p>
      <w:pPr>
        <w:outlineLvl w:val="0"/>
        <w:rPr>
          <w:rFonts w:hint="eastAsia" w:ascii="宋体" w:hAnsi="宋体" w:eastAsia="宋体" w:cs="宋体"/>
          <w:b/>
          <w:bCs/>
          <w:sz w:val="28"/>
          <w:highlight w:val="none"/>
          <w:lang w:val="zh-CN"/>
        </w:rPr>
      </w:pPr>
      <w:bookmarkStart w:id="132" w:name="_Toc29592"/>
      <w:r>
        <w:rPr>
          <w:rStyle w:val="27"/>
          <w:rFonts w:hint="eastAsia" w:ascii="宋体" w:hAnsi="宋体" w:eastAsia="宋体" w:cs="宋体"/>
          <w:b/>
          <w:bCs/>
          <w:sz w:val="28"/>
          <w:szCs w:val="28"/>
          <w:highlight w:val="none"/>
          <w:lang w:val="zh-CN"/>
        </w:rPr>
        <w:t>附件二、法定代表人授权委托书格式</w:t>
      </w:r>
      <w:bookmarkEnd w:id="129"/>
      <w:bookmarkEnd w:id="130"/>
      <w:bookmarkEnd w:id="131"/>
      <w:bookmarkEnd w:id="132"/>
    </w:p>
    <w:p>
      <w:pPr>
        <w:spacing w:line="360" w:lineRule="auto"/>
        <w:ind w:firstLine="562"/>
        <w:jc w:val="center"/>
        <w:outlineLvl w:val="9"/>
        <w:rPr>
          <w:rFonts w:hint="eastAsia" w:ascii="宋体" w:hAnsi="宋体" w:eastAsia="宋体" w:cs="宋体"/>
          <w:kern w:val="0"/>
          <w:szCs w:val="21"/>
          <w:highlight w:val="none"/>
        </w:rPr>
      </w:pPr>
      <w:bookmarkStart w:id="133" w:name="_Toc17750_WPSOffice_Level2"/>
      <w:r>
        <w:rPr>
          <w:rFonts w:hint="eastAsia" w:ascii="宋体" w:hAnsi="宋体" w:eastAsia="宋体" w:cs="宋体"/>
          <w:b/>
          <w:bCs/>
          <w:sz w:val="28"/>
          <w:highlight w:val="none"/>
          <w:lang w:val="zh-CN"/>
        </w:rPr>
        <w:t>法定代表人授权委托书</w:t>
      </w:r>
      <w:bookmarkEnd w:id="133"/>
    </w:p>
    <w:p>
      <w:pPr>
        <w:shd w:val="clear" w:color="auto" w:fill="FFFFFF"/>
        <w:spacing w:line="300" w:lineRule="auto"/>
        <w:jc w:val="left"/>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致：</w:t>
      </w:r>
      <w:r>
        <w:rPr>
          <w:rFonts w:hint="eastAsia" w:ascii="宋体" w:hAnsi="宋体" w:eastAsia="宋体" w:cs="宋体"/>
          <w:kern w:val="0"/>
          <w:sz w:val="24"/>
          <w:highlight w:val="none"/>
          <w:lang w:eastAsia="zh-CN"/>
        </w:rPr>
        <w:t>南京市鼓楼区教师发展中心</w:t>
      </w:r>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34" w:name="_Toc28127"/>
      <w:r>
        <w:rPr>
          <w:rFonts w:hint="eastAsia" w:ascii="宋体" w:hAnsi="宋体" w:eastAsia="宋体" w:cs="宋体"/>
          <w:b w:val="0"/>
          <w:bCs w:val="0"/>
          <w:kern w:val="0"/>
          <w:sz w:val="24"/>
          <w:szCs w:val="24"/>
          <w:highlight w:val="none"/>
        </w:rPr>
        <w:t>本授权书声明：注册于</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（投标人住址）的</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（供应商名称）法定代表人</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（法定代表人姓名、职务）代表本公司授权在下面签字的</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（投标人代表姓名、职务）为本公司的合法代理人，就贵方组织的</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（项目名称），</w:t>
      </w:r>
      <w:r>
        <w:rPr>
          <w:rFonts w:hint="eastAsia" w:ascii="宋体" w:hAnsi="宋体" w:eastAsia="宋体" w:cs="宋体"/>
          <w:b w:val="0"/>
          <w:bCs w:val="0"/>
          <w:kern w:val="0"/>
          <w:sz w:val="24"/>
          <w:szCs w:val="24"/>
          <w:highlight w:val="none"/>
          <w:u w:val="single"/>
        </w:rPr>
        <w:t>        </w:t>
      </w:r>
      <w:r>
        <w:rPr>
          <w:rFonts w:hint="eastAsia" w:ascii="宋体" w:hAnsi="宋体" w:eastAsia="宋体" w:cs="宋体"/>
          <w:b w:val="0"/>
          <w:bCs w:val="0"/>
          <w:kern w:val="0"/>
          <w:sz w:val="24"/>
          <w:szCs w:val="24"/>
          <w:highlight w:val="none"/>
        </w:rPr>
        <w:t>（项目编号）投标，以本公司名义处理一切与之有关的事务。</w:t>
      </w:r>
      <w:bookmarkEnd w:id="134"/>
    </w:p>
    <w:p>
      <w:pPr>
        <w:keepNext w:val="0"/>
        <w:keepLines w:val="0"/>
        <w:spacing w:before="0" w:after="0" w:line="300" w:lineRule="auto"/>
        <w:ind w:firstLine="480" w:firstLineChars="200"/>
        <w:outlineLvl w:val="9"/>
        <w:rPr>
          <w:rFonts w:hint="eastAsia" w:ascii="宋体" w:hAnsi="宋体" w:eastAsia="宋体" w:cs="宋体"/>
          <w:b w:val="0"/>
          <w:bCs w:val="0"/>
          <w:kern w:val="0"/>
          <w:sz w:val="24"/>
          <w:szCs w:val="24"/>
          <w:highlight w:val="none"/>
        </w:rPr>
      </w:pPr>
      <w:bookmarkStart w:id="135" w:name="_Toc28631"/>
      <w:r>
        <w:rPr>
          <w:rFonts w:hint="eastAsia" w:ascii="宋体" w:hAnsi="宋体" w:eastAsia="宋体" w:cs="宋体"/>
          <w:b w:val="0"/>
          <w:bCs w:val="0"/>
          <w:kern w:val="0"/>
          <w:sz w:val="24"/>
          <w:szCs w:val="24"/>
          <w:highlight w:val="none"/>
        </w:rPr>
        <w:t>本授权书于    年  月  日签字生效，特此声明。</w:t>
      </w:r>
      <w:bookmarkEnd w:id="135"/>
    </w:p>
    <w:p>
      <w:pPr>
        <w:keepNext w:val="0"/>
        <w:keepLines w:val="0"/>
        <w:spacing w:before="0" w:after="0" w:line="300" w:lineRule="auto"/>
        <w:outlineLvl w:val="9"/>
        <w:rPr>
          <w:rFonts w:hint="eastAsia" w:ascii="宋体" w:hAnsi="宋体" w:eastAsia="宋体" w:cs="宋体"/>
          <w:b w:val="0"/>
          <w:bCs w:val="0"/>
          <w:kern w:val="0"/>
          <w:sz w:val="24"/>
          <w:szCs w:val="24"/>
          <w:highlight w:val="none"/>
        </w:rPr>
      </w:pPr>
      <w:bookmarkStart w:id="136" w:name="_Toc7962"/>
      <w:r>
        <w:rPr>
          <w:rFonts w:hint="eastAsia" w:ascii="宋体" w:hAnsi="宋体" w:eastAsia="宋体" w:cs="宋体"/>
          <w:b w:val="0"/>
          <w:bCs w:val="0"/>
          <w:kern w:val="0"/>
          <w:sz w:val="24"/>
          <w:szCs w:val="24"/>
          <w:highlight w:val="none"/>
        </w:rPr>
        <w:t>    法定代表人签字：</w:t>
      </w:r>
      <w:bookmarkEnd w:id="136"/>
    </w:p>
    <w:p>
      <w:pPr>
        <w:keepNext w:val="0"/>
        <w:keepLines w:val="0"/>
        <w:spacing w:before="0" w:after="0" w:line="300" w:lineRule="auto"/>
        <w:ind w:firstLine="960" w:firstLineChars="400"/>
        <w:outlineLvl w:val="9"/>
        <w:rPr>
          <w:rFonts w:hint="eastAsia" w:ascii="宋体" w:hAnsi="宋体" w:eastAsia="宋体" w:cs="宋体"/>
          <w:b w:val="0"/>
          <w:bCs w:val="0"/>
          <w:kern w:val="0"/>
          <w:sz w:val="24"/>
          <w:szCs w:val="24"/>
          <w:highlight w:val="none"/>
        </w:rPr>
      </w:pPr>
      <w:bookmarkStart w:id="137" w:name="_Toc11325"/>
      <w:r>
        <w:rPr>
          <w:rFonts w:hint="eastAsia" w:ascii="宋体" w:hAnsi="宋体" w:eastAsia="宋体" w:cs="宋体"/>
          <w:b w:val="0"/>
          <w:bCs w:val="0"/>
          <w:kern w:val="0"/>
          <w:sz w:val="24"/>
          <w:szCs w:val="24"/>
          <w:highlight w:val="none"/>
        </w:rPr>
        <w:t>授权委托人签字：                   </w:t>
      </w:r>
      <w:bookmarkEnd w:id="137"/>
    </w:p>
    <w:p>
      <w:pPr>
        <w:keepNext w:val="0"/>
        <w:keepLines w:val="0"/>
        <w:spacing w:before="0" w:after="0" w:line="300" w:lineRule="auto"/>
        <w:ind w:firstLine="960" w:firstLineChars="400"/>
        <w:outlineLvl w:val="9"/>
        <w:rPr>
          <w:rFonts w:hint="eastAsia" w:ascii="宋体" w:hAnsi="宋体" w:eastAsia="宋体" w:cs="宋体"/>
          <w:b w:val="0"/>
          <w:bCs w:val="0"/>
          <w:kern w:val="0"/>
          <w:sz w:val="24"/>
          <w:szCs w:val="24"/>
          <w:highlight w:val="none"/>
        </w:rPr>
      </w:pPr>
      <w:bookmarkStart w:id="138" w:name="_Toc17598"/>
      <w:r>
        <w:rPr>
          <w:rFonts w:hint="eastAsia" w:ascii="宋体" w:hAnsi="宋体" w:eastAsia="宋体" w:cs="宋体"/>
          <w:b w:val="0"/>
          <w:bCs w:val="0"/>
          <w:kern w:val="0"/>
          <w:sz w:val="24"/>
          <w:szCs w:val="24"/>
          <w:highlight w:val="none"/>
        </w:rPr>
        <w:t>日     期：        年    月    日</w:t>
      </w:r>
      <w:bookmarkEnd w:id="138"/>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outlineLvl w:val="9"/>
        <w:rPr>
          <w:rFonts w:hint="eastAsia" w:ascii="宋体" w:hAnsi="宋体" w:eastAsia="宋体" w:cs="宋体"/>
          <w:kern w:val="0"/>
          <w:sz w:val="24"/>
          <w:szCs w:val="24"/>
          <w:highlight w:val="none"/>
        </w:rPr>
      </w:pPr>
      <w:bookmarkStart w:id="139" w:name="_Toc18794"/>
      <w:r>
        <w:rPr>
          <w:rFonts w:hint="eastAsia" w:ascii="宋体" w:hAnsi="宋体" w:cs="宋体"/>
          <w:kern w:val="0"/>
          <w:sz w:val="24"/>
          <w:szCs w:val="24"/>
          <w:highlight w:val="none"/>
          <w:lang w:eastAsia="zh-CN"/>
        </w:rPr>
        <w:t>附法定代表人及</w:t>
      </w:r>
      <w:r>
        <w:rPr>
          <w:rFonts w:hint="eastAsia" w:ascii="宋体" w:hAnsi="宋体" w:eastAsia="宋体" w:cs="宋体"/>
          <w:kern w:val="0"/>
          <w:sz w:val="24"/>
          <w:szCs w:val="24"/>
          <w:highlight w:val="none"/>
        </w:rPr>
        <w:t>委托代理人的身份证复印件:</w:t>
      </w:r>
    </w:p>
    <w:p>
      <w:pPr>
        <w:outlineLvl w:val="0"/>
        <w:rPr>
          <w:rStyle w:val="27"/>
          <w:rFonts w:hint="eastAsia" w:ascii="宋体" w:hAnsi="宋体" w:eastAsia="宋体" w:cs="宋体"/>
          <w:b/>
          <w:bCs/>
          <w:sz w:val="28"/>
          <w:szCs w:val="28"/>
          <w:highlight w:val="none"/>
          <w:lang w:val="zh-CN"/>
        </w:rPr>
      </w:pPr>
      <w:r>
        <w:rPr>
          <w:rFonts w:hint="eastAsia" w:ascii="宋体" w:hAnsi="宋体" w:eastAsia="宋体" w:cs="宋体"/>
          <w:kern w:val="0"/>
          <w:sz w:val="24"/>
          <w:szCs w:val="24"/>
          <w:highlight w:val="none"/>
        </w:rPr>
        <w:br w:type="page"/>
      </w:r>
      <w:bookmarkStart w:id="140" w:name="_Toc31179"/>
      <w:bookmarkStart w:id="141" w:name="_Toc29878"/>
      <w:r>
        <w:rPr>
          <w:rStyle w:val="27"/>
          <w:rFonts w:hint="eastAsia" w:ascii="宋体" w:hAnsi="宋体" w:eastAsia="宋体" w:cs="宋体"/>
          <w:b/>
          <w:bCs/>
          <w:sz w:val="28"/>
          <w:szCs w:val="28"/>
          <w:highlight w:val="none"/>
          <w:lang w:val="zh-CN"/>
        </w:rPr>
        <w:t>附件三、开标一览表格式</w:t>
      </w:r>
      <w:bookmarkEnd w:id="139"/>
      <w:bookmarkEnd w:id="140"/>
      <w:bookmarkEnd w:id="141"/>
    </w:p>
    <w:p>
      <w:pPr>
        <w:spacing w:line="360" w:lineRule="auto"/>
        <w:ind w:firstLine="562"/>
        <w:jc w:val="center"/>
        <w:outlineLvl w:val="9"/>
        <w:rPr>
          <w:rFonts w:hint="eastAsia" w:ascii="宋体" w:hAnsi="宋体" w:eastAsia="宋体" w:cs="宋体"/>
          <w:highlight w:val="none"/>
          <w:lang w:val="zh-CN"/>
        </w:rPr>
      </w:pPr>
      <w:bookmarkStart w:id="142" w:name="_Toc25555_WPSOffice_Level2"/>
      <w:r>
        <w:rPr>
          <w:rFonts w:hint="eastAsia" w:ascii="宋体" w:hAnsi="宋体" w:eastAsia="宋体" w:cs="宋体"/>
          <w:b/>
          <w:bCs/>
          <w:sz w:val="28"/>
          <w:highlight w:val="none"/>
          <w:lang w:val="zh-CN"/>
        </w:rPr>
        <w:t>开标一览表</w:t>
      </w:r>
      <w:bookmarkEnd w:id="142"/>
    </w:p>
    <w:tbl>
      <w:tblPr>
        <w:tblStyle w:val="20"/>
        <w:tblW w:w="9198" w:type="dxa"/>
        <w:jc w:val="center"/>
        <w:tblLayout w:type="fixed"/>
        <w:tblCellMar>
          <w:top w:w="0" w:type="dxa"/>
          <w:left w:w="0" w:type="dxa"/>
          <w:bottom w:w="0" w:type="dxa"/>
          <w:right w:w="0" w:type="dxa"/>
        </w:tblCellMar>
      </w:tblPr>
      <w:tblGrid>
        <w:gridCol w:w="2425"/>
        <w:gridCol w:w="968"/>
        <w:gridCol w:w="3240"/>
        <w:gridCol w:w="2565"/>
      </w:tblGrid>
      <w:tr>
        <w:tblPrEx>
          <w:tblCellMar>
            <w:top w:w="0" w:type="dxa"/>
            <w:left w:w="0" w:type="dxa"/>
            <w:bottom w:w="0" w:type="dxa"/>
            <w:right w:w="0" w:type="dxa"/>
          </w:tblCellMar>
        </w:tblPrEx>
        <w:trPr>
          <w:trHeight w:val="284" w:hRule="atLeast"/>
          <w:jc w:val="center"/>
        </w:trPr>
        <w:tc>
          <w:tcPr>
            <w:tcW w:w="6633" w:type="dxa"/>
            <w:gridSpan w:val="3"/>
            <w:tcBorders>
              <w:top w:val="nil"/>
              <w:left w:val="nil"/>
              <w:bottom w:val="single" w:color="auto" w:sz="6" w:space="0"/>
              <w:right w:val="nil"/>
            </w:tcBorders>
            <w:noWrap w:val="0"/>
            <w:vAlign w:val="center"/>
          </w:tcPr>
          <w:p>
            <w:pPr>
              <w:widowControl/>
              <w:adjustRightInd w:val="0"/>
              <w:spacing w:line="360" w:lineRule="auto"/>
              <w:jc w:val="left"/>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2565" w:type="dxa"/>
            <w:tcBorders>
              <w:top w:val="nil"/>
              <w:left w:val="nil"/>
              <w:bottom w:val="single" w:color="auto" w:sz="6" w:space="0"/>
              <w:right w:val="nil"/>
            </w:tcBorders>
            <w:noWrap w:val="0"/>
            <w:vAlign w:val="center"/>
          </w:tcPr>
          <w:p>
            <w:pPr>
              <w:widowControl/>
              <w:adjustRightInd w:val="0"/>
              <w:spacing w:line="360" w:lineRule="auto"/>
              <w:jc w:val="left"/>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jc w:val="center"/>
        </w:trPr>
        <w:tc>
          <w:tcPr>
            <w:tcW w:w="2425" w:type="dxa"/>
            <w:tcBorders>
              <w:bottom w:val="single" w:color="000000" w:sz="6"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968" w:type="dxa"/>
            <w:tcBorders>
              <w:bottom w:val="single" w:color="000000" w:sz="6"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805" w:type="dxa"/>
            <w:gridSpan w:val="2"/>
            <w:tcBorders>
              <w:bottom w:val="single" w:color="000000" w:sz="6"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人民币</w:t>
            </w:r>
          </w:p>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2425" w:type="dxa"/>
            <w:tcBorders>
              <w:top w:val="single" w:color="000000" w:sz="6"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6773" w:type="dxa"/>
            <w:gridSpan w:val="3"/>
            <w:tcBorders>
              <w:top w:val="single" w:color="000000" w:sz="6" w:space="0"/>
            </w:tcBorders>
            <w:noWrap w:val="0"/>
            <w:vAlign w:val="center"/>
          </w:tcPr>
          <w:p>
            <w:pPr>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2425" w:type="dxa"/>
            <w:tcBorders>
              <w:top w:val="single" w:color="000000" w:sz="6" w:space="0"/>
            </w:tcBorders>
            <w:noWrap w:val="0"/>
            <w:vAlign w:val="center"/>
          </w:tcPr>
          <w:p>
            <w:pPr>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响应文件份数</w:t>
            </w:r>
          </w:p>
        </w:tc>
        <w:tc>
          <w:tcPr>
            <w:tcW w:w="6773" w:type="dxa"/>
            <w:gridSpan w:val="3"/>
            <w:tcBorders>
              <w:top w:val="single" w:color="000000" w:sz="6"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       份              副本：      份</w:t>
            </w:r>
          </w:p>
        </w:tc>
      </w:tr>
    </w:tbl>
    <w:p>
      <w:pPr>
        <w:outlineLvl w:val="9"/>
        <w:rPr>
          <w:rFonts w:hint="eastAsia" w:ascii="宋体" w:hAnsi="宋体" w:eastAsia="宋体" w:cs="宋体"/>
          <w:highlight w:val="none"/>
          <w:lang w:val="zh-CN"/>
        </w:rPr>
      </w:pPr>
    </w:p>
    <w:p>
      <w:pPr>
        <w:spacing w:before="0" w:after="0" w:line="300" w:lineRule="auto"/>
        <w:jc w:val="left"/>
        <w:outlineLvl w:val="9"/>
        <w:rPr>
          <w:rFonts w:hint="eastAsia" w:ascii="宋体" w:hAnsi="宋体" w:eastAsia="宋体" w:cs="宋体"/>
          <w:b w:val="0"/>
          <w:bCs w:val="0"/>
          <w:kern w:val="0"/>
          <w:sz w:val="24"/>
          <w:szCs w:val="24"/>
          <w:highlight w:val="none"/>
          <w:lang w:val="zh-CN"/>
        </w:rPr>
      </w:pPr>
      <w:bookmarkStart w:id="143" w:name="_Toc7075"/>
      <w:r>
        <w:rPr>
          <w:rFonts w:hint="eastAsia" w:ascii="宋体" w:hAnsi="宋体" w:eastAsia="宋体" w:cs="宋体"/>
          <w:b w:val="0"/>
          <w:bCs w:val="0"/>
          <w:kern w:val="0"/>
          <w:sz w:val="24"/>
          <w:szCs w:val="24"/>
          <w:highlight w:val="none"/>
          <w:lang w:val="zh-CN"/>
        </w:rPr>
        <w:t>说明：</w:t>
      </w:r>
      <w:bookmarkEnd w:id="143"/>
    </w:p>
    <w:p>
      <w:pPr>
        <w:spacing w:before="0" w:after="0" w:line="300" w:lineRule="auto"/>
        <w:jc w:val="left"/>
        <w:outlineLvl w:val="9"/>
        <w:rPr>
          <w:rFonts w:hint="eastAsia" w:ascii="宋体" w:hAnsi="宋体" w:eastAsia="宋体" w:cs="宋体"/>
          <w:b/>
          <w:bCs/>
          <w:kern w:val="0"/>
          <w:sz w:val="24"/>
          <w:szCs w:val="24"/>
          <w:highlight w:val="none"/>
          <w:lang w:val="zh-CN"/>
        </w:rPr>
      </w:pPr>
      <w:bookmarkStart w:id="144" w:name="_Toc29946"/>
      <w:r>
        <w:rPr>
          <w:rFonts w:hint="eastAsia" w:ascii="宋体" w:hAnsi="宋体" w:eastAsia="宋体" w:cs="宋体"/>
          <w:b/>
          <w:bCs/>
          <w:kern w:val="0"/>
          <w:sz w:val="24"/>
          <w:szCs w:val="24"/>
          <w:highlight w:val="none"/>
          <w:lang w:val="zh-CN"/>
        </w:rPr>
        <w:t>1、《开标一览表》一份，要求单独封装并标明“开标一览表”字样，随投标文件一并递交，以便唱标时使用。</w:t>
      </w:r>
      <w:bookmarkEnd w:id="144"/>
    </w:p>
    <w:p>
      <w:pPr>
        <w:spacing w:before="0" w:after="0" w:line="300" w:lineRule="auto"/>
        <w:jc w:val="left"/>
        <w:outlineLvl w:val="9"/>
        <w:rPr>
          <w:rFonts w:hint="eastAsia" w:ascii="宋体" w:hAnsi="宋体" w:eastAsia="宋体" w:cs="宋体"/>
          <w:b w:val="0"/>
          <w:bCs w:val="0"/>
          <w:kern w:val="0"/>
          <w:sz w:val="24"/>
          <w:szCs w:val="24"/>
          <w:highlight w:val="none"/>
          <w:lang w:val="zh-CN"/>
        </w:rPr>
      </w:pPr>
      <w:bookmarkStart w:id="145" w:name="_Toc18029"/>
      <w:r>
        <w:rPr>
          <w:rFonts w:hint="eastAsia" w:ascii="宋体" w:hAnsi="宋体" w:eastAsia="宋体" w:cs="宋体"/>
          <w:b w:val="0"/>
          <w:bCs w:val="0"/>
          <w:kern w:val="0"/>
          <w:sz w:val="24"/>
          <w:szCs w:val="24"/>
          <w:highlight w:val="none"/>
          <w:lang w:val="zh-CN"/>
        </w:rPr>
        <w:t>2、在“投标货物中有无进口产品”栏后“有”或“无”上打“√”。</w:t>
      </w:r>
      <w:bookmarkEnd w:id="145"/>
    </w:p>
    <w:p>
      <w:pPr>
        <w:spacing w:before="0" w:after="0" w:line="300" w:lineRule="auto"/>
        <w:jc w:val="left"/>
        <w:outlineLvl w:val="9"/>
        <w:rPr>
          <w:rFonts w:hint="eastAsia" w:ascii="宋体" w:hAnsi="宋体" w:eastAsia="宋体" w:cs="宋体"/>
          <w:b w:val="0"/>
          <w:bCs w:val="0"/>
          <w:kern w:val="0"/>
          <w:sz w:val="24"/>
          <w:szCs w:val="24"/>
          <w:highlight w:val="none"/>
          <w:lang w:val="zh-CN"/>
        </w:rPr>
      </w:pPr>
      <w:bookmarkStart w:id="146" w:name="_Toc11231"/>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val="zh-CN"/>
        </w:rPr>
        <w:t>、本项目仅接受一个价格，不填报有选择性报价方案。若有优惠条款须注明，但不得影响报价，影响产品整体功能。</w:t>
      </w:r>
      <w:bookmarkEnd w:id="146"/>
    </w:p>
    <w:p>
      <w:pPr>
        <w:spacing w:before="0" w:after="0" w:line="300" w:lineRule="auto"/>
        <w:jc w:val="left"/>
        <w:outlineLvl w:val="9"/>
        <w:rPr>
          <w:rFonts w:hint="eastAsia" w:ascii="宋体" w:hAnsi="宋体" w:eastAsia="宋体" w:cs="宋体"/>
          <w:b w:val="0"/>
          <w:bCs w:val="0"/>
          <w:kern w:val="0"/>
          <w:sz w:val="24"/>
          <w:szCs w:val="24"/>
          <w:highlight w:val="none"/>
          <w:lang w:val="zh-CN"/>
        </w:rPr>
      </w:pPr>
    </w:p>
    <w:p>
      <w:pPr>
        <w:spacing w:before="0" w:after="0" w:line="300" w:lineRule="auto"/>
        <w:jc w:val="left"/>
        <w:outlineLvl w:val="9"/>
        <w:rPr>
          <w:rFonts w:hint="eastAsia" w:ascii="宋体" w:hAnsi="宋体" w:eastAsia="宋体" w:cs="宋体"/>
          <w:b w:val="0"/>
          <w:bCs w:val="0"/>
          <w:kern w:val="0"/>
          <w:sz w:val="24"/>
          <w:szCs w:val="24"/>
          <w:highlight w:val="none"/>
          <w:lang w:val="zh-CN"/>
        </w:rPr>
      </w:pPr>
      <w:bookmarkStart w:id="147" w:name="_Toc22424"/>
      <w:r>
        <w:rPr>
          <w:rFonts w:hint="eastAsia" w:ascii="宋体" w:hAnsi="宋体" w:eastAsia="宋体" w:cs="宋体"/>
          <w:b w:val="0"/>
          <w:bCs w:val="0"/>
          <w:kern w:val="0"/>
          <w:sz w:val="24"/>
          <w:szCs w:val="24"/>
          <w:highlight w:val="none"/>
        </w:rPr>
        <w:t>供应商名称</w:t>
      </w:r>
      <w:r>
        <w:rPr>
          <w:rFonts w:hint="eastAsia" w:ascii="宋体" w:hAnsi="宋体" w:eastAsia="宋体" w:cs="宋体"/>
          <w:b w:val="0"/>
          <w:bCs w:val="0"/>
          <w:kern w:val="0"/>
          <w:sz w:val="24"/>
          <w:szCs w:val="24"/>
          <w:highlight w:val="none"/>
          <w:lang w:val="zh-CN"/>
        </w:rPr>
        <w:t xml:space="preserve">:  </w:t>
      </w:r>
      <w:r>
        <w:rPr>
          <w:rFonts w:hint="eastAsia" w:ascii="宋体" w:hAnsi="宋体" w:eastAsia="宋体" w:cs="宋体"/>
          <w:b w:val="0"/>
          <w:bCs w:val="0"/>
          <w:kern w:val="0"/>
          <w:sz w:val="24"/>
          <w:szCs w:val="24"/>
          <w:highlight w:val="none"/>
          <w:u w:val="single"/>
          <w:lang w:val="zh-CN"/>
        </w:rPr>
        <w:t xml:space="preserve">                                        </w:t>
      </w:r>
      <w:r>
        <w:rPr>
          <w:rFonts w:hint="eastAsia" w:ascii="宋体" w:hAnsi="宋体" w:eastAsia="宋体" w:cs="宋体"/>
          <w:b w:val="0"/>
          <w:bCs w:val="0"/>
          <w:kern w:val="0"/>
          <w:sz w:val="24"/>
          <w:szCs w:val="24"/>
          <w:highlight w:val="none"/>
          <w:lang w:val="zh-CN"/>
        </w:rPr>
        <w:t>（盖章）</w:t>
      </w:r>
      <w:bookmarkEnd w:id="147"/>
    </w:p>
    <w:p>
      <w:pPr>
        <w:spacing w:before="0" w:after="0" w:line="300" w:lineRule="auto"/>
        <w:jc w:val="left"/>
        <w:outlineLvl w:val="9"/>
        <w:rPr>
          <w:rFonts w:hint="eastAsia" w:ascii="宋体" w:hAnsi="宋体" w:eastAsia="宋体" w:cs="宋体"/>
          <w:b w:val="0"/>
          <w:bCs w:val="0"/>
          <w:kern w:val="0"/>
          <w:sz w:val="24"/>
          <w:szCs w:val="24"/>
          <w:highlight w:val="none"/>
        </w:rPr>
      </w:pPr>
      <w:bookmarkStart w:id="148" w:name="_Toc17397"/>
      <w:r>
        <w:rPr>
          <w:rFonts w:hint="eastAsia" w:ascii="宋体" w:hAnsi="宋体" w:eastAsia="宋体" w:cs="宋体"/>
          <w:b w:val="0"/>
          <w:bCs w:val="0"/>
          <w:kern w:val="0"/>
          <w:sz w:val="24"/>
          <w:szCs w:val="24"/>
          <w:highlight w:val="none"/>
        </w:rPr>
        <w:t>日期：     年    月    日</w:t>
      </w:r>
      <w:bookmarkEnd w:id="148"/>
    </w:p>
    <w:p>
      <w:pPr>
        <w:outlineLvl w:val="0"/>
        <w:rPr>
          <w:rStyle w:val="27"/>
          <w:rFonts w:hint="eastAsia" w:ascii="宋体" w:hAnsi="宋体" w:eastAsia="宋体" w:cs="宋体"/>
          <w:b/>
          <w:bCs/>
          <w:sz w:val="28"/>
          <w:szCs w:val="28"/>
          <w:highlight w:val="none"/>
          <w:lang w:val="zh-CN"/>
        </w:rPr>
      </w:pPr>
      <w:r>
        <w:rPr>
          <w:rFonts w:hint="eastAsia" w:ascii="宋体" w:hAnsi="宋体" w:eastAsia="宋体" w:cs="宋体"/>
          <w:b w:val="0"/>
          <w:bCs w:val="0"/>
          <w:kern w:val="0"/>
          <w:szCs w:val="21"/>
          <w:highlight w:val="none"/>
        </w:rPr>
        <w:br w:type="page"/>
      </w:r>
      <w:bookmarkStart w:id="149" w:name="_Toc25907"/>
      <w:bookmarkStart w:id="150" w:name="_Toc21600"/>
      <w:bookmarkStart w:id="151" w:name="_Toc2217_WPSOffice_Level1"/>
      <w:bookmarkStart w:id="152" w:name="_Toc4979"/>
      <w:r>
        <w:rPr>
          <w:rStyle w:val="27"/>
          <w:rFonts w:hint="eastAsia" w:ascii="宋体" w:hAnsi="宋体" w:eastAsia="宋体" w:cs="宋体"/>
          <w:b/>
          <w:bCs/>
          <w:sz w:val="28"/>
          <w:szCs w:val="28"/>
          <w:highlight w:val="none"/>
          <w:lang w:val="zh-CN"/>
        </w:rPr>
        <w:t>附件四、分项报价表格式</w:t>
      </w:r>
      <w:bookmarkEnd w:id="149"/>
      <w:bookmarkEnd w:id="150"/>
      <w:bookmarkEnd w:id="151"/>
      <w:bookmarkEnd w:id="152"/>
    </w:p>
    <w:p>
      <w:pPr>
        <w:spacing w:line="360" w:lineRule="auto"/>
        <w:ind w:firstLine="562"/>
        <w:jc w:val="center"/>
        <w:outlineLvl w:val="9"/>
        <w:rPr>
          <w:rFonts w:hint="eastAsia" w:ascii="宋体" w:hAnsi="宋体" w:eastAsia="宋体" w:cs="宋体"/>
          <w:b/>
          <w:bCs/>
          <w:sz w:val="28"/>
          <w:highlight w:val="none"/>
          <w:lang w:val="zh-CN"/>
        </w:rPr>
      </w:pPr>
      <w:bookmarkStart w:id="153" w:name="_Toc16463_WPSOffice_Level2"/>
      <w:r>
        <w:rPr>
          <w:rFonts w:hint="eastAsia" w:ascii="宋体" w:hAnsi="宋体" w:eastAsia="宋体" w:cs="宋体"/>
          <w:b/>
          <w:bCs/>
          <w:sz w:val="28"/>
          <w:highlight w:val="none"/>
          <w:lang w:val="zh-CN"/>
        </w:rPr>
        <w:t>分项报价表</w:t>
      </w:r>
      <w:bookmarkEnd w:id="153"/>
    </w:p>
    <w:tbl>
      <w:tblPr>
        <w:tblStyle w:val="20"/>
        <w:tblW w:w="97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834"/>
        <w:gridCol w:w="1397"/>
        <w:gridCol w:w="853"/>
        <w:gridCol w:w="991"/>
        <w:gridCol w:w="1064"/>
        <w:gridCol w:w="961"/>
        <w:gridCol w:w="93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2" w:hRule="atLeast"/>
          <w:tblHeader/>
        </w:trPr>
        <w:tc>
          <w:tcPr>
            <w:tcW w:w="660" w:type="dxa"/>
            <w:tcBorders>
              <w:top w:val="single" w:color="auto" w:sz="6" w:space="0"/>
              <w:left w:val="single" w:color="auto" w:sz="6" w:space="0"/>
              <w:bottom w:val="single" w:color="auto" w:sz="6" w:space="0"/>
              <w:right w:val="single" w:color="auto" w:sz="6" w:space="0"/>
            </w:tcBorders>
            <w:shd w:val="clear" w:color="auto" w:fill="FFFFFF"/>
            <w:noWrap/>
            <w:vAlign w:val="center"/>
          </w:tcPr>
          <w:p>
            <w:pPr>
              <w:snapToGrid w:val="0"/>
              <w:spacing w:line="420" w:lineRule="exact"/>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34" w:type="dxa"/>
            <w:tcBorders>
              <w:top w:val="single" w:color="auto" w:sz="6" w:space="0"/>
              <w:left w:val="single" w:color="auto" w:sz="6" w:space="0"/>
              <w:bottom w:val="single" w:color="auto" w:sz="6" w:space="0"/>
              <w:right w:val="single" w:color="auto" w:sz="4" w:space="0"/>
            </w:tcBorders>
            <w:shd w:val="clear" w:color="auto" w:fill="FFFFFF"/>
            <w:noWrap/>
            <w:tcMar>
              <w:top w:w="15" w:type="dxa"/>
              <w:left w:w="15" w:type="dxa"/>
              <w:bottom w:w="0" w:type="dxa"/>
              <w:right w:w="15" w:type="dxa"/>
            </w:tcMar>
            <w:vAlign w:val="center"/>
          </w:tcPr>
          <w:p>
            <w:pPr>
              <w:snapToGrid w:val="0"/>
              <w:spacing w:line="420" w:lineRule="exact"/>
              <w:jc w:val="center"/>
              <w:outlineLvl w:val="9"/>
              <w:rPr>
                <w:rFonts w:hint="eastAsia" w:ascii="宋体" w:hAnsi="宋体" w:eastAsia="宋体" w:cs="宋体"/>
                <w:b/>
                <w:sz w:val="24"/>
                <w:highlight w:val="none"/>
              </w:rPr>
            </w:pPr>
            <w:r>
              <w:rPr>
                <w:rFonts w:hint="eastAsia" w:ascii="宋体" w:hAnsi="宋体" w:eastAsia="宋体" w:cs="宋体"/>
                <w:b/>
                <w:sz w:val="24"/>
                <w:highlight w:val="none"/>
                <w:lang w:val="en-US" w:eastAsia="zh-CN"/>
              </w:rPr>
              <w:t>设备名称</w:t>
            </w:r>
          </w:p>
        </w:tc>
        <w:tc>
          <w:tcPr>
            <w:tcW w:w="1397" w:type="dxa"/>
            <w:tcBorders>
              <w:top w:val="single" w:color="auto" w:sz="6" w:space="0"/>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snapToGrid w:val="0"/>
              <w:spacing w:line="420" w:lineRule="exact"/>
              <w:jc w:val="center"/>
              <w:outlineLvl w:val="9"/>
              <w:rPr>
                <w:rFonts w:hint="eastAsia" w:ascii="宋体" w:hAnsi="宋体" w:eastAsia="宋体" w:cs="宋体"/>
                <w:b/>
                <w:sz w:val="24"/>
                <w:highlight w:val="none"/>
              </w:rPr>
            </w:pPr>
            <w:r>
              <w:rPr>
                <w:rFonts w:hint="eastAsia" w:ascii="宋体" w:hAnsi="宋体" w:eastAsia="宋体" w:cs="宋体"/>
                <w:b/>
                <w:sz w:val="24"/>
                <w:highlight w:val="none"/>
                <w:lang w:val="en-US" w:eastAsia="zh-CN"/>
              </w:rPr>
              <w:t>技术参数</w:t>
            </w:r>
          </w:p>
        </w:tc>
        <w:tc>
          <w:tcPr>
            <w:tcW w:w="853" w:type="dxa"/>
            <w:tcBorders>
              <w:top w:val="single" w:color="auto" w:sz="6" w:space="0"/>
              <w:left w:val="single" w:color="auto" w:sz="6"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sz w:val="24"/>
                <w:highlight w:val="none"/>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991" w:type="dxa"/>
            <w:tcBorders>
              <w:top w:val="single" w:color="auto" w:sz="6"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sz w:val="24"/>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064" w:type="dxa"/>
            <w:tcBorders>
              <w:top w:val="single" w:color="auto" w:sz="6" w:space="0"/>
              <w:left w:val="single" w:color="auto" w:sz="4" w:space="0"/>
              <w:bottom w:val="single" w:color="auto" w:sz="4" w:space="0"/>
              <w:right w:val="single" w:color="auto" w:sz="6" w:space="0"/>
            </w:tcBorders>
            <w:shd w:val="clear" w:color="auto"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sz w:val="24"/>
                <w:highlight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61" w:type="dxa"/>
            <w:tcBorders>
              <w:top w:val="single" w:color="auto" w:sz="6" w:space="0"/>
              <w:left w:val="single" w:color="auto" w:sz="6" w:space="0"/>
              <w:bottom w:val="single" w:color="auto" w:sz="6"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sz w:val="24"/>
                <w:highlight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939" w:type="dxa"/>
            <w:tcBorders>
              <w:top w:val="single" w:color="auto" w:sz="6" w:space="0"/>
              <w:left w:val="single" w:color="auto" w:sz="6" w:space="0"/>
              <w:bottom w:val="single" w:color="auto" w:sz="6"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sz w:val="24"/>
                <w:highlight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c>
          <w:tcPr>
            <w:tcW w:w="1001" w:type="dxa"/>
            <w:tcBorders>
              <w:top w:val="single" w:color="auto" w:sz="6" w:space="0"/>
              <w:left w:val="single" w:color="auto" w:sz="4"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snapToGrid w:val="0"/>
              <w:spacing w:line="420" w:lineRule="exact"/>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是否为小微产品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3</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4</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5</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6</w:t>
            </w: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660" w:type="dxa"/>
            <w:tcBorders>
              <w:top w:val="single" w:color="auto" w:sz="6" w:space="0"/>
              <w:left w:val="single" w:color="auto" w:sz="6" w:space="0"/>
              <w:bottom w:val="single" w:color="auto" w:sz="4" w:space="0"/>
              <w:right w:val="single" w:color="auto" w:sz="6" w:space="0"/>
            </w:tcBorders>
            <w:noWrap/>
            <w:vAlign w:val="center"/>
          </w:tcPr>
          <w:p>
            <w:pPr>
              <w:spacing w:line="420" w:lineRule="exact"/>
              <w:jc w:val="center"/>
              <w:outlineLvl w:val="9"/>
              <w:rPr>
                <w:rFonts w:hint="eastAsia" w:ascii="宋体" w:hAnsi="宋体" w:eastAsia="宋体" w:cs="宋体"/>
                <w:sz w:val="24"/>
                <w:highlight w:val="none"/>
              </w:rPr>
            </w:pPr>
          </w:p>
        </w:tc>
        <w:tc>
          <w:tcPr>
            <w:tcW w:w="1834" w:type="dxa"/>
            <w:tcBorders>
              <w:top w:val="single" w:color="auto" w:sz="6" w:space="0"/>
              <w:left w:val="single" w:color="auto" w:sz="6" w:space="0"/>
              <w:bottom w:val="single" w:color="auto" w:sz="4"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397"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top"/>
          </w:tcPr>
          <w:p>
            <w:pPr>
              <w:spacing w:line="440" w:lineRule="exact"/>
              <w:jc w:val="center"/>
              <w:outlineLvl w:val="9"/>
              <w:rPr>
                <w:rFonts w:hint="eastAsia" w:ascii="宋体" w:hAnsi="宋体" w:eastAsia="宋体" w:cs="宋体"/>
                <w:sz w:val="24"/>
                <w:highlight w:val="none"/>
              </w:rPr>
            </w:pPr>
          </w:p>
        </w:tc>
        <w:tc>
          <w:tcPr>
            <w:tcW w:w="853" w:type="dxa"/>
            <w:tcBorders>
              <w:top w:val="single" w:color="auto" w:sz="6" w:space="0"/>
              <w:left w:val="single" w:color="auto" w:sz="6" w:space="0"/>
              <w:bottom w:val="single" w:color="auto" w:sz="6" w:space="0"/>
              <w:right w:val="single" w:color="auto" w:sz="4" w:space="0"/>
            </w:tcBorders>
            <w:noWrap/>
            <w:vAlign w:val="center"/>
          </w:tcPr>
          <w:p>
            <w:pPr>
              <w:spacing w:line="420" w:lineRule="exact"/>
              <w:jc w:val="center"/>
              <w:outlineLvl w:val="9"/>
              <w:rPr>
                <w:rFonts w:hint="eastAsia" w:ascii="宋体" w:hAnsi="宋体" w:eastAsia="宋体" w:cs="宋体"/>
                <w:bCs/>
                <w:sz w:val="24"/>
                <w:highlight w:val="none"/>
              </w:rPr>
            </w:pPr>
          </w:p>
        </w:tc>
        <w:tc>
          <w:tcPr>
            <w:tcW w:w="991" w:type="dxa"/>
            <w:tcBorders>
              <w:top w:val="single" w:color="auto" w:sz="6" w:space="0"/>
              <w:left w:val="single" w:color="auto" w:sz="4"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64"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61"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939" w:type="dxa"/>
            <w:tcBorders>
              <w:top w:val="single" w:color="auto" w:sz="6" w:space="0"/>
              <w:left w:val="single" w:color="auto" w:sz="6" w:space="0"/>
              <w:bottom w:val="single" w:color="auto" w:sz="6" w:space="0"/>
              <w:right w:val="single" w:color="auto" w:sz="4" w:space="0"/>
            </w:tcBorders>
            <w:noWrap/>
            <w:vAlign w:val="top"/>
          </w:tcPr>
          <w:p>
            <w:pPr>
              <w:snapToGrid w:val="0"/>
              <w:spacing w:line="420" w:lineRule="exact"/>
              <w:jc w:val="center"/>
              <w:outlineLvl w:val="9"/>
              <w:rPr>
                <w:rFonts w:hint="eastAsia" w:ascii="宋体" w:hAnsi="宋体" w:eastAsia="宋体" w:cs="宋体"/>
                <w:b/>
                <w:sz w:val="24"/>
                <w:highlight w:val="none"/>
              </w:rPr>
            </w:pPr>
          </w:p>
        </w:tc>
        <w:tc>
          <w:tcPr>
            <w:tcW w:w="1001" w:type="dxa"/>
            <w:tcBorders>
              <w:top w:val="single" w:color="auto" w:sz="6" w:space="0"/>
              <w:left w:val="single" w:color="auto" w:sz="4" w:space="0"/>
              <w:bottom w:val="single" w:color="auto" w:sz="6" w:space="0"/>
              <w:right w:val="single" w:color="auto" w:sz="6" w:space="0"/>
            </w:tcBorders>
            <w:noWrap/>
            <w:vAlign w:val="top"/>
          </w:tcPr>
          <w:p>
            <w:pPr>
              <w:snapToGrid w:val="0"/>
              <w:spacing w:line="420" w:lineRule="exact"/>
              <w:jc w:val="center"/>
              <w:outlineLvl w:val="9"/>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atLeast"/>
        </w:trPr>
        <w:tc>
          <w:tcPr>
            <w:tcW w:w="2494" w:type="dxa"/>
            <w:gridSpan w:val="2"/>
            <w:tcBorders>
              <w:top w:val="single" w:color="auto" w:sz="6" w:space="0"/>
              <w:left w:val="single" w:color="auto" w:sz="6" w:space="0"/>
              <w:bottom w:val="single" w:color="auto" w:sz="6" w:space="0"/>
              <w:right w:val="single" w:color="auto" w:sz="4" w:space="0"/>
            </w:tcBorders>
            <w:noWrap/>
            <w:vAlign w:val="center"/>
          </w:tcPr>
          <w:p>
            <w:pPr>
              <w:snapToGrid w:val="0"/>
              <w:spacing w:line="420" w:lineRule="exact"/>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投标报价总计（元）</w:t>
            </w:r>
          </w:p>
        </w:tc>
        <w:tc>
          <w:tcPr>
            <w:tcW w:w="7206" w:type="dxa"/>
            <w:gridSpan w:val="7"/>
            <w:tcBorders>
              <w:top w:val="single" w:color="auto" w:sz="4" w:space="0"/>
              <w:left w:val="single" w:color="auto" w:sz="4" w:space="0"/>
              <w:bottom w:val="single" w:color="auto" w:sz="4" w:space="0"/>
              <w:right w:val="single" w:color="auto" w:sz="4" w:space="0"/>
            </w:tcBorders>
            <w:noWrap/>
            <w:vAlign w:val="top"/>
          </w:tcPr>
          <w:p>
            <w:pPr>
              <w:snapToGrid w:val="0"/>
              <w:spacing w:line="420" w:lineRule="exact"/>
              <w:jc w:val="left"/>
              <w:outlineLvl w:val="9"/>
              <w:rPr>
                <w:rFonts w:hint="eastAsia" w:ascii="宋体" w:hAnsi="宋体" w:eastAsia="宋体" w:cs="宋体"/>
                <w:b/>
                <w:sz w:val="24"/>
                <w:highlight w:val="none"/>
              </w:rPr>
            </w:pPr>
          </w:p>
        </w:tc>
      </w:tr>
    </w:tbl>
    <w:p>
      <w:pPr>
        <w:tabs>
          <w:tab w:val="left" w:pos="220"/>
        </w:tabs>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说明：</w:t>
      </w:r>
    </w:p>
    <w:p>
      <w:pPr>
        <w:tabs>
          <w:tab w:val="left" w:pos="220"/>
        </w:tabs>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kern w:val="0"/>
          <w:sz w:val="24"/>
          <w:highlight w:val="none"/>
        </w:rPr>
        <w:t>1、此表为表样，行数可自行添加，但表式不变。</w:t>
      </w:r>
    </w:p>
    <w:p>
      <w:pPr>
        <w:tabs>
          <w:tab w:val="left" w:pos="220"/>
        </w:tabs>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kern w:val="0"/>
          <w:sz w:val="24"/>
          <w:highlight w:val="none"/>
        </w:rPr>
        <w:t>2、总价=单价*数量，数量由供应商自行计算并填列。</w:t>
      </w:r>
    </w:p>
    <w:p>
      <w:pPr>
        <w:tabs>
          <w:tab w:val="left" w:pos="220"/>
        </w:tabs>
        <w:adjustRightInd w:val="0"/>
        <w:snapToGrid w:val="0"/>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3、供应商必须保证承诺使用小、微型企业参加投标的真实性，如出现虚假响应，一经查实，将按照采购方采购有关法律法规进行处理。</w:t>
      </w:r>
    </w:p>
    <w:p>
      <w:pPr>
        <w:tabs>
          <w:tab w:val="left" w:pos="220"/>
        </w:tabs>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b/>
          <w:bCs/>
          <w:kern w:val="0"/>
          <w:sz w:val="24"/>
          <w:highlight w:val="none"/>
        </w:rPr>
        <w:t>4、投标价应包括但不限于完成该项目所有的费用及投标人认为需要的其他相关费用等；每一单项均应计算并填写单价和总价，投标单位未填单价或总价的项目，在实施后，采购单位将不予支付，并视为该项费用已包括在其它有价款的单价或总价内。</w:t>
      </w:r>
    </w:p>
    <w:p>
      <w:pPr>
        <w:pStyle w:val="7"/>
        <w:outlineLvl w:val="9"/>
        <w:rPr>
          <w:rFonts w:hint="eastAsia" w:ascii="宋体" w:hAnsi="宋体" w:eastAsia="宋体" w:cs="宋体"/>
          <w:highlight w:val="none"/>
          <w:lang w:eastAsia="zh-CN"/>
        </w:rPr>
      </w:pPr>
    </w:p>
    <w:p>
      <w:pPr>
        <w:tabs>
          <w:tab w:val="left" w:pos="220"/>
        </w:tabs>
        <w:spacing w:line="360" w:lineRule="auto"/>
        <w:jc w:val="left"/>
        <w:outlineLvl w:val="9"/>
        <w:rPr>
          <w:rFonts w:hint="eastAsia" w:ascii="宋体" w:hAnsi="宋体" w:eastAsia="宋体" w:cs="宋体"/>
          <w:b/>
          <w:bCs/>
          <w:kern w:val="0"/>
          <w:sz w:val="24"/>
          <w:highlight w:val="none"/>
          <w:lang w:val="zh-CN"/>
        </w:rPr>
      </w:pPr>
      <w:r>
        <w:rPr>
          <w:rFonts w:hint="eastAsia" w:ascii="宋体" w:hAnsi="宋体" w:eastAsia="宋体" w:cs="宋体"/>
          <w:kern w:val="0"/>
          <w:sz w:val="24"/>
          <w:highlight w:val="none"/>
        </w:rPr>
        <w:t>供应商名称</w:t>
      </w:r>
      <w:r>
        <w:rPr>
          <w:rFonts w:hint="eastAsia" w:ascii="宋体" w:hAnsi="宋体" w:eastAsia="宋体" w:cs="宋体"/>
          <w:b/>
          <w:bCs/>
          <w:kern w:val="0"/>
          <w:sz w:val="24"/>
          <w:highlight w:val="none"/>
          <w:lang w:val="zh-CN"/>
        </w:rPr>
        <w:t xml:space="preserve">:  </w:t>
      </w:r>
      <w:r>
        <w:rPr>
          <w:rFonts w:hint="eastAsia" w:ascii="宋体" w:hAnsi="宋体" w:eastAsia="宋体" w:cs="宋体"/>
          <w:b/>
          <w:bCs/>
          <w:kern w:val="0"/>
          <w:sz w:val="24"/>
          <w:highlight w:val="none"/>
          <w:u w:val="single"/>
          <w:lang w:val="zh-CN"/>
        </w:rPr>
        <w:t xml:space="preserve">             </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（盖章）</w:t>
      </w:r>
    </w:p>
    <w:p>
      <w:pPr>
        <w:outlineLvl w:val="9"/>
        <w:rPr>
          <w:rFonts w:hint="eastAsia" w:ascii="宋体" w:hAnsi="宋体" w:eastAsia="宋体" w:cs="宋体"/>
          <w:sz w:val="24"/>
          <w:highlight w:val="none"/>
        </w:rPr>
      </w:pPr>
      <w:r>
        <w:rPr>
          <w:rFonts w:hint="eastAsia" w:ascii="宋体" w:hAnsi="宋体" w:eastAsia="宋体" w:cs="宋体"/>
          <w:sz w:val="24"/>
          <w:highlight w:val="none"/>
        </w:rPr>
        <w:t>日期：     年    月    日</w:t>
      </w:r>
    </w:p>
    <w:p>
      <w:pPr>
        <w:pStyle w:val="7"/>
        <w:outlineLvl w:val="9"/>
        <w:rPr>
          <w:rFonts w:hint="eastAsia" w:ascii="宋体" w:hAnsi="宋体" w:eastAsia="宋体" w:cs="宋体"/>
          <w:highlight w:val="none"/>
          <w:lang w:eastAsia="zh-CN"/>
        </w:rPr>
      </w:pPr>
    </w:p>
    <w:p>
      <w:pPr>
        <w:outlineLvl w:val="9"/>
        <w:rPr>
          <w:rFonts w:hint="eastAsia" w:ascii="宋体" w:hAnsi="宋体" w:eastAsia="宋体" w:cs="宋体"/>
          <w:sz w:val="24"/>
          <w:highlight w:val="none"/>
        </w:rPr>
      </w:pPr>
    </w:p>
    <w:p>
      <w:pPr>
        <w:pStyle w:val="12"/>
        <w:outlineLvl w:val="9"/>
        <w:rPr>
          <w:rFonts w:hint="eastAsia" w:ascii="宋体" w:hAnsi="宋体" w:eastAsia="宋体" w:cs="宋体"/>
          <w:highlight w:val="none"/>
        </w:rPr>
      </w:pPr>
    </w:p>
    <w:p>
      <w:pPr>
        <w:pStyle w:val="7"/>
        <w:outlineLvl w:val="9"/>
        <w:rPr>
          <w:rFonts w:hint="eastAsia" w:ascii="宋体" w:hAnsi="宋体" w:eastAsia="宋体" w:cs="宋体"/>
          <w:highlight w:val="none"/>
          <w:lang w:eastAsia="zh-CN"/>
        </w:rPr>
      </w:pPr>
    </w:p>
    <w:p>
      <w:pPr>
        <w:rPr>
          <w:rStyle w:val="27"/>
          <w:rFonts w:hint="eastAsia" w:ascii="宋体" w:hAnsi="宋体" w:eastAsia="宋体" w:cs="宋体"/>
          <w:b/>
          <w:bCs/>
          <w:sz w:val="28"/>
          <w:szCs w:val="28"/>
          <w:highlight w:val="none"/>
          <w:lang w:val="zh-CN"/>
        </w:rPr>
      </w:pPr>
      <w:bookmarkStart w:id="154" w:name="_Toc28583"/>
      <w:bookmarkStart w:id="155" w:name="_Toc28522"/>
      <w:bookmarkStart w:id="156" w:name="_Toc16463_WPSOffice_Level1"/>
      <w:r>
        <w:rPr>
          <w:rStyle w:val="27"/>
          <w:rFonts w:hint="eastAsia" w:ascii="宋体" w:hAnsi="宋体" w:eastAsia="宋体" w:cs="宋体"/>
          <w:b/>
          <w:bCs/>
          <w:sz w:val="28"/>
          <w:szCs w:val="28"/>
          <w:highlight w:val="none"/>
          <w:lang w:val="zh-CN"/>
        </w:rPr>
        <w:br w:type="page"/>
      </w:r>
    </w:p>
    <w:bookmarkEnd w:id="154"/>
    <w:bookmarkEnd w:id="155"/>
    <w:bookmarkEnd w:id="156"/>
    <w:p>
      <w:pPr>
        <w:outlineLvl w:val="0"/>
        <w:rPr>
          <w:rStyle w:val="27"/>
          <w:rFonts w:hint="eastAsia" w:ascii="宋体" w:hAnsi="宋体" w:eastAsia="宋体" w:cs="宋体"/>
          <w:b/>
          <w:bCs/>
          <w:sz w:val="28"/>
          <w:szCs w:val="28"/>
          <w:highlight w:val="none"/>
          <w:lang w:val="zh-CN"/>
        </w:rPr>
      </w:pPr>
      <w:bookmarkStart w:id="157" w:name="_Toc2264"/>
      <w:bookmarkStart w:id="158" w:name="_Toc9972_WPSOffice_Level1"/>
      <w:bookmarkStart w:id="159" w:name="_Toc16477"/>
      <w:bookmarkStart w:id="160" w:name="_Toc9603"/>
      <w:r>
        <w:rPr>
          <w:rStyle w:val="27"/>
          <w:rFonts w:hint="eastAsia" w:ascii="宋体" w:hAnsi="宋体" w:eastAsia="宋体" w:cs="宋体"/>
          <w:b/>
          <w:bCs/>
          <w:sz w:val="28"/>
          <w:szCs w:val="28"/>
          <w:highlight w:val="none"/>
          <w:lang w:val="zh-CN"/>
        </w:rPr>
        <w:t>附件</w:t>
      </w:r>
      <w:r>
        <w:rPr>
          <w:rStyle w:val="27"/>
          <w:rFonts w:hint="eastAsia" w:ascii="宋体" w:hAnsi="宋体" w:cs="宋体"/>
          <w:b/>
          <w:bCs/>
          <w:sz w:val="28"/>
          <w:szCs w:val="28"/>
          <w:highlight w:val="none"/>
          <w:lang w:val="zh-CN"/>
        </w:rPr>
        <w:t>五</w:t>
      </w:r>
      <w:r>
        <w:rPr>
          <w:rStyle w:val="27"/>
          <w:rFonts w:hint="eastAsia" w:ascii="宋体" w:hAnsi="宋体" w:eastAsia="宋体" w:cs="宋体"/>
          <w:b/>
          <w:bCs/>
          <w:sz w:val="28"/>
          <w:szCs w:val="28"/>
          <w:highlight w:val="none"/>
          <w:lang w:val="zh-CN"/>
        </w:rPr>
        <w:t>、技术条款偏离表格式</w:t>
      </w:r>
      <w:bookmarkEnd w:id="157"/>
      <w:bookmarkEnd w:id="158"/>
      <w:bookmarkEnd w:id="159"/>
    </w:p>
    <w:bookmarkEnd w:id="160"/>
    <w:p>
      <w:pPr>
        <w:spacing w:line="360" w:lineRule="auto"/>
        <w:ind w:firstLine="562"/>
        <w:jc w:val="center"/>
        <w:outlineLvl w:val="9"/>
        <w:rPr>
          <w:rFonts w:hint="eastAsia" w:ascii="宋体" w:hAnsi="宋体" w:eastAsia="宋体" w:cs="宋体"/>
          <w:b/>
          <w:bCs/>
          <w:sz w:val="28"/>
          <w:highlight w:val="none"/>
          <w:lang w:val="zh-CN"/>
        </w:rPr>
      </w:pPr>
      <w:bookmarkStart w:id="161" w:name="_Toc5035_WPSOffice_Level2"/>
      <w:r>
        <w:rPr>
          <w:rFonts w:hint="eastAsia" w:ascii="宋体" w:hAnsi="宋体" w:eastAsia="宋体" w:cs="宋体"/>
          <w:b/>
          <w:bCs/>
          <w:sz w:val="28"/>
          <w:highlight w:val="none"/>
          <w:lang w:val="zh-CN"/>
        </w:rPr>
        <w:t>技术</w:t>
      </w:r>
      <w:r>
        <w:rPr>
          <w:rFonts w:hint="eastAsia" w:ascii="宋体" w:hAnsi="宋体" w:eastAsia="宋体" w:cs="宋体"/>
          <w:b/>
          <w:bCs/>
          <w:sz w:val="28"/>
          <w:highlight w:val="none"/>
        </w:rPr>
        <w:t>条款</w:t>
      </w:r>
      <w:r>
        <w:rPr>
          <w:rFonts w:hint="eastAsia" w:ascii="宋体" w:hAnsi="宋体" w:eastAsia="宋体" w:cs="宋体"/>
          <w:b/>
          <w:bCs/>
          <w:sz w:val="28"/>
          <w:highlight w:val="none"/>
          <w:lang w:val="zh-CN"/>
        </w:rPr>
        <w:t>偏离表</w:t>
      </w:r>
      <w:bookmarkEnd w:id="161"/>
    </w:p>
    <w:tbl>
      <w:tblPr>
        <w:tblStyle w:val="20"/>
        <w:tblW w:w="9180" w:type="dxa"/>
        <w:jc w:val="center"/>
        <w:tblLayout w:type="fixed"/>
        <w:tblCellMar>
          <w:top w:w="0" w:type="dxa"/>
          <w:left w:w="0" w:type="dxa"/>
          <w:bottom w:w="0" w:type="dxa"/>
          <w:right w:w="0" w:type="dxa"/>
        </w:tblCellMar>
      </w:tblPr>
      <w:tblGrid>
        <w:gridCol w:w="708"/>
        <w:gridCol w:w="1648"/>
        <w:gridCol w:w="2129"/>
        <w:gridCol w:w="1466"/>
        <w:gridCol w:w="1855"/>
        <w:gridCol w:w="1374"/>
      </w:tblGrid>
      <w:tr>
        <w:tblPrEx>
          <w:tblCellMar>
            <w:top w:w="0" w:type="dxa"/>
            <w:left w:w="0" w:type="dxa"/>
            <w:bottom w:w="0" w:type="dxa"/>
            <w:right w:w="0" w:type="dxa"/>
          </w:tblCellMar>
        </w:tblPrEx>
        <w:trPr>
          <w:trHeight w:val="531" w:hRule="atLeast"/>
          <w:jc w:val="center"/>
        </w:trPr>
        <w:tc>
          <w:tcPr>
            <w:tcW w:w="5951" w:type="dxa"/>
            <w:gridSpan w:val="4"/>
            <w:tcBorders>
              <w:top w:val="nil"/>
              <w:left w:val="nil"/>
              <w:bottom w:val="single" w:color="auto" w:sz="8" w:space="0"/>
              <w:right w:val="nil"/>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3229" w:type="dxa"/>
            <w:gridSpan w:val="2"/>
            <w:tcBorders>
              <w:top w:val="nil"/>
              <w:left w:val="nil"/>
              <w:bottom w:val="single" w:color="auto" w:sz="8" w:space="0"/>
              <w:right w:val="nil"/>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项目编号：  </w:t>
            </w:r>
          </w:p>
        </w:tc>
      </w:tr>
      <w:tr>
        <w:tblPrEx>
          <w:tblCellMar>
            <w:top w:w="0" w:type="dxa"/>
            <w:left w:w="0" w:type="dxa"/>
            <w:bottom w:w="0" w:type="dxa"/>
            <w:right w:w="0" w:type="dxa"/>
          </w:tblCellMar>
        </w:tblPrEx>
        <w:trPr>
          <w:trHeight w:val="1106"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招标文件条目号</w:t>
            </w: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招标要求规格</w:t>
            </w: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投标响应</w:t>
            </w: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偏离</w:t>
            </w:r>
          </w:p>
        </w:tc>
      </w:tr>
      <w:tr>
        <w:tblPrEx>
          <w:tblCellMar>
            <w:top w:w="0" w:type="dxa"/>
            <w:left w:w="0" w:type="dxa"/>
            <w:bottom w:w="0" w:type="dxa"/>
            <w:right w:w="0" w:type="dxa"/>
          </w:tblCellMar>
        </w:tblPrEx>
        <w:trPr>
          <w:trHeight w:val="574"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74"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74"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74"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r>
      <w:tr>
        <w:tblPrEx>
          <w:tblCellMar>
            <w:top w:w="0" w:type="dxa"/>
            <w:left w:w="0" w:type="dxa"/>
            <w:bottom w:w="0" w:type="dxa"/>
            <w:right w:w="0" w:type="dxa"/>
          </w:tblCellMar>
        </w:tblPrEx>
        <w:trPr>
          <w:trHeight w:val="574" w:hRule="atLeast"/>
          <w:jc w:val="center"/>
        </w:trPr>
        <w:tc>
          <w:tcPr>
            <w:tcW w:w="70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648"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2129"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3321"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374"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r>
      <w:tr>
        <w:tblPrEx>
          <w:tblCellMar>
            <w:top w:w="0" w:type="dxa"/>
            <w:left w:w="0" w:type="dxa"/>
            <w:bottom w:w="0" w:type="dxa"/>
            <w:right w:w="0" w:type="dxa"/>
          </w:tblCellMar>
        </w:tblPrEx>
        <w:trPr>
          <w:trHeight w:val="596" w:hRule="atLeast"/>
          <w:jc w:val="center"/>
        </w:trPr>
        <w:tc>
          <w:tcPr>
            <w:tcW w:w="708"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648"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2129"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3321" w:type="dxa"/>
            <w:gridSpan w:val="2"/>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c>
          <w:tcPr>
            <w:tcW w:w="1374" w:type="dxa"/>
            <w:tcBorders>
              <w:top w:val="single" w:color="auto" w:sz="8" w:space="0"/>
              <w:left w:val="single" w:color="auto" w:sz="8" w:space="0"/>
              <w:bottom w:val="single" w:color="auto" w:sz="4"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p>
        </w:tc>
      </w:tr>
    </w:tbl>
    <w:p>
      <w:pPr>
        <w:outlineLvl w:val="9"/>
        <w:rPr>
          <w:rFonts w:hint="eastAsia" w:ascii="宋体" w:hAnsi="宋体" w:eastAsia="宋体" w:cs="宋体"/>
          <w:sz w:val="24"/>
          <w:highlight w:val="none"/>
        </w:rPr>
      </w:pPr>
    </w:p>
    <w:p>
      <w:pPr>
        <w:outlineLvl w:val="9"/>
        <w:rPr>
          <w:rFonts w:hint="eastAsia" w:ascii="宋体" w:hAnsi="宋体" w:eastAsia="宋体" w:cs="宋体"/>
          <w:sz w:val="24"/>
          <w:highlight w:val="none"/>
        </w:rPr>
      </w:pPr>
    </w:p>
    <w:p>
      <w:pPr>
        <w:outlineLvl w:val="9"/>
        <w:rPr>
          <w:rFonts w:hint="eastAsia" w:ascii="宋体" w:hAnsi="宋体" w:eastAsia="宋体" w:cs="宋体"/>
          <w:sz w:val="24"/>
          <w:highlight w:val="none"/>
        </w:rPr>
      </w:pPr>
    </w:p>
    <w:p>
      <w:pPr>
        <w:outlineLvl w:val="9"/>
        <w:rPr>
          <w:rFonts w:hint="eastAsia" w:ascii="宋体" w:hAnsi="宋体" w:eastAsia="宋体" w:cs="宋体"/>
          <w:sz w:val="24"/>
          <w:highlight w:val="none"/>
        </w:rPr>
      </w:pPr>
      <w:r>
        <w:rPr>
          <w:rFonts w:hint="eastAsia" w:ascii="宋体" w:hAnsi="宋体" w:eastAsia="宋体" w:cs="宋体"/>
          <w:sz w:val="24"/>
          <w:highlight w:val="none"/>
        </w:rPr>
        <w:t>说明：</w:t>
      </w:r>
    </w:p>
    <w:p>
      <w:pPr>
        <w:outlineLvl w:val="9"/>
        <w:rPr>
          <w:rFonts w:hint="eastAsia" w:ascii="宋体" w:hAnsi="宋体" w:eastAsia="宋体" w:cs="宋体"/>
          <w:sz w:val="24"/>
          <w:highlight w:val="none"/>
        </w:rPr>
      </w:pPr>
      <w:bookmarkStart w:id="162" w:name="_Toc18814"/>
      <w:r>
        <w:rPr>
          <w:rFonts w:hint="eastAsia" w:ascii="宋体" w:hAnsi="宋体" w:eastAsia="宋体" w:cs="宋体"/>
          <w:sz w:val="24"/>
          <w:highlight w:val="none"/>
        </w:rPr>
        <w:t>1、如果行数不够，请自行增加。</w:t>
      </w:r>
      <w:bookmarkEnd w:id="162"/>
    </w:p>
    <w:p>
      <w:pPr>
        <w:outlineLvl w:val="9"/>
        <w:rPr>
          <w:rFonts w:hint="eastAsia" w:ascii="宋体" w:hAnsi="宋体" w:eastAsia="宋体" w:cs="宋体"/>
          <w:b/>
          <w:bCs/>
          <w:sz w:val="24"/>
          <w:highlight w:val="none"/>
        </w:rPr>
      </w:pPr>
      <w:r>
        <w:rPr>
          <w:rFonts w:hint="eastAsia" w:ascii="宋体" w:hAnsi="宋体" w:eastAsia="宋体" w:cs="宋体"/>
          <w:b/>
          <w:bCs/>
          <w:sz w:val="24"/>
          <w:highlight w:val="none"/>
        </w:rPr>
        <w:t>2、本项目招标文件中“第四章 招标项目的技术规格、要求和数量等”的相关需求，供应商必须在投标文件《技术条款偏离表》中逐项进行说明，投标文件的《技术条款偏离表》中“投标实际参数”，必须是供应商所投产品的实际参数，且不得完全照抄招标文件中参数；“技术条款偏离表”应逐条响应，不得有缺项漏项。</w:t>
      </w:r>
    </w:p>
    <w:p>
      <w:pPr>
        <w:outlineLvl w:val="9"/>
        <w:rPr>
          <w:rFonts w:hint="eastAsia" w:ascii="宋体" w:hAnsi="宋体" w:eastAsia="宋体" w:cs="宋体"/>
          <w:b/>
          <w:bCs/>
          <w:sz w:val="24"/>
          <w:highlight w:val="none"/>
        </w:rPr>
      </w:pPr>
      <w:r>
        <w:rPr>
          <w:rFonts w:hint="eastAsia" w:ascii="宋体" w:hAnsi="宋体" w:eastAsia="宋体" w:cs="宋体"/>
          <w:b/>
          <w:bCs/>
          <w:sz w:val="24"/>
          <w:highlight w:val="none"/>
        </w:rPr>
        <w:t>3、供应商投标规格和招标规格不一致，而供应商却在此表应答为响应或正偏离时，必须提供充分理由说明及证明材料（不提供或理由不充分将视为负偏离）；因此种情况在验收时产生争议，采购人有权按照招标文件的原始标准进行验收。</w:t>
      </w:r>
    </w:p>
    <w:p>
      <w:pPr>
        <w:outlineLvl w:val="9"/>
        <w:rPr>
          <w:rFonts w:hint="eastAsia" w:ascii="宋体" w:hAnsi="宋体" w:eastAsia="宋体" w:cs="宋体"/>
          <w:highlight w:val="none"/>
        </w:rPr>
      </w:pPr>
    </w:p>
    <w:p>
      <w:pPr>
        <w:outlineLvl w:val="9"/>
        <w:rPr>
          <w:rFonts w:hint="eastAsia" w:ascii="宋体" w:hAnsi="宋体" w:eastAsia="宋体" w:cs="宋体"/>
          <w:sz w:val="24"/>
          <w:highlight w:val="none"/>
        </w:rPr>
      </w:pPr>
      <w:r>
        <w:rPr>
          <w:rFonts w:hint="eastAsia" w:ascii="宋体" w:hAnsi="宋体" w:eastAsia="宋体" w:cs="宋体"/>
          <w:sz w:val="24"/>
          <w:highlight w:val="none"/>
        </w:rPr>
        <w:t xml:space="preserve">供应商名称: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outlineLvl w:val="9"/>
        <w:rPr>
          <w:rFonts w:hint="eastAsia" w:ascii="宋体" w:hAnsi="宋体" w:eastAsia="宋体" w:cs="宋体"/>
          <w:sz w:val="24"/>
          <w:highlight w:val="none"/>
        </w:rPr>
      </w:pPr>
      <w:r>
        <w:rPr>
          <w:rFonts w:hint="eastAsia" w:ascii="宋体" w:hAnsi="宋体" w:eastAsia="宋体" w:cs="宋体"/>
          <w:sz w:val="24"/>
          <w:highlight w:val="none"/>
        </w:rPr>
        <w:t>日期：     年    月    日</w:t>
      </w:r>
    </w:p>
    <w:p>
      <w:pPr>
        <w:pStyle w:val="7"/>
        <w:outlineLvl w:val="9"/>
        <w:rPr>
          <w:rFonts w:hint="eastAsia" w:ascii="宋体" w:hAnsi="宋体" w:eastAsia="宋体" w:cs="宋体"/>
          <w:highlight w:val="none"/>
          <w:lang w:eastAsia="zh-CN"/>
        </w:rPr>
      </w:pPr>
    </w:p>
    <w:p>
      <w:pPr>
        <w:outlineLvl w:val="9"/>
        <w:rPr>
          <w:rFonts w:hint="eastAsia" w:ascii="宋体" w:hAnsi="宋体" w:eastAsia="宋体" w:cs="宋体"/>
          <w:sz w:val="24"/>
          <w:highlight w:val="none"/>
        </w:rPr>
      </w:pPr>
    </w:p>
    <w:p>
      <w:pPr>
        <w:pStyle w:val="7"/>
        <w:outlineLvl w:val="9"/>
        <w:rPr>
          <w:rFonts w:hint="eastAsia" w:ascii="宋体" w:hAnsi="宋体" w:eastAsia="宋体" w:cs="宋体"/>
          <w:highlight w:val="none"/>
          <w:lang w:eastAsia="zh-CN"/>
        </w:rPr>
      </w:pPr>
    </w:p>
    <w:p>
      <w:pPr>
        <w:outlineLvl w:val="9"/>
        <w:rPr>
          <w:rFonts w:hint="eastAsia" w:ascii="宋体" w:hAnsi="宋体" w:eastAsia="宋体" w:cs="宋体"/>
          <w:highlight w:val="none"/>
        </w:rPr>
      </w:pPr>
    </w:p>
    <w:p>
      <w:pPr>
        <w:outlineLvl w:val="9"/>
        <w:rPr>
          <w:rFonts w:hint="eastAsia" w:ascii="宋体" w:hAnsi="宋体" w:eastAsia="宋体" w:cs="宋体"/>
          <w:highlight w:val="none"/>
        </w:rPr>
      </w:pPr>
    </w:p>
    <w:p>
      <w:pPr>
        <w:pStyle w:val="7"/>
        <w:outlineLvl w:val="9"/>
        <w:rPr>
          <w:rFonts w:hint="eastAsia" w:ascii="宋体" w:hAnsi="宋体" w:eastAsia="宋体" w:cs="宋体"/>
          <w:highlight w:val="none"/>
          <w:lang w:eastAsia="zh-CN"/>
        </w:rPr>
      </w:pPr>
    </w:p>
    <w:p>
      <w:pPr>
        <w:rPr>
          <w:rStyle w:val="27"/>
          <w:rFonts w:hint="eastAsia" w:ascii="宋体" w:hAnsi="宋体" w:eastAsia="宋体" w:cs="宋体"/>
          <w:b/>
          <w:bCs/>
          <w:sz w:val="28"/>
          <w:szCs w:val="28"/>
          <w:highlight w:val="none"/>
          <w:lang w:val="zh-CN"/>
        </w:rPr>
      </w:pPr>
      <w:bookmarkStart w:id="163" w:name="_Toc6422"/>
      <w:bookmarkStart w:id="164" w:name="_Toc12448"/>
      <w:bookmarkStart w:id="165" w:name="_Toc5035_WPSOffice_Level1"/>
      <w:r>
        <w:rPr>
          <w:rStyle w:val="27"/>
          <w:rFonts w:hint="eastAsia" w:ascii="宋体" w:hAnsi="宋体" w:eastAsia="宋体" w:cs="宋体"/>
          <w:b/>
          <w:bCs/>
          <w:sz w:val="28"/>
          <w:szCs w:val="28"/>
          <w:highlight w:val="none"/>
          <w:lang w:val="zh-CN"/>
        </w:rPr>
        <w:br w:type="page"/>
      </w:r>
    </w:p>
    <w:p>
      <w:pPr>
        <w:outlineLvl w:val="0"/>
        <w:rPr>
          <w:rStyle w:val="27"/>
          <w:rFonts w:hint="eastAsia" w:ascii="宋体" w:hAnsi="宋体" w:eastAsia="宋体" w:cs="宋体"/>
          <w:b/>
          <w:bCs/>
          <w:sz w:val="28"/>
          <w:szCs w:val="28"/>
          <w:highlight w:val="none"/>
          <w:lang w:val="zh-CN"/>
        </w:rPr>
      </w:pPr>
      <w:bookmarkStart w:id="166" w:name="_Toc22053"/>
      <w:r>
        <w:rPr>
          <w:rStyle w:val="27"/>
          <w:rFonts w:hint="eastAsia" w:ascii="宋体" w:hAnsi="宋体" w:eastAsia="宋体" w:cs="宋体"/>
          <w:b/>
          <w:bCs/>
          <w:sz w:val="28"/>
          <w:szCs w:val="28"/>
          <w:highlight w:val="none"/>
          <w:lang w:val="zh-CN"/>
        </w:rPr>
        <w:t>附件</w:t>
      </w:r>
      <w:r>
        <w:rPr>
          <w:rStyle w:val="27"/>
          <w:rFonts w:hint="eastAsia" w:ascii="宋体" w:hAnsi="宋体" w:cs="宋体"/>
          <w:b/>
          <w:bCs/>
          <w:sz w:val="28"/>
          <w:szCs w:val="28"/>
          <w:highlight w:val="none"/>
          <w:lang w:val="zh-CN"/>
        </w:rPr>
        <w:t>六</w:t>
      </w:r>
      <w:r>
        <w:rPr>
          <w:rStyle w:val="27"/>
          <w:rFonts w:hint="eastAsia" w:ascii="宋体" w:hAnsi="宋体" w:eastAsia="宋体" w:cs="宋体"/>
          <w:b/>
          <w:bCs/>
          <w:sz w:val="28"/>
          <w:szCs w:val="28"/>
          <w:highlight w:val="none"/>
          <w:lang w:val="zh-CN"/>
        </w:rPr>
        <w:t>、商务条款偏离表格式</w:t>
      </w:r>
      <w:bookmarkEnd w:id="163"/>
      <w:bookmarkEnd w:id="164"/>
      <w:bookmarkEnd w:id="165"/>
    </w:p>
    <w:bookmarkEnd w:id="166"/>
    <w:p>
      <w:pPr>
        <w:spacing w:line="360" w:lineRule="auto"/>
        <w:ind w:firstLine="562"/>
        <w:jc w:val="center"/>
        <w:outlineLvl w:val="9"/>
        <w:rPr>
          <w:rFonts w:hint="eastAsia" w:ascii="宋体" w:hAnsi="宋体" w:eastAsia="宋体" w:cs="宋体"/>
          <w:b/>
          <w:bCs/>
          <w:sz w:val="28"/>
          <w:highlight w:val="none"/>
          <w:lang w:val="zh-CN"/>
        </w:rPr>
      </w:pPr>
      <w:bookmarkStart w:id="167" w:name="_Toc11733_WPSOffice_Level2"/>
      <w:r>
        <w:rPr>
          <w:rFonts w:hint="eastAsia" w:ascii="宋体" w:hAnsi="宋体" w:eastAsia="宋体" w:cs="宋体"/>
          <w:b/>
          <w:bCs/>
          <w:sz w:val="28"/>
          <w:highlight w:val="none"/>
          <w:lang w:val="zh-CN"/>
        </w:rPr>
        <w:t>商务条款偏离表</w:t>
      </w:r>
      <w:bookmarkEnd w:id="167"/>
    </w:p>
    <w:p>
      <w:pPr>
        <w:shd w:val="clear" w:color="auto" w:fill="FFFFFF"/>
        <w:adjustRightInd w:val="0"/>
        <w:snapToGrid w:val="0"/>
        <w:spacing w:line="360" w:lineRule="auto"/>
        <w:jc w:val="left"/>
        <w:outlineLvl w:val="9"/>
        <w:rPr>
          <w:rFonts w:hint="eastAsia" w:ascii="宋体" w:hAnsi="宋体" w:eastAsia="宋体" w:cs="宋体"/>
          <w:kern w:val="0"/>
          <w:sz w:val="20"/>
          <w:highlight w:val="none"/>
        </w:rPr>
      </w:pPr>
    </w:p>
    <w:tbl>
      <w:tblPr>
        <w:tblStyle w:val="20"/>
        <w:tblW w:w="9360" w:type="dxa"/>
        <w:jc w:val="center"/>
        <w:tblLayout w:type="fixed"/>
        <w:tblCellMar>
          <w:top w:w="0" w:type="dxa"/>
          <w:left w:w="0" w:type="dxa"/>
          <w:bottom w:w="0" w:type="dxa"/>
          <w:right w:w="0" w:type="dxa"/>
        </w:tblCellMar>
      </w:tblPr>
      <w:tblGrid>
        <w:gridCol w:w="630"/>
        <w:gridCol w:w="1732"/>
        <w:gridCol w:w="2685"/>
        <w:gridCol w:w="327"/>
        <w:gridCol w:w="2635"/>
        <w:gridCol w:w="1351"/>
      </w:tblGrid>
      <w:tr>
        <w:tblPrEx>
          <w:tblCellMar>
            <w:top w:w="0" w:type="dxa"/>
            <w:left w:w="0" w:type="dxa"/>
            <w:bottom w:w="0" w:type="dxa"/>
            <w:right w:w="0" w:type="dxa"/>
          </w:tblCellMar>
        </w:tblPrEx>
        <w:trPr>
          <w:trHeight w:val="1016" w:hRule="atLeast"/>
          <w:tblHeader/>
          <w:jc w:val="center"/>
        </w:trPr>
        <w:tc>
          <w:tcPr>
            <w:tcW w:w="5374" w:type="dxa"/>
            <w:gridSpan w:val="4"/>
            <w:tcBorders>
              <w:top w:val="nil"/>
              <w:left w:val="nil"/>
              <w:bottom w:val="single" w:color="auto" w:sz="8" w:space="0"/>
              <w:right w:val="nil"/>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3986" w:type="dxa"/>
            <w:gridSpan w:val="2"/>
            <w:tcBorders>
              <w:top w:val="nil"/>
              <w:left w:val="nil"/>
              <w:bottom w:val="single" w:color="auto" w:sz="8" w:space="0"/>
              <w:right w:val="nil"/>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项目编号：         </w:t>
            </w:r>
          </w:p>
        </w:tc>
      </w:tr>
      <w:tr>
        <w:tblPrEx>
          <w:tblCellMar>
            <w:top w:w="0" w:type="dxa"/>
            <w:left w:w="0" w:type="dxa"/>
            <w:bottom w:w="0" w:type="dxa"/>
            <w:right w:w="0" w:type="dxa"/>
          </w:tblCellMar>
        </w:tblPrEx>
        <w:trPr>
          <w:trHeight w:val="1058" w:hRule="atLeast"/>
          <w:jc w:val="center"/>
        </w:trPr>
        <w:tc>
          <w:tcPr>
            <w:tcW w:w="6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732"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招标文件条目号</w:t>
            </w:r>
          </w:p>
        </w:tc>
        <w:tc>
          <w:tcPr>
            <w:tcW w:w="26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招标文件要求的商务条款</w:t>
            </w:r>
          </w:p>
        </w:tc>
        <w:tc>
          <w:tcPr>
            <w:tcW w:w="2962"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投标响应</w:t>
            </w:r>
          </w:p>
        </w:tc>
        <w:tc>
          <w:tcPr>
            <w:tcW w:w="135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偏离</w:t>
            </w:r>
          </w:p>
        </w:tc>
      </w:tr>
      <w:tr>
        <w:tblPrEx>
          <w:tblCellMar>
            <w:top w:w="0" w:type="dxa"/>
            <w:left w:w="0" w:type="dxa"/>
            <w:bottom w:w="0" w:type="dxa"/>
            <w:right w:w="0" w:type="dxa"/>
          </w:tblCellMar>
        </w:tblPrEx>
        <w:trPr>
          <w:trHeight w:val="550" w:hRule="atLeast"/>
          <w:jc w:val="center"/>
        </w:trPr>
        <w:tc>
          <w:tcPr>
            <w:tcW w:w="6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732"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6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962"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5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50" w:hRule="atLeast"/>
          <w:jc w:val="center"/>
        </w:trPr>
        <w:tc>
          <w:tcPr>
            <w:tcW w:w="6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732"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6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962"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5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50" w:hRule="atLeast"/>
          <w:jc w:val="center"/>
        </w:trPr>
        <w:tc>
          <w:tcPr>
            <w:tcW w:w="6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732"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6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962"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5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tblPrEx>
          <w:tblCellMar>
            <w:top w:w="0" w:type="dxa"/>
            <w:left w:w="0" w:type="dxa"/>
            <w:bottom w:w="0" w:type="dxa"/>
            <w:right w:w="0" w:type="dxa"/>
          </w:tblCellMar>
        </w:tblPrEx>
        <w:trPr>
          <w:trHeight w:val="592" w:hRule="atLeast"/>
          <w:jc w:val="center"/>
        </w:trPr>
        <w:tc>
          <w:tcPr>
            <w:tcW w:w="630"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732"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685"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962" w:type="dxa"/>
            <w:gridSpan w:val="2"/>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351" w:type="dxa"/>
            <w:tcBorders>
              <w:top w:val="single" w:color="auto" w:sz="8" w:space="0"/>
              <w:left w:val="single" w:color="auto" w:sz="8" w:space="0"/>
              <w:bottom w:val="single" w:color="auto" w:sz="8" w:space="0"/>
              <w:right w:val="single" w:color="auto" w:sz="8" w:space="0"/>
            </w:tcBorders>
            <w:noWrap w:val="0"/>
            <w:tcMar>
              <w:top w:w="0" w:type="dxa"/>
              <w:left w:w="10" w:type="dxa"/>
              <w:bottom w:w="0" w:type="dxa"/>
              <w:right w:w="10" w:type="dxa"/>
            </w:tcMar>
            <w:vAlign w:val="center"/>
          </w:tcPr>
          <w:p>
            <w:pPr>
              <w:spacing w:line="360" w:lineRule="auto"/>
              <w:jc w:val="lef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bl>
    <w:p>
      <w:pPr>
        <w:outlineLvl w:val="9"/>
        <w:rPr>
          <w:rFonts w:hint="eastAsia" w:ascii="宋体" w:hAnsi="宋体" w:eastAsia="宋体" w:cs="宋体"/>
          <w:sz w:val="24"/>
          <w:highlight w:val="none"/>
        </w:rPr>
      </w:pPr>
    </w:p>
    <w:p>
      <w:pPr>
        <w:spacing w:before="0" w:after="0" w:line="240" w:lineRule="auto"/>
        <w:outlineLvl w:val="9"/>
        <w:rPr>
          <w:rFonts w:hint="eastAsia" w:ascii="宋体" w:hAnsi="宋体" w:eastAsia="宋体" w:cs="宋体"/>
          <w:b w:val="0"/>
          <w:bCs w:val="0"/>
          <w:kern w:val="0"/>
          <w:sz w:val="24"/>
          <w:szCs w:val="24"/>
          <w:highlight w:val="none"/>
        </w:rPr>
      </w:pPr>
      <w:bookmarkStart w:id="168" w:name="_Toc426"/>
      <w:r>
        <w:rPr>
          <w:rFonts w:hint="eastAsia" w:ascii="宋体" w:hAnsi="宋体" w:eastAsia="宋体" w:cs="宋体"/>
          <w:b w:val="0"/>
          <w:bCs w:val="0"/>
          <w:kern w:val="0"/>
          <w:sz w:val="24"/>
          <w:szCs w:val="24"/>
          <w:highlight w:val="none"/>
        </w:rPr>
        <w:t>说明：</w:t>
      </w:r>
      <w:bookmarkEnd w:id="168"/>
    </w:p>
    <w:p>
      <w:pPr>
        <w:spacing w:before="0" w:after="0" w:line="240" w:lineRule="auto"/>
        <w:outlineLvl w:val="9"/>
        <w:rPr>
          <w:rFonts w:hint="eastAsia" w:ascii="宋体" w:hAnsi="宋体" w:eastAsia="宋体" w:cs="宋体"/>
          <w:b w:val="0"/>
          <w:bCs w:val="0"/>
          <w:kern w:val="0"/>
          <w:sz w:val="24"/>
          <w:szCs w:val="24"/>
          <w:highlight w:val="none"/>
        </w:rPr>
      </w:pPr>
      <w:bookmarkStart w:id="169" w:name="_Toc13862"/>
      <w:r>
        <w:rPr>
          <w:rFonts w:hint="eastAsia" w:ascii="宋体" w:hAnsi="宋体" w:eastAsia="宋体" w:cs="宋体"/>
          <w:b w:val="0"/>
          <w:bCs w:val="0"/>
          <w:kern w:val="0"/>
          <w:sz w:val="24"/>
          <w:szCs w:val="24"/>
          <w:highlight w:val="none"/>
        </w:rPr>
        <w:t>1、如果行数不够，请自行增加。</w:t>
      </w:r>
      <w:bookmarkEnd w:id="169"/>
    </w:p>
    <w:p>
      <w:pPr>
        <w:spacing w:before="0" w:after="0" w:line="240" w:lineRule="auto"/>
        <w:outlineLvl w:val="9"/>
        <w:rPr>
          <w:rFonts w:hint="eastAsia" w:ascii="宋体" w:hAnsi="宋体" w:eastAsia="宋体" w:cs="宋体"/>
          <w:b w:val="0"/>
          <w:bCs w:val="0"/>
          <w:kern w:val="0"/>
          <w:sz w:val="24"/>
          <w:szCs w:val="24"/>
          <w:highlight w:val="none"/>
        </w:rPr>
      </w:pPr>
      <w:bookmarkStart w:id="170" w:name="_Toc12565"/>
      <w:r>
        <w:rPr>
          <w:rFonts w:hint="eastAsia" w:ascii="宋体" w:hAnsi="宋体" w:eastAsia="宋体" w:cs="宋体"/>
          <w:b w:val="0"/>
          <w:bCs w:val="0"/>
          <w:kern w:val="0"/>
          <w:sz w:val="24"/>
          <w:szCs w:val="24"/>
          <w:highlight w:val="none"/>
        </w:rPr>
        <w:t>2、投标人应在上表中明确投标文件商务部分与招标文件要求的商务条款偏离情况，未在上表中说明的，如在投标文件其他内容中已有文字说明或相关证明材料的，则以已有文字说明或相关证明材料为准，但该表不作为供应商对所投项目关于商务条款等详细描述和说明的替代。</w:t>
      </w:r>
      <w:bookmarkEnd w:id="170"/>
    </w:p>
    <w:p>
      <w:pPr>
        <w:outlineLvl w:val="9"/>
        <w:rPr>
          <w:rFonts w:hint="eastAsia" w:ascii="宋体" w:hAnsi="宋体" w:eastAsia="宋体" w:cs="宋体"/>
          <w:sz w:val="24"/>
          <w:highlight w:val="none"/>
        </w:rPr>
      </w:pPr>
    </w:p>
    <w:p>
      <w:pPr>
        <w:spacing w:before="0" w:after="0" w:line="240" w:lineRule="auto"/>
        <w:outlineLvl w:val="9"/>
        <w:rPr>
          <w:rFonts w:hint="eastAsia" w:ascii="宋体" w:hAnsi="宋体" w:eastAsia="宋体" w:cs="宋体"/>
          <w:b w:val="0"/>
          <w:bCs w:val="0"/>
          <w:kern w:val="0"/>
          <w:sz w:val="24"/>
          <w:szCs w:val="24"/>
          <w:highlight w:val="none"/>
        </w:rPr>
      </w:pPr>
      <w:bookmarkStart w:id="171" w:name="_Toc2450"/>
      <w:r>
        <w:rPr>
          <w:rFonts w:hint="eastAsia" w:ascii="宋体" w:hAnsi="宋体" w:eastAsia="宋体" w:cs="宋体"/>
          <w:b w:val="0"/>
          <w:bCs w:val="0"/>
          <w:kern w:val="0"/>
          <w:sz w:val="24"/>
          <w:szCs w:val="24"/>
          <w:highlight w:val="none"/>
        </w:rPr>
        <w:t>供应商名称</w:t>
      </w: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u w:val="single"/>
          <w:lang w:val="zh-CN"/>
        </w:rPr>
        <w:t xml:space="preserve">                                     </w:t>
      </w:r>
      <w:r>
        <w:rPr>
          <w:rFonts w:hint="eastAsia" w:ascii="宋体" w:hAnsi="宋体" w:eastAsia="宋体" w:cs="宋体"/>
          <w:b w:val="0"/>
          <w:bCs w:val="0"/>
          <w:kern w:val="0"/>
          <w:sz w:val="24"/>
          <w:szCs w:val="24"/>
          <w:highlight w:val="none"/>
          <w:lang w:val="zh-CN"/>
        </w:rPr>
        <w:t>（盖章）</w:t>
      </w:r>
      <w:bookmarkEnd w:id="171"/>
    </w:p>
    <w:p>
      <w:pPr>
        <w:outlineLvl w:val="9"/>
        <w:rPr>
          <w:rFonts w:hint="eastAsia" w:ascii="宋体" w:hAnsi="宋体" w:eastAsia="宋体" w:cs="宋体"/>
          <w:b w:val="0"/>
          <w:bCs w:val="0"/>
          <w:kern w:val="0"/>
          <w:sz w:val="24"/>
          <w:szCs w:val="24"/>
          <w:highlight w:val="none"/>
        </w:rPr>
      </w:pPr>
      <w:bookmarkStart w:id="172" w:name="_Toc11500"/>
      <w:bookmarkStart w:id="173" w:name="_Toc10980"/>
      <w:r>
        <w:rPr>
          <w:rFonts w:hint="eastAsia" w:ascii="宋体" w:hAnsi="宋体" w:eastAsia="宋体" w:cs="宋体"/>
          <w:b w:val="0"/>
          <w:bCs w:val="0"/>
          <w:kern w:val="0"/>
          <w:sz w:val="24"/>
          <w:szCs w:val="24"/>
          <w:highlight w:val="none"/>
        </w:rPr>
        <w:t>日期：     年    月    日</w:t>
      </w:r>
      <w:r>
        <w:rPr>
          <w:rFonts w:hint="eastAsia" w:ascii="宋体" w:hAnsi="宋体" w:eastAsia="宋体" w:cs="宋体"/>
          <w:b w:val="0"/>
          <w:bCs w:val="0"/>
          <w:kern w:val="0"/>
          <w:sz w:val="24"/>
          <w:szCs w:val="24"/>
          <w:highlight w:val="none"/>
        </w:rPr>
        <w:br w:type="page"/>
      </w:r>
      <w:bookmarkStart w:id="174" w:name="_Toc12545"/>
    </w:p>
    <w:p>
      <w:pPr>
        <w:outlineLvl w:val="0"/>
        <w:rPr>
          <w:rStyle w:val="27"/>
          <w:rFonts w:hint="eastAsia" w:ascii="宋体" w:hAnsi="宋体" w:eastAsia="宋体" w:cs="宋体"/>
          <w:b/>
          <w:bCs/>
          <w:sz w:val="28"/>
          <w:szCs w:val="28"/>
          <w:highlight w:val="none"/>
          <w:lang w:val="zh-CN"/>
        </w:rPr>
      </w:pPr>
      <w:r>
        <w:rPr>
          <w:rStyle w:val="27"/>
          <w:rFonts w:hint="eastAsia" w:ascii="宋体" w:hAnsi="宋体" w:eastAsia="宋体" w:cs="宋体"/>
          <w:b/>
          <w:bCs/>
          <w:sz w:val="28"/>
          <w:szCs w:val="28"/>
          <w:highlight w:val="none"/>
          <w:lang w:val="zh-CN"/>
        </w:rPr>
        <w:t>附件</w:t>
      </w:r>
      <w:r>
        <w:rPr>
          <w:rStyle w:val="27"/>
          <w:rFonts w:hint="eastAsia" w:ascii="宋体" w:hAnsi="宋体" w:cs="宋体"/>
          <w:b/>
          <w:bCs/>
          <w:sz w:val="28"/>
          <w:szCs w:val="28"/>
          <w:highlight w:val="none"/>
          <w:lang w:val="zh-CN"/>
        </w:rPr>
        <w:t>七</w:t>
      </w:r>
      <w:r>
        <w:rPr>
          <w:rStyle w:val="27"/>
          <w:rFonts w:hint="eastAsia" w:ascii="宋体" w:hAnsi="宋体" w:eastAsia="宋体" w:cs="宋体"/>
          <w:b/>
          <w:bCs/>
          <w:sz w:val="28"/>
          <w:szCs w:val="28"/>
          <w:highlight w:val="none"/>
          <w:lang w:val="zh-CN"/>
        </w:rPr>
        <w:t>、投标人类似业绩情况表</w:t>
      </w:r>
      <w:bookmarkEnd w:id="172"/>
      <w:bookmarkEnd w:id="173"/>
      <w:bookmarkEnd w:id="174"/>
    </w:p>
    <w:p>
      <w:pPr>
        <w:spacing w:line="360" w:lineRule="auto"/>
        <w:ind w:firstLine="562"/>
        <w:jc w:val="center"/>
        <w:outlineLvl w:val="9"/>
        <w:rPr>
          <w:rFonts w:hint="eastAsia" w:ascii="宋体" w:hAnsi="宋体" w:eastAsia="宋体" w:cs="宋体"/>
          <w:b/>
          <w:bCs/>
          <w:sz w:val="28"/>
          <w:highlight w:val="none"/>
          <w:lang w:val="zh-CN"/>
        </w:rPr>
      </w:pPr>
      <w:bookmarkStart w:id="175" w:name="_Toc6936_WPSOffice_Level2"/>
      <w:r>
        <w:rPr>
          <w:rFonts w:hint="eastAsia" w:ascii="宋体" w:hAnsi="宋体" w:eastAsia="宋体" w:cs="宋体"/>
          <w:b/>
          <w:bCs/>
          <w:sz w:val="28"/>
          <w:highlight w:val="none"/>
          <w:lang w:val="zh-CN"/>
        </w:rPr>
        <w:t>投标人业绩情况表</w:t>
      </w:r>
      <w:bookmarkEnd w:id="175"/>
    </w:p>
    <w:p>
      <w:pPr>
        <w:adjustRightInd w:val="0"/>
        <w:spacing w:line="360" w:lineRule="auto"/>
        <w:jc w:val="center"/>
        <w:outlineLvl w:val="9"/>
        <w:rPr>
          <w:rFonts w:hint="eastAsia" w:ascii="宋体" w:hAnsi="宋体" w:eastAsia="宋体" w:cs="宋体"/>
          <w:kern w:val="0"/>
          <w:sz w:val="36"/>
          <w:szCs w:val="36"/>
          <w:highlight w:val="none"/>
        </w:rPr>
      </w:pPr>
    </w:p>
    <w:tbl>
      <w:tblPr>
        <w:tblStyle w:val="20"/>
        <w:tblW w:w="9200" w:type="dxa"/>
        <w:jc w:val="center"/>
        <w:tblLayout w:type="fixed"/>
        <w:tblCellMar>
          <w:top w:w="0" w:type="dxa"/>
          <w:left w:w="108" w:type="dxa"/>
          <w:bottom w:w="0" w:type="dxa"/>
          <w:right w:w="108" w:type="dxa"/>
        </w:tblCellMar>
      </w:tblPr>
      <w:tblGrid>
        <w:gridCol w:w="744"/>
        <w:gridCol w:w="1700"/>
        <w:gridCol w:w="1546"/>
        <w:gridCol w:w="1082"/>
        <w:gridCol w:w="1655"/>
        <w:gridCol w:w="1236"/>
        <w:gridCol w:w="1237"/>
      </w:tblGrid>
      <w:tr>
        <w:tblPrEx>
          <w:tblCellMar>
            <w:top w:w="0" w:type="dxa"/>
            <w:left w:w="108" w:type="dxa"/>
            <w:bottom w:w="0" w:type="dxa"/>
            <w:right w:w="108" w:type="dxa"/>
          </w:tblCellMar>
        </w:tblPrEx>
        <w:trPr>
          <w:trHeight w:val="788"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700" w:type="dxa"/>
            <w:tcBorders>
              <w:top w:val="single" w:color="000000" w:sz="4" w:space="0"/>
              <w:left w:val="nil"/>
              <w:bottom w:val="single" w:color="000000" w:sz="4" w:space="0"/>
              <w:right w:val="single" w:color="000000" w:sz="4" w:space="0"/>
            </w:tcBorders>
            <w:noWrap w:val="0"/>
            <w:vAlign w:val="center"/>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1546" w:type="dxa"/>
            <w:tcBorders>
              <w:top w:val="single" w:color="000000" w:sz="4" w:space="0"/>
              <w:left w:val="nil"/>
              <w:bottom w:val="single" w:color="000000" w:sz="4" w:space="0"/>
              <w:right w:val="single" w:color="000000" w:sz="4" w:space="0"/>
            </w:tcBorders>
            <w:noWrap w:val="0"/>
            <w:vAlign w:val="center"/>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业主单位</w:t>
            </w:r>
          </w:p>
        </w:tc>
        <w:tc>
          <w:tcPr>
            <w:tcW w:w="1082" w:type="dxa"/>
            <w:tcBorders>
              <w:top w:val="single" w:color="000000" w:sz="4" w:space="0"/>
              <w:left w:val="nil"/>
              <w:bottom w:val="single" w:color="000000" w:sz="4" w:space="0"/>
              <w:right w:val="single" w:color="000000" w:sz="4" w:space="0"/>
            </w:tcBorders>
            <w:noWrap w:val="0"/>
            <w:vAlign w:val="center"/>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项目</w:t>
            </w:r>
          </w:p>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规模</w:t>
            </w: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签约及服务</w:t>
            </w:r>
          </w:p>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时间</w:t>
            </w: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联系人及电话</w:t>
            </w: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ind w:firstLine="120"/>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39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r>
        <w:tblPrEx>
          <w:tblCellMar>
            <w:top w:w="0" w:type="dxa"/>
            <w:left w:w="108" w:type="dxa"/>
            <w:bottom w:w="0" w:type="dxa"/>
            <w:right w:w="108" w:type="dxa"/>
          </w:tblCellMar>
        </w:tblPrEx>
        <w:trPr>
          <w:trHeight w:val="40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700"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54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082"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655"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6"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c>
          <w:tcPr>
            <w:tcW w:w="1237" w:type="dxa"/>
            <w:tcBorders>
              <w:top w:val="single" w:color="000000" w:sz="4" w:space="0"/>
              <w:left w:val="nil"/>
              <w:bottom w:val="single" w:color="000000" w:sz="4" w:space="0"/>
              <w:right w:val="single" w:color="000000" w:sz="4" w:space="0"/>
            </w:tcBorders>
            <w:noWrap w:val="0"/>
            <w:vAlign w:val="top"/>
          </w:tcPr>
          <w:p>
            <w:pPr>
              <w:spacing w:line="400" w:lineRule="atLeast"/>
              <w:jc w:val="center"/>
              <w:outlineLvl w:val="9"/>
              <w:rPr>
                <w:rFonts w:hint="eastAsia" w:ascii="宋体" w:hAnsi="宋体" w:eastAsia="宋体" w:cs="宋体"/>
                <w:kern w:val="0"/>
                <w:sz w:val="24"/>
                <w:highlight w:val="none"/>
              </w:rPr>
            </w:pPr>
          </w:p>
        </w:tc>
      </w:tr>
    </w:tbl>
    <w:p>
      <w:pPr>
        <w:adjustRightInd w:val="0"/>
        <w:spacing w:line="360" w:lineRule="auto"/>
        <w:outlineLvl w:val="9"/>
        <w:rPr>
          <w:rFonts w:hint="eastAsia" w:ascii="宋体" w:hAnsi="宋体" w:eastAsia="宋体" w:cs="宋体"/>
          <w:bCs/>
          <w:kern w:val="0"/>
          <w:sz w:val="24"/>
          <w:highlight w:val="none"/>
        </w:rPr>
      </w:pPr>
      <w:r>
        <w:rPr>
          <w:rFonts w:hint="eastAsia" w:ascii="宋体" w:hAnsi="宋体" w:eastAsia="宋体" w:cs="宋体"/>
          <w:b/>
          <w:bCs/>
          <w:kern w:val="0"/>
          <w:sz w:val="24"/>
          <w:highlight w:val="none"/>
        </w:rPr>
        <w:t xml:space="preserve"> </w:t>
      </w:r>
      <w:r>
        <w:rPr>
          <w:rFonts w:hint="eastAsia" w:ascii="宋体" w:hAnsi="宋体" w:eastAsia="宋体" w:cs="宋体"/>
          <w:bCs/>
          <w:kern w:val="0"/>
          <w:sz w:val="24"/>
          <w:highlight w:val="none"/>
        </w:rPr>
        <w:t>说明：</w:t>
      </w:r>
      <w:r>
        <w:rPr>
          <w:rStyle w:val="23"/>
          <w:rFonts w:hint="eastAsia" w:ascii="宋体" w:hAnsi="宋体" w:eastAsia="宋体" w:cs="宋体"/>
          <w:bCs/>
          <w:kern w:val="0"/>
          <w:sz w:val="24"/>
          <w:highlight w:val="none"/>
        </w:rPr>
        <w:t>请投标人根据本格式要求如实填写，并附评标标准要的证明文件。</w:t>
      </w:r>
    </w:p>
    <w:p>
      <w:pPr>
        <w:adjustRightInd w:val="0"/>
        <w:spacing w:line="360" w:lineRule="auto"/>
        <w:outlineLvl w:val="9"/>
        <w:rPr>
          <w:rFonts w:hint="eastAsia" w:ascii="宋体" w:hAnsi="宋体" w:eastAsia="宋体" w:cs="宋体"/>
          <w:b/>
          <w:bCs/>
          <w:kern w:val="0"/>
          <w:sz w:val="24"/>
          <w:highlight w:val="none"/>
        </w:rPr>
      </w:pPr>
    </w:p>
    <w:p>
      <w:pPr>
        <w:outlineLvl w:val="9"/>
        <w:rPr>
          <w:rFonts w:hint="eastAsia" w:ascii="宋体" w:hAnsi="宋体" w:eastAsia="宋体" w:cs="宋体"/>
          <w:sz w:val="24"/>
          <w:highlight w:val="none"/>
        </w:rPr>
      </w:pPr>
      <w:r>
        <w:rPr>
          <w:rFonts w:hint="eastAsia" w:ascii="宋体" w:hAnsi="宋体" w:eastAsia="宋体" w:cs="宋体"/>
          <w:kern w:val="0"/>
          <w:sz w:val="24"/>
          <w:highlight w:val="none"/>
        </w:rPr>
        <w:t>供应商名称</w:t>
      </w:r>
      <w:r>
        <w:rPr>
          <w:rFonts w:hint="eastAsia" w:ascii="宋体" w:hAnsi="宋体" w:eastAsia="宋体" w:cs="宋体"/>
          <w:b/>
          <w:bCs/>
          <w:kern w:val="0"/>
          <w:sz w:val="24"/>
          <w:highlight w:val="none"/>
          <w:lang w:val="zh-CN"/>
        </w:rPr>
        <w:t xml:space="preserve">:  </w:t>
      </w:r>
      <w:r>
        <w:rPr>
          <w:rFonts w:hint="eastAsia" w:ascii="宋体" w:hAnsi="宋体" w:eastAsia="宋体" w:cs="宋体"/>
          <w:b/>
          <w:bCs/>
          <w:kern w:val="0"/>
          <w:sz w:val="24"/>
          <w:highlight w:val="none"/>
          <w:u w:val="single"/>
          <w:lang w:val="zh-CN"/>
        </w:rPr>
        <w:t xml:space="preserve">                                              </w:t>
      </w:r>
      <w:r>
        <w:rPr>
          <w:rFonts w:hint="eastAsia" w:ascii="宋体" w:hAnsi="宋体" w:eastAsia="宋体" w:cs="宋体"/>
          <w:kern w:val="0"/>
          <w:sz w:val="24"/>
          <w:highlight w:val="none"/>
          <w:lang w:val="zh-CN"/>
        </w:rPr>
        <w:t>（盖章）</w:t>
      </w:r>
    </w:p>
    <w:p>
      <w:pPr>
        <w:outlineLvl w:val="9"/>
        <w:rPr>
          <w:rFonts w:hint="eastAsia" w:ascii="宋体" w:hAnsi="宋体" w:eastAsia="宋体" w:cs="宋体"/>
          <w:sz w:val="24"/>
          <w:highlight w:val="none"/>
        </w:rPr>
      </w:pPr>
      <w:r>
        <w:rPr>
          <w:rFonts w:hint="eastAsia" w:ascii="宋体" w:hAnsi="宋体" w:eastAsia="宋体" w:cs="宋体"/>
          <w:sz w:val="24"/>
          <w:highlight w:val="none"/>
        </w:rPr>
        <w:t>日期：     年    月    日</w:t>
      </w:r>
    </w:p>
    <w:p>
      <w:pPr>
        <w:adjustRightInd w:val="0"/>
        <w:spacing w:line="360" w:lineRule="auto"/>
        <w:outlineLvl w:val="9"/>
        <w:rPr>
          <w:rFonts w:hint="eastAsia" w:ascii="宋体" w:hAnsi="宋体" w:eastAsia="宋体" w:cs="宋体"/>
          <w:b/>
          <w:bCs/>
          <w:kern w:val="0"/>
          <w:szCs w:val="21"/>
          <w:highlight w:val="none"/>
        </w:rPr>
      </w:pPr>
    </w:p>
    <w:p>
      <w:pPr>
        <w:spacing w:line="360" w:lineRule="auto"/>
        <w:outlineLvl w:val="9"/>
        <w:rPr>
          <w:rFonts w:hint="eastAsia" w:ascii="宋体" w:hAnsi="宋体" w:eastAsia="宋体" w:cs="宋体"/>
          <w:szCs w:val="21"/>
          <w:highlight w:val="none"/>
        </w:rPr>
      </w:pPr>
    </w:p>
    <w:p>
      <w:pPr>
        <w:pStyle w:val="19"/>
        <w:outlineLvl w:val="9"/>
        <w:rPr>
          <w:rFonts w:hint="eastAsia" w:ascii="宋体" w:hAnsi="宋体" w:eastAsia="宋体" w:cs="宋体"/>
          <w:szCs w:val="21"/>
          <w:highlight w:val="none"/>
        </w:rPr>
      </w:pPr>
    </w:p>
    <w:p>
      <w:pPr>
        <w:pStyle w:val="19"/>
        <w:outlineLvl w:val="9"/>
        <w:rPr>
          <w:rFonts w:hint="eastAsia" w:ascii="宋体" w:hAnsi="宋体" w:eastAsia="宋体" w:cs="宋体"/>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outlineLvl w:val="9"/>
        <w:rPr>
          <w:rFonts w:hint="eastAsia" w:ascii="宋体" w:hAnsi="宋体" w:eastAsia="宋体" w:cs="宋体"/>
          <w:kern w:val="0"/>
          <w:szCs w:val="21"/>
          <w:highlight w:val="none"/>
        </w:rPr>
      </w:pPr>
    </w:p>
    <w:p>
      <w:pPr>
        <w:pStyle w:val="19"/>
        <w:ind w:left="0" w:leftChars="0" w:firstLine="0" w:firstLineChars="0"/>
        <w:outlineLvl w:val="9"/>
        <w:rPr>
          <w:rFonts w:hint="eastAsia" w:ascii="宋体" w:hAnsi="宋体" w:eastAsia="宋体" w:cs="宋体"/>
          <w:kern w:val="0"/>
          <w:szCs w:val="21"/>
          <w:highlight w:val="none"/>
        </w:rPr>
      </w:pPr>
    </w:p>
    <w:p>
      <w:pPr>
        <w:pStyle w:val="19"/>
        <w:ind w:left="0" w:leftChars="0" w:firstLine="0" w:firstLineChars="0"/>
        <w:outlineLvl w:val="9"/>
        <w:rPr>
          <w:rFonts w:hint="eastAsia" w:ascii="宋体" w:hAnsi="宋体" w:eastAsia="宋体" w:cs="宋体"/>
          <w:kern w:val="0"/>
          <w:szCs w:val="21"/>
          <w:highlight w:val="none"/>
        </w:rPr>
      </w:pPr>
    </w:p>
    <w:p>
      <w:pPr>
        <w:shd w:val="clear" w:color="auto" w:fill="FFFFFF"/>
        <w:spacing w:line="360" w:lineRule="auto"/>
        <w:ind w:firstLine="4322" w:firstLineChars="2050"/>
        <w:outlineLvl w:val="9"/>
        <w:rPr>
          <w:rFonts w:hint="eastAsia" w:ascii="宋体" w:hAnsi="宋体" w:eastAsia="宋体" w:cs="宋体"/>
          <w:b/>
          <w:szCs w:val="21"/>
          <w:highlight w:val="none"/>
          <w:lang w:val="zh-CN"/>
        </w:rPr>
      </w:pPr>
    </w:p>
    <w:p>
      <w:pPr>
        <w:shd w:val="clear" w:color="auto" w:fill="FFFFFF"/>
        <w:spacing w:line="360" w:lineRule="auto"/>
        <w:ind w:right="633"/>
        <w:jc w:val="left"/>
        <w:outlineLvl w:val="0"/>
        <w:rPr>
          <w:rStyle w:val="27"/>
          <w:rFonts w:hint="eastAsia" w:ascii="宋体" w:hAnsi="宋体" w:eastAsia="宋体" w:cs="宋体"/>
          <w:sz w:val="28"/>
          <w:szCs w:val="28"/>
          <w:highlight w:val="none"/>
          <w:lang w:val="zh-CN"/>
        </w:rPr>
      </w:pPr>
      <w:bookmarkStart w:id="176" w:name="_Toc21380"/>
      <w:bookmarkStart w:id="177" w:name="_Toc25181"/>
      <w:bookmarkStart w:id="178" w:name="_Toc11733_WPSOffice_Level1"/>
      <w:bookmarkStart w:id="179" w:name="_Toc1832"/>
      <w:bookmarkStart w:id="180" w:name="_Toc17424"/>
      <w:bookmarkStart w:id="181" w:name="_Toc7013"/>
      <w:r>
        <w:rPr>
          <w:rStyle w:val="27"/>
          <w:rFonts w:hint="eastAsia" w:ascii="宋体" w:hAnsi="宋体" w:eastAsia="宋体" w:cs="宋体"/>
          <w:sz w:val="28"/>
          <w:szCs w:val="28"/>
          <w:highlight w:val="none"/>
          <w:lang w:val="zh-CN"/>
        </w:rPr>
        <w:t>附件</w:t>
      </w:r>
      <w:r>
        <w:rPr>
          <w:rStyle w:val="27"/>
          <w:rFonts w:hint="eastAsia" w:ascii="宋体" w:hAnsi="宋体" w:cs="宋体"/>
          <w:sz w:val="28"/>
          <w:szCs w:val="28"/>
          <w:highlight w:val="none"/>
          <w:lang w:val="zh-CN"/>
        </w:rPr>
        <w:t>八</w:t>
      </w:r>
      <w:r>
        <w:rPr>
          <w:rStyle w:val="27"/>
          <w:rFonts w:hint="eastAsia" w:ascii="宋体" w:hAnsi="宋体" w:eastAsia="宋体" w:cs="宋体"/>
          <w:sz w:val="28"/>
          <w:szCs w:val="28"/>
          <w:highlight w:val="none"/>
          <w:lang w:val="zh-CN"/>
        </w:rPr>
        <w:t>、服务方案</w:t>
      </w:r>
      <w:bookmarkEnd w:id="176"/>
      <w:bookmarkEnd w:id="177"/>
      <w:bookmarkEnd w:id="178"/>
      <w:bookmarkEnd w:id="179"/>
      <w:bookmarkEnd w:id="180"/>
      <w:r>
        <w:rPr>
          <w:rStyle w:val="27"/>
          <w:rFonts w:hint="eastAsia" w:ascii="宋体" w:hAnsi="宋体" w:cs="宋体"/>
          <w:sz w:val="28"/>
          <w:szCs w:val="28"/>
          <w:highlight w:val="none"/>
          <w:lang w:val="zh-CN"/>
        </w:rPr>
        <w:t>及承诺</w:t>
      </w:r>
    </w:p>
    <w:bookmarkEnd w:id="181"/>
    <w:p>
      <w:pPr>
        <w:pStyle w:val="24"/>
        <w:ind w:firstLine="562"/>
        <w:outlineLvl w:val="9"/>
        <w:rPr>
          <w:rStyle w:val="23"/>
          <w:rFonts w:hint="eastAsia" w:ascii="宋体" w:hAnsi="宋体" w:eastAsia="宋体" w:cs="宋体"/>
          <w:b/>
          <w:sz w:val="28"/>
          <w:highlight w:val="none"/>
        </w:rPr>
      </w:pPr>
    </w:p>
    <w:p>
      <w:pPr>
        <w:pStyle w:val="24"/>
        <w:jc w:val="center"/>
        <w:outlineLvl w:val="9"/>
        <w:rPr>
          <w:rStyle w:val="23"/>
          <w:rFonts w:hint="eastAsia" w:ascii="宋体" w:hAnsi="宋体" w:eastAsia="宋体" w:cs="宋体"/>
          <w:bCs/>
          <w:highlight w:val="none"/>
        </w:rPr>
      </w:pPr>
      <w:bookmarkStart w:id="182" w:name="_Toc12734"/>
      <w:bookmarkStart w:id="183" w:name="_Toc18937_WPSOffice_Level2"/>
      <w:bookmarkStart w:id="184" w:name="_Toc30840"/>
      <w:bookmarkStart w:id="185" w:name="_Toc17494"/>
      <w:bookmarkStart w:id="186" w:name="_Toc30476"/>
      <w:r>
        <w:rPr>
          <w:rStyle w:val="23"/>
          <w:rFonts w:hint="eastAsia" w:ascii="宋体" w:hAnsi="宋体" w:eastAsia="宋体" w:cs="宋体"/>
          <w:bCs/>
          <w:highlight w:val="none"/>
        </w:rPr>
        <w:t>（</w:t>
      </w:r>
      <w:r>
        <w:rPr>
          <w:rStyle w:val="23"/>
          <w:rFonts w:hint="eastAsia" w:ascii="宋体" w:hAnsi="宋体" w:eastAsia="宋体" w:cs="宋体"/>
          <w:bCs/>
          <w:highlight w:val="none"/>
          <w:lang w:val="zh-CN"/>
        </w:rPr>
        <w:t>各投标人根据</w:t>
      </w:r>
      <w:r>
        <w:rPr>
          <w:rStyle w:val="23"/>
          <w:rFonts w:hint="eastAsia" w:ascii="宋体" w:hAnsi="宋体" w:eastAsia="宋体" w:cs="宋体"/>
          <w:bCs/>
          <w:highlight w:val="none"/>
        </w:rPr>
        <w:t>招标</w:t>
      </w:r>
      <w:r>
        <w:rPr>
          <w:rStyle w:val="23"/>
          <w:rFonts w:hint="eastAsia" w:ascii="宋体" w:hAnsi="宋体" w:eastAsia="宋体" w:cs="宋体"/>
          <w:bCs/>
          <w:highlight w:val="none"/>
          <w:lang w:val="zh-CN"/>
        </w:rPr>
        <w:t>文件规定的</w:t>
      </w:r>
      <w:r>
        <w:rPr>
          <w:rStyle w:val="23"/>
          <w:rFonts w:hint="eastAsia" w:ascii="宋体" w:hAnsi="宋体" w:eastAsia="宋体" w:cs="宋体"/>
          <w:bCs/>
          <w:highlight w:val="none"/>
        </w:rPr>
        <w:t>服务方案</w:t>
      </w:r>
      <w:r>
        <w:rPr>
          <w:rStyle w:val="23"/>
          <w:rFonts w:hint="eastAsia" w:ascii="宋体" w:hAnsi="宋体" w:eastAsia="宋体" w:cs="宋体"/>
          <w:bCs/>
          <w:highlight w:val="none"/>
          <w:lang w:val="zh-CN"/>
        </w:rPr>
        <w:t>打分细则</w:t>
      </w:r>
      <w:r>
        <w:rPr>
          <w:rStyle w:val="23"/>
          <w:rFonts w:hint="eastAsia" w:ascii="宋体" w:hAnsi="宋体" w:eastAsia="宋体" w:cs="宋体"/>
          <w:bCs/>
          <w:highlight w:val="none"/>
        </w:rPr>
        <w:t>内容</w:t>
      </w:r>
      <w:r>
        <w:rPr>
          <w:rStyle w:val="23"/>
          <w:rFonts w:hint="eastAsia" w:ascii="宋体" w:hAnsi="宋体" w:eastAsia="宋体" w:cs="宋体"/>
          <w:bCs/>
          <w:highlight w:val="none"/>
          <w:lang w:val="zh-CN"/>
        </w:rPr>
        <w:t>，格式自拟</w:t>
      </w:r>
      <w:r>
        <w:rPr>
          <w:rStyle w:val="23"/>
          <w:rFonts w:hint="eastAsia" w:ascii="宋体" w:hAnsi="宋体" w:eastAsia="宋体" w:cs="宋体"/>
          <w:bCs/>
          <w:highlight w:val="none"/>
        </w:rPr>
        <w:t>）</w:t>
      </w:r>
      <w:bookmarkEnd w:id="182"/>
      <w:bookmarkEnd w:id="183"/>
      <w:bookmarkEnd w:id="184"/>
      <w:bookmarkEnd w:id="185"/>
      <w:bookmarkEnd w:id="186"/>
    </w:p>
    <w:p>
      <w:pPr>
        <w:spacing w:before="0" w:after="0" w:line="240" w:lineRule="auto"/>
        <w:outlineLvl w:val="9"/>
        <w:rPr>
          <w:rFonts w:hint="eastAsia" w:ascii="宋体" w:hAnsi="宋体" w:eastAsia="宋体" w:cs="宋体"/>
          <w:b w:val="0"/>
          <w:szCs w:val="21"/>
          <w:highlight w:val="none"/>
          <w:lang w:val="zh-CN"/>
        </w:rPr>
      </w:pPr>
    </w:p>
    <w:p>
      <w:pPr>
        <w:shd w:val="clear" w:color="auto" w:fill="FFFFFF"/>
        <w:spacing w:line="360" w:lineRule="auto"/>
        <w:ind w:right="633"/>
        <w:jc w:val="left"/>
        <w:outlineLvl w:val="0"/>
        <w:rPr>
          <w:rStyle w:val="27"/>
          <w:rFonts w:hint="eastAsia" w:ascii="宋体" w:hAnsi="宋体" w:eastAsia="宋体" w:cs="宋体"/>
          <w:sz w:val="28"/>
          <w:szCs w:val="28"/>
          <w:highlight w:val="none"/>
          <w:lang w:val="zh-CN"/>
        </w:rPr>
      </w:pPr>
      <w:bookmarkStart w:id="187" w:name="_Toc25315"/>
      <w:bookmarkStart w:id="188" w:name="_Toc6936_WPSOffice_Level1"/>
      <w:bookmarkStart w:id="189" w:name="_Toc18920"/>
      <w:bookmarkStart w:id="190" w:name="_Toc3543"/>
      <w:bookmarkStart w:id="191" w:name="_Toc24815"/>
      <w:bookmarkStart w:id="192" w:name="_Toc13137"/>
      <w:r>
        <w:rPr>
          <w:rStyle w:val="27"/>
          <w:rFonts w:hint="eastAsia" w:ascii="宋体" w:hAnsi="宋体" w:eastAsia="宋体" w:cs="宋体"/>
          <w:sz w:val="28"/>
          <w:szCs w:val="28"/>
          <w:highlight w:val="none"/>
          <w:lang w:val="zh-CN"/>
        </w:rPr>
        <w:t>附件</w:t>
      </w:r>
      <w:r>
        <w:rPr>
          <w:rStyle w:val="27"/>
          <w:rFonts w:hint="eastAsia" w:ascii="宋体" w:hAnsi="宋体" w:cs="宋体"/>
          <w:sz w:val="28"/>
          <w:szCs w:val="28"/>
          <w:highlight w:val="none"/>
          <w:lang w:val="zh-CN"/>
        </w:rPr>
        <w:t>九</w:t>
      </w:r>
      <w:r>
        <w:rPr>
          <w:rStyle w:val="27"/>
          <w:rFonts w:hint="eastAsia" w:ascii="宋体" w:hAnsi="宋体" w:eastAsia="宋体" w:cs="宋体"/>
          <w:sz w:val="28"/>
          <w:szCs w:val="28"/>
          <w:highlight w:val="none"/>
          <w:lang w:val="zh-CN"/>
        </w:rPr>
        <w:t>、售后服务内容承诺</w:t>
      </w:r>
      <w:bookmarkEnd w:id="187"/>
      <w:bookmarkEnd w:id="188"/>
      <w:bookmarkEnd w:id="189"/>
      <w:bookmarkEnd w:id="190"/>
      <w:bookmarkEnd w:id="191"/>
      <w:r>
        <w:rPr>
          <w:rStyle w:val="27"/>
          <w:rFonts w:hint="eastAsia" w:ascii="宋体" w:hAnsi="宋体" w:eastAsia="宋体" w:cs="宋体"/>
          <w:sz w:val="28"/>
          <w:szCs w:val="28"/>
          <w:highlight w:val="none"/>
          <w:lang w:val="zh-CN"/>
        </w:rPr>
        <w:t>（如有）</w:t>
      </w:r>
      <w:bookmarkEnd w:id="192"/>
    </w:p>
    <w:p>
      <w:pPr>
        <w:ind w:firstLine="420" w:firstLineChars="200"/>
        <w:outlineLvl w:val="9"/>
        <w:rPr>
          <w:rFonts w:hint="eastAsia" w:ascii="宋体" w:hAnsi="宋体" w:eastAsia="宋体" w:cs="宋体"/>
          <w:szCs w:val="21"/>
          <w:highlight w:val="none"/>
        </w:rPr>
      </w:pPr>
    </w:p>
    <w:p>
      <w:pPr>
        <w:spacing w:line="360" w:lineRule="auto"/>
        <w:ind w:firstLine="562"/>
        <w:jc w:val="center"/>
        <w:outlineLvl w:val="9"/>
        <w:rPr>
          <w:rFonts w:hint="eastAsia" w:ascii="宋体" w:hAnsi="宋体" w:eastAsia="宋体" w:cs="宋体"/>
          <w:b/>
          <w:bCs/>
          <w:sz w:val="28"/>
          <w:highlight w:val="none"/>
          <w:lang w:val="zh-CN"/>
        </w:rPr>
      </w:pPr>
      <w:bookmarkStart w:id="193" w:name="_Toc7045_WPSOffice_Level2"/>
      <w:r>
        <w:rPr>
          <w:rFonts w:hint="eastAsia" w:ascii="宋体" w:hAnsi="宋体" w:eastAsia="宋体" w:cs="宋体"/>
          <w:b/>
          <w:bCs/>
          <w:sz w:val="28"/>
          <w:highlight w:val="none"/>
          <w:lang w:val="zh-CN"/>
        </w:rPr>
        <w:t>售后服务内容及承诺</w:t>
      </w:r>
      <w:bookmarkEnd w:id="193"/>
    </w:p>
    <w:p>
      <w:pPr>
        <w:spacing w:line="360" w:lineRule="auto"/>
        <w:outlineLvl w:val="9"/>
        <w:rPr>
          <w:rFonts w:hint="eastAsia" w:ascii="宋体" w:hAnsi="宋体" w:eastAsia="宋体" w:cs="宋体"/>
          <w:sz w:val="24"/>
          <w:highlight w:val="none"/>
        </w:rPr>
      </w:pPr>
    </w:p>
    <w:tbl>
      <w:tblPr>
        <w:tblStyle w:val="20"/>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18" w:type="dxa"/>
            <w:noWrap w:val="0"/>
            <w:vAlign w:val="top"/>
          </w:tcPr>
          <w:p>
            <w:pPr>
              <w:spacing w:line="360" w:lineRule="auto"/>
              <w:jc w:val="center"/>
              <w:outlineLvl w:val="9"/>
              <w:rPr>
                <w:rFonts w:hint="eastAsia" w:ascii="宋体" w:hAnsi="宋体" w:eastAsia="宋体" w:cs="宋体"/>
                <w:kern w:val="0"/>
                <w:sz w:val="24"/>
                <w:highlight w:val="none"/>
                <w:lang w:val="zh-CN"/>
              </w:rPr>
            </w:pP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可提供</w:t>
            </w: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的优惠</w:t>
            </w: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条件</w:t>
            </w:r>
          </w:p>
        </w:tc>
        <w:tc>
          <w:tcPr>
            <w:tcW w:w="8302" w:type="dxa"/>
            <w:noWrap w:val="0"/>
            <w:vAlign w:val="top"/>
          </w:tcPr>
          <w:p>
            <w:pPr>
              <w:spacing w:line="360" w:lineRule="auto"/>
              <w:outlineLvl w:val="9"/>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318" w:type="dxa"/>
            <w:noWrap w:val="0"/>
            <w:vAlign w:val="top"/>
          </w:tcPr>
          <w:p>
            <w:pPr>
              <w:spacing w:line="360" w:lineRule="auto"/>
              <w:jc w:val="center"/>
              <w:outlineLvl w:val="9"/>
              <w:rPr>
                <w:rFonts w:hint="eastAsia" w:ascii="宋体" w:hAnsi="宋体" w:eastAsia="宋体" w:cs="宋体"/>
                <w:kern w:val="0"/>
                <w:sz w:val="24"/>
                <w:highlight w:val="none"/>
                <w:lang w:val="zh-CN"/>
              </w:rPr>
            </w:pP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售后</w:t>
            </w: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w:t>
            </w: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内容</w:t>
            </w:r>
          </w:p>
          <w:p>
            <w:pPr>
              <w:spacing w:line="360" w:lineRule="auto"/>
              <w:outlineLvl w:val="9"/>
              <w:rPr>
                <w:rFonts w:hint="eastAsia" w:ascii="宋体" w:hAnsi="宋体" w:eastAsia="宋体" w:cs="宋体"/>
                <w:kern w:val="0"/>
                <w:sz w:val="24"/>
                <w:highlight w:val="none"/>
                <w:lang w:val="zh-CN"/>
              </w:rPr>
            </w:pPr>
          </w:p>
        </w:tc>
        <w:tc>
          <w:tcPr>
            <w:tcW w:w="8302" w:type="dxa"/>
            <w:noWrap w:val="0"/>
            <w:vAlign w:val="top"/>
          </w:tcPr>
          <w:p>
            <w:pPr>
              <w:spacing w:line="360" w:lineRule="auto"/>
              <w:outlineLvl w:val="9"/>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318" w:type="dxa"/>
            <w:noWrap w:val="0"/>
            <w:vAlign w:val="top"/>
          </w:tcPr>
          <w:p>
            <w:pPr>
              <w:spacing w:line="360" w:lineRule="auto"/>
              <w:jc w:val="center"/>
              <w:outlineLvl w:val="9"/>
              <w:rPr>
                <w:rFonts w:hint="eastAsia" w:ascii="宋体" w:hAnsi="宋体" w:eastAsia="宋体" w:cs="宋体"/>
                <w:kern w:val="0"/>
                <w:sz w:val="24"/>
                <w:highlight w:val="none"/>
                <w:lang w:val="zh-CN"/>
              </w:rPr>
            </w:pPr>
          </w:p>
          <w:p>
            <w:pPr>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售后服务承诺</w:t>
            </w:r>
          </w:p>
        </w:tc>
        <w:tc>
          <w:tcPr>
            <w:tcW w:w="8302" w:type="dxa"/>
            <w:noWrap w:val="0"/>
            <w:vAlign w:val="top"/>
          </w:tcPr>
          <w:p>
            <w:pPr>
              <w:spacing w:line="360" w:lineRule="auto"/>
              <w:outlineLvl w:val="9"/>
              <w:rPr>
                <w:rFonts w:hint="eastAsia" w:ascii="宋体" w:hAnsi="宋体" w:eastAsia="宋体" w:cs="宋体"/>
                <w:kern w:val="0"/>
                <w:sz w:val="24"/>
                <w:highlight w:val="none"/>
                <w:lang w:val="zh-CN"/>
              </w:rPr>
            </w:pPr>
          </w:p>
          <w:p>
            <w:pPr>
              <w:spacing w:line="360" w:lineRule="auto"/>
              <w:outlineLvl w:val="9"/>
              <w:rPr>
                <w:rFonts w:hint="eastAsia" w:ascii="宋体" w:hAnsi="宋体" w:eastAsia="宋体" w:cs="宋体"/>
                <w:kern w:val="0"/>
                <w:sz w:val="24"/>
                <w:highlight w:val="none"/>
                <w:lang w:val="zh-CN"/>
              </w:rPr>
            </w:pPr>
          </w:p>
          <w:p>
            <w:pPr>
              <w:spacing w:line="360" w:lineRule="auto"/>
              <w:outlineLvl w:val="9"/>
              <w:rPr>
                <w:rFonts w:hint="eastAsia" w:ascii="宋体" w:hAnsi="宋体" w:eastAsia="宋体" w:cs="宋体"/>
                <w:kern w:val="0"/>
                <w:sz w:val="24"/>
                <w:highlight w:val="none"/>
                <w:lang w:val="zh-CN"/>
              </w:rPr>
            </w:pPr>
          </w:p>
          <w:p>
            <w:pPr>
              <w:spacing w:line="360" w:lineRule="auto"/>
              <w:outlineLvl w:val="9"/>
              <w:rPr>
                <w:rFonts w:hint="eastAsia" w:ascii="宋体" w:hAnsi="宋体" w:eastAsia="宋体" w:cs="宋体"/>
                <w:kern w:val="0"/>
                <w:sz w:val="24"/>
                <w:highlight w:val="none"/>
                <w:lang w:val="zh-CN"/>
              </w:rPr>
            </w:pPr>
          </w:p>
        </w:tc>
      </w:tr>
    </w:tbl>
    <w:p>
      <w:pPr>
        <w:spacing w:line="360" w:lineRule="auto"/>
        <w:outlineLvl w:val="9"/>
        <w:rPr>
          <w:rFonts w:hint="eastAsia" w:ascii="宋体" w:hAnsi="宋体" w:eastAsia="宋体" w:cs="宋体"/>
          <w:kern w:val="0"/>
          <w:sz w:val="24"/>
          <w:highlight w:val="none"/>
          <w:lang w:val="zh-CN"/>
        </w:rPr>
      </w:pPr>
    </w:p>
    <w:p>
      <w:pPr>
        <w:shd w:val="clear" w:color="auto" w:fill="FFFFFF"/>
        <w:spacing w:line="360" w:lineRule="auto"/>
        <w:jc w:val="left"/>
        <w:outlineLvl w:val="9"/>
        <w:rPr>
          <w:rFonts w:hint="eastAsia" w:ascii="宋体" w:hAnsi="宋体" w:eastAsia="宋体" w:cs="宋体"/>
          <w:b/>
          <w:bCs/>
          <w:kern w:val="0"/>
          <w:sz w:val="24"/>
          <w:highlight w:val="none"/>
          <w:lang w:val="zh-CN"/>
        </w:rPr>
      </w:pPr>
      <w:r>
        <w:rPr>
          <w:rFonts w:hint="eastAsia" w:ascii="宋体" w:hAnsi="宋体" w:eastAsia="宋体" w:cs="宋体"/>
          <w:kern w:val="0"/>
          <w:sz w:val="24"/>
          <w:highlight w:val="none"/>
        </w:rPr>
        <w:t>供应商名称</w:t>
      </w:r>
      <w:r>
        <w:rPr>
          <w:rFonts w:hint="eastAsia" w:ascii="宋体" w:hAnsi="宋体" w:eastAsia="宋体" w:cs="宋体"/>
          <w:b/>
          <w:bCs/>
          <w:kern w:val="0"/>
          <w:sz w:val="24"/>
          <w:highlight w:val="none"/>
          <w:lang w:val="zh-CN"/>
        </w:rPr>
        <w:t xml:space="preserve">:  </w:t>
      </w:r>
      <w:r>
        <w:rPr>
          <w:rFonts w:hint="eastAsia" w:ascii="宋体" w:hAnsi="宋体" w:eastAsia="宋体" w:cs="宋体"/>
          <w:b/>
          <w:bCs/>
          <w:kern w:val="0"/>
          <w:sz w:val="24"/>
          <w:highlight w:val="none"/>
          <w:u w:val="single"/>
          <w:lang w:val="zh-CN"/>
        </w:rPr>
        <w:t xml:space="preserve">                                      </w:t>
      </w:r>
      <w:r>
        <w:rPr>
          <w:rFonts w:hint="eastAsia" w:ascii="宋体" w:hAnsi="宋体" w:eastAsia="宋体" w:cs="宋体"/>
          <w:b/>
          <w:bCs/>
          <w:kern w:val="0"/>
          <w:sz w:val="24"/>
          <w:highlight w:val="none"/>
          <w:lang w:val="zh-CN"/>
        </w:rPr>
        <w:t>（盖章）</w:t>
      </w:r>
    </w:p>
    <w:p>
      <w:pPr>
        <w:outlineLvl w:val="9"/>
        <w:rPr>
          <w:rFonts w:hint="eastAsia" w:ascii="宋体" w:hAnsi="宋体" w:eastAsia="宋体" w:cs="宋体"/>
          <w:highlight w:val="none"/>
        </w:rPr>
      </w:pPr>
      <w:r>
        <w:rPr>
          <w:rFonts w:hint="eastAsia" w:ascii="宋体" w:hAnsi="宋体" w:eastAsia="宋体" w:cs="宋体"/>
          <w:sz w:val="24"/>
          <w:highlight w:val="none"/>
        </w:rPr>
        <w:t>日期：     年    月    日</w:t>
      </w:r>
    </w:p>
    <w:p>
      <w:pPr>
        <w:autoSpaceDE w:val="0"/>
        <w:autoSpaceDN w:val="0"/>
        <w:adjustRightInd w:val="0"/>
        <w:spacing w:line="360" w:lineRule="auto"/>
        <w:outlineLvl w:val="9"/>
        <w:rPr>
          <w:rFonts w:hint="eastAsia" w:ascii="宋体" w:hAnsi="宋体" w:eastAsia="宋体" w:cs="宋体"/>
          <w:b/>
          <w:szCs w:val="21"/>
          <w:highlight w:val="none"/>
          <w:lang w:val="zh-CN"/>
        </w:rPr>
      </w:pPr>
    </w:p>
    <w:p>
      <w:pPr>
        <w:shd w:val="clear" w:color="auto" w:fill="FFFFFF"/>
        <w:spacing w:line="360" w:lineRule="auto"/>
        <w:ind w:right="633"/>
        <w:jc w:val="left"/>
        <w:outlineLvl w:val="0"/>
        <w:rPr>
          <w:rStyle w:val="27"/>
          <w:rFonts w:hint="eastAsia" w:ascii="宋体" w:hAnsi="宋体" w:eastAsia="宋体" w:cs="宋体"/>
          <w:sz w:val="28"/>
          <w:szCs w:val="28"/>
          <w:highlight w:val="none"/>
          <w:lang w:val="zh-CN"/>
        </w:rPr>
      </w:pPr>
      <w:r>
        <w:rPr>
          <w:rFonts w:hint="eastAsia" w:ascii="宋体" w:hAnsi="宋体" w:eastAsia="宋体" w:cs="宋体"/>
          <w:b/>
          <w:szCs w:val="21"/>
          <w:highlight w:val="none"/>
        </w:rPr>
        <w:br w:type="page"/>
      </w:r>
      <w:bookmarkStart w:id="194" w:name="_Toc14184"/>
      <w:bookmarkStart w:id="195" w:name="_Toc18937_WPSOffice_Level1"/>
      <w:bookmarkStart w:id="196" w:name="_Toc11831"/>
      <w:bookmarkStart w:id="197" w:name="_Toc13954"/>
      <w:bookmarkStart w:id="198" w:name="_Toc14824"/>
      <w:bookmarkStart w:id="199" w:name="_Toc23679"/>
      <w:r>
        <w:rPr>
          <w:rStyle w:val="27"/>
          <w:rFonts w:hint="eastAsia" w:ascii="宋体" w:hAnsi="宋体" w:eastAsia="宋体" w:cs="宋体"/>
          <w:sz w:val="28"/>
          <w:szCs w:val="28"/>
          <w:highlight w:val="none"/>
          <w:lang w:val="zh-CN"/>
        </w:rPr>
        <w:t>附件十、</w:t>
      </w:r>
      <w:bookmarkEnd w:id="194"/>
      <w:r>
        <w:rPr>
          <w:rStyle w:val="27"/>
          <w:rFonts w:hint="eastAsia" w:ascii="宋体" w:hAnsi="宋体" w:eastAsia="宋体" w:cs="宋体"/>
          <w:sz w:val="28"/>
          <w:szCs w:val="28"/>
          <w:highlight w:val="none"/>
          <w:lang w:val="zh-CN"/>
        </w:rPr>
        <w:t>资格证明文件</w:t>
      </w:r>
      <w:bookmarkEnd w:id="195"/>
      <w:bookmarkEnd w:id="196"/>
      <w:bookmarkEnd w:id="197"/>
      <w:bookmarkEnd w:id="198"/>
      <w:bookmarkEnd w:id="199"/>
    </w:p>
    <w:p>
      <w:pPr>
        <w:pStyle w:val="7"/>
        <w:spacing w:line="360" w:lineRule="auto"/>
        <w:jc w:val="center"/>
        <w:rPr>
          <w:color w:val="auto"/>
          <w:sz w:val="28"/>
          <w:szCs w:val="28"/>
          <w:highlight w:val="none"/>
        </w:rPr>
      </w:pPr>
      <w:bookmarkStart w:id="200" w:name="_Toc15688"/>
      <w:r>
        <w:rPr>
          <w:rFonts w:hint="eastAsia" w:ascii="宋体" w:hAnsi="宋体" w:eastAsia="宋体" w:cs="宋体"/>
          <w:b/>
          <w:bCs/>
          <w:color w:val="auto"/>
          <w:kern w:val="2"/>
          <w:sz w:val="28"/>
          <w:szCs w:val="28"/>
          <w:highlight w:val="none"/>
          <w:lang w:val="zh-CN" w:eastAsia="zh-CN" w:bidi="ar-SA"/>
        </w:rPr>
        <w:t>南京市政府采购供应商信用记录表</w:t>
      </w:r>
    </w:p>
    <w:tbl>
      <w:tblPr>
        <w:tblStyle w:val="20"/>
        <w:tblpPr w:leftFromText="180" w:rightFromText="180" w:vertAnchor="text" w:horzAnchor="page" w:tblpXSpec="center" w:tblpY="345"/>
        <w:tblOverlap w:val="never"/>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3"/>
        <w:gridCol w:w="2343"/>
        <w:gridCol w:w="2343"/>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单位名称</w:t>
            </w:r>
          </w:p>
        </w:tc>
        <w:tc>
          <w:tcPr>
            <w:tcW w:w="2343" w:type="dxa"/>
            <w:noWrap w:val="0"/>
            <w:vAlign w:val="top"/>
          </w:tcPr>
          <w:p>
            <w:pPr>
              <w:pStyle w:val="26"/>
              <w:spacing w:line="360" w:lineRule="auto"/>
              <w:ind w:firstLine="400" w:firstLineChars="200"/>
              <w:rPr>
                <w:color w:val="auto"/>
                <w:sz w:val="20"/>
                <w:highlight w:val="none"/>
              </w:rPr>
            </w:pPr>
          </w:p>
        </w:tc>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统一社会信用代码</w:t>
            </w:r>
          </w:p>
        </w:tc>
        <w:tc>
          <w:tcPr>
            <w:tcW w:w="1970" w:type="dxa"/>
            <w:noWrap w:val="0"/>
            <w:vAlign w:val="top"/>
          </w:tcPr>
          <w:p>
            <w:pPr>
              <w:pStyle w:val="26"/>
              <w:spacing w:line="360" w:lineRule="auto"/>
              <w:ind w:firstLine="400" w:firstLineChars="20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法定代表人</w:t>
            </w:r>
          </w:p>
        </w:tc>
        <w:tc>
          <w:tcPr>
            <w:tcW w:w="2343" w:type="dxa"/>
            <w:noWrap w:val="0"/>
            <w:vAlign w:val="top"/>
          </w:tcPr>
          <w:p>
            <w:pPr>
              <w:pStyle w:val="26"/>
              <w:spacing w:line="360" w:lineRule="auto"/>
              <w:ind w:firstLine="400" w:firstLineChars="200"/>
              <w:rPr>
                <w:color w:val="auto"/>
                <w:sz w:val="20"/>
                <w:highlight w:val="none"/>
              </w:rPr>
            </w:pPr>
          </w:p>
        </w:tc>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联系人</w:t>
            </w:r>
          </w:p>
        </w:tc>
        <w:tc>
          <w:tcPr>
            <w:tcW w:w="1970" w:type="dxa"/>
            <w:noWrap w:val="0"/>
            <w:vAlign w:val="top"/>
          </w:tcPr>
          <w:p>
            <w:pPr>
              <w:pStyle w:val="26"/>
              <w:spacing w:line="360" w:lineRule="auto"/>
              <w:ind w:firstLine="400" w:firstLineChars="20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联系地址</w:t>
            </w:r>
          </w:p>
        </w:tc>
        <w:tc>
          <w:tcPr>
            <w:tcW w:w="2343" w:type="dxa"/>
            <w:noWrap w:val="0"/>
            <w:vAlign w:val="top"/>
          </w:tcPr>
          <w:p>
            <w:pPr>
              <w:pStyle w:val="26"/>
              <w:spacing w:line="360" w:lineRule="auto"/>
              <w:ind w:firstLine="400" w:firstLineChars="200"/>
              <w:rPr>
                <w:color w:val="auto"/>
                <w:sz w:val="20"/>
                <w:highlight w:val="none"/>
              </w:rPr>
            </w:pPr>
          </w:p>
        </w:tc>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联系电话</w:t>
            </w:r>
          </w:p>
        </w:tc>
        <w:tc>
          <w:tcPr>
            <w:tcW w:w="1970" w:type="dxa"/>
            <w:noWrap w:val="0"/>
            <w:vAlign w:val="top"/>
          </w:tcPr>
          <w:p>
            <w:pPr>
              <w:pStyle w:val="26"/>
              <w:spacing w:line="360" w:lineRule="auto"/>
              <w:ind w:firstLine="400" w:firstLineChars="20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信用得分</w:t>
            </w:r>
          </w:p>
        </w:tc>
        <w:tc>
          <w:tcPr>
            <w:tcW w:w="2343" w:type="dxa"/>
            <w:noWrap w:val="0"/>
            <w:vAlign w:val="top"/>
          </w:tcPr>
          <w:p>
            <w:pPr>
              <w:pStyle w:val="26"/>
              <w:spacing w:line="360" w:lineRule="auto"/>
              <w:ind w:firstLine="400" w:firstLineChars="200"/>
              <w:rPr>
                <w:color w:val="auto"/>
                <w:sz w:val="20"/>
                <w:highlight w:val="none"/>
              </w:rPr>
            </w:pPr>
          </w:p>
        </w:tc>
        <w:tc>
          <w:tcPr>
            <w:tcW w:w="2343" w:type="dxa"/>
            <w:noWrap w:val="0"/>
            <w:vAlign w:val="top"/>
          </w:tcPr>
          <w:p>
            <w:pPr>
              <w:pStyle w:val="26"/>
              <w:spacing w:line="360" w:lineRule="auto"/>
              <w:ind w:firstLine="420" w:firstLineChars="200"/>
              <w:rPr>
                <w:color w:val="auto"/>
                <w:sz w:val="21"/>
                <w:highlight w:val="none"/>
              </w:rPr>
            </w:pPr>
            <w:r>
              <w:rPr>
                <w:rFonts w:hint="eastAsia"/>
                <w:color w:val="auto"/>
                <w:sz w:val="21"/>
                <w:highlight w:val="none"/>
              </w:rPr>
              <w:t>星级</w:t>
            </w:r>
          </w:p>
        </w:tc>
        <w:tc>
          <w:tcPr>
            <w:tcW w:w="1970" w:type="dxa"/>
            <w:noWrap w:val="0"/>
            <w:vAlign w:val="top"/>
          </w:tcPr>
          <w:p>
            <w:pPr>
              <w:pStyle w:val="26"/>
              <w:spacing w:line="360" w:lineRule="auto"/>
              <w:ind w:firstLine="400" w:firstLineChars="20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jc w:val="center"/>
        </w:trPr>
        <w:tc>
          <w:tcPr>
            <w:tcW w:w="2343" w:type="dxa"/>
            <w:noWrap w:val="0"/>
            <w:vAlign w:val="top"/>
          </w:tcPr>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20" w:firstLineChars="200"/>
              <w:rPr>
                <w:color w:val="auto"/>
                <w:sz w:val="21"/>
                <w:highlight w:val="none"/>
              </w:rPr>
            </w:pPr>
            <w:r>
              <w:rPr>
                <w:rFonts w:hint="eastAsia"/>
                <w:color w:val="auto"/>
                <w:sz w:val="21"/>
                <w:highlight w:val="none"/>
              </w:rPr>
              <w:t>诚信档案记录情况</w:t>
            </w:r>
          </w:p>
        </w:tc>
        <w:tc>
          <w:tcPr>
            <w:tcW w:w="6656" w:type="dxa"/>
            <w:gridSpan w:val="3"/>
            <w:noWrap w:val="0"/>
            <w:vAlign w:val="top"/>
          </w:tcPr>
          <w:p>
            <w:pPr>
              <w:pStyle w:val="26"/>
              <w:spacing w:line="360" w:lineRule="auto"/>
              <w:ind w:firstLine="400" w:firstLineChars="200"/>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4" w:hRule="atLeast"/>
          <w:jc w:val="center"/>
        </w:trPr>
        <w:tc>
          <w:tcPr>
            <w:tcW w:w="2343" w:type="dxa"/>
            <w:noWrap w:val="0"/>
            <w:vAlign w:val="top"/>
          </w:tcPr>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380" w:firstLineChars="200"/>
              <w:rPr>
                <w:color w:val="auto"/>
                <w:sz w:val="19"/>
                <w:highlight w:val="none"/>
              </w:rPr>
            </w:pPr>
          </w:p>
          <w:p>
            <w:pPr>
              <w:pStyle w:val="26"/>
              <w:spacing w:line="360" w:lineRule="auto"/>
              <w:ind w:firstLine="420" w:firstLineChars="200"/>
              <w:rPr>
                <w:color w:val="auto"/>
                <w:sz w:val="21"/>
                <w:highlight w:val="none"/>
              </w:rPr>
            </w:pPr>
            <w:r>
              <w:rPr>
                <w:rFonts w:hint="eastAsia"/>
                <w:color w:val="auto"/>
                <w:sz w:val="21"/>
                <w:highlight w:val="none"/>
              </w:rPr>
              <w:t>信用承诺</w:t>
            </w:r>
          </w:p>
        </w:tc>
        <w:tc>
          <w:tcPr>
            <w:tcW w:w="6656" w:type="dxa"/>
            <w:gridSpan w:val="3"/>
            <w:noWrap w:val="0"/>
            <w:vAlign w:val="top"/>
          </w:tcPr>
          <w:p>
            <w:pPr>
              <w:pStyle w:val="26"/>
              <w:spacing w:line="360" w:lineRule="auto"/>
              <w:ind w:firstLine="420" w:firstLineChars="200"/>
              <w:rPr>
                <w:color w:val="auto"/>
                <w:sz w:val="21"/>
                <w:highlight w:val="none"/>
              </w:rPr>
            </w:pPr>
            <w:r>
              <w:rPr>
                <w:rFonts w:hint="eastAsia"/>
                <w:color w:val="auto"/>
                <w:sz w:val="21"/>
                <w:highlight w:val="none"/>
              </w:rPr>
              <w:t>我公司自愿参加贵中心（公司）组织的本次政府采购活动，严格遵守</w:t>
            </w:r>
          </w:p>
          <w:p>
            <w:pPr>
              <w:pStyle w:val="26"/>
              <w:spacing w:line="360" w:lineRule="auto"/>
              <w:ind w:firstLine="420" w:firstLineChars="200"/>
              <w:rPr>
                <w:color w:val="auto"/>
                <w:sz w:val="21"/>
                <w:highlight w:val="none"/>
              </w:rPr>
            </w:pPr>
            <w:r>
              <w:rPr>
                <w:rFonts w:hint="eastAsia"/>
                <w:color w:val="auto"/>
                <w:sz w:val="21"/>
                <w:highlight w:val="none"/>
              </w:rPr>
              <w:t>《中华人民政府采购法》及相关法律法规，坚守公开、公平、公正和诚实信  用的原则，依法诚信经营，无条件遵守本次政府采购活动的各项规定。我们  郑重承诺，本公司符合《政府采购法》第二十二条规定的条件，包括：具有  独立承担民事责任的能力；具有良好的商业信誉和健全的财务会计制度；具  有履行合同所必需的设备和专业技术能力；有依法缴纳税收和社会保障资金  的良好记录；参加政府采购活动前三年内，在经营活动中没有重大违法记 录；法律、行政法规和采购文件规定的其他条件。</w:t>
            </w:r>
          </w:p>
          <w:p>
            <w:pPr>
              <w:pStyle w:val="26"/>
              <w:spacing w:line="360" w:lineRule="auto"/>
              <w:ind w:firstLine="420" w:firstLineChars="200"/>
              <w:rPr>
                <w:color w:val="auto"/>
                <w:sz w:val="21"/>
                <w:highlight w:val="none"/>
              </w:rPr>
            </w:pPr>
            <w:r>
              <w:rPr>
                <w:rFonts w:hint="eastAsia"/>
                <w:color w:val="auto"/>
                <w:sz w:val="21"/>
                <w:highlight w:val="none"/>
              </w:rPr>
              <w:t>如有弄虚作假或其他违法违规行为，愿承担一切法律责任，接受各级政府采  购监管部门和有权机关的审查和处罚。</w:t>
            </w:r>
          </w:p>
          <w:p>
            <w:pPr>
              <w:pStyle w:val="26"/>
              <w:spacing w:line="360" w:lineRule="auto"/>
              <w:ind w:firstLine="400" w:firstLineChars="200"/>
              <w:rPr>
                <w:color w:val="auto"/>
                <w:sz w:val="20"/>
                <w:highlight w:val="none"/>
              </w:rPr>
            </w:pPr>
          </w:p>
          <w:p>
            <w:pPr>
              <w:pStyle w:val="26"/>
              <w:spacing w:line="360" w:lineRule="auto"/>
              <w:ind w:firstLine="400" w:firstLineChars="200"/>
              <w:rPr>
                <w:color w:val="auto"/>
                <w:sz w:val="20"/>
                <w:highlight w:val="none"/>
              </w:rPr>
            </w:pPr>
          </w:p>
          <w:p>
            <w:pPr>
              <w:pStyle w:val="26"/>
              <w:spacing w:line="360" w:lineRule="auto"/>
              <w:ind w:firstLine="340" w:firstLineChars="200"/>
              <w:rPr>
                <w:color w:val="auto"/>
                <w:sz w:val="17"/>
                <w:highlight w:val="none"/>
              </w:rPr>
            </w:pPr>
          </w:p>
          <w:p>
            <w:pPr>
              <w:pStyle w:val="26"/>
              <w:spacing w:line="360" w:lineRule="auto"/>
              <w:ind w:firstLine="420" w:firstLineChars="200"/>
              <w:rPr>
                <w:color w:val="auto"/>
                <w:sz w:val="21"/>
                <w:highlight w:val="none"/>
              </w:rPr>
            </w:pPr>
            <w:r>
              <w:rPr>
                <w:rFonts w:hint="eastAsia"/>
                <w:color w:val="auto"/>
                <w:sz w:val="21"/>
                <w:highlight w:val="none"/>
              </w:rPr>
              <w:t>供应商名称（盖章）：法定代表人（签字）：</w:t>
            </w:r>
          </w:p>
          <w:p>
            <w:pPr>
              <w:pStyle w:val="26"/>
              <w:tabs>
                <w:tab w:val="left" w:pos="3256"/>
                <w:tab w:val="left" w:pos="3676"/>
                <w:tab w:val="left" w:pos="4307"/>
              </w:tabs>
              <w:spacing w:line="360" w:lineRule="auto"/>
              <w:ind w:firstLine="420" w:firstLineChars="200"/>
              <w:rPr>
                <w:color w:val="auto"/>
                <w:sz w:val="21"/>
                <w:highlight w:val="none"/>
              </w:rPr>
            </w:pPr>
            <w:r>
              <w:rPr>
                <w:rFonts w:hint="eastAsia"/>
                <w:color w:val="auto"/>
                <w:sz w:val="21"/>
                <w:highlight w:val="none"/>
              </w:rPr>
              <w:t>二〇</w:t>
            </w:r>
            <w:r>
              <w:rPr>
                <w:rFonts w:hint="eastAsia"/>
                <w:color w:val="auto"/>
                <w:sz w:val="21"/>
                <w:highlight w:val="none"/>
              </w:rPr>
              <w:tab/>
            </w:r>
            <w:r>
              <w:rPr>
                <w:rFonts w:hint="eastAsia"/>
                <w:color w:val="auto"/>
                <w:sz w:val="21"/>
                <w:highlight w:val="none"/>
              </w:rPr>
              <w:t>年</w:t>
            </w:r>
            <w:r>
              <w:rPr>
                <w:rFonts w:hint="eastAsia"/>
                <w:color w:val="auto"/>
                <w:sz w:val="21"/>
                <w:highlight w:val="none"/>
              </w:rPr>
              <w:tab/>
            </w:r>
            <w:r>
              <w:rPr>
                <w:rFonts w:hint="eastAsia"/>
                <w:color w:val="auto"/>
                <w:sz w:val="21"/>
                <w:highlight w:val="none"/>
              </w:rPr>
              <w:t>月</w:t>
            </w:r>
            <w:r>
              <w:rPr>
                <w:rFonts w:hint="eastAsia"/>
                <w:color w:val="auto"/>
                <w:sz w:val="21"/>
                <w:highlight w:val="none"/>
              </w:rPr>
              <w:tab/>
            </w:r>
            <w:r>
              <w:rPr>
                <w:rFonts w:hint="eastAsia"/>
                <w:color w:val="auto"/>
                <w:sz w:val="21"/>
                <w:highlight w:val="none"/>
              </w:rPr>
              <w:t>日</w:t>
            </w:r>
          </w:p>
        </w:tc>
      </w:tr>
    </w:tbl>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一）供应商参加本项目政府采购活动时，无论是新用户注册或已注册成功的，均应在采购文件发布之日起至提交响应文件截止时间前，登录“信用南京”或“南京公共采购信息网”在线打印其“南京市政府采购供应商信用记录表暨信用承诺书”，装订在投标文件中，经法定代表人签名及单位盖章后作为响应文件的有效组成部分。“南京市政府采购供应商信用记录表暨信用承诺书”是其参加本次政府采购活动的必备材料。</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二）投标文件中提供了“南京市政府采购供应商信用记录表暨信用承诺书”则不需要再提供《中华人民共和国政府采购法》第二十二条规定条件的证明文件。未提供经法定代表人签名及单位盖章的“南京市政府采购供应商信用记录表暨信用承诺书”的将按无效投标文件处理。 </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三）其中不适用信用承诺的情形：投标人被列入严重失信主体名单；被相关监管部门作出行政处罚且尚在处罚有效期内；其他法律、行政法规规定的不适用信用承诺的情形。则须在投标文件中提供《中华人民共和国政府采购法》第二十二条规定的条件的证明文件，即为下述内容，未提供的将按无效投标文件处理：</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1）如供应商是企业（包括合作企业）的，应提供在工商部门注册的有效“企业法人营业执照”或“营业执照”（法人分支机构由于不能独立承担民事责任，不能以分支机构的身份参加政府采购，只能以法人身份参加，银行、保险、石油石化、电力、电信等特殊行业的除外）； （2）如供应商是事业单位的，应提供有效的“事业单位法人证书”；（3）如供应商是非企业专业服务机构的，应提供有效的执业许可证等证明文件；（4）如供应商是个体工商户的，应提供有效的“个体工商户营业执照”；（5）如供应商是自然人的，应提供有效的自然人身份证明。</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1）健全的财务会计制度指供应商能够严格执行现行的财务会计管理制度，财务管理制度清晰，能够按规定真实、全面地反映企业的生产经营活动；（2）依法作出的财务状况报告包括经审计的财务报告或银行出具的资信证明或其他会计报表等，能够清晰反映供应商的商业信誉情况；（3）供应商成立不满一个月或供应商提供金融机构或担保机构出具的保函则可以不需要提供其他财务状况报告。</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3、具有履行合同所必需的设备和专业技术能力：（1）根据项目需求提供履行合同所必需的设备和专业技术能力的证明材料；（2）可提供与项目实施有关的相关设备购置或租赁票据，或者相关服务人员用工合同，或者具有生产、代理所投设备的能力，也可以提供具有履行合同所必需的设备和专业技术能力承诺函（格式见附件并加盖公章）。 </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1）缴纳税收证明材料：供应商参加政府采购活动前六个月内（至少一个月）内缴纳增值税或营业税或企业所得税凭据；（2）缴纳社会保障资金证明材料：供应商参加政府采购活动前六个月内（至少一个月）内缴纳社会保险的凭据（专用收据或社会保障缴纳清单）；（3）依法免税或不需要缴纳社会保障资金的供应商应提供相关证明材料。</w:t>
      </w:r>
    </w:p>
    <w:p>
      <w:pPr>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5、参加政府采购活动前三年内，在经营活动中没有重大违法记录（提供参加本次政府采购活动前3年内在经营活动中没有重大违法记录的书面声明）。</w:t>
      </w:r>
    </w:p>
    <w:p>
      <w:pPr>
        <w:numPr>
          <w:ilvl w:val="1"/>
          <w:numId w:val="0"/>
        </w:numPr>
        <w:spacing w:before="0" w:after="0" w:line="240" w:lineRule="auto"/>
        <w:outlineLvl w:val="9"/>
        <w:rPr>
          <w:rStyle w:val="27"/>
          <w:rFonts w:hint="eastAsia" w:ascii="宋体" w:hAnsi="宋体" w:eastAsia="宋体" w:cs="宋体"/>
          <w:b/>
          <w:bCs/>
          <w:sz w:val="28"/>
          <w:szCs w:val="28"/>
          <w:highlight w:val="none"/>
          <w:lang w:val="zh-CN"/>
        </w:rPr>
      </w:pPr>
      <w:bookmarkStart w:id="201" w:name="_Toc31703"/>
      <w:bookmarkStart w:id="202" w:name="_Toc7045_WPSOffice_Level1"/>
      <w:bookmarkStart w:id="203" w:name="_Toc22836"/>
      <w:bookmarkStart w:id="204" w:name="_Toc28382"/>
    </w:p>
    <w:p>
      <w:pPr>
        <w:numPr>
          <w:ilvl w:val="1"/>
          <w:numId w:val="0"/>
        </w:numPr>
        <w:spacing w:before="0" w:after="0" w:line="240" w:lineRule="auto"/>
        <w:outlineLvl w:val="9"/>
        <w:rPr>
          <w:rStyle w:val="27"/>
          <w:rFonts w:hint="eastAsia" w:ascii="宋体" w:hAnsi="宋体" w:eastAsia="宋体" w:cs="宋体"/>
          <w:b/>
          <w:bCs/>
          <w:sz w:val="28"/>
          <w:szCs w:val="28"/>
          <w:highlight w:val="none"/>
          <w:lang w:val="zh-CN"/>
        </w:rPr>
      </w:pPr>
    </w:p>
    <w:p>
      <w:pPr>
        <w:numPr>
          <w:ilvl w:val="1"/>
          <w:numId w:val="0"/>
        </w:numPr>
        <w:spacing w:before="0" w:after="0" w:line="240" w:lineRule="auto"/>
        <w:outlineLvl w:val="0"/>
        <w:rPr>
          <w:rStyle w:val="27"/>
          <w:rFonts w:hint="eastAsia" w:ascii="宋体" w:hAnsi="宋体" w:eastAsia="宋体" w:cs="宋体"/>
          <w:b/>
          <w:bCs/>
          <w:sz w:val="28"/>
          <w:szCs w:val="28"/>
          <w:highlight w:val="none"/>
          <w:lang w:val="zh-CN"/>
        </w:rPr>
      </w:pPr>
      <w:bookmarkStart w:id="205" w:name="_Toc28143"/>
      <w:r>
        <w:rPr>
          <w:rStyle w:val="27"/>
          <w:rFonts w:hint="eastAsia" w:ascii="宋体" w:hAnsi="宋体" w:eastAsia="宋体" w:cs="宋体"/>
          <w:b/>
          <w:bCs/>
          <w:sz w:val="28"/>
          <w:szCs w:val="28"/>
          <w:highlight w:val="none"/>
          <w:lang w:val="zh-CN"/>
        </w:rPr>
        <w:t>附件十</w:t>
      </w:r>
      <w:r>
        <w:rPr>
          <w:rStyle w:val="27"/>
          <w:rFonts w:hint="eastAsia" w:ascii="宋体" w:hAnsi="宋体" w:cs="宋体"/>
          <w:b/>
          <w:bCs/>
          <w:sz w:val="28"/>
          <w:szCs w:val="28"/>
          <w:highlight w:val="none"/>
          <w:lang w:val="zh-CN"/>
        </w:rPr>
        <w:t>一</w:t>
      </w:r>
      <w:r>
        <w:rPr>
          <w:rStyle w:val="27"/>
          <w:rFonts w:hint="eastAsia" w:ascii="宋体" w:hAnsi="宋体" w:eastAsia="宋体" w:cs="宋体"/>
          <w:b/>
          <w:bCs/>
          <w:sz w:val="28"/>
          <w:szCs w:val="28"/>
          <w:highlight w:val="none"/>
          <w:lang w:val="zh-CN"/>
        </w:rPr>
        <w:t>、无重大违法记录声明格式</w:t>
      </w:r>
      <w:bookmarkEnd w:id="200"/>
      <w:bookmarkEnd w:id="201"/>
      <w:bookmarkEnd w:id="202"/>
      <w:bookmarkEnd w:id="203"/>
      <w:bookmarkEnd w:id="204"/>
      <w:bookmarkEnd w:id="205"/>
    </w:p>
    <w:p>
      <w:pPr>
        <w:spacing w:line="360" w:lineRule="auto"/>
        <w:outlineLvl w:val="9"/>
        <w:rPr>
          <w:rFonts w:hint="eastAsia" w:ascii="宋体" w:hAnsi="宋体" w:eastAsia="宋体" w:cs="宋体"/>
          <w:highlight w:val="none"/>
        </w:rPr>
      </w:pPr>
    </w:p>
    <w:p>
      <w:pPr>
        <w:spacing w:line="360" w:lineRule="auto"/>
        <w:ind w:firstLine="562"/>
        <w:jc w:val="center"/>
        <w:outlineLvl w:val="9"/>
        <w:rPr>
          <w:rFonts w:hint="eastAsia" w:ascii="宋体" w:hAnsi="宋体" w:eastAsia="宋体" w:cs="宋体"/>
          <w:b/>
          <w:bCs/>
          <w:sz w:val="28"/>
          <w:highlight w:val="none"/>
          <w:lang w:val="zh-CN"/>
        </w:rPr>
      </w:pPr>
      <w:bookmarkStart w:id="206" w:name="_Toc21981"/>
      <w:bookmarkStart w:id="207" w:name="_Toc1474_WPSOffice_Level2"/>
      <w:bookmarkStart w:id="208" w:name="_Toc24703"/>
      <w:bookmarkStart w:id="209" w:name="_Toc27597"/>
      <w:bookmarkStart w:id="210" w:name="_Toc24038"/>
      <w:r>
        <w:rPr>
          <w:rFonts w:hint="eastAsia" w:ascii="宋体" w:hAnsi="宋体" w:eastAsia="宋体" w:cs="宋体"/>
          <w:b/>
          <w:bCs/>
          <w:sz w:val="28"/>
          <w:highlight w:val="none"/>
          <w:lang w:val="zh-CN"/>
        </w:rPr>
        <w:t>无重大违法记录声明</w:t>
      </w:r>
      <w:bookmarkEnd w:id="206"/>
      <w:bookmarkEnd w:id="207"/>
      <w:bookmarkEnd w:id="208"/>
      <w:bookmarkEnd w:id="209"/>
      <w:bookmarkEnd w:id="210"/>
    </w:p>
    <w:p>
      <w:pPr>
        <w:spacing w:line="300" w:lineRule="auto"/>
        <w:outlineLvl w:val="9"/>
        <w:rPr>
          <w:rFonts w:hint="eastAsia" w:ascii="宋体" w:hAnsi="宋体" w:eastAsia="宋体" w:cs="宋体"/>
          <w:sz w:val="24"/>
          <w:highlight w:val="none"/>
        </w:rPr>
      </w:pPr>
      <w:r>
        <w:rPr>
          <w:rFonts w:hint="eastAsia" w:ascii="宋体" w:hAnsi="宋体" w:eastAsia="宋体" w:cs="宋体"/>
          <w:sz w:val="24"/>
          <w:highlight w:val="none"/>
          <w:lang w:eastAsia="zh-CN"/>
        </w:rPr>
        <w:t>南京市鼓楼区教师发展中心</w:t>
      </w:r>
      <w:r>
        <w:rPr>
          <w:rFonts w:hint="eastAsia" w:ascii="宋体" w:hAnsi="宋体" w:eastAsia="宋体" w:cs="宋体"/>
          <w:sz w:val="24"/>
          <w:highlight w:val="none"/>
        </w:rPr>
        <w:t>：</w:t>
      </w:r>
    </w:p>
    <w:p>
      <w:pPr>
        <w:spacing w:line="30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我单位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rPr>
        <w:t>供应商名称</w:t>
      </w:r>
      <w:r>
        <w:rPr>
          <w:rFonts w:hint="eastAsia" w:ascii="宋体" w:hAnsi="宋体" w:eastAsia="宋体" w:cs="宋体"/>
          <w:sz w:val="24"/>
          <w:highlight w:val="none"/>
        </w:rPr>
        <w:t>）郑重声明：</w:t>
      </w:r>
    </w:p>
    <w:p>
      <w:pPr>
        <w:spacing w:line="30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参加政府采购活动前三年内在经营活动中</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（在下划线上如实填写：有或没有）重大违法记录。</w:t>
      </w:r>
    </w:p>
    <w:p>
      <w:pPr>
        <w:spacing w:line="30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（说明：政府采购法第二十二条第一款第五项所称重大违法记录，是指供应商因违法经营受到刑事处罚或者责令停产停业、吊销许可证或者执照、较大数额罚款等行政处罚。）</w:t>
      </w:r>
    </w:p>
    <w:p>
      <w:pPr>
        <w:spacing w:line="300" w:lineRule="auto"/>
        <w:outlineLvl w:val="9"/>
        <w:rPr>
          <w:rFonts w:hint="eastAsia" w:ascii="宋体" w:hAnsi="宋体" w:eastAsia="宋体" w:cs="宋体"/>
          <w:sz w:val="24"/>
          <w:highlight w:val="none"/>
        </w:rPr>
      </w:pPr>
    </w:p>
    <w:p>
      <w:pPr>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ind w:firstLine="5040" w:firstLineChars="2100"/>
        <w:outlineLvl w:val="9"/>
        <w:rPr>
          <w:rFonts w:hint="eastAsia" w:ascii="宋体" w:hAnsi="宋体" w:eastAsia="宋体" w:cs="宋体"/>
          <w:sz w:val="24"/>
          <w:highlight w:val="none"/>
        </w:rPr>
      </w:pPr>
      <w:r>
        <w:rPr>
          <w:rFonts w:hint="eastAsia" w:ascii="宋体" w:hAnsi="宋体" w:eastAsia="宋体" w:cs="宋体"/>
          <w:sz w:val="24"/>
          <w:highlight w:val="none"/>
        </w:rPr>
        <w:t xml:space="preserve">声明人（盖章）： </w:t>
      </w:r>
    </w:p>
    <w:p>
      <w:pPr>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日  期：______年___月___日</w:t>
      </w:r>
    </w:p>
    <w:p>
      <w:pPr>
        <w:spacing w:line="360" w:lineRule="auto"/>
        <w:outlineLvl w:val="9"/>
        <w:rPr>
          <w:rFonts w:hint="eastAsia" w:ascii="宋体" w:hAnsi="宋体" w:eastAsia="宋体" w:cs="宋体"/>
          <w:highlight w:val="none"/>
        </w:rPr>
      </w:pPr>
    </w:p>
    <w:p>
      <w:pPr>
        <w:spacing w:line="360" w:lineRule="auto"/>
        <w:outlineLvl w:val="9"/>
        <w:rPr>
          <w:rFonts w:hint="eastAsia" w:ascii="宋体" w:hAnsi="宋体" w:eastAsia="宋体" w:cs="宋体"/>
          <w:b/>
          <w:highlight w:val="none"/>
        </w:rPr>
      </w:pPr>
    </w:p>
    <w:p>
      <w:pPr>
        <w:rPr>
          <w:rFonts w:hint="eastAsia" w:ascii="宋体" w:hAnsi="宋体" w:eastAsia="宋体" w:cs="宋体"/>
          <w:b/>
          <w:highlight w:val="none"/>
        </w:rPr>
      </w:pPr>
      <w:r>
        <w:rPr>
          <w:rFonts w:hint="eastAsia" w:ascii="宋体" w:hAnsi="宋体" w:eastAsia="宋体" w:cs="宋体"/>
          <w:b/>
          <w:highlight w:val="none"/>
        </w:rPr>
        <w:br w:type="page"/>
      </w:r>
    </w:p>
    <w:p>
      <w:pPr>
        <w:numPr>
          <w:ilvl w:val="1"/>
          <w:numId w:val="0"/>
        </w:numPr>
        <w:spacing w:before="0" w:after="0" w:line="240" w:lineRule="auto"/>
        <w:outlineLvl w:val="0"/>
        <w:rPr>
          <w:rStyle w:val="27"/>
          <w:rFonts w:hint="eastAsia" w:ascii="宋体" w:hAnsi="宋体" w:eastAsia="宋体" w:cs="宋体"/>
          <w:b/>
          <w:bCs/>
          <w:sz w:val="28"/>
          <w:szCs w:val="28"/>
          <w:highlight w:val="none"/>
          <w:lang w:val="zh-CN"/>
        </w:rPr>
      </w:pPr>
      <w:bookmarkStart w:id="211" w:name="_Toc14680"/>
      <w:bookmarkStart w:id="212" w:name="_Toc21088"/>
      <w:bookmarkStart w:id="213" w:name="_Toc26142"/>
      <w:bookmarkStart w:id="214" w:name="_Toc1474_WPSOffice_Level1"/>
      <w:bookmarkStart w:id="215" w:name="_Toc20288"/>
      <w:bookmarkStart w:id="216" w:name="_Toc32673"/>
      <w:r>
        <w:rPr>
          <w:rStyle w:val="27"/>
          <w:rFonts w:hint="eastAsia" w:ascii="宋体" w:hAnsi="宋体" w:eastAsia="宋体" w:cs="宋体"/>
          <w:b/>
          <w:bCs/>
          <w:sz w:val="28"/>
          <w:szCs w:val="28"/>
          <w:highlight w:val="none"/>
          <w:lang w:val="zh-CN"/>
        </w:rPr>
        <w:t>附件十</w:t>
      </w:r>
      <w:r>
        <w:rPr>
          <w:rStyle w:val="27"/>
          <w:rFonts w:hint="eastAsia" w:ascii="宋体" w:hAnsi="宋体" w:cs="宋体"/>
          <w:b/>
          <w:bCs/>
          <w:sz w:val="28"/>
          <w:szCs w:val="28"/>
          <w:highlight w:val="none"/>
          <w:lang w:val="zh-CN"/>
        </w:rPr>
        <w:t>二</w:t>
      </w:r>
      <w:r>
        <w:rPr>
          <w:rStyle w:val="27"/>
          <w:rFonts w:hint="eastAsia" w:ascii="宋体" w:hAnsi="宋体" w:eastAsia="宋体" w:cs="宋体"/>
          <w:b/>
          <w:bCs/>
          <w:sz w:val="28"/>
          <w:szCs w:val="28"/>
          <w:highlight w:val="none"/>
          <w:lang w:val="zh-CN"/>
        </w:rPr>
        <w:t>、具备履行合同所必需的设备和专业技术能力的声明格式及证明材料</w:t>
      </w:r>
      <w:bookmarkEnd w:id="211"/>
      <w:bookmarkEnd w:id="212"/>
      <w:bookmarkEnd w:id="213"/>
      <w:bookmarkEnd w:id="214"/>
      <w:bookmarkEnd w:id="215"/>
      <w:bookmarkEnd w:id="216"/>
    </w:p>
    <w:p>
      <w:pPr>
        <w:spacing w:line="360" w:lineRule="auto"/>
        <w:ind w:firstLine="562"/>
        <w:jc w:val="center"/>
        <w:outlineLvl w:val="9"/>
        <w:rPr>
          <w:rFonts w:hint="eastAsia" w:ascii="宋体" w:hAnsi="宋体" w:eastAsia="宋体" w:cs="宋体"/>
          <w:b/>
          <w:bCs/>
          <w:sz w:val="28"/>
          <w:highlight w:val="none"/>
          <w:lang w:val="zh-CN"/>
        </w:rPr>
      </w:pPr>
      <w:bookmarkStart w:id="217" w:name="_Toc32280_WPSOffice_Level2"/>
      <w:bookmarkStart w:id="218" w:name="_Toc11124"/>
      <w:bookmarkStart w:id="219" w:name="_Toc17376"/>
      <w:bookmarkStart w:id="220" w:name="_Toc19732"/>
      <w:bookmarkStart w:id="221" w:name="_Toc27194"/>
      <w:r>
        <w:rPr>
          <w:rFonts w:hint="eastAsia" w:ascii="宋体" w:hAnsi="宋体" w:eastAsia="宋体" w:cs="宋体"/>
          <w:b/>
          <w:bCs/>
          <w:sz w:val="28"/>
          <w:highlight w:val="none"/>
          <w:lang w:val="zh-CN"/>
        </w:rPr>
        <w:t>具备履行合同所必需的设备和专业技术能力的声明格式</w:t>
      </w:r>
      <w:bookmarkEnd w:id="217"/>
      <w:bookmarkEnd w:id="218"/>
      <w:bookmarkEnd w:id="219"/>
      <w:bookmarkEnd w:id="220"/>
      <w:bookmarkEnd w:id="221"/>
    </w:p>
    <w:p>
      <w:pPr>
        <w:spacing w:line="300" w:lineRule="auto"/>
        <w:outlineLvl w:val="9"/>
        <w:rPr>
          <w:rFonts w:hint="eastAsia" w:ascii="宋体" w:hAnsi="宋体" w:eastAsia="宋体" w:cs="宋体"/>
          <w:sz w:val="24"/>
          <w:highlight w:val="none"/>
        </w:rPr>
      </w:pPr>
      <w:r>
        <w:rPr>
          <w:rFonts w:hint="eastAsia" w:ascii="宋体" w:hAnsi="宋体" w:eastAsia="宋体" w:cs="宋体"/>
          <w:sz w:val="24"/>
          <w:highlight w:val="none"/>
          <w:lang w:eastAsia="zh-CN"/>
        </w:rPr>
        <w:t>南京市鼓楼区教师发展中心</w:t>
      </w:r>
      <w:r>
        <w:rPr>
          <w:rFonts w:hint="eastAsia" w:ascii="宋体" w:hAnsi="宋体" w:eastAsia="宋体" w:cs="宋体"/>
          <w:sz w:val="24"/>
          <w:highlight w:val="none"/>
        </w:rPr>
        <w:t>：</w:t>
      </w:r>
    </w:p>
    <w:p>
      <w:pPr>
        <w:spacing w:line="300" w:lineRule="auto"/>
        <w:ind w:firstLine="492"/>
        <w:outlineLvl w:val="9"/>
        <w:rPr>
          <w:rFonts w:hint="eastAsia" w:ascii="宋体" w:hAnsi="宋体" w:eastAsia="宋体" w:cs="宋体"/>
          <w:sz w:val="24"/>
          <w:highlight w:val="none"/>
        </w:rPr>
      </w:pPr>
      <w:r>
        <w:rPr>
          <w:rFonts w:hint="eastAsia" w:ascii="宋体" w:hAnsi="宋体" w:eastAsia="宋体" w:cs="宋体"/>
          <w:sz w:val="24"/>
          <w:highlight w:val="none"/>
        </w:rPr>
        <w:t>我单位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rPr>
        <w:t>供应商名称</w:t>
      </w:r>
      <w:r>
        <w:rPr>
          <w:rFonts w:hint="eastAsia" w:ascii="宋体" w:hAnsi="宋体" w:eastAsia="宋体" w:cs="宋体"/>
          <w:sz w:val="24"/>
          <w:highlight w:val="none"/>
        </w:rPr>
        <w:t>）郑重声明：</w:t>
      </w:r>
    </w:p>
    <w:p>
      <w:pPr>
        <w:spacing w:line="300" w:lineRule="auto"/>
        <w:ind w:firstLine="492"/>
        <w:outlineLvl w:val="9"/>
        <w:rPr>
          <w:rFonts w:hint="eastAsia" w:ascii="宋体" w:hAnsi="宋体" w:eastAsia="宋体" w:cs="宋体"/>
          <w:sz w:val="24"/>
          <w:highlight w:val="none"/>
        </w:rPr>
      </w:pPr>
      <w:r>
        <w:rPr>
          <w:rFonts w:hint="eastAsia" w:ascii="宋体" w:hAnsi="宋体" w:eastAsia="宋体" w:cs="宋体"/>
          <w:sz w:val="24"/>
          <w:highlight w:val="none"/>
        </w:rPr>
        <w:t>我公司具备履行本项采购合同所必需的设备和专业技术能力，为履行本项采购合同我单位具备如下主要设备和主要专业技术能力：</w:t>
      </w:r>
    </w:p>
    <w:p>
      <w:pPr>
        <w:spacing w:line="300" w:lineRule="auto"/>
        <w:ind w:firstLine="492"/>
        <w:outlineLvl w:val="9"/>
        <w:rPr>
          <w:rFonts w:hint="eastAsia" w:ascii="宋体" w:hAnsi="宋体" w:eastAsia="宋体" w:cs="宋体"/>
          <w:sz w:val="24"/>
          <w:highlight w:val="none"/>
        </w:rPr>
      </w:pPr>
      <w:r>
        <w:rPr>
          <w:rFonts w:hint="eastAsia" w:ascii="宋体" w:hAnsi="宋体" w:eastAsia="宋体" w:cs="宋体"/>
          <w:sz w:val="24"/>
          <w:highlight w:val="none"/>
        </w:rPr>
        <w:t>主要设备有：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 如有 )</w:t>
      </w:r>
    </w:p>
    <w:p>
      <w:pPr>
        <w:spacing w:line="300" w:lineRule="auto"/>
        <w:ind w:firstLine="492"/>
        <w:outlineLvl w:val="9"/>
        <w:rPr>
          <w:rFonts w:hint="eastAsia" w:ascii="宋体" w:hAnsi="宋体" w:eastAsia="宋体" w:cs="宋体"/>
          <w:sz w:val="24"/>
          <w:highlight w:val="none"/>
        </w:rPr>
      </w:pPr>
      <w:r>
        <w:rPr>
          <w:rFonts w:hint="eastAsia" w:ascii="宋体" w:hAnsi="宋体" w:eastAsia="宋体" w:cs="宋体"/>
          <w:sz w:val="24"/>
          <w:highlight w:val="none"/>
        </w:rPr>
        <w:t>主要专业技术能力有：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 如有 )</w:t>
      </w:r>
    </w:p>
    <w:p>
      <w:pPr>
        <w:spacing w:line="360" w:lineRule="auto"/>
        <w:outlineLvl w:val="9"/>
        <w:rPr>
          <w:rFonts w:hint="eastAsia" w:ascii="宋体" w:hAnsi="宋体" w:eastAsia="宋体" w:cs="宋体"/>
          <w:sz w:val="24"/>
          <w:highlight w:val="none"/>
        </w:rPr>
      </w:pPr>
    </w:p>
    <w:p>
      <w:pPr>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声明人（盖章）： </w:t>
      </w:r>
    </w:p>
    <w:p>
      <w:pPr>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日 期：______年___月___日</w:t>
      </w:r>
    </w:p>
    <w:p>
      <w:pPr>
        <w:spacing w:line="460" w:lineRule="exact"/>
        <w:ind w:firstLine="492"/>
        <w:outlineLvl w:val="9"/>
        <w:rPr>
          <w:rFonts w:hint="eastAsia" w:ascii="宋体" w:hAnsi="宋体" w:eastAsia="宋体" w:cs="宋体"/>
          <w:sz w:val="24"/>
          <w:highlight w:val="none"/>
        </w:rPr>
      </w:pPr>
      <w:r>
        <w:rPr>
          <w:rFonts w:hint="eastAsia" w:ascii="宋体" w:hAnsi="宋体" w:eastAsia="宋体" w:cs="宋体"/>
          <w:sz w:val="24"/>
          <w:highlight w:val="none"/>
        </w:rPr>
        <w:t>其他证明材料及文件（投标人认为需要提供的）</w:t>
      </w:r>
    </w:p>
    <w:p>
      <w:pPr>
        <w:outlineLvl w:val="9"/>
        <w:rPr>
          <w:rFonts w:hint="eastAsia" w:ascii="宋体" w:hAnsi="宋体" w:eastAsia="宋体" w:cs="宋体"/>
          <w:highlight w:val="none"/>
        </w:rPr>
      </w:pPr>
    </w:p>
    <w:p>
      <w:pPr>
        <w:numPr>
          <w:ilvl w:val="1"/>
          <w:numId w:val="0"/>
        </w:numPr>
        <w:spacing w:before="0" w:after="0" w:line="240" w:lineRule="auto"/>
        <w:outlineLvl w:val="0"/>
        <w:rPr>
          <w:rStyle w:val="27"/>
          <w:rFonts w:hint="eastAsia" w:ascii="宋体" w:hAnsi="宋体" w:eastAsia="宋体" w:cs="宋体"/>
          <w:b/>
          <w:bCs/>
          <w:sz w:val="28"/>
          <w:szCs w:val="28"/>
          <w:highlight w:val="none"/>
          <w:lang w:val="zh-CN"/>
        </w:rPr>
      </w:pPr>
      <w:bookmarkStart w:id="222" w:name="_Toc16553"/>
      <w:bookmarkStart w:id="223" w:name="_Toc17570"/>
      <w:bookmarkStart w:id="224" w:name="_Toc26088"/>
      <w:bookmarkStart w:id="225" w:name="_Toc32280_WPSOffice_Level1"/>
      <w:bookmarkStart w:id="226" w:name="_Toc30274"/>
      <w:bookmarkStart w:id="227" w:name="_Toc3325"/>
      <w:r>
        <w:rPr>
          <w:rStyle w:val="27"/>
          <w:rFonts w:hint="eastAsia" w:ascii="宋体" w:hAnsi="宋体" w:eastAsia="宋体" w:cs="宋体"/>
          <w:b/>
          <w:bCs/>
          <w:sz w:val="28"/>
          <w:szCs w:val="28"/>
          <w:highlight w:val="none"/>
          <w:lang w:val="zh-CN"/>
        </w:rPr>
        <w:t>附件十</w:t>
      </w:r>
      <w:r>
        <w:rPr>
          <w:rStyle w:val="27"/>
          <w:rFonts w:hint="eastAsia" w:ascii="宋体" w:hAnsi="宋体" w:cs="宋体"/>
          <w:b/>
          <w:bCs/>
          <w:sz w:val="28"/>
          <w:szCs w:val="28"/>
          <w:highlight w:val="none"/>
          <w:lang w:val="zh-CN"/>
        </w:rPr>
        <w:t>三</w:t>
      </w:r>
      <w:r>
        <w:rPr>
          <w:rStyle w:val="27"/>
          <w:rFonts w:hint="eastAsia" w:ascii="宋体" w:hAnsi="宋体" w:eastAsia="宋体" w:cs="宋体"/>
          <w:b/>
          <w:bCs/>
          <w:sz w:val="28"/>
          <w:szCs w:val="28"/>
          <w:highlight w:val="none"/>
          <w:lang w:val="zh-CN"/>
        </w:rPr>
        <w:t>、中小企业声明函格式</w:t>
      </w:r>
      <w:bookmarkEnd w:id="222"/>
      <w:bookmarkEnd w:id="223"/>
      <w:bookmarkEnd w:id="224"/>
      <w:bookmarkEnd w:id="225"/>
      <w:bookmarkEnd w:id="226"/>
      <w:bookmarkEnd w:id="227"/>
    </w:p>
    <w:p>
      <w:pPr>
        <w:spacing w:line="360" w:lineRule="auto"/>
        <w:ind w:firstLine="562"/>
        <w:jc w:val="center"/>
        <w:outlineLvl w:val="9"/>
        <w:rPr>
          <w:rFonts w:hint="eastAsia" w:ascii="宋体" w:hAnsi="宋体" w:eastAsia="宋体" w:cs="宋体"/>
          <w:b/>
          <w:bCs/>
          <w:sz w:val="28"/>
          <w:highlight w:val="none"/>
        </w:rPr>
      </w:pPr>
      <w:bookmarkStart w:id="228" w:name="_Toc6917"/>
      <w:bookmarkStart w:id="229" w:name="_Toc13538_WPSOffice_Level2"/>
      <w:bookmarkStart w:id="230" w:name="_Toc30821"/>
      <w:bookmarkStart w:id="231" w:name="_Toc300"/>
      <w:bookmarkStart w:id="232" w:name="_Toc18239"/>
      <w:r>
        <w:rPr>
          <w:rFonts w:hint="eastAsia" w:ascii="宋体" w:hAnsi="宋体" w:eastAsia="宋体" w:cs="宋体"/>
          <w:b/>
          <w:bCs/>
          <w:sz w:val="28"/>
          <w:highlight w:val="none"/>
        </w:rPr>
        <w:t>中小企业声明函（货物）</w:t>
      </w:r>
      <w:bookmarkEnd w:id="228"/>
      <w:bookmarkEnd w:id="229"/>
      <w:bookmarkEnd w:id="230"/>
      <w:bookmarkEnd w:id="231"/>
      <w:bookmarkEnd w:id="232"/>
    </w:p>
    <w:p>
      <w:pPr>
        <w:autoSpaceDE w:val="0"/>
        <w:autoSpaceDN w:val="0"/>
        <w:adjustRightInd w:val="0"/>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1. </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（招标文件中明确的所属行业）</w:t>
      </w:r>
      <w:r>
        <w:rPr>
          <w:rFonts w:hint="eastAsia" w:ascii="宋体" w:hAnsi="宋体" w:eastAsia="宋体" w:cs="宋体"/>
          <w:sz w:val="24"/>
          <w:highlight w:val="none"/>
        </w:rPr>
        <w:t>； 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，从业人员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sz w:val="24"/>
          <w:highlight w:val="none"/>
          <w:vertAlign w:val="superscript"/>
        </w:rPr>
        <w:t>【1】</w:t>
      </w:r>
      <w:r>
        <w:rPr>
          <w:rFonts w:hint="eastAsia" w:ascii="宋体" w:hAnsi="宋体" w:eastAsia="宋体" w:cs="宋体"/>
          <w:sz w:val="24"/>
          <w:highlight w:val="none"/>
        </w:rPr>
        <w:t>，属于</w:t>
      </w:r>
      <w:r>
        <w:rPr>
          <w:rFonts w:hint="eastAsia" w:ascii="宋体" w:hAnsi="宋体" w:eastAsia="宋体" w:cs="宋体"/>
          <w:sz w:val="24"/>
          <w:highlight w:val="none"/>
          <w:u w:val="single"/>
        </w:rPr>
        <w:t>（中型企业、 小型企业、微型企业）</w:t>
      </w:r>
      <w:r>
        <w:rPr>
          <w:rFonts w:hint="eastAsia" w:ascii="宋体" w:hAnsi="宋体" w:eastAsia="宋体" w:cs="宋体"/>
          <w:sz w:val="24"/>
          <w:highlight w:val="none"/>
        </w:rPr>
        <w:t>；</w:t>
      </w:r>
    </w:p>
    <w:p>
      <w:pPr>
        <w:autoSpaceDE w:val="0"/>
        <w:autoSpaceDN w:val="0"/>
        <w:adjustRightInd w:val="0"/>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2. </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（招标文件中明确的所属行业）</w:t>
      </w:r>
      <w:r>
        <w:rPr>
          <w:rFonts w:hint="eastAsia" w:ascii="宋体" w:hAnsi="宋体" w:eastAsia="宋体" w:cs="宋体"/>
          <w:sz w:val="24"/>
          <w:highlight w:val="none"/>
        </w:rPr>
        <w:t>； 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，从业人员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sz w:val="24"/>
          <w:highlight w:val="none"/>
          <w:vertAlign w:val="superscript"/>
        </w:rPr>
        <w:t>【1】</w:t>
      </w:r>
      <w:r>
        <w:rPr>
          <w:rFonts w:hint="eastAsia" w:ascii="宋体" w:hAnsi="宋体" w:eastAsia="宋体" w:cs="宋体"/>
          <w:sz w:val="24"/>
          <w:highlight w:val="none"/>
        </w:rPr>
        <w:t>，属于</w:t>
      </w:r>
      <w:r>
        <w:rPr>
          <w:rFonts w:hint="eastAsia" w:ascii="宋体" w:hAnsi="宋体" w:eastAsia="宋体" w:cs="宋体"/>
          <w:sz w:val="24"/>
          <w:highlight w:val="none"/>
          <w:u w:val="single"/>
        </w:rPr>
        <w:t>（中型企业、 小型企业、微型企业）</w:t>
      </w:r>
      <w:r>
        <w:rPr>
          <w:rFonts w:hint="eastAsia" w:ascii="宋体" w:hAnsi="宋体" w:eastAsia="宋体" w:cs="宋体"/>
          <w:sz w:val="24"/>
          <w:highlight w:val="none"/>
        </w:rPr>
        <w:t>；</w:t>
      </w:r>
    </w:p>
    <w:p>
      <w:pPr>
        <w:autoSpaceDE w:val="0"/>
        <w:autoSpaceDN w:val="0"/>
        <w:adjustRightInd w:val="0"/>
        <w:ind w:firstLine="600" w:firstLineChars="250"/>
        <w:outlineLvl w:val="9"/>
        <w:rPr>
          <w:rFonts w:hint="eastAsia" w:ascii="宋体" w:hAnsi="宋体" w:eastAsia="宋体" w:cs="宋体"/>
          <w:sz w:val="24"/>
          <w:highlight w:val="none"/>
        </w:rPr>
      </w:pPr>
      <w:r>
        <w:rPr>
          <w:rFonts w:hint="eastAsia" w:ascii="宋体" w:hAnsi="宋体" w:eastAsia="宋体" w:cs="宋体"/>
          <w:sz w:val="24"/>
          <w:highlight w:val="none"/>
        </w:rPr>
        <w:t>……</w:t>
      </w:r>
    </w:p>
    <w:p>
      <w:pPr>
        <w:autoSpaceDE w:val="0"/>
        <w:autoSpaceDN w:val="0"/>
        <w:adjustRightInd w:val="0"/>
        <w:ind w:firstLine="600" w:firstLineChars="250"/>
        <w:outlineLvl w:val="9"/>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 形。</w:t>
      </w:r>
    </w:p>
    <w:p>
      <w:pPr>
        <w:autoSpaceDE w:val="0"/>
        <w:autoSpaceDN w:val="0"/>
        <w:adjustRightInd w:val="0"/>
        <w:outlineLvl w:val="9"/>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pStyle w:val="12"/>
        <w:outlineLvl w:val="9"/>
        <w:rPr>
          <w:rFonts w:hint="eastAsia" w:ascii="宋体" w:hAnsi="宋体" w:eastAsia="宋体" w:cs="宋体"/>
          <w:highlight w:val="none"/>
        </w:rPr>
      </w:pPr>
    </w:p>
    <w:p>
      <w:pPr>
        <w:autoSpaceDE w:val="0"/>
        <w:autoSpaceDN w:val="0"/>
        <w:adjustRightInd w:val="0"/>
        <w:ind w:right="420"/>
        <w:jc w:val="right"/>
        <w:outlineLvl w:val="9"/>
        <w:rPr>
          <w:rFonts w:hint="eastAsia" w:ascii="宋体" w:hAnsi="宋体" w:eastAsia="宋体" w:cs="宋体"/>
          <w:sz w:val="24"/>
          <w:highlight w:val="none"/>
        </w:rPr>
      </w:pPr>
      <w:r>
        <w:rPr>
          <w:rFonts w:hint="eastAsia" w:ascii="宋体" w:hAnsi="宋体" w:eastAsia="宋体" w:cs="宋体"/>
          <w:sz w:val="24"/>
          <w:highlight w:val="none"/>
        </w:rPr>
        <w:t>企业名称（盖章）：</w:t>
      </w:r>
    </w:p>
    <w:p>
      <w:pPr>
        <w:autoSpaceDE w:val="0"/>
        <w:autoSpaceDN w:val="0"/>
        <w:adjustRightInd w:val="0"/>
        <w:ind w:right="840" w:firstLine="6480" w:firstLineChars="2700"/>
        <w:outlineLvl w:val="9"/>
        <w:rPr>
          <w:rFonts w:hint="eastAsia" w:ascii="宋体" w:hAnsi="宋体" w:eastAsia="宋体" w:cs="宋体"/>
          <w:sz w:val="24"/>
          <w:highlight w:val="none"/>
        </w:rPr>
      </w:pPr>
      <w:r>
        <w:rPr>
          <w:rFonts w:hint="eastAsia" w:ascii="宋体" w:hAnsi="宋体" w:eastAsia="宋体" w:cs="宋体"/>
          <w:sz w:val="24"/>
          <w:highlight w:val="none"/>
        </w:rPr>
        <w:t>日 期：</w:t>
      </w:r>
    </w:p>
    <w:p>
      <w:pPr>
        <w:pStyle w:val="24"/>
        <w:outlineLvl w:val="9"/>
        <w:rPr>
          <w:rFonts w:hint="eastAsia" w:ascii="宋体" w:hAnsi="宋体" w:eastAsia="宋体" w:cs="宋体"/>
          <w:highlight w:val="none"/>
        </w:rPr>
      </w:pPr>
    </w:p>
    <w:p>
      <w:pPr>
        <w:pStyle w:val="24"/>
        <w:outlineLvl w:val="9"/>
        <w:rPr>
          <w:rFonts w:hint="eastAsia" w:ascii="宋体" w:hAnsi="宋体" w:eastAsia="宋体" w:cs="宋体"/>
          <w:b/>
          <w:bCs/>
          <w:highlight w:val="none"/>
        </w:rPr>
      </w:pPr>
      <w:r>
        <w:rPr>
          <w:rFonts w:hint="eastAsia" w:ascii="宋体" w:hAnsi="宋体" w:eastAsia="宋体" w:cs="宋体"/>
          <w:highlight w:val="none"/>
        </w:rPr>
        <w:t>注：【1】 从业人员、营业收入、资产总额填报上一年度数据，无上一年度数据的新成立企业可不填报。</w:t>
      </w:r>
    </w:p>
    <w:p>
      <w:pPr>
        <w:numPr>
          <w:ilvl w:val="1"/>
          <w:numId w:val="0"/>
        </w:numPr>
        <w:spacing w:before="0" w:after="0" w:line="240" w:lineRule="auto"/>
        <w:outlineLvl w:val="0"/>
        <w:rPr>
          <w:rStyle w:val="27"/>
          <w:rFonts w:hint="eastAsia" w:ascii="宋体" w:hAnsi="宋体" w:eastAsia="宋体" w:cs="宋体"/>
          <w:b/>
          <w:bCs/>
          <w:sz w:val="28"/>
          <w:szCs w:val="28"/>
          <w:highlight w:val="none"/>
          <w:lang w:val="zh-CN"/>
        </w:rPr>
      </w:pPr>
      <w:bookmarkStart w:id="233" w:name="_Toc8393"/>
      <w:bookmarkStart w:id="234" w:name="_Toc25747"/>
      <w:bookmarkStart w:id="235" w:name="_Toc672"/>
      <w:bookmarkStart w:id="236" w:name="_Toc13538_WPSOffice_Level1"/>
      <w:bookmarkStart w:id="237" w:name="_Toc16829"/>
      <w:bookmarkStart w:id="238" w:name="_Toc4684"/>
      <w:r>
        <w:rPr>
          <w:rStyle w:val="27"/>
          <w:rFonts w:hint="eastAsia" w:ascii="宋体" w:hAnsi="宋体" w:eastAsia="宋体" w:cs="宋体"/>
          <w:b/>
          <w:bCs/>
          <w:sz w:val="28"/>
          <w:szCs w:val="28"/>
          <w:highlight w:val="none"/>
          <w:lang w:val="zh-CN"/>
        </w:rPr>
        <w:t>附件十</w:t>
      </w:r>
      <w:r>
        <w:rPr>
          <w:rStyle w:val="27"/>
          <w:rFonts w:hint="eastAsia" w:ascii="宋体" w:hAnsi="宋体" w:cs="宋体"/>
          <w:b/>
          <w:bCs/>
          <w:sz w:val="28"/>
          <w:szCs w:val="28"/>
          <w:highlight w:val="none"/>
          <w:lang w:val="zh-CN"/>
        </w:rPr>
        <w:t>四</w:t>
      </w:r>
      <w:r>
        <w:rPr>
          <w:rStyle w:val="27"/>
          <w:rFonts w:hint="eastAsia" w:ascii="宋体" w:hAnsi="宋体" w:eastAsia="宋体" w:cs="宋体"/>
          <w:b/>
          <w:bCs/>
          <w:sz w:val="28"/>
          <w:szCs w:val="28"/>
          <w:highlight w:val="none"/>
          <w:lang w:val="zh-CN"/>
        </w:rPr>
        <w:t>、残疾人福利性单位声明函、属于监狱企业的证明文件</w:t>
      </w:r>
      <w:bookmarkEnd w:id="233"/>
      <w:bookmarkEnd w:id="234"/>
      <w:bookmarkEnd w:id="235"/>
      <w:bookmarkEnd w:id="236"/>
      <w:bookmarkEnd w:id="237"/>
      <w:bookmarkEnd w:id="238"/>
    </w:p>
    <w:p>
      <w:pPr>
        <w:spacing w:line="360" w:lineRule="auto"/>
        <w:ind w:firstLine="562"/>
        <w:jc w:val="center"/>
        <w:outlineLvl w:val="9"/>
        <w:rPr>
          <w:rFonts w:hint="eastAsia" w:ascii="宋体" w:hAnsi="宋体" w:eastAsia="宋体" w:cs="宋体"/>
          <w:b/>
          <w:bCs/>
          <w:sz w:val="28"/>
          <w:highlight w:val="none"/>
          <w:lang w:val="zh-CN"/>
        </w:rPr>
      </w:pPr>
      <w:bookmarkStart w:id="239" w:name="_Toc23685"/>
      <w:bookmarkStart w:id="240" w:name="_Toc26790"/>
      <w:bookmarkStart w:id="241" w:name="_Toc8788_WPSOffice_Level2"/>
      <w:bookmarkStart w:id="242" w:name="_Toc15883"/>
      <w:bookmarkStart w:id="243" w:name="_Toc24412"/>
      <w:r>
        <w:rPr>
          <w:rFonts w:hint="eastAsia" w:ascii="宋体" w:hAnsi="宋体" w:eastAsia="宋体" w:cs="宋体"/>
          <w:b/>
          <w:bCs/>
          <w:sz w:val="28"/>
          <w:highlight w:val="none"/>
          <w:lang w:val="zh-CN"/>
        </w:rPr>
        <w:t>残疾人福利性单位声明函</w:t>
      </w:r>
      <w:bookmarkEnd w:id="239"/>
      <w:bookmarkEnd w:id="240"/>
      <w:bookmarkEnd w:id="241"/>
      <w:bookmarkEnd w:id="242"/>
      <w:bookmarkEnd w:id="243"/>
    </w:p>
    <w:p>
      <w:pPr>
        <w:pStyle w:val="22"/>
        <w:outlineLvl w:val="9"/>
        <w:rPr>
          <w:rFonts w:hint="eastAsia" w:ascii="宋体" w:hAnsi="宋体" w:eastAsia="宋体" w:cs="宋体"/>
          <w:highlight w:val="none"/>
        </w:rPr>
      </w:pPr>
    </w:p>
    <w:p>
      <w:pPr>
        <w:spacing w:line="300" w:lineRule="auto"/>
        <w:ind w:firstLine="504" w:firstLineChars="200"/>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号）的规定，本单位为符合条件的残疾人福利性单位，且本单位参加</w:t>
      </w:r>
      <w:r>
        <w:rPr>
          <w:rFonts w:hint="eastAsia" w:ascii="宋体" w:hAnsi="宋体" w:eastAsia="宋体" w:cs="宋体"/>
          <w:kern w:val="0"/>
          <w:sz w:val="24"/>
          <w:highlight w:val="none"/>
        </w:rPr>
        <w:t>______</w:t>
      </w:r>
      <w:r>
        <w:rPr>
          <w:rFonts w:hint="eastAsia" w:ascii="宋体" w:hAnsi="宋体" w:eastAsia="宋体" w:cs="宋体"/>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pPr>
        <w:spacing w:line="300" w:lineRule="auto"/>
        <w:ind w:firstLine="504" w:firstLineChars="200"/>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pPr>
        <w:spacing w:line="588" w:lineRule="exact"/>
        <w:ind w:firstLine="504" w:firstLineChars="200"/>
        <w:outlineLvl w:val="9"/>
        <w:rPr>
          <w:rFonts w:hint="eastAsia" w:ascii="宋体" w:hAnsi="宋体" w:eastAsia="宋体" w:cs="宋体"/>
          <w:spacing w:val="6"/>
          <w:sz w:val="24"/>
          <w:highlight w:val="none"/>
        </w:rPr>
      </w:pPr>
    </w:p>
    <w:p>
      <w:pPr>
        <w:spacing w:line="360" w:lineRule="auto"/>
        <w:ind w:firstLine="4320" w:firstLineChars="1800"/>
        <w:outlineLvl w:val="9"/>
        <w:rPr>
          <w:rFonts w:hint="eastAsia" w:ascii="宋体" w:hAnsi="宋体" w:eastAsia="宋体" w:cs="宋体"/>
          <w:sz w:val="24"/>
          <w:highlight w:val="none"/>
        </w:rPr>
      </w:pPr>
      <w:r>
        <w:rPr>
          <w:rFonts w:hint="eastAsia" w:ascii="宋体" w:hAnsi="宋体" w:eastAsia="宋体" w:cs="宋体"/>
          <w:sz w:val="24"/>
          <w:highlight w:val="none"/>
        </w:rPr>
        <w:t xml:space="preserve">声明人（盖章）： </w:t>
      </w:r>
    </w:p>
    <w:p>
      <w:pPr>
        <w:spacing w:line="360" w:lineRule="auto"/>
        <w:outlineLvl w:val="9"/>
        <w:rPr>
          <w:rFonts w:hint="eastAsia" w:ascii="宋体" w:hAnsi="宋体" w:eastAsia="宋体" w:cs="宋体"/>
          <w:bCs/>
          <w:sz w:val="24"/>
          <w:highlight w:val="none"/>
        </w:rPr>
      </w:pPr>
      <w:r>
        <w:rPr>
          <w:rFonts w:hint="eastAsia" w:ascii="宋体" w:hAnsi="宋体" w:eastAsia="宋体" w:cs="宋体"/>
          <w:sz w:val="24"/>
          <w:highlight w:val="none"/>
        </w:rPr>
        <w:t xml:space="preserve">                                    日  期：______年___月___日</w:t>
      </w:r>
    </w:p>
    <w:p>
      <w:pPr>
        <w:outlineLvl w:val="9"/>
        <w:rPr>
          <w:rFonts w:hint="eastAsia" w:ascii="宋体" w:hAnsi="宋体" w:eastAsia="宋体" w:cs="宋体"/>
          <w:sz w:val="24"/>
          <w:highlight w:val="none"/>
        </w:rPr>
      </w:pPr>
      <w:r>
        <w:rPr>
          <w:rFonts w:hint="eastAsia" w:ascii="宋体" w:hAnsi="宋体" w:eastAsia="宋体" w:cs="宋体"/>
          <w:sz w:val="24"/>
          <w:highlight w:val="none"/>
        </w:rPr>
        <w:t>注：具体以《关于促进残疾人就业政府采购政策的通知》（财库〔2017〕141号）的规定为准。</w:t>
      </w:r>
    </w:p>
    <w:p>
      <w:pPr>
        <w:spacing w:line="588" w:lineRule="exact"/>
        <w:outlineLvl w:val="9"/>
        <w:rPr>
          <w:rFonts w:hint="eastAsia" w:ascii="宋体" w:hAnsi="宋体" w:eastAsia="宋体" w:cs="宋体"/>
          <w:sz w:val="24"/>
          <w:highlight w:val="none"/>
        </w:rPr>
      </w:pPr>
    </w:p>
    <w:p>
      <w:pPr>
        <w:outlineLvl w:val="9"/>
        <w:rPr>
          <w:rFonts w:hint="eastAsia" w:ascii="宋体" w:hAnsi="宋体" w:eastAsia="宋体" w:cs="宋体"/>
          <w:highlight w:val="none"/>
        </w:rPr>
      </w:pPr>
    </w:p>
    <w:p>
      <w:pPr>
        <w:spacing w:line="360" w:lineRule="auto"/>
        <w:ind w:firstLine="562"/>
        <w:jc w:val="center"/>
        <w:outlineLvl w:val="9"/>
        <w:rPr>
          <w:rFonts w:hint="eastAsia" w:ascii="宋体" w:hAnsi="宋体" w:eastAsia="宋体" w:cs="宋体"/>
          <w:highlight w:val="none"/>
        </w:rPr>
      </w:pPr>
      <w:bookmarkStart w:id="244" w:name="_Toc27656"/>
      <w:bookmarkStart w:id="245" w:name="_Toc4349_WPSOffice_Level2"/>
      <w:bookmarkStart w:id="246" w:name="_Toc27070"/>
      <w:bookmarkStart w:id="247" w:name="_Toc10576"/>
      <w:bookmarkStart w:id="248" w:name="_Toc23160"/>
      <w:r>
        <w:rPr>
          <w:rFonts w:hint="eastAsia" w:ascii="宋体" w:hAnsi="宋体" w:eastAsia="宋体" w:cs="宋体"/>
          <w:b/>
          <w:bCs/>
          <w:sz w:val="28"/>
          <w:highlight w:val="none"/>
          <w:lang w:val="zh-CN"/>
        </w:rPr>
        <w:t>属于监狱企业的证明文件</w:t>
      </w:r>
      <w:bookmarkEnd w:id="244"/>
      <w:bookmarkEnd w:id="245"/>
      <w:bookmarkEnd w:id="246"/>
      <w:bookmarkEnd w:id="247"/>
      <w:bookmarkEnd w:id="248"/>
    </w:p>
    <w:p>
      <w:pPr>
        <w:snapToGrid w:val="0"/>
        <w:spacing w:line="36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rPr>
        <w:t>（提供由省级以上监狱管理局、戒毒管理局（含新疆生产建设兵团）出具的属于监狱企业的证明文件）</w:t>
      </w:r>
      <w:bookmarkStart w:id="249" w:name="_Toc1577"/>
    </w:p>
    <w:p>
      <w:pPr>
        <w:outlineLvl w:val="9"/>
        <w:rPr>
          <w:rFonts w:hint="eastAsia" w:ascii="宋体" w:hAnsi="宋体" w:eastAsia="宋体" w:cs="宋体"/>
          <w:highlight w:val="none"/>
          <w:lang w:val="zh-CN"/>
        </w:rPr>
      </w:pPr>
    </w:p>
    <w:p>
      <w:pPr>
        <w:numPr>
          <w:ilvl w:val="1"/>
          <w:numId w:val="0"/>
        </w:numPr>
        <w:spacing w:before="0" w:after="0" w:line="240" w:lineRule="auto"/>
        <w:outlineLvl w:val="0"/>
        <w:rPr>
          <w:rStyle w:val="27"/>
          <w:rFonts w:hint="eastAsia" w:ascii="宋体" w:hAnsi="宋体" w:eastAsia="宋体" w:cs="宋体"/>
          <w:b/>
          <w:bCs/>
          <w:sz w:val="28"/>
          <w:szCs w:val="28"/>
          <w:highlight w:val="none"/>
          <w:lang w:val="zh-CN"/>
        </w:rPr>
      </w:pPr>
      <w:bookmarkStart w:id="250" w:name="_Toc4379"/>
      <w:bookmarkStart w:id="251" w:name="_Toc8788_WPSOffice_Level1"/>
      <w:bookmarkStart w:id="252" w:name="_Toc28636"/>
      <w:bookmarkStart w:id="253" w:name="_Toc14440"/>
      <w:bookmarkStart w:id="254" w:name="_Toc15214"/>
      <w:r>
        <w:rPr>
          <w:rStyle w:val="27"/>
          <w:rFonts w:hint="eastAsia" w:ascii="宋体" w:hAnsi="宋体" w:eastAsia="宋体" w:cs="宋体"/>
          <w:b/>
          <w:bCs/>
          <w:sz w:val="28"/>
          <w:szCs w:val="28"/>
          <w:highlight w:val="none"/>
          <w:lang w:val="zh-CN"/>
        </w:rPr>
        <w:t>附件十</w:t>
      </w:r>
      <w:r>
        <w:rPr>
          <w:rStyle w:val="27"/>
          <w:rFonts w:hint="eastAsia" w:ascii="宋体" w:hAnsi="宋体" w:cs="宋体"/>
          <w:b/>
          <w:bCs/>
          <w:sz w:val="28"/>
          <w:szCs w:val="28"/>
          <w:highlight w:val="none"/>
          <w:lang w:val="zh-CN"/>
        </w:rPr>
        <w:t>五</w:t>
      </w:r>
      <w:r>
        <w:rPr>
          <w:rStyle w:val="27"/>
          <w:rFonts w:hint="eastAsia" w:ascii="宋体" w:hAnsi="宋体" w:eastAsia="宋体" w:cs="宋体"/>
          <w:b/>
          <w:bCs/>
          <w:sz w:val="28"/>
          <w:szCs w:val="28"/>
          <w:highlight w:val="none"/>
          <w:lang w:val="zh-CN"/>
        </w:rPr>
        <w:t>、节能产品认证证书、环境标志产品认证证书</w:t>
      </w:r>
      <w:bookmarkEnd w:id="249"/>
      <w:bookmarkEnd w:id="250"/>
      <w:bookmarkEnd w:id="251"/>
      <w:bookmarkEnd w:id="252"/>
      <w:bookmarkEnd w:id="253"/>
      <w:bookmarkEnd w:id="254"/>
    </w:p>
    <w:p>
      <w:pPr>
        <w:shd w:val="clear" w:color="auto" w:fill="FFFFFF"/>
        <w:spacing w:before="312" w:beforeLines="100" w:line="360" w:lineRule="auto"/>
        <w:jc w:val="center"/>
        <w:outlineLvl w:val="9"/>
        <w:rPr>
          <w:rStyle w:val="23"/>
          <w:rFonts w:hint="eastAsia" w:ascii="宋体" w:hAnsi="宋体" w:eastAsia="宋体" w:cs="宋体"/>
          <w:bCs/>
          <w:sz w:val="28"/>
          <w:szCs w:val="28"/>
          <w:highlight w:val="none"/>
        </w:rPr>
      </w:pPr>
    </w:p>
    <w:p>
      <w:pPr>
        <w:spacing w:line="360" w:lineRule="auto"/>
        <w:ind w:firstLine="562"/>
        <w:jc w:val="center"/>
        <w:outlineLvl w:val="9"/>
        <w:rPr>
          <w:rFonts w:hint="eastAsia" w:ascii="宋体" w:hAnsi="宋体" w:eastAsia="宋体" w:cs="宋体"/>
          <w:b/>
          <w:bCs/>
          <w:sz w:val="28"/>
          <w:highlight w:val="none"/>
          <w:lang w:val="zh-CN"/>
        </w:rPr>
      </w:pPr>
      <w:bookmarkStart w:id="255" w:name="_Toc6837_WPSOffice_Level2"/>
      <w:bookmarkStart w:id="256" w:name="_Toc25979"/>
      <w:bookmarkStart w:id="257" w:name="_Toc18177"/>
      <w:bookmarkStart w:id="258" w:name="_Toc1049"/>
      <w:bookmarkStart w:id="259" w:name="_Toc30236"/>
      <w:r>
        <w:rPr>
          <w:rFonts w:hint="eastAsia" w:ascii="宋体" w:hAnsi="宋体" w:eastAsia="宋体" w:cs="宋体"/>
          <w:b/>
          <w:bCs/>
          <w:sz w:val="28"/>
          <w:highlight w:val="none"/>
          <w:lang w:val="zh-CN"/>
        </w:rPr>
        <w:t>节能产品认证证书</w:t>
      </w:r>
      <w:bookmarkEnd w:id="255"/>
      <w:bookmarkEnd w:id="256"/>
      <w:bookmarkEnd w:id="257"/>
      <w:bookmarkEnd w:id="258"/>
      <w:bookmarkEnd w:id="259"/>
    </w:p>
    <w:p>
      <w:pPr>
        <w:spacing w:line="360" w:lineRule="auto"/>
        <w:ind w:firstLine="960" w:firstLineChars="400"/>
        <w:outlineLvl w:val="9"/>
        <w:rPr>
          <w:rFonts w:hint="eastAsia" w:ascii="宋体" w:hAnsi="宋体" w:eastAsia="宋体" w:cs="宋体"/>
          <w:b/>
          <w:bCs/>
          <w:sz w:val="24"/>
          <w:highlight w:val="none"/>
        </w:rPr>
      </w:pPr>
      <w:bookmarkStart w:id="260" w:name="_Toc8769"/>
      <w:bookmarkStart w:id="261" w:name="_Toc13064"/>
      <w:bookmarkStart w:id="262" w:name="_Toc28688"/>
      <w:r>
        <w:rPr>
          <w:rFonts w:hint="eastAsia" w:ascii="宋体" w:hAnsi="宋体" w:eastAsia="宋体" w:cs="宋体"/>
          <w:bCs/>
          <w:sz w:val="24"/>
          <w:highlight w:val="none"/>
        </w:rPr>
        <w:t>（提供国家确定的认证机构出具的、处于有效期之内的产品认证证书）</w:t>
      </w:r>
      <w:bookmarkEnd w:id="260"/>
      <w:bookmarkEnd w:id="261"/>
      <w:bookmarkEnd w:id="262"/>
    </w:p>
    <w:p>
      <w:pPr>
        <w:spacing w:line="360" w:lineRule="auto"/>
        <w:outlineLvl w:val="9"/>
        <w:rPr>
          <w:rFonts w:hint="eastAsia" w:ascii="宋体" w:hAnsi="宋体" w:eastAsia="宋体" w:cs="宋体"/>
          <w:b/>
          <w:bCs/>
          <w:szCs w:val="21"/>
          <w:highlight w:val="none"/>
        </w:rPr>
      </w:pPr>
    </w:p>
    <w:p>
      <w:pPr>
        <w:spacing w:line="360" w:lineRule="auto"/>
        <w:outlineLvl w:val="9"/>
        <w:rPr>
          <w:rFonts w:hint="eastAsia" w:ascii="宋体" w:hAnsi="宋体" w:eastAsia="宋体" w:cs="宋体"/>
          <w:b/>
          <w:bCs/>
          <w:szCs w:val="21"/>
          <w:highlight w:val="none"/>
        </w:rPr>
      </w:pPr>
    </w:p>
    <w:p>
      <w:pPr>
        <w:spacing w:line="360" w:lineRule="auto"/>
        <w:ind w:firstLine="562"/>
        <w:jc w:val="center"/>
        <w:outlineLvl w:val="9"/>
        <w:rPr>
          <w:rFonts w:hint="eastAsia" w:ascii="宋体" w:hAnsi="宋体" w:eastAsia="宋体" w:cs="宋体"/>
          <w:b/>
          <w:bCs/>
          <w:sz w:val="28"/>
          <w:highlight w:val="none"/>
          <w:lang w:val="zh-CN"/>
        </w:rPr>
      </w:pPr>
      <w:bookmarkStart w:id="263" w:name="_Toc28724"/>
      <w:bookmarkStart w:id="264" w:name="_Toc13317"/>
      <w:bookmarkStart w:id="265" w:name="_Toc19555_WPSOffice_Level2"/>
      <w:bookmarkStart w:id="266" w:name="_Toc14697"/>
      <w:bookmarkStart w:id="267" w:name="_Toc31787"/>
      <w:r>
        <w:rPr>
          <w:rFonts w:hint="eastAsia" w:ascii="宋体" w:hAnsi="宋体" w:eastAsia="宋体" w:cs="宋体"/>
          <w:b/>
          <w:bCs/>
          <w:sz w:val="28"/>
          <w:highlight w:val="none"/>
          <w:lang w:val="zh-CN"/>
        </w:rPr>
        <w:t>环境标志产品认证证书</w:t>
      </w:r>
      <w:bookmarkEnd w:id="263"/>
      <w:bookmarkEnd w:id="264"/>
      <w:bookmarkEnd w:id="265"/>
      <w:bookmarkEnd w:id="266"/>
      <w:bookmarkEnd w:id="267"/>
    </w:p>
    <w:p>
      <w:pPr>
        <w:spacing w:line="360" w:lineRule="auto"/>
        <w:ind w:firstLine="480" w:firstLineChars="200"/>
        <w:outlineLvl w:val="9"/>
        <w:rPr>
          <w:rFonts w:hint="eastAsia" w:ascii="宋体" w:hAnsi="宋体" w:eastAsia="宋体" w:cs="宋体"/>
          <w:b/>
          <w:bCs/>
          <w:sz w:val="24"/>
          <w:highlight w:val="none"/>
        </w:rPr>
      </w:pPr>
      <w:bookmarkStart w:id="268" w:name="_Toc9147"/>
      <w:r>
        <w:rPr>
          <w:rFonts w:hint="eastAsia" w:ascii="宋体" w:hAnsi="宋体" w:eastAsia="宋体" w:cs="宋体"/>
          <w:bCs/>
          <w:sz w:val="24"/>
          <w:highlight w:val="none"/>
        </w:rPr>
        <w:t>（提供国家确定的认证机构出具的、处于有效期之内的产品认证证书）</w:t>
      </w:r>
      <w:bookmarkEnd w:id="268"/>
    </w:p>
    <w:p>
      <w:pPr>
        <w:spacing w:line="360" w:lineRule="auto"/>
        <w:rPr>
          <w:rFonts w:hint="eastAsia" w:ascii="宋体" w:hAnsi="宋体" w:eastAsia="宋体" w:cs="宋体"/>
          <w:b/>
          <w:highlight w:val="none"/>
          <w:lang w:val="zh-CN"/>
        </w:rPr>
      </w:pPr>
    </w:p>
    <w:p>
      <w:pPr>
        <w:rPr>
          <w:highlight w:val="none"/>
        </w:rPr>
      </w:pPr>
    </w:p>
    <w:sectPr>
      <w:headerReference r:id="rId14" w:type="first"/>
      <w:headerReference r:id="rId13" w:type="default"/>
      <w:pgSz w:w="11906" w:h="16838"/>
      <w:pgMar w:top="1157" w:right="1253" w:bottom="1157" w:left="1253" w:header="794" w:footer="73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eiryo">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pStyle w:val="29"/>
      <w:jc w:val="center"/>
      <w:rPr>
        <w:rStyle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pPr>
    <w:r>
      <w:rPr>
        <w:u w:val="none"/>
      </w:rPr>
      <w:drawing>
        <wp:inline distT="0" distB="0" distL="114300" distR="114300">
          <wp:extent cx="1028700" cy="3429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1028700" cy="342900"/>
                  </a:xfrm>
                  <a:prstGeom prst="rect">
                    <a:avLst/>
                  </a:prstGeom>
                  <a:noFill/>
                  <a:ln>
                    <a:noFill/>
                  </a:ln>
                </pic:spPr>
              </pic:pic>
            </a:graphicData>
          </a:graphic>
        </wp:inline>
      </w:drawing>
    </w:r>
    <w:r>
      <w:rPr>
        <w:rFonts w:hint="eastAsia"/>
        <w:u w:val="none"/>
        <w:lang w:val="en-US" w:eastAsia="zh-CN"/>
      </w:rPr>
      <w:t xml:space="preserve">                                                                         </w:t>
    </w:r>
    <w:r>
      <w:rPr>
        <w:rFonts w:hint="eastAsia"/>
        <w:b/>
        <w:bCs/>
        <w:sz w:val="20"/>
        <w:szCs w:val="21"/>
        <w:u w:val="none"/>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pPr>
    <w:r>
      <w:rPr>
        <w:u w:val="none"/>
      </w:rPr>
      <w:drawing>
        <wp:inline distT="0" distB="0" distL="114300" distR="114300">
          <wp:extent cx="1028700" cy="3429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028700" cy="342900"/>
                  </a:xfrm>
                  <a:prstGeom prst="rect">
                    <a:avLst/>
                  </a:prstGeom>
                  <a:noFill/>
                  <a:ln>
                    <a:noFill/>
                  </a:ln>
                </pic:spPr>
              </pic:pic>
            </a:graphicData>
          </a:graphic>
        </wp:inline>
      </w:drawing>
    </w:r>
    <w:r>
      <w:rPr>
        <w:rFonts w:hint="eastAsia"/>
        <w:u w:val="none"/>
        <w:lang w:val="en-US" w:eastAsia="zh-CN"/>
      </w:rPr>
      <w:t xml:space="preserve">                                                                         </w:t>
    </w:r>
    <w:r>
      <w:rPr>
        <w:rFonts w:hint="eastAsia"/>
        <w:b/>
        <w:bCs/>
        <w:sz w:val="20"/>
        <w:szCs w:val="21"/>
        <w:u w:val="none"/>
        <w:lang w:val="en-US"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58E0B"/>
    <w:multiLevelType w:val="singleLevel"/>
    <w:tmpl w:val="AE158E0B"/>
    <w:lvl w:ilvl="0" w:tentative="0">
      <w:start w:val="4"/>
      <w:numFmt w:val="decimal"/>
      <w:suff w:val="nothing"/>
      <w:lvlText w:val="（%1）"/>
      <w:lvlJc w:val="left"/>
    </w:lvl>
  </w:abstractNum>
  <w:abstractNum w:abstractNumId="1">
    <w:nsid w:val="CB153F12"/>
    <w:multiLevelType w:val="singleLevel"/>
    <w:tmpl w:val="CB153F12"/>
    <w:lvl w:ilvl="0" w:tentative="0">
      <w:start w:val="1"/>
      <w:numFmt w:val="decimal"/>
      <w:suff w:val="nothing"/>
      <w:lvlText w:val="（%1）"/>
      <w:lvlJc w:val="left"/>
    </w:lvl>
  </w:abstractNum>
  <w:abstractNum w:abstractNumId="2">
    <w:nsid w:val="4C3075FF"/>
    <w:multiLevelType w:val="singleLevel"/>
    <w:tmpl w:val="4C3075F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OWRmM2UwNTVjZTVjMDcwM2RiODhkODM3MGQ2NjYifQ=="/>
  </w:docVars>
  <w:rsids>
    <w:rsidRoot w:val="47FD7612"/>
    <w:rsid w:val="00A4416E"/>
    <w:rsid w:val="05DB66F5"/>
    <w:rsid w:val="08801890"/>
    <w:rsid w:val="089B03BE"/>
    <w:rsid w:val="0C1C7C0E"/>
    <w:rsid w:val="0E741495"/>
    <w:rsid w:val="114E06C3"/>
    <w:rsid w:val="136A10B9"/>
    <w:rsid w:val="1D297EDF"/>
    <w:rsid w:val="227C01B2"/>
    <w:rsid w:val="2347659C"/>
    <w:rsid w:val="249F68D5"/>
    <w:rsid w:val="251B362D"/>
    <w:rsid w:val="27035D1A"/>
    <w:rsid w:val="2BB85047"/>
    <w:rsid w:val="2CE50B3E"/>
    <w:rsid w:val="2E0E4C07"/>
    <w:rsid w:val="2F860BD0"/>
    <w:rsid w:val="32221084"/>
    <w:rsid w:val="3748289E"/>
    <w:rsid w:val="37844FB0"/>
    <w:rsid w:val="3942200C"/>
    <w:rsid w:val="3A5B652D"/>
    <w:rsid w:val="3C67482F"/>
    <w:rsid w:val="3EDD6501"/>
    <w:rsid w:val="43BE622F"/>
    <w:rsid w:val="447E3EBE"/>
    <w:rsid w:val="47FD7612"/>
    <w:rsid w:val="4A415C22"/>
    <w:rsid w:val="4CAF559E"/>
    <w:rsid w:val="54137BBE"/>
    <w:rsid w:val="56BD4101"/>
    <w:rsid w:val="58683282"/>
    <w:rsid w:val="58BD4DB3"/>
    <w:rsid w:val="59BA6CC4"/>
    <w:rsid w:val="5AD47566"/>
    <w:rsid w:val="61E909C7"/>
    <w:rsid w:val="651346D9"/>
    <w:rsid w:val="6908207B"/>
    <w:rsid w:val="69F85BB3"/>
    <w:rsid w:val="69FE0FEF"/>
    <w:rsid w:val="6AFE55BB"/>
    <w:rsid w:val="6BB374EF"/>
    <w:rsid w:val="6FED4616"/>
    <w:rsid w:val="706A52E7"/>
    <w:rsid w:val="70D46B3B"/>
    <w:rsid w:val="73740A39"/>
    <w:rsid w:val="7B3D416D"/>
    <w:rsid w:val="7EF95CC9"/>
    <w:rsid w:val="7FDC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widowControl w:val="0"/>
      <w:spacing w:before="260" w:after="260" w:line="415" w:lineRule="auto"/>
      <w:textAlignment w:val="auto"/>
      <w:outlineLvl w:val="1"/>
    </w:pPr>
    <w:rPr>
      <w:rFonts w:ascii="Arial" w:hAnsi="Arial" w:eastAsia="黑体" w:cs="Arial"/>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qFormat/>
    <w:uiPriority w:val="99"/>
    <w:pPr>
      <w:ind w:firstLine="420"/>
    </w:pPr>
    <w:rPr>
      <w:szCs w:val="20"/>
    </w:rPr>
  </w:style>
  <w:style w:type="paragraph" w:styleId="7">
    <w:name w:val="Body Text"/>
    <w:basedOn w:val="1"/>
    <w:next w:val="1"/>
    <w:qFormat/>
    <w:uiPriority w:val="1"/>
    <w:pPr>
      <w:widowControl w:val="0"/>
      <w:spacing w:before="34"/>
      <w:ind w:left="118"/>
      <w:jc w:val="left"/>
      <w:textAlignment w:val="auto"/>
    </w:pPr>
    <w:rPr>
      <w:rFonts w:ascii="宋体" w:hAnsi="宋体"/>
      <w:kern w:val="0"/>
      <w:sz w:val="24"/>
      <w:lang w:eastAsia="en-US"/>
    </w:r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List 2"/>
    <w:basedOn w:val="1"/>
    <w:qFormat/>
    <w:uiPriority w:val="0"/>
    <w:pPr>
      <w:ind w:left="100" w:leftChars="200" w:hanging="200" w:hangingChars="200"/>
    </w:pPr>
    <w:rPr>
      <w:color w:val="auto"/>
      <w:sz w:val="21"/>
    </w:rPr>
  </w:style>
  <w:style w:type="paragraph" w:styleId="11">
    <w:name w:val="Block Text"/>
    <w:basedOn w:val="1"/>
    <w:next w:val="7"/>
    <w:qFormat/>
    <w:uiPriority w:val="0"/>
    <w:pPr>
      <w:spacing w:after="120"/>
      <w:ind w:left="1440" w:leftChars="700" w:right="1440" w:rightChars="700"/>
    </w:pPr>
  </w:style>
  <w:style w:type="paragraph" w:styleId="12">
    <w:name w:val="index 4"/>
    <w:basedOn w:val="1"/>
    <w:next w:val="1"/>
    <w:qFormat/>
    <w:uiPriority w:val="0"/>
    <w:pPr>
      <w:ind w:left="840" w:hanging="210"/>
      <w:jc w:val="left"/>
    </w:pPr>
    <w:rPr>
      <w:sz w:val="20"/>
    </w:rPr>
  </w:style>
  <w:style w:type="paragraph" w:styleId="13">
    <w:name w:val="Plain Text"/>
    <w:basedOn w:val="1"/>
    <w:qFormat/>
    <w:uiPriority w:val="0"/>
    <w:pPr>
      <w:widowControl w:val="0"/>
      <w:textAlignment w:val="auto"/>
    </w:pPr>
    <w:rPr>
      <w:rFonts w:ascii="宋体" w:hAnsi="Courier New"/>
      <w:kern w:val="0"/>
      <w:sz w:val="20"/>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rPr>
  </w:style>
  <w:style w:type="paragraph" w:styleId="17">
    <w:name w:val="toc 2"/>
    <w:basedOn w:val="1"/>
    <w:next w:val="1"/>
    <w:qFormat/>
    <w:uiPriority w:val="0"/>
    <w:pPr>
      <w:ind w:left="420" w:leftChars="200"/>
    </w:pPr>
  </w:style>
  <w:style w:type="paragraph" w:styleId="18">
    <w:name w:val="HTML Preformatted"/>
    <w:basedOn w:val="1"/>
    <w:unhideWhenUsed/>
    <w:qFormat/>
    <w:uiPriority w:val="0"/>
    <w:rPr>
      <w:rFonts w:ascii="Courier New" w:hAnsi="Courier New" w:cs="Courier New"/>
      <w:sz w:val="20"/>
      <w:szCs w:val="20"/>
    </w:rPr>
  </w:style>
  <w:style w:type="paragraph" w:styleId="19">
    <w:name w:val="Body Text First Indent 2"/>
    <w:basedOn w:val="8"/>
    <w:next w:val="1"/>
    <w:unhideWhenUsed/>
    <w:qFormat/>
    <w:uiPriority w:val="99"/>
    <w:pPr>
      <w:ind w:firstLine="420" w:firstLineChars="200"/>
    </w:pPr>
  </w:style>
  <w:style w:type="paragraph" w:customStyle="1" w:styleId="22">
    <w:name w:val="NormalIndent"/>
    <w:basedOn w:val="1"/>
    <w:qFormat/>
    <w:uiPriority w:val="0"/>
    <w:pPr>
      <w:ind w:firstLine="420"/>
    </w:pPr>
  </w:style>
  <w:style w:type="character" w:customStyle="1" w:styleId="23">
    <w:name w:val="NormalCharacter"/>
    <w:qFormat/>
    <w:uiPriority w:val="0"/>
  </w:style>
  <w:style w:type="paragraph" w:customStyle="1" w:styleId="24">
    <w:name w:val="首行缩进"/>
    <w:basedOn w:val="1"/>
    <w:qFormat/>
    <w:uiPriority w:val="0"/>
    <w:pPr>
      <w:spacing w:line="360" w:lineRule="auto"/>
      <w:ind w:firstLine="480" w:firstLineChars="200"/>
      <w:jc w:val="left"/>
    </w:pPr>
    <w:rPr>
      <w:rFonts w:ascii="宋体" w:hAnsi="宋体"/>
      <w:sz w:val="24"/>
    </w:rPr>
  </w:style>
  <w:style w:type="paragraph" w:customStyle="1" w:styleId="25">
    <w:name w:val="列表段落1"/>
    <w:basedOn w:val="1"/>
    <w:qFormat/>
    <w:uiPriority w:val="34"/>
    <w:pPr>
      <w:ind w:left="720"/>
      <w:contextualSpacing/>
      <w:jc w:val="left"/>
    </w:pPr>
    <w:rPr>
      <w:rFonts w:ascii="Arial" w:hAnsi="Arial" w:eastAsia="黑体"/>
      <w:sz w:val="24"/>
      <w:lang w:eastAsia="en-US"/>
    </w:rPr>
  </w:style>
  <w:style w:type="paragraph" w:customStyle="1" w:styleId="26">
    <w:name w:val="Table Paragraph"/>
    <w:basedOn w:val="1"/>
    <w:qFormat/>
    <w:uiPriority w:val="1"/>
    <w:pPr>
      <w:widowControl w:val="0"/>
      <w:autoSpaceDE w:val="0"/>
      <w:autoSpaceDN w:val="0"/>
      <w:jc w:val="left"/>
      <w:textAlignment w:val="auto"/>
    </w:pPr>
    <w:rPr>
      <w:rFonts w:ascii="宋体" w:hAnsi="宋体" w:cs="宋体"/>
      <w:kern w:val="0"/>
      <w:sz w:val="22"/>
      <w:szCs w:val="22"/>
      <w:lang w:val="it-IT" w:eastAsia="it-IT" w:bidi="it-IT"/>
    </w:rPr>
  </w:style>
  <w:style w:type="character" w:customStyle="1" w:styleId="27">
    <w:name w:val="标题 2 Char1"/>
    <w:link w:val="4"/>
    <w:qFormat/>
    <w:uiPriority w:val="99"/>
    <w:rPr>
      <w:rFonts w:ascii="Arial" w:hAnsi="Arial" w:eastAsia="黑体" w:cs="Arial"/>
      <w:b/>
      <w:bCs/>
      <w:sz w:val="32"/>
      <w:szCs w:val="32"/>
    </w:rPr>
  </w:style>
  <w:style w:type="paragraph" w:customStyle="1" w:styleId="28">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9">
    <w:name w:val="页脚1"/>
    <w:basedOn w:val="1"/>
    <w:qFormat/>
    <w:uiPriority w:val="0"/>
    <w:pPr>
      <w:tabs>
        <w:tab w:val="center" w:pos="4153"/>
        <w:tab w:val="right" w:pos="8306"/>
      </w:tabs>
      <w:snapToGrid w:val="0"/>
      <w:jc w:val="left"/>
    </w:pPr>
    <w:rPr>
      <w:sz w:val="18"/>
      <w:szCs w:val="18"/>
    </w:rPr>
  </w:style>
  <w:style w:type="character" w:customStyle="1" w:styleId="30">
    <w:name w:val="style4"/>
    <w:qFormat/>
    <w:uiPriority w:val="0"/>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41101</Words>
  <Characters>46548</Characters>
  <Lines>0</Lines>
  <Paragraphs>0</Paragraphs>
  <TotalTime>12</TotalTime>
  <ScaleCrop>false</ScaleCrop>
  <LinksUpToDate>false</LinksUpToDate>
  <CharactersWithSpaces>48810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2023-06-30T03:07:00Z</dcterms:created>
  <dc:creator>。</dc:creator>
  <cp:lastModifiedBy>。</cp:lastModifiedBy>
  <dcterms:modified xsi:type="dcterms:W3CDTF">2023-07-10T08:14:18Z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C58B2820AE0942CC8A930C539DB8963F_11</vt:lpwstr>
  </property>
</Properties>
</file>