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2"/>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69"/>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南京市电子政务外网互联网备份出口服务 </w:t>
      </w:r>
      <w:r>
        <w:rPr>
          <w:rFonts w:hint="eastAsia" w:ascii="Arial" w:hAnsi="Arial"/>
          <w:b/>
          <w:bCs/>
          <w:sz w:val="32"/>
          <w:szCs w:val="24"/>
          <w:u w:val="single"/>
        </w:rPr>
      </w:r>
      <w:r/>
    </w:p>
    <w:p>
      <w:pPr>
        <w:pStyle w:val="869"/>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JSZC-320100-JZCG-C2026-0576</w:t>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2"/>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pPr>
      <w:r>
        <w:rPr>
          <w:rFonts w:hint="eastAsia"/>
          <w:b/>
          <w:sz w:val="32"/>
          <w:szCs w:val="32"/>
        </w:rPr>
        <w:t xml:space="preserve">2026年1月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869"/>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FangSong_GB2312" w:hAnsi="Arial" w:eastAsia="FangSong_GB2312"/>
          <w:b/>
          <w:sz w:val="28"/>
          <w:szCs w:val="21"/>
        </w:rPr>
      </w:pPr>
      <w:r/>
      <w:bookmarkStart w:id="0" w:name="_Toc16938516"/>
      <w:r/>
      <w:bookmarkStart w:id="1" w:name="_Toc479757206"/>
      <w:r/>
      <w:bookmarkStart w:id="2" w:name="_Toc513029200"/>
      <w:r/>
      <w:bookmarkStart w:id="3" w:name="_Toc20823272"/>
      <w:r/>
      <w:bookmarkStart w:id="4" w:name="_Toc120614210"/>
      <w:r/>
      <w:bookmarkStart w:id="5" w:name="_Toc523127445"/>
      <w:r>
        <w:rPr>
          <w:rFonts w:hint="eastAsia" w:ascii="FangSong_GB2312" w:hAnsi="Arial" w:eastAsia="FangSong_GB2312"/>
          <w:b/>
          <w:sz w:val="28"/>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sz w:val="36"/>
          <w:szCs w:val="21"/>
        </w:rPr>
        <w:t xml:space="preserve">磋商邀请……………………………………</w:t>
      </w:r>
      <w:r>
        <w:rPr>
          <w:rFonts w:hint="eastAsia" w:ascii="黑体" w:hAnsi="宋体" w:eastAsia="黑体"/>
          <w:color w:val="000000"/>
          <w:sz w:val="36"/>
          <w:szCs w:val="21"/>
        </w:rPr>
        <w:t xml:space="preserve">2</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4</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13</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17</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21</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24</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869"/>
        <w:ind w:firstLine="480"/>
        <w:spacing w:line="252" w:lineRule="auto"/>
        <w:rPr>
          <w:rFonts w:hint="eastAsia" w:ascii="宋体" w:hAnsi="宋体"/>
          <w:sz w:val="24"/>
          <w:szCs w:val="24"/>
        </w:rPr>
      </w:pP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受南京市城市数字治理中心委托，南京市公共资源交易中心（以下简称“交易中心”）就南京市电子政务外网互联网备份出口服务进行竞争性磋商采购，欢迎符合条件的供应商参加磋商。</w:t>
      </w:r>
      <w:r>
        <w:rPr>
          <w:rFonts w:hint="eastAsia"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69"/>
        <w:ind w:firstLine="480"/>
        <w:spacing w:line="252" w:lineRule="auto"/>
        <w:rPr>
          <w:rFonts w:ascii="宋体" w:hAnsi="宋体"/>
          <w:sz w:val="24"/>
          <w:szCs w:val="24"/>
        </w:rPr>
      </w:pPr>
      <w:r>
        <w:rPr>
          <w:rFonts w:hint="eastAsia" w:ascii="宋体" w:hAnsi="宋体"/>
          <w:sz w:val="24"/>
          <w:szCs w:val="24"/>
        </w:rPr>
        <w:t xml:space="preserve">1.项目编号：JSZC-3201</w:t>
      </w:r>
      <w:r>
        <w:rPr>
          <w:rFonts w:hint="eastAsia" w:ascii="宋体" w:hAnsi="宋体"/>
          <w:sz w:val="24"/>
          <w:szCs w:val="24"/>
          <w:lang w:val="en-US" w:eastAsia="zh-CN"/>
        </w:rPr>
        <w:t xml:space="preserve">00</w:t>
      </w:r>
      <w:r>
        <w:rPr>
          <w:rFonts w:hint="eastAsia" w:ascii="宋体" w:hAnsi="宋体"/>
          <w:sz w:val="24"/>
          <w:szCs w:val="24"/>
        </w:rPr>
        <w:t xml:space="preserve">-JZCG-C2026-0576</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2.项目名称：南京市电子政务外网互联网备份出口服务</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3.预算金额：24万元/年</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869"/>
        <w:ind w:firstLine="480"/>
        <w:spacing w:line="264" w:lineRule="auto"/>
        <w:rPr>
          <w:rFonts w:ascii="宋体" w:hAnsi="宋体"/>
          <w:sz w:val="24"/>
          <w:szCs w:val="24"/>
          <w:u w:val="single"/>
        </w:rPr>
      </w:pPr>
      <w:r>
        <w:rPr>
          <w:rFonts w:hint="eastAsia" w:ascii="宋体" w:hAnsi="宋体"/>
          <w:sz w:val="24"/>
          <w:szCs w:val="24"/>
        </w:rPr>
        <w:t xml:space="preserve">5.采购需求（简介）：南京市电子政务外网经过多年的建设与发展，其接入点规模不断扩大，承</w:t>
      </w:r>
      <w:r>
        <w:rPr>
          <w:rFonts w:hint="eastAsia" w:ascii="宋体" w:hAnsi="宋体"/>
          <w:sz w:val="24"/>
          <w:szCs w:val="24"/>
        </w:rPr>
        <w:t xml:space="preserve">载的业务不断增多，目前已形成横向连接党委、人大、政府、政协、法院、检察院等系统单位，纵向贯通市、区、街道（镇）、社区（村）四级政府部门，并与国家和省电子政务外网安全对接的网络系统架构。为进一步满足我市政务外网用户使用互联网的需要，提供良好的系统运行环境和网络体验，现拟采购一条2G互联网出口光纤专线，同时采购512个可用互联网IPv4地址和1024个互联网IPv6地址作为全市电子政务外网的互联网出口地址，用于终端以及数据中心访问互联网的需求，必要时带宽（含互联网地址）可进行拆分使用（拆分后线路数不超过3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9"/>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1年（线路部署完毕、满足交付条件并提供服务后开始计算）。</w:t>
      </w:r>
      <w:r>
        <w:rPr>
          <w:rFonts w:hint="eastAsia" w:ascii="宋体" w:hAnsi="宋体" w:cs="宋体"/>
          <w:sz w:val="24"/>
          <w:szCs w:val="24"/>
          <w:highlight w:val="yellow"/>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2.落实政府采购政策需满足的资格要求：无</w:t>
      </w:r>
      <w:r>
        <w:rPr>
          <w:rFonts w:hint="eastAsia" w:ascii="宋体" w:hAnsi="宋体"/>
          <w:sz w:val="24"/>
          <w:szCs w:val="24"/>
          <w:highlight w:val="yellow"/>
        </w:rPr>
      </w:r>
      <w:r/>
    </w:p>
    <w:p>
      <w:pPr>
        <w:pStyle w:val="869"/>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69"/>
        <w:spacing w:line="252" w:lineRule="auto"/>
        <w:rPr>
          <w:rFonts w:hint="eastAsia" w:ascii="宋体" w:hAnsi="宋体"/>
          <w:sz w:val="24"/>
          <w:szCs w:val="24"/>
        </w:rPr>
      </w:pPr>
      <w:r>
        <w:rPr>
          <w:rFonts w:hint="eastAsia" w:ascii="宋体" w:hAnsi="宋体" w:cs="宋体"/>
          <w:color w:val="0000ff"/>
          <w:sz w:val="24"/>
          <w:szCs w:val="24"/>
        </w:rPr>
        <w:t xml:space="preserve">    </w:t>
      </w:r>
      <w:r>
        <w:rPr>
          <w:rFonts w:hint="eastAsia" w:ascii="宋体" w:hAnsi="宋体" w:cs="宋体"/>
          <w:sz w:val="24"/>
          <w:szCs w:val="24"/>
        </w:rPr>
        <w:t xml:space="preserve">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1</w:t>
      </w:r>
      <w:r>
        <w:rPr>
          <w:rFonts w:hint="eastAsia" w:ascii="宋体" w:hAnsi="宋体"/>
          <w:sz w:val="24"/>
          <w:szCs w:val="24"/>
        </w:rPr>
        <w:t xml:space="preserve">月</w:t>
      </w:r>
      <w:r>
        <w:rPr>
          <w:rFonts w:hint="eastAsia" w:ascii="宋体" w:hAnsi="宋体" w:cs="宋体"/>
          <w:sz w:val="24"/>
          <w:szCs w:val="24"/>
        </w:rPr>
        <w:t xml:space="preserve">21</w:t>
      </w:r>
      <w:r>
        <w:rPr>
          <w:rFonts w:hint="eastAsia" w:ascii="宋体" w:hAnsi="宋体"/>
          <w:sz w:val="24"/>
          <w:szCs w:val="24"/>
        </w:rPr>
        <w:t xml:space="preserve">日</w:t>
      </w:r>
      <w:r>
        <w:rPr>
          <w:rFonts w:hint="eastAsia" w:ascii="宋体" w:hAnsi="宋体" w:cs="宋体"/>
          <w:sz w:val="24"/>
          <w:szCs w:val="24"/>
        </w:rPr>
        <w:t xml:space="preserve">9</w:t>
      </w:r>
      <w:r>
        <w:rPr>
          <w:rFonts w:hint="eastAsia"/>
          <w:sz w:val="24"/>
          <w:szCs w:val="24"/>
        </w:rPr>
        <w:t xml:space="preserve">时30</w:t>
      </w:r>
      <w:r>
        <w:rPr>
          <w:rFonts w:hint="eastAsia" w:ascii="宋体" w:hAnsi="宋体"/>
          <w:sz w:val="24"/>
          <w:szCs w:val="24"/>
        </w:rPr>
        <w:t xml:space="preserve">分（北京时间）。</w:t>
      </w:r>
      <w:r>
        <w:rPr>
          <w:rFonts w:hint="eastAsia" w:ascii="宋体" w:hAnsi="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69"/>
        <w:ind w:firstLine="480"/>
        <w:spacing w:line="252" w:lineRule="auto"/>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47"/>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5.供应商（含潜在供应商）对采购方式、采购需求、供应商资格条件、评审方法和评审标准、合同文本的询问或质疑向采购人提出，《质疑函》原件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rPr>
          <w:rFonts w:hint="eastAsia" w:ascii="宋体" w:hAnsi="宋体" w:cs="宋体"/>
          <w:b/>
          <w:bCs/>
          <w:sz w:val="24"/>
          <w:szCs w:val="24"/>
        </w:rPr>
      </w:r>
      <w:r/>
    </w:p>
    <w:p>
      <w:pPr>
        <w:pStyle w:val="869"/>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b/>
          <w:bCs/>
          <w:sz w:val="24"/>
          <w:szCs w:val="24"/>
        </w:rPr>
      </w:r>
      <w:r/>
    </w:p>
    <w:p>
      <w:pPr>
        <w:pStyle w:val="872"/>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000000"/>
          <w:sz w:val="24"/>
          <w:szCs w:val="24"/>
        </w:rPr>
        <w:t xml:space="preserve">南京市城市数字治理中心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w:t>
      </w:r>
      <w:r>
        <w:rPr>
          <w:rFonts w:ascii="宋体" w:hAnsi="宋体"/>
          <w:sz w:val="24"/>
          <w:szCs w:val="24"/>
        </w:rPr>
        <w:t xml:space="preserve">65</w:t>
      </w:r>
      <w:r>
        <w:rPr>
          <w:rFonts w:hint="eastAsia" w:ascii="宋体" w:hAnsi="宋体"/>
          <w:sz w:val="24"/>
          <w:szCs w:val="24"/>
        </w:rPr>
        <w:t xml:space="preserve">号新城大厦D座</w:t>
      </w:r>
      <w:r>
        <w:rPr>
          <w:rFonts w:hint="eastAsia" w:ascii="宋体" w:hAnsi="宋体"/>
          <w:sz w:val="24"/>
          <w:szCs w:val="24"/>
        </w:rPr>
      </w:r>
      <w:r/>
    </w:p>
    <w:p>
      <w:pPr>
        <w:pStyle w:val="869"/>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联系人：马</w:t>
      </w:r>
      <w:r>
        <w:rPr>
          <w:rFonts w:hint="eastAsia" w:ascii="宋体" w:hAnsi="宋体"/>
          <w:sz w:val="24"/>
          <w:szCs w:val="24"/>
          <w:lang w:val="en-US" w:eastAsia="zh-CN"/>
        </w:rPr>
        <w:t xml:space="preserve">先生</w:t>
      </w:r>
      <w:r>
        <w:rPr>
          <w:rFonts w:hint="eastAsia" w:ascii="宋体" w:hAnsi="宋体" w:eastAsia="宋体"/>
          <w:sz w:val="24"/>
          <w:szCs w:val="24"/>
          <w:lang w:val="en-US" w:eastAsia="zh-CN"/>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687895</w:t>
      </w:r>
      <w:r>
        <w:rPr>
          <w:rFonts w:hint="eastAsia" w:ascii="宋体" w:hAnsi="宋体"/>
          <w:sz w:val="24"/>
          <w:szCs w:val="24"/>
        </w:rPr>
        <w:t xml:space="preserve">50</w:t>
      </w:r>
      <w:bookmarkStart w:id="6" w:name="_Toc28359009"/>
      <w:r/>
      <w:bookmarkStart w:id="7" w:name="_Toc28359086"/>
      <w:r>
        <w:rPr>
          <w:rFonts w:hint="eastAsia" w:ascii="宋体" w:hAnsi="宋体"/>
          <w:sz w:val="24"/>
          <w:szCs w:val="24"/>
        </w:rPr>
      </w:r>
      <w:r/>
    </w:p>
    <w:p>
      <w:pPr>
        <w:pStyle w:val="869"/>
        <w:ind w:firstLine="480"/>
      </w:pPr>
      <w:r>
        <w:rPr>
          <w:rFonts w:hint="eastAsia" w:ascii="宋体" w:hAnsi="宋体" w:cs="Courier New"/>
          <w:sz w:val="24"/>
          <w:szCs w:val="24"/>
        </w:rPr>
        <w:t xml:space="preserve">纪检监察机构联系方式：025-68789930</w:t>
      </w:r>
      <w:r/>
    </w:p>
    <w:p>
      <w:pPr>
        <w:pStyle w:val="869"/>
        <w:ind w:firstLine="480"/>
        <w:spacing w:line="264" w:lineRule="auto"/>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联系人：邹女士</w:t>
      </w:r>
      <w:r>
        <w:rPr>
          <w:rFonts w:hint="eastAsia" w:ascii="宋体" w:hAnsi="宋体"/>
          <w:sz w:val="24"/>
          <w:szCs w:val="24"/>
        </w:rPr>
      </w:r>
      <w:r/>
    </w:p>
    <w:p>
      <w:pPr>
        <w:pStyle w:val="869"/>
        <w:ind w:firstLine="480"/>
        <w:spacing w:line="264" w:lineRule="auto"/>
        <w:rPr>
          <w:rFonts w:hint="eastAsia"/>
        </w:rPr>
      </w:pPr>
      <w:r>
        <w:rPr>
          <w:rFonts w:hint="eastAsia" w:ascii="宋体" w:hAnsi="宋体"/>
          <w:sz w:val="24"/>
          <w:szCs w:val="24"/>
        </w:rPr>
        <w:t xml:space="preserve">联系电话：025-68505810 </w:t>
      </w:r>
      <w:r>
        <w:rPr>
          <w:rFonts w:hint="eastAsia"/>
        </w:rPr>
      </w:r>
      <w:r/>
    </w:p>
    <w:p>
      <w:pPr>
        <w:pStyle w:val="869"/>
        <w:ind w:firstLine="420"/>
        <w:spacing w:line="252" w:lineRule="auto"/>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8" w:name="_Toc513029203"/>
      <w:r/>
      <w:bookmarkStart w:id="9" w:name="_Toc20823275"/>
      <w:r/>
      <w:bookmarkStart w:id="10" w:name="_Toc16938519"/>
      <w:r/>
      <w:bookmarkStart w:id="11" w:name="_Toc120614214"/>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24.3.3 同一供应商提交两个（含两个）以上不同的响应文件或者最后报价。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24.3.5 供应商的最后报价超过了采购预算或最高限价或单价上限。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24.3.9 </w:t>
      </w:r>
      <w:r>
        <w:rPr>
          <w:rFonts w:hint="eastAsia" w:ascii="宋体" w:hAnsi="宋体"/>
          <w:sz w:val="24"/>
        </w:rPr>
        <w:t xml:space="preserve">磋商小组</w:t>
      </w:r>
      <w:r>
        <w:rPr>
          <w:rFonts w:hint="eastAsia" w:ascii="宋体" w:hAnsi="宋体"/>
          <w:sz w:val="24"/>
          <w:lang w:val="zh-CN"/>
        </w:rPr>
        <w:t xml:space="preserve">发现</w:t>
      </w:r>
      <w:r>
        <w:rPr>
          <w:rFonts w:hint="eastAsia" w:ascii="宋体" w:hAnsi="宋体"/>
          <w:sz w:val="24"/>
        </w:rPr>
        <w:t xml:space="preserve">供应商</w:t>
      </w:r>
      <w:r>
        <w:rPr>
          <w:rFonts w:hint="eastAsia" w:ascii="宋体" w:hAnsi="宋体"/>
          <w:sz w:val="24"/>
          <w:lang w:val="zh-CN"/>
        </w:rPr>
        <w:t xml:space="preserve">报价低于采购项目预算50%，或者低于采购项目最高限价45%，或者认为</w:t>
      </w:r>
      <w:r>
        <w:rPr>
          <w:rFonts w:hint="eastAsia" w:ascii="宋体" w:hAnsi="宋体"/>
          <w:sz w:val="24"/>
        </w:rPr>
        <w:t xml:space="preserve">供应商</w:t>
      </w:r>
      <w:r>
        <w:rPr>
          <w:rFonts w:hint="eastAsia" w:ascii="宋体" w:hAnsi="宋体"/>
          <w:sz w:val="24"/>
          <w:lang w:val="zh-CN"/>
        </w:rPr>
        <w:t xml:space="preserve">的报价过低，有可能影响产品或服务质量或不能诚信履约的，应当启动异常低价投标审查机制，通过苏采云系统要求</w:t>
      </w:r>
      <w:r>
        <w:rPr>
          <w:rFonts w:hint="eastAsia" w:ascii="宋体" w:hAnsi="宋体"/>
          <w:sz w:val="24"/>
        </w:rPr>
        <w:t xml:space="preserve">供应商</w:t>
      </w:r>
      <w:r>
        <w:rPr>
          <w:rFonts w:hint="eastAsia" w:ascii="宋体" w:hAnsi="宋体"/>
          <w:sz w:val="24"/>
          <w:lang w:val="zh-CN"/>
        </w:rPr>
        <w:t xml:space="preserve">在合理的时间内提供项目具体成本测算等与报价合理性相关的书面说明及相关证明材料。</w:t>
      </w:r>
      <w:r>
        <w:rPr>
          <w:rFonts w:hint="eastAsia" w:ascii="宋体" w:hAnsi="宋体"/>
          <w:sz w:val="24"/>
        </w:rPr>
        <w:t xml:space="preserve">供应商</w:t>
      </w:r>
      <w:r>
        <w:rPr>
          <w:rFonts w:hint="eastAsia" w:ascii="宋体" w:hAnsi="宋体"/>
          <w:sz w:val="24"/>
          <w:lang w:val="zh-CN"/>
        </w:rPr>
        <w:t xml:space="preserve">不提供书面说明及证明材料，或者书面说明、证明材料不能证明其报价合理性的，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应当将其作为无效</w:t>
      </w:r>
      <w:r>
        <w:rPr>
          <w:rFonts w:hint="eastAsia" w:ascii="宋体" w:hAnsi="宋体"/>
          <w:sz w:val="24"/>
        </w:rPr>
        <w:t xml:space="preserve">响应</w:t>
      </w:r>
      <w:r>
        <w:rPr>
          <w:rFonts w:hint="eastAsia" w:ascii="宋体" w:hAnsi="宋体"/>
          <w:sz w:val="24"/>
          <w:lang w:val="zh-CN"/>
        </w:rPr>
        <w:t xml:space="preserve">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24.3.11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24.3.12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0"/>
        <w:rPr>
          <w:rFonts w:ascii="宋体" w:hAnsi="宋体"/>
          <w:sz w:val="24"/>
        </w:rPr>
      </w:pPr>
      <w:r>
        <w:rPr>
          <w:rFonts w:hint="eastAsia" w:ascii="宋体" w:hAnsi="宋体"/>
          <w:sz w:val="24"/>
          <w:lang w:val="zh-CN"/>
        </w:rPr>
        <w:t xml:space="preserve">25.4 如出现25.</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或25.3</w:t>
      </w:r>
      <w:r>
        <w:rPr>
          <w:rFonts w:hint="eastAsia" w:ascii="宋体" w:hAnsi="宋体"/>
          <w:sz w:val="24"/>
        </w:rPr>
        <w:t xml:space="preserve">.4</w:t>
      </w:r>
      <w:r>
        <w:rPr>
          <w:rFonts w:hint="eastAsia" w:ascii="宋体" w:hAnsi="宋体"/>
          <w:sz w:val="24"/>
          <w:lang w:val="zh-CN"/>
        </w:rPr>
        <w:t xml:space="preserve">情形，</w:t>
      </w:r>
      <w:r>
        <w:rPr>
          <w:rFonts w:hint="eastAsia" w:ascii="宋体" w:hAnsi="宋体"/>
          <w:sz w:val="24"/>
        </w:rPr>
        <w:t xml:space="preserve">采购</w:t>
      </w:r>
      <w:r>
        <w:rPr>
          <w:rFonts w:hint="eastAsia" w:ascii="宋体" w:hAnsi="宋体"/>
          <w:sz w:val="24"/>
          <w:lang w:val="zh-CN"/>
        </w:rPr>
        <w:t xml:space="preserve">活动失败，</w:t>
      </w:r>
      <w:r>
        <w:rPr>
          <w:rFonts w:hint="eastAsia" w:ascii="宋体" w:hAnsi="宋体"/>
          <w:sz w:val="24"/>
        </w:rPr>
        <w:t xml:space="preserve">磋商小组应</w:t>
      </w:r>
      <w:r>
        <w:rPr>
          <w:rFonts w:hint="eastAsia" w:ascii="宋体" w:hAnsi="宋体"/>
          <w:sz w:val="24"/>
          <w:lang w:bidi="ar"/>
        </w:rPr>
        <w:t xml:space="preserve">对磋商</w:t>
      </w:r>
      <w:r>
        <w:rPr>
          <w:rFonts w:hint="eastAsia" w:ascii="宋体" w:hAnsi="宋体"/>
          <w:sz w:val="24"/>
          <w:lang w:val="zh-CN" w:bidi="ar"/>
        </w:rPr>
        <w:t xml:space="preserve">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rPr>
          <w:rFonts w:ascii="宋体" w:hAnsi="宋体"/>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供应商（含潜在供应商）对采购方式、采购需求、供应商资格条件、评审方法与评审标准、合同文本的询问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rPr>
          <w:rFonts w:hint="eastAsia" w:ascii="宋体" w:hAnsi="宋体"/>
          <w:sz w:val="24"/>
        </w:rPr>
        <w:t xml:space="preserve">  </w:t>
      </w:r>
      <w:r>
        <w:rPr>
          <w:rFonts w:hint="eastAsia" w:ascii="宋体" w:hAnsi="宋体"/>
          <w:sz w:val="24"/>
        </w:rPr>
      </w:r>
      <w:r/>
    </w:p>
    <w:p>
      <w:pPr>
        <w:pStyle w:val="869"/>
        <w:ind w:firstLine="422"/>
        <w:rPr>
          <w:rFonts w:hint="eastAsia"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rPr>
          <w:rFonts w:hint="eastAsia" w:ascii="宋体" w:hAnsi="宋体"/>
          <w:b/>
          <w:bCs/>
          <w:sz w:val="24"/>
          <w:lang w:val="zh-CN"/>
        </w:rPr>
      </w:r>
      <w:r/>
    </w:p>
    <w:p>
      <w:pPr>
        <w:pStyle w:val="869"/>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869"/>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bookmarkEnd w:id="8"/>
      <w:r/>
      <w:bookmarkEnd w:id="9"/>
      <w:r/>
      <w:bookmarkEnd w:id="10"/>
      <w:r/>
      <w:bookmarkEnd w:id="11"/>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43.数据交易说明</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43.1 数据交易标的包括数据产品、数据服务、数据工具。</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942"/>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942"/>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942"/>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942"/>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881"/>
        <w:rPr>
          <w:rFonts w:hint="eastAsia"/>
          <w:sz w:val="24"/>
          <w:lang w:val="zh-CN"/>
        </w:rPr>
      </w:pPr>
      <w:r>
        <w:rPr>
          <w:rFonts w:hint="eastAsia"/>
          <w:sz w:val="24"/>
          <w:lang w:val="zh-CN"/>
        </w:rPr>
      </w:r>
      <w:r/>
    </w:p>
    <w:p>
      <w:pPr>
        <w:rPr>
          <w:rFonts w:hint="eastAsia" w:ascii="宋体" w:hAnsi="宋体"/>
          <w:sz w:val="24"/>
          <w:szCs w:val="24"/>
          <w:lang w:val="zh-CN"/>
        </w:rPr>
      </w:pPr>
      <w:r>
        <w:rPr>
          <w:rFonts w:hint="eastAsia" w:ascii="宋体" w:hAnsi="宋体"/>
          <w:sz w:val="24"/>
          <w:lang w:val="zh-CN"/>
        </w:rPr>
      </w:r>
      <w:r>
        <w:rPr>
          <w:rFonts w:hint="eastAsia" w:ascii="宋体" w:hAnsi="宋体"/>
          <w:sz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p>
    <w:p>
      <w:pPr>
        <w:pStyle w:val="869"/>
        <w:rPr>
          <w:rFonts w:hint="eastAsia" w:ascii="宋体" w:hAnsi="宋体"/>
          <w:sz w:val="24"/>
          <w:szCs w:val="24"/>
          <w:lang w:val="zh-CN"/>
        </w:rPr>
      </w:pPr>
      <w:r>
        <w:rPr>
          <w:rFonts w:hint="eastAsia" w:ascii="宋体" w:hAnsi="宋体"/>
          <w:sz w:val="24"/>
          <w:lang w:val="zh-CN"/>
        </w:rPr>
      </w:r>
      <w:r/>
    </w:p>
    <w:p>
      <w:pPr>
        <w:pStyle w:val="881"/>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881"/>
        <w:rPr>
          <w:rFonts w:hint="eastAsia"/>
          <w:sz w:val="24"/>
          <w:lang w:val="zh-CN"/>
        </w:rPr>
      </w:pPr>
      <w:r>
        <w:rPr>
          <w:rFonts w:hint="eastAsia"/>
          <w:sz w:val="24"/>
          <w:lang w:val="zh-CN"/>
        </w:rPr>
      </w:r>
      <w:r/>
    </w:p>
    <w:p>
      <w:pPr>
        <w:pStyle w:val="869"/>
        <w:rPr>
          <w:rFonts w:hint="eastAsia"/>
          <w:lang w:val="zh-CN"/>
        </w:rPr>
      </w:pPr>
      <w:r>
        <w:rPr>
          <w:rFonts w:hint="eastAsia"/>
          <w:lang w:val="zh-CN"/>
        </w:rPr>
      </w:r>
      <w:r/>
    </w:p>
    <w:p>
      <w:pPr>
        <w:pStyle w:val="869"/>
        <w:rPr>
          <w:rFonts w:hint="eastAsia"/>
          <w:lang w:val="zh-CN"/>
        </w:rPr>
      </w:pPr>
      <w:r>
        <w:rPr>
          <w:rFonts w:hint="eastAsia"/>
          <w:lang w:val="zh-CN"/>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869"/>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50"/>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一、合同</w:t>
      </w:r>
      <w:r>
        <w:rPr>
          <w:rFonts w:hint="eastAsia" w:ascii="方正黑体_GBK" w:hAnsi="方正黑体_GBK" w:eastAsia="方正黑体_GBK" w:cs="方正黑体_GBK"/>
          <w:bCs/>
          <w:sz w:val="24"/>
          <w:szCs w:val="24"/>
        </w:rPr>
        <w:t xml:space="preserve">内容</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2"/>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本合同金额为（大写）：____________________圆（_________________元）人民币。</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2"/>
        <w:rPr>
          <w:rFonts w:hint="eastAsia" w:hAnsi="宋体"/>
          <w:sz w:val="24"/>
          <w:szCs w:val="24"/>
        </w:rPr>
        <w:outlineLvl w:val="2"/>
      </w:pPr>
      <w:r>
        <w:rPr>
          <w:rFonts w:hint="eastAsia" w:hAnsi="宋体"/>
          <w:sz w:val="24"/>
          <w:szCs w:val="24"/>
        </w:rPr>
        <w:t xml:space="preserve">8.1 合同款项的支付方式及时间</w:t>
      </w:r>
      <w:r>
        <w:rPr>
          <w:rFonts w:hint="eastAsia" w:hAnsi="宋体"/>
          <w:sz w:val="24"/>
          <w:szCs w:val="24"/>
        </w:rPr>
      </w:r>
      <w:r/>
    </w:p>
    <w:p>
      <w:pPr>
        <w:pStyle w:val="912"/>
        <w:spacing w:line="264" w:lineRule="auto"/>
        <w:rPr>
          <w:rFonts w:hint="eastAsia" w:hAnsi="宋体"/>
          <w:sz w:val="24"/>
          <w:szCs w:val="24"/>
        </w:rPr>
      </w:pPr>
      <w:r>
        <w:rPr>
          <w:rFonts w:hint="eastAsia" w:hAnsi="宋体"/>
          <w:sz w:val="24"/>
          <w:szCs w:val="24"/>
        </w:rPr>
        <w:t xml:space="preserve">8.1.1 本项目线路部署完毕，满足交付条件并提供服务后，支付合同总额的30%，项目运维中期支付合同总额的20%，年度项目服务结束后支付合同总额的50%。</w:t>
      </w:r>
      <w:r>
        <w:rPr>
          <w:rFonts w:hint="eastAsia" w:hAnsi="宋体"/>
          <w:sz w:val="24"/>
          <w:szCs w:val="24"/>
        </w:rPr>
      </w:r>
      <w:r/>
    </w:p>
    <w:p>
      <w:pPr>
        <w:pStyle w:val="912"/>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rPr>
          <w:rFonts w:hint="eastAsia" w:hAnsi="宋体"/>
          <w:sz w:val="24"/>
          <w:szCs w:val="24"/>
        </w:rPr>
      </w:r>
      <w:r/>
    </w:p>
    <w:p>
      <w:pPr>
        <w:pStyle w:val="91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sz w:val="24"/>
          <w:szCs w:val="24"/>
          <w:lang w:val="zh-CN"/>
        </w:rPr>
        <w:t xml:space="preserve">10.7 网络安全、市场准入要求：</w:t>
      </w:r>
      <w:r>
        <w:rPr>
          <w:rFonts w:hint="eastAsia" w:ascii="宋体" w:hAnsi="宋体" w:cs="Courier New"/>
          <w:color w:val="0000ff"/>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9"/>
        <w:spacing w:line="264" w:lineRule="auto"/>
        <w:rPr>
          <w:rFonts w:ascii="宋体" w:hAnsi="宋体" w:cs="Courier New"/>
          <w:sz w:val="24"/>
          <w:szCs w:val="24"/>
        </w:rPr>
      </w:pPr>
      <w:r>
        <w:rPr>
          <w:rFonts w:hint="eastAsia" w:ascii="宋体" w:hAnsi="宋体" w:cs="Courier New"/>
          <w:sz w:val="24"/>
          <w:szCs w:val="24"/>
        </w:rPr>
        <w:t xml:space="preserve">11.4 按照项目管理要求，乙方如存在以下违约情况的，甲方可按以下标准要求其赔偿。违约分为一般违约和较重违约。</w:t>
      </w:r>
      <w:r>
        <w:rPr>
          <w:rFonts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（1）一般违约：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赔偿方式：违约金额1000元，该金额将在项目合同中给予扣除，并由采购人进行口头警告或下发书面通知单要求其进行整改。具体包括但不限于以下内容：</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1）运维服务过程中，如抽查发现供应商提供的线路带宽、可用率、时延等技术指标不符合要求的，计一次一般违约，多次投诉进行累计赔偿；</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2）抽查发现线路未按规范进行施工，存在设备摆放不合理、设备或线路上标签未贴、设备或线路上标签张贴不规范的，设备或线路存在被非政务外网业务复用的以及可能存在其他安全隐患的，计一次一般违约，多次投诉进行累计赔偿；</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3）线路（含设备）故障导致网络中断故障时长超过10分钟的，由于不可抗力因素导致无法抢修恢复的除外，计一次一般违约，多次投诉进行累计赔偿；</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4）运维服务过程中，如发生用户投诉接入线路和运维服务质量，且查明确为供应商责任的，一次投诉计一次一般违约，多次投诉进行累计赔偿；</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5）运维服务过程中，如抽查发现线路所采用的传输技术或接入设备与合同要求不符的，计一次一般违约，多次投诉进行累计赔偿；</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6）运维服务过程中，供应商未按照计划完成人员培训、应急演练或巡检工作的，计一次一般违约。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7）运维服务过程中，运维人员应与供应商响应文件中列明人员一致，未经采购人批准，擅自变更人员的，计一次一般违约。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（2）较重违约：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赔偿方式：由采购人向供应商出具违约通知书，每次违约金额为年度服务费的3%（在一般违约之上并偿），该金额将在项目合同中给予扣除。具体包括但不限于以下内容：</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1）当一般违约累计出现三次，计一次较重违约；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2）线路（含设备）故障导致网络中断，业务的抢修恢复时间超过1小时的，由于不可抗力因素导致无法抢修恢复的除外，计一次较重违约；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3）由于运营商提供的运维管理软件无法满足招标要求并影响到市政务外网运维管理的，计一次较重违约；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4）运维服务过程中，由于供应商原因引发网络安全事件并产生重大影响的，计一次较重违约；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5）其他在运维服务过程中，由于供应商原因对市政务外网稳定运行造成较重影响的，计一次较重违约。</w:t>
      </w:r>
      <w:r>
        <w:rPr>
          <w:rFonts w:hint="eastAsia" w:ascii="宋体" w:hAnsi="宋体" w:cs="Courier New"/>
          <w:sz w:val="24"/>
          <w:szCs w:val="24"/>
        </w:rPr>
      </w:r>
      <w:r/>
    </w:p>
    <w:p>
      <w:pPr>
        <w:pStyle w:val="869"/>
        <w:spacing w:line="264" w:lineRule="auto"/>
        <w:rPr>
          <w:rFonts w:hint="eastAsia" w:ascii="宋体" w:hAnsi="宋体" w:cs="Courier New"/>
          <w:sz w:val="24"/>
          <w:szCs w:val="24"/>
        </w:rPr>
      </w:pPr>
      <w:r>
        <w:rPr>
          <w:rFonts w:hint="eastAsia" w:ascii="宋体" w:hAnsi="宋体" w:cs="Courier New"/>
          <w:sz w:val="24"/>
          <w:szCs w:val="24"/>
        </w:rPr>
        <w:t xml:space="preserve">说明：不可抗力因素包括自然灾害、政府行为和社会异常事件等。因不可抗力不能履行合同的，根据不可抗力的影响，部分或全部免除责任。如违约情形适用多个违约条款的，以最重条款进行赔偿，最终解释权归采购人所有。</w:t>
      </w:r>
      <w:r>
        <w:rPr>
          <w:rFonts w:hint="eastAsia" w:ascii="宋体" w:hAnsi="宋体" w:cs="Courier New"/>
          <w:sz w:val="24"/>
          <w:szCs w:val="24"/>
        </w:rPr>
      </w:r>
      <w:r/>
    </w:p>
    <w:p>
      <w:pPr>
        <w:pStyle w:val="869"/>
        <w:spacing w:line="264" w:lineRule="auto"/>
        <w:rPr>
          <w:rFonts w:hint="eastAsia"/>
        </w:rPr>
      </w:pPr>
      <w:r>
        <w:rPr>
          <w:rFonts w:hint="eastAsia" w:ascii="宋体" w:hAnsi="宋体" w:cs="Courier New"/>
          <w:sz w:val="24"/>
          <w:szCs w:val="24"/>
        </w:rPr>
        <w:t xml:space="preserve">11.5 乙方所提供服务的标准不符合合同规定及招标文件规定标准的，甲方有权拒绝接受服务，并可单方面解除合同。</w:t>
      </w:r>
      <w:r>
        <w:rPr>
          <w:rFonts w:hint="eastAsia"/>
        </w:rPr>
      </w:r>
      <w:r/>
    </w:p>
    <w:p>
      <w:pPr>
        <w:pStyle w:val="869"/>
        <w:rPr>
          <w:rFonts w:hint="eastAsia"/>
        </w:rPr>
      </w:pPr>
      <w:r>
        <w:rPr>
          <w:rFonts w:hint="eastAsia" w:ascii="宋体" w:hAnsi="宋体" w:cs="Courier New"/>
          <w:color w:val="000000"/>
          <w:sz w:val="24"/>
          <w:szCs w:val="24"/>
        </w:rPr>
        <w:t xml:space="preserve">11.6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2"/>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2"/>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2"/>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2" w:name="_Toc20823346"/>
      <w:r/>
      <w:bookmarkStart w:id="13" w:name="_Toc120614244"/>
      <w:r/>
      <w:bookmarkStart w:id="14" w:name="_Toc16938590"/>
      <w:r/>
      <w:bookmarkStart w:id="15" w:name="_Hlt16619350"/>
      <w:r/>
      <w:bookmarkStart w:id="16" w:name="_Toc479757211"/>
      <w:r/>
      <w:bookmarkStart w:id="17" w:name="_Toc462564139"/>
      <w:r>
        <w:rPr>
          <w:rFonts w:hint="eastAsia" w:hAnsi="宋体"/>
          <w:color w:val="000000"/>
          <w:sz w:val="24"/>
          <w:szCs w:val="24"/>
        </w:rPr>
        <w:br w:type="page" w:clear="all"/>
      </w:r>
      <w:bookmarkEnd w:id="12"/>
      <w:r/>
      <w:bookmarkEnd w:id="13"/>
      <w:r/>
      <w:bookmarkEnd w:id="14"/>
      <w:r/>
      <w:bookmarkEnd w:id="15"/>
      <w:r/>
      <w:bookmarkStart w:id="18" w:name="_Toc26554093"/>
      <w:r/>
      <w:bookmarkStart w:id="19" w:name="_Toc49090575"/>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widowControl/>
        <w:rPr>
          <w:rFonts w:hint="eastAsia" w:ascii="宋体" w:hAnsi="宋体"/>
          <w:sz w:val="24"/>
          <w:szCs w:val="24"/>
        </w:rPr>
      </w:pPr>
      <w:r>
        <w:rPr>
          <w:rFonts w:hint="eastAsia" w:ascii="宋体" w:hAnsi="宋体"/>
          <w:sz w:val="24"/>
          <w:szCs w:val="24"/>
        </w:rPr>
        <w:t xml:space="preserve">南京市电子政务外网经过多年的建设与发展，其接入点规模不断扩大，承</w:t>
      </w:r>
      <w:r>
        <w:rPr>
          <w:rFonts w:hint="eastAsia" w:ascii="宋体" w:hAnsi="宋体"/>
          <w:sz w:val="24"/>
          <w:szCs w:val="24"/>
        </w:rPr>
        <w:t xml:space="preserve">载的业务不断增多，目前已形成横向连接党委、人大、政府、政协、法院、检察院等系统单位，纵向贯通市、区、街道（镇）、社区（村）四级政务部门，并与国家和省电子政务外网安全对接的网络系统架构。为进一步满足我市政务外网用户使用互联网的需要，提供良好的系统运行环境和网络体验，现拟采购一条2G互联网出口光纤专线，同时采购512个可用互联网IPv4地址和1024个互联网IPv6地址作为全市电子政务外网的互联网出口地址，用于终端以及数据中心访问互联网的需求，必要时带宽（含互联网地址）可进行拆分使用（拆分后线路数不超过3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1.《国家信息化领导小组关于我国电子政务建设指导意见》（中办发〔2002〕17号）；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2.《国家信息化领导小组关于推进国家电子政务网络建设的意见》（中办发〔2006〕18号）；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3.《国家电子政务外网安全等级保护基本要求》（GW0103-2011）；</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4.《江苏省电子政务外网安全建设指南》；</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5.《市政府办公厅关于做好市电子政务外网建设使用管理有关工作的通知》宁政传〔2017〕99号；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6.《省政府办公厅关于印发江苏省“十四五”数字政府建设规划的通知》（苏政办发〔2021〕61号）；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7.《江苏省电子政务外网管理办法（试行）》（苏政办发〔2023〕32号）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8.《江苏省政府办公厅关于加快推进全省电子政务外网建设的意见》（苏政办发〔2016〕147号 ）；</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9.《宽带光纤接入工程技术标准》（GB/T51380-2019）；</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10.《电子政务外网建设规范》（DB32/T 3514-2019）；</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11.《南京市城市运行“一网统管”工作三年行动计划》（宁委办厅字〔2022〕5号）；</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12.《南京市数字政府高质量建设2023年工作要点》；</w:t>
      </w:r>
      <w:r>
        <w:rPr>
          <w:rFonts w:hint="eastAsia" w:ascii="宋体" w:hAnsi="宋体" w:cs="Courier New"/>
          <w:sz w:val="24"/>
          <w:szCs w:val="24"/>
        </w:rPr>
      </w:r>
      <w:r/>
    </w:p>
    <w:p>
      <w:pPr>
        <w:pStyle w:val="869"/>
        <w:widowControl/>
        <w:rPr>
          <w:rFonts w:hint="eastAsia" w:ascii="宋体" w:hAnsi="宋体" w:cs="Courier New"/>
          <w:sz w:val="24"/>
          <w:szCs w:val="24"/>
        </w:rPr>
      </w:pPr>
      <w:r>
        <w:rPr>
          <w:rFonts w:hint="eastAsia" w:ascii="宋体" w:hAnsi="宋体" w:cs="Courier New"/>
          <w:sz w:val="24"/>
          <w:szCs w:val="24"/>
        </w:rPr>
        <w:t xml:space="preserve">13.遵循其它国家、行业及地方现行的规范和标准。</w:t>
      </w:r>
      <w:r>
        <w:rPr>
          <w:rFonts w:hint="eastAsia" w:ascii="宋体" w:hAnsi="宋体" w:cs="Courier New"/>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67" w:type="pct"/>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4"/>
        <w:gridCol w:w="758"/>
        <w:gridCol w:w="719"/>
        <w:gridCol w:w="980"/>
        <w:gridCol w:w="1145"/>
        <w:gridCol w:w="1329"/>
        <w:gridCol w:w="1099"/>
        <w:gridCol w:w="1133"/>
        <w:gridCol w:w="1010"/>
      </w:tblGrid>
      <w:tr>
        <w:trPr>
          <w:trHeight w:val="470"/>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6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48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567"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6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54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数据交易类型（如有）</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rPr>
                <w:rFonts w:hint="eastAsia"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675"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2G互联网出口光纤专线</w:t>
            </w:r>
            <w:r>
              <w:rPr>
                <w:rFonts w:hint="eastAsia" w:ascii="宋体" w:hAnsi="宋体"/>
                <w:bCs/>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48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567"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否</w:t>
            </w:r>
            <w:r>
              <w:rPr>
                <w:rFonts w:ascii="宋体" w:hAnsi="宋体" w:cs="宋体"/>
                <w:bCs/>
                <w:sz w:val="24"/>
                <w:szCs w:val="24"/>
              </w:rPr>
            </w:r>
            <w:r/>
          </w:p>
        </w:tc>
      </w:tr>
      <w:tr>
        <w:trPr>
          <w:trHeight w:val="597"/>
        </w:trPr>
        <w:tc>
          <w:tcPr>
            <w:tcW w:w="27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W w:w="675" w:type="dxa"/>
            <w:vAlign w:val="center"/>
            <w:textDirection w:val="lrTb"/>
            <w:noWrap w:val="false"/>
          </w:tcPr>
          <w:p>
            <w:pPr>
              <w:pStyle w:val="869"/>
              <w:jc w:val="center"/>
              <w:spacing w:line="288" w:lineRule="auto"/>
              <w:rPr>
                <w:rFonts w:hint="eastAsia" w:ascii="宋体" w:hAnsi="宋体"/>
                <w:sz w:val="24"/>
                <w:szCs w:val="24"/>
              </w:rPr>
            </w:pPr>
            <w:r>
              <w:rPr>
                <w:rFonts w:hint="eastAsia" w:ascii="宋体" w:hAnsi="宋体"/>
                <w:bCs/>
                <w:sz w:val="24"/>
                <w:szCs w:val="24"/>
              </w:rPr>
              <w:t xml:space="preserve">线路服务</w:t>
            </w:r>
            <w:r>
              <w:rPr>
                <w:rFonts w:hint="eastAsia" w:ascii="宋体" w:hAnsi="宋体"/>
                <w:sz w:val="24"/>
                <w:szCs w:val="24"/>
              </w:rPr>
            </w:r>
            <w:r/>
          </w:p>
        </w:tc>
        <w:tc>
          <w:tcPr>
            <w:tcW w:w="37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56"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48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67"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bCs/>
                <w:sz w:val="24"/>
                <w:szCs w:val="24"/>
              </w:rPr>
            </w:r>
            <w:r/>
          </w:p>
        </w:tc>
        <w:tc>
          <w:tcPr>
            <w:tcW w:w="65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54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61"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0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否</w:t>
            </w:r>
            <w:r>
              <w:rPr>
                <w:rFonts w:ascii="宋体" w:hAnsi="宋体" w:cs="宋体"/>
                <w:bCs/>
                <w:sz w:val="24"/>
                <w:szCs w:val="24"/>
              </w:rPr>
            </w:r>
            <w:r/>
          </w:p>
        </w:tc>
      </w:tr>
    </w:tbl>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bookmarkStart w:id="20" w:name="_Toc120614281"/>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tbl>
      <w:tblPr>
        <w:tblW w:w="963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7234"/>
      </w:tblGrid>
      <w:tr>
        <w:trPr/>
        <w:tc>
          <w:tcPr>
            <w:gridSpan w:val="3"/>
            <w:tcW w:w="9639" w:type="dxa"/>
            <w:vAlign w:val="center"/>
            <w:textDirection w:val="lrTb"/>
            <w:noWrap w:val="false"/>
          </w:tcPr>
          <w:p>
            <w:pPr>
              <w:pStyle w:val="869"/>
            </w:pPr>
            <w:r>
              <w:rPr>
                <w:rFonts w:hint="eastAsia"/>
              </w:rPr>
              <w:t xml:space="preserve">产品/服务1：2G互联网出口光纤专线</w:t>
            </w:r>
            <w:r/>
          </w:p>
        </w:tc>
      </w:tr>
      <w:tr>
        <w:trPr/>
        <w:tc>
          <w:tcPr>
            <w:tcW w:w="704" w:type="dxa"/>
            <w:vAlign w:val="center"/>
            <w:textDirection w:val="lrTb"/>
            <w:noWrap w:val="false"/>
          </w:tcPr>
          <w:p>
            <w:pPr>
              <w:pStyle w:val="869"/>
            </w:pPr>
            <w:r>
              <w:rPr>
                <w:rFonts w:hint="eastAsia"/>
              </w:rPr>
              <w:t xml:space="preserve">序号</w:t>
            </w:r>
            <w:r/>
          </w:p>
        </w:tc>
        <w:tc>
          <w:tcPr>
            <w:tcW w:w="1701" w:type="dxa"/>
            <w:vAlign w:val="center"/>
            <w:textDirection w:val="lrTb"/>
            <w:noWrap w:val="false"/>
          </w:tcPr>
          <w:p>
            <w:pPr>
              <w:pStyle w:val="869"/>
            </w:pPr>
            <w:r>
              <w:rPr>
                <w:rFonts w:hint="eastAsia"/>
              </w:rPr>
              <w:t xml:space="preserve">名称</w:t>
            </w:r>
            <w:r/>
          </w:p>
        </w:tc>
        <w:tc>
          <w:tcPr>
            <w:tcW w:w="7234" w:type="dxa"/>
            <w:vAlign w:val="center"/>
            <w:textDirection w:val="lrTb"/>
            <w:noWrap w:val="false"/>
          </w:tcPr>
          <w:p>
            <w:pPr>
              <w:pStyle w:val="869"/>
            </w:pPr>
            <w:r>
              <w:rPr>
                <w:rFonts w:hint="eastAsia"/>
              </w:rPr>
              <w:t xml:space="preserve">功能、性能、配置或服务要求</w:t>
            </w:r>
            <w:r/>
          </w:p>
        </w:tc>
      </w:tr>
      <w:tr>
        <w:trPr/>
        <w:tc>
          <w:tcPr>
            <w:tcW w:w="704" w:type="dxa"/>
            <w:vAlign w:val="center"/>
            <w:textDirection w:val="lrTb"/>
            <w:noWrap w:val="false"/>
          </w:tcPr>
          <w:p>
            <w:pPr>
              <w:pStyle w:val="869"/>
            </w:pPr>
            <w:r>
              <w:rPr>
                <w:rFonts w:hint="eastAsia"/>
              </w:rPr>
              <w:t xml:space="preserve">1</w:t>
            </w:r>
            <w:r/>
          </w:p>
        </w:tc>
        <w:tc>
          <w:tcPr>
            <w:tcW w:w="1701" w:type="dxa"/>
            <w:vAlign w:val="center"/>
            <w:textDirection w:val="lrTb"/>
            <w:noWrap w:val="false"/>
          </w:tcPr>
          <w:p>
            <w:pPr>
              <w:pStyle w:val="869"/>
            </w:pPr>
            <w:r>
              <w:rPr>
                <w:rFonts w:hint="eastAsia"/>
              </w:rPr>
              <w:t xml:space="preserve">实质性条款</w:t>
            </w:r>
            <w:r/>
          </w:p>
        </w:tc>
        <w:tc>
          <w:tcPr>
            <w:tcW w:w="7234" w:type="dxa"/>
            <w:vAlign w:val="center"/>
            <w:textDirection w:val="lrTb"/>
            <w:noWrap w:val="false"/>
          </w:tcPr>
          <w:p>
            <w:pPr>
              <w:pStyle w:val="869"/>
              <w:jc w:val="left"/>
            </w:pPr>
            <w:r>
              <w:rPr>
                <w:rFonts w:hint="eastAsia"/>
              </w:rPr>
              <w:t xml:space="preserve">不低于以下要求：</w:t>
            </w:r>
            <w:r>
              <w:rPr>
                <w:rFonts w:hint="eastAsia"/>
              </w:rPr>
              <w:br w:type="textWrapping" w:clear="all"/>
            </w:r>
            <w:r>
              <w:rPr>
                <w:rFonts w:hint="eastAsia"/>
              </w:rPr>
              <w:t xml:space="preserve">1、满足2G的带宽要求，提供独享带宽的Internet接入，线路直接接到供应商数据网的核心骨干节点上，并实现上下行带宽对等，平均丢包率不高于</w:t>
            </w:r>
            <w:r>
              <w:t xml:space="preserve">0.1‰</w:t>
            </w:r>
            <w:r>
              <w:rPr>
                <w:rFonts w:hint="eastAsia"/>
              </w:rPr>
              <w:t xml:space="preserve">，链路可用率不得低于99.99％，即线路全年累计中断时间不得超过1小时；</w:t>
            </w:r>
            <w:r>
              <w:rPr>
                <w:rFonts w:hint="eastAsia"/>
              </w:rPr>
              <w:br w:type="textWrapping" w:clear="all"/>
            </w:r>
            <w:r>
              <w:rPr>
                <w:rFonts w:hint="eastAsia"/>
              </w:rPr>
              <w:t xml:space="preserve">2、接入光纤要求符合ITU-T的G.652标准，线路的信号衰减、干扰等符合国际、国家和行业标准；</w:t>
            </w:r>
            <w:r>
              <w:rPr>
                <w:rFonts w:hint="eastAsia"/>
              </w:rPr>
              <w:br w:type="textWrapping" w:clear="all"/>
            </w:r>
            <w:r>
              <w:rPr>
                <w:rFonts w:hint="eastAsia"/>
              </w:rPr>
              <w:t xml:space="preserve">3、光纤线路备份冗余，以确保线路出现故障时立即切换到备份线路；</w:t>
            </w:r>
            <w:r>
              <w:rPr>
                <w:rFonts w:hint="eastAsia"/>
              </w:rPr>
              <w:br w:type="textWrapping" w:clear="all"/>
            </w:r>
            <w:r>
              <w:rPr>
                <w:rFonts w:hint="eastAsia"/>
              </w:rPr>
              <w:t xml:space="preserve">4、要求线路有良好的扩展性，可以满足采购人将来因业务发展而产生的升级需求，必要时线路带宽（含互联网地址）可进行拆分使用（拆分后线路数不超过3条），拆分后的线路安装地点由采购人指定。线路调整过程中，供应商须做好保障工作，保证采购人业务正常；</w:t>
            </w:r>
            <w:r>
              <w:rPr>
                <w:rFonts w:hint="eastAsia"/>
              </w:rPr>
              <w:br w:type="textWrapping" w:clear="all"/>
            </w:r>
            <w:r>
              <w:rPr>
                <w:rFonts w:hint="eastAsia"/>
              </w:rPr>
              <w:t xml:space="preserve">5、根据实际线路使用情况，按需提供出口网络设备，双路由接入互联网。出口网络设备满足带宽部署情况，同时支持IPv4/IPv6双栈。提供可用的公网IPv4地址512个和公网IPv6地址1024个。项目所需设备由供应商提供，采购人不再另外支付费用。</w:t>
            </w:r>
            <w:r/>
          </w:p>
        </w:tc>
      </w:tr>
      <w:tr>
        <w:trPr/>
        <w:tc>
          <w:tcPr>
            <w:tcW w:w="704" w:type="dxa"/>
            <w:vAlign w:val="center"/>
            <w:textDirection w:val="lrTb"/>
            <w:noWrap w:val="false"/>
          </w:tcPr>
          <w:p>
            <w:pPr>
              <w:pStyle w:val="869"/>
            </w:pPr>
            <w:r>
              <w:rPr>
                <w:rFonts w:hint="eastAsia"/>
              </w:rPr>
              <w:t xml:space="preserve">2</w:t>
            </w:r>
            <w:r/>
          </w:p>
        </w:tc>
        <w:tc>
          <w:tcPr>
            <w:tcW w:w="1701" w:type="dxa"/>
            <w:vAlign w:val="center"/>
            <w:textDirection w:val="lrTb"/>
            <w:noWrap w:val="false"/>
          </w:tcPr>
          <w:p>
            <w:pPr>
              <w:pStyle w:val="869"/>
            </w:pPr>
            <w:r>
              <w:rPr>
                <w:rFonts w:hint="eastAsia"/>
              </w:rPr>
              <w:t xml:space="preserve">非实质性条款</w:t>
            </w:r>
            <w:r/>
          </w:p>
        </w:tc>
        <w:tc>
          <w:tcPr>
            <w:tcW w:w="7234" w:type="dxa"/>
            <w:vAlign w:val="center"/>
            <w:textDirection w:val="lrTb"/>
            <w:noWrap w:val="false"/>
          </w:tcPr>
          <w:p>
            <w:pPr>
              <w:pStyle w:val="869"/>
            </w:pPr>
            <w:r/>
            <w:r/>
          </w:p>
        </w:tc>
      </w:tr>
      <w:tr>
        <w:trPr/>
        <w:tc>
          <w:tcPr>
            <w:gridSpan w:val="3"/>
            <w:tcW w:w="9639" w:type="dxa"/>
            <w:vAlign w:val="center"/>
            <w:textDirection w:val="lrTb"/>
            <w:noWrap w:val="false"/>
          </w:tcPr>
          <w:p>
            <w:pPr>
              <w:pStyle w:val="869"/>
            </w:pPr>
            <w:r>
              <w:rPr>
                <w:rFonts w:hint="eastAsia"/>
              </w:rPr>
              <w:t xml:space="preserve">产品/服务2：线路服务</w:t>
            </w:r>
            <w:r/>
          </w:p>
        </w:tc>
      </w:tr>
      <w:tr>
        <w:trPr/>
        <w:tc>
          <w:tcPr>
            <w:tcW w:w="704" w:type="dxa"/>
            <w:vAlign w:val="center"/>
            <w:textDirection w:val="lrTb"/>
            <w:noWrap w:val="false"/>
          </w:tcPr>
          <w:p>
            <w:pPr>
              <w:pStyle w:val="869"/>
            </w:pPr>
            <w:r>
              <w:rPr>
                <w:rFonts w:hint="eastAsia"/>
              </w:rPr>
              <w:t xml:space="preserve">1</w:t>
            </w:r>
            <w:r/>
          </w:p>
        </w:tc>
        <w:tc>
          <w:tcPr>
            <w:tcW w:w="1701" w:type="dxa"/>
            <w:vAlign w:val="center"/>
            <w:textDirection w:val="lrTb"/>
            <w:noWrap w:val="false"/>
          </w:tcPr>
          <w:p>
            <w:pPr>
              <w:pStyle w:val="869"/>
            </w:pPr>
            <w:r>
              <w:rPr>
                <w:rFonts w:hint="eastAsia"/>
              </w:rPr>
              <w:t xml:space="preserve">实质性条款</w:t>
            </w:r>
            <w:r/>
          </w:p>
        </w:tc>
        <w:tc>
          <w:tcPr>
            <w:tcW w:w="7234" w:type="dxa"/>
            <w:vAlign w:val="center"/>
            <w:textDirection w:val="lrTb"/>
            <w:noWrap w:val="false"/>
          </w:tcPr>
          <w:p>
            <w:pPr>
              <w:pStyle w:val="881"/>
              <w:ind w:left="0" w:firstLine="0"/>
              <w:jc w:val="left"/>
              <w:spacing w:after="0" w:line="264" w:lineRule="auto"/>
              <w:rPr>
                <w:rFonts w:hint="eastAsia" w:ascii="Times New Roman" w:hAnsi="Times New Roman"/>
                <w:szCs w:val="21"/>
              </w:rPr>
            </w:pPr>
            <w:r>
              <w:rPr>
                <w:rFonts w:hint="eastAsia" w:ascii="Times New Roman" w:hAnsi="Times New Roman"/>
                <w:szCs w:val="21"/>
              </w:rPr>
              <w:t xml:space="preserve">不低于以下要求：</w:t>
            </w:r>
            <w:r>
              <w:rPr>
                <w:rFonts w:hint="eastAsia" w:ascii="Times New Roman" w:hAnsi="Times New Roman"/>
                <w:szCs w:val="21"/>
              </w:rPr>
              <w:br w:type="textWrapping" w:clear="all"/>
            </w:r>
            <w:r>
              <w:rPr>
                <w:rFonts w:hint="eastAsia" w:ascii="Times New Roman" w:hAnsi="Times New Roman"/>
                <w:szCs w:val="21"/>
              </w:rPr>
              <w:t xml:space="preserve">1、日常监测：供应商应对互联网出口进行24小时监控，对网络流量和带宽的正常运行</w:t>
            </w:r>
            <w:r>
              <w:rPr>
                <w:rFonts w:hint="eastAsia" w:ascii="Times New Roman" w:hAnsi="Times New Roman"/>
                <w:szCs w:val="21"/>
              </w:rPr>
              <w:t xml:space="preserve">进行</w:t>
            </w:r>
            <w:r>
              <w:rPr>
                <w:rFonts w:hint="eastAsia" w:ascii="Times New Roman" w:hAnsi="Times New Roman"/>
                <w:szCs w:val="21"/>
              </w:rPr>
              <w:t xml:space="preserve">监控</w:t>
            </w:r>
            <w:r>
              <w:rPr>
                <w:rFonts w:hint="eastAsia" w:ascii="Times New Roman" w:hAnsi="Times New Roman"/>
                <w:szCs w:val="21"/>
              </w:rPr>
              <w:t xml:space="preserve">。同时，也应采用网络质量监控工具，对网络延迟、丢包率、访问速度等关键指标进行监测和分析，及时发现告警并解决问题。定期生成监控报表和统计数据。供应商应定期进行线路巡检，及时发现隐患，做好预防措施，减少线路故障。</w:t>
            </w:r>
            <w:r>
              <w:rPr>
                <w:rFonts w:hint="eastAsia" w:ascii="Times New Roman" w:hAnsi="Times New Roman"/>
                <w:szCs w:val="21"/>
              </w:rPr>
              <w:br w:type="textWrapping" w:clear="all"/>
            </w:r>
            <w:r>
              <w:rPr>
                <w:rFonts w:hint="eastAsia" w:ascii="Times New Roman" w:hAnsi="Times New Roman"/>
                <w:szCs w:val="21"/>
              </w:rPr>
              <w:t xml:space="preserve">2、故障处理：供应商应建立完备的故障处理流程，及时监测运行状态，及时响应用户报障，并对问题进行跟踪和解决。提供良好的服务体系和完善的投诉渠道，能够为采购人提供满意的服务。</w:t>
            </w:r>
            <w:r>
              <w:rPr>
                <w:rFonts w:hint="eastAsia" w:ascii="Times New Roman" w:hAnsi="Times New Roman"/>
                <w:szCs w:val="21"/>
              </w:rPr>
              <w:br w:type="textWrapping" w:clear="all"/>
            </w:r>
            <w:r>
              <w:rPr>
                <w:rFonts w:hint="eastAsia" w:ascii="Times New Roman" w:hAnsi="Times New Roman"/>
                <w:szCs w:val="21"/>
              </w:rPr>
              <w:t xml:space="preserve">3、工单配置：供应商应及时准确处理互联网映射等日常配置工单。落实审核机制，及时发现和纠正错误和不规范配置。</w:t>
            </w:r>
            <w:r>
              <w:rPr>
                <w:rFonts w:hint="eastAsia" w:ascii="Times New Roman" w:hAnsi="Times New Roman"/>
                <w:szCs w:val="21"/>
              </w:rPr>
              <w:br w:type="textWrapping" w:clear="all"/>
            </w:r>
            <w:r>
              <w:rPr>
                <w:rFonts w:hint="eastAsia" w:ascii="Times New Roman" w:hAnsi="Times New Roman"/>
                <w:szCs w:val="21"/>
              </w:rPr>
              <w:t xml:space="preserve">4、评估优化：供应商应定期评估网络架构合理性；对互联网出口的网络架构、带宽和路由等方面进行优化评估，提高网络性能和用户体验；及时发现和整改无效、冗余的配置。</w:t>
            </w:r>
            <w:r>
              <w:rPr>
                <w:rFonts w:hint="eastAsia" w:ascii="Times New Roman" w:hAnsi="Times New Roman"/>
                <w:szCs w:val="21"/>
              </w:rPr>
              <w:br w:type="textWrapping" w:clear="all"/>
            </w:r>
            <w:r>
              <w:rPr>
                <w:rFonts w:hint="eastAsia" w:ascii="Times New Roman" w:hAnsi="Times New Roman"/>
                <w:szCs w:val="21"/>
              </w:rPr>
              <w:t xml:space="preserve">5、协助互联网IP备案：供应商应协助互联网IP使用单位完成互联网IP备案咨询工作。</w:t>
            </w:r>
            <w:r>
              <w:rPr>
                <w:rFonts w:hint="eastAsia" w:ascii="Times New Roman" w:hAnsi="Times New Roman"/>
                <w:szCs w:val="21"/>
              </w:rPr>
              <w:br w:type="textWrapping" w:clear="all"/>
            </w:r>
            <w:r>
              <w:rPr>
                <w:rFonts w:hint="eastAsia" w:ascii="Times New Roman" w:hAnsi="Times New Roman"/>
                <w:szCs w:val="21"/>
              </w:rPr>
              <w:t xml:space="preserve">6、线路服务报告：供应商按季度提供线路服务报告，报告应包括各项线路服务技术指标、服务质量要求满足情况、线路故障及处理情况、线路巡查及客户服务情况方面的内容。</w:t>
            </w:r>
            <w:r>
              <w:rPr>
                <w:rFonts w:hint="eastAsia" w:ascii="Times New Roman" w:hAnsi="Times New Roman"/>
                <w:szCs w:val="21"/>
              </w:rPr>
            </w:r>
            <w:r/>
          </w:p>
          <w:p>
            <w:pPr>
              <w:pStyle w:val="881"/>
              <w:ind w:left="0" w:firstLine="0"/>
              <w:spacing w:after="0" w:line="264" w:lineRule="auto"/>
            </w:pPr>
            <w:r>
              <w:rPr>
                <w:rFonts w:hint="eastAsia" w:ascii="Times New Roman" w:hAnsi="Times New Roman"/>
                <w:szCs w:val="21"/>
              </w:rPr>
              <w:t xml:space="preserve">7、加强网络安全监测。通过实时网络监控分析网上数据流来监测非法入侵活动，并根据监测结果实时报警、响应，达到主动发现入侵活动、确保网络安全目的。</w:t>
            </w:r>
            <w:r/>
          </w:p>
        </w:tc>
      </w:tr>
      <w:tr>
        <w:trPr/>
        <w:tc>
          <w:tcPr>
            <w:tcW w:w="704" w:type="dxa"/>
            <w:vAlign w:val="center"/>
            <w:textDirection w:val="lrTb"/>
            <w:noWrap w:val="false"/>
          </w:tcPr>
          <w:p>
            <w:pPr>
              <w:pStyle w:val="869"/>
            </w:pPr>
            <w:r>
              <w:rPr>
                <w:rFonts w:hint="eastAsia"/>
              </w:rPr>
              <w:t xml:space="preserve">2</w:t>
            </w:r>
            <w:r/>
          </w:p>
        </w:tc>
        <w:tc>
          <w:tcPr>
            <w:tcW w:w="1701" w:type="dxa"/>
            <w:vAlign w:val="center"/>
            <w:textDirection w:val="lrTb"/>
            <w:noWrap w:val="false"/>
          </w:tcPr>
          <w:p>
            <w:pPr>
              <w:pStyle w:val="869"/>
            </w:pPr>
            <w:r>
              <w:rPr>
                <w:rFonts w:hint="eastAsia"/>
              </w:rPr>
              <w:t xml:space="preserve">非实质性条款</w:t>
            </w:r>
            <w:r/>
          </w:p>
        </w:tc>
        <w:tc>
          <w:tcPr>
            <w:tcW w:w="7234" w:type="dxa"/>
            <w:vAlign w:val="center"/>
            <w:textDirection w:val="lrTb"/>
            <w:noWrap w:val="false"/>
          </w:tcPr>
          <w:p>
            <w:pPr>
              <w:pStyle w:val="869"/>
            </w:pPr>
            <w:r/>
            <w:r/>
          </w:p>
        </w:tc>
      </w:tr>
    </w:tbl>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outlineLvl w:val="2"/>
      </w:pPr>
      <w:r>
        <w:rPr>
          <w:rFonts w:hint="eastAsia" w:ascii="宋体" w:hAnsi="宋体" w:cs="宋体"/>
          <w:sz w:val="24"/>
          <w:szCs w:val="24"/>
        </w:rPr>
        <w:t xml:space="preserve">★</w:t>
      </w:r>
      <w:r>
        <w:rPr>
          <w:rFonts w:hint="eastAsia" w:ascii="宋体" w:hAnsi="宋体" w:cs="宋体"/>
          <w:sz w:val="24"/>
          <w:szCs w:val="24"/>
        </w:rPr>
        <w:t xml:space="preserve">（二）商务要求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1.</w:t>
      </w:r>
      <w:r>
        <w:rPr>
          <w:rFonts w:hint="eastAsia" w:ascii="宋体" w:hAnsi="宋体" w:cs="宋体"/>
          <w:sz w:val="24"/>
          <w:szCs w:val="24"/>
        </w:rPr>
        <w:t xml:space="preserve">报价要求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报价应包含与本次采购项目有关的所有费用。包含但不限于人员、设备、安装 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供应商的任何错漏、优惠、竞争性报价不得作为减轻责任、减少服务、增加收费、降低服务质量的理由。</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供应商报价除包含采购文件中列明的项目外还应包括保障服务正常运行应当具有的物资和服务，对服务正常运行应当具有的物资和服务理解不一致的以采购单位理解为准。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14:ligatures w14:val="none"/>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r>
      <w:r>
        <w:rPr>
          <w:rFonts w:hint="eastAsia" w:ascii="宋体" w:hAnsi="宋体" w:cs="宋体"/>
          <w:sz w:val="24"/>
          <w:szCs w:val="24"/>
        </w:rPr>
        <w:t xml:space="preserve">2.实施要求</w:t>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（1）总体要求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供应商提供良好的服务体系和完善的投诉渠道提供统一的报障处理热线，负责收集、跟踪、处理、反馈采购人反映的各种问题，能够为采购人提供满意的服务。发生故障时，供应商接到采购人报障后，第一时间响应并及时解决网络故障。</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cs="宋体"/>
          <w:sz w:val="24"/>
          <w:szCs w:val="24"/>
        </w:rPr>
        <w:t xml:space="preserve">质量要求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服务期内，线路可用率不低于99.99%。</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）验收要求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线路开通后，供应商需提供线路竣工报告，采购人将组织履约验收，验收结果应以采购人或实际使用人（最终用户）的验收书为最终验收结果。验收时发现未完成安装部署、未进行调试等情况，采购人有权要求供应商立即整改，触发违约条款的按照违约条款处理。</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）维保要求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1）服</w:t>
      </w:r>
      <w:r>
        <w:rPr>
          <w:rFonts w:hint="eastAsia" w:ascii="宋体" w:hAnsi="宋体" w:cs="宋体"/>
          <w:sz w:val="24"/>
          <w:szCs w:val="24"/>
        </w:rPr>
        <w:t xml:space="preserve">务期内，对采购人提出的合理服务要求，供应商必须即时进行电话、邮件及远程网络支持，并在2小时内到场服务。如不到场，采购人有权自行处理，相关费用由供应商负责。</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2）供应商需提供定期回访服务，对采购人提出的合理优化建议应提供免费升级服务。</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3）所有的服务方式均为供应商上门保修，即由供应商派员到系统使用现场进行故障恢复，由此产生的一切费用均由供应商承担。</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）人员要求</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①</w:t>
      </w:r>
      <w:r>
        <w:rPr>
          <w:rFonts w:hint="eastAsia" w:ascii="宋体" w:hAnsi="宋体" w:cs="宋体"/>
          <w:sz w:val="24"/>
          <w:szCs w:val="24"/>
        </w:rPr>
        <w:t xml:space="preserve">项目经理：1人，具有至少</w:t>
      </w:r>
      <w:r>
        <w:rPr>
          <w:rFonts w:hint="eastAsia" w:ascii="宋体" w:hAnsi="宋体" w:cs="宋体"/>
          <w:sz w:val="24"/>
          <w:szCs w:val="24"/>
        </w:rPr>
        <w:t xml:space="preserve">3</w:t>
      </w:r>
      <w:r>
        <w:rPr>
          <w:rFonts w:hint="eastAsia" w:ascii="宋体" w:hAnsi="宋体" w:cs="宋体"/>
          <w:sz w:val="24"/>
          <w:szCs w:val="24"/>
        </w:rPr>
        <w:t xml:space="preserve">年以上通信线路</w:t>
      </w:r>
      <w:r>
        <w:rPr>
          <w:rFonts w:hint="eastAsia" w:ascii="宋体" w:hAnsi="宋体" w:cs="宋体"/>
          <w:sz w:val="24"/>
          <w:szCs w:val="24"/>
        </w:rPr>
        <w:t xml:space="preserve">建设或运维</w:t>
      </w:r>
      <w:r>
        <w:rPr>
          <w:rFonts w:hint="eastAsia" w:ascii="宋体" w:hAnsi="宋体" w:cs="宋体"/>
          <w:sz w:val="24"/>
          <w:szCs w:val="24"/>
        </w:rPr>
        <w:t xml:space="preserve">工作经验。 </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②</w:t>
      </w:r>
      <w:r>
        <w:rPr>
          <w:rFonts w:hint="eastAsia" w:ascii="宋体" w:hAnsi="宋体" w:cs="宋体"/>
          <w:sz w:val="24"/>
          <w:szCs w:val="24"/>
        </w:rPr>
        <w:t xml:space="preserve">技术负责人：1人，具有至少</w:t>
      </w:r>
      <w:r>
        <w:rPr>
          <w:rFonts w:hint="eastAsia" w:ascii="宋体" w:hAnsi="宋体" w:cs="宋体"/>
          <w:sz w:val="24"/>
          <w:szCs w:val="24"/>
        </w:rPr>
        <w:t xml:space="preserve">3</w:t>
      </w:r>
      <w:r>
        <w:rPr>
          <w:rFonts w:hint="eastAsia" w:ascii="宋体" w:hAnsi="宋体" w:cs="宋体"/>
          <w:sz w:val="24"/>
          <w:szCs w:val="24"/>
        </w:rPr>
        <w:t xml:space="preserve">年以上通信线路</w:t>
      </w:r>
      <w:r>
        <w:rPr>
          <w:rFonts w:hint="eastAsia" w:ascii="宋体" w:hAnsi="宋体" w:cs="宋体"/>
          <w:sz w:val="24"/>
          <w:szCs w:val="24"/>
        </w:rPr>
        <w:t xml:space="preserve">建设或运维</w:t>
      </w:r>
      <w:r>
        <w:rPr>
          <w:rFonts w:hint="eastAsia" w:ascii="宋体" w:hAnsi="宋体" w:cs="宋体"/>
          <w:sz w:val="24"/>
          <w:szCs w:val="24"/>
        </w:rPr>
        <w:t xml:space="preserve">工作经验。  </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③</w:t>
      </w:r>
      <w:r>
        <w:rPr>
          <w:rFonts w:hint="eastAsia" w:ascii="宋体" w:hAnsi="宋体" w:cs="宋体"/>
          <w:sz w:val="24"/>
          <w:szCs w:val="24"/>
        </w:rPr>
        <w:t xml:space="preserve">项目技术人员：不少于5人，具有通信线路</w:t>
      </w:r>
      <w:r>
        <w:rPr>
          <w:rFonts w:hint="eastAsia" w:ascii="宋体" w:hAnsi="宋体" w:cs="宋体"/>
          <w:sz w:val="24"/>
          <w:szCs w:val="24"/>
        </w:rPr>
        <w:t xml:space="preserve">建设或运维</w:t>
      </w:r>
      <w:r>
        <w:rPr>
          <w:rFonts w:hint="eastAsia" w:ascii="宋体" w:hAnsi="宋体" w:cs="宋体"/>
          <w:sz w:val="24"/>
          <w:szCs w:val="24"/>
        </w:rPr>
        <w:t xml:space="preserve">工作经验。 </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④项目组所有人员必须为供应商正式工作人员，未经采购人同意，人员不得更换。</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）知识产权及保密要求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以第三章合同文本</w:t>
      </w:r>
      <w:r>
        <w:rPr>
          <w:rFonts w:hint="eastAsia" w:ascii="宋体" w:hAnsi="宋体" w:cs="宋体"/>
          <w:sz w:val="24"/>
          <w:szCs w:val="24"/>
        </w:rPr>
        <w:t xml:space="preserve">要求</w:t>
      </w:r>
      <w:r>
        <w:rPr>
          <w:rFonts w:hint="eastAsia" w:ascii="宋体" w:hAnsi="宋体" w:cs="宋体"/>
          <w:sz w:val="24"/>
          <w:szCs w:val="24"/>
        </w:rPr>
        <w:t xml:space="preserve">为准。</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）建设成果要求</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供应商在项目建设的各个阶段及时提交建设成果，主要包括（但不限于）以下内容：</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①</w:t>
      </w:r>
      <w:r>
        <w:rPr>
          <w:rFonts w:hint="eastAsia" w:ascii="宋体" w:hAnsi="宋体" w:cs="宋体"/>
          <w:sz w:val="24"/>
          <w:szCs w:val="24"/>
        </w:rPr>
        <w:t xml:space="preserve">项目启动阶段：项目工作说明书报告和项目绩效考核目标报告。 </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②</w:t>
      </w:r>
      <w:r>
        <w:rPr>
          <w:rFonts w:hint="eastAsia" w:ascii="宋体" w:hAnsi="宋体" w:cs="宋体"/>
          <w:sz w:val="24"/>
          <w:szCs w:val="24"/>
        </w:rPr>
        <w:t xml:space="preserve">项目中期阶段：项目阶段性绩效报告。</w:t>
      </w:r>
      <w:r>
        <w:rPr>
          <w:rFonts w:hint="eastAsia" w:ascii="宋体" w:hAnsi="宋体" w:cs="宋体"/>
          <w:sz w:val="24"/>
          <w:szCs w:val="24"/>
        </w:rPr>
      </w:r>
      <w:r/>
    </w:p>
    <w:p>
      <w:pPr>
        <w:ind w:firstLine="480"/>
        <w:spacing w:line="264" w:lineRule="auto"/>
        <w:widowControl/>
        <w:rPr>
          <w:rFonts w:hint="eastAsia" w:ascii="宋体" w:hAnsi="宋体" w:cs="宋体"/>
          <w14:ligatures w14:val="none"/>
        </w:rPr>
      </w:pPr>
      <w:r>
        <w:rPr>
          <w:rFonts w:hint="eastAsia" w:ascii="宋体" w:hAnsi="宋体" w:cs="宋体"/>
          <w:sz w:val="24"/>
          <w:szCs w:val="24"/>
        </w:rPr>
        <w:t xml:space="preserve">③</w:t>
      </w:r>
      <w:r>
        <w:rPr>
          <w:rFonts w:hint="eastAsia" w:ascii="宋体" w:hAnsi="宋体" w:cs="宋体"/>
          <w:sz w:val="24"/>
          <w:szCs w:val="24"/>
        </w:rPr>
        <w:t xml:space="preserve">服务周期结束后：项目年度服务绩效报告。 </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④运行维护阶段：线路运维</w:t>
      </w:r>
      <w:r>
        <w:rPr>
          <w:rFonts w:hint="eastAsia" w:ascii="宋体" w:hAnsi="宋体" w:cs="宋体"/>
          <w:sz w:val="24"/>
          <w:szCs w:val="24"/>
        </w:rPr>
        <w:t xml:space="preserve">服务</w:t>
      </w:r>
      <w:r>
        <w:rPr>
          <w:rFonts w:hint="eastAsia" w:ascii="宋体" w:hAnsi="宋体" w:cs="宋体"/>
          <w:sz w:val="24"/>
          <w:szCs w:val="24"/>
        </w:rPr>
        <w:t xml:space="preserve">方案、运行维护及</w:t>
      </w:r>
      <w:r>
        <w:rPr>
          <w:rFonts w:hint="eastAsia" w:ascii="宋体" w:hAnsi="宋体" w:cs="宋体"/>
          <w:sz w:val="24"/>
          <w:szCs w:val="24"/>
        </w:rPr>
        <w:t xml:space="preserve">巡检</w:t>
      </w:r>
      <w:r>
        <w:rPr>
          <w:rFonts w:hint="eastAsia" w:ascii="宋体" w:hAnsi="宋体" w:cs="宋体"/>
          <w:sz w:val="24"/>
          <w:szCs w:val="24"/>
        </w:rPr>
        <w:t xml:space="preserve">记录。</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3.</w:t>
      </w:r>
      <w:r>
        <w:rPr>
          <w:rFonts w:hint="eastAsia" w:ascii="宋体" w:hAnsi="宋体" w:cs="宋体"/>
          <w:sz w:val="24"/>
          <w:szCs w:val="24"/>
        </w:rPr>
        <w:t xml:space="preserve">付款条件</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以第三章合同文本</w:t>
      </w:r>
      <w:r>
        <w:rPr>
          <w:rFonts w:hint="eastAsia" w:ascii="宋体" w:hAnsi="宋体" w:cs="宋体"/>
          <w:sz w:val="24"/>
          <w:szCs w:val="24"/>
        </w:rPr>
        <w:t xml:space="preserve">内容</w:t>
      </w:r>
      <w:r>
        <w:rPr>
          <w:rFonts w:hint="eastAsia" w:ascii="宋体" w:hAnsi="宋体" w:cs="宋体"/>
          <w:sz w:val="24"/>
          <w:szCs w:val="24"/>
        </w:rPr>
        <w:t xml:space="preserve">为准。</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4.</w:t>
      </w:r>
      <w:r>
        <w:rPr>
          <w:rFonts w:hint="eastAsia" w:ascii="宋体" w:hAnsi="宋体" w:cs="宋体"/>
          <w:sz w:val="24"/>
          <w:szCs w:val="24"/>
        </w:rPr>
        <w:t xml:space="preserve">交付时间及地点</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（1）交付时间：合同签订后</w:t>
      </w:r>
      <w:r>
        <w:rPr>
          <w:rFonts w:hint="eastAsia" w:ascii="宋体" w:hAnsi="宋体" w:cs="宋体"/>
          <w:sz w:val="24"/>
          <w:szCs w:val="24"/>
        </w:rPr>
        <w:t xml:space="preserve">10个</w:t>
      </w:r>
      <w:r>
        <w:rPr>
          <w:rFonts w:hint="eastAsia" w:ascii="宋体" w:hAnsi="宋体" w:cs="宋体"/>
          <w:sz w:val="24"/>
          <w:szCs w:val="24"/>
        </w:rPr>
        <w:t xml:space="preserve">自然日</w:t>
      </w:r>
      <w:r>
        <w:rPr>
          <w:rFonts w:hint="eastAsia" w:ascii="宋体" w:hAnsi="宋体" w:cs="宋体"/>
          <w:sz w:val="24"/>
          <w:szCs w:val="24"/>
        </w:rPr>
        <w:t xml:space="preserve">内</w:t>
      </w:r>
      <w:r>
        <w:rPr>
          <w:rFonts w:hint="eastAsia" w:ascii="宋体" w:hAnsi="宋体" w:cs="宋体"/>
          <w:sz w:val="24"/>
          <w:szCs w:val="24"/>
        </w:rPr>
        <w:t xml:space="preserve">完成项目交付。</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服务周期</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年（线路部署完毕、满足交付条件并提供服务后开始计算）。</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5.履约保证金</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以第三章合同文本</w:t>
      </w:r>
      <w:r>
        <w:rPr>
          <w:rFonts w:hint="eastAsia" w:ascii="宋体" w:hAnsi="宋体" w:cs="宋体"/>
          <w:sz w:val="24"/>
          <w:szCs w:val="24"/>
        </w:rPr>
        <w:t xml:space="preserve">内容</w:t>
      </w:r>
      <w:r>
        <w:rPr>
          <w:rFonts w:hint="eastAsia" w:ascii="宋体" w:hAnsi="宋体" w:cs="宋体"/>
          <w:sz w:val="24"/>
          <w:szCs w:val="24"/>
        </w:rPr>
        <w:t xml:space="preserve">为准。</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r>
      <w:bookmarkStart w:id="21" w:name="OLE_LINK1"/>
      <w:r>
        <w:rPr>
          <w:rFonts w:hint="eastAsia" w:ascii="宋体" w:hAnsi="宋体" w:cs="宋体"/>
          <w:sz w:val="24"/>
          <w:szCs w:val="24"/>
        </w:rPr>
        <w:t xml:space="preserve">6.其他要求</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r>
      <w:bookmarkEnd w:id="21"/>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ind w:firstLine="480"/>
        <w:spacing w:line="264" w:lineRule="auto"/>
        <w:widowControl/>
        <w:rPr>
          <w:rFonts w:hint="eastAsia" w:ascii="宋体" w:hAnsi="宋体" w:cs="宋体"/>
          <w:sz w:val="24"/>
          <w:szCs w:val="24"/>
          <w14:ligatures w14:val="none"/>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869"/>
        <w:rPr>
          <w:rFonts w:hint="eastAsia"/>
        </w:rPr>
      </w:pPr>
      <w:r>
        <w:rPr>
          <w:rFonts w:hint="eastAsia"/>
        </w:rPr>
      </w:r>
      <w:r/>
    </w:p>
    <w:p>
      <w:pPr>
        <w:pStyle w:val="942"/>
        <w:rPr>
          <w:rFonts w:hint="eastAsia"/>
        </w:rPr>
      </w:pPr>
      <w:r>
        <w:rPr>
          <w:rFonts w:hint="eastAsia"/>
        </w:rPr>
      </w:r>
      <w:r/>
    </w:p>
    <w:p>
      <w:pPr>
        <w:pStyle w:val="950"/>
        <w:ind w:left="0"/>
        <w:rPr>
          <w:rFonts w:hint="eastAsia"/>
          <w:lang w:val="en-US"/>
        </w:rPr>
      </w:pPr>
      <w:r>
        <w:rPr>
          <w:rFonts w:hint="eastAsia"/>
          <w:lang w:val="en-US"/>
        </w:rPr>
      </w:r>
      <w:r/>
    </w:p>
    <w:p>
      <w:pPr>
        <w:pStyle w:val="869"/>
        <w:rPr>
          <w:rFonts w:hint="eastAsia"/>
        </w:rPr>
      </w:pPr>
      <w:r>
        <w:rPr>
          <w:rFonts w:hint="eastAsia"/>
        </w:rPr>
      </w:r>
      <w:r/>
    </w:p>
    <w:p>
      <w:pPr>
        <w:pStyle w:val="950"/>
        <w:rPr>
          <w:rFonts w:hint="eastAsia"/>
          <w:lang w:val="en-US"/>
        </w:rPr>
      </w:pPr>
      <w:r>
        <w:rPr>
          <w:rFonts w:hint="eastAsia"/>
          <w:lang w:val="en-US"/>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成交候选供应商，并编写评审报告。评审得分相同的，按照最后报价由低到高的顺序推荐。评审得分且最后报价相同的，按照“三、评审标准中2.技术”得分由高到低顺序推荐。</w:t>
      </w:r>
      <w:r>
        <w:rPr>
          <w:rFonts w:hint="eastAsia" w:ascii="宋体" w:hAnsi="宋体" w:cs="宋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869"/>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spacing w:line="264" w:lineRule="auto"/>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三、</w:t>
      </w:r>
      <w:r>
        <w:rPr>
          <w:rFonts w:hint="eastAsia" w:ascii="黑体" w:hAnsi="黑体" w:eastAsia="黑体" w:cs="黑体"/>
          <w:sz w:val="24"/>
          <w:szCs w:val="24"/>
        </w:rPr>
        <w:t xml:space="preserve">评审标准</w:t>
      </w:r>
      <w:r>
        <w:rPr>
          <w:rFonts w:hint="eastAsia" w:ascii="黑体" w:hAnsi="黑体" w:eastAsia="黑体" w:cs="黑体"/>
          <w:color w:val="0000ff"/>
          <w:sz w:val="24"/>
          <w:szCs w:val="24"/>
        </w:rPr>
      </w:r>
      <w:r/>
    </w:p>
    <w:tbl>
      <w:tblPr>
        <w:tblW w:w="9748" w:type="dxa"/>
        <w:jc w:val="center"/>
        <w:tblInd w:w="-1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2"/>
        <w:gridCol w:w="1179"/>
        <w:gridCol w:w="6330"/>
        <w:gridCol w:w="647"/>
        <w:gridCol w:w="900"/>
      </w:tblGrid>
      <w:tr>
        <w:trPr>
          <w:trHeight w:val="501"/>
          <w:tblHeader/>
        </w:trPr>
        <w:tc>
          <w:tcPr>
            <w:tcW w:w="692"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748"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692"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748"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315"/>
        </w:trPr>
        <w:tc>
          <w:tcPr>
            <w:tcW w:w="692"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1</w:t>
            </w:r>
            <w:r>
              <w:rPr>
                <w:rFonts w:hint="eastAsia"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需求理解</w:t>
            </w:r>
            <w:r>
              <w:rPr>
                <w:rFonts w:hint="eastAsia"/>
              </w:rPr>
            </w:r>
            <w:r/>
          </w:p>
        </w:tc>
        <w:tc>
          <w:tcPr>
            <w:tcW w:w="6330" w:type="dxa"/>
            <w:vAlign w:val="center"/>
            <w:textDirection w:val="lrTb"/>
            <w:noWrap w:val="false"/>
          </w:tcPr>
          <w:p>
            <w:pPr>
              <w:pStyle w:val="869"/>
              <w:spacing w:line="264" w:lineRule="auto"/>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提供的需求理解材料</w:t>
            </w:r>
            <w:r>
              <w:rPr>
                <w:rFonts w:hint="eastAsia" w:ascii="宋体" w:hAnsi="宋体" w:cs="宋体"/>
              </w:rPr>
              <w:t xml:space="preserve">综合评分，</w:t>
            </w:r>
            <w:r>
              <w:rPr>
                <w:rFonts w:ascii="宋体" w:hAnsi="宋体" w:cs="宋体"/>
              </w:rPr>
              <w:t xml:space="preserve">包括</w:t>
            </w:r>
            <w:r>
              <w:rPr>
                <w:rFonts w:hint="eastAsia" w:ascii="宋体" w:hAnsi="宋体" w:cs="宋体"/>
              </w:rPr>
              <w:t xml:space="preserve">：1.项目背景；2.</w:t>
            </w:r>
            <w:r>
              <w:rPr>
                <w:rFonts w:ascii="宋体" w:hAnsi="宋体" w:cs="宋体"/>
              </w:rPr>
              <w:t xml:space="preserve">建设目标</w:t>
            </w:r>
            <w:r>
              <w:rPr>
                <w:rFonts w:hint="eastAsia" w:ascii="宋体" w:hAnsi="宋体" w:cs="宋体"/>
              </w:rPr>
              <w:t xml:space="preserve">分析</w:t>
            </w:r>
            <w:r>
              <w:rPr>
                <w:rFonts w:hint="eastAsia" w:ascii="宋体" w:hAnsi="宋体" w:cs="宋体"/>
                <w:lang w:eastAsia="zh-CN"/>
              </w:rPr>
              <w:t xml:space="preserve">、</w:t>
            </w:r>
            <w:r>
              <w:rPr>
                <w:rFonts w:ascii="宋体" w:hAnsi="宋体" w:cs="宋体"/>
              </w:rPr>
              <w:t xml:space="preserve">建设依据</w:t>
            </w:r>
            <w:r>
              <w:rPr>
                <w:rFonts w:hint="eastAsia" w:ascii="宋体" w:hAnsi="宋体" w:cs="宋体"/>
                <w:lang w:eastAsia="zh-CN"/>
              </w:rPr>
              <w:t xml:space="preserve">；3</w:t>
            </w:r>
            <w:r>
              <w:rPr>
                <w:rFonts w:hint="eastAsia" w:ascii="宋体" w:hAnsi="宋体" w:cs="宋体"/>
                <w:lang w:val="en-US" w:eastAsia="zh-CN"/>
              </w:rPr>
              <w:t xml:space="preserve">.</w:t>
            </w:r>
            <w:r>
              <w:rPr>
                <w:rFonts w:ascii="宋体" w:hAnsi="宋体" w:cs="宋体"/>
              </w:rPr>
              <w:t xml:space="preserve">必要性</w:t>
            </w:r>
            <w:r>
              <w:rPr>
                <w:rFonts w:hint="eastAsia" w:ascii="宋体" w:hAnsi="宋体" w:cs="宋体"/>
              </w:rPr>
              <w:t xml:space="preserve">分析</w:t>
            </w:r>
            <w:r>
              <w:rPr>
                <w:rFonts w:hint="eastAsia" w:ascii="宋体" w:hAnsi="宋体" w:cs="宋体"/>
              </w:rPr>
              <w:t xml:space="preserve">、</w:t>
            </w:r>
            <w:r>
              <w:rPr>
                <w:rFonts w:ascii="宋体" w:hAnsi="宋体" w:cs="宋体"/>
              </w:rPr>
              <w:t xml:space="preserve">重点难点</w:t>
            </w:r>
            <w:r>
              <w:rPr>
                <w:rFonts w:hint="eastAsia" w:ascii="宋体" w:hAnsi="宋体" w:cs="宋体"/>
              </w:rPr>
              <w:t xml:space="preserve">分析。</w:t>
            </w:r>
            <w:r>
              <w:rPr>
                <w:rFonts w:hint="eastAsia" w:ascii="宋体" w:hAnsi="宋体" w:cs="宋体"/>
                <w:szCs w:val="21"/>
              </w:rPr>
              <w:t xml:space="preserve">以上每项内容逐条阐述。</w:t>
            </w:r>
            <w:r>
              <w:rPr>
                <w:rFonts w:ascii="宋体" w:hAnsi="宋体" w:cs="宋体"/>
              </w:rPr>
            </w:r>
            <w:r/>
          </w:p>
          <w:p>
            <w:pPr>
              <w:pStyle w:val="869"/>
              <w:spacing w:line="264" w:lineRule="auto"/>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完整深刻、针对性强、紧贴采购需求的，得</w:t>
            </w:r>
            <w:r>
              <w:rPr>
                <w:rFonts w:hint="eastAsia" w:ascii="宋体" w:hAnsi="宋体" w:cs="宋体"/>
                <w:lang w:val="en-US" w:eastAsia="zh-CN"/>
              </w:rPr>
              <w:t xml:space="preserve">3</w:t>
            </w:r>
            <w:r>
              <w:rPr>
                <w:rFonts w:ascii="宋体" w:hAnsi="宋体" w:cs="宋体"/>
              </w:rPr>
              <w:t xml:space="preserve">分； </w:t>
            </w:r>
            <w:r>
              <w:rPr>
                <w:rFonts w:ascii="宋体" w:hAnsi="宋体" w:cs="宋体"/>
              </w:rPr>
            </w:r>
            <w:r/>
          </w:p>
          <w:p>
            <w:pPr>
              <w:pStyle w:val="869"/>
              <w:spacing w:line="264" w:lineRule="auto"/>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较为完整深刻、针对性较强、能够满足采购需求的，得 </w:t>
            </w:r>
            <w:r>
              <w:rPr>
                <w:rFonts w:hint="eastAsia" w:ascii="宋体" w:hAnsi="宋体" w:cs="宋体"/>
                <w:lang w:val="en-US" w:eastAsia="zh-CN"/>
              </w:rPr>
              <w:t xml:space="preserve">2</w:t>
            </w:r>
            <w:r>
              <w:rPr>
                <w:rFonts w:ascii="宋体" w:hAnsi="宋体" w:cs="宋体"/>
              </w:rPr>
              <w:t xml:space="preserve">分； </w:t>
            </w:r>
            <w:r>
              <w:rPr>
                <w:rFonts w:ascii="宋体" w:hAnsi="宋体" w:cs="宋体"/>
              </w:rPr>
            </w:r>
            <w:r/>
          </w:p>
          <w:p>
            <w:pPr>
              <w:pStyle w:val="869"/>
              <w:spacing w:line="264" w:lineRule="auto"/>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基本完整、具有一定针对性、基本符合采购需求的，得 </w:t>
            </w:r>
            <w:r>
              <w:rPr>
                <w:rFonts w:hint="eastAsia" w:ascii="宋体" w:hAnsi="宋体" w:cs="宋体"/>
                <w:lang w:val="en-US" w:eastAsia="zh-CN"/>
              </w:rPr>
              <w:t xml:space="preserve">1</w:t>
            </w:r>
            <w:r>
              <w:rPr>
                <w:rFonts w:ascii="宋体" w:hAnsi="宋体" w:cs="宋体"/>
              </w:rPr>
              <w:t xml:space="preserve">分； </w:t>
            </w:r>
            <w:r>
              <w:rPr>
                <w:rFonts w:ascii="宋体" w:hAnsi="宋体" w:cs="宋体"/>
              </w:rPr>
            </w:r>
            <w:r/>
          </w:p>
          <w:p>
            <w:pPr>
              <w:pStyle w:val="869"/>
              <w:spacing w:line="264" w:lineRule="auto"/>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不符合采购需求或未提供需求理解材料的不得分。</w:t>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9</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692"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rPr>
              <w:t xml:space="preserve">2.2</w:t>
            </w:r>
            <w:r>
              <w:rPr>
                <w:rFonts w:hint="eastAsia" w:ascii="宋体" w:hAnsi="宋体" w:cs="宋体"/>
                <w:spacing w:val="-2"/>
                <w:szCs w:val="21"/>
              </w:rPr>
            </w:r>
            <w:r/>
          </w:p>
        </w:tc>
        <w:tc>
          <w:tcPr>
            <w:tcW w:w="1179" w:type="dxa"/>
            <w:vAlign w:val="center"/>
            <w:textDirection w:val="lrTb"/>
            <w:noWrap w:val="false"/>
          </w:tcPr>
          <w:p>
            <w:pPr>
              <w:pStyle w:val="869"/>
              <w:spacing w:line="264" w:lineRule="auto"/>
              <w:rPr>
                <w:rFonts w:hint="eastAsia"/>
              </w:rPr>
            </w:pPr>
            <w:r>
              <w:rPr>
                <w:rFonts w:hint="eastAsia"/>
              </w:rPr>
              <w:t xml:space="preserve">总体技术方案</w:t>
            </w:r>
            <w:r>
              <w:rPr>
                <w:rFonts w:hint="eastAsia"/>
              </w:rPr>
            </w:r>
            <w:r/>
          </w:p>
        </w:tc>
        <w:tc>
          <w:tcPr>
            <w:tcW w:w="6330" w:type="dxa"/>
            <w:vAlign w:val="center"/>
            <w:textDirection w:val="lrTb"/>
            <w:noWrap w:val="false"/>
          </w:tcPr>
          <w:p>
            <w:pPr>
              <w:pStyle w:val="869"/>
              <w:jc w:val="left"/>
              <w:spacing w:line="264" w:lineRule="auto"/>
              <w:rPr>
                <w:rFonts w:hint="eastAsia"/>
              </w:rPr>
            </w:pPr>
            <w:r>
              <w:rPr>
                <w:rFonts w:hint="eastAsia"/>
              </w:rPr>
              <w:t xml:space="preserve">评委根据供应商提供的项目总体技术方案</w:t>
            </w:r>
            <w:r>
              <w:rPr>
                <w:rFonts w:hint="eastAsia" w:ascii="宋体" w:hAnsi="宋体" w:cs="宋体"/>
              </w:rPr>
              <w:t xml:space="preserve">综合评分，包括：</w:t>
            </w:r>
            <w:r>
              <w:rPr>
                <w:rFonts w:ascii="宋体" w:hAnsi="宋体" w:cs="宋体"/>
              </w:rPr>
              <w:t xml:space="preserve">1.</w:t>
            </w:r>
            <w:r>
              <w:rPr>
                <w:rFonts w:hint="eastAsia" w:ascii="宋体" w:hAnsi="宋体" w:cs="宋体"/>
              </w:rPr>
              <w:t xml:space="preserve">组网架构；</w:t>
            </w:r>
            <w:r>
              <w:rPr>
                <w:rFonts w:ascii="宋体" w:hAnsi="宋体" w:cs="宋体"/>
              </w:rPr>
              <w:t xml:space="preserve">2.</w:t>
            </w:r>
            <w:r>
              <w:rPr>
                <w:rFonts w:hint="eastAsia" w:ascii="宋体" w:hAnsi="宋体" w:cs="宋体"/>
              </w:rPr>
              <w:t xml:space="preserve">技术路线；</w:t>
            </w:r>
            <w:r>
              <w:rPr>
                <w:rFonts w:ascii="宋体" w:hAnsi="宋体" w:cs="宋体"/>
              </w:rPr>
              <w:t xml:space="preserve">3.</w:t>
            </w:r>
            <w:r>
              <w:rPr>
                <w:rFonts w:hint="eastAsia" w:ascii="宋体" w:hAnsi="宋体" w:cs="宋体"/>
              </w:rPr>
              <w:t xml:space="preserve">施工组织安排；</w:t>
            </w:r>
            <w:r>
              <w:rPr>
                <w:rFonts w:ascii="宋体" w:hAnsi="宋体" w:cs="宋体"/>
              </w:rPr>
              <w:t xml:space="preserve">4.</w:t>
            </w:r>
            <w:r>
              <w:rPr>
                <w:rFonts w:hint="eastAsia" w:ascii="宋体" w:hAnsi="宋体" w:cs="宋体"/>
              </w:rPr>
              <w:t xml:space="preserve">安全防护。</w:t>
            </w:r>
            <w:r>
              <w:rPr>
                <w:rFonts w:hint="eastAsia" w:ascii="宋体" w:hAnsi="宋体" w:cs="宋体"/>
                <w:szCs w:val="21"/>
              </w:rPr>
              <w:t xml:space="preserve">以上每项内容逐条阐述。</w:t>
            </w:r>
            <w:r>
              <w:rPr>
                <w:rFonts w:hint="eastAsia"/>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设计思路科学、前瞻性、技术先进可行</w:t>
            </w:r>
            <w:r>
              <w:rPr>
                <w:rFonts w:hint="eastAsia" w:ascii="宋体" w:hAnsi="宋体" w:cs="宋体"/>
              </w:rPr>
              <w:t xml:space="preserve">、</w:t>
            </w:r>
            <w:r>
              <w:rPr>
                <w:rFonts w:ascii="宋体" w:hAnsi="宋体" w:cs="宋体"/>
              </w:rPr>
              <w:t xml:space="preserve">紧贴采购需求的，得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设计思路较科学、前瞻性、技术较先进可行、能够满足采购需求的，得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设计思路基本满足采购需求、具有一定可行性的，得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869"/>
              <w:jc w:val="left"/>
              <w:spacing w:line="264" w:lineRule="auto"/>
              <w:widowControl/>
              <w:rPr>
                <w:rFonts w:hint="eastAsia"/>
              </w:rPr>
            </w:pPr>
            <w:r>
              <w:rPr>
                <w:rFonts w:ascii="宋体" w:hAnsi="宋体" w:cs="宋体"/>
              </w:rPr>
              <w:t xml:space="preserve">（4）</w:t>
            </w:r>
            <w:r>
              <w:rPr>
                <w:rFonts w:hint="eastAsia" w:ascii="宋体" w:hAnsi="宋体" w:cs="宋体"/>
              </w:rPr>
              <w:t xml:space="preserve">以上每项内容</w:t>
            </w:r>
            <w:r>
              <w:rPr>
                <w:rFonts w:ascii="宋体" w:hAnsi="宋体" w:cs="宋体"/>
              </w:rPr>
              <w:t xml:space="preserve">设计思路不能满足采购需求或未提供方案的不得分。</w:t>
            </w:r>
            <w:r>
              <w:rPr>
                <w:rFonts w:hint="eastAsia"/>
              </w:rPr>
            </w:r>
            <w:r/>
          </w:p>
        </w:tc>
        <w:tc>
          <w:tcPr>
            <w:tcW w:w="647"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rPr>
              <w:t xml:space="preserve">8</w:t>
            </w:r>
            <w:r>
              <w:rPr>
                <w:rFonts w:hint="eastAsia" w:ascii="宋体" w:hAnsi="宋体" w:cs="宋体"/>
                <w:szCs w:val="21"/>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4"/>
              </w:rPr>
              <w:t xml:space="preserve">主观分</w:t>
            </w:r>
            <w:r>
              <w:rPr>
                <w:rFonts w:hint="eastAsia" w:ascii="宋体" w:hAnsi="宋体" w:cs="宋体"/>
                <w:szCs w:val="21"/>
              </w:rPr>
            </w:r>
            <w:r/>
          </w:p>
        </w:tc>
      </w:tr>
      <w:tr>
        <w:trPr>
          <w:trHeight w:val="889"/>
        </w:trPr>
        <w:tc>
          <w:tcPr>
            <w:tcW w:w="692" w:type="dxa"/>
            <w:vAlign w:val="center"/>
            <w:textDirection w:val="lrTb"/>
            <w:noWrap w:val="false"/>
          </w:tcPr>
          <w:p>
            <w:pPr>
              <w:pStyle w:val="869"/>
              <w:jc w:val="center"/>
              <w:spacing w:line="264" w:lineRule="auto"/>
              <w:rPr>
                <w:rFonts w:ascii="宋体" w:hAnsi="宋体" w:cs="宋体"/>
                <w:szCs w:val="21"/>
              </w:rPr>
            </w:pPr>
            <w:r>
              <w:rPr>
                <w:rFonts w:hint="eastAsia" w:ascii="宋体" w:hAnsi="宋体" w:cs="宋体"/>
              </w:rPr>
              <w:t xml:space="preserve">2.3</w:t>
            </w:r>
            <w:r>
              <w:rPr>
                <w:rFonts w:ascii="宋体" w:hAnsi="宋体" w:cs="宋体"/>
                <w:szCs w:val="21"/>
              </w:rPr>
            </w:r>
            <w:r/>
          </w:p>
        </w:tc>
        <w:tc>
          <w:tcPr>
            <w:tcW w:w="1179" w:type="dxa"/>
            <w:vAlign w:val="center"/>
            <w:textDirection w:val="lrTb"/>
            <w:noWrap w:val="false"/>
          </w:tcPr>
          <w:p>
            <w:pPr>
              <w:pStyle w:val="869"/>
              <w:spacing w:line="264" w:lineRule="auto"/>
              <w:rPr>
                <w:rFonts w:hint="eastAsia"/>
              </w:rPr>
            </w:pPr>
            <w:r>
              <w:rPr>
                <w:rFonts w:hint="eastAsia"/>
              </w:rPr>
              <w:t xml:space="preserve">项目实施方案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hint="eastAsia"/>
              </w:rPr>
              <w:t xml:space="preserve">评委根据供应商提供的项目实施方案</w:t>
            </w:r>
            <w:r>
              <w:rPr>
                <w:rFonts w:hint="eastAsia" w:ascii="宋体" w:hAnsi="宋体" w:cs="宋体"/>
              </w:rPr>
              <w:t xml:space="preserve">综合评分</w:t>
            </w:r>
            <w:r>
              <w:rPr>
                <w:rFonts w:hint="eastAsia" w:ascii="宋体" w:hAnsi="宋体" w:cs="宋体"/>
                <w:szCs w:val="21"/>
              </w:rPr>
              <w:t xml:space="preserve">，</w:t>
            </w:r>
            <w:r>
              <w:rPr>
                <w:rFonts w:hint="eastAsia" w:ascii="宋体" w:hAnsi="宋体" w:cs="宋体"/>
              </w:rPr>
              <w:t xml:space="preserve">包括：</w:t>
            </w:r>
            <w:r>
              <w:rPr>
                <w:rFonts w:ascii="宋体" w:hAnsi="宋体" w:cs="宋体"/>
              </w:rPr>
              <w:t xml:space="preserve">1.</w:t>
            </w:r>
            <w:r>
              <w:rPr>
                <w:rFonts w:hint="eastAsia" w:ascii="宋体" w:hAnsi="宋体" w:cs="微软雅黑"/>
              </w:rPr>
              <w:t xml:space="preserve">实施方案；2.割接方案；3.租赁线路与采购人相关设备的对接方案；4.相关软硬件设备配备。</w:t>
            </w:r>
            <w:r>
              <w:rPr>
                <w:rFonts w:hint="eastAsia" w:ascii="宋体" w:hAnsi="宋体" w:cs="宋体"/>
                <w:szCs w:val="21"/>
              </w:rPr>
              <w:t xml:space="preserve">以上每项内容逐条阐述。</w:t>
            </w:r>
            <w:r>
              <w:rPr>
                <w:rFonts w:ascii="宋体" w:hAnsi="宋体" w:cs="宋体"/>
              </w:rPr>
              <w:t xml:space="preserve">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完整深刻、可行性强、紧贴采购需求的，得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较为完整深刻、可行性较强、能够满足采购需求的，得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基本完整、具有一定可行性、基本符合采购需求的，得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869"/>
              <w:jc w:val="left"/>
              <w:spacing w:line="264" w:lineRule="auto"/>
              <w:widowControl/>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不合理可行或未提供方案的不得分。</w:t>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4"/>
              </w:rPr>
              <w:t xml:space="preserve">主观分</w:t>
            </w:r>
            <w:r>
              <w:rPr>
                <w:rFonts w:ascii="宋体" w:hAnsi="宋体" w:cs="宋体"/>
                <w:spacing w:val="-6"/>
              </w:rPr>
            </w:r>
            <w:r/>
          </w:p>
        </w:tc>
      </w:tr>
      <w:tr>
        <w:trPr>
          <w:trHeight w:val="889"/>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项目管理方案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hint="eastAsia" w:ascii="宋体" w:hAnsi="宋体" w:cs="宋体"/>
              </w:rPr>
              <w:t xml:space="preserve">评委根据供应商提供的系统对接方案综合评分</w:t>
            </w:r>
            <w:r>
              <w:rPr>
                <w:rFonts w:hint="eastAsia" w:ascii="宋体" w:hAnsi="宋体" w:cs="宋体"/>
                <w:szCs w:val="21"/>
              </w:rPr>
              <w:t xml:space="preserve">，</w:t>
            </w:r>
            <w:r>
              <w:rPr>
                <w:rFonts w:hint="eastAsia" w:ascii="宋体" w:hAnsi="宋体" w:cs="宋体"/>
              </w:rPr>
              <w:t xml:space="preserve">包括1.</w:t>
            </w:r>
            <w:r>
              <w:rPr>
                <w:rFonts w:hint="eastAsia" w:ascii="宋体" w:hAnsi="宋体" w:cs="微软雅黑"/>
              </w:rPr>
              <w:t xml:space="preserve">项目进度管理；2.质量管理环节；3</w:t>
            </w:r>
            <w:r>
              <w:rPr>
                <w:rFonts w:hint="eastAsia" w:ascii="宋体" w:hAnsi="宋体" w:cs="微软雅黑"/>
                <w:lang w:val="en-US" w:eastAsia="zh-CN"/>
              </w:rPr>
              <w:t xml:space="preserve">.</w:t>
            </w:r>
            <w:r>
              <w:rPr>
                <w:rFonts w:hint="eastAsia" w:ascii="宋体" w:hAnsi="宋体" w:cs="微软雅黑"/>
              </w:rPr>
              <w:t xml:space="preserve">管理人员配备。</w:t>
            </w:r>
            <w:r>
              <w:rPr>
                <w:rFonts w:hint="eastAsia" w:ascii="宋体" w:hAnsi="宋体" w:cs="宋体"/>
                <w:szCs w:val="21"/>
              </w:rPr>
              <w:t xml:space="preserve">以上每项内容逐条阐述。</w:t>
            </w:r>
            <w:r>
              <w:rPr>
                <w:rFonts w:ascii="宋体" w:hAnsi="宋体" w:cs="宋体"/>
              </w:rPr>
              <w:t xml:space="preserve">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紧贴采购需求、详尽合理、针对性强、技术先进可行的，得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满足采购需求、较为详尽合理、针对性较强、技术较先进可行的，得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基本符合采购需求、基本详尽合理、具有一定的针对性、基本可行的，得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（4）</w:t>
            </w:r>
            <w:r>
              <w:rPr>
                <w:rFonts w:hint="eastAsia" w:ascii="宋体" w:hAnsi="宋体" w:cs="宋体"/>
              </w:rPr>
              <w:t xml:space="preserve">以上每项内容</w:t>
            </w:r>
            <w:r>
              <w:rPr>
                <w:rFonts w:ascii="宋体" w:hAnsi="宋体" w:cs="宋体"/>
              </w:rPr>
              <w:t xml:space="preserve">不合理可行或未提供方案的不得分。</w:t>
            </w:r>
            <w:r>
              <w:rPr>
                <w:rFonts w:ascii="宋体" w:hAnsi="宋体" w:cs="宋体"/>
              </w:rPr>
            </w:r>
            <w:r/>
          </w:p>
        </w:tc>
        <w:tc>
          <w:tcPr>
            <w:tcW w:w="647" w:type="dxa"/>
            <w:vAlign w:val="center"/>
            <w:textDirection w:val="lrTb"/>
            <w:noWrap w:val="false"/>
          </w:tcPr>
          <w:p>
            <w:pPr>
              <w:pStyle w:val="869"/>
              <w:jc w:val="center"/>
              <w:spacing w:line="264" w:lineRule="auto"/>
              <w:rPr>
                <w:rFonts w:hint="eastAsia" w:ascii="宋体" w:hAnsi="宋体" w:eastAsia="宋体" w:cs="宋体"/>
                <w:lang w:eastAsia="zh-CN"/>
              </w:rPr>
            </w:pPr>
            <w:r>
              <w:rPr>
                <w:rFonts w:hint="eastAsia" w:ascii="宋体" w:hAnsi="宋体" w:cs="宋体"/>
                <w:lang w:val="en-US" w:eastAsia="zh-CN"/>
              </w:rPr>
              <w:t xml:space="preserve">6</w:t>
            </w:r>
            <w:r/>
          </w:p>
        </w:tc>
        <w:tc>
          <w:tcPr>
            <w:tcW w:w="900"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472"/>
        </w:trPr>
        <w:tc>
          <w:tcPr>
            <w:gridSpan w:val="5"/>
            <w:tcW w:w="9748"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运维方案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提供的维保服务方案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rPr>
              <w:t xml:space="preserve">包括</w:t>
            </w:r>
            <w:r>
              <w:rPr>
                <w:rFonts w:hint="eastAsia" w:ascii="宋体" w:hAnsi="宋体" w:cs="宋体"/>
              </w:rPr>
              <w:t xml:space="preserve">：1.</w:t>
            </w:r>
            <w:r>
              <w:rPr>
                <w:rFonts w:hint="eastAsia" w:ascii="宋体" w:hAnsi="宋体" w:cs="微软雅黑"/>
              </w:rPr>
              <w:t xml:space="preserve">日常</w:t>
            </w:r>
            <w:r>
              <w:rPr>
                <w:rFonts w:ascii="宋体" w:hAnsi="宋体"/>
              </w:rPr>
              <w:t xml:space="preserve">线路维护</w:t>
            </w:r>
            <w:r>
              <w:rPr>
                <w:rFonts w:hint="eastAsia" w:ascii="宋体" w:hAnsi="宋体" w:cs="微软雅黑"/>
              </w:rPr>
              <w:t xml:space="preserve">方案；2.应急保障方案；3.重大时间节点保障方案。</w:t>
            </w:r>
            <w:r>
              <w:rPr>
                <w:rFonts w:hint="eastAsia" w:ascii="宋体" w:hAnsi="宋体" w:cs="宋体"/>
                <w:szCs w:val="21"/>
              </w:rPr>
              <w:t xml:space="preserve">以上每项内容逐条阐述。</w:t>
            </w:r>
            <w:r>
              <w:rPr>
                <w:rFonts w:ascii="宋体" w:hAnsi="宋体" w:cs="宋体"/>
              </w:rPr>
              <w:t xml:space="preserve">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完整、合理性、操作性强的，得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基本完整、基本合理，有可操作性的，得1分； </w:t>
            </w:r>
            <w:r>
              <w:rPr>
                <w:rFonts w:ascii="宋体" w:hAnsi="宋体" w:cs="宋体"/>
              </w:rPr>
            </w:r>
            <w:r/>
          </w:p>
          <w:p>
            <w:pPr>
              <w:pStyle w:val="869"/>
              <w:jc w:val="left"/>
              <w:spacing w:line="264" w:lineRule="auto"/>
              <w:widowControl/>
              <w:rPr>
                <w:lang w:val="zh-CN"/>
              </w:rPr>
            </w:pPr>
            <w:r>
              <w:rPr>
                <w:rFonts w:ascii="宋体" w:hAnsi="宋体" w:cs="宋体"/>
              </w:rPr>
              <w:t xml:space="preserve">（3）</w:t>
            </w:r>
            <w:r>
              <w:rPr>
                <w:rFonts w:hint="eastAsia" w:ascii="宋体" w:hAnsi="宋体" w:cs="宋体"/>
              </w:rPr>
              <w:t xml:space="preserve">以上每项内容</w:t>
            </w:r>
            <w:r>
              <w:rPr>
                <w:rFonts w:ascii="宋体" w:hAnsi="宋体" w:cs="宋体"/>
              </w:rPr>
              <w:t xml:space="preserve">不完整、不科学合理、不具可操作性或未提供的不得分。</w:t>
            </w:r>
            <w:r>
              <w:rPr>
                <w:lang w:val="zh-CN"/>
              </w:rPr>
            </w:r>
            <w:r/>
          </w:p>
        </w:tc>
        <w:tc>
          <w:tcPr>
            <w:tcW w:w="647" w:type="dxa"/>
            <w:vAlign w:val="center"/>
            <w:textDirection w:val="lrTb"/>
            <w:noWrap w:val="false"/>
          </w:tcPr>
          <w:p>
            <w:pPr>
              <w:pStyle w:val="869"/>
              <w:jc w:val="center"/>
              <w:spacing w:before="68" w:line="264" w:lineRule="auto"/>
              <w:rPr>
                <w:rFonts w:ascii="宋体" w:hAnsi="宋体" w:cs="宋体"/>
              </w:rPr>
            </w:pPr>
            <w:r>
              <w:rPr>
                <w:rFonts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692" w:type="dxa"/>
            <w:vAlign w:val="center"/>
            <w:textDirection w:val="lrTb"/>
            <w:noWrap w:val="false"/>
          </w:tcPr>
          <w:p>
            <w:pPr>
              <w:pStyle w:val="869"/>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869"/>
              <w:jc w:val="left"/>
              <w:spacing w:before="68"/>
              <w:rPr>
                <w:rFonts w:hint="eastAsia" w:ascii="宋体" w:hAnsi="宋体" w:cs="宋体"/>
                <w:spacing w:val="-2"/>
              </w:rPr>
            </w:pPr>
            <w:r>
              <w:rPr>
                <w:rFonts w:hint="eastAsia"/>
              </w:rPr>
              <w:t xml:space="preserve">售后方案</w:t>
            </w:r>
            <w:r>
              <w:rPr>
                <w:rFonts w:hint="eastAsia" w:ascii="宋体" w:hAnsi="宋体" w:cs="宋体"/>
                <w:spacing w:val="-2"/>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提供的项目培训方案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szCs w:val="21"/>
              </w:rPr>
              <w:t xml:space="preserve">包括</w:t>
            </w:r>
            <w:r>
              <w:rPr>
                <w:rFonts w:hint="eastAsia" w:ascii="宋体" w:hAnsi="宋体" w:cs="宋体"/>
                <w:szCs w:val="21"/>
              </w:rPr>
              <w:t xml:space="preserve">1.</w:t>
            </w:r>
            <w:r>
              <w:rPr>
                <w:rFonts w:hint="eastAsia" w:ascii="宋体" w:hAnsi="宋体" w:cs="微软雅黑"/>
                <w:color w:val="000000"/>
              </w:rPr>
              <w:t xml:space="preserve">售后服务体系；2.售后服务人员安排；3.售后服务联系方式、售后服务工作机制及备品备件方案。</w:t>
            </w:r>
            <w:r>
              <w:rPr>
                <w:rFonts w:hint="eastAsia" w:ascii="宋体" w:hAnsi="宋体" w:cs="宋体"/>
                <w:szCs w:val="21"/>
              </w:rPr>
              <w:t xml:space="preserve">以上每项内容逐条阐述。</w:t>
            </w:r>
            <w:r>
              <w:rPr>
                <w:rFonts w:ascii="宋体" w:hAnsi="宋体" w:cs="宋体"/>
              </w:rPr>
              <w:t xml:space="preserve">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完整详细、针对性强的，得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基本满足采购需求，有一定针对性的，得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950"/>
              <w:ind w:left="0"/>
              <w:spacing w:line="264" w:lineRule="auto"/>
              <w:rPr>
                <w:rFonts w:hint="eastAsia" w:ascii="宋体" w:hAnsi="宋体" w:eastAsia="宋体"/>
                <w:color w:val="0000ff"/>
                <w:sz w:val="21"/>
                <w:szCs w:val="21"/>
                <w:lang w:val="en-US"/>
              </w:rPr>
            </w:pPr>
            <w:r>
              <w:rPr>
                <w:rFonts w:ascii="宋体" w:hAnsi="宋体" w:eastAsia="宋体"/>
                <w:lang w:val="en-US"/>
              </w:rPr>
              <w:t xml:space="preserve">（3）</w:t>
            </w:r>
            <w:r>
              <w:rPr>
                <w:rFonts w:hint="eastAsia" w:ascii="宋体" w:hAnsi="宋体" w:eastAsia="宋体"/>
                <w:lang w:val="en-US"/>
              </w:rPr>
              <w:t xml:space="preserve">以上每项内容</w:t>
            </w:r>
            <w:r>
              <w:rPr>
                <w:rFonts w:ascii="宋体" w:hAnsi="宋体" w:eastAsia="宋体"/>
                <w:lang w:val="en-US"/>
              </w:rPr>
              <w:t xml:space="preserve">没有针对性或未提供方案的不得分。</w:t>
            </w:r>
            <w:r>
              <w:rPr>
                <w:rFonts w:hint="eastAsia" w:ascii="宋体" w:hAnsi="宋体" w:eastAsia="宋体"/>
                <w:color w:val="0000ff"/>
                <w:sz w:val="21"/>
                <w:szCs w:val="21"/>
                <w:lang w:val="en-US"/>
              </w:rPr>
            </w:r>
            <w:r/>
          </w:p>
        </w:tc>
        <w:tc>
          <w:tcPr>
            <w:tcW w:w="647" w:type="dxa"/>
            <w:vAlign w:val="center"/>
            <w:textDirection w:val="lrTb"/>
            <w:noWrap w:val="false"/>
          </w:tcPr>
          <w:p>
            <w:pPr>
              <w:pStyle w:val="869"/>
              <w:jc w:val="center"/>
              <w:spacing w:before="68" w:line="264" w:lineRule="auto"/>
              <w:rPr>
                <w:rFonts w:ascii="宋体" w:hAnsi="宋体" w:cs="宋体"/>
              </w:rPr>
            </w:pPr>
            <w:r>
              <w:rPr>
                <w:rFonts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培训方案</w:t>
            </w:r>
            <w:r>
              <w:rPr>
                <w:rFonts w:hint="eastAsia"/>
              </w:rPr>
            </w:r>
            <w:r/>
          </w:p>
        </w:tc>
        <w:tc>
          <w:tcPr>
            <w:tcW w:w="6330" w:type="dxa"/>
            <w:vAlign w:val="center"/>
            <w:textDirection w:val="lrTb"/>
            <w:noWrap w:val="false"/>
          </w:tcPr>
          <w:p>
            <w:pPr>
              <w:pStyle w:val="869"/>
              <w:jc w:val="left"/>
              <w:spacing w:line="264" w:lineRule="auto"/>
              <w:widowControl/>
              <w:rPr>
                <w:rFonts w:ascii="宋体" w:hAnsi="宋体" w:cs="宋体"/>
              </w:rPr>
            </w:pPr>
            <w:r>
              <w:rPr>
                <w:rFonts w:ascii="宋体" w:hAnsi="宋体" w:cs="宋体"/>
              </w:rPr>
              <w:t xml:space="preserve">评委根据</w:t>
            </w:r>
            <w:r>
              <w:rPr>
                <w:rFonts w:hint="eastAsia" w:ascii="宋体" w:hAnsi="宋体" w:cs="宋体"/>
              </w:rPr>
              <w:t xml:space="preserve">供应商</w:t>
            </w:r>
            <w:r>
              <w:rPr>
                <w:rFonts w:ascii="宋体" w:hAnsi="宋体" w:cs="宋体"/>
              </w:rPr>
              <w:t xml:space="preserve">提供的项目培训方案</w:t>
            </w:r>
            <w:r>
              <w:rPr>
                <w:rFonts w:hint="eastAsia" w:ascii="宋体" w:hAnsi="宋体" w:cs="宋体"/>
              </w:rPr>
              <w:t xml:space="preserve">综合评分</w:t>
            </w:r>
            <w:r>
              <w:rPr>
                <w:rFonts w:hint="eastAsia" w:ascii="宋体" w:hAnsi="宋体" w:cs="宋体"/>
                <w:szCs w:val="21"/>
              </w:rPr>
              <w:t xml:space="preserve">，</w:t>
            </w:r>
            <w:r>
              <w:rPr>
                <w:rFonts w:ascii="宋体" w:hAnsi="宋体" w:cs="宋体"/>
                <w:szCs w:val="21"/>
              </w:rPr>
              <w:t xml:space="preserve">包括</w:t>
            </w:r>
            <w:r>
              <w:rPr>
                <w:rFonts w:hint="eastAsia" w:ascii="宋体" w:hAnsi="宋体" w:cs="宋体"/>
                <w:szCs w:val="21"/>
              </w:rPr>
              <w:t xml:space="preserve">1.</w:t>
            </w:r>
            <w:r>
              <w:rPr>
                <w:rFonts w:hint="eastAsia" w:ascii="宋体" w:hAnsi="宋体" w:cs="微软雅黑"/>
                <w:color w:val="000000"/>
              </w:rPr>
              <w:t xml:space="preserve">于培训目标、培训对象及培训内容；2.培训计划、培训方式、培训时间</w:t>
            </w:r>
            <w:r>
              <w:rPr>
                <w:rFonts w:hint="eastAsia" w:ascii="宋体" w:hAnsi="宋体" w:cs="微软雅黑"/>
                <w:color w:val="000000"/>
                <w:lang w:eastAsia="zh-CN"/>
              </w:rPr>
              <w:t xml:space="preserve">；</w:t>
            </w:r>
            <w:r>
              <w:rPr>
                <w:rFonts w:hint="eastAsia" w:ascii="宋体" w:hAnsi="宋体" w:cs="微软雅黑"/>
                <w:color w:val="000000"/>
                <w:lang w:val="en-US" w:eastAsia="zh-CN"/>
              </w:rPr>
              <w:t xml:space="preserve">3.</w:t>
            </w:r>
            <w:r>
              <w:rPr>
                <w:rFonts w:hint="eastAsia" w:ascii="宋体" w:hAnsi="宋体" w:cs="微软雅黑"/>
                <w:color w:val="000000"/>
              </w:rPr>
              <w:t xml:space="preserve">保障措施。</w:t>
            </w:r>
            <w:r>
              <w:rPr>
                <w:rFonts w:hint="eastAsia" w:ascii="宋体" w:hAnsi="宋体" w:cs="宋体"/>
                <w:szCs w:val="21"/>
              </w:rPr>
              <w:t xml:space="preserve">以上每项内容逐条阐述。</w:t>
            </w:r>
            <w:r>
              <w:rPr>
                <w:rFonts w:ascii="宋体" w:hAnsi="宋体" w:cs="宋体"/>
              </w:rPr>
              <w:t xml:space="preserve">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（1）</w:t>
            </w:r>
            <w:r>
              <w:rPr>
                <w:rFonts w:hint="eastAsia" w:ascii="宋体" w:hAnsi="宋体" w:cs="宋体"/>
              </w:rPr>
              <w:t xml:space="preserve">以上每项内容</w:t>
            </w:r>
            <w:r>
              <w:rPr>
                <w:rFonts w:ascii="宋体" w:hAnsi="宋体" w:cs="宋体"/>
              </w:rPr>
              <w:t xml:space="preserve">完整详细、针对性强的，得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869"/>
              <w:jc w:val="left"/>
              <w:spacing w:line="264" w:lineRule="auto"/>
              <w:widowControl/>
              <w:rPr>
                <w:rFonts w:ascii="宋体" w:hAnsi="宋体" w:cs="宋体"/>
              </w:rPr>
            </w:pPr>
            <w:r>
              <w:rPr>
                <w:rFonts w:ascii="宋体" w:hAnsi="宋体" w:cs="宋体"/>
              </w:rPr>
              <w:t xml:space="preserve">（2）</w:t>
            </w:r>
            <w:r>
              <w:rPr>
                <w:rFonts w:hint="eastAsia" w:ascii="宋体" w:hAnsi="宋体" w:cs="宋体"/>
              </w:rPr>
              <w:t xml:space="preserve">以上每项内容</w:t>
            </w:r>
            <w:r>
              <w:rPr>
                <w:rFonts w:ascii="宋体" w:hAnsi="宋体" w:cs="宋体"/>
              </w:rPr>
              <w:t xml:space="preserve">基本满足采购需求，有一定针对性的，得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869"/>
              <w:jc w:val="left"/>
              <w:spacing w:line="264" w:lineRule="auto"/>
              <w:widowControl/>
            </w:pPr>
            <w:r>
              <w:rPr>
                <w:rFonts w:ascii="宋体" w:hAnsi="宋体" w:cs="宋体"/>
              </w:rPr>
              <w:t xml:space="preserve">（3）</w:t>
            </w:r>
            <w:r>
              <w:rPr>
                <w:rFonts w:hint="eastAsia" w:ascii="宋体" w:hAnsi="宋体" w:cs="宋体"/>
              </w:rPr>
              <w:t xml:space="preserve">以上每项内容</w:t>
            </w:r>
            <w:r>
              <w:rPr>
                <w:rFonts w:ascii="宋体" w:hAnsi="宋体" w:cs="宋体"/>
              </w:rPr>
              <w:t xml:space="preserve">没有针对性或未提供方案的不得分。</w:t>
            </w:r>
            <w:r/>
          </w:p>
        </w:tc>
        <w:tc>
          <w:tcPr>
            <w:tcW w:w="647"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3.4</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szCs w:val="21"/>
              </w:rPr>
              <w:t xml:space="preserve">本地化服务能力</w:t>
            </w:r>
            <w:r>
              <w:rPr>
                <w:rFonts w:hint="eastAsia" w:ascii="宋体" w:hAnsi="宋体" w:cs="宋体"/>
                <w:spacing w:val="-2"/>
              </w:rPr>
            </w:r>
            <w:r/>
          </w:p>
        </w:tc>
        <w:tc>
          <w:tcPr>
            <w:tcW w:w="6330" w:type="dxa"/>
            <w:vAlign w:val="center"/>
            <w:textDirection w:val="lrTb"/>
            <w:noWrap w:val="false"/>
          </w:tcPr>
          <w:p>
            <w:pPr>
              <w:pStyle w:val="869"/>
              <w:jc w:val="left"/>
              <w:spacing w:line="264" w:lineRule="auto"/>
              <w:rPr>
                <w:rFonts w:hint="eastAsia" w:ascii="宋体" w:hAnsi="宋体" w:cs="宋体"/>
                <w:spacing w:val="-2"/>
              </w:rPr>
            </w:pPr>
            <w:r>
              <w:rPr>
                <w:rFonts w:hint="eastAsia" w:ascii="宋体" w:hAnsi="宋体" w:cs="宋体"/>
              </w:rPr>
              <w:t xml:space="preserve">供应商具有本地化服务能力的得</w:t>
            </w:r>
            <w:r>
              <w:rPr>
                <w:rFonts w:ascii="宋体" w:hAnsi="宋体" w:cs="宋体"/>
              </w:rPr>
              <w:t xml:space="preserve">2</w:t>
            </w:r>
            <w:r>
              <w:rPr>
                <w:rFonts w:hint="eastAsia" w:ascii="宋体" w:hAnsi="宋体" w:cs="宋体"/>
              </w:rPr>
              <w:t xml:space="preserve">分。（提供承诺书或有效证明材料）</w:t>
            </w:r>
            <w:r>
              <w:rPr>
                <w:rFonts w:hint="eastAsia" w:ascii="宋体" w:hAnsi="宋体" w:cs="宋体"/>
                <w:spacing w:val="-2"/>
              </w:rPr>
            </w:r>
            <w:r/>
          </w:p>
        </w:tc>
        <w:tc>
          <w:tcPr>
            <w:tcW w:w="647" w:type="dxa"/>
            <w:vAlign w:val="center"/>
            <w:textDirection w:val="lrTb"/>
            <w:noWrap w:val="false"/>
          </w:tcPr>
          <w:p>
            <w:pPr>
              <w:pStyle w:val="869"/>
              <w:jc w:val="center"/>
              <w:spacing w:before="68" w:line="264" w:lineRule="auto"/>
              <w:rPr>
                <w:rFonts w:ascii="宋体" w:hAnsi="宋体" w:cs="宋体"/>
              </w:rPr>
            </w:pPr>
            <w:r>
              <w:rPr>
                <w:rFonts w:ascii="宋体" w:hAnsi="宋体" w:cs="宋体"/>
              </w:rPr>
              <w:t xml:space="preserve">2</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748"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pStyle w:val="869"/>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（至少包含专线类产品或服务）</w:t>
            </w:r>
            <w:r>
              <w:rPr>
                <w:rFonts w:ascii="宋体" w:hAnsi="宋体" w:cs="宋体"/>
              </w:rPr>
              <w:t xml:space="preserve">，每提供</w:t>
            </w:r>
            <w:r>
              <w:rPr>
                <w:rFonts w:hint="eastAsia" w:ascii="宋体" w:hAnsi="宋体" w:cs="宋体"/>
              </w:rPr>
              <w:t xml:space="preserve">1</w:t>
            </w:r>
            <w:r>
              <w:rPr>
                <w:rFonts w:ascii="宋体" w:hAnsi="宋体" w:cs="宋体"/>
              </w:rPr>
              <w:t xml:space="preserve">个得3分。（</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W w:w="647" w:type="dxa"/>
            <w:vAlign w:val="center"/>
            <w:textDirection w:val="lrTb"/>
            <w:noWrap w:val="false"/>
          </w:tcPr>
          <w:p>
            <w:pPr>
              <w:pStyle w:val="869"/>
              <w:jc w:val="center"/>
              <w:spacing w:line="264" w:lineRule="auto"/>
              <w:rPr>
                <w:rFonts w:hint="eastAsia" w:eastAsia="宋体"/>
                <w:szCs w:val="21"/>
                <w:lang w:eastAsia="zh-CN"/>
              </w:rPr>
            </w:pPr>
            <w:r>
              <w:rPr>
                <w:rFonts w:hint="eastAsia" w:ascii="宋体" w:hAnsi="宋体" w:cs="宋体"/>
                <w:lang w:val="en-US" w:eastAsia="zh-CN"/>
              </w:rPr>
              <w:t xml:space="preserve">9</w:t>
            </w:r>
            <w:r>
              <w:rPr>
                <w:rFonts w:hint="eastAsia" w:eastAsia="宋体"/>
                <w:szCs w:val="21"/>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748" w:type="dxa"/>
            <w:vAlign w:val="top"/>
            <w:textDirection w:val="lrTb"/>
            <w:noWrap w:val="false"/>
          </w:tcPr>
          <w:p>
            <w:pPr>
              <w:pStyle w:val="869"/>
              <w:jc w:val="left"/>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before="0" w:line="264" w:lineRule="auto"/>
              <w:rPr>
                <w:rFonts w:hint="eastAsia" w:ascii="宋体" w:hAnsi="宋体" w:eastAsia="宋体" w:cs="宋体"/>
              </w:rPr>
            </w:pPr>
            <w:r>
              <w:rPr>
                <w:rFonts w:hint="eastAsia" w:ascii="宋体" w:hAnsi="宋体" w:eastAsia="宋体" w:cs="宋体"/>
                <w:spacing w:val="0"/>
              </w:rPr>
              <w:t xml:space="preserve">履约能力1</w:t>
            </w:r>
            <w:r>
              <w:rPr>
                <w:rFonts w:hint="eastAsia" w:ascii="宋体" w:hAnsi="宋体" w:eastAsia="宋体" w:cs="宋体"/>
              </w:rPr>
            </w:r>
            <w:r/>
          </w:p>
        </w:tc>
        <w:tc>
          <w:tcPr>
            <w:tcW w:w="6330" w:type="dxa"/>
            <w:vAlign w:val="center"/>
            <w:textDirection w:val="lrTb"/>
            <w:noWrap w:val="false"/>
          </w:tcPr>
          <w:p>
            <w:pPr>
              <w:pStyle w:val="869"/>
              <w:spacing w:line="264" w:lineRule="auto"/>
              <w:rPr>
                <w:rFonts w:hint="eastAsia" w:ascii="宋体" w:hAnsi="宋体" w:eastAsia="宋体" w:cs="宋体"/>
              </w:rPr>
            </w:pPr>
            <w:r>
              <w:rPr>
                <w:rFonts w:hint="eastAsia" w:ascii="宋体" w:hAnsi="宋体" w:eastAsia="宋体" w:cs="宋体"/>
              </w:rPr>
              <w:t xml:space="preserve">项目经理能力：</w:t>
            </w:r>
            <w:r>
              <w:rPr>
                <w:rFonts w:hint="eastAsia" w:ascii="宋体" w:hAnsi="宋体" w:eastAsia="宋体" w:cs="宋体"/>
              </w:rPr>
            </w:r>
            <w:r/>
          </w:p>
          <w:p>
            <w:pPr>
              <w:pStyle w:val="869"/>
              <w:spacing w:line="264" w:lineRule="auto"/>
              <w:rPr>
                <w:rFonts w:hint="eastAsia" w:ascii="宋体" w:hAnsi="宋体" w:eastAsia="宋体" w:cs="宋体"/>
              </w:rPr>
            </w:pPr>
            <w:r>
              <w:rPr>
                <w:rFonts w:hint="eastAsia" w:ascii="宋体" w:hAnsi="宋体" w:eastAsia="宋体" w:cs="宋体"/>
              </w:rPr>
              <w:t xml:space="preserve">具有信息系统项目管理师（高级）、ITSS IT服务项目经理、注册信息安全专业人员（CISP）、CCRC-DSO数据安全官、通信专业技术人员职业资格（中级或以上）证书，每提供1个证书得2分，最多得10分。</w:t>
            </w:r>
            <w:r>
              <w:rPr>
                <w:rFonts w:hint="eastAsia" w:ascii="宋体" w:hAnsi="宋体" w:eastAsia="宋体" w:cs="宋体"/>
              </w:rPr>
            </w:r>
            <w:r/>
          </w:p>
        </w:tc>
        <w:tc>
          <w:tcPr>
            <w:tcW w:w="647" w:type="dxa"/>
            <w:vAlign w:val="center"/>
            <w:textDirection w:val="lrTb"/>
            <w:noWrap w:val="false"/>
          </w:tcPr>
          <w:p>
            <w:pPr>
              <w:pStyle w:val="869"/>
              <w:jc w:val="center"/>
              <w:spacing w:before="0" w:line="264" w:lineRule="auto"/>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900" w:type="dxa"/>
            <w:vAlign w:val="center"/>
            <w:textDirection w:val="lrTb"/>
            <w:noWrap w:val="false"/>
          </w:tcPr>
          <w:p>
            <w:pPr>
              <w:pStyle w:val="869"/>
              <w:jc w:val="center"/>
              <w:spacing w:before="0" w:line="264" w:lineRule="auto"/>
              <w:rPr>
                <w:rFonts w:hint="eastAsia" w:ascii="宋体" w:hAnsi="宋体" w:eastAsia="宋体" w:cs="宋体"/>
              </w:rPr>
            </w:pPr>
            <w:r>
              <w:rPr>
                <w:rFonts w:hint="eastAsia" w:ascii="宋体" w:hAnsi="宋体" w:eastAsia="宋体" w:cs="宋体"/>
                <w:spacing w:val="0"/>
              </w:rPr>
              <w:t xml:space="preserve">客观分</w:t>
            </w:r>
            <w:r>
              <w:rPr>
                <w:rFonts w:hint="eastAsia" w:ascii="宋体" w:hAnsi="宋体" w:eastAsia="宋体" w:cs="宋体"/>
              </w:rPr>
            </w:r>
            <w:r/>
          </w:p>
        </w:tc>
      </w:tr>
      <w:tr>
        <w:trPr>
          <w:trHeight w:val="383"/>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spacing w:line="264" w:lineRule="auto"/>
              <w:rPr>
                <w:rFonts w:hint="eastAsia" w:ascii="宋体" w:hAnsi="宋体" w:eastAsia="宋体" w:cs="宋体"/>
              </w:rPr>
            </w:pPr>
            <w:r>
              <w:rPr>
                <w:rFonts w:hint="eastAsia" w:ascii="宋体" w:hAnsi="宋体" w:eastAsia="宋体" w:cs="宋体"/>
              </w:rPr>
              <w:t xml:space="preserve">履约能力2</w:t>
            </w:r>
            <w:r>
              <w:rPr>
                <w:rFonts w:hint="eastAsia" w:ascii="宋体" w:hAnsi="宋体" w:eastAsia="宋体" w:cs="宋体"/>
              </w:rPr>
            </w:r>
            <w:r/>
          </w:p>
        </w:tc>
        <w:tc>
          <w:tcPr>
            <w:tcW w:w="6330" w:type="dxa"/>
            <w:vAlign w:val="center"/>
            <w:textDirection w:val="lrTb"/>
            <w:noWrap w:val="false"/>
          </w:tcPr>
          <w:p>
            <w:pPr>
              <w:pStyle w:val="869"/>
              <w:spacing w:line="264" w:lineRule="auto"/>
              <w:rPr>
                <w:rFonts w:hint="eastAsia" w:ascii="宋体" w:hAnsi="宋体" w:eastAsia="宋体" w:cs="宋体"/>
                <w:sz w:val="21"/>
                <w:szCs w:val="22"/>
              </w:rPr>
            </w:pPr>
            <w:r>
              <w:rPr>
                <w:rFonts w:hint="eastAsia" w:ascii="宋体" w:hAnsi="宋体" w:eastAsia="宋体" w:cs="宋体"/>
                <w:sz w:val="21"/>
                <w:szCs w:val="22"/>
              </w:rPr>
              <w:t xml:space="preserve">技术负责人能力：</w:t>
            </w:r>
            <w:r>
              <w:rPr>
                <w:rFonts w:hint="eastAsia" w:ascii="宋体" w:hAnsi="宋体" w:eastAsia="宋体" w:cs="宋体"/>
                <w:sz w:val="21"/>
                <w:szCs w:val="22"/>
              </w:rPr>
            </w:r>
            <w:r/>
          </w:p>
          <w:p>
            <w:pPr>
              <w:pStyle w:val="869"/>
              <w:spacing w:line="264" w:lineRule="auto"/>
              <w:rPr>
                <w:rFonts w:hint="eastAsia" w:ascii="宋体" w:hAnsi="宋体" w:eastAsia="宋体" w:cs="宋体"/>
              </w:rPr>
            </w:pPr>
            <w:r>
              <w:rPr>
                <w:rFonts w:hint="eastAsia" w:ascii="宋体" w:hAnsi="宋体" w:eastAsia="宋体" w:cs="宋体"/>
                <w:sz w:val="21"/>
                <w:szCs w:val="22"/>
              </w:rPr>
              <w:t xml:space="preserve">具有注册信息安全专业人员（CISP）、ITSS IT服务项目经理、CCSC网络安全能力认证、网络安全工程工程师、通信专业技术人员职业资格（中级或以上）证书证书，每提供1个证书得2分，最多得10分。</w:t>
            </w:r>
            <w:r>
              <w:rPr>
                <w:rFonts w:hint="eastAsia" w:ascii="宋体" w:hAnsi="宋体" w:eastAsia="宋体" w:cs="宋体"/>
              </w:rPr>
            </w:r>
            <w:r/>
          </w:p>
        </w:tc>
        <w:tc>
          <w:tcPr>
            <w:tcW w:w="647" w:type="dxa"/>
            <w:vAlign w:val="center"/>
            <w:textDirection w:val="lrTb"/>
            <w:noWrap w:val="false"/>
          </w:tcPr>
          <w:p>
            <w:pPr>
              <w:pStyle w:val="869"/>
              <w:jc w:val="center"/>
              <w:spacing w:before="0" w:line="264" w:lineRule="auto"/>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900" w:type="dxa"/>
            <w:vAlign w:val="center"/>
            <w:textDirection w:val="lrTb"/>
            <w:noWrap w:val="false"/>
          </w:tcPr>
          <w:p>
            <w:pPr>
              <w:pStyle w:val="869"/>
              <w:jc w:val="center"/>
              <w:spacing w:before="0" w:line="264" w:lineRule="auto"/>
              <w:rPr>
                <w:rFonts w:hint="eastAsia" w:ascii="宋体" w:hAnsi="宋体" w:eastAsia="宋体" w:cs="宋体"/>
              </w:rPr>
            </w:pPr>
            <w:r>
              <w:rPr>
                <w:rFonts w:hint="eastAsia" w:ascii="宋体" w:hAnsi="宋体" w:eastAsia="宋体" w:cs="宋体"/>
                <w:spacing w:val="0"/>
              </w:rPr>
              <w:t xml:space="preserve">客观分</w:t>
            </w:r>
            <w:r>
              <w:rPr>
                <w:rFonts w:hint="eastAsia" w:ascii="宋体" w:hAnsi="宋体" w:eastAsia="宋体" w:cs="宋体"/>
              </w:rPr>
            </w:r>
            <w:r/>
          </w:p>
        </w:tc>
      </w:tr>
      <w:tr>
        <w:trPr>
          <w:trHeight w:val="383"/>
        </w:trPr>
        <w:tc>
          <w:tcPr>
            <w:tcW w:w="692"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W w:w="1179" w:type="dxa"/>
            <w:vAlign w:val="center"/>
            <w:textDirection w:val="lrTb"/>
            <w:noWrap w:val="false"/>
          </w:tcPr>
          <w:p>
            <w:pPr>
              <w:pStyle w:val="869"/>
              <w:spacing w:line="264" w:lineRule="auto"/>
              <w:rPr>
                <w:rFonts w:hint="eastAsia" w:ascii="宋体" w:hAnsi="宋体" w:eastAsia="宋体" w:cs="宋体"/>
              </w:rPr>
            </w:pPr>
            <w:r>
              <w:rPr>
                <w:rFonts w:hint="eastAsia" w:ascii="宋体" w:hAnsi="宋体" w:eastAsia="宋体" w:cs="宋体"/>
              </w:rPr>
              <w:t xml:space="preserve">履约能力3</w:t>
            </w:r>
            <w:r>
              <w:rPr>
                <w:rFonts w:hint="eastAsia" w:ascii="宋体" w:hAnsi="宋体" w:eastAsia="宋体" w:cs="宋体"/>
              </w:rPr>
            </w:r>
            <w:r/>
          </w:p>
        </w:tc>
        <w:tc>
          <w:tcPr>
            <w:tcW w:w="6330" w:type="dxa"/>
            <w:vAlign w:val="center"/>
            <w:textDirection w:val="lrTb"/>
            <w:noWrap w:val="false"/>
          </w:tcPr>
          <w:p>
            <w:pPr>
              <w:pStyle w:val="869"/>
              <w:spacing w:line="264" w:lineRule="auto"/>
              <w:rPr>
                <w:rFonts w:hint="eastAsia" w:ascii="宋体" w:hAnsi="宋体" w:eastAsia="宋体" w:cs="宋体"/>
              </w:rPr>
            </w:pPr>
            <w:r>
              <w:rPr>
                <w:rFonts w:hint="eastAsia" w:ascii="宋体" w:hAnsi="宋体" w:eastAsia="宋体" w:cs="宋体"/>
              </w:rPr>
              <w:t xml:space="preserve">项目实施团队能力：</w:t>
            </w:r>
            <w:r>
              <w:rPr>
                <w:rFonts w:hint="eastAsia" w:ascii="宋体" w:hAnsi="宋体" w:eastAsia="宋体" w:cs="宋体"/>
              </w:rPr>
            </w:r>
            <w:r/>
          </w:p>
          <w:p>
            <w:pPr>
              <w:pStyle w:val="869"/>
              <w:spacing w:line="264" w:lineRule="auto"/>
              <w:rPr>
                <w:rFonts w:hint="eastAsia" w:ascii="宋体" w:hAnsi="宋体" w:eastAsia="宋体" w:cs="宋体"/>
              </w:rPr>
            </w:pPr>
            <w:r>
              <w:rPr>
                <w:rFonts w:hint="eastAsia" w:ascii="宋体" w:hAnsi="宋体" w:eastAsia="宋体" w:cs="宋体"/>
              </w:rPr>
              <w:t xml:space="preserve">团队成员具有网络工程师、网络规划设计师、HCIE、CCSC网络安全能力认证、ITSS IT服务工程师证书，每提供1个证书得2分，最高得10分。</w:t>
            </w:r>
            <w:r>
              <w:rPr>
                <w:rFonts w:hint="eastAsia" w:ascii="宋体" w:hAnsi="宋体" w:eastAsia="宋体" w:cs="宋体"/>
              </w:rPr>
            </w:r>
            <w:r/>
          </w:p>
          <w:p>
            <w:pPr>
              <w:pStyle w:val="869"/>
              <w:spacing w:line="264" w:lineRule="auto"/>
              <w:rPr>
                <w:rFonts w:hint="eastAsia" w:ascii="宋体" w:hAnsi="宋体" w:eastAsia="宋体" w:cs="宋体"/>
              </w:rPr>
            </w:pPr>
            <w:r>
              <w:rPr>
                <w:rFonts w:hint="eastAsia" w:ascii="宋体" w:hAnsi="宋体" w:eastAsia="宋体" w:cs="宋体"/>
              </w:rPr>
              <w:t xml:space="preserve">（一个证书只记一次分，一人多证不重复得分，提供上述团队成员证书，投标人为其缴纳的 2025年3月以来任意一个月的社保证明材料，缺一不可）</w:t>
            </w:r>
            <w:r>
              <w:rPr>
                <w:rFonts w:hint="eastAsia" w:ascii="宋体" w:hAnsi="宋体" w:eastAsia="宋体" w:cs="宋体"/>
              </w:rPr>
            </w:r>
            <w:r/>
          </w:p>
        </w:tc>
        <w:tc>
          <w:tcPr>
            <w:tcW w:w="647" w:type="dxa"/>
            <w:vAlign w:val="center"/>
            <w:textDirection w:val="lrTb"/>
            <w:noWrap w:val="false"/>
          </w:tcPr>
          <w:p>
            <w:pPr>
              <w:pStyle w:val="869"/>
              <w:jc w:val="center"/>
              <w:spacing w:before="0" w:line="264" w:lineRule="auto"/>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900" w:type="dxa"/>
            <w:vAlign w:val="center"/>
            <w:textDirection w:val="lrTb"/>
            <w:noWrap w:val="false"/>
          </w:tcPr>
          <w:p>
            <w:pPr>
              <w:pStyle w:val="869"/>
              <w:jc w:val="center"/>
              <w:spacing w:before="0" w:line="264" w:lineRule="auto"/>
              <w:rPr>
                <w:rFonts w:hint="eastAsia" w:ascii="宋体" w:hAnsi="宋体" w:eastAsia="宋体" w:cs="宋体"/>
                <w:szCs w:val="22"/>
              </w:rPr>
            </w:pPr>
            <w:r>
              <w:rPr>
                <w:rFonts w:hint="eastAsia" w:ascii="宋体" w:hAnsi="宋体" w:eastAsia="宋体" w:cs="宋体"/>
                <w:spacing w:val="0"/>
              </w:rPr>
              <w:t xml:space="preserve">客观分</w:t>
            </w:r>
            <w:r>
              <w:rPr>
                <w:rFonts w:hint="eastAsia" w:ascii="宋体" w:hAnsi="宋体" w:eastAsia="宋体" w:cs="宋体"/>
                <w:szCs w:val="22"/>
              </w:rPr>
            </w:r>
            <w:r/>
          </w:p>
        </w:tc>
      </w:tr>
      <w:tr>
        <w:trPr>
          <w:trHeight w:val="464"/>
        </w:trPr>
        <w:tc>
          <w:tcPr>
            <w:tcW w:w="692" w:type="dxa"/>
            <w:vAlign w:val="center"/>
            <w:textDirection w:val="lrTb"/>
            <w:noWrap w:val="false"/>
          </w:tcPr>
          <w:p>
            <w:pPr>
              <w:pStyle w:val="86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spacing w:line="264" w:lineRule="auto"/>
        <w:rPr>
          <w:rFonts w:hint="eastAsia"/>
        </w:rPr>
      </w:pPr>
      <w:r>
        <w:rPr>
          <w:rFonts w:hint="eastAsia"/>
        </w:rPr>
      </w:r>
      <w:r/>
    </w:p>
    <w:p>
      <w:pPr>
        <w:pStyle w:val="869"/>
        <w:spacing w:line="288" w:lineRule="auto"/>
        <w:rPr>
          <w:rFonts w:hint="eastAsia"/>
        </w:rPr>
      </w:pPr>
      <w:r>
        <w:rPr>
          <w:rFonts w:hint="eastAsia"/>
        </w:rPr>
      </w:r>
      <w:r/>
    </w:p>
    <w:p>
      <w:pPr>
        <w:pStyle w:val="950"/>
        <w:spacing w:line="288" w:lineRule="auto"/>
        <w:rPr>
          <w:rFonts w:hint="eastAsia"/>
        </w:rPr>
      </w:pPr>
      <w:r>
        <w:rPr>
          <w:rFonts w:hint="eastAsia"/>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sz w:val="72"/>
          <w:szCs w:val="21"/>
        </w:rPr>
      </w:pPr>
      <w:r/>
      <w:bookmarkStart w:id="22" w:name="_Toc120614282"/>
      <w:r/>
      <w:bookmarkStart w:id="23" w:name="_Toc49090576"/>
      <w:r/>
      <w:bookmarkStart w:id="24" w:name="_Toc26554094"/>
      <w:r/>
      <w:bookmarkStart w:id="25" w:name="_Hlt26955039"/>
      <w:r/>
      <w:bookmarkEnd w:id="25"/>
      <w:r/>
      <w:bookmarkStart w:id="26" w:name="_Hlt26671244"/>
      <w:r/>
      <w:bookmarkEnd w:id="2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ascii="宋体" w:hAnsi="宋体" w:cs="宋体"/>
          <w:sz w:val="28"/>
          <w:szCs w:val="28"/>
        </w:rPr>
      </w:pPr>
      <w:r>
        <w:rPr>
          <w:rFonts w:ascii="宋体" w:hAnsi="宋体" w:cs="宋体"/>
          <w:sz w:val="28"/>
          <w:szCs w:val="28"/>
        </w:rPr>
        <w:t xml:space="preserve">五、</w:t>
      </w:r>
      <w:r>
        <w:rPr>
          <w:rFonts w:hint="eastAsia" w:ascii="宋体" w:hAnsi="宋体" w:cs="宋体"/>
          <w:sz w:val="28"/>
          <w:szCs w:val="28"/>
        </w:rPr>
        <w:t xml:space="preserve">磋商报价表</w:t>
      </w:r>
      <w:r>
        <w:rPr>
          <w:rFonts w:ascii="宋体" w:hAnsi="宋体" w:cs="宋体"/>
          <w:sz w:val="28"/>
          <w:szCs w:val="28"/>
        </w:rPr>
      </w:r>
      <w:r/>
    </w:p>
    <w:p>
      <w:pPr>
        <w:pStyle w:val="869"/>
        <w:ind w:firstLine="560"/>
        <w:spacing w:line="600" w:lineRule="exact"/>
        <w:rPr>
          <w:rFonts w:ascii="宋体" w:hAnsi="宋体" w:cs="宋体"/>
          <w:sz w:val="28"/>
          <w:szCs w:val="28"/>
        </w:rPr>
      </w:pPr>
      <w:r>
        <w:rPr>
          <w:rFonts w:ascii="宋体" w:hAnsi="宋体" w:cs="宋体"/>
          <w:sz w:val="28"/>
          <w:szCs w:val="28"/>
        </w:rPr>
        <w:t xml:space="preserve">六</w:t>
      </w:r>
      <w:r>
        <w:rPr>
          <w:rFonts w:hint="eastAsia" w:ascii="宋体" w:hAnsi="宋体" w:cs="宋体"/>
          <w:sz w:val="28"/>
          <w:szCs w:val="28"/>
        </w:rPr>
        <w:t xml:space="preserve">、分项报价表（如有）</w:t>
      </w:r>
      <w:r>
        <w:rPr>
          <w:rFonts w:ascii="宋体" w:hAnsi="宋体" w:cs="宋体"/>
          <w:sz w:val="28"/>
          <w:szCs w:val="28"/>
        </w:rPr>
      </w:r>
      <w:r/>
    </w:p>
    <w:p>
      <w:pPr>
        <w:pStyle w:val="869"/>
        <w:ind w:firstLine="560"/>
        <w:spacing w:line="600" w:lineRule="exact"/>
        <w:rPr>
          <w:rFonts w:ascii="宋体" w:hAnsi="宋体"/>
          <w:sz w:val="24"/>
        </w:rPr>
      </w:pPr>
      <w:r>
        <w:rPr>
          <w:rFonts w:hint="eastAsia" w:ascii="宋体" w:hAnsi="宋体" w:cs="宋体"/>
          <w:sz w:val="28"/>
          <w:szCs w:val="28"/>
        </w:rPr>
        <w:t xml:space="preserve">七、技术要求响应及偏离表</w:t>
      </w:r>
      <w:r>
        <w:rPr>
          <w:rFonts w:ascii="宋体" w:hAnsi="宋体"/>
          <w:sz w:val="24"/>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spacing w:line="440" w:lineRule="exact"/>
        <w:rPr>
          <w:rFonts w:hint="eastAsia" w:ascii="宋体" w:hAnsi="宋体"/>
          <w:b/>
          <w:bCs/>
          <w:szCs w:val="21"/>
        </w:rPr>
      </w:pPr>
      <w:r>
        <w:rPr>
          <w:rFonts w:hint="eastAsia" w:ascii="宋体" w:hAnsi="宋体"/>
          <w:b/>
          <w:bCs/>
          <w:szCs w:val="21"/>
        </w:rPr>
      </w:r>
      <w:r/>
    </w:p>
    <w:p>
      <w:pPr>
        <w:pStyle w:val="950"/>
        <w:rPr>
          <w:rFonts w:hint="eastAsia"/>
        </w:rPr>
      </w:pPr>
      <w:r>
        <w:rPr>
          <w:rFonts w:hint="eastAsia"/>
        </w:rPr>
      </w:r>
      <w:r/>
    </w:p>
    <w:p>
      <w:pPr>
        <w:pStyle w:val="869"/>
        <w:rPr>
          <w:rFonts w:hint="eastAsia" w:ascii="黑体" w:hAnsi="黑体" w:eastAsia="黑体"/>
          <w:sz w:val="32"/>
          <w:szCs w:val="32"/>
        </w:rPr>
      </w:pPr>
      <w:r/>
      <w:bookmarkEnd w:id="22"/>
      <w:r/>
      <w:bookmarkEnd w:id="23"/>
      <w:r/>
      <w:bookmarkEnd w:id="24"/>
      <w:r/>
      <w:bookmarkStart w:id="27"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960"/>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0"/>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0"/>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0"/>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0"/>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0"/>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0"/>
        <w:ind w:firstLine="480"/>
        <w:spacing w:line="480" w:lineRule="auto"/>
        <w:tabs>
          <w:tab w:val="left" w:pos="360" w:leader="none"/>
        </w:tabs>
        <w:rPr>
          <w:rFonts w:hint="eastAsia"/>
          <w:sz w:val="24"/>
          <w:szCs w:val="24"/>
        </w:rPr>
      </w:pPr>
      <w:r>
        <w:rPr>
          <w:rFonts w:hint="eastAsia"/>
          <w:sz w:val="24"/>
          <w:szCs w:val="24"/>
        </w:rPr>
        <w:t xml:space="preserve">日    期：</w:t>
      </w:r>
      <w:bookmarkStart w:id="28" w:name="_Hlt26955070"/>
      <w:r/>
      <w:bookmarkEnd w:id="28"/>
      <w:r/>
      <w:bookmarkStart w:id="29" w:name="_格式3__银行出具的资信证明"/>
      <w:r/>
      <w:bookmarkEnd w:id="29"/>
      <w:r/>
      <w:bookmarkStart w:id="30" w:name="_Hlt26671380"/>
      <w:r/>
      <w:bookmarkEnd w:id="30"/>
      <w:r>
        <w:rPr>
          <w:rFonts w:hint="eastAsia"/>
          <w:sz w:val="24"/>
          <w:szCs w:val="24"/>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r/>
    </w:p>
    <w:p>
      <w:pPr>
        <w:ind w:firstLine="480"/>
        <w:tabs>
          <w:tab w:val="left" w:pos="360" w:leader="none"/>
        </w:tabs>
        <w:rPr>
          <w:rFonts w:hint="eastAsia"/>
          <w:sz w:val="24"/>
          <w:szCs w:val="24"/>
          <w:u w:val="single"/>
        </w:rPr>
      </w:pPr>
      <w:r>
        <w:rPr>
          <w:rFonts w:hint="eastAsia"/>
          <w:sz w:val="24"/>
          <w:szCs w:val="24"/>
          <w:u w:val="single"/>
        </w:rPr>
      </w: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1"/>
        </w:rPr>
      </w:r>
      <w:r/>
    </w:p>
    <w:p>
      <w:pPr>
        <w:pStyle w:val="962"/>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8.我方与本磋商有关的正式通讯地址为：</w:t>
      </w:r>
      <w:r>
        <w:rPr>
          <w:rFonts w:hint="eastAsia" w:ascii="宋体" w:hAnsi="宋体"/>
          <w:sz w:val="24"/>
          <w:szCs w:val="21"/>
        </w:rPr>
      </w:r>
      <w:r/>
    </w:p>
    <w:p>
      <w:pPr>
        <w:pStyle w:val="962"/>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2"/>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szCs w:val="21"/>
        </w:rPr>
      </w:r>
      <w:r>
        <w:rPr>
          <w:rFonts w:hint="eastAsia" w:ascii="宋体" w:hAnsi="宋体"/>
          <w:szCs w:val="21"/>
        </w:rPr>
      </w:r>
      <w:r/>
    </w:p>
    <w:p>
      <w:pPr>
        <w:rPr>
          <w:rFonts w:hint="eastAsia" w:ascii="宋体" w:hAnsi="宋体"/>
        </w:rPr>
      </w:pPr>
      <w:r>
        <w:rPr>
          <w:rFonts w:hint="eastAsia" w:ascii="宋体" w:hAnsi="宋体"/>
        </w:rPr>
      </w:r>
      <w:r>
        <w:rPr>
          <w:rFonts w:hint="eastAsia" w:ascii="宋体" w:hAnsi="宋体"/>
        </w:rPr>
      </w:r>
      <w:r/>
    </w:p>
    <w:p>
      <w:pPr>
        <w:pStyle w:val="869"/>
        <w:rPr>
          <w:rFonts w:hint="eastAsia" w:ascii="宋体" w:hAnsi="宋体"/>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69"/>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74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482"/>
        <w:spacing w:line="480" w:lineRule="exact"/>
        <w:rPr>
          <w:rFonts w:hint="eastAsia" w:ascii="宋体" w:hAnsi="宋体"/>
          <w:b/>
          <w:bCs/>
          <w:sz w:val="24"/>
          <w:szCs w:val="24"/>
        </w:rPr>
      </w:pPr>
      <w:r>
        <w:rPr>
          <w:rFonts w:hint="eastAsia" w:ascii="宋体" w:hAnsi="宋体"/>
          <w:b/>
          <w:bCs/>
          <w:sz w:val="24"/>
          <w:szCs w:val="24"/>
        </w:rPr>
        <w:t xml:space="preserve">备注：供应商报价低于采购项目预算50%，或者低于采购项目最高限价45%，或者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磋商小组将启动异常低价投标审查机制，供应商应</w:t>
      </w:r>
      <w:r>
        <w:rPr>
          <w:rFonts w:hint="eastAsia" w:ascii="宋体" w:hAnsi="宋体"/>
          <w:b/>
          <w:bCs/>
          <w:sz w:val="24"/>
          <w:szCs w:val="24"/>
          <w:lang w:val="zh-CN"/>
        </w:rPr>
        <w:t xml:space="preserve">在</w:t>
      </w:r>
      <w:r>
        <w:rPr>
          <w:rFonts w:hint="eastAsia" w:ascii="宋体" w:hAnsi="宋体"/>
          <w:b/>
          <w:bCs/>
          <w:sz w:val="24"/>
          <w:szCs w:val="24"/>
        </w:rPr>
        <w:t xml:space="preserve">磋商小组规定的合理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w:t>
      </w:r>
      <w:r>
        <w:rPr>
          <w:rFonts w:hint="eastAsia" w:ascii="宋体" w:hAnsi="宋体"/>
          <w:b/>
          <w:bCs/>
          <w:sz w:val="24"/>
          <w:szCs w:val="24"/>
        </w:rPr>
        <w:t xml:space="preserve">供应商不提供书面说明及证明材料，或者书面说明、证明材料</w:t>
      </w:r>
      <w:r>
        <w:rPr>
          <w:rFonts w:hint="eastAsia" w:ascii="宋体" w:hAnsi="宋体"/>
          <w:b/>
          <w:bCs/>
          <w:sz w:val="24"/>
          <w:szCs w:val="24"/>
          <w:lang w:val="zh-CN"/>
        </w:rPr>
        <w:t xml:space="preserve">不能证明其报价合理性的，将作为无效</w:t>
      </w:r>
      <w:r>
        <w:rPr>
          <w:rFonts w:hint="eastAsia" w:ascii="宋体" w:hAnsi="宋体"/>
          <w:b/>
          <w:bCs/>
          <w:sz w:val="24"/>
          <w:szCs w:val="24"/>
        </w:rPr>
        <w:t xml:space="preserve">响应</w:t>
      </w:r>
      <w:r>
        <w:rPr>
          <w:rFonts w:hint="eastAsia" w:ascii="宋体" w:hAnsi="宋体"/>
          <w:b/>
          <w:bCs/>
          <w:sz w:val="24"/>
          <w:szCs w:val="24"/>
          <w:lang w:val="zh-CN"/>
        </w:rPr>
        <w:t xml:space="preserve">处理。</w:t>
      </w:r>
      <w:r>
        <w:rPr>
          <w:rFonts w:hint="eastAsia" w:ascii="宋体" w:hAnsi="宋体"/>
          <w:b/>
          <w:bCs/>
          <w:sz w:val="24"/>
          <w:szCs w:val="24"/>
        </w:rPr>
      </w:r>
      <w:r/>
    </w:p>
    <w:p>
      <w:pPr>
        <w:pStyle w:val="942"/>
        <w:rPr>
          <w:rFonts w:hint="eastAsia"/>
        </w:rPr>
      </w:pPr>
      <w:r>
        <w:rPr>
          <w:rFonts w:hint="eastAsia"/>
        </w:rPr>
      </w:r>
      <w:r/>
    </w:p>
    <w:p>
      <w:pPr>
        <w:pStyle w:val="95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rPr>
          <w:rFonts w:hint="eastAsia" w:ascii="黑体" w:hAnsi="黑体" w:eastAsia="黑体" w:cs="Times New Roman"/>
          <w:sz w:val="32"/>
          <w:szCs w:val="32"/>
          <w:lang w:val="en-US"/>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95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pPr>
            <w:r>
              <w:rPr>
                <w:rFonts w:hint="eastAsia" w:ascii="宋体" w:hAnsi="宋体"/>
                <w:sz w:val="24"/>
                <w:szCs w:val="24"/>
              </w:rPr>
              <w:t xml:space="preserve">单价（元）</w:t>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6"/>
        <w:ind w:firstLine="480"/>
        <w:jc w:val="both"/>
        <w:spacing w:before="0" w:beforeAutospacing="0" w:after="0" w:afterAutospacing="0" w:line="360" w:lineRule="auto"/>
        <w:rPr>
          <w:color w:val="000000"/>
        </w:rPr>
      </w:pPr>
      <w:r>
        <w:rPr>
          <w:color w:val="000000"/>
        </w:rPr>
        <w:t xml:space="preserve">备注： </w:t>
      </w:r>
      <w:r>
        <w:rPr>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36"/>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936"/>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869"/>
        <w:rPr>
          <w:rFonts w:hint="eastAsia" w:ascii="黑体" w:hAnsi="黑体" w:eastAsia="黑体"/>
          <w:iCs/>
          <w:sz w:val="32"/>
          <w:szCs w:val="32"/>
        </w:rPr>
      </w:pPr>
      <w:r>
        <w:rPr>
          <w:rFonts w:hint="eastAsia" w:ascii="黑体" w:hAnsi="黑体" w:eastAsia="黑体"/>
          <w:i/>
          <w:sz w:val="32"/>
          <w:szCs w:val="32"/>
          <w:u w:val="single"/>
        </w:rPr>
        <w:br w:type="page" w:clear="all"/>
      </w:r>
      <w:bookmarkEnd w:id="16"/>
      <w:r/>
      <w:bookmarkEnd w:id="17"/>
      <w:r/>
      <w:bookmarkEnd w:id="27"/>
      <w:r>
        <w:rPr>
          <w:rFonts w:hint="eastAsia" w:ascii="黑体" w:hAnsi="黑体" w:eastAsia="黑体"/>
          <w:iCs/>
          <w:sz w:val="32"/>
          <w:szCs w:val="32"/>
        </w:rPr>
        <w:t xml:space="preserve">七、技术要求响应及偏离表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pPr>
      <w:r>
        <w:t xml:space="preserve">备注： </w:t>
      </w:r>
      <w:r/>
    </w:p>
    <w:p>
      <w:pPr>
        <w:pStyle w:val="936"/>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869"/>
        <w:rPr>
          <w:rFonts w:hint="eastAsia" w:ascii="黑体" w:hAnsi="黑体" w:eastAsia="黑体"/>
          <w:iCs/>
          <w:sz w:val="32"/>
          <w:szCs w:val="32"/>
        </w:rPr>
      </w:pPr>
      <w:r/>
      <w:bookmarkStart w:id="31" w:name="_Hlt26955054"/>
      <w:r/>
      <w:bookmarkEnd w:id="31"/>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32" w:name="_Hlt24879081"/>
            <w:r/>
            <w:bookmarkEnd w:id="32"/>
            <w:r/>
            <w:bookmarkStart w:id="33" w:name="_Hlt26955056"/>
            <w:r/>
            <w:bookmarkEnd w:id="33"/>
            <w:r/>
            <w:bookmarkStart w:id="34" w:name="_Hlt26580838"/>
            <w:r/>
            <w:bookmarkEnd w:id="34"/>
            <w:r/>
            <w:bookmarkStart w:id="35" w:name="_Hlt26955064"/>
            <w:r/>
            <w:bookmarkEnd w:id="35"/>
            <w:r/>
            <w:bookmarkStart w:id="36" w:name="_Hlt26782999"/>
            <w:r/>
            <w:bookmarkEnd w:id="36"/>
            <w:r/>
            <w:bookmarkStart w:id="37" w:name="_Hlt26609391"/>
            <w:r/>
            <w:bookmarkEnd w:id="37"/>
            <w:r/>
            <w:bookmarkStart w:id="38" w:name="_Hlt26671372"/>
            <w:r/>
            <w:bookmarkEnd w:id="38"/>
            <w:r/>
            <w:bookmarkStart w:id="39" w:name="_Hlt26671343"/>
            <w:r/>
            <w:bookmarkEnd w:id="39"/>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6"/>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6"/>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942"/>
      </w:pPr>
      <w:r/>
      <w:r/>
    </w:p>
    <w:p>
      <w:r/>
      <w:r/>
    </w:p>
    <w:p>
      <w:r/>
      <w:r/>
    </w:p>
    <w:p>
      <w:r/>
      <w:r/>
    </w:p>
    <w:p>
      <w:r/>
      <w:r/>
    </w:p>
    <w:p>
      <w:r/>
      <w:r/>
    </w:p>
    <w:p>
      <w:r/>
      <w:r/>
    </w:p>
    <w:p>
      <w:r/>
      <w:r/>
    </w:p>
    <w:p>
      <w:pPr>
        <w:pStyle w:val="869"/>
      </w:pPr>
      <w:r/>
      <w:r/>
    </w:p>
    <w:p>
      <w:pPr>
        <w:pStyle w:val="942"/>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950"/>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FangSong_GB2312" w:hAnsi="FangSong_GB2312" w:eastAsia="FangSong_GB2312" w:cs="FangSong_GB2312"/>
          <w:sz w:val="24"/>
          <w:szCs w:val="24"/>
        </w:rPr>
        <w:t xml:space="preserve">〔</w:t>
      </w:r>
      <w:r>
        <w:rPr>
          <w:rFonts w:hint="eastAsia" w:ascii="宋体" w:hAnsi="宋体"/>
          <w:sz w:val="24"/>
          <w:szCs w:val="24"/>
        </w:rPr>
        <w:t xml:space="preserve">2011</w:t>
      </w:r>
      <w:r>
        <w:rPr>
          <w:rFonts w:hint="eastAsia" w:ascii="FangSong_GB2312" w:hAnsi="FangSong_GB2312" w:eastAsia="FangSong_GB2312" w:cs="FangSong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widowControl/>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360" w:lineRule="auto"/>
        <w:rPr>
          <w:rFonts w:hint="eastAsia" w:ascii="宋体" w:hAnsi="宋体"/>
          <w:sz w:val="24"/>
        </w:rPr>
      </w:pPr>
      <w:r>
        <w:rPr>
          <w:rFonts w:hint="eastAsia" w:ascii="宋体" w:hAnsi="宋体"/>
          <w:sz w:val="24"/>
        </w:rPr>
      </w:r>
      <w:r/>
    </w:p>
    <w:p>
      <w:pPr>
        <w:pStyle w:val="86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rPr>
          <w:rFonts w:hint="eastAsia" w:ascii="宋体" w:hAnsi="宋体"/>
          <w:sz w:val="24"/>
        </w:rPr>
      </w:r>
      <w:r/>
    </w:p>
    <w:p>
      <w:pPr>
        <w:pStyle w:val="942"/>
        <w:ind w:firstLine="480"/>
        <w:rPr>
          <w:rFonts w:hint="eastAsia"/>
          <w:sz w:val="24"/>
        </w:rPr>
      </w:pPr>
      <w:r>
        <w:rPr>
          <w:rFonts w:hint="eastAsia"/>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869"/>
        <w:jc w:val="left"/>
        <w:spacing w:line="360" w:lineRule="auto"/>
        <w:rPr>
          <w:rFonts w:hint="eastAsia" w:ascii="黑体" w:hAnsi="黑体" w:eastAsia="黑体"/>
          <w:iCs/>
          <w:sz w:val="32"/>
          <w:szCs w:val="32"/>
          <w:highlight w:val="none"/>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869"/>
        <w:rPr>
          <w:rFonts w:hint="eastAsia"/>
        </w:rPr>
      </w:pPr>
      <w:r>
        <w:rPr>
          <w:rFonts w:hint="eastAsia"/>
        </w:rPr>
      </w:r>
      <w:r/>
    </w:p>
    <w:p>
      <w:pPr>
        <w:pStyle w:val="869"/>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869"/>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69"/>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869"/>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869"/>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869"/>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869"/>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869"/>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869"/>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rPr>
          <w:rFonts w:hint="eastAsia" w:ascii="方正小标宋简体" w:hAnsi="方正小标宋简体" w:eastAsia="方正小标宋简体" w:cs="方正小标宋简体"/>
          <w:sz w:val="32"/>
          <w:szCs w:val="32"/>
        </w:rPr>
      </w:r>
      <w:r/>
    </w:p>
    <w:p>
      <w:pPr>
        <w:pStyle w:val="942"/>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FangSong_GB2312">
    <w:panose1 w:val="02010609060101010101"/>
  </w:font>
  <w:font w:name="Symbol">
    <w:panose1 w:val="05050102010706020507"/>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２４</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KaiTi_GB2312" w:hAnsi="Times New Roman" w:eastAsia="KaiTi_GB2312" w:cs="Times New Roman"/>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1"/>
    <w:basedOn w:val="882"/>
    <w:next w:val="869"/>
    <w:link w:val="869"/>
    <w:qFormat/>
    <w:pPr>
      <w:ind w:firstLine="420"/>
      <w:spacing w:line="360" w:lineRule="auto"/>
    </w:pPr>
    <w:rPr>
      <w:rFonts w:ascii="宋体" w:hAnsi="宋体" w:eastAsia="宋体"/>
      <w:sz w:val="21"/>
      <w:szCs w:val="20"/>
    </w:rPr>
  </w:style>
  <w:style w:type="paragraph" w:styleId="882">
    <w:name w:val="正文文本缩进1"/>
    <w:basedOn w:val="869"/>
    <w:next w:val="883"/>
    <w:link w:val="869"/>
    <w:unhideWhenUsed/>
    <w:qFormat/>
    <w:pPr>
      <w:ind w:left="420"/>
      <w:spacing w:after="120"/>
    </w:pPr>
  </w:style>
  <w:style w:type="paragraph" w:styleId="883">
    <w:name w:val="寄信人地址1"/>
    <w:basedOn w:val="869"/>
    <w:next w:val="883"/>
    <w:link w:val="869"/>
    <w:qFormat/>
    <w:rPr>
      <w:rFonts w:ascii="Arial" w:hAnsi="Arial" w:eastAsia="宋体" w:cs="宋体"/>
    </w:rPr>
  </w:style>
  <w:style w:type="character" w:styleId="884">
    <w:name w:val="标题 1 Char"/>
    <w:next w:val="884"/>
    <w:link w:val="870"/>
    <w:rPr>
      <w:rFonts w:ascii="KaiTi_GB2312" w:hAnsi="Times New Roman" w:eastAsia="KaiTi_GB2312" w:cs="Times New Roman"/>
      <w:sz w:val="28"/>
      <w:szCs w:val="28"/>
    </w:rPr>
  </w:style>
  <w:style w:type="character" w:styleId="885">
    <w:name w:val="标题 2 Char"/>
    <w:next w:val="885"/>
    <w:link w:val="871"/>
    <w:qFormat/>
    <w:rPr>
      <w:rFonts w:ascii="Arial" w:hAnsi="Arial" w:eastAsia="幼圆" w:cs="Arial"/>
      <w:b/>
      <w:bCs/>
      <w:sz w:val="44"/>
      <w:szCs w:val="44"/>
    </w:rPr>
  </w:style>
  <w:style w:type="paragraph" w:styleId="886">
    <w:name w:val="正文缩进"/>
    <w:basedOn w:val="869"/>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2"/>
    <w:qFormat/>
    <w:rPr>
      <w:rFonts w:ascii="Times New Roman" w:hAnsi="Times New Roman" w:eastAsia="宋体" w:cs="Times New Roman"/>
      <w:b/>
      <w:bCs/>
      <w:sz w:val="32"/>
      <w:szCs w:val="32"/>
    </w:rPr>
  </w:style>
  <w:style w:type="character" w:styleId="889">
    <w:name w:val="标题 4 Char"/>
    <w:next w:val="889"/>
    <w:link w:val="873"/>
    <w:qFormat/>
    <w:rPr>
      <w:rFonts w:ascii="Arial" w:hAnsi="Arial" w:eastAsia="黑体" w:cs="Arial"/>
      <w:b/>
      <w:bCs/>
      <w:sz w:val="28"/>
      <w:szCs w:val="28"/>
    </w:rPr>
  </w:style>
  <w:style w:type="character" w:styleId="890">
    <w:name w:val="标题 5 Char"/>
    <w:next w:val="890"/>
    <w:link w:val="874"/>
    <w:qFormat/>
    <w:rPr>
      <w:rFonts w:ascii="宋体" w:hAnsi="Times New Roman" w:eastAsia="宋体" w:cs="Times New Roman"/>
      <w:color w:val="000000"/>
      <w:sz w:val="28"/>
      <w:szCs w:val="28"/>
    </w:rPr>
  </w:style>
  <w:style w:type="character" w:styleId="891">
    <w:name w:val="标题 6 Char"/>
    <w:next w:val="891"/>
    <w:link w:val="875"/>
    <w:qFormat/>
    <w:rPr>
      <w:rFonts w:ascii="Arial" w:hAnsi="Arial" w:eastAsia="黑体" w:cs="Times New Roman"/>
      <w:b/>
      <w:bCs/>
      <w:sz w:val="24"/>
      <w:szCs w:val="24"/>
    </w:rPr>
  </w:style>
  <w:style w:type="character" w:styleId="892">
    <w:name w:val="标题 7 Char"/>
    <w:next w:val="892"/>
    <w:link w:val="876"/>
    <w:qFormat/>
    <w:rPr>
      <w:rFonts w:ascii="Times New Roman" w:hAnsi="Times New Roman" w:eastAsia="宋体" w:cs="Times New Roman"/>
      <w:b/>
      <w:bCs/>
      <w:sz w:val="24"/>
      <w:szCs w:val="24"/>
    </w:rPr>
  </w:style>
  <w:style w:type="character" w:styleId="893">
    <w:name w:val="标题 8 Char"/>
    <w:next w:val="893"/>
    <w:link w:val="877"/>
    <w:qFormat/>
    <w:rPr>
      <w:rFonts w:ascii="Arial" w:hAnsi="Arial" w:eastAsia="黑体" w:cs="Times New Roman"/>
      <w:sz w:val="24"/>
      <w:szCs w:val="24"/>
    </w:rPr>
  </w:style>
  <w:style w:type="character" w:styleId="894">
    <w:name w:val="标题 9 Char"/>
    <w:next w:val="894"/>
    <w:link w:val="878"/>
    <w:qFormat/>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jc w:val="left"/>
    </w:pPr>
  </w:style>
  <w:style w:type="character" w:styleId="900">
    <w:name w:val="批注文字 Char"/>
    <w:next w:val="900"/>
    <w:link w:val="899"/>
    <w:uiPriority w:val="99"/>
    <w:semiHidden/>
    <w:qFormat/>
  </w:style>
  <w:style w:type="paragraph" w:styleId="901">
    <w:name w:val="正文文本 3"/>
    <w:basedOn w:val="869"/>
    <w:next w:val="901"/>
    <w:link w:val="902"/>
    <w:rPr>
      <w:rFonts w:ascii="FangSong_GB2312" w:hAnsi="Arial" w:eastAsia="FangSong_GB2312" w:cs="Times New Roman"/>
      <w:sz w:val="32"/>
      <w:szCs w:val="32"/>
    </w:rPr>
  </w:style>
  <w:style w:type="character" w:styleId="902">
    <w:name w:val="正文文本 3 Char"/>
    <w:next w:val="902"/>
    <w:link w:val="901"/>
    <w:qFormat/>
    <w:rPr>
      <w:rFonts w:ascii="FangSong_GB2312" w:hAnsi="Arial" w:eastAsia="FangSong_GB2312" w:cs="Times New Roman"/>
      <w:sz w:val="32"/>
      <w:szCs w:val="32"/>
    </w:rPr>
  </w:style>
  <w:style w:type="paragraph" w:styleId="903">
    <w:name w:val="正文文本"/>
    <w:basedOn w:val="869"/>
    <w:next w:val="903"/>
    <w:link w:val="904"/>
    <w:qFormat/>
    <w:rPr>
      <w:rFonts w:ascii="KaiTi_GB2312" w:hAnsi="Arial" w:eastAsia="KaiTi_GB2312" w:cs="Times New Roman"/>
      <w:sz w:val="28"/>
      <w:szCs w:val="28"/>
    </w:rPr>
  </w:style>
  <w:style w:type="character" w:styleId="904">
    <w:name w:val="正文文本 Char"/>
    <w:next w:val="904"/>
    <w:link w:val="903"/>
    <w:rPr>
      <w:rFonts w:ascii="KaiTi_GB2312" w:hAnsi="Arial" w:eastAsia="KaiTi_GB2312" w:cs="Times New Roman"/>
      <w:sz w:val="28"/>
      <w:szCs w:val="28"/>
    </w:rPr>
  </w:style>
  <w:style w:type="paragraph" w:styleId="905">
    <w:name w:val="正文文本缩进"/>
    <w:basedOn w:val="869"/>
    <w:next w:val="907"/>
    <w:link w:val="906"/>
    <w:unhideWhenUsed/>
    <w:qFormat/>
    <w:pPr>
      <w:ind w:left="420"/>
      <w:spacing w:after="120"/>
    </w:pPr>
  </w:style>
  <w:style w:type="character" w:styleId="906">
    <w:name w:val="正文文本缩进 Char"/>
    <w:next w:val="906"/>
    <w:link w:val="905"/>
    <w:uiPriority w:val="99"/>
    <w:semiHidden/>
    <w:qFormat/>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qFormat/>
    <w:pPr>
      <w:ind w:left="100" w:hanging="200"/>
    </w:pPr>
    <w:rPr>
      <w:rFonts w:ascii="Times New Roman" w:hAnsi="Times New Roman" w:eastAsia="宋体" w:cs="Times New Roman"/>
      <w:szCs w:val="21"/>
    </w:rPr>
  </w:style>
  <w:style w:type="paragraph" w:styleId="909">
    <w:name w:val="索引 4"/>
    <w:basedOn w:val="869"/>
    <w:next w:val="869"/>
    <w:link w:val="869"/>
    <w:semiHidden/>
    <w:qFormat/>
    <w:pPr>
      <w:ind w:left="1260"/>
    </w:pPr>
    <w:rPr>
      <w:rFonts w:ascii="Calibri" w:hAnsi="Calibri" w:eastAsia="Calibri" w:cs="宋体"/>
      <w:sz w:val="20"/>
      <w:lang w:val="zh-CN"/>
    </w:rPr>
  </w:style>
  <w:style w:type="paragraph" w:styleId="910">
    <w:name w:val="目录 5"/>
    <w:basedOn w:val="869"/>
    <w:next w:val="869"/>
    <w:link w:val="869"/>
    <w:semiHidden/>
    <w:qFormat/>
    <w:pPr>
      <w:ind w:left="840"/>
      <w:jc w:val="left"/>
    </w:pPr>
    <w:rPr>
      <w:rFonts w:ascii="Times New Roman" w:hAnsi="Times New Roman" w:eastAsia="宋体" w:cs="Times New Roman"/>
      <w:szCs w:val="21"/>
    </w:rPr>
  </w:style>
  <w:style w:type="paragraph" w:styleId="911">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2">
    <w:name w:val="纯文本"/>
    <w:basedOn w:val="869"/>
    <w:next w:val="912"/>
    <w:link w:val="913"/>
    <w:qFormat/>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69"/>
    <w:next w:val="869"/>
    <w:link w:val="869"/>
    <w:semiHidden/>
    <w:qFormat/>
    <w:pPr>
      <w:ind w:left="1470"/>
      <w:jc w:val="left"/>
    </w:pPr>
    <w:rPr>
      <w:rFonts w:ascii="Times New Roman" w:hAnsi="Times New Roman" w:eastAsia="宋体" w:cs="Times New Roman"/>
      <w:szCs w:val="21"/>
    </w:rPr>
  </w:style>
  <w:style w:type="paragraph" w:styleId="915">
    <w:name w:val="日期"/>
    <w:basedOn w:val="869"/>
    <w:next w:val="869"/>
    <w:link w:val="916"/>
    <w:qFormat/>
    <w:rPr>
      <w:rFonts w:ascii="Times New Roman" w:hAnsi="Times New Roman" w:eastAsia="宋体" w:cs="Times New Roman"/>
      <w:sz w:val="24"/>
      <w:szCs w:val="24"/>
    </w:rPr>
  </w:style>
  <w:style w:type="character" w:styleId="916">
    <w:name w:val="日期 Char"/>
    <w:next w:val="916"/>
    <w:link w:val="915"/>
    <w:qFormat/>
    <w:rPr>
      <w:rFonts w:ascii="Times New Roman" w:hAnsi="Times New Roman" w:eastAsia="宋体" w:cs="Times New Roman"/>
      <w:sz w:val="24"/>
      <w:szCs w:val="24"/>
    </w:rPr>
  </w:style>
  <w:style w:type="paragraph" w:styleId="917">
    <w:name w:val="正文文本缩进 2"/>
    <w:basedOn w:val="869"/>
    <w:next w:val="917"/>
    <w:link w:val="918"/>
    <w:qFormat/>
    <w:pPr>
      <w:ind w:left="630" w:firstLine="645"/>
    </w:pPr>
    <w:rPr>
      <w:rFonts w:ascii="Arial" w:hAnsi="Arial" w:eastAsia="FangSong_GB2312" w:cs="Arial"/>
      <w:sz w:val="32"/>
      <w:szCs w:val="32"/>
    </w:rPr>
  </w:style>
  <w:style w:type="character" w:styleId="918">
    <w:name w:val="正文文本缩进 2 Char"/>
    <w:next w:val="918"/>
    <w:link w:val="917"/>
    <w:qFormat/>
    <w:rPr>
      <w:rFonts w:ascii="Arial" w:hAnsi="Arial" w:eastAsia="FangSong_GB2312" w:cs="Arial"/>
      <w:sz w:val="32"/>
      <w:szCs w:val="32"/>
    </w:rPr>
  </w:style>
  <w:style w:type="paragraph" w:styleId="919">
    <w:name w:val="批注框文本"/>
    <w:basedOn w:val="869"/>
    <w:next w:val="919"/>
    <w:link w:val="920"/>
    <w:semiHidden/>
    <w:rPr>
      <w:rFonts w:ascii="Times New Roman" w:hAnsi="Times New Roman" w:eastAsia="宋体" w:cs="Times New Roman"/>
      <w:sz w:val="18"/>
      <w:szCs w:val="18"/>
    </w:rPr>
  </w:style>
  <w:style w:type="character" w:styleId="920">
    <w:name w:val="批注框文本 Char"/>
    <w:next w:val="920"/>
    <w:link w:val="919"/>
    <w:semiHidden/>
    <w:qFormat/>
    <w:rPr>
      <w:rFonts w:ascii="Times New Roman" w:hAnsi="Times New Roman" w:eastAsia="宋体" w:cs="Times New Roman"/>
      <w:sz w:val="18"/>
      <w:szCs w:val="18"/>
    </w:rPr>
  </w:style>
  <w:style w:type="paragraph" w:styleId="921">
    <w:name w:val="页脚"/>
    <w:basedOn w:val="869"/>
    <w:next w:val="921"/>
    <w:link w:val="922"/>
    <w:qFormat/>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qFormat/>
    <w:rPr>
      <w:rFonts w:ascii="Times New Roman" w:hAnsi="Times New Roman" w:eastAsia="宋体" w:cs="Times New Roman"/>
      <w:sz w:val="18"/>
      <w:szCs w:val="18"/>
    </w:rPr>
  </w:style>
  <w:style w:type="paragraph" w:styleId="923">
    <w:name w:val="页眉"/>
    <w:basedOn w:val="869"/>
    <w:next w:val="923"/>
    <w:link w:val="92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69"/>
    <w:next w:val="869"/>
    <w:link w:val="869"/>
    <w:semiHidden/>
    <w:pPr>
      <w:ind w:left="630"/>
      <w:jc w:val="left"/>
    </w:pPr>
    <w:rPr>
      <w:rFonts w:ascii="Times New Roman" w:hAnsi="Times New Roman" w:eastAsia="宋体" w:cs="Times New Roman"/>
      <w:szCs w:val="21"/>
    </w:rPr>
  </w:style>
  <w:style w:type="paragraph" w:styleId="927">
    <w:name w:val="列表"/>
    <w:basedOn w:val="869"/>
    <w:next w:val="927"/>
    <w:link w:val="869"/>
    <w:qFormat/>
    <w:pPr>
      <w:ind w:left="200" w:hanging="200"/>
    </w:pPr>
    <w:rPr>
      <w:rFonts w:ascii="Times New Roman" w:hAnsi="Times New Roman" w:eastAsia="宋体" w:cs="Times New Roman"/>
      <w:szCs w:val="21"/>
    </w:rPr>
  </w:style>
  <w:style w:type="paragraph" w:styleId="928">
    <w:name w:val="目录 6"/>
    <w:basedOn w:val="869"/>
    <w:next w:val="869"/>
    <w:link w:val="869"/>
    <w:semiHidden/>
    <w:qFormat/>
    <w:pPr>
      <w:ind w:left="1050"/>
      <w:jc w:val="left"/>
    </w:pPr>
    <w:rPr>
      <w:rFonts w:ascii="Times New Roman" w:hAnsi="Times New Roman" w:eastAsia="宋体" w:cs="Times New Roman"/>
      <w:szCs w:val="21"/>
    </w:rPr>
  </w:style>
  <w:style w:type="paragraph" w:styleId="929">
    <w:name w:val="正文文本缩进 3"/>
    <w:basedOn w:val="869"/>
    <w:next w:val="929"/>
    <w:link w:val="930"/>
    <w:pPr>
      <w:ind w:left="645" w:firstLine="645"/>
    </w:pPr>
    <w:rPr>
      <w:rFonts w:ascii="Arial" w:hAnsi="Arial" w:eastAsia="FangSong_GB2312" w:cs="Arial"/>
      <w:color w:val="ffff00"/>
      <w:sz w:val="32"/>
      <w:szCs w:val="32"/>
    </w:rPr>
  </w:style>
  <w:style w:type="character" w:styleId="930">
    <w:name w:val="正文文本缩进 3 Char"/>
    <w:next w:val="930"/>
    <w:link w:val="929"/>
    <w:rPr>
      <w:rFonts w:ascii="Arial" w:hAnsi="Arial" w:eastAsia="FangSong_GB2312" w:cs="Arial"/>
      <w:color w:val="ffff00"/>
      <w:sz w:val="32"/>
      <w:szCs w:val="32"/>
    </w:rPr>
  </w:style>
  <w:style w:type="paragraph" w:styleId="931">
    <w:name w:val="图表目录"/>
    <w:basedOn w:val="869"/>
    <w:next w:val="869"/>
    <w:link w:val="869"/>
    <w:semiHidden/>
    <w:qFormat/>
    <w:pPr>
      <w:ind w:left="840" w:hanging="420"/>
    </w:pPr>
    <w:rPr>
      <w:rFonts w:ascii="Times New Roman" w:hAnsi="Times New Roman" w:eastAsia="宋体" w:cs="Times New Roman"/>
      <w:szCs w:val="21"/>
    </w:rPr>
  </w:style>
  <w:style w:type="paragraph" w:styleId="932">
    <w:name w:val="目录 2"/>
    <w:basedOn w:val="869"/>
    <w:next w:val="869"/>
    <w:link w:val="869"/>
    <w:semiHidden/>
    <w:pPr>
      <w:ind w:left="210"/>
      <w:jc w:val="left"/>
    </w:pPr>
    <w:rPr>
      <w:rFonts w:ascii="Times New Roman" w:hAnsi="Times New Roman" w:eastAsia="宋体" w:cs="Times New Roman"/>
      <w:smallCaps/>
      <w:szCs w:val="24"/>
    </w:rPr>
  </w:style>
  <w:style w:type="paragraph" w:styleId="933">
    <w:name w:val="目录 9"/>
    <w:basedOn w:val="869"/>
    <w:next w:val="869"/>
    <w:link w:val="869"/>
    <w:semiHidden/>
    <w:pPr>
      <w:ind w:left="1680"/>
      <w:jc w:val="left"/>
    </w:pPr>
    <w:rPr>
      <w:rFonts w:ascii="Times New Roman" w:hAnsi="Times New Roman" w:eastAsia="宋体" w:cs="Times New Roman"/>
      <w:szCs w:val="21"/>
    </w:rPr>
  </w:style>
  <w:style w:type="paragraph" w:styleId="934">
    <w:name w:val="正文文本 2"/>
    <w:basedOn w:val="869"/>
    <w:next w:val="934"/>
    <w:link w:val="935"/>
    <w:qFormat/>
    <w:pPr>
      <w:jc w:val="center"/>
      <w:widowControl/>
    </w:pPr>
    <w:rPr>
      <w:rFonts w:ascii="KaiTi_GB2312" w:hAnsi="Times New Roman" w:eastAsia="KaiTi_GB2312" w:cs="Times New Roman"/>
      <w:sz w:val="28"/>
      <w:szCs w:val="28"/>
    </w:rPr>
  </w:style>
  <w:style w:type="character" w:styleId="935">
    <w:name w:val="正文文本 2 Char"/>
    <w:next w:val="935"/>
    <w:link w:val="934"/>
    <w:qFormat/>
    <w:rPr>
      <w:rFonts w:ascii="KaiTi_GB2312" w:hAnsi="Times New Roman" w:eastAsia="KaiTi_GB2312" w:cs="Times New Roman"/>
      <w:sz w:val="28"/>
      <w:szCs w:val="28"/>
    </w:rPr>
  </w:style>
  <w:style w:type="paragraph" w:styleId="936">
    <w:name w:val="普通(网站)"/>
    <w:basedOn w:val="869"/>
    <w:next w:val="936"/>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7">
    <w:name w:val="索引 1"/>
    <w:basedOn w:val="869"/>
    <w:next w:val="869"/>
    <w:link w:val="869"/>
    <w:semiHidden/>
    <w:pPr>
      <w:spacing w:line="240" w:lineRule="atLeast"/>
    </w:pPr>
    <w:rPr>
      <w:rFonts w:ascii="Times New Roman" w:hAnsi="Times New Roman" w:eastAsia="宋体" w:cs="Times New Roman"/>
      <w:b/>
      <w:bCs/>
      <w:szCs w:val="21"/>
    </w:rPr>
  </w:style>
  <w:style w:type="paragraph" w:styleId="938">
    <w:name w:val="批注主题"/>
    <w:basedOn w:val="899"/>
    <w:next w:val="899"/>
    <w:link w:val="939"/>
    <w:semiHidden/>
    <w:qFormat/>
    <w:rPr>
      <w:rFonts w:ascii="Times New Roman" w:hAnsi="Times New Roman" w:eastAsia="宋体" w:cs="Times New Roman"/>
      <w:b/>
      <w:bCs/>
      <w:szCs w:val="21"/>
    </w:rPr>
  </w:style>
  <w:style w:type="character" w:styleId="939">
    <w:name w:val="批注主题 Char"/>
    <w:next w:val="939"/>
    <w:link w:val="938"/>
    <w:semiHidden/>
    <w:qFormat/>
    <w:rPr>
      <w:rFonts w:ascii="Times New Roman" w:hAnsi="Times New Roman" w:eastAsia="宋体" w:cs="Times New Roman"/>
      <w:b/>
      <w:bCs/>
      <w:szCs w:val="21"/>
    </w:rPr>
  </w:style>
  <w:style w:type="paragraph" w:styleId="940">
    <w:name w:val="正文首行缩进"/>
    <w:basedOn w:val="869"/>
    <w:next w:val="940"/>
    <w:link w:val="941"/>
    <w:pPr>
      <w:ind w:firstLine="200"/>
      <w:spacing w:line="360" w:lineRule="auto"/>
    </w:pPr>
    <w:rPr>
      <w:rFonts w:ascii="FangSong_GB2312" w:hAnsi="Times New Roman" w:eastAsia="FangSong_GB2312" w:cs="Times New Roman"/>
      <w:sz w:val="30"/>
      <w:szCs w:val="30"/>
    </w:rPr>
  </w:style>
  <w:style w:type="character" w:styleId="941">
    <w:name w:val="正文首行缩进 Char"/>
    <w:next w:val="941"/>
    <w:link w:val="940"/>
    <w:qFormat/>
    <w:rPr>
      <w:rFonts w:ascii="FangSong_GB2312" w:hAnsi="Times New Roman" w:eastAsia="FangSong_GB2312" w:cs="Times New Roman"/>
      <w:sz w:val="30"/>
      <w:szCs w:val="30"/>
    </w:rPr>
  </w:style>
  <w:style w:type="paragraph" w:styleId="942">
    <w:name w:val="正文首行缩进 2"/>
    <w:basedOn w:val="905"/>
    <w:next w:val="869"/>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80"/>
    <w:next w:val="944"/>
    <w:link w:val="869"/>
    <w:qFormat/>
    <w:pPr>
      <w:jc w:val="both"/>
      <w:widowControl w:val="off"/>
    </w:pPr>
    <w:rPr>
      <w:rFonts w:ascii="Times New Roman" w:hAnsi="Times New Roman" w:eastAsia="宋体" w:cs="Times New Roman"/>
      <w:sz w:val="20"/>
      <w:szCs w:val="20"/>
    </w:rPr>
    <w:tblPr/>
  </w:style>
  <w:style w:type="character" w:styleId="945">
    <w:name w:val="要点"/>
    <w:next w:val="945"/>
    <w:link w:val="869"/>
    <w:qFormat/>
    <w:rPr>
      <w:b/>
      <w:bCs/>
    </w:rPr>
  </w:style>
  <w:style w:type="character" w:styleId="946">
    <w:name w:val="页码"/>
    <w:next w:val="946"/>
    <w:link w:val="869"/>
    <w:qFormat/>
  </w:style>
  <w:style w:type="character" w:styleId="947">
    <w:name w:val="已访问的超链接"/>
    <w:next w:val="947"/>
    <w:link w:val="869"/>
    <w:rPr>
      <w:color w:val="800080"/>
      <w:u w:val="single"/>
    </w:rPr>
  </w:style>
  <w:style w:type="character" w:styleId="948">
    <w:name w:val="超链接"/>
    <w:next w:val="948"/>
    <w:link w:val="869"/>
    <w:rPr>
      <w:color w:val="0000ff"/>
      <w:u w:val="single"/>
    </w:rPr>
  </w:style>
  <w:style w:type="character" w:styleId="949">
    <w:name w:val="批注引用"/>
    <w:next w:val="949"/>
    <w:link w:val="869"/>
    <w:semiHidden/>
    <w:qFormat/>
    <w:rPr>
      <w:sz w:val="21"/>
      <w:szCs w:val="21"/>
    </w:rPr>
  </w:style>
  <w:style w:type="paragraph" w:styleId="950">
    <w:name w:val="索引 41"/>
    <w:basedOn w:val="869"/>
    <w:next w:val="869"/>
    <w:link w:val="869"/>
    <w:semiHidden/>
    <w:qFormat/>
    <w:pPr>
      <w:ind w:left="1260"/>
    </w:pPr>
    <w:rPr>
      <w:rFonts w:ascii="Calibri" w:hAnsi="Calibri" w:eastAsia="Calibri" w:cs="宋体"/>
      <w:sz w:val="20"/>
      <w:lang w:val="zh-CN"/>
    </w:rPr>
  </w:style>
  <w:style w:type="paragraph" w:styleId="951">
    <w:name w:val="正文文本首行缩进 2"/>
    <w:basedOn w:val="882"/>
    <w:next w:val="951"/>
    <w:link w:val="869"/>
    <w:qFormat/>
    <w:pPr>
      <w:ind w:left="0" w:firstLine="420"/>
      <w:spacing w:after="0" w:line="360" w:lineRule="auto"/>
    </w:pPr>
    <w:rPr>
      <w:rFonts w:ascii="宋体" w:hAnsi="宋体"/>
      <w:sz w:val="20"/>
      <w:szCs w:val="20"/>
      <w:lang w:val="en-US" w:eastAsia="en-US"/>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qFormat/>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
    <w:next w:val="955"/>
    <w:link w:val="956"/>
    <w:qFormat/>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qFormat/>
    <w:pPr>
      <w:spacing w:after="120"/>
    </w:pPr>
    <w:rPr>
      <w:rFonts w:ascii="宋体" w:hAnsi="Arial" w:eastAsia="宋体" w:cs="Times New Roman"/>
      <w:bCs/>
      <w:iCs/>
      <w:szCs w:val="24"/>
    </w:rPr>
  </w:style>
  <w:style w:type="paragraph" w:styleId="958">
    <w:name w:val="xl27"/>
    <w:basedOn w:val="869"/>
    <w:next w:val="958"/>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869"/>
    <w:next w:val="962"/>
    <w:link w:val="869"/>
    <w:qFormat/>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qFormat/>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9"/>
    <w:link w:val="869"/>
    <w:qFormat/>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qFormat/>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FangSong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qFormat/>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qFormat/>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_Style 112"/>
    <w:next w:val="986"/>
    <w:link w:val="869"/>
    <w:uiPriority w:val="99"/>
    <w:semiHidden/>
    <w:rPr>
      <w:sz w:val="21"/>
      <w:szCs w:val="21"/>
      <w:lang w:val="en-US" w:eastAsia="zh-CN" w:bidi="ar-SA"/>
    </w:rPr>
  </w:style>
  <w:style w:type="paragraph" w:styleId="987">
    <w:name w:val="无间隔"/>
    <w:next w:val="987"/>
    <w:link w:val="869"/>
    <w:uiPriority w:val="99"/>
    <w:qFormat/>
    <w:pPr>
      <w:jc w:val="both"/>
      <w:widowControl w:val="off"/>
    </w:pPr>
    <w:rPr>
      <w:sz w:val="21"/>
      <w:szCs w:val="21"/>
      <w:lang w:val="en-US" w:eastAsia="zh-CN" w:bidi="ar-SA"/>
    </w:rPr>
  </w:style>
  <w:style w:type="table" w:styleId="988">
    <w:name w:val="Table Normal"/>
    <w:next w:val="988"/>
    <w:link w:val="869"/>
    <w:qFormat/>
    <w:rPr>
      <w:lang w:val="en-US" w:eastAsia="zh-CN" w:bidi="ar-SA"/>
    </w:rPr>
    <w:tbl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正文文本12"/>
    <w:basedOn w:val="869"/>
    <w:next w:val="991"/>
    <w:link w:val="869"/>
    <w:uiPriority w:val="1"/>
    <w:qFormat/>
    <w:pPr>
      <w:ind w:left="120"/>
    </w:pPr>
    <w:rPr>
      <w:rFonts w:ascii="宋体" w:hAnsi="宋体" w:eastAsia="宋体" w:cs="宋体"/>
      <w:sz w:val="21"/>
      <w:szCs w:val="21"/>
      <w:lang w:val="zh-CN" w:eastAsia="zh-CN" w:bidi="zh-CN"/>
    </w:rPr>
  </w:style>
  <w:style w:type="paragraph" w:styleId="992">
    <w:name w:val="纯文本1"/>
    <w:basedOn w:val="869"/>
    <w:next w:val="992"/>
    <w:link w:val="869"/>
    <w:qFormat/>
    <w:rPr>
      <w:rFonts w:ascii="宋体" w:hAnsi="Courier New" w:cs="Courier New"/>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rPr>
      <w:lang w:val="en-US" w:eastAsia="zh-CN" w:bidi="ar-SA"/>
    </w:rPr>
    <w:tbl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邹丹-</dc:creator>
  <cp:lastModifiedBy>邹丹</cp:lastModifiedBy>
  <cp:revision>5</cp:revision>
  <dcterms:created xsi:type="dcterms:W3CDTF">2025-12-30T11:03:00Z</dcterms:created>
  <dcterms:modified xsi:type="dcterms:W3CDTF">2026-01-06T01:53:35Z</dcterms:modified>
</cp:coreProperties>
</file>