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项目名称：南京市体育训练中心食材采购及配送服务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项目编号：JSZC-320100-NJZZ-G2026-0024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采购人：南京市体育训练中心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06</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3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3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第一章</w:t>
      </w:r>
      <w:r>
        <w:rPr>
          <w:rFonts w:ascii="SimSun" w:hAnsi="SimSun" w:eastAsia="SimSun" w:cs="SimSun"/>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市体育训练中心（采购单位）委托，南京众智工程咨询有限公司（以下简称“招标代理机构”）就南京市体育训练中心食材采购及配送服务（项目名称）项目进行公开招标采购，欢迎符合条件的供应商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1.项目编号：JSZC-320100-NJZZ-G2026-0024</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2.项目名称：南京市体育训练中心食材采购及配送服务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3.预算金额：638万元（采购包1肉类：185万元；采购包2水产、冷冻品、禽类：145万元；采购包3调味品、米面油、奶制品类：163万元；采购包4蔬菜、豆制品、蛋类：102万元；采购包5水果类：43万元）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4.最高限价：本项目在基准单价基础上，按优惠率报价，以百分比表示，有效投标的优惠率必须为大于0%且小于100%的正数。凡优惠率≤0%或≥100%的投标，一律视为无效投标。</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（1）各采购包预算金额为年度预估采购额度，具体以实际采购量为准。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说明：统一按照食材基准单价的优惠率进行报价，优惠率不得为0%或负数，亦不得等于或高于100%。基准单价计算方式为依照最近一期的南京市商务局（网址：https://swj.nanjing.gov.cn/njsswj/?id=386）发布的科巷菜场同类食材的指导价格为基础，如南京市商务局网站内的食材种类不全，则按送货当月上下半月各任意一天大润发超市同类食材的零售价格，分别作为其对应的基准单价。如部分类别食材确实均不在以上两个价格查询平台中（须由采购人和供应商双方事先确认），则其结算单价由采购人综合市场</w:t>
      </w:r>
      <w:r>
        <w:rPr>
          <w:rFonts w:ascii="SimSun" w:hAnsi="SimSun" w:eastAsia="SimSun" w:cs="SimSun"/>
          <w:b/>
          <w:color w:val="000000"/>
          <w:sz w:val="24"/>
        </w:rPr>
        <w:t xml:space="preserve">价格并根据供应商报价优惠率计算后确定。最终结算单价=基准单价*（1-优惠率）。</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5.采购需求（简介）：详细内容见本招标文件第四章。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6.合同履行期限：自合同签订之日起一年。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5.有依法缴纳税收和社会保障资金的良好记录（提供参加本次政府采购活动前一年内（至少一个月）依法缴纳税收和社会保障资金的相关材料扫描件加盖供应商公章）；</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w:t>
      </w:r>
      <w:r>
        <w:rPr>
          <w:rFonts w:ascii="SimSun" w:hAnsi="SimSun" w:eastAsia="SimSun" w:cs="SimSun"/>
          <w:color w:val="000000"/>
          <w:sz w:val="24"/>
          <w:u w:val="single"/>
        </w:rPr>
        <w:t xml:space="preserve">（4）</w:t>
      </w:r>
      <w:r>
        <w:rPr>
          <w:rFonts w:ascii="SimSun" w:hAnsi="SimSun" w:eastAsia="SimSun" w:cs="SimSun"/>
          <w:color w:val="000000"/>
          <w:sz w:val="24"/>
        </w:rPr>
        <w:t xml:space="preserve">种方式落实政府采购促进中小企业发展的要求：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（1）本项目整体专门面向中小企业采购货物。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（2）本项目整体专门面向小微企业采购货物。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）种方式预留部分采购份额采购中小企业货物：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（4）本项目为非预留份额的采购项目或采购包，执行价格扣除优惠政策，具体详见第三章评审办法与标准。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（三）本项目特定资格要求：供应商具有有效期内的《食品生产许可证》或《食品经营许可证》，提供证书扫描件并加盖公章。</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1.提交投标文件截止时间、开标时间：2026年07月13日09时30分（北京时间）。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w:t>
      </w:r>
      <w:r>
        <w:rPr>
          <w:rFonts w:ascii="SimSun" w:hAnsi="SimSun" w:eastAsia="SimSun" w:cs="SimSun"/>
          <w:color w:val="000000"/>
          <w:sz w:val="24"/>
        </w:rPr>
        <w:t xml:space="preserve">为：批发业。</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3.拒绝下述供应商参加本次采购活动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5.本项目不组织集中勘察及答疑，供应商如对采购需求有疑问，请咨询采购单位联系人。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800"/>
            <w:rFonts w:ascii="SimSun" w:hAnsi="SimSun" w:eastAsia="SimSun" w:cs="SimSun"/>
            <w:color w:val="00000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9.有关本次招标的事项若存在变动或修改，敬请及时关注“江苏政府采购网”（www.ccgp-jiangsu.gov.cn）发布的信息更正公告。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名称：南京市体育训练中心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地址：南京市浦口区江浦街道城南河路99号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联系人：赵女士</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none"/>
        </w:rPr>
        <w:t xml:space="preserve">025-6837900</w:t>
      </w:r>
      <w:r>
        <w:rPr>
          <w:rFonts w:ascii="SimSun" w:hAnsi="SimSun" w:eastAsia="SimSun" w:cs="SimSun"/>
          <w:color w:val="000000"/>
          <w:sz w:val="24"/>
        </w:rPr>
        <w:t xml:space="preserve">5</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联系方式：朱工 025-52896520-20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.合格的投标人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w:t>
      </w:r>
      <w:r>
        <w:rPr>
          <w:rFonts w:ascii="KaiTi" w:hAnsi="KaiTi" w:eastAsia="KaiTi" w:cs="KaiTi"/>
          <w:b/>
          <w:color w:val="000000"/>
          <w:sz w:val="28"/>
        </w:rPr>
        <w:t xml:space="preserve">.适用法律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w:t>
      </w:r>
      <w:r>
        <w:rPr>
          <w:rFonts w:ascii="KaiTi" w:hAnsi="KaiTi" w:eastAsia="KaiTi" w:cs="KaiTi"/>
          <w:b/>
          <w:color w:val="000000"/>
          <w:sz w:val="28"/>
        </w:rPr>
        <w:t xml:space="preserve">.投标费用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w:t>
      </w:r>
      <w:r>
        <w:rPr>
          <w:rFonts w:ascii="KaiTi" w:hAnsi="KaiTi" w:eastAsia="KaiTi" w:cs="KaiTi"/>
          <w:b/>
          <w:color w:val="000000"/>
          <w:sz w:val="28"/>
        </w:rPr>
        <w:t xml:space="preserve">.招标文件构成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w:t>
      </w:r>
      <w:r>
        <w:rPr>
          <w:rFonts w:ascii="KaiTi" w:hAnsi="KaiTi" w:eastAsia="KaiTi" w:cs="KaiTi"/>
          <w:b/>
          <w:color w:val="000000"/>
          <w:sz w:val="28"/>
        </w:rPr>
        <w:t xml:space="preserve">.招标文件的澄清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w:t>
      </w:r>
      <w:r>
        <w:rPr>
          <w:rFonts w:ascii="KaiTi" w:hAnsi="KaiTi" w:eastAsia="KaiTi" w:cs="KaiTi"/>
          <w:b/>
          <w:color w:val="000000"/>
          <w:sz w:val="28"/>
        </w:rPr>
        <w:t xml:space="preserve">.招标文件的修改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w:t>
      </w:r>
      <w:r>
        <w:rPr>
          <w:rFonts w:ascii="SimSun" w:hAnsi="SimSun" w:eastAsia="SimSun" w:cs="SimSun"/>
          <w:color w:val="000000"/>
          <w:sz w:val="24"/>
        </w:rPr>
        <w:t xml:space="preserve">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w:t>
      </w:r>
      <w:r>
        <w:rPr>
          <w:rFonts w:ascii="KaiTi" w:hAnsi="KaiTi" w:eastAsia="KaiTi" w:cs="KaiTi"/>
          <w:b/>
          <w:color w:val="000000"/>
          <w:sz w:val="28"/>
        </w:rPr>
        <w:t xml:space="preserve">.投标文件的语言及度量衡单位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w:t>
      </w:r>
      <w:r>
        <w:rPr>
          <w:rFonts w:ascii="KaiTi" w:hAnsi="KaiTi" w:eastAsia="KaiTi" w:cs="KaiTi"/>
          <w:b/>
          <w:color w:val="000000"/>
          <w:sz w:val="28"/>
        </w:rPr>
        <w:t xml:space="preserve">.投标文件构成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w:t>
      </w:r>
      <w:r>
        <w:rPr>
          <w:rFonts w:ascii="KaiTi" w:hAnsi="KaiTi" w:eastAsia="KaiTi" w:cs="KaiTi"/>
          <w:b/>
          <w:color w:val="000000"/>
          <w:sz w:val="28"/>
        </w:rPr>
        <w:t xml:space="preserve">.证明投标人及投标标的符合招标文件规定的文件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w:t>
      </w:r>
      <w:r>
        <w:rPr>
          <w:rFonts w:ascii="KaiTi" w:hAnsi="KaiTi" w:eastAsia="KaiTi" w:cs="KaiTi"/>
          <w:b/>
          <w:color w:val="000000"/>
          <w:sz w:val="28"/>
        </w:rPr>
        <w:t xml:space="preserve">.投标函和开标一览表及核心产品品牌一览表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投标人应按照招标文件规定格式完整、正确填报投标函、开标一览表及核心产品品牌一览表。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核心产品品牌一览表中所投核心产品品牌缺项的将视为无效投标。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w:t>
      </w:r>
      <w:r>
        <w:rPr>
          <w:rFonts w:ascii="KaiTi" w:hAnsi="KaiTi" w:eastAsia="KaiTi" w:cs="KaiTi"/>
          <w:b/>
          <w:color w:val="000000"/>
          <w:sz w:val="28"/>
        </w:rPr>
        <w:t xml:space="preserve">.投标文件的递交</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投标人应充分考虑网络环境、网络带宽等因素可能对投标产生的影响，如因投标人自身原因造成的电子投标文件上传不成功的，按照本招标文件第二章第25.1条规定作无效投标处理。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8.投标文件的拒收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9.投标文件的撤回和修改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0.开标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1.评标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3.投标文件的澄清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4.投标文件的审查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评审过程中出现下列情形之一的，评审委员会应当启动异常低价投标（响应）审查程序：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29.货物（包含与货物相关的服务）的追加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w:t>
      </w:r>
      <w:r>
        <w:rPr>
          <w:rFonts w:ascii="SimSun" w:hAnsi="SimSun" w:eastAsia="SimSun" w:cs="SimSun"/>
          <w:color w:val="0000ff"/>
          <w:sz w:val="24"/>
        </w:rPr>
        <w:t xml:space="preserve">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43.对本国产品的支持政策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43.1为贯彻落实《国务院办公厅关于在政府采购中实施本国产品标准及相关政策的通知》  （国办发〔2025〕34号），在政府采购中实施本国产品标准及相关政策。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43.2本项目中既有本国产品又有非本国产品参与竞争的，依法对本国产品给予价格评审优惠，对本国产品的报价给予20%的价格扣除，用扣除后的价格参与评审。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44.代理服务费</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 本次采购的代理服务费由成交供应商承担；参照《招标代理服务收费管理暂行办法》（国家发展计划委员会计价格【2002】1980号）招标收费基准费率 80% 计算。开具增值税普通发票。</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 中标供应商向采购代理机构支付所有费用后到采购代理机构领取中标通知书。</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w:t>
      </w:r>
      <w:r>
        <w:rPr>
          <w:rFonts w:ascii="SimSun" w:hAnsi="SimSun" w:eastAsia="SimSun" w:cs="SimSun"/>
          <w:color w:val="000000"/>
          <w:sz w:val="24"/>
        </w:rPr>
        <w:t xml:space="preserve">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政府采购合同（货物）</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甲方：（买方）南京市体育训练中心</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甲、乙双方根据南京众智工程咨询有限公司组织的</w:t>
      </w:r>
      <w:r>
        <w:rPr>
          <w:rFonts w:ascii="Times New Roman" w:hAnsi="Times New Roman" w:eastAsia="Times New Roman" w:cs="Times New Roman"/>
          <w:color w:val="000000"/>
          <w:sz w:val="24"/>
        </w:rPr>
        <w:t xml:space="preserve">____________________</w:t>
      </w:r>
      <w:r>
        <w:rPr>
          <w:rFonts w:ascii="SimSun" w:hAnsi="SimSun" w:eastAsia="SimSun" w:cs="SimSun"/>
          <w:color w:val="000000"/>
          <w:sz w:val="24"/>
        </w:rPr>
        <w:t xml:space="preserve">项目公开招标结果，签署本合同。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1.乙方根据甲方需求提供下列货物：</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（1）食材供应品种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下列表格在签订合同时按所对应成交的分包号内容进行保留，其余删除。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采购包1：肉类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21"/>
        <w:gridCol w:w="3038"/>
        <w:gridCol w:w="3294"/>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基准价格结算依据</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猪后腿肉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优先顺序：最近一期的南京市商务局公示的科巷菜场价格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送货当月上下半月各任意一天大润发超市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零售价格</w:t>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猪肋条肉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猪五花肉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羊肉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猪小排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猪筒骨</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猪仔排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猪梅子肉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牛腱子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牛里脊</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羊排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羊蝎子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牛尾</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采购包2：水产、冷冻品、禽类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8"/>
        <w:gridCol w:w="3022"/>
        <w:gridCol w:w="3624"/>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基准价格结算依据</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水产、冷冻品、禽类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鲫鱼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优先顺序：最近一期的南京市商务局公示的科巷菜场价格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送货当月上下半月各任意一天大润发超市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零售价格</w:t>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鲈鱼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蛏子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沙虾</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牛蛙</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梭子蟹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花蛤</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河虾</w:t>
            </w:r>
            <w:r/>
          </w:p>
        </w:tc>
        <w:tc>
          <w:tcPr>
            <w:vMerge w:val="continue"/>
            <w:textDirection w:val="lrTb"/>
            <w:noWrap w:val="false"/>
          </w:tcPr>
          <w:p>
            <w:r/>
            <w:r/>
          </w:p>
        </w:tc>
      </w:tr>
      <w:tr>
        <w:trPr>
          <w:trHeight w:val="50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田螺</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罗氏虾</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生蚝</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文蛤</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黄鳝</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花鲢鱼头</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昂剌鱼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鸡块</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鸡腿</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鸡脯</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鸡中翅</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鸡全翅</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鸭块</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鸭腿</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鸭四件</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冻老鹅</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保鲜鱼类</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冻类食材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光鸡</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老母鸡</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光鸭</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采购包3：调味品、米面油、奶制品类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54"/>
        <w:gridCol w:w="3299"/>
        <w:gridCol w:w="3301"/>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基准价格结算依据</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调味品、米面油、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奶制品类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白野山椒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优先顺序：最近一期的南京市商务局公示的科巷菜场价格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送货当月上下半月各任意一天大润发超市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零售价格</w:t>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白胡椒粉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剁椒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料酒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香辣酱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黄灯笼辣酱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白绵糖</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辣椒干</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桂皮</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葡萄干</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黑木耳</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藤椒油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老干妈风味豆豉油制辣椒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果汁</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蒸肉米粉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泡打粉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老抽</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酵母</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蒸鱼豉油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味精</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精制食用盐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红糖</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海鲜酱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黄豆酱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孜然粉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南乳汁</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麻油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蛋挞皮</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淡奶油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蚝油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草菇老抽</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香辣酱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重庆火锅底料</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小茴香</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腌料</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坚果系列</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酸奶</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鲜奶</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脱脂奶</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豆奶、水果奶</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采购包4：蔬菜、豆制品、蛋类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42"/>
        <w:gridCol w:w="3014"/>
        <w:gridCol w:w="3398"/>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基准价格结算依据</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蔬菜、豆制品、蛋类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优先顺序：最近一期的南京市商务局公示的科巷菜场价格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送货当月上下半月各任意一天大润发超市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零售价格</w:t>
            </w:r>
            <w:r/>
          </w:p>
        </w:tc>
      </w:tr>
      <w:tr>
        <w:trPr>
          <w:trHeight w:val="37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白萝卜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苞菜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芹菜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大白菜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西红柿</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土豆</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茄子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四季豆</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洋葱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冬瓜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山药</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胡萝卜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西兰花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莴笋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藕</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黄豆芽</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韭菜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红辣椒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豆制品</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鸭蛋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鹅蛋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鹌鹑蛋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面食半成品</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采购包5：水果类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39"/>
        <w:gridCol w:w="3053"/>
        <w:gridCol w:w="3562"/>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基准价格结算依据</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橙子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优先顺序：最近一期的南京市商务局公示的科巷菜场价格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送货当月上下半月各任意一天大润发超市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零售价格</w:t>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苹果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梨</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哈蜜瓜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草莓</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阳光玫瑰</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爱媛橙</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水果黄瓜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火龙果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千禧果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耙耙柑</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桂圆</w:t>
            </w:r>
            <w:r/>
          </w:p>
        </w:tc>
        <w:tc>
          <w:tcPr>
            <w:vMerge w:val="continue"/>
            <w:textDirection w:val="lrTb"/>
            <w:noWrap w:val="false"/>
          </w:tcPr>
          <w:p>
            <w:r/>
            <w:r/>
          </w:p>
        </w:tc>
      </w:tr>
    </w:tbl>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下列表格在签订合同时按所对应成交的分包号内容进行保留，其余删除。</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6"/>
        <w:gridCol w:w="1897"/>
        <w:gridCol w:w="63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1.感官要求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鲜猪肉质量验收标准：肌肉红色均匀，有光泽，脂肪洁白。外表微干或微湿润，不粘手。弹性良好，压后凹陷立即恢复。具有鲜猪肉正常气味，无泥污、血污、肉边整齐、无碎肉、碎骨，按标准部位分割、精肉无多余脂肪。</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牛羊肉质量验收标准：2.1颜色：新鲜正常红色，淡红色，有光泽；2.2气味：具有牛羊肉的正常气味，无异味；2.3油层：无；2.4淤血：无；2.5表面湿润，不黏手，有弹性；2.6水分，感观上不能有水，恒温库吊挂 12 小时。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2.规范标准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（1）鲜猪肉：产品质量标准符合：GB/T9959.1-2019《鲜、冻猪肉及猪副产品第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GB2707-2016《食品安全国家标准鲜（冻）畜、禽产品》的要求。重金属污染物、农药残留、微生物等其它理化指标等达到国家标准的要求。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（2）牛羊肉：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①牛肉质量符合：GB/T 17238-2022《鲜、冻分割牛肉》，食品安全符合：GB2707-2016 《食品安全国家标准 鲜(冻)畜、禽产品》；其它理化指标(重金属、农药残留、兽药残 留)、微生物等相关指标达到国家标准的要求。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②羊肉质量符合：GB/T9961-2008《鲜、冻胴体羊肉》、GB/T39918-2021《羊胴体及 鲜肉分割》；食品安全符合：GB2707-2016《食品安全国家标准鲜(冻)畜、禽产品》； 牛羊肉类产品其它理化指标(重金属、农药残留、兽药残留)、微生物等相关指标达到国家标准要求。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所有肉类不得检出兴奋剂（包括但不限于盐酸克伦特罗、沙丁胺醇、莱克多巴胺、氯霉素等物质）。肉类需具有合法屠宰加工检验证明、检验检疫证明。</w:t>
            </w:r>
            <w:r>
              <w:rPr>
                <w:rFonts w:ascii="SimSun" w:hAnsi="SimSun" w:eastAsia="SimSun" w:cs="SimSun"/>
                <w:b/>
                <w:color w:val="000000"/>
                <w:sz w:val="21"/>
              </w:rPr>
              <w:t xml:space="preserve">须每个月不少于</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次（一年不少于</w:t>
            </w: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次）对所供食材的化学成分报送相关部门检测，检测部门由甲方指定，检测费用由乙方承担。若发现食材检测结果含有兴奋剂化学成分，一经发现，立即解除合同，并没收全部履约保证金，同时甲方还将依法追究乙方法律和经济责任，如情节严重的，将提请司法机关单位追究其刑事责任。承担其余分包食材类别配送的乙方无需每月送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水产、冷冻品、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禽类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1.感官要求：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水产：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冷冻品：干冻、无杂质，无肌肉风干现象，全净膛，表皮完整洁净，无过多冰衣无白霜，按标准部位分割。具有固有色泽和香味，无污染、色泽、气味、口味正常，无异味或霉味（霉变）等。食品解冻后净重量不少于90%，解冻时间为4 小时以内（室温20℃）。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（3）禽类：个体均匀、肉色正常、气味正常、表皮光滑、无病变、无破皮、无血斑、内脏掏空、身段肥圆、无注水。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2.规范标准：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（1）水产：水产品食品安全须符合 GB2733—2015《食品安全国家标准 鲜、冻动物性水产品》、GB10136—2015《食品安全国家标准动物性水产制品》的规定要求。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（2）冷冻品：符合GB16869-2005、GB2707-2016标准。包装标明加工厂名称、品名、生产日期、保质期或保存期，供货时的剩余保质期不少于三分之二，产品标准号等内容。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（3）禽类：符合 GB2707-2016《食品安全国家标准鲜（冻）畜、禽产品》的要求。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调味品、米面油、奶制品类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1.感官要求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（1）调味品：色泽正常、具有该品种固有的香味、滋味无异味、酱体均匀、粉状固体无结块、外包装封口平整、无破包、漏包。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（2）米面油：米：颗粒饱满，米中无杂质，无发霉、生虫等变质现象。面：色泽洁白，干燥松散，无结块。油：油品清亮、无杂质、无沉淀物，无云雾状悬浮物，油品颜色应具各自油脂的质量标准；</w:t>
            </w:r>
            <w:r>
              <w:rPr>
                <w:rFonts w:ascii="Calibri" w:hAnsi="Calibri" w:eastAsia="Calibri" w:cs="Calibri"/>
                <w:color w:val="000000"/>
                <w:sz w:val="24"/>
              </w:rPr>
              <w:t xml:space="preserve">商标整齐，喷码正确，文字清晰。密封良好，无渗漏</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奶制品：不得为假冒伪劣、过期变质产品。外包装清洁、牢固、无污染、无异味；色泽正常、质地均匀细腻、滋味纯正、无机械杂质、无沉淀；每件包装应有净含量、生产单位及地址和生产日期和保质期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2.规范标准：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（1）调味品：包括但不限于符合香辛料和调味品（GB-T 12729.1-2008）；白砂糖（白砂糖国家标准GB 317-2006）；食用盐（食用盐国家标准GB5461-2000、食用盐卫生标准GB2721-2003）；酱油（酿造酱油国家标准GB18186-2000、酱油卫生标准GB 2717-2003）；味精（味精卫生标准GB 2720-2003）；生粉（淀粉制品卫生标准GB 2713-2003）；绵白糖（绵白糖国家标准GB 1445-2000）；香醋（食醋国家标准GB 18187-2000、食醋卫生标准G</w:t>
            </w:r>
            <w:r>
              <w:rPr>
                <w:rFonts w:ascii="SimSun" w:hAnsi="SimSun" w:eastAsia="SimSun" w:cs="SimSun"/>
                <w:color w:val="000000"/>
                <w:sz w:val="24"/>
              </w:rPr>
              <w:t xml:space="preserve">B 2719-2003）。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（2）米面油：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一级大米符合GB1354-2018、GB2715-2016标准，要求含水量等于低于规定标准，无杂质、杂米，黄粒米〈2%，含碎〈15%，水份〈15.5%；优质大米符合GB1354-2018、GB2715-2016标准，要求含水量等于低于规定标准，无杂质、杂米，黄粒米〈2%，含碎〈10%，水份〈15%；粳米符合GB/T 1354-2018标准；含水量等于低于规定标准，无杂质、杂米，黄粒米〈2%，含碎〈10%，水份〈15%；小米符合GB/T 11766-2008标准；要求含水量等于低于规定标准，无杂质、杂米含</w:t>
            </w:r>
            <w:r>
              <w:rPr>
                <w:rFonts w:ascii="SimSun" w:hAnsi="SimSun" w:eastAsia="SimSun" w:cs="SimSun"/>
                <w:color w:val="000000"/>
                <w:sz w:val="24"/>
              </w:rPr>
              <w:t xml:space="preserve">碎〈4%，水份〈13%；糯米符合GB/T 1354-2018标准；要求含水量等于低于规定标准，无杂质、杂米，黄粒米〈2%，含碎〈15%，水份〈15.5%等。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面：所用原料符合GB1335 特制一等粉规定；食品添加剂应符合GB2760 规定，粗细度应全通CQ20 号筛；面制品符合QB/T5729-2022规定。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w:t>
            </w:r>
            <w:r>
              <w:rPr>
                <w:rFonts w:ascii="Calibri" w:hAnsi="Calibri" w:eastAsia="Calibri" w:cs="Calibri"/>
                <w:color w:val="000000"/>
                <w:sz w:val="24"/>
              </w:rPr>
              <w:t xml:space="preserve">非转基因大豆油符合</w:t>
            </w:r>
            <w:r>
              <w:rPr>
                <w:rFonts w:ascii="SimSun" w:hAnsi="SimSun" w:eastAsia="SimSun" w:cs="SimSun"/>
                <w:color w:val="000000"/>
                <w:sz w:val="24"/>
              </w:rPr>
              <w:t xml:space="preserve">GB2716-2018</w:t>
            </w:r>
            <w:r>
              <w:rPr>
                <w:rFonts w:ascii="Calibri" w:hAnsi="Calibri" w:eastAsia="Calibri" w:cs="Calibri"/>
                <w:color w:val="000000"/>
                <w:sz w:val="24"/>
              </w:rPr>
              <w:t xml:space="preserve">、</w:t>
            </w:r>
            <w:r>
              <w:rPr>
                <w:rFonts w:ascii="SimSun" w:hAnsi="SimSun" w:eastAsia="SimSun" w:cs="SimSun"/>
                <w:color w:val="000000"/>
                <w:sz w:val="24"/>
              </w:rPr>
              <w:t xml:space="preserve">GB/T1535-2017</w:t>
            </w:r>
            <w:r>
              <w:rPr>
                <w:rFonts w:ascii="Calibri" w:hAnsi="Calibri" w:eastAsia="Calibri" w:cs="Calibri"/>
                <w:color w:val="000000"/>
                <w:sz w:val="24"/>
              </w:rPr>
              <w:t xml:space="preserve">标准；溶剂残留不得检出；酸值小于</w:t>
            </w:r>
            <w:r>
              <w:rPr>
                <w:rFonts w:ascii="SimSun" w:hAnsi="SimSun" w:eastAsia="SimSun" w:cs="SimSun"/>
                <w:color w:val="000000"/>
                <w:sz w:val="24"/>
              </w:rPr>
              <w:t xml:space="preserve">0.2%</w:t>
            </w:r>
            <w:r>
              <w:rPr>
                <w:rFonts w:ascii="Calibri" w:hAnsi="Calibri" w:eastAsia="Calibri" w:cs="Calibri"/>
                <w:color w:val="000000"/>
                <w:sz w:val="24"/>
              </w:rPr>
              <w:t xml:space="preserve">；过氧化值小于</w:t>
            </w:r>
            <w:r>
              <w:rPr>
                <w:rFonts w:ascii="SimSun" w:hAnsi="SimSun" w:eastAsia="SimSun" w:cs="SimSun"/>
                <w:color w:val="000000"/>
                <w:sz w:val="24"/>
              </w:rPr>
              <w:t xml:space="preserve">5</w:t>
            </w:r>
            <w:r>
              <w:rPr>
                <w:rFonts w:ascii="Calibri" w:hAnsi="Calibri" w:eastAsia="Calibri" w:cs="Calibri"/>
                <w:color w:val="000000"/>
                <w:sz w:val="24"/>
              </w:rPr>
              <w:t xml:space="preserve">；非转基因玉米油符合</w:t>
            </w:r>
            <w:r>
              <w:rPr>
                <w:rFonts w:ascii="SimSun" w:hAnsi="SimSun" w:eastAsia="SimSun" w:cs="SimSun"/>
                <w:color w:val="000000"/>
                <w:sz w:val="24"/>
              </w:rPr>
              <w:t xml:space="preserve">GB/19111-2017</w:t>
            </w:r>
            <w:r>
              <w:rPr>
                <w:rFonts w:ascii="Calibri" w:hAnsi="Calibri" w:eastAsia="Calibri" w:cs="Calibri"/>
                <w:color w:val="000000"/>
                <w:sz w:val="24"/>
              </w:rPr>
              <w:t xml:space="preserve">标准；酸值小于</w:t>
            </w:r>
            <w:r>
              <w:rPr>
                <w:rFonts w:ascii="SimSun" w:hAnsi="SimSun" w:eastAsia="SimSun" w:cs="SimSun"/>
                <w:color w:val="000000"/>
                <w:sz w:val="24"/>
              </w:rPr>
              <w:t xml:space="preserve">0.2%</w:t>
            </w:r>
            <w:r>
              <w:rPr>
                <w:rFonts w:ascii="Calibri" w:hAnsi="Calibri" w:eastAsia="Calibri" w:cs="Calibri"/>
                <w:color w:val="000000"/>
                <w:sz w:val="24"/>
              </w:rPr>
              <w:t xml:space="preserve">；非转基因葵籽油符合</w:t>
            </w:r>
            <w:r>
              <w:rPr>
                <w:rFonts w:ascii="SimSun" w:hAnsi="SimSun" w:eastAsia="SimSun" w:cs="SimSun"/>
                <w:color w:val="000000"/>
                <w:sz w:val="24"/>
              </w:rPr>
              <w:t xml:space="preserve">GB10464-2017</w:t>
            </w:r>
            <w:r>
              <w:rPr>
                <w:rFonts w:ascii="Calibri" w:hAnsi="Calibri" w:eastAsia="Calibri" w:cs="Calibri"/>
                <w:color w:val="000000"/>
                <w:sz w:val="24"/>
              </w:rPr>
              <w:t xml:space="preserve">标准；溶剂残留不得检出；酸价≤</w:t>
            </w:r>
            <w:r>
              <w:rPr>
                <w:rFonts w:ascii="SimSun" w:hAnsi="SimSun" w:eastAsia="SimSun" w:cs="SimSun"/>
                <w:color w:val="000000"/>
                <w:sz w:val="24"/>
              </w:rPr>
              <w:t xml:space="preserve">0.5</w:t>
            </w:r>
            <w:r>
              <w:rPr>
                <w:rFonts w:ascii="Calibri" w:hAnsi="Calibri" w:eastAsia="Calibri" w:cs="Calibri"/>
                <w:color w:val="000000"/>
                <w:sz w:val="24"/>
              </w:rPr>
              <w:t xml:space="preserve">；过氧化值≤</w:t>
            </w:r>
            <w:r>
              <w:rPr>
                <w:rFonts w:ascii="SimSun" w:hAnsi="SimSun" w:eastAsia="SimSun" w:cs="SimSun"/>
                <w:color w:val="000000"/>
                <w:sz w:val="24"/>
              </w:rPr>
              <w:t xml:space="preserve">5</w:t>
            </w:r>
            <w:r>
              <w:rPr>
                <w:rFonts w:ascii="Calibri" w:hAnsi="Calibri" w:eastAsia="Calibri" w:cs="Calibri"/>
                <w:color w:val="000000"/>
                <w:sz w:val="24"/>
              </w:rPr>
              <w:t xml:space="preserve">；非转基因菜籽油符合</w:t>
            </w:r>
            <w:r>
              <w:rPr>
                <w:rFonts w:ascii="SimSun" w:hAnsi="SimSun" w:eastAsia="SimSun" w:cs="SimSun"/>
                <w:color w:val="000000"/>
                <w:sz w:val="24"/>
              </w:rPr>
              <w:t xml:space="preserve">GB/T 1536-2021 </w:t>
            </w:r>
            <w:r>
              <w:rPr>
                <w:rFonts w:ascii="Calibri" w:hAnsi="Calibri" w:eastAsia="Calibri" w:cs="Calibri"/>
                <w:color w:val="000000"/>
                <w:sz w:val="24"/>
              </w:rPr>
              <w:t xml:space="preserve">标准；溶剂残留不得检出；酸价≤</w:t>
            </w:r>
            <w:r>
              <w:rPr>
                <w:rFonts w:ascii="SimSun" w:hAnsi="SimSun" w:eastAsia="SimSun" w:cs="SimSun"/>
                <w:color w:val="000000"/>
                <w:sz w:val="24"/>
              </w:rPr>
              <w:t xml:space="preserve">1.5</w:t>
            </w:r>
            <w:r>
              <w:rPr>
                <w:rFonts w:ascii="Calibri" w:hAnsi="Calibri" w:eastAsia="Calibri" w:cs="Calibri"/>
                <w:color w:val="000000"/>
                <w:sz w:val="24"/>
              </w:rPr>
              <w:t xml:space="preserve">；过氧化值≤</w:t>
            </w:r>
            <w:r>
              <w:rPr>
                <w:rFonts w:ascii="SimSun" w:hAnsi="SimSun" w:eastAsia="SimSun" w:cs="SimSun"/>
                <w:color w:val="000000"/>
                <w:sz w:val="24"/>
              </w:rPr>
              <w:t xml:space="preserve">0.125</w:t>
            </w:r>
            <w:r>
              <w:rPr>
                <w:rFonts w:ascii="Calibri" w:hAnsi="Calibri" w:eastAsia="Calibri" w:cs="Calibri"/>
                <w:color w:val="000000"/>
                <w:sz w:val="24"/>
              </w:rPr>
              <w:t xml:space="preserve">；非转基因花生油符合</w:t>
            </w:r>
            <w:r>
              <w:rPr>
                <w:rFonts w:ascii="SimSun" w:hAnsi="SimSun" w:eastAsia="SimSun" w:cs="SimSun"/>
                <w:color w:val="000000"/>
                <w:sz w:val="24"/>
              </w:rPr>
              <w:t xml:space="preserve">GB/T 1534-2017</w:t>
            </w:r>
            <w:r>
              <w:rPr>
                <w:rFonts w:ascii="Calibri" w:hAnsi="Calibri" w:eastAsia="Calibri" w:cs="Calibri"/>
                <w:color w:val="000000"/>
                <w:sz w:val="24"/>
              </w:rPr>
              <w:t xml:space="preserve">标准；溶剂残留不得检出；酸价≤</w:t>
            </w:r>
            <w:r>
              <w:rPr>
                <w:rFonts w:ascii="SimSun" w:hAnsi="SimSun" w:eastAsia="SimSun" w:cs="SimSun"/>
                <w:color w:val="000000"/>
                <w:sz w:val="24"/>
              </w:rPr>
              <w:t xml:space="preserve">1.5</w:t>
            </w:r>
            <w:r>
              <w:rPr>
                <w:rFonts w:ascii="Calibri" w:hAnsi="Calibri" w:eastAsia="Calibri" w:cs="Calibri"/>
                <w:color w:val="000000"/>
                <w:sz w:val="24"/>
              </w:rPr>
              <w:t xml:space="preserve">；过氧化值≤</w:t>
            </w:r>
            <w:r>
              <w:rPr>
                <w:rFonts w:ascii="SimSun" w:hAnsi="SimSun" w:eastAsia="SimSun" w:cs="SimSun"/>
                <w:color w:val="000000"/>
                <w:sz w:val="24"/>
              </w:rPr>
              <w:t xml:space="preserve">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（3）奶制品：包括但不限于符合下列要求：GB 19302食品安全国家标准发酵乳；GB 19645食品安全国家标准巴氏杀菌乳；GB 25190食品安全国家标准灭菌乳；GB 25191食品安全国家标准调制乳；GB 19644食品安全国家标准乳粉；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2761食品安全国家标准食品中真菌毒素限量</w:t>
            </w:r>
            <w:r>
              <w:rPr>
                <w:rFonts w:ascii="DengXian" w:hAnsi="DengXian" w:eastAsia="DengXian" w:cs="DengXian"/>
                <w:color w:val="000000"/>
                <w:sz w:val="24"/>
              </w:rPr>
              <w:t xml:space="preserve">；</w:t>
            </w:r>
            <w:r>
              <w:rPr>
                <w:rFonts w:ascii="SimSun" w:hAnsi="SimSun" w:eastAsia="SimSun" w:cs="SimSun"/>
                <w:color w:val="000000"/>
                <w:sz w:val="24"/>
              </w:rPr>
              <w:t xml:space="preserve">GB 2762食品安全国家标准食品中污染物限量。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蔬菜、豆制品、蛋类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1.感官要求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（1）蔬菜：无虫咬、发芽、萎蔫现象、不含任何可见杂物；无明显浸水现象，根、茎、叶新鲜，具有本品种的基本特征；无任何异常气味，未腐烂、变质。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（2）豆制品：具有产品应有的色泽； 具有产品应有的滋味和气味，无异味；具有产品应有的状态，无霉变，无正常视力可见的外来异物。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（3）蛋类：具有禽蛋固有的色泽，组织形态蛋壳清洁、无破裂、打开后蛋壳凸起、完整、有韧性，蛋白澄清透明，稀稠分明，具有产品固有的气味，无异味，无杂质，不得有血块及其他组织异物。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2.规范要求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（1）蔬菜：蔬菜农药残留符合GB2763-2019；净菜农药残留符合GB 2763-2019，并参照DB42/T 949-2014。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（2）豆制品：符合食品安全国家标准（GB2712-2014）豆制品。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（3）蛋类：符合GB 2749-2015、GB 2762-2017、GB 2763-2016、GB/T 21316-2007标准。蛋壳上无残留的羽毛、粪便等有害物体，无禽流感病菌、沙门氏菌、大肠杆菌等致病菌。</w:t>
            </w:r>
            <w:r/>
          </w:p>
        </w:tc>
      </w:tr>
      <w:tr>
        <w:trPr>
          <w:trHeight w:val="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1.感官要求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具有本品种独有的外形，大小均匀，果面圆滑有光彩，拥有本品种应有的自然色彩；无斑点或极少果锈，无病虫害，不起皱，无裂口，无压痕及其余机械伤害和冻伤黑斑；果身重，硬朗；味爽口，无异味。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2.规范标准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水果类必须符合GB23200-2016标准。</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以上涉及的国家食品安全、规范标准如有更新的均按照最新标准执行。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食材单价优惠率为________%，依照最近一期的南京市商务局（网址：https://swj.nanjing.gov.cn/njsswj/?id=386）发布的科巷菜场同类食材的指导价格为基础，如南京市商务局网站内的食材种类不全，则按送货当月上下半月各任意一天大润发超市同类食材的零售价格，分别作为其对应的基准单价。如部分类别食材确实均不在以上两个价格查询平台中（须由甲乙双方事先确认），则其结算单价由甲方综合市场价格并根据乙方报价优惠率计算后确定。最终结算单价=基准单价*（1-优惠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价款是包含但不限于完成本项目所发生的食材采购费用、配送整理费用、所有含税费用、支付给员工的工资和国家强制缴纳的各种社会保障资金，以及乙方认为需要的其他费用等，除此之外，甲方不再另行支付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3.本合同执行期间优惠率不变。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下列关于公开招标文件、乙方投标文件或与本次采购活动方式相适应的文件及有关附件是本合同不可分割的组成部分，与本合同具有同等法律效力，这些文件包括但不限于：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1.乙方提供的响应文件和报价表；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2.技术条款偏离表；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3.供货一览表；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4.交货一览表；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8.甲乙双方商定的其他文件。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权利保证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甲方在使用该服务或其任何一部分时不受第三方提出侵犯其专利权、版权、商标权或其他权利的起诉。一旦出现侵权，乙方应承担全部责任并负责消除对甲方的不利影响，如甲方因此承担了任何责任（包括但不限于赔偿款、律师费、诉讼费等），有权向乙方全额追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因乙方供应食材给甲方或者实际使用人（运动员和教职工）造成任何人身和财产损害，乙方应承担全部责任并负责消除对甲方的不利影响，如甲方因此承担了任何责任（包括但不限于医疗费、赔偿金、罚款、律师费、诉讼费等），有权向乙方全额追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3.乙方应对照《反兴奋剂中心关于印发世界反兴奋剂机构&lt;2026年禁用清单国际标准&gt;中文稿的通知》文号中的禁用清单，并依法承诺所供产品无禁用清单中所列明的兴奋剂化学成分。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4.由于世界反兴奋剂机构出具的国际禁用清单不定期更新，乙方须随时关注并对照最新禁用清单，保证所供食品原材料的安全、卫生、无兴奋剂化学成分,否则由此产生的一切责任由乙方承担。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质量保证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严格遵守《食品安全法》和《动物检疫法》等相关规定，严格保证食品质量符合国家相关产品质量标准，符合国家各级强制性规范的要求，且所供食材应能溯源。溯源资料应随货提供，甲方可随时核查。在食材供应期间如出现因食用其提供的食品导致食物中毒的事故发生，以及如给实际使用人造成的人身、财产损害由乙方承担一切责任，并负责消除不利影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2.货物必须卫生新鲜、质量达标、品种规格准确、数量保证。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对乙方所提供货物的质量具有检测权，甲方将根据工作需要如确需进行检测的，检测费用由乙方承担，上级质监部门如对乙方所提供的货物进行检测，检测费也由乙方承担，费用从乙方结算货款中扣除。上级质监部门检测存在不确定性，根据以往经验未有检测情形发生，但如需检测的乙方须遵从此处约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4.一旦发现乙方所提供的货物不符合以上约定，乙方无条件接受甲方降价、减重、退货（视具体情况定）处理，并按照甲方要求送达质量合格的相同品种货物，确保甲方正常计划使用需求，否则视为乙方违约。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5.乙方所供货物有质量问题，乙方未能及时采取补救措施，给甲方造成的一切损失由乙方承担。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6.如出现因食用其提供的食品导致食物中毒的事故发生，乙方应对此承担一切法律责任。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7.本条仅针对承担分包一肉类采购及配送的乙方：乙方须每个月不少于2次（全年不少于24次） 对所供肉类食材的化学成分，报送至甲方指定的具备资质的检测机构进行检测，检测费用由乙方承担。检测内容须涵盖甲方根据反兴奋剂工作要求确定的最新禁用清单中的相关物质。若检测结果显示食材含有兴奋剂化学成分，甲方有权单方面立即解除合同，并没收全部履约保证金，同时甲方将依法向市场监督管理、公安等主管部门报告，追究乙方的行政或刑事责任。乙方还应赔偿因此给甲方造成的全部损失（包括但不限于重新采购费用、运动员禁赛损失、声誉损失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交货时间、地点、验收方式</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1.供应期限：自合同签订之日起一年。甲方有权根据履约情况提前终止或延长合同期限。甲方决定终止合同的，应依据本合同第九条的约定执行。</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2.批次订货与临时订货批次订货：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（1）甲方每（日/次）以电话或微信方式向乙方发出订货单，乙方收到订货单应在30分钟内确认回复，乙方不得无故拒绝接受订货单，具体交货时间为：</w:t>
      </w:r>
      <w:r>
        <w:rPr>
          <w:rFonts w:ascii="SimSun" w:hAnsi="SimSun" w:eastAsia="SimSun" w:cs="SimSun"/>
          <w:color w:val="000000"/>
          <w:sz w:val="24"/>
          <w:u w:val="single"/>
        </w:rPr>
        <w:t xml:space="preserve">          ，若无明确约定则以甲方要求为准</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临时订货：甲方因临时需要，有权在批次订货时间以外临时向乙方订货，订货方式可以是书面方式也可以是口头方式，如果是临时口头订货，乙方在送货时有权要求甲方以书面方式予以确认。具体交货时间以甲方要求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地点为：南京市城南河路99号南京市体育训练中心餐厅负一楼，并按要求摆放整齐。配送费用由乙方承担。乙方运输工具进入甲方，必须接受甲方统一管理，发生任何人员与设施损伤，均由乙方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到达现场后，乙方应在甲方人员（不少于两人）在场情况下当面进行感官检验、外观检验或试用检验，若产品外观、包装、质量不能达到收货标准，甲方拒收配送食材，乙方应无条件立即补充合格产品，不得影响正常开餐。对符合要求的产品当场作出记录，双方签字确认（验收应当当场签单、补签单仍然视为无效供货）。甲方验收仅为初步验收，不视为对质量的最终认可，使用过程中发现问题仍可追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（2）提供货物未达到本合同规定要求，且对甲方造成损失的，由乙方承担一切责任，并赔偿所造成损失。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（3）因验收货物时不能直接判断质量的，但在使用过程中发现不合格商品，乙方应作退货、退款处理。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（4）凡按重量计量物资，均以物品净重方式计量结算。去皮、去冰、去包装，以甲方现场称重为准。</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1.乙方向甲方交纳</w:t>
      </w:r>
      <w:r>
        <w:rPr>
          <w:rFonts w:ascii="SimSun" w:hAnsi="SimSun" w:eastAsia="SimSun" w:cs="SimSun"/>
          <w:color w:val="000000"/>
          <w:sz w:val="24"/>
          <w:u w:val="single"/>
        </w:rPr>
        <w:t xml:space="preserve">        </w:t>
      </w:r>
      <w:r>
        <w:rPr>
          <w:rFonts w:ascii="SimSun" w:hAnsi="SimSun" w:eastAsia="SimSun" w:cs="SimSun"/>
          <w:color w:val="000000"/>
          <w:sz w:val="24"/>
        </w:rPr>
        <w:t xml:space="preserve">元的履约保证金作为合同生效的前提。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2.履约保证金的有效期为该项目供货期满时止。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如乙方未能履行合同规定的义务，甲方有权从履约保证金中取得补偿，补偿后不足部分由乙方予以补足。每次扣除后，乙方应当于3日内向甲方按本条第1款的金额补足保证金，否则，乙方应当以未补足保证金数额为基数，按照每日千分之一的标准向甲方支付违约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4.履约保证金扣除甲方应得的补偿后的余额在合同履行期满后七个工作日内无息退还给乙方。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合同款支付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2.本合同项下的项目资金由国库集中支付或甲方自行支付，付款前乙方应先向甲方开具合格的发票。未提交合格的发票，造成付款时间顺延的，甲方不承担延迟付款的违约责任。</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3.付款条件：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单价每月一核（次月核实上月），由乙方提出书面申请，并提供相关资料，经甲方确定上月所有决算资料属实后，由双方签字确认，同时乙方必须提供相应的等额发票，甲方在收到发票后10个工作日内支付上月供应货款，否则甲方有权顺延付款期限且无息。因财政审批导致的迟延支付，甲方不承担迟延支付的违约责任，付款进度以财政资金下款时间为准。</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决算资料要求（包括但不限于以下要素）</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1"/>
        <w:gridCol w:w="1167"/>
        <w:gridCol w:w="1213"/>
        <w:gridCol w:w="2328"/>
        <w:gridCol w:w="1287"/>
        <w:gridCol w:w="1169"/>
        <w:gridCol w:w="643"/>
        <w:gridCol w:w="9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食材种类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交货时间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基准单价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结算单价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填写供应的食材种类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填写交货</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填写最近一期的南京市商务局发布的科巷菜场同类食材的指导价格，如南京市商务局网站内的食材种类不全，则按送货当月上下半月各任意一天大润发超市同类食材的零售价格，分别作为其对应的基准单价，同时乙方提供相关证明资料附后。如部分类别食材确实均不在以上两个价格查询平台中（须由甲乙双方事先确认），则其结算单价由甲方综合市场价格并根据乙方报价优惠率计算后确定，由甲方提供相关证明资料附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填写成交的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优惠率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基准单价*（1-优惠率）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844"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844"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甲方代表签字：                                     乙方代表签字：</w:t>
      </w:r>
      <w:r/>
    </w:p>
    <w:p>
      <w:pPr>
        <w:ind w:left="0" w:right="571" w:firstLine="413"/>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年月日</w:t>
      </w:r>
      <w:r/>
    </w:p>
    <w:p>
      <w:pPr>
        <w:ind w:left="0" w:right="0" w:firstLine="41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注：针对表格基准单价中要求提供证明资料的要求如下：</w:t>
      </w:r>
      <w:r/>
    </w:p>
    <w:p>
      <w:pPr>
        <w:ind w:left="0" w:right="0" w:firstLine="41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（1）提供的是南京市商务局发布的同类食材的指导价格，则证明资料应为南京市商务局网站（网址：</w:t>
      </w:r>
      <w:hyperlink r:id="rId10" w:tooltip="https://swj/" w:history="1">
        <w:r>
          <w:rPr>
            <w:rStyle w:val="800"/>
            <w:rFonts w:ascii="SimSun" w:hAnsi="SimSun" w:eastAsia="SimSun" w:cs="SimSun"/>
            <w:b/>
            <w:color w:val="0000ee"/>
            <w:sz w:val="21"/>
            <w:u w:val="single"/>
          </w:rPr>
          <w:t xml:space="preserve">https://swj</w:t>
        </w:r>
      </w:hyperlink>
      <w:r>
        <w:rPr>
          <w:rFonts w:ascii="SimSun" w:hAnsi="SimSun" w:eastAsia="SimSun" w:cs="SimSun"/>
          <w:b/>
          <w:color w:val="000000"/>
          <w:sz w:val="21"/>
        </w:rPr>
        <w:t xml:space="preserve">.nanjing.gov.cn/njsswj/?id=386）所公布出来的科巷菜场同类食材的价格截图。</w:t>
      </w:r>
      <w:r/>
    </w:p>
    <w:p>
      <w:pPr>
        <w:ind w:left="0" w:right="0" w:firstLine="41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（2）提供的是大润发超市同类食材的零售价格，则证明资料应为在该超市同类食材的零售价格信息照片/图片。</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如部分类别食材确实均不在以上两个价格查询平台中（须由甲乙双方事先确认），则其结算单价由甲方综合市场价格并根据乙方报价优惠率计算后确定，其决算资料同样按此要求执行。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违约责任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因乙方配送不及时（超过1小时）或不足量（少送、漏送量超过当次采购金额5%）导致运动员和教职工伙食供应延误的且经采取补救措施未造成甲方不良影响的，第一次扣除履约保证金的10%，第二次扣除履约保证金的30%，第三次扣除履约保证金的60%并甲方有权解除合同，对于未履行或不合格的部分，甲方有权不予支付相应款项；对于已履行但存在质量瑕疵的部分，甲方有权要求乙方返还已支付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配送不及时（超过1小时）或不足量（少送、漏送量超过当次采购金额5%）导致运动员和教职工伙食供应延误且未采取有效补救措施的，甲方有权解除合同，无需支付任何费用，并扣除全部履约保证金，且有权要求乙方支付当次采购金额10%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少送、漏送甲方订货单中采购的货物，少送、漏送量不超过当次采购金额5%的，乙方应当立即采取补救措施，且甲方在结算时有权扣除少送、漏送部分的价款，每次发生时应当扣除乙方履约保证金的10%；发生少送、漏送（不超过当次采购金额5%）超过3次的，甲方有权扣除全部履约保证金，并且甲方有权解除本合同，有权要求乙方支付少送、漏送次数对应的采购金额10%的违约金，如给甲方造成其他损失，乙方还应当予以赔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如单位食堂临时增加用餐人员需临时补充食材的，乙方在接到通知后2小时内必须无条件把指定的食材送至单位食堂。否则第一次扣除履约保证金的5%，第二次扣除履约保证金的10%，第三次扣除履约保证金的20%并解除合同，对于未履行或不合格的部分，甲方有权不予支付相应款项；对于已履行但存在质量瑕疵的部分，甲方有权要求乙方返还已支付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经相关部门认定，如因乙方所提供的原料原因造成甲方食堂岀现食物中毒等卫生事故的，乙方除必须承担全部的法律责任外，还要全额承担因食物中毒发生造成后果的一切费用，并立即停止乙方供货，并甲方有权按照当月所有供应原料货款的三倍向乙方收取违约金，所有赔偿款及违约金，甲方有权在应付款中直接扣除，不足部分乙方需补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凡乙方向甲方提供的产品发生任何质量问题，影响食用（如有争议且无法解决的，则邀请国家认可的质量检测机构进行鉴定），第一次扣除履约保证金的10%，第二次扣除履约保证金的30%，第三次扣除履约保证金的60%并解除合同，对于未履行或不合格的部分，甲方有权不予支付相应款项；对于已履行但存在质量瑕疵的部分，甲方有权要求乙方返还已支付款项；对于其中发生的较严重（如感官状异常、过期、变质）以上质量问题的，甲方有权直接解除合同或暂停乙方继续供货，扣除乙方全部履约保证金，要求乙方按照发生质量问题对应批次的采购金额的</w:t>
      </w:r>
      <w:r>
        <w:rPr>
          <w:rFonts w:ascii="SimSun" w:hAnsi="SimSun" w:eastAsia="SimSun" w:cs="SimSun"/>
          <w:color w:val="000000"/>
          <w:sz w:val="24"/>
        </w:rPr>
        <w:t xml:space="preserve">三倍支付违约金，并由乙方承担相应的赔偿等法律责任。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甲方将定期或不定期地组织专人对乙方所供货物的质量报送质检部门抽检，若发现货物质量检测结果与本合同要求的质量标准不符，每发现一次，甲方有权扣除履约保证金的20%作为违约金，同时乙方应当立即采取补救措施，按照合同约定的标准更换货物；发现三次的或任一次乙方未采取、未及时采取补救措施，甲方有权扣除全部履约保证金，并且甲方有权解除本合同，要求乙方支付违约金10万元，如给甲方造成其他损失，乙方还应当予以赔偿。</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8.凡供应货物故意串规、定量包装批量误差超过相关规定，一经查实，均须按当月总釆购量的3倍误差值作为支付的惩罚性违约金。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每月决算时产品单价须严格按照优惠率进行计算申报，所提供的决算资料须准确详实。如弄虚作假、数字不准确等，一经发现，且乙方不能作出合理解释的次数达到二次的，则甲方有权解除合同，没收全部履约保证金，并依法追究乙方经济和法律责任；如拒不执行优惠率、未按优惠率进行计算申报的，甲方有权解除本合同，扣除全部履约保证金，还将按虚假响应招标要求处理，甲方或采购代理机构将上报财政监管部门要求对乙方予以处罚，列入不良行为记录名单，在一至三年内禁止参加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所供食材须不得含有兴奋剂化学成分，如含有兴奋剂化学成分且不论是主观意识还是客观因素导致的，一经发现，立即解除合同，并没收全部履约保证金，同时甲方还将依法追究乙方法律和经济责任，如情节严重的，将提请司法机关单位追究其刑事责任（按《中华人民共和国刑法》第一百四十三条、第一百四十四条规定，以【生产、销售不符合安全标准的食品罪】、【生产、销售有毒、有害食品罪】定罪处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项目履约验收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1.甲方有权对乙方项目实施执行过程及完成结果进行履约验收；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2.甲方可以邀请参加本项目的其他投标人或者第三方机构参与验收，乙方应积极配合并响应；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3.参与验收的投标人或者第三方机构的意见作为验收书的参考资料一并存档。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合同的变更和终止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1.除《政府采购法》第50条规定的情形、本协议约定的解除事由及《中华人民共和国民法典》规定的解除事由外，本合同一经签订，甲乙双方不得擅自变更、中止或终止合同。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合同的转让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否则后果由乙方承担，甲方有权解除合同，解除合同的通知自到达乙方时生效，甲方无需支付费用，并有权扣除全部履约保证金，乙方应当赔偿总标的额20%的违约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1、因食材的质量问题发生争议的，甲乙双方首先应提供依据证明其食材质量是否符合标准，如通过此途径不能解决争议的，则应当</w:t>
      </w:r>
      <w:r>
        <w:rPr>
          <w:rFonts w:ascii="SimSun" w:hAnsi="SimSun" w:eastAsia="SimSun" w:cs="SimSun"/>
          <w:color w:val="000000"/>
          <w:sz w:val="24"/>
          <w:u w:val="none"/>
        </w:rPr>
        <w:t xml:space="preserve">邀请国家认可的质量检测机构</w:t>
      </w:r>
      <w:r>
        <w:rPr>
          <w:rFonts w:ascii="SimSun" w:hAnsi="SimSun" w:eastAsia="SimSun" w:cs="SimSun"/>
          <w:color w:val="000000"/>
          <w:sz w:val="24"/>
        </w:rPr>
        <w:t xml:space="preserve">对食材质量进行鉴定。符合标准的，鉴定费由甲方承担；不符合质量标准的，鉴定费由乙方承担。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2.因履行本合同引起的或与本合同有关的争议，甲、乙双方应首先通过友好协商解决，如果协商不能解决争议，则采取以下第（1）种方式解决争议：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3.在诉讼或仲裁期间，除本协议已经终止的，本合同应继续履行。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4.因诉讼或仲裁产生的相关费用及开支（包括但不限于公证费、诉讼费、保全担保费、鉴定费、律师费、交通费用）均由败诉方承担。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诚实信用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乙方应诚实信用，严格按照采购文件要求和服务承诺履行合同，不向甲方进行商业贿赂或者提供不正当利益。</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 合同生效及其他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1.本合同自甲、乙双方法定代表人/授权代表签字并加盖公章之日起生效。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2.本合同一式四份，甲乙双方各执二份。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48"/>
        <w:gridCol w:w="4806"/>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8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8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8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8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8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tc>
      </w:tr>
    </w:tbl>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w:t>
      </w:r>
      <w:r>
        <w:rPr>
          <w:rFonts w:ascii="SimHei" w:hAnsi="SimHei" w:eastAsia="SimHei" w:cs="SimHei"/>
          <w:color w:val="000000"/>
          <w:sz w:val="24"/>
        </w:rPr>
        <w:t xml:space="preserve">项目属性：</w:t>
      </w:r>
      <w:r>
        <w:rPr>
          <w:rFonts w:ascii="SimSun" w:hAnsi="SimSun" w:eastAsia="SimSun" w:cs="SimSun"/>
          <w:color w:val="000000"/>
          <w:sz w:val="24"/>
        </w:rPr>
        <w:t xml:space="preserve">货物类项目。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本项目为南京市体育训练中心食材采购及配送服务。</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项目建设遵循标准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遵循国家、行业及地方现行的规范和标准。</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三、产品清单</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（一）食材供应品种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采购包1：肉类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21"/>
        <w:gridCol w:w="3038"/>
        <w:gridCol w:w="3294"/>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基准价格结算依据</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猪后腿肉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优先顺序：最近一期的南京市商务局公示的科巷菜场价格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送货当月上下半月各任意一天大润发超市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零售价格</w:t>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猪肋条肉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猪五花肉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羊肉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猪小排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猪筒骨</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猪仔排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猪梅子肉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牛腱子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牛里脊</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羊排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羊蝎子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牛尾</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采购包2：水产、冷冻品、禽类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8"/>
        <w:gridCol w:w="3022"/>
        <w:gridCol w:w="3624"/>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基准价格结算依据</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水产、冷冻品、禽类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鲫鱼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优先顺序：最近一期的南京市商务局公示的科巷菜场价格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送货当月上下半月各任意一天大润发超市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零售价格</w:t>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鲈鱼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蛏子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沙虾</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牛蛙</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梭子蟹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花蛤</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河虾</w:t>
            </w:r>
            <w:r/>
          </w:p>
        </w:tc>
        <w:tc>
          <w:tcPr>
            <w:vMerge w:val="continue"/>
            <w:textDirection w:val="lrTb"/>
            <w:noWrap w:val="false"/>
          </w:tcPr>
          <w:p>
            <w:r/>
            <w:r/>
          </w:p>
        </w:tc>
      </w:tr>
      <w:tr>
        <w:trPr>
          <w:trHeight w:val="50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田螺</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罗氏虾</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生蚝</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文蛤</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黄鳝</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花鲢鱼头</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昂剌鱼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鸡块</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鸡腿</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鸡脯</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鸡中翅</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鸡全翅</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鸭块</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鸭腿</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鸭四件</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冻老鹅</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保鲜鱼类</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冻类食材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光鸡</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老母鸡</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光鸭</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采购包3：调味品、米面油、奶制品类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54"/>
        <w:gridCol w:w="3299"/>
        <w:gridCol w:w="3301"/>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基准价格结算依据</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调味品、米面油、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奶制品类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白野山椒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优先顺序：最近一期的南京市商务局公示的科巷菜场价格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送货当月上下半月各任意一天大润发超市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零售价格</w:t>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白胡椒粉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剁椒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料酒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香辣酱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黄灯笼辣酱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白绵糖</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辣椒干</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桂皮</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葡萄干</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黑木耳</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藤椒油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老干妈风味豆豉油制辣椒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果汁</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蒸肉米粉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泡打粉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老抽</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酵母</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蒸鱼豉油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味精</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精制食用盐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红糖</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海鲜酱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黄豆酱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孜然粉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南乳汁</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麻油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蛋挞皮</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淡奶油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蚝油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草菇老抽</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香辣酱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重庆火锅底料</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小茴香</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腌料</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坚果系列</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酸奶</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鲜奶</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脱脂奶</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豆奶、水果奶</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采购包4：蔬菜、豆制品、蛋类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42"/>
        <w:gridCol w:w="3014"/>
        <w:gridCol w:w="3398"/>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基准价格结算依据</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蔬菜、豆制品、蛋类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优先顺序：最近一期的南京市商务局公示的科巷菜场价格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送货当月上下半月各任意一天大润发超市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零售价格</w:t>
            </w:r>
            <w:r/>
          </w:p>
        </w:tc>
      </w:tr>
      <w:tr>
        <w:trPr>
          <w:trHeight w:val="37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白萝卜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苞菜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芹菜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大白菜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西红柿</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土豆</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茄子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四季豆</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洋葱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冬瓜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山药</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胡萝卜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西兰花</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莴笋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藕</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黄豆芽</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韭菜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红辣椒</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豆制品</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鸭蛋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鹅蛋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鹌鹑蛋</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面食半成品</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采购包5：水果类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39"/>
        <w:gridCol w:w="3053"/>
        <w:gridCol w:w="3562"/>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基准价格结算依据</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橙子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优先顺序：最近一期的南京市商务局公示的科巷菜场价格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送货当月上下半月各任意一天大润发超市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零售价格</w:t>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苹果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香蕉</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梨</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哈蜜瓜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草莓</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阳光玫瑰</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爱媛橙</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水果黄瓜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火龙果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千禧果</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耙耙柑</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红提</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龙眼</w:t>
            </w:r>
            <w:r/>
          </w:p>
        </w:tc>
        <w:tc>
          <w:tcPr>
            <w:vMerge w:val="continue"/>
            <w:textDirection w:val="lrTb"/>
            <w:noWrap w:val="false"/>
          </w:tcPr>
          <w:p>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桂圆</w:t>
            </w:r>
            <w:r/>
          </w:p>
        </w:tc>
        <w:tc>
          <w:tcPr>
            <w:vMerge w:val="continue"/>
            <w:textDirection w:val="lrTb"/>
            <w:noWrap w:val="false"/>
          </w:tcPr>
          <w:p>
            <w:r/>
            <w:r/>
          </w:p>
        </w:tc>
      </w:tr>
    </w:tbl>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（二）质量标准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6"/>
        <w:gridCol w:w="1897"/>
        <w:gridCol w:w="63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1.感官要求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鲜猪肉质量验收标准：肌肉红色均匀，有光泽，脂肪洁白。外表微干或微湿润，不粘手。弹性良好，压后凹陷立即恢复。具有鲜猪肉正常气味，无泥污、血污、肉边整齐、无碎肉、碎骨，按标准部位分割、精肉无多余脂肪。</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牛羊肉质量验收标准：2.1颜色：新鲜正常红色，淡红色，有光泽；2.2气味：具有牛羊肉的正常气味，无异味；2.3油层：无；2.4淤血：无；2.5表面湿润，不黏手，有弹性；2.6水分，感观上不能有水，恒温库吊挂 12 小时。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2.规范标准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（1）鲜猪肉：产品质量标准符合：GB/T9959.1-2019《鲜、冻猪肉及猪副产品第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GB2707-2016《食品安全国家标准鲜（冻）畜、禽产品》的要求。重金属污染物、农药残留、微生物等其它理化指标等达到国家标准的要求。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（2）牛羊肉：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①牛肉质量符合：GB/T 17238-2022《鲜、冻分割牛肉》，食品安全符合：GB2707-2016 《食品安全国家标准 鲜(冻)畜、禽产品》；其它理化指标(重金属、农药残留、兽药残 留)、微生物等相关指标达到国家标准的要求。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②羊肉质量符合：GB/T9961-2008《鲜、冻胴体羊肉》、GB/T39918-2021《羊胴体及 鲜肉分割》；食品安全符合：GB2707-2016《食品安全国家标准鲜(冻)畜、禽产品》； 牛羊肉类产品其它理化指标(重金属、农药残留、兽药残留)、微生物等相关指标达到国家标准要求。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所有肉类不得检出兴奋剂（包括但不限于盐酸克伦特罗、沙丁胺醇、莱克多巴胺、氯霉素等物质）。肉类需具有合法屠宰加工检验证明、检验检疫证明。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水产、冷冻品、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禽类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1.感官要求：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水产：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冷冻品：干冻、无杂质，无肌肉风干现象，全净膛，表皮完整洁净，无过多冰衣无白霜，按标准部位分割。具有固有色泽和香味，无污染、色泽、气味、口味正常，无异味或霉味（霉变）等。食品解冻后净重量不少于90%，解冻时间为4 小时以内（室温20℃）。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（3）禽类：个体均匀、肉色正常、气味正常、表皮光滑、无病变、无破皮、无血斑、内脏掏空、身段肥圆、无注水。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2.规范标准：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（1）水产：水产品食品安全须符合 GB2733—2015《食品安全国家标准 鲜、冻动物性水产品》、GB10136—2015《食品安全国家标准动物性水产制品》的规定要求。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（2）冷冻品：符合GB16869-2005、GB2707-2016标准。包装标明加工厂名称、品名、生产日期、保质期或保存期，供货时的剩余保质期不少于三分之二，产品标准号等内容。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（3）禽类：符合 GB2707-2016《食品安全国家标准鲜（冻）畜、禽产品》的要求。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调味品、米面油、奶制品类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1.感官要求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（1）调味品：色泽正常、具有该品种固有的香味、滋味无异味、酱体均匀、粉状固体无结块、外包装封口平整、无破包、漏包。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（2）米面油：米：颗粒饱满，米中无杂质，无发霉、生虫等变质现象。面：色泽洁白，干燥松散，无结块。油：油品清亮、无杂质、无沉淀物，无云雾状悬浮物，油品颜色应具各自油脂的质量标准；</w:t>
            </w:r>
            <w:r>
              <w:rPr>
                <w:rFonts w:ascii="Calibri" w:hAnsi="Calibri" w:eastAsia="Calibri" w:cs="Calibri"/>
                <w:color w:val="000000"/>
                <w:sz w:val="24"/>
              </w:rPr>
              <w:t xml:space="preserve">商标整齐，喷码正确，文字清晰。密封良好，无渗漏</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奶制品：不得为假冒伪劣、过期变质产品。外包装清洁、牢固、无污染、无异味；色泽正常、质地均匀细腻、滋味纯正、无机械杂质、无沉淀；每件包装应有净含量、生产单位及地址和生产日期和保质期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2.规范标准：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（1）调味品：包括但不限于符合香辛料和调味品（GB-T 12729.1-2008）；白砂糖（白砂糖国家标准GB 317-2006）；食用盐（食用盐国家标准GB5461-2000、食用盐卫生标准GB2721-2003）；酱油（酿造酱油国家标准GB18186-2000、酱油卫生标准GB 2717-2003）；味精（味精卫生标准GB 2720-2003）；生粉（淀粉制品卫生标准GB 2713-2003）；绵白糖（绵白糖国家标准GB 1445-2000）；香醋（食醋国家标准GB 18187-2000、食醋卫生标准G</w:t>
            </w:r>
            <w:r>
              <w:rPr>
                <w:rFonts w:ascii="SimSun" w:hAnsi="SimSun" w:eastAsia="SimSun" w:cs="SimSun"/>
                <w:color w:val="000000"/>
                <w:sz w:val="24"/>
              </w:rPr>
              <w:t xml:space="preserve">B 2719-2003）。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（2）米面油：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一级大米符合GB1354-2018、GB2715-2016标准，要求含水量等于低于规定标准，无杂质、杂米，黄粒米〈2%，含碎〈15%，水份〈15.5%；优质大米符合GB1354-2018、GB2715-2016标准，要求含水量等于低于规定标准，无杂质、杂米，黄粒米〈2%，含碎〈10%，水份〈15%；粳米符合GB/T 1354-2018标准；含水量等于低于规定标准，无杂质、杂米，黄粒米〈2%，含碎〈10%，水份〈15%；小米符合GB/T 11766-2008标准；要求含水量等于低于规定标准，无杂质、杂米含</w:t>
            </w:r>
            <w:r>
              <w:rPr>
                <w:rFonts w:ascii="SimSun" w:hAnsi="SimSun" w:eastAsia="SimSun" w:cs="SimSun"/>
                <w:color w:val="000000"/>
                <w:sz w:val="24"/>
              </w:rPr>
              <w:t xml:space="preserve">碎〈4%，水份〈13%；糯米符合GB/T 1354-2018标准；要求含水量等于低于规定标准，无杂质、杂米，黄粒米〈2%，含碎〈15%，水份〈15.5%等。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面：所用原料符合GB1335 特制一等粉规定；食品添加剂应符合GB2760 规定，粗细度应全通CQ20 号筛；面制品符合QB/T5729-2022规定。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w:t>
            </w:r>
            <w:r>
              <w:rPr>
                <w:rFonts w:ascii="Calibri" w:hAnsi="Calibri" w:eastAsia="Calibri" w:cs="Calibri"/>
                <w:color w:val="000000"/>
                <w:sz w:val="24"/>
              </w:rPr>
              <w:t xml:space="preserve">非转基因大豆油符合</w:t>
            </w:r>
            <w:r>
              <w:rPr>
                <w:rFonts w:ascii="SimSun" w:hAnsi="SimSun" w:eastAsia="SimSun" w:cs="SimSun"/>
                <w:color w:val="000000"/>
                <w:sz w:val="24"/>
              </w:rPr>
              <w:t xml:space="preserve">GB2716-2018</w:t>
            </w:r>
            <w:r>
              <w:rPr>
                <w:rFonts w:ascii="Calibri" w:hAnsi="Calibri" w:eastAsia="Calibri" w:cs="Calibri"/>
                <w:color w:val="000000"/>
                <w:sz w:val="24"/>
              </w:rPr>
              <w:t xml:space="preserve">、</w:t>
            </w:r>
            <w:r>
              <w:rPr>
                <w:rFonts w:ascii="SimSun" w:hAnsi="SimSun" w:eastAsia="SimSun" w:cs="SimSun"/>
                <w:color w:val="000000"/>
                <w:sz w:val="24"/>
              </w:rPr>
              <w:t xml:space="preserve">GB/T1535-2017</w:t>
            </w:r>
            <w:r>
              <w:rPr>
                <w:rFonts w:ascii="Calibri" w:hAnsi="Calibri" w:eastAsia="Calibri" w:cs="Calibri"/>
                <w:color w:val="000000"/>
                <w:sz w:val="24"/>
              </w:rPr>
              <w:t xml:space="preserve">标准；溶剂残留不得检出；酸值小于</w:t>
            </w:r>
            <w:r>
              <w:rPr>
                <w:rFonts w:ascii="SimSun" w:hAnsi="SimSun" w:eastAsia="SimSun" w:cs="SimSun"/>
                <w:color w:val="000000"/>
                <w:sz w:val="24"/>
              </w:rPr>
              <w:t xml:space="preserve">0.2%</w:t>
            </w:r>
            <w:r>
              <w:rPr>
                <w:rFonts w:ascii="Calibri" w:hAnsi="Calibri" w:eastAsia="Calibri" w:cs="Calibri"/>
                <w:color w:val="000000"/>
                <w:sz w:val="24"/>
              </w:rPr>
              <w:t xml:space="preserve">；过氧化值小于</w:t>
            </w:r>
            <w:r>
              <w:rPr>
                <w:rFonts w:ascii="SimSun" w:hAnsi="SimSun" w:eastAsia="SimSun" w:cs="SimSun"/>
                <w:color w:val="000000"/>
                <w:sz w:val="24"/>
              </w:rPr>
              <w:t xml:space="preserve">5</w:t>
            </w:r>
            <w:r>
              <w:rPr>
                <w:rFonts w:ascii="Calibri" w:hAnsi="Calibri" w:eastAsia="Calibri" w:cs="Calibri"/>
                <w:color w:val="000000"/>
                <w:sz w:val="24"/>
              </w:rPr>
              <w:t xml:space="preserve">；非转基因玉米油符合</w:t>
            </w:r>
            <w:r>
              <w:rPr>
                <w:rFonts w:ascii="SimSun" w:hAnsi="SimSun" w:eastAsia="SimSun" w:cs="SimSun"/>
                <w:color w:val="000000"/>
                <w:sz w:val="24"/>
              </w:rPr>
              <w:t xml:space="preserve">GB/19111-2017</w:t>
            </w:r>
            <w:r>
              <w:rPr>
                <w:rFonts w:ascii="Calibri" w:hAnsi="Calibri" w:eastAsia="Calibri" w:cs="Calibri"/>
                <w:color w:val="000000"/>
                <w:sz w:val="24"/>
              </w:rPr>
              <w:t xml:space="preserve">标准；酸值小于</w:t>
            </w:r>
            <w:r>
              <w:rPr>
                <w:rFonts w:ascii="SimSun" w:hAnsi="SimSun" w:eastAsia="SimSun" w:cs="SimSun"/>
                <w:color w:val="000000"/>
                <w:sz w:val="24"/>
              </w:rPr>
              <w:t xml:space="preserve">0.2%</w:t>
            </w:r>
            <w:r>
              <w:rPr>
                <w:rFonts w:ascii="Calibri" w:hAnsi="Calibri" w:eastAsia="Calibri" w:cs="Calibri"/>
                <w:color w:val="000000"/>
                <w:sz w:val="24"/>
              </w:rPr>
              <w:t xml:space="preserve">；非转基因葵籽油符合</w:t>
            </w:r>
            <w:r>
              <w:rPr>
                <w:rFonts w:ascii="SimSun" w:hAnsi="SimSun" w:eastAsia="SimSun" w:cs="SimSun"/>
                <w:color w:val="000000"/>
                <w:sz w:val="24"/>
              </w:rPr>
              <w:t xml:space="preserve">GB10464-2017</w:t>
            </w:r>
            <w:r>
              <w:rPr>
                <w:rFonts w:ascii="Calibri" w:hAnsi="Calibri" w:eastAsia="Calibri" w:cs="Calibri"/>
                <w:color w:val="000000"/>
                <w:sz w:val="24"/>
              </w:rPr>
              <w:t xml:space="preserve">标准；溶剂残留不得检出；酸价≤</w:t>
            </w:r>
            <w:r>
              <w:rPr>
                <w:rFonts w:ascii="SimSun" w:hAnsi="SimSun" w:eastAsia="SimSun" w:cs="SimSun"/>
                <w:color w:val="000000"/>
                <w:sz w:val="24"/>
              </w:rPr>
              <w:t xml:space="preserve">0.5</w:t>
            </w:r>
            <w:r>
              <w:rPr>
                <w:rFonts w:ascii="Calibri" w:hAnsi="Calibri" w:eastAsia="Calibri" w:cs="Calibri"/>
                <w:color w:val="000000"/>
                <w:sz w:val="24"/>
              </w:rPr>
              <w:t xml:space="preserve">；过氧化值≤</w:t>
            </w:r>
            <w:r>
              <w:rPr>
                <w:rFonts w:ascii="SimSun" w:hAnsi="SimSun" w:eastAsia="SimSun" w:cs="SimSun"/>
                <w:color w:val="000000"/>
                <w:sz w:val="24"/>
              </w:rPr>
              <w:t xml:space="preserve">5</w:t>
            </w:r>
            <w:r>
              <w:rPr>
                <w:rFonts w:ascii="Calibri" w:hAnsi="Calibri" w:eastAsia="Calibri" w:cs="Calibri"/>
                <w:color w:val="000000"/>
                <w:sz w:val="24"/>
              </w:rPr>
              <w:t xml:space="preserve">；非转基因菜籽油符合</w:t>
            </w:r>
            <w:r>
              <w:rPr>
                <w:rFonts w:ascii="SimSun" w:hAnsi="SimSun" w:eastAsia="SimSun" w:cs="SimSun"/>
                <w:color w:val="000000"/>
                <w:sz w:val="24"/>
              </w:rPr>
              <w:t xml:space="preserve">GB/T 1536-2021 </w:t>
            </w:r>
            <w:r>
              <w:rPr>
                <w:rFonts w:ascii="Calibri" w:hAnsi="Calibri" w:eastAsia="Calibri" w:cs="Calibri"/>
                <w:color w:val="000000"/>
                <w:sz w:val="24"/>
              </w:rPr>
              <w:t xml:space="preserve">标准；溶剂残留不得检出；酸价≤</w:t>
            </w:r>
            <w:r>
              <w:rPr>
                <w:rFonts w:ascii="SimSun" w:hAnsi="SimSun" w:eastAsia="SimSun" w:cs="SimSun"/>
                <w:color w:val="000000"/>
                <w:sz w:val="24"/>
              </w:rPr>
              <w:t xml:space="preserve">1.5</w:t>
            </w:r>
            <w:r>
              <w:rPr>
                <w:rFonts w:ascii="Calibri" w:hAnsi="Calibri" w:eastAsia="Calibri" w:cs="Calibri"/>
                <w:color w:val="000000"/>
                <w:sz w:val="24"/>
              </w:rPr>
              <w:t xml:space="preserve">；过氧化值≤</w:t>
            </w:r>
            <w:r>
              <w:rPr>
                <w:rFonts w:ascii="SimSun" w:hAnsi="SimSun" w:eastAsia="SimSun" w:cs="SimSun"/>
                <w:color w:val="000000"/>
                <w:sz w:val="24"/>
              </w:rPr>
              <w:t xml:space="preserve">0.125</w:t>
            </w:r>
            <w:r>
              <w:rPr>
                <w:rFonts w:ascii="Calibri" w:hAnsi="Calibri" w:eastAsia="Calibri" w:cs="Calibri"/>
                <w:color w:val="000000"/>
                <w:sz w:val="24"/>
              </w:rPr>
              <w:t xml:space="preserve">；非转基因花生油符合</w:t>
            </w:r>
            <w:r>
              <w:rPr>
                <w:rFonts w:ascii="SimSun" w:hAnsi="SimSun" w:eastAsia="SimSun" w:cs="SimSun"/>
                <w:color w:val="000000"/>
                <w:sz w:val="24"/>
              </w:rPr>
              <w:t xml:space="preserve">GB/T 1534-2017</w:t>
            </w:r>
            <w:r>
              <w:rPr>
                <w:rFonts w:ascii="Calibri" w:hAnsi="Calibri" w:eastAsia="Calibri" w:cs="Calibri"/>
                <w:color w:val="000000"/>
                <w:sz w:val="24"/>
              </w:rPr>
              <w:t xml:space="preserve">标准；溶剂残留不得检出；酸价≤</w:t>
            </w:r>
            <w:r>
              <w:rPr>
                <w:rFonts w:ascii="SimSun" w:hAnsi="SimSun" w:eastAsia="SimSun" w:cs="SimSun"/>
                <w:color w:val="000000"/>
                <w:sz w:val="24"/>
              </w:rPr>
              <w:t xml:space="preserve">1.5</w:t>
            </w:r>
            <w:r>
              <w:rPr>
                <w:rFonts w:ascii="Calibri" w:hAnsi="Calibri" w:eastAsia="Calibri" w:cs="Calibri"/>
                <w:color w:val="000000"/>
                <w:sz w:val="24"/>
              </w:rPr>
              <w:t xml:space="preserve">；过氧化值≤</w:t>
            </w:r>
            <w:r>
              <w:rPr>
                <w:rFonts w:ascii="SimSun" w:hAnsi="SimSun" w:eastAsia="SimSun" w:cs="SimSun"/>
                <w:color w:val="000000"/>
                <w:sz w:val="24"/>
              </w:rPr>
              <w:t xml:space="preserve">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（3）奶制品：包括但不限于符合下列要求：GB 19302食品安全国家标准发酵乳；GB 19645食品安全国家标准巴氏杀菌乳；GB 25190食品安全国家标准灭菌乳；GB 25191食品安全国家标准调制乳；GB 19644食品安全国家标准乳粉；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2761食品安全国家标准食品中真菌毒素限量</w:t>
            </w:r>
            <w:r>
              <w:rPr>
                <w:rFonts w:ascii="DengXian" w:hAnsi="DengXian" w:eastAsia="DengXian" w:cs="DengXian"/>
                <w:color w:val="000000"/>
                <w:sz w:val="24"/>
              </w:rPr>
              <w:t xml:space="preserve">；</w:t>
            </w:r>
            <w:r>
              <w:rPr>
                <w:rFonts w:ascii="SimSun" w:hAnsi="SimSun" w:eastAsia="SimSun" w:cs="SimSun"/>
                <w:color w:val="000000"/>
                <w:sz w:val="24"/>
              </w:rPr>
              <w:t xml:space="preserve">GB 2762食品安全国家标准食品中污染物限量。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蔬菜、豆制品、蛋类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1.感官要求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（1）蔬菜：无虫咬、发芽、萎蔫现象、不含任何可见杂物；无明显浸水现象，根、茎、叶新鲜，具有本品种的基本特征；无任何异常气味，未腐烂、变质。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（2）豆制品：具有产品应有的色泽； 具有产品应有的滋味和气味，无异味；具有产品应有的状态，无霉变，无正常视力可见的外来异物。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（3）蛋类：具有禽蛋固有的色泽，组织形态蛋壳清洁、无破裂、打开后蛋壳凸起、完整、有韧性，蛋白澄清透明，稀稠分明，具有产品固有的气味，无异味，无杂质，不得有血块及其他组织异物。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2.规范要求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（1）蔬菜：蔬菜农药残留符合GB2763-2019；净菜农药残留符合GB 2763-2019，并参照DB42/T 949-2014。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（2）豆制品：符合食品安全国家标准（GB2712-2014）豆制品。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（3）蛋类：符合GB 2749-2015、GB 2762-2017、GB 2763-2016、GB/T 21316-2007标准。蛋壳上无残留的羽毛、粪便等有害物体，无禽流感病菌、沙门氏菌、大肠杆菌等致病菌。</w:t>
            </w:r>
            <w:r/>
          </w:p>
        </w:tc>
      </w:tr>
      <w:tr>
        <w:trPr>
          <w:trHeight w:val="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1.感官要求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具有本品种独有的外形，大小均匀，果面圆滑有光彩，拥有本品种应有的自然色彩；无斑点或极少果锈，无病虫害，不起皱，无裂口，无压痕及其余机械伤害和冻伤黑斑；果身重，硬朗；味爽口，无异味。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2.规范标准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水果类必须符合GB23200-2016标准。</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以上涉及的国家食品安全、规范标准如有更新的均按照最新标准执行。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用餐食品安全，中标供应商所供食材应为同类产品中的综合质量优良产品。所有商品必须做到可以溯源，且不得含有兴奋剂化学成分，如含有兴奋剂化学成分，一经发现，立即解除合同，并没收全部履约保证金，同时采购人还将依法追究供应商法律和经济责任，如情节严重的，将提请司法机关单位追究其刑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应严格遵守《食品安全法》和《动物检疫法》等相关规定，严格保证食品质量符合国家相关产品质量标准，符合国家各级强制性规范的要求。在食材供应期间如出现因食用其提供的食品导致食物中毒的事故发生，中标供应商应对此承担一切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3.中标供应商应保证所提供的食品在保质期内经正确和合理食用，不会出现食品安全事故，并对食品安全事故负责。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4.一经发现供应以下食品，中标供应商除全部退货外并没收全部履约保证金，同时还应承担由此造成的经济责任和法律责任：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（1）腐败变质、油脂酸败、生虫、污秽不洁、混有异物或者其他感官性状异常，对人体健康有害的；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（2）含有毒、有害物质或者被有害物质污染，对人体健康有害的；含有严重超出标准限量的兽药残留、重金属、污染物质以及其他危害人体健康的；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（3）含有致病性寄生虫、微生物或者微生物含量超过国家限定标准的；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（4）未经动物检疫部门检疫、检验或者检疫、检验不合格的；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（5）病死、毒死或者死因不明的动物等及其制品；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（6）掺假、掺杂、伪造，影响营养、卫生的；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（7）用非食品原料加工的，加入非食品用化学物质或者将非食品当作食品的；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（8）超过保质期限的。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到达现场后，供应商应在使用单位人员在场情况下当面进行感官检验、外观检验或试用检验，若产品外观、包装、质量不能达到收货标准，采购人拒收配送食材，供应商应无条件立即补充合格产品，不得影响正常开餐。对符合要求的产品当场作出记录，双方签字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2.提供货物未达到采购文件规定要求，且对采购人造成损失的，由供应商承担一切责任，并赔偿所造成损失。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3.因验收货物时不能直接判断质量的，但在使用过程中发现不合格商品，供应商应作退货、退款处理。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4.凡按重量计量物资，均以物品净重方式计量结算。</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四、食材配送及交货要求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（一）交货方式为按采购人要求按时供货的，中标供应商必须在规定的交货时间内把指定产品送至指定地点。交付地为采购人食堂，交付时间：于送货当日上午8点之前送达。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（二）中标供应商应能按采购人要求及时补货。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（三）提前一小时或推迟送货，采购人有权拒绝验收签单。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（四）每日及每批次提供的原料，必须经</w:t>
      </w:r>
      <w:r>
        <w:rPr>
          <w:rFonts w:ascii="SimSun" w:hAnsi="SimSun" w:eastAsia="SimSun" w:cs="SimSun"/>
          <w:color w:val="000000"/>
          <w:sz w:val="24"/>
          <w:u w:val="none"/>
        </w:rPr>
        <w:t xml:space="preserve">食堂仓管员</w:t>
      </w:r>
      <w:r>
        <w:rPr>
          <w:rFonts w:ascii="SimSun" w:hAnsi="SimSun" w:eastAsia="SimSun" w:cs="SimSun"/>
          <w:color w:val="000000"/>
          <w:sz w:val="24"/>
        </w:rPr>
        <w:t xml:space="preserve">或食堂相关的人员验收签单（不少于两人签字验收）后才能视为有效，否则均视为无效供货（验收应当当场签单、补签单仍然视为无效供货）。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（五）中标供应商必须对每日及每批次提供的食品提供其相关单位的检验检疫证、检测报告等相关证明，否则采购人有权拒绝验收签单。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（六）规格包装的产品交付时，必须原包装完好无损，否则采购人有权拒收。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（七）中标供应商运输工具进入采购人后，必须接受采购人统一管理，发生任何人员与设施损伤，均由中标供应商承担责任。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（八）中标供应商需免费指导采购人正确使用其产品，采购人有权要求中标供应商供货前对其提供的食材进行前期处理。</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五、履约及违约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（一）履约保证金：</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0"/>
        <w:gridCol w:w="3359"/>
        <w:gridCol w:w="4495"/>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履约保证金金额（万元）</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水产、冷冻品、禽类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调味品、米面油、奶制品类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蔬菜、豆制品、蛋类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各分包中标供应商须在签订合同前向采购人交纳上述所要求金额的履约保证金作为合同生效的前提。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因供应商配送不及时（超过1小时）或不足量（少送、漏送量超过当次采购金额5%）导致运动员和教职工伙食供应延误的且经采取补救措施未造成采购人不良影响的，第一次扣除履约保证金的10%，第二次扣除履约保证金的30%，第三次扣除履约保证金的60%并采购人有权解除合同，无需支付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因供应商配送不及时（超过1小时）或不足量（少送、漏送量超过当次采购金额5%）导致运动员和教职工伙食供应延误且未采取有效补救措施的，采购人有权解除合同，无需支付任何费用，并扣除全部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供应商少送、漏送采购人订货单中采购的货物，少送、漏送量不超过当次采购金额5%的，供应商应当立即采取补救措施，且采购人在结算时有权扣除少送、漏送部分的价款，每次发生时应当扣除供应商履约保证金的10%；发生少送、漏送（不超过当次采购金额5%）超过3次的，采购人有权扣除全部履约保证金，并且采购人有权解除本合同，如给采购人造成其他损失，供应商还应当予以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如单位食堂临时增加用餐人员需临时补充食材的，供应商在接到通知后2小时内必须无条件把指定的食材送至单位食堂。否则第一次扣除履约保证金的5%，第二次扣除履约保证金的10%，第三次扣除履约保证金的20%并解除合同，无需支付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凡经相关部门认定，如因供应商所提供的原料原因造成采购人食堂岀现食物中毒等卫生事故的，供应商除必须承担全部的法律责任外，还要全额承担因食物中毒发生造成后果的一切费用，并立即停止供应商供货，并暂扣当月所有供应原料的货款作为供应商的赔偿预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凡供应商向采购人提供的产品发生任何质量问题，影响食用，经双方（采购人、供应商）确认（如有争议且无法解决的，则邀请国家认可的质量检测机构进行鉴定），第一次扣除履约保证金的10%，第二次扣除履约保证金的30%，第三次扣除履约保证金的60%并解除合同；对于其中发生的较严重（如感官状异常、过期、变质）以上质量问题的，采购方有权直接解除合同或暂停供应商继续供货，扣除供应商全部履约保证金，并由供应商承担相应的赔偿等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人将定期或不定期地组织专人对供应商所供货物的质量报送质检部门抽检，若发现货物质量检测结果与本招标要求的质量标准不符，每发现一次，采购人有权扣除履约保证金的20%作为违约金，同时供应商应当立即采取补救措施，按照合同约定的标准更换货物；发现三次的或任一次供应商未采取、未及时采取补救措施，采购人有权扣除全部履约保证金，并且采购人有权解除本合同，如给采购人造成其他损失，供应商还应当予以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（九）凡供应货物故意串规、定量包装批量误差超过相关规定，一经查实，均须按当月总釆购量的3倍误差值作为支付的违约金。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供应商非因法定免责事由延迟供货或所供货物存在质量问题等原因导致采购人解除合同的，除扣除供应商全部履约保证金，并由供应商承担相应赔偿责任外，供应商仍需承担采购人寻找替代供货商所发生的合理费用。</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六、特别说明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为保证用餐运动员食品原材料来源安全，落实贯彻《反兴奋剂中心关于印发世界反兴奋剂机构《2026年禁用清单国际标准》中文稿的通知》要求，肉类供应商须对照上述文号中的禁用清单，并依法承诺所供产品无禁用清单中所列明的兴奋剂化学成分，各供应商须提供针对此项的承诺函，承诺内容涵盖本特别说明（一）、（二）、（三）项下的特别要求，格式自拟并加盖投标供应商公章。</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（二）由于世界反兴奋剂机构出具的国际禁用清单不定期更新，供应商须随时关注并对照最新禁用清单，保证所供食品原材料的安全、卫生、无兴奋剂化学成分。</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供应商所配送的食材如含有兴奋剂化学成分的，将按《中华人民共和国刑法》第一百四十三条、第一百四十四条规定的，以【生产、销售不符合安全标准的食品罪】、【生产、销售有毒、有害食品罪】定罪处罚。</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七、报价方式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（一）供应商须综合考虑不同种类食材的价格以及市场波动等客观因素，统一按照食材基准单价优惠率进行报价。中标供应商在供货期间优惠率不予调整。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（二）基准单价计算方式：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依照最近一期的南京市商务局（网址：</w:t>
      </w:r>
      <w:hyperlink r:id="rId11" w:tooltip="https://swj/" w:history="1">
        <w:r>
          <w:rPr>
            <w:rStyle w:val="800"/>
            <w:rFonts w:ascii="SimSun" w:hAnsi="SimSun" w:eastAsia="SimSun" w:cs="SimSun"/>
            <w:b/>
            <w:color w:val="0000ee"/>
            <w:sz w:val="24"/>
            <w:u w:val="single"/>
          </w:rPr>
          <w:t xml:space="preserve">https://swj</w:t>
        </w:r>
      </w:hyperlink>
      <w:r>
        <w:rPr>
          <w:rFonts w:ascii="SimSun" w:hAnsi="SimSun" w:eastAsia="SimSun" w:cs="SimSun"/>
          <w:b/>
          <w:color w:val="000000"/>
          <w:sz w:val="24"/>
        </w:rPr>
        <w:t xml:space="preserve">.nanjing.gov.cn/njsswj/?id=386）发布的科巷菜场同类食材的指导价格为基础，如南京市商务局网站内的食材种类不全，则按送货当月上下半月各任意一天大润发超市同类食材的零售价格，分别作为其对应的基准单价。如部分类别食材确实均不在以上两个价格查询平台中（须由甲乙双方事先确认），则其结算单价由采购人综合市场价格并根据供应商报价优惠率计算后确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（三）最终结算单价=基准单价*（1-优惠率）。</w:t>
      </w:r>
      <w:r/>
    </w:p>
    <w:p>
      <w:pPr>
        <w:ind w:left="0" w:right="0" w:firstLine="49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八、付款方式</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（一）食材单价每月一核（次月核实上月），由中标供应商提出书面申请，并提供相关资料：</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1.次月核算时，依照最近一期的</w:t>
      </w:r>
      <w:r>
        <w:rPr>
          <w:rFonts w:ascii="SimSun" w:hAnsi="SimSun" w:eastAsia="SimSun" w:cs="SimSun"/>
          <w:color w:val="000000"/>
          <w:sz w:val="24"/>
          <w:u w:val="none"/>
        </w:rPr>
        <w:t xml:space="preserve">南京市商务局（网址：</w:t>
      </w:r>
      <w:hyperlink r:id="rId12" w:tooltip="https://swj/" w:history="1">
        <w:r>
          <w:rPr>
            <w:rStyle w:val="800"/>
            <w:rFonts w:ascii="SimSun" w:hAnsi="SimSun" w:eastAsia="SimSun" w:cs="SimSun"/>
            <w:color w:val="0000ee"/>
            <w:sz w:val="24"/>
            <w:u w:val="none"/>
          </w:rPr>
          <w:t xml:space="preserve">https://swj</w:t>
        </w:r>
      </w:hyperlink>
      <w:r>
        <w:rPr>
          <w:rFonts w:ascii="SimSun" w:hAnsi="SimSun" w:eastAsia="SimSun" w:cs="SimSun"/>
          <w:color w:val="000000"/>
          <w:sz w:val="24"/>
        </w:rPr>
        <w:t xml:space="preserve">.nanjing.gov.cn/njsswj/?id=386）发布的科巷菜场同类食材的指导价格为基础，如南京市商务局网站内的食材种类不全，则按送货当月上下半月各任意一天大润发超市同类食材的零售价格，分别作为其对应的基准单价。如部分类别食材确实均不在以上两个价格查询平台中（须由采购人供应商双方事先确认），则其结算单价由采购人综合市场价格并根据供应商报价优惠率计算后确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供应商每月决算时产品单价须严格按照优惠率进行计算申报，所提供的决算资料须准确详实。如弄虚作假、数字不准确等，一经发现，且供应商不能作出合理解释的次数达到二次的，则采购人有权解除合同，没收全部履约保证金，并依法追究供应商经济和法律责任；如拒不执行优惠率、未按优惠率进行计算申报的，采购人有权解除本合同，扣除全部履约保证金，还将按虚假响应招标要求处理，采购人或采购代理机构将上报财政监管部门要求对供应商予以处罚，列入不良行为记录名单，在一至三年内禁止参加政府采购活动。</w:t>
      </w:r>
      <w:r/>
    </w:p>
    <w:p>
      <w:pPr>
        <w:ind w:left="0" w:right="0" w:firstLine="48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决算资料要求（包括但不限于以下要素）</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1"/>
        <w:gridCol w:w="1167"/>
        <w:gridCol w:w="1213"/>
        <w:gridCol w:w="2328"/>
        <w:gridCol w:w="1287"/>
        <w:gridCol w:w="1169"/>
        <w:gridCol w:w="643"/>
        <w:gridCol w:w="9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食材种类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交货时间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基准单价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结算单价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填写供应的食材种类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填写交货</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填写最近一期的南京市商务局发布的科巷菜场同类食材的指导价格，如南京市商务局网站内的食材种类不全，则按送货当月上下半月各任意一天大润发超市同类食材的零售价格，分别作为其对应的基准单价，同时乙方提供相关证明资料附后。如部分类别食材确实均不在以上两个价格查询平台中（须由甲乙双方事先确认），则其结算单价由甲方综合市场价格并根据乙方报价优惠率计算后确定，由甲方提供相关证明资料附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填写成交的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优惠率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基准单价*（1-优惠率）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844"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844"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采购人代表签字：                                      供应商代表签字：</w:t>
      </w:r>
      <w:r/>
    </w:p>
    <w:p>
      <w:pPr>
        <w:ind w:left="0" w:right="571" w:firstLine="413"/>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年月日</w:t>
      </w:r>
      <w:r/>
    </w:p>
    <w:p>
      <w:pPr>
        <w:ind w:left="0" w:right="0" w:firstLine="41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注：针对表格基准单价中要求提供证明资料的要求如下：</w:t>
      </w:r>
      <w:r/>
    </w:p>
    <w:p>
      <w:pPr>
        <w:ind w:left="0" w:right="0" w:firstLine="41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（1）提供的是南京市商务局发布的同类食材的指导价格，则证明资料应为南京市商务局网站（网址：</w:t>
      </w:r>
      <w:hyperlink r:id="rId13" w:tooltip="https://swj/" w:history="1">
        <w:r>
          <w:rPr>
            <w:rStyle w:val="800"/>
            <w:rFonts w:ascii="SimSun" w:hAnsi="SimSun" w:eastAsia="SimSun" w:cs="SimSun"/>
            <w:b/>
            <w:color w:val="0000ee"/>
            <w:sz w:val="21"/>
            <w:u w:val="single"/>
          </w:rPr>
          <w:t xml:space="preserve">https://swj</w:t>
        </w:r>
      </w:hyperlink>
      <w:r>
        <w:rPr>
          <w:rFonts w:ascii="SimSun" w:hAnsi="SimSun" w:eastAsia="SimSun" w:cs="SimSun"/>
          <w:b/>
          <w:color w:val="000000"/>
          <w:sz w:val="21"/>
        </w:rPr>
        <w:t xml:space="preserve">.nanjing.gov.cn/njsswj/?id=386）所公布出来的科巷菜场同类食材的价格截图。</w:t>
      </w:r>
      <w:r/>
    </w:p>
    <w:p>
      <w:pPr>
        <w:ind w:left="0" w:right="0" w:firstLine="41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（2）提供的是大润发超市同类食材的零售价格，则证明资料应为在该超市同类食材的零售价格信息照片/图片。</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如部分类别食材确实均不在以上两个价格查询平台中（须由采购人供应商双方事先确认），则其结算单价由采购人综合市场价格并根据供应商报价优惠率计算后确定，其决算资料同样按此要求执行。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经采购人确定上月所有决算资料属实后，由双方签字确认，同时供应商必须提供相应的等额发票，采购人在收到发票后10个工作日内支付上月供应货款，否则采购人有权顺延付款期限且无息。因财政审批导致的迟延支付，采购人不承担迟延支付的违约责任，付款进度以财政资金下款时间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备注：“第四章 采购项目需求”所有内容均为实质性要求，不允许负偏离，供应商须承诺完全响应，否则作为无效投标。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一、评标办法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的，评标结果按评审后得分由高到低顺序排列。得分相同的，按投标报价由低到高顺序排列。得分且投标报价相同的，按“三、评标标准中2.1-2.7项”得分由高到低顺序排列。在投标文件满足招标文件全部实质性要求的供应商中，按照评审得分由高到低推荐1名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二、评定标准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2.小企业（含小型、微型企业）应当符合以下条件：货物由小微企业制造，即货物由小微企业生产且使用该小微企业商号或者注册商标。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3.价格扣除比例或者价格分加分比例对小型企业和微型企业同等对待，不作区分。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四、监狱和戒毒企业的价格扣除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五、残疾人福利性单位的价格扣除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六、对本国产品的价格扣除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3.本国产品标准请参照《国务院办公厅关于在政府采购中实施本国产品标准及相关政策的通知》（国办发〔2025〕34号）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七、监狱企业、残疾人福利单位属于小型、微型企业的，不重复享受政策。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八、上述价格扣除政策仅适用于“非专门面向中小企业采购项目”。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九、评标标准（适用所有分包）</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4"/>
        <w:gridCol w:w="6141"/>
        <w:gridCol w:w="629"/>
        <w:gridCol w:w="875"/>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top"/>
            <w:textDirection w:val="lrTb"/>
            <w:noWrap w:val="false"/>
          </w:tcPr>
          <w:p>
            <w:pPr>
              <w:ind w:left="0" w:right="0" w:firstLine="0"/>
              <w:jc w:val="center"/>
              <w:spacing w:before="26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top"/>
            <w:textDirection w:val="lrTb"/>
            <w:noWrap w:val="false"/>
          </w:tcPr>
          <w:p>
            <w:pPr>
              <w:ind w:left="0" w:right="0" w:firstLine="0"/>
              <w:jc w:val="center"/>
              <w:spacing w:before="26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top"/>
            <w:textDirection w:val="lrTb"/>
            <w:noWrap w:val="false"/>
          </w:tcPr>
          <w:p>
            <w:pPr>
              <w:ind w:left="0" w:right="0" w:firstLine="0"/>
              <w:jc w:val="center"/>
              <w:spacing w:before="26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top"/>
            <w:textDirection w:val="lrTb"/>
            <w:noWrap w:val="false"/>
          </w:tcPr>
          <w:p>
            <w:pPr>
              <w:ind w:left="0" w:right="0" w:firstLine="0"/>
              <w:jc w:val="center"/>
              <w:spacing w:before="26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top"/>
            <w:textDirection w:val="lrTb"/>
            <w:noWrap w:val="false"/>
          </w:tcPr>
          <w:p>
            <w:pPr>
              <w:ind w:left="0" w:right="0" w:firstLine="0"/>
              <w:jc w:val="center"/>
              <w:spacing w:before="26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1.价</w:t>
            </w:r>
            <w:r>
              <w:rPr>
                <w:rFonts w:ascii="SimSun" w:hAnsi="SimSun" w:eastAsia="SimSun" w:cs="SimSun"/>
                <w:b/>
                <w:color w:val="000000"/>
                <w:spacing w:val="-2"/>
                <w:sz w:val="24"/>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5"/>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采用低价优先法计算，即满足招标文件要求且按照食材基准单价优惠率最高的投标报价为评审基准价，其价格分为满分。</w:t>
            </w:r>
            <w:r>
              <w:rPr>
                <w:rFonts w:ascii="SimSun" w:hAnsi="SimSun" w:eastAsia="SimSun" w:cs="SimSun"/>
                <w:color w:val="000000"/>
                <w:sz w:val="24"/>
              </w:rPr>
              <w:t xml:space="preserve">例如：投标人A、B、C的优惠率分别为20%、25%、30%，投标人C所投30%优惠率为评标基准价，投标人的投标报价得分为45分。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其他供应商的价格分统一按照下列公式计算：报价得分=（1-评审基准价/1-投标报价）×45（小数点保留两位）。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2.服务</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食材质量安全控制方案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评委根据供应商提供的食材质量安全控制方案的完整性、科学性、合理性进行综合打分。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（1）食材质量安全控制方案完整、合理、科学、能够完全满足项目需要的得12分；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（2）食材质量安全控制方案较为完整、较为合理、科学，较能满足项目需要的得9分；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（3）食材质量安全控制方案简单、笼统、内容有瑕疵，有待完善的得6分；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（4）食材质量安全控制方案合理性差、缺乏可行性、不能满足项目需要的得3分；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食材采购管理方案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评委根据供应商提供的食材采购管理方案及食材保存管理方案的先进性、科学性、合理性进行综合打分。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（1）食材采购管理方案及食材保存管理方案先进、合理、科学的得7分；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（2）食材采购管理方案及食材保存管理方案较为先进、较为合理、科学的得4分；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（3）食材采购管理方案及食材保存管理方案简单、笼统、缺乏可行性的得1分；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食材配送整理方案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评委根据供应商提供的食材配送整理方案（包括：配送整理能力说明、配送过程中应急处理方案以及配送过程中安全保障措施等）进行综合评分。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（1）食材配送整理方案详细、具体、针对性强的得6分；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（2）食材配送整理方案较为详细具体、针对性较强的得4分；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（3）食材配送整理方案简单、笼统、缺乏可行性的得2分；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注：需提供配送车辆的照片、车辆所有权证明或租赁协议以及方案的文字说明并加盖投标供应商公章，未提供不得分。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评委根据供应商提供的应急预案（包括食物中毒解决措施、临时加餐应急采购措施、质量问题退换货处理措施、遇突发不可抗力（如暴雨、大雪、冰雹等））进行综合评分。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（1）应急预案合理、可行，考虑周到的得7分；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（2）应急预案较合理、基本可行，考虑较周到的得4分；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（3）应急预案较差、缺乏可行性，考虑不周到的得1分；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评委根据供应商拟投入的专业技术人员配置合理性，是否能满足服务要求等因素评分。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（1）人员配备齐全、合理，岗位清晰，职责明确，满足服务需要的得6分；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（2）人员配备较齐全、较合理，岗位较清晰，职责较明确，较能满足服务需要的得4分；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（3）人员配备不合理、岗位不清晰、职责不明确、不能满足服务需要的得2分。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注：提供专业技术人员配置表，至少明确人员的身份信息（年龄、姓名、性别、身份证号）、岗位职责、资格证书（如有）等，未提供不得分。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意见反馈及处置方案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评委根据供应商提供的意见反馈及处置方案进行综合评分。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（1）对服务过程中采购人发现问题的意见反馈及时，处置妥善准确的得4分；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（2）对服务过程中采购人发现问题的意见反馈较为及时，处置较妥善准确的得2分；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（3）对服务过程中采购人发现问题的意见反馈及时性、处置妥善准确性差的得1分；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档案资料管理制度方案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评委根据供应商提供项目实施期间的档案资料管理制度方案进行综合评分。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（1）档案资料收集、保存、移交等流程规范全面的得4分；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（2）档案资料收集、保存、移交等流程较为规范全面的得2分；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（3）档案资料收集、保存、移交等流程简单、笼统、规范性差的得1分；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464"/>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3.业绩</w:t>
            </w:r>
            <w:r/>
          </w:p>
        </w:tc>
      </w:tr>
      <w:tr>
        <w:trPr>
          <w:trHeight w:val="10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根据供应商2023年1月1日以来完成的类似项目合同（以合同签订时间为准，所投采购包中有多个品类的，则合同内容须至少体现其中一类）打分，每提供一个得3分，满分9分（提供合同</w:t>
            </w:r>
            <w:r>
              <w:rPr>
                <w:rFonts w:ascii="SimSun" w:hAnsi="SimSun" w:eastAsia="SimSun" w:cs="SimSun"/>
                <w:color w:val="000000"/>
                <w:sz w:val="24"/>
              </w:rPr>
              <w:t xml:space="preserve">扫描件加盖投标供应商公章，合同应能反映相关信息）。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客</w:t>
            </w:r>
            <w:r>
              <w:rPr>
                <w:rFonts w:ascii="SimSun" w:hAnsi="SimSun" w:eastAsia="SimSun" w:cs="SimSun"/>
                <w:color w:val="000000"/>
                <w:spacing w:val="-4"/>
                <w:sz w:val="24"/>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合</w:t>
            </w:r>
            <w:r>
              <w:rPr>
                <w:rFonts w:ascii="SimSun" w:hAnsi="SimSun" w:eastAsia="SimSun" w:cs="SimSun"/>
                <w:color w:val="000000"/>
                <w:spacing w:val="-2"/>
                <w:sz w:val="24"/>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5" w:type="dxa"/>
            <w:vAlign w:val="center"/>
            <w:textDirection w:val="lrTb"/>
            <w:noWrap w:val="false"/>
          </w:tcPr>
          <w:p>
            <w:pPr>
              <w:ind w:left="172" w:right="0" w:firstLine="0"/>
              <w:jc w:val="center"/>
              <w:spacing w:before="123"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100分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开标一览表（采购包1）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4"/>
        <w:gridCol w:w="67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投标总报价（优惠率%）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%（大写：百分之 ）：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开标一览表（采购包2）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4"/>
        <w:gridCol w:w="67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投标总报价（优惠率%）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%（大写：百分之 ）：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开标一览表（采购包3）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4"/>
        <w:gridCol w:w="67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投标总报价（优惠率%）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%（大写：百分之 ）：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开标一览表（采购包4）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4"/>
        <w:gridCol w:w="67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投标总报价（优惠率%）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%（大写：百分之 ）：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3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开标一览表（采购包5）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4"/>
        <w:gridCol w:w="67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投标总报价（优惠率%）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%（大写：百分之 ）：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4"/>
        <w:gridCol w:w="2691"/>
        <w:gridCol w:w="3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批发业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批发业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十一、符合本国产品标准的声明函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Arial" w:hAnsi="Arial" w:eastAsia="Arial" w:cs="Arial"/>
          <w:i/>
          <w:color w:val="000000"/>
          <w:sz w:val="21"/>
          <w:u w:val="single"/>
        </w:rPr>
        <w:t xml:space="preserve">（产品名称1）</w:t>
      </w:r>
      <w:r>
        <w:rPr>
          <w:rFonts w:ascii="Arial" w:hAnsi="Arial" w:eastAsia="Arial" w:cs="Arial"/>
          <w:i/>
          <w:color w:val="000000"/>
          <w:sz w:val="21"/>
          <w:vertAlign w:val="superscript"/>
        </w:rPr>
        <w:t xml:space="preserve">1</w:t>
      </w:r>
      <w:r>
        <w:rPr>
          <w:rFonts w:ascii="Arial" w:hAnsi="Arial" w:eastAsia="Arial" w:cs="Arial"/>
          <w:color w:val="000000"/>
          <w:sz w:val="21"/>
        </w:rPr>
        <w:t xml:space="preserve">，生产厂为</w:t>
      </w:r>
      <w:r>
        <w:rPr>
          <w:rFonts w:ascii="Arial" w:hAnsi="Arial" w:eastAsia="Arial" w:cs="Arial"/>
          <w:i/>
          <w:color w:val="000000"/>
          <w:sz w:val="21"/>
          <w:u w:val="single"/>
        </w:rPr>
        <w:t xml:space="preserve">（</w:t>
      </w:r>
      <w:r>
        <w:rPr>
          <w:rFonts w:ascii="Arial" w:hAnsi="Arial" w:eastAsia="Arial" w:cs="Arial"/>
          <w:color w:val="000000"/>
          <w:sz w:val="21"/>
          <w:u w:val="single"/>
        </w:rPr>
        <w:t xml:space="preserve">厂名</w:t>
      </w:r>
      <w:r>
        <w:rPr>
          <w:rFonts w:ascii="Arial" w:hAnsi="Arial" w:eastAsia="Arial" w:cs="Arial"/>
          <w:i/>
          <w:color w:val="000000"/>
          <w:sz w:val="21"/>
          <w:u w:val="single"/>
        </w:rPr>
        <w:t xml:space="preserve">）</w:t>
      </w:r>
      <w:r>
        <w:rPr>
          <w:rFonts w:ascii="Arial" w:hAnsi="Arial" w:eastAsia="Arial" w:cs="Arial"/>
          <w:i/>
          <w:color w:val="000000"/>
          <w:sz w:val="21"/>
          <w:vertAlign w:val="superscript"/>
        </w:rPr>
        <w:t xml:space="preserve">2</w:t>
      </w:r>
      <w:r>
        <w:rPr>
          <w:rFonts w:ascii="Arial" w:hAnsi="Arial" w:eastAsia="Arial" w:cs="Arial"/>
          <w:color w:val="000000"/>
          <w:sz w:val="21"/>
        </w:rPr>
        <w:t xml:space="preserve">，厂址为</w:t>
      </w:r>
      <w:r>
        <w:rPr>
          <w:rFonts w:ascii="Arial" w:hAnsi="Arial" w:eastAsia="Arial" w:cs="Arial"/>
          <w:i/>
          <w:color w:val="000000"/>
          <w:sz w:val="21"/>
          <w:u w:val="single"/>
        </w:rPr>
        <w:t xml:space="preserve">（生产厂址）</w:t>
      </w:r>
      <w:r>
        <w:rPr>
          <w:rFonts w:ascii="Arial" w:hAnsi="Arial" w:eastAsia="Arial" w:cs="Arial"/>
          <w:color w:val="000000"/>
          <w:sz w:val="21"/>
        </w:rPr>
        <w:t xml:space="preserve">。</w:t>
      </w:r>
      <w:r>
        <w:rPr>
          <w:rFonts w:ascii="Arial" w:hAnsi="Arial" w:eastAsia="Arial" w:cs="Arial"/>
          <w:i/>
          <w:color w:val="000000"/>
          <w:sz w:val="21"/>
          <w:u w:val="single"/>
        </w:rPr>
        <w:t xml:space="preserve">（产品名称1）</w:t>
      </w:r>
      <w:r>
        <w:rPr>
          <w:rFonts w:ascii="Arial" w:hAnsi="Arial" w:eastAsia="Arial" w:cs="Arial"/>
          <w:color w:val="000000"/>
          <w:sz w:val="21"/>
        </w:rPr>
        <w:t xml:space="preserve">的中国境内生产的组件成本占比≥</w:t>
      </w:r>
      <w:r>
        <w:rPr>
          <w:rFonts w:ascii="Arial" w:hAnsi="Arial" w:eastAsia="Arial" w:cs="Arial"/>
          <w:i/>
          <w:color w:val="000000"/>
          <w:sz w:val="21"/>
          <w:u w:val="single"/>
        </w:rPr>
        <w:t xml:space="preserve">（规定比例）</w:t>
      </w:r>
      <w:r>
        <w:rPr>
          <w:rFonts w:ascii="Arial" w:hAnsi="Arial" w:eastAsia="Arial" w:cs="Arial"/>
          <w:i/>
          <w:color w:val="000000"/>
          <w:sz w:val="21"/>
          <w:vertAlign w:val="superscript"/>
        </w:rPr>
        <w:t xml:space="preserve">3</w:t>
      </w:r>
      <w:r>
        <w:rPr>
          <w:rFonts w:ascii="Arial" w:hAnsi="Arial" w:eastAsia="Arial" w:cs="Arial"/>
          <w:color w:val="000000"/>
          <w:sz w:val="21"/>
        </w:rPr>
        <w:t xml:space="preserve">。</w:t>
      </w:r>
      <w:r>
        <w:rPr>
          <w:rFonts w:ascii="Arial" w:hAnsi="Arial" w:eastAsia="Arial" w:cs="Arial"/>
          <w:i/>
          <w:color w:val="000000"/>
          <w:sz w:val="21"/>
          <w:u w:val="single"/>
        </w:rPr>
        <w:t xml:space="preserve">（产品名称1）</w:t>
      </w:r>
      <w:r>
        <w:rPr>
          <w:rFonts w:ascii="Arial" w:hAnsi="Arial" w:eastAsia="Arial" w:cs="Arial"/>
          <w:color w:val="000000"/>
          <w:sz w:val="21"/>
        </w:rPr>
        <w:t xml:space="preserve">的</w:t>
      </w:r>
      <w:r>
        <w:rPr>
          <w:rFonts w:ascii="Arial" w:hAnsi="Arial" w:eastAsia="Arial" w:cs="Arial"/>
          <w:i/>
          <w:color w:val="000000"/>
          <w:sz w:val="21"/>
          <w:u w:val="single"/>
        </w:rPr>
        <w:t xml:space="preserve">（关键组件）</w:t>
      </w:r>
      <w:r>
        <w:rPr>
          <w:rFonts w:ascii="Arial" w:hAnsi="Arial" w:eastAsia="Arial" w:cs="Arial"/>
          <w:i/>
          <w:color w:val="000000"/>
          <w:sz w:val="21"/>
          <w:vertAlign w:val="superscript"/>
        </w:rPr>
        <w:t xml:space="preserve">4</w:t>
      </w:r>
      <w:r>
        <w:rPr>
          <w:rFonts w:ascii="Arial" w:hAnsi="Arial" w:eastAsia="Arial" w:cs="Arial"/>
          <w:color w:val="000000"/>
          <w:sz w:val="21"/>
        </w:rPr>
        <w:t xml:space="preserve">在中国境内生产。</w:t>
      </w:r>
      <w:r>
        <w:rPr>
          <w:rFonts w:ascii="Arial" w:hAnsi="Arial" w:eastAsia="Arial" w:cs="Arial"/>
          <w:i/>
          <w:color w:val="000000"/>
          <w:sz w:val="21"/>
          <w:u w:val="single"/>
        </w:rPr>
        <w:t xml:space="preserve">（产品名称1）</w:t>
      </w:r>
      <w:r>
        <w:rPr>
          <w:rFonts w:ascii="Arial" w:hAnsi="Arial" w:eastAsia="Arial" w:cs="Arial"/>
          <w:color w:val="000000"/>
          <w:sz w:val="21"/>
        </w:rPr>
        <w:t xml:space="preserve">的</w:t>
      </w:r>
      <w:r>
        <w:rPr>
          <w:rFonts w:ascii="Arial" w:hAnsi="Arial" w:eastAsia="Arial" w:cs="Arial"/>
          <w:i/>
          <w:color w:val="000000"/>
          <w:sz w:val="21"/>
          <w:u w:val="single"/>
        </w:rPr>
        <w:t xml:space="preserve">（关键工序）</w:t>
      </w:r>
      <w:r>
        <w:rPr>
          <w:rFonts w:ascii="Arial" w:hAnsi="Arial" w:eastAsia="Arial" w:cs="Arial"/>
          <w:i/>
          <w:color w:val="000000"/>
          <w:sz w:val="21"/>
          <w:vertAlign w:val="superscript"/>
        </w:rPr>
        <w:t xml:space="preserve">5</w:t>
      </w:r>
      <w:r>
        <w:rPr>
          <w:rFonts w:ascii="Arial" w:hAnsi="Arial" w:eastAsia="Arial" w:cs="Arial"/>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Arial" w:hAnsi="Arial" w:eastAsia="Arial" w:cs="Arial"/>
          <w:i/>
          <w:color w:val="000000"/>
          <w:sz w:val="21"/>
          <w:u w:val="single"/>
        </w:rPr>
        <w:t xml:space="preserve">（产品名称2）</w:t>
      </w:r>
      <w:r>
        <w:rPr>
          <w:rFonts w:ascii="Arial" w:hAnsi="Arial" w:eastAsia="Arial" w:cs="Arial"/>
          <w:color w:val="000000"/>
          <w:sz w:val="21"/>
        </w:rPr>
        <w:t xml:space="preserve">，生产厂为</w:t>
      </w:r>
      <w:r>
        <w:rPr>
          <w:rFonts w:ascii="Arial" w:hAnsi="Arial" w:eastAsia="Arial" w:cs="Arial"/>
          <w:i/>
          <w:color w:val="000000"/>
          <w:sz w:val="21"/>
          <w:u w:val="single"/>
        </w:rPr>
        <w:t xml:space="preserve">（厂名）</w:t>
      </w:r>
      <w:r>
        <w:rPr>
          <w:rFonts w:ascii="Arial" w:hAnsi="Arial" w:eastAsia="Arial" w:cs="Arial"/>
          <w:color w:val="000000"/>
          <w:sz w:val="21"/>
        </w:rPr>
        <w:t xml:space="preserve">，厂址为</w:t>
      </w:r>
      <w:r>
        <w:rPr>
          <w:rFonts w:ascii="Arial" w:hAnsi="Arial" w:eastAsia="Arial" w:cs="Arial"/>
          <w:i/>
          <w:color w:val="000000"/>
          <w:sz w:val="21"/>
          <w:u w:val="single"/>
        </w:rPr>
        <w:t xml:space="preserve">（生产厂址）</w:t>
      </w:r>
      <w:r>
        <w:rPr>
          <w:rFonts w:ascii="Arial" w:hAnsi="Arial" w:eastAsia="Arial" w:cs="Arial"/>
          <w:color w:val="000000"/>
          <w:sz w:val="21"/>
        </w:rPr>
        <w:t xml:space="preserve">。</w:t>
      </w:r>
      <w:r>
        <w:rPr>
          <w:rFonts w:ascii="Arial" w:hAnsi="Arial" w:eastAsia="Arial" w:cs="Arial"/>
          <w:i/>
          <w:color w:val="000000"/>
          <w:sz w:val="21"/>
          <w:u w:val="single"/>
        </w:rPr>
        <w:t xml:space="preserve">（产品名称2）</w:t>
      </w:r>
      <w:r>
        <w:rPr>
          <w:rFonts w:ascii="Arial" w:hAnsi="Arial" w:eastAsia="Arial" w:cs="Arial"/>
          <w:color w:val="000000"/>
          <w:sz w:val="21"/>
        </w:rPr>
        <w:t xml:space="preserve">的中国境内生产的组件成本占比≥</w:t>
      </w:r>
      <w:r>
        <w:rPr>
          <w:rFonts w:ascii="Arial" w:hAnsi="Arial" w:eastAsia="Arial" w:cs="Arial"/>
          <w:i/>
          <w:color w:val="000000"/>
          <w:sz w:val="21"/>
          <w:u w:val="single"/>
        </w:rPr>
        <w:t xml:space="preserve">（规定比例）</w:t>
      </w:r>
      <w:r>
        <w:rPr>
          <w:rFonts w:ascii="Arial" w:hAnsi="Arial" w:eastAsia="Arial" w:cs="Arial"/>
          <w:color w:val="000000"/>
          <w:sz w:val="21"/>
        </w:rPr>
        <w:t xml:space="preserve">。</w:t>
      </w:r>
      <w:r>
        <w:rPr>
          <w:rFonts w:ascii="Arial" w:hAnsi="Arial" w:eastAsia="Arial" w:cs="Arial"/>
          <w:i/>
          <w:color w:val="000000"/>
          <w:sz w:val="21"/>
          <w:u w:val="single"/>
        </w:rPr>
        <w:t xml:space="preserve">（产品名称2）</w:t>
      </w:r>
      <w:r>
        <w:rPr>
          <w:rFonts w:ascii="Arial" w:hAnsi="Arial" w:eastAsia="Arial" w:cs="Arial"/>
          <w:color w:val="000000"/>
          <w:sz w:val="21"/>
        </w:rPr>
        <w:t xml:space="preserve">的</w:t>
      </w:r>
      <w:r>
        <w:rPr>
          <w:rFonts w:ascii="Arial" w:hAnsi="Arial" w:eastAsia="Arial" w:cs="Arial"/>
          <w:i/>
          <w:color w:val="000000"/>
          <w:sz w:val="21"/>
          <w:u w:val="single"/>
        </w:rPr>
        <w:t xml:space="preserve">（关键组件）</w:t>
      </w:r>
      <w:r>
        <w:rPr>
          <w:rFonts w:ascii="Arial" w:hAnsi="Arial" w:eastAsia="Arial" w:cs="Arial"/>
          <w:color w:val="000000"/>
          <w:sz w:val="21"/>
        </w:rPr>
        <w:t xml:space="preserve">在中国境内生产。</w:t>
      </w:r>
      <w:r>
        <w:rPr>
          <w:rFonts w:ascii="Arial" w:hAnsi="Arial" w:eastAsia="Arial" w:cs="Arial"/>
          <w:i/>
          <w:color w:val="000000"/>
          <w:sz w:val="21"/>
          <w:u w:val="single"/>
        </w:rPr>
        <w:t xml:space="preserve">（产品名称2）</w:t>
      </w:r>
      <w:r>
        <w:rPr>
          <w:rFonts w:ascii="Arial" w:hAnsi="Arial" w:eastAsia="Arial" w:cs="Arial"/>
          <w:color w:val="000000"/>
          <w:sz w:val="21"/>
        </w:rPr>
        <w:t xml:space="preserve">的</w:t>
      </w:r>
      <w:r>
        <w:rPr>
          <w:rFonts w:ascii="Arial" w:hAnsi="Arial" w:eastAsia="Arial" w:cs="Arial"/>
          <w:i/>
          <w:color w:val="000000"/>
          <w:sz w:val="21"/>
          <w:u w:val="single"/>
        </w:rPr>
        <w:t xml:space="preserve">（关键工序）</w:t>
      </w:r>
      <w:r>
        <w:rPr>
          <w:rFonts w:ascii="Arial" w:hAnsi="Arial" w:eastAsia="Arial" w:cs="Arial"/>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4.该产品的关键组件要求实施前，“关键组件”栏可不填，下同。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5.该产品的关键工序要求实施前，“关键工序”栏可不填，下同。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 Id="rId10" Type="http://schemas.openxmlformats.org/officeDocument/2006/relationships/hyperlink" Target="https://swj/" TargetMode="External"/><Relationship Id="rId11" Type="http://schemas.openxmlformats.org/officeDocument/2006/relationships/hyperlink" Target="https://swj/" TargetMode="External"/><Relationship Id="rId12" Type="http://schemas.openxmlformats.org/officeDocument/2006/relationships/hyperlink" Target="https://swj/" TargetMode="External"/><Relationship Id="rId13" Type="http://schemas.openxmlformats.org/officeDocument/2006/relationships/hyperlink" Target="https://swj/"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朱浩</cp:lastModifiedBy>
  <cp:revision>3</cp:revision>
  <dcterms:created xsi:type="dcterms:W3CDTF">2026-06-17T08:10:15Z</dcterms:created>
  <dcterms:modified xsi:type="dcterms:W3CDTF">2026-06-17T09:16:06Z</dcterms:modified>
</cp:coreProperties>
</file>