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rPr>
      </w:pPr>
      <w:r>
        <w:rPr>
          <w:rFonts w:hint="eastAsia"/>
        </w:rPr>
      </w:r>
      <w:r/>
    </w:p>
    <w:p>
      <w:pPr>
        <w:pStyle w:val="95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项目名称：南京市中医院夫子庙院区无障碍垂直电梯</w:t>
      </w:r>
      <w:r>
        <w:rPr>
          <w:rFonts w:ascii="Times New Roman" w:hAnsi="Times New Roman" w:eastAsia="宋体" w:cs="Times New Roman"/>
          <w:b/>
          <w:color w:val="000000"/>
          <w:sz w:val="30"/>
          <w:szCs w:val="30"/>
          <w:lang w:val="en-US" w:eastAsia="zh-CN"/>
        </w:rPr>
      </w:r>
      <w:r/>
    </w:p>
    <w:p>
      <w:pPr>
        <w:pStyle w:val="869"/>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项目编号：JSZC-320100-JZCG-G2026-0143</w:t>
      </w:r>
      <w:r>
        <w:rPr>
          <w:rFonts w:hint="eastAsia" w:ascii="Times New Roman" w:hAnsi="Times New Roman"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bookmarkEnd w:id="0"/>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eastAsia="宋体" w:cs="Times New Roman"/>
          <w:b w:val="0"/>
          <w:bCs w:val="0"/>
          <w:color w:val="000000"/>
          <w:sz w:val="24"/>
          <w:szCs w:val="24"/>
          <w:lang w:eastAsia="zh-CN"/>
        </w:rPr>
        <w:t xml:space="preserve">受</w:t>
      </w:r>
      <w:bookmarkStart w:id="12" w:name="OLE_LINK3"/>
      <w:r>
        <w:rPr>
          <w:rFonts w:hint="eastAsia" w:ascii="宋体" w:hAnsi="宋体" w:eastAsia="宋体" w:cs="Times New Roman"/>
          <w:b w:val="0"/>
          <w:bCs w:val="0"/>
          <w:color w:val="000000"/>
          <w:sz w:val="24"/>
          <w:szCs w:val="24"/>
          <w:lang w:eastAsia="zh-CN"/>
        </w:rPr>
        <w:t xml:space="preserve">南京市中医院</w:t>
      </w:r>
      <w:bookmarkEnd w:id="12"/>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）就南京市中医院夫子庙院区无障碍垂直电梯</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进行公开招标采购，欢迎符合条件的供应商投标。</w:t>
      </w:r>
      <w:r>
        <w:rPr>
          <w:rFonts w:hint="eastAsia" w:ascii="宋体" w:hAnsi="宋体" w:eastAsia="宋体" w:cs="Times New Roman"/>
          <w:b w:val="0"/>
          <w:bCs w:val="0"/>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bookmarkStart w:id="13" w:name="_Toc28359080"/>
      <w:r/>
      <w:bookmarkStart w:id="14" w:name="_Toc38985264"/>
      <w:r/>
      <w:bookmarkStart w:id="15" w:name="_Toc28359003"/>
      <w:r/>
      <w:bookmarkStart w:id="16" w:name="_Toc35393622"/>
      <w:r/>
      <w:bookmarkStart w:id="17" w:name="_Toc3539379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JSZC-320100-JZCG-G2026-0143 </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eastAsia="zh-CN"/>
        </w:rPr>
        <w:t xml:space="preserve">南京市中医院夫子庙院区无障碍垂直电梯</w:t>
      </w:r>
      <w:r>
        <w:rPr>
          <w:rFonts w:hint="eastAsia" w:ascii="宋体" w:hAnsi="宋体" w:eastAsia="宋体"/>
          <w:color w:val="000000"/>
          <w:sz w:val="24"/>
          <w:szCs w:val="24"/>
          <w:lang w:eastAsia="zh-CN"/>
        </w:rPr>
      </w:r>
      <w:r/>
    </w:p>
    <w:p>
      <w:pPr>
        <w:pStyle w:val="86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35万元</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35万元</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highlight w:val="none"/>
          <w:lang w:val="en-US" w:eastAsia="zh-CN"/>
        </w:rPr>
        <w:t xml:space="preserve">南京市中医院夫子庙院区门诊楼更换电梯项目，包含</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台旧电梯报废拆除、回收；现场井道、机房、厅门等土建整改；新电梯供货安装验收</w:t>
      </w:r>
      <w:r>
        <w:rPr>
          <w:rFonts w:hint="eastAsia" w:ascii="宋体" w:hAnsi="宋体" w:cs="宋体"/>
          <w:color w:val="000000"/>
          <w:sz w:val="24"/>
          <w:szCs w:val="24"/>
          <w:highlight w:val="none"/>
          <w:lang w:val="en-US" w:eastAsia="zh-CN"/>
        </w:rPr>
        <w:t xml:space="preserve">合格、证件办理等</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45天。</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8" w:name="_Toc35393623"/>
      <w:r/>
      <w:bookmarkStart w:id="19" w:name="_Toc35393792"/>
      <w:r/>
      <w:bookmarkStart w:id="20" w:name="_Toc28359004"/>
      <w:r/>
      <w:bookmarkStart w:id="21" w:name="_Toc38985265"/>
      <w:r/>
      <w:bookmarkStart w:id="22"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（1）供应商如为设备制造商，则须具有有效期内的《中华人民共和国特种设备生产许可证》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（2）供应商如为设备代理商，则须具有有效期内的《中华人民共和国特种设备生产许可证》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电梯安装（含修理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曳引驱动乘客电梯；其代理的电梯制造商应具有有效期内的《中华人民共和国特种设备生产许可证》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23" w:name="_Toc35393624"/>
      <w:r/>
      <w:bookmarkStart w:id="24" w:name="_Toc38985266"/>
      <w:r/>
      <w:bookmarkStart w:id="25" w:name="_Toc28359082"/>
      <w:r/>
      <w:bookmarkStart w:id="26" w:name="_Toc28359005"/>
      <w:r/>
      <w:bookmarkStart w:id="27"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8" w:name="_Toc28359084"/>
      <w:r/>
      <w:bookmarkStart w:id="29" w:name="_Toc35393625"/>
      <w:r/>
      <w:bookmarkStart w:id="30" w:name="_Toc28359007"/>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06</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30</w:t>
      </w:r>
      <w:r>
        <w:rPr>
          <w:rFonts w:hint="eastAsia" w:ascii="Times New Roman" w:hAnsi="Times New Roman" w:eastAsia="宋体" w:cs="Times New Roman"/>
          <w:color w:val="000000" w:themeColor="text1"/>
          <w:sz w:val="24"/>
          <w:szCs w:val="24"/>
          <w:u w:val="none"/>
          <w:lang w:val="en-US" w:eastAsia="zh-CN"/>
        </w:rPr>
        <w:t xml:space="preserve">日14</w:t>
      </w:r>
      <w:r>
        <w:rPr>
          <w:rFonts w:hint="eastAsia" w:ascii="Times New Roman" w:hAnsi="Times New Roman" w:eastAsia="宋体" w:cs="Times New Roman"/>
          <w:color w:val="000000" w:themeColor="text1"/>
          <w:sz w:val="24"/>
          <w:szCs w:val="24"/>
          <w:u w:val="none"/>
          <w:lang w:val="en-US" w:eastAsia="zh-CN"/>
        </w:rPr>
        <w:t xml:space="preserve">时00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33" w:name="_Toc38985268"/>
      <w:r/>
      <w:bookmarkStart w:id="34" w:name="_Toc35393795"/>
      <w:r/>
      <w:bookmarkStart w:id="35"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rPr>
      </w:pPr>
      <w:r/>
      <w:bookmarkStart w:id="36" w:name="_Toc38985269"/>
      <w:r/>
      <w:bookmarkStart w:id="37" w:name="_Toc35393627"/>
      <w:r/>
      <w:bookmarkStart w:id="38" w:name="_Toc28359085"/>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w:t>
      </w:r>
      <w:r>
        <w:rPr>
          <w:rFonts w:hint="eastAsia" w:ascii="宋体" w:hAnsi="宋体" w:eastAsia="宋体" w:cs="宋体"/>
          <w:color w:val="000000"/>
          <w:sz w:val="24"/>
          <w:szCs w:val="24"/>
          <w:highlight w:val="none"/>
          <w:lang w:val="en-US" w:eastAsia="zh-CN"/>
        </w:rPr>
        <w:t xml:space="preserve">应商代表携带加盖单位公章的营</w:t>
      </w:r>
      <w:r>
        <w:rPr>
          <w:rFonts w:hint="eastAsia" w:ascii="宋体" w:hAnsi="宋体" w:eastAsia="宋体" w:cs="宋体"/>
          <w:color w:val="000000"/>
          <w:sz w:val="24"/>
          <w:szCs w:val="24"/>
          <w:highlight w:val="none"/>
          <w:lang w:val="en-US" w:eastAsia="zh-CN"/>
        </w:rPr>
        <w:t xml:space="preserve">业执照复印件、法定代表人授权委托书、身份证参加。签到时间：</w:t>
      </w:r>
      <w:r>
        <w:rPr>
          <w:rFonts w:hint="eastAsia" w:ascii="Times New Roman" w:hAnsi="Times New Roman" w:eastAsia="宋体" w:cs="Times New Roman"/>
          <w:color w:val="000000" w:themeColor="text1"/>
          <w:sz w:val="24"/>
          <w:szCs w:val="24"/>
          <w:u w:val="none"/>
          <w:lang w:val="en-US" w:eastAsia="zh-CN"/>
        </w:rPr>
        <w:t xml:space="preserve">2026年06月</w:t>
      </w:r>
      <w:r>
        <w:rPr>
          <w:rFonts w:hint="eastAsia" w:ascii="Times New Roman" w:hAnsi="Times New Roman" w:eastAsia="宋体" w:cs="Times New Roman"/>
          <w:color w:val="000000" w:themeColor="text1"/>
          <w:sz w:val="24"/>
          <w:szCs w:val="24"/>
          <w:u w:val="none"/>
          <w:lang w:val="en-US" w:eastAsia="zh-CN"/>
        </w:rPr>
        <w:t xml:space="preserve">12日09时30</w:t>
      </w:r>
      <w:r>
        <w:rPr>
          <w:rFonts w:hint="eastAsia" w:ascii="Times New Roman" w:hAnsi="Times New Roman" w:eastAsia="宋体" w:cs="Times New Roman"/>
          <w:color w:val="000000" w:themeColor="text1"/>
          <w:sz w:val="24"/>
          <w:szCs w:val="24"/>
          <w:u w:val="none"/>
          <w:lang w:val="en-US" w:eastAsia="zh-CN"/>
        </w:rPr>
        <w:t xml:space="preserve">分至</w:t>
      </w:r>
      <w:r>
        <w:rPr>
          <w:rFonts w:hint="eastAsia" w:ascii="Times New Roman" w:hAnsi="Times New Roman" w:eastAsia="宋体" w:cs="Times New Roman"/>
          <w:color w:val="000000" w:themeColor="text1"/>
          <w:sz w:val="24"/>
          <w:szCs w:val="24"/>
          <w:u w:val="none"/>
          <w:lang w:val="en-US" w:eastAsia="zh-CN"/>
        </w:rPr>
        <w:t xml:space="preserve">09时40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eastAsia="宋体" w:cs="宋体"/>
          <w:color w:val="000000"/>
          <w:sz w:val="24"/>
          <w:szCs w:val="24"/>
          <w:highlight w:val="none"/>
          <w:lang w:val="en-US" w:eastAsia="zh-CN"/>
        </w:rPr>
        <w:t xml:space="preserve">，地址：南京市秦淮区许家巷44号，联系人：王刚，联系电话：15380</w:t>
      </w:r>
      <w:r>
        <w:rPr>
          <w:rFonts w:hint="eastAsia" w:ascii="宋体" w:hAnsi="宋体" w:eastAsia="宋体" w:cs="宋体"/>
          <w:color w:val="000000"/>
          <w:sz w:val="24"/>
          <w:szCs w:val="24"/>
          <w:highlight w:val="none"/>
          <w:lang w:val="en-US" w:eastAsia="zh-CN"/>
        </w:rPr>
        <w:t xml:space="preserve">881264。</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pageBreakBefore w:val="0"/>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40" w:lineRule="auto"/>
        <w:rPr>
          <w:rFonts w:ascii="宋体" w:hAnsi="宋体" w:eastAsia="宋体" w:cs="Times New Roman"/>
          <w:color w:val="000000"/>
          <w:sz w:val="24"/>
          <w:szCs w:val="24"/>
          <w:u w:val="none"/>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lang w:val="en-US" w:eastAsia="zh-CN"/>
        </w:rPr>
        <w:t xml:space="preserve">夏先生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南京市秦淮区大明路157号，联系电话：025-86363663。</w:t>
      </w:r>
      <w:r>
        <w:rPr>
          <w:rFonts w:ascii="宋体" w:hAnsi="宋体" w:eastAsia="宋体" w:cs="Times New Roman"/>
          <w:color w:val="000000"/>
          <w:sz w:val="24"/>
          <w:szCs w:val="24"/>
          <w:u w:val="none"/>
          <w:lang w:val="en-US" w:eastAsia="zh-CN"/>
        </w:rPr>
      </w:r>
      <w:r/>
    </w:p>
    <w:p>
      <w:pPr>
        <w:pStyle w:val="869"/>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称：南京市中医院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址：南京市秦淮区大明路157号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联系人：夏先生</w:t>
      </w:r>
      <w:r>
        <w:rPr>
          <w:rFonts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025-86363663</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69"/>
        <w:ind w:right="0" w:firstLine="480"/>
        <w:jc w:val="center"/>
        <w:spacing w:line="240"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120614213"/>
      <w:r/>
      <w:bookmarkStart w:id="45" w:name="_Toc513029202"/>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513029203"/>
      <w:r/>
      <w:bookmarkStart w:id="49" w:name="_Toc20823275"/>
      <w:r/>
      <w:bookmarkStart w:id="50" w:name="_Toc16938519"/>
      <w:r/>
      <w:bookmarkStart w:id="51" w:name="_Toc120614214"/>
      <w:r/>
      <w:bookmarkStart w:id="52" w:name="_Toc20823314"/>
      <w:r/>
      <w:bookmarkStart w:id="53" w:name="_Toc479757207"/>
      <w:r/>
      <w:bookmarkStart w:id="54" w:name="_Toc513029242"/>
      <w:r/>
      <w:bookmarkStart w:id="55" w:name="_Toc120614221"/>
      <w:r/>
      <w:bookmarkStart w:id="56" w:name="_Toc16938558"/>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rPr>
        <w:t xml:space="preserve">1</w:t>
      </w:r>
      <w:bookmarkEnd w:id="5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2" w:name="_Toc20823277"/>
      <w:r/>
      <w:bookmarkStart w:id="63" w:name="_Toc513029205"/>
      <w:r/>
      <w:bookmarkStart w:id="64"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2"/>
      <w:r/>
      <w:bookmarkEnd w:id="63"/>
      <w:r/>
      <w:bookmarkEnd w:id="6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5" w:name="_Toc20823278"/>
      <w:r/>
      <w:bookmarkStart w:id="66" w:name="_Toc16938522"/>
      <w:r/>
      <w:bookmarkStart w:id="6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5"/>
      <w:r/>
      <w:bookmarkEnd w:id="66"/>
      <w:r/>
      <w:bookmarkEnd w:id="6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8" w:name="_Toc513029207"/>
      <w:r/>
      <w:bookmarkStart w:id="69" w:name="_Toc16938523"/>
      <w:r/>
      <w:bookmarkStart w:id="70" w:name="_Toc20823279"/>
      <w:r/>
      <w:bookmarkStart w:id="71"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8"/>
      <w:r/>
      <w:bookmarkEnd w:id="69"/>
      <w:r/>
      <w:bookmarkEnd w:id="70"/>
      <w:r/>
      <w:bookmarkEnd w:id="7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513029209"/>
      <w:r/>
      <w:bookmarkStart w:id="74" w:name="_Toc16938525"/>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6" w:name="_Toc513029210"/>
      <w:r/>
      <w:bookmarkStart w:id="77" w:name="_Toc16938526"/>
      <w:r/>
      <w:bookmarkStart w:id="7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6"/>
      <w:r/>
      <w:bookmarkEnd w:id="77"/>
      <w:r/>
      <w:bookmarkEnd w:id="7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9" w:name="_Toc20823283"/>
      <w:r/>
      <w:bookmarkStart w:id="80" w:name="_Toc16938527"/>
      <w:r/>
      <w:bookmarkStart w:id="81" w:name="_Toc513029211"/>
      <w:r/>
      <w:bookmarkStart w:id="82"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9"/>
      <w:r/>
      <w:bookmarkEnd w:id="80"/>
      <w:r/>
      <w:bookmarkEnd w:id="81"/>
      <w:r/>
      <w:bookmarkEnd w:id="8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83" w:name="_Toc16938528"/>
      <w:r/>
      <w:bookmarkStart w:id="84" w:name="_Toc20823284"/>
      <w:r/>
      <w:bookmarkStart w:id="85" w:name="_Toc513029212"/>
      <w:r/>
      <w:bookmarkStart w:id="86"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3"/>
      <w:r/>
      <w:bookmarkEnd w:id="84"/>
      <w:r/>
      <w:bookmarkEnd w:id="85"/>
      <w:r/>
      <w:bookmarkEnd w:id="8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20823285"/>
      <w:r/>
      <w:bookmarkStart w:id="88" w:name="_Toc513029213"/>
      <w:r/>
      <w:bookmarkStart w:id="89" w:name="_Toc462564072"/>
      <w:r/>
      <w:bookmarkStart w:id="90" w:name="_Toc16938529"/>
      <w:r/>
      <w:bookmarkStart w:id="91"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2" w:name="_Toc16938530"/>
      <w:r/>
      <w:bookmarkStart w:id="93" w:name="_Toc462564073"/>
      <w:r/>
      <w:bookmarkStart w:id="94" w:name="_Toc20823286"/>
      <w:r/>
      <w:bookmarkStart w:id="95"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6" w:name="_Toc513029215"/>
      <w:r/>
      <w:bookmarkStart w:id="97" w:name="_Toc462564074"/>
      <w:r/>
      <w:bookmarkStart w:id="98" w:name="_Toc16938531"/>
      <w:r/>
      <w:bookmarkStart w:id="99"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6"/>
      <w:r/>
      <w:bookmarkEnd w:id="97"/>
      <w:r/>
      <w:bookmarkEnd w:id="98"/>
      <w:r/>
      <w:bookmarkEnd w:id="9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bookmarkStart w:id="108" w:name="_Hlt26954838"/>
      <w:r/>
      <w:bookmarkEnd w:id="1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0"/>
      <w:r/>
      <w:bookmarkStart w:id="111" w:name="_Hlt26670373"/>
      <w:r/>
      <w:bookmarkEnd w:id="111"/>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14" w:name="_Hlt26670482"/>
      <w:r/>
      <w:bookmarkEnd w:id="114"/>
      <w:r/>
      <w:bookmarkStart w:id="115" w:name="_Hlt26954846"/>
      <w:r/>
      <w:bookmarkEnd w:id="115"/>
      <w:r/>
      <w:bookmarkStart w:id="116" w:name="_Hlt26954844"/>
      <w:r/>
      <w:bookmarkEnd w:id="116"/>
      <w:r/>
      <w:bookmarkStart w:id="117" w:name="_Hlt26668983"/>
      <w:r/>
      <w:bookmarkEnd w:id="117"/>
      <w:r/>
      <w:bookmarkStart w:id="118" w:name="_Hlt26670486"/>
      <w:r/>
      <w:bookmarkEnd w:id="118"/>
      <w:r/>
      <w:bookmarkStart w:id="119" w:name="_Hlt26954848"/>
      <w:r/>
      <w:bookmarkEnd w:id="119"/>
      <w:r/>
      <w:bookmarkStart w:id="120" w:name="_Hlt26670425"/>
      <w:r/>
      <w:bookmarkEnd w:id="120"/>
      <w:r/>
      <w:bookmarkStart w:id="121" w:name="_Hlt26670403"/>
      <w:r/>
      <w:bookmarkEnd w:id="121"/>
      <w:r/>
      <w:bookmarkStart w:id="122" w:name="_Hlt26954731"/>
      <w:r/>
      <w:bookmarkEnd w:id="122"/>
      <w:r/>
      <w:bookmarkStart w:id="123" w:name="_Hlt26954842"/>
      <w:r/>
      <w:bookmarkEnd w:id="123"/>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Toc49090510"/>
      <w:r/>
      <w:bookmarkStart w:id="125"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24"/>
      <w:r/>
      <w:bookmarkEnd w:id="125"/>
      <w:r/>
      <w:bookmarkStart w:id="126" w:name="_Hlt26670489"/>
      <w:r/>
      <w:bookmarkEnd w:id="126"/>
      <w:r/>
      <w:bookmarkStart w:id="127" w:name="_Hlt26954850"/>
      <w:r/>
      <w:bookmarkEnd w:id="127"/>
      <w:r/>
      <w:bookmarkStart w:id="128" w:name="_Hlt26954734"/>
      <w:r/>
      <w:bookmarkEnd w:id="128"/>
      <w:r/>
      <w:bookmarkStart w:id="129" w:name="_Toc14577360"/>
      <w:r/>
      <w:bookmarkStart w:id="130"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9"/>
      <w:r/>
      <w:bookmarkEnd w:id="13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739"/>
      <w:r/>
      <w:bookmarkEnd w:id="131"/>
      <w:r/>
      <w:bookmarkStart w:id="132" w:name="_Hlt26954852"/>
      <w:r/>
      <w:bookmarkEnd w:id="132"/>
      <w:r/>
      <w:bookmarkStart w:id="133" w:name="_Toc513029224"/>
      <w:r/>
      <w:bookmarkStart w:id="134" w:name="_Toc20823296"/>
      <w:r/>
      <w:bookmarkStart w:id="135" w:name="_Toc120614217"/>
      <w:r/>
      <w:bookmarkStart w:id="136" w:name="_Toc16938540"/>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16938541"/>
      <w:r/>
      <w:bookmarkStart w:id="138" w:name="_Toc20823297"/>
      <w:r/>
      <w:bookmarkStart w:id="139" w:name="_Toc462564084"/>
      <w:r/>
      <w:bookmarkStart w:id="140"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16938543"/>
      <w:r/>
      <w:bookmarkStart w:id="145" w:name="_Toc513029227"/>
      <w:r/>
      <w:bookmarkStart w:id="146"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7" w:name="_Toc20823300"/>
      <w:r/>
      <w:bookmarkStart w:id="148" w:name="_Toc513029228"/>
      <w:r/>
      <w:bookmarkStart w:id="149"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120614218"/>
      <w:r/>
      <w:bookmarkStart w:id="152" w:name="_Toc20823301"/>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513029230"/>
      <w:r/>
      <w:bookmarkStart w:id="155" w:name="_Toc16938546"/>
      <w:r/>
      <w:bookmarkStart w:id="156"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513029231"/>
      <w:r/>
      <w:bookmarkStart w:id="158" w:name="_Toc16938547"/>
      <w:r/>
      <w:bookmarkStart w:id="159"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60" w:name="_Toc16938548"/>
      <w:r/>
      <w:bookmarkStart w:id="161" w:name="_Toc513029232"/>
      <w:r/>
      <w:bookmarkStart w:id="162"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16938549"/>
      <w:r/>
      <w:bookmarkStart w:id="164" w:name="_Toc20823305"/>
      <w:r/>
      <w:bookmarkStart w:id="165"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16938551"/>
      <w:r/>
      <w:bookmarkStart w:id="171" w:name="_Toc20823307"/>
      <w:r/>
      <w:bookmarkStart w:id="172" w:name="_Toc120614219"/>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bookmarkStart w:id="182" w:name="_Toc513029237"/>
      <w:r/>
      <w:bookmarkStart w:id="183" w:name="_Toc20823309"/>
      <w:r/>
      <w:bookmarkStart w:id="184"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513029243"/>
      <w:r/>
      <w:bookmarkStart w:id="186" w:name="_Toc20823315"/>
      <w:r/>
      <w:bookmarkStart w:id="187" w:name="_Toc16938559"/>
      <w:r/>
      <w:bookmarkStart w:id="188" w:name="_Hlt16619350"/>
      <w:r/>
      <w:bookmarkStart w:id="189" w:name="_Toc120614244"/>
      <w:r/>
      <w:bookmarkStart w:id="190" w:name="_Toc16938590"/>
      <w:r/>
      <w:bookmarkStart w:id="191" w:name="_Toc20823346"/>
      <w:r/>
      <w:bookmarkStart w:id="192" w:name="_Toc479757211"/>
      <w:r/>
      <w:bookmarkStart w:id="193"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w:t>
      </w:r>
      <w:r>
        <w:rPr>
          <w:rFonts w:hint="eastAsia" w:ascii="宋体" w:hAnsi="宋体" w:eastAsia="宋体" w:cs="Courier New"/>
          <w:color w:val="000000"/>
          <w:sz w:val="24"/>
          <w:szCs w:val="24"/>
          <w:lang w:val="en-US" w:eastAsia="zh-CN"/>
        </w:rPr>
        <w:t xml:space="preserve">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 百分之三十</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26554093"/>
      <w:r/>
      <w:bookmarkStart w:id="196"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南京市中医院夫子庙院区门诊楼电梯更换项目，包含1台旧电梯报废拆除、回收；现场井道、机房、厅门等土建整改；新电梯供货安装验收合格、证件办理等。</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遵循国家、行业及地方现行的规范和标准。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5"/>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属性</w:t>
            </w:r>
            <w:r>
              <w:rPr>
                <w:rFonts w:hint="eastAsia" w:ascii="宋体" w:hAnsi="宋体" w:eastAsia="宋体" w:cs="宋体"/>
                <w:color w:val="000000"/>
                <w:sz w:val="24"/>
                <w:szCs w:val="24"/>
                <w:lang w:eastAsia="zh-CN"/>
              </w:rPr>
            </w:r>
            <w:r/>
          </w:p>
        </w:tc>
        <w:tc>
          <w:tcPr>
            <w:tcW w:w="65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备注</w:t>
            </w:r>
            <w:r>
              <w:rPr>
                <w:rFonts w:hint="eastAsia" w:ascii="宋体" w:hAnsi="宋体" w:eastAsia="宋体" w:cs="宋体"/>
                <w:color w:val="000000"/>
                <w:sz w:val="24"/>
                <w:szCs w:val="24"/>
                <w:lang w:eastAsia="zh-CN"/>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942"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夫子庙院区无障碍垂直电梯</w:t>
            </w:r>
            <w:r>
              <w:rPr>
                <w:rFonts w:hint="eastAsia" w:ascii="宋体" w:hAnsi="宋体" w:eastAsia="宋体" w:cs="宋体"/>
                <w:bCs/>
                <w:color w:val="000000"/>
                <w:sz w:val="24"/>
                <w:szCs w:val="24"/>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部</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4"/>
        <w:gridCol w:w="420"/>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技术参数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技术</w:t>
            </w: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建筑</w:t>
            </w:r>
            <w:r>
              <w:rPr>
                <w:rFonts w:hint="eastAsia" w:ascii="宋体" w:hAnsi="宋体" w:eastAsia="宋体" w:cs="宋体"/>
                <w:color w:val="000000"/>
                <w:sz w:val="24"/>
                <w:szCs w:val="24"/>
                <w:highlight w:val="none"/>
                <w:lang w:bidi="ar"/>
              </w:rPr>
              <w:t xml:space="preserve">尺寸</w:t>
            </w:r>
            <w:r>
              <w:rPr>
                <w:rFonts w:hint="eastAsia" w:ascii="宋体" w:hAnsi="宋体" w:eastAsia="宋体" w:cs="宋体"/>
                <w:color w:val="000000"/>
                <w:sz w:val="24"/>
                <w:szCs w:val="24"/>
                <w:highlight w:val="none"/>
                <w:lang w:val="zh-CN" w:bidi="ar"/>
              </w:rPr>
              <w:t xml:space="preserve">（仅供参考，</w:t>
            </w:r>
            <w:r>
              <w:rPr>
                <w:rFonts w:hint="eastAsia" w:ascii="宋体" w:hAnsi="宋体" w:eastAsia="宋体" w:cs="宋体"/>
                <w:b w:val="0"/>
                <w:bCs w:val="0"/>
                <w:color w:val="000000"/>
                <w:sz w:val="24"/>
                <w:szCs w:val="24"/>
                <w:highlight w:val="none"/>
                <w:lang w:val="en-US" w:eastAsia="zh-CN" w:bidi="ar"/>
              </w:rPr>
              <w:t xml:space="preserve">以现场实际为准</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井道尺寸（宽*深mm）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olor w:val="000000"/>
                <w:sz w:val="22"/>
                <w:szCs w:val="24"/>
                <w:highlight w:val="none"/>
                <w:lang w:val="en-US" w:eastAsia="zh-CN"/>
              </w:rPr>
              <w:t xml:space="preserve">2460X2780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开门尺寸（宽*高mm）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color w:val="000000"/>
                <w:sz w:val="22"/>
                <w:szCs w:val="24"/>
                <w:highlight w:val="none"/>
                <w:lang w:val="en-US" w:eastAsia="zh-CN"/>
              </w:rPr>
              <w:t xml:space="preserve">1100X2100</w:t>
            </w:r>
            <w:r>
              <w:rPr>
                <w:rFonts w:hint="eastAsia" w:ascii="宋体" w:hAnsi="宋体" w:eastAsia="宋体" w:cs="宋体"/>
                <w:b w:val="0"/>
                <w:bCs w:val="0"/>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rPr>
            </w:pPr>
            <w:r>
              <w:rPr>
                <w:rFonts w:hint="eastAsia" w:ascii="宋体" w:hAnsi="宋体" w:eastAsia="宋体" w:cs="Times New Roman"/>
                <w:b w:val="0"/>
                <w:bCs w:val="0"/>
                <w:color w:val="000000"/>
                <w:sz w:val="22"/>
                <w:szCs w:val="24"/>
                <w:highlight w:val="none"/>
                <w:lang w:bidi="ar"/>
              </w:rPr>
              <w:t xml:space="preserve">轿厢尺寸（宽*深mm）</w:t>
            </w:r>
            <w:r>
              <w:rPr>
                <w:rFonts w:hint="eastAsia" w:ascii="宋体" w:hAnsi="宋体" w:eastAsia="宋体" w:cs="Times New Roman"/>
                <w:b w:val="0"/>
                <w:bCs w:val="0"/>
                <w:color w:val="000000"/>
                <w:sz w:val="22"/>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lang w:val="en-US" w:eastAsia="zh-CN"/>
              </w:rPr>
            </w:pPr>
            <w:r>
              <w:rPr>
                <w:rFonts w:hint="eastAsia" w:ascii="宋体" w:hAnsi="宋体" w:eastAsia="宋体" w:cs="Times New Roman"/>
                <w:color w:val="000000"/>
                <w:sz w:val="22"/>
                <w:szCs w:val="24"/>
                <w:highlight w:val="none"/>
                <w:lang w:val="en-US" w:eastAsia="zh-CN"/>
              </w:rPr>
              <w:t xml:space="preserve">1600X2100</w:t>
            </w:r>
            <w:r>
              <w:rPr>
                <w:rFonts w:hint="eastAsia" w:ascii="宋体" w:hAnsi="宋体" w:eastAsia="宋体" w:cs="Times New Roman"/>
                <w:b w:val="0"/>
                <w:bCs w:val="0"/>
                <w:color w:val="000000"/>
                <w:sz w:val="22"/>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轿厢净高（mm）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z w:val="22"/>
                <w:szCs w:val="24"/>
                <w:highlight w:val="none"/>
                <w:lang w:val="en-US" w:eastAsia="zh-CN"/>
              </w:rPr>
              <w:t xml:space="preserve">2600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顶层净高（mm）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4490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lang w:val="en-US" w:eastAsia="zh-CN"/>
              </w:rPr>
              <w:t xml:space="preserve">机房尺寸(宽×深×高)(mm)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rPr>
            </w:pPr>
            <w:r>
              <w:rPr>
                <w:rFonts w:hint="eastAsia" w:ascii="宋体" w:hAnsi="宋体" w:eastAsia="宋体" w:cs="宋体"/>
                <w:bCs/>
                <w:color w:val="000000"/>
                <w:sz w:val="24"/>
                <w:szCs w:val="24"/>
                <w:lang w:val="en-US" w:eastAsia="zh-CN"/>
              </w:rPr>
              <w:t xml:space="preserve">4000X6400X3050</w:t>
            </w:r>
            <w:r>
              <w:rPr>
                <w:rFonts w:ascii="宋体" w:hAnsi="宋体" w:eastAsia="宋体" w:cs="宋体"/>
                <w:b w:val="0"/>
                <w:bCs w:val="0"/>
                <w:color w:val="000000"/>
                <w:sz w:val="24"/>
                <w:szCs w:val="24"/>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底坑深度（mm）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2380</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配置</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调速</w:t>
            </w:r>
            <w:r>
              <w:rPr>
                <w:rFonts w:hint="eastAsia" w:ascii="宋体" w:hAnsi="宋体" w:eastAsia="宋体" w:cs="宋体"/>
                <w:color w:val="000000"/>
                <w:sz w:val="24"/>
                <w:szCs w:val="24"/>
                <w:highlight w:val="none"/>
                <w:lang w:bidi="ar"/>
              </w:rPr>
              <w:t xml:space="preserve">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交流变频变压 VVVF</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永磁同步无齿轮曳引机</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单控</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旁开门（</w:t>
            </w:r>
            <w:r>
              <w:rPr>
                <w:rFonts w:hint="eastAsia" w:ascii="宋体" w:hAnsi="宋体" w:eastAsia="宋体" w:cs="宋体"/>
                <w:bCs/>
                <w:color w:val="000000"/>
                <w:sz w:val="24"/>
                <w:szCs w:val="24"/>
                <w:lang w:val="zh-CN" w:eastAsia="zh-CN"/>
              </w:rPr>
              <w:t xml:space="preserve">左开门</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门保护装置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光幕保护</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电源适应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动力电源：AC 3相 380V 50Hz</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速度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m/s</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≥1.5m/s</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1台</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层站门</w:t>
            </w:r>
            <w:r>
              <w:rPr>
                <w:rFonts w:hint="eastAsia" w:ascii="宋体" w:hAnsi="宋体" w:eastAsia="宋体" w:cs="宋体"/>
                <w:color w:val="000000"/>
                <w:sz w:val="24"/>
                <w:szCs w:val="24"/>
                <w:highlight w:val="none"/>
                <w:lang w:val="en-US" w:eastAsia="zh-CN" w:bidi="ar"/>
              </w:rPr>
              <w:t xml:space="preserve">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5层/5站/5门</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载重</w:t>
            </w:r>
            <w:r>
              <w:rPr>
                <w:rFonts w:hint="eastAsia" w:ascii="宋体" w:hAnsi="宋体" w:eastAsia="宋体" w:cs="宋体"/>
                <w:color w:val="000000"/>
                <w:sz w:val="24"/>
                <w:szCs w:val="24"/>
                <w:highlight w:val="none"/>
                <w:lang w:val="en-US" w:eastAsia="zh-CN" w:bidi="ar"/>
              </w:rPr>
              <w:t xml:space="preserve">量（kg）</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≥1600kg</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提升高度（m）</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13.51</w:t>
            </w:r>
            <w:r>
              <w:rPr>
                <w:rFonts w:ascii="宋体" w:hAnsi="宋体" w:eastAsia="宋体" w:cs="宋体"/>
                <w:bCs/>
                <w:color w:val="000000"/>
                <w:sz w:val="24"/>
                <w:szCs w:val="24"/>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乘客电梯轿厢运行时垂直方向和水平方向的振动加速度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符合国标</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平层准确度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en-US" w:eastAsia="zh-CN"/>
              </w:rPr>
              <w:t xml:space="preserve">±5mm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噪声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满足国标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内外</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装饰</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LED照明，通风、监控设备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 </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后壁不锈钢镜面+三侧扶手</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w:t>
            </w:r>
            <w:r>
              <w:rPr>
                <w:rFonts w:hint="eastAsia" w:ascii="宋体" w:hAnsi="宋体" w:eastAsia="宋体" w:cs="宋体"/>
                <w:bCs/>
                <w:color w:val="000000"/>
                <w:sz w:val="24"/>
                <w:szCs w:val="24"/>
                <w:lang w:val="en-US" w:eastAsia="zh-CN"/>
              </w:rPr>
            </w:r>
            <w:r/>
          </w:p>
        </w:tc>
      </w:tr>
      <w:tr>
        <w:trPr>
          <w:trHeight w:val="28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地坎</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硬质铝合金</w:t>
            </w:r>
            <w:r>
              <w:rPr>
                <w:rFonts w:hint="eastAsia" w:ascii="宋体" w:hAnsi="宋体" w:eastAsia="宋体" w:cs="宋体"/>
                <w:bCs/>
                <w:color w:val="000000"/>
                <w:sz w:val="24"/>
                <w:szCs w:val="24"/>
                <w:lang w:val="en-US" w:eastAsia="zh-CN"/>
              </w:rPr>
            </w:r>
            <w:r/>
          </w:p>
        </w:tc>
      </w:tr>
      <w:tr>
        <w:trPr>
          <w:trHeight w:val="31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轿厢地面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PVC（颜色由采购人指定）</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显示器</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显示内容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操作功能</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标准配置（按钮选层、开关门、紧急呼叫 ）</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标示要求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标准配置+残疾人操纵箱</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按钮要求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圆型不锈钢、</w:t>
            </w:r>
            <w:r>
              <w:rPr>
                <w:rFonts w:hint="eastAsia" w:ascii="宋体" w:hAnsi="宋体" w:eastAsia="宋体" w:cs="宋体"/>
                <w:bCs/>
                <w:color w:val="000000"/>
                <w:sz w:val="24"/>
                <w:szCs w:val="24"/>
                <w:lang w:val="en-US" w:eastAsia="zh-CN"/>
              </w:rPr>
              <w:t xml:space="preserve">盲文按钮</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6"/>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其他要求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耐火完整性≥120分钟</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楼层召唤</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安装位置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位置参照现场、外招内嵌式</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其他要求</w:t>
            </w:r>
            <w:r>
              <w:rPr>
                <w:rFonts w:hint="eastAsia" w:ascii="宋体" w:hAnsi="宋体" w:eastAsia="宋体" w:cs="宋体"/>
                <w:color w:val="000000"/>
                <w:sz w:val="24"/>
                <w:szCs w:val="24"/>
                <w:highlight w:val="none"/>
                <w:lang w:val="en-US" w:eastAsia="zh-CN"/>
              </w:rPr>
            </w:r>
            <w:r/>
          </w:p>
        </w:tc>
        <w:tc>
          <w:tcPr>
            <w:gridSpan w:val="4"/>
            <w:tcBorders>
              <w:top w:val="single" w:color="000000" w:sz="4" w:space="0"/>
              <w:left w:val="single" w:color="000000" w:sz="4" w:space="0"/>
              <w:bottom w:val="single" w:color="000000" w:sz="4" w:space="0"/>
              <w:right w:val="single" w:color="000000" w:sz="4" w:space="0"/>
            </w:tcBorders>
            <w:tcW w:w="8623" w:type="dxa"/>
            <w:vAlign w:val="center"/>
            <w:textDirection w:val="lrTb"/>
            <w:noWrap w:val="false"/>
          </w:tcPr>
          <w:p>
            <w:pPr>
              <w:pStyle w:val="869"/>
              <w:jc w:val="both"/>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现场井道、机房、厅门改造：包含井道增加槽钢（因井道内无支架圈梁）、底坑整改、门套更换、机房所有孔洞整改、所有外召孔洞整改等，确保达到验收合格条件。</w:t>
            </w:r>
            <w:r>
              <w:rPr>
                <w:rFonts w:hint="eastAsia" w:ascii="宋体" w:hAnsi="宋体" w:eastAsia="宋体" w:cs="宋体"/>
                <w:bCs/>
                <w:color w:val="0000ff"/>
                <w:sz w:val="24"/>
                <w:szCs w:val="24"/>
                <w:lang w:val="en-US" w:eastAsia="zh-CN"/>
              </w:rPr>
            </w:r>
            <w:r/>
          </w:p>
        </w:tc>
      </w:tr>
      <w:tr>
        <w:trPr>
          <w:trHeight w:val="628"/>
        </w:trPr>
        <w:tc>
          <w:tcPr>
            <w:tcBorders>
              <w:top w:val="single" w:color="000000" w:sz="4" w:space="0"/>
              <w:left w:val="single" w:color="000000" w:sz="4" w:space="0"/>
              <w:bottom w:val="none" w:color="000000" w:sz="0"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功能及要求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none" w:color="000000" w:sz="0"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曳引机</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曳引机同步运行</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超速电气保护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超速机械保护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电动机空转保护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轿厢意外移动保护装置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双重减震</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运行时间监测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位置异常自动校正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超载报警（与主机负载相关）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电源相位故障监测</w:t>
            </w:r>
            <w:r>
              <w:rPr>
                <w:rFonts w:hint="eastAsia" w:ascii="宋体" w:hAnsi="宋体" w:eastAsia="宋体" w:cs="宋体"/>
                <w:bCs/>
                <w:color w:val="0000ff"/>
                <w:sz w:val="24"/>
                <w:szCs w:val="24"/>
                <w:lang w:val="en-US" w:eastAsia="zh-CN"/>
              </w:rPr>
            </w:r>
            <w:r/>
          </w:p>
        </w:tc>
      </w:tr>
      <w:tr>
        <w:trPr>
          <w:trHeight w:val="97"/>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门机系统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门的异常检查装置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轿门防扒开装置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耐冲击层门系统</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开门报警</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强制关门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开门时间自动调整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不能开门时救出运转（门机逻辑+控制）</w:t>
            </w:r>
            <w:r>
              <w:rPr>
                <w:rFonts w:hint="eastAsia" w:ascii="宋体" w:hAnsi="宋体" w:eastAsia="宋体" w:cs="宋体"/>
                <w:bCs/>
                <w:color w:val="0000ff"/>
                <w:sz w:val="24"/>
                <w:szCs w:val="24"/>
                <w:lang w:val="en-US" w:eastAsia="zh-CN"/>
              </w:rPr>
            </w:r>
            <w:r/>
          </w:p>
        </w:tc>
      </w:tr>
      <w:tr>
        <w:trPr>
          <w:trHeight w:val="1072"/>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控制系统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层高自测定</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启动补偿功能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最近楼层服务运转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自动再平层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防捣乱功能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取消错误呼叫功能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禁止反向运行登录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满载不停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停用运转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b0f0"/>
                <w:sz w:val="24"/>
                <w:szCs w:val="24"/>
                <w:lang w:val="en-US" w:eastAsia="zh-CN"/>
              </w:rPr>
            </w:pPr>
            <w:r>
              <w:rPr>
                <w:rFonts w:hint="eastAsia" w:ascii="宋体" w:hAnsi="宋体" w:eastAsia="宋体" w:cs="宋体"/>
                <w:bCs/>
                <w:color w:val="000000"/>
                <w:sz w:val="24"/>
                <w:szCs w:val="24"/>
                <w:lang w:val="en-US" w:eastAsia="zh-CN"/>
              </w:rPr>
              <w:t xml:space="preserve">基准层返回</w:t>
            </w:r>
            <w:r>
              <w:rPr>
                <w:rFonts w:hint="eastAsia" w:ascii="宋体" w:hAnsi="宋体" w:eastAsia="宋体" w:cs="宋体"/>
                <w:bCs/>
                <w:color w:val="00b0f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故障电梯自动分离</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运行次数显示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故障自动检测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故障自动存储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操作盘文字信息</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到站响钟（轿厢内）</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五方通话</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警铃（轿顶）</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轿厢应急照明</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轿厢照明、换气扇自动关闭</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火灾管制运转（一个避难层且在端层）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避难层返回信号输出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消防服务运转（嵌入式）</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井道内急停开关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网络数字视频网线（轿厢至控制柜）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电梯运行监视用信号输出接口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轿厢摄像头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控柜预留RS-485接口功能</w:t>
            </w:r>
            <w:r>
              <w:rPr>
                <w:rFonts w:ascii="宋体" w:hAnsi="宋体" w:eastAsia="宋体" w:cs="宋体"/>
                <w:bCs/>
                <w:color w:val="ff0000"/>
                <w:sz w:val="24"/>
                <w:szCs w:val="24"/>
                <w:lang w:val="en-US" w:eastAsia="zh-CN"/>
              </w:rPr>
            </w:r>
            <w:r/>
          </w:p>
        </w:tc>
      </w:tr>
      <w:tr>
        <w:trPr>
          <w:trHeight w:val="662"/>
        </w:trPr>
        <w:tc>
          <w:tcPr>
            <w:tcBorders>
              <w:top w:val="none" w:color="000000" w:sz="0"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配套设备</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电梯机房空调（2P柜机，符合国标）</w:t>
            </w:r>
            <w:r>
              <w:rPr>
                <w:rFonts w:hint="eastAsia" w:ascii="宋体" w:hAnsi="宋体" w:eastAsia="宋体" w:cs="宋体"/>
                <w:bCs/>
                <w:color w:val="000000"/>
                <w:sz w:val="24"/>
                <w:szCs w:val="24"/>
                <w:lang w:val="en-US" w:eastAsia="zh-CN"/>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其他技术要求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(1)控制柜抗雷击浪涌电压达到</w:t>
            </w:r>
            <w:r>
              <w:rPr>
                <w:rFonts w:hint="eastAsia" w:ascii="宋体" w:hAnsi="宋体" w:eastAsia="宋体" w:cs="宋体"/>
                <w:bCs/>
                <w:color w:val="000000"/>
                <w:sz w:val="24"/>
                <w:szCs w:val="24"/>
                <w:highlight w:val="none"/>
                <w:lang w:val="en-US" w:eastAsia="zh-CN"/>
              </w:rPr>
              <w:t xml:space="preserve">15KVkV</w:t>
            </w:r>
            <w:r>
              <w:rPr>
                <w:rFonts w:hint="eastAsia" w:ascii="宋体" w:hAnsi="宋体" w:eastAsia="宋体" w:cs="宋体"/>
                <w:bCs/>
                <w:color w:val="000000"/>
                <w:sz w:val="24"/>
                <w:szCs w:val="24"/>
                <w:lang w:val="en-US" w:eastAsia="zh-CN"/>
              </w:rPr>
              <w:t xml:space="preserve">及以上。</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(2)电梯具备物联网功能。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上述技术要求签订合同时提供第三方机构出具的检测报告供采购人核验。</w:t>
            </w:r>
            <w:r>
              <w:rPr>
                <w:rFonts w:hint="eastAsia" w:ascii="宋体" w:hAnsi="宋体" w:eastAsia="宋体" w:cs="宋体"/>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7" w:name="_Toc120614281"/>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lang w:val="en-US" w:eastAsia="zh-CN"/>
        </w:rPr>
        <w:t xml:space="preserve">本项目报价中，包含原旧电梯（迅达有机房5层5站电梯，含轿厢、钢丝绳、随行电缆、层门、门套、曳引机等附属设备）的设备拆除、拆除现场清理、搬运出院以及配合办理报废手续及新电梯使用登记手续的费用，供应商在报价时，应自行考虑由此产生的费用</w:t>
      </w:r>
      <w:r>
        <w:rPr>
          <w:rFonts w:hint="eastAsia" w:ascii="宋体" w:hAnsi="宋体" w:eastAsia="宋体" w:cs="宋体"/>
          <w:b/>
          <w:bCs/>
          <w:color w:val="000000"/>
          <w:sz w:val="24"/>
          <w:szCs w:val="24"/>
          <w:lang w:val="en-US" w:eastAsia="zh-CN"/>
        </w:rPr>
        <w:t xml:space="preserve">，相关费用应包含在本次报价中，否则按</w:t>
      </w:r>
      <w:r>
        <w:rPr>
          <w:rFonts w:hint="eastAsia" w:ascii="宋体" w:hAnsi="宋体" w:eastAsia="宋体" w:cs="宋体"/>
          <w:b/>
          <w:bCs/>
          <w:color w:val="000000"/>
          <w:sz w:val="24"/>
          <w:szCs w:val="24"/>
          <w:lang w:val="zh-CN" w:eastAsia="zh-CN"/>
        </w:rPr>
        <w:t xml:space="preserve">无效投标处理。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电梯拆除及安装工程，供应商严格按照投标文件承诺的施工组织方案，组建项目管理团队并组织专业施工力量负责实施。供应商对工程的质量、安全、进度及文明施工负全责。为确保工程质量和施工安全，严禁供应商以任何形式将本项目整体转包、违法分包或变相转让给其他法人、组织或个人。供应商应提供其注册执业资格的项目经理及特种作业人员（电梯安装维修工）的劳动合同、社保缴纳证明及上岗证书（备查），确保现场实际施工主体与投标承诺及合同约定完全一致。如发现擅自转包行为，采购人有权立即终止合同，并追究供应商的违约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①验收标准：供应商提供的设备必须符合我国最新颁布的与之相关的技术规范与标准，同时须满足符合投标响应文件要求。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①质保和维保期限：本项目整体质保期2年(质保期间免费维保及电梯年检)，所有相关费用包含在本次报价中（自验收报告签字确认之日起，进入质保期）。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②质保期内因设备本身缺陷造成各种故障应由供应商提供技术服务和维修（费用包含在投标总价中）。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产品出现故障损坏时，供应商接到报修通知后的响应时间为10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和维保期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（1）交付时间：</w:t>
      </w:r>
      <w:r>
        <w:rPr>
          <w:rFonts w:hint="eastAsia" w:ascii="宋体" w:hAnsi="宋体" w:eastAsia="宋体" w:cs="宋体"/>
          <w:color w:val="000000"/>
          <w:sz w:val="24"/>
          <w:szCs w:val="24"/>
          <w:lang w:val="en-US" w:eastAsia="zh-CN"/>
        </w:rPr>
        <w:t xml:space="preserve">签订合同后45天内完成本项目（包含取得使用合格证所需时间），将所有设备安装到位通过验收并交付采购人使用。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中要求提供证明材料的，签订合同时供应商应按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要求和投标文件响应内容提供相应证明材料原件供采购人核验。供应商未按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要求和投标文件响应内容提供或者提供的证明材料不符合</w:t>
      </w:r>
      <w:r>
        <w:rPr>
          <w:rFonts w:hint="eastAsia" w:ascii="宋体" w:hAnsi="宋体" w:eastAsia="宋体" w:cs="宋体"/>
          <w:color w:val="000000"/>
          <w:sz w:val="24"/>
          <w:szCs w:val="24"/>
          <w:lang w:val="en-US" w:eastAsia="zh-CN"/>
        </w:rPr>
        <w:t xml:space="preserve">采购文件</w:t>
      </w:r>
      <w:r>
        <w:rPr>
          <w:rFonts w:ascii="宋体" w:hAnsi="宋体" w:eastAsia="宋体" w:cs="宋体"/>
          <w:color w:val="000000"/>
          <w:sz w:val="24"/>
          <w:szCs w:val="24"/>
          <w:lang w:val="en-US" w:eastAsia="zh-CN"/>
        </w:rPr>
        <w:t xml:space="preserve">要求的，视为提供虚假材料谋取中标，采购人将取消其中标资格。</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81"/>
        <w:rPr>
          <w:rFonts w:hint="eastAsia"/>
          <w:lang w:val="en-US" w:eastAsia="zh-CN"/>
        </w:rPr>
      </w:pPr>
      <w:r>
        <w:rPr>
          <w:rFonts w:hint="eastAsia"/>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69"/>
        <w:ind w:firstLine="560"/>
        <w:keepLines w:val="0"/>
        <w:keepNext w:val="0"/>
        <w:pageBreakBefore w:val="0"/>
        <w:spacing w:line="264" w:lineRule="auto"/>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附件</w:t>
      </w:r>
      <w:r>
        <w:rPr>
          <w:rFonts w:hint="eastAsia" w:ascii="黑体" w:hAnsi="黑体" w:eastAsia="黑体" w:cs="黑体"/>
          <w:color w:val="000000"/>
          <w:sz w:val="28"/>
          <w:szCs w:val="28"/>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eastAsia="宋体"/>
          <w:lang w:eastAsia="zh-CN"/>
        </w:rPr>
        <mc:AlternateContent>
          <mc:Choice Requires="wpg">
            <w:drawing>
              <wp:inline xmlns:wp="http://schemas.openxmlformats.org/drawingml/2006/wordprocessingDrawing" distT="0" distB="0" distL="0" distR="0">
                <wp:extent cx="3796716" cy="31503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796716" cy="3150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9.0pt;height:248.1pt;mso-wrap-distance-left:0.0pt;mso-wrap-distance-top:0.0pt;mso-wrap-distance-right:0.0pt;mso-wrap-distance-bottom:0.0pt;" stroked="f">
                <v:path textboxrect="0,0,0,0"/>
                <v:imagedata r:id="rId12" o:title=""/>
              </v:shape>
            </w:pict>
          </mc:Fallback>
        </mc:AlternateContent>
      </w:r>
      <w:r>
        <w:rPr>
          <w:rFonts w:ascii="宋体" w:hAnsi="宋体" w:eastAsia="宋体" w:cs="宋体"/>
          <w:b w:val="0"/>
          <w:bCs w:val="0"/>
          <w:color w:val="0000ff"/>
          <w:sz w:val="24"/>
          <w:szCs w:val="24"/>
          <w:highlight w:val="none"/>
          <w:u w:val="none"/>
          <w:lang w:val="en-US" w:eastAsia="zh-CN"/>
        </w:rPr>
        <mc:AlternateContent>
          <mc:Choice Requires="wpg">
            <w:drawing>
              <wp:inline xmlns:wp="http://schemas.openxmlformats.org/drawingml/2006/wordprocessingDrawing" distT="0" distB="0" distL="0" distR="0">
                <wp:extent cx="1698511" cy="31774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98511" cy="3177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7pt;height:250.2pt;mso-wrap-distance-left:0.0pt;mso-wrap-distance-top:0.0pt;mso-wrap-distance-right:0.0pt;mso-wrap-distance-bottom:0.0pt;" stroked="f">
                <v:path textboxrect="0,0,0,0"/>
                <v:imagedata r:id="rId13" o:title=""/>
              </v:shape>
            </w:pict>
          </mc:Fallback>
        </mc:AlternateContent>
      </w: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sz w:val="24"/>
          <w:szCs w:val="24"/>
          <w:lang w:eastAsia="zh-CN"/>
        </w:rPr>
        <w:t xml:space="preserve">后得分由高到低顺序排列。得分相同的，按投标报价由低到高顺序排列。得分且投标报价相同的，按“评标标准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lang w:eastAsia="zh-CN"/>
        </w:rPr>
        <w:t xml:space="preserve">项”得分由高到低顺序排列。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由高到低推荐3</w:t>
      </w:r>
      <w:r>
        <w:rPr>
          <w:rFonts w:hint="eastAsia" w:ascii="宋体" w:hAnsi="宋体" w:eastAsia="宋体" w:cs="宋体"/>
          <w:sz w:val="24"/>
          <w:szCs w:val="24"/>
          <w:lang w:eastAsia="zh-CN"/>
        </w:rPr>
        <w:t xml:space="preserve">名中标候选人。</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spacing w:line="24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w:t>
      </w:r>
      <w:r>
        <w:rPr>
          <w:rFonts w:hint="eastAsia" w:ascii="宋体" w:hAnsi="宋体" w:eastAsia="宋体" w:cs="Times New Roman"/>
          <w:sz w:val="24"/>
          <w:szCs w:val="24"/>
        </w:rPr>
        <w:t xml:space="preserve">项目如</w:t>
      </w:r>
      <w:r>
        <w:rPr>
          <w:rFonts w:hint="eastAsia" w:ascii="宋体" w:hAnsi="宋体" w:eastAsia="宋体" w:cs="Times New Roman"/>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sz w:val="24"/>
          <w:szCs w:val="24"/>
          <w:lang w:val="zh-CN"/>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sz w:val="24"/>
          <w:szCs w:val="24"/>
          <w:lang w:val="en-US"/>
        </w:rPr>
        <w:t xml:space="preserve">80%</w:t>
      </w:r>
      <w:r>
        <w:rPr>
          <w:rFonts w:hint="eastAsia" w:ascii="宋体" w:hAnsi="宋体" w:eastAsia="宋体" w:cs="Times New Roman"/>
          <w:sz w:val="24"/>
          <w:szCs w:val="24"/>
        </w:rPr>
        <w:t xml:space="preserve">以上时，且供应商在投标（响应）文件中对此作出承诺的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按照采购文件要求在《投标分项报价表》中作出承诺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，则依法对该供应商提供的全部产品给予价格评审优惠，即对该供应商提供的全部产品的总报价给予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的价格扣除，用扣除后的价格参与评审。全部产品是指货物或服务采购项目或采购包中包含的全部货物、服务产品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szCs w:val="24"/>
        </w:rPr>
      </w:r>
      <w:r/>
    </w:p>
    <w:p>
      <w:pPr>
        <w:pStyle w:val="869"/>
        <w:ind w:firstLine="422"/>
        <w:spacing w:line="240" w:lineRule="auto"/>
        <w:widowControl/>
        <w:rPr>
          <w:rFonts w:hint="eastAsia" w:ascii="宋体" w:hAnsi="宋体" w:cs="宋体"/>
          <w:b/>
          <w:bCs/>
          <w:color w:val="0000ff"/>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sz w:val="24"/>
          <w:szCs w:val="24"/>
        </w:rPr>
        <w:t xml:space="preserve">予10%的扣除，用扣除后的价格参与评审。</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w:t>
      </w:r>
      <w:r>
        <w:rPr>
          <w:rFonts w:hint="eastAsia" w:ascii="宋体" w:hAnsi="宋体" w:eastAsia="宋体" w:cs="宋体"/>
          <w:sz w:val="24"/>
          <w:szCs w:val="24"/>
        </w:rPr>
        <w:t xml:space="preserve">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rFonts w:ascii="宋体" w:hAnsi="宋体" w:eastAsia="宋体" w:cs="宋体"/>
                <w:b/>
                <w:bCs/>
                <w:color w:val="000000"/>
                <w:spacing w:val="-3"/>
                <w:sz w:val="24"/>
                <w:szCs w:val="24"/>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rFonts w:ascii="宋体" w:hAnsi="宋体" w:eastAsia="宋体" w:cs="宋体"/>
                <w:b/>
                <w:bCs/>
                <w:color w:val="000000"/>
                <w:spacing w:val="-3"/>
                <w:sz w:val="24"/>
                <w:szCs w:val="24"/>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rFonts w:ascii="宋体" w:hAnsi="宋体" w:eastAsia="宋体" w:cs="宋体"/>
                <w:b/>
                <w:bCs/>
                <w:color w:val="000000"/>
                <w:spacing w:val="-3"/>
                <w:sz w:val="24"/>
                <w:szCs w:val="24"/>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rFonts w:ascii="宋体" w:hAnsi="宋体" w:eastAsia="宋体" w:cs="宋体"/>
                <w:b/>
                <w:bCs/>
                <w:color w:val="000000"/>
                <w:spacing w:val="-3"/>
                <w:sz w:val="24"/>
                <w:szCs w:val="24"/>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rFonts w:ascii="宋体" w:hAnsi="宋体" w:eastAsia="宋体" w:cs="宋体"/>
                <w:b/>
                <w:bCs/>
                <w:color w:val="000000"/>
                <w:spacing w:val="-3"/>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hint="eastAsia" w:ascii="宋体" w:hAnsi="宋体" w:eastAsia="宋体" w:cs="宋体"/>
                <w:b/>
                <w:bCs/>
                <w:color w:val="000000"/>
                <w:spacing w:val="-3"/>
                <w:sz w:val="24"/>
                <w:szCs w:val="24"/>
              </w:rPr>
              <w:t xml:space="preserve">价</w:t>
            </w:r>
            <w:r>
              <w:rPr>
                <w:rFonts w:hint="eastAsia" w:ascii="宋体" w:hAnsi="宋体" w:eastAsia="宋体" w:cs="宋体"/>
                <w:b/>
                <w:bCs/>
                <w:color w:val="000000"/>
                <w:spacing w:val="-2"/>
                <w:sz w:val="24"/>
                <w:szCs w:val="24"/>
              </w:rPr>
              <w:t xml:space="preserve">格</w:t>
            </w:r>
            <w:r>
              <w:rPr>
                <w:rFonts w:hint="eastAsia" w:ascii="宋体" w:hAnsi="宋体" w:eastAsia="宋体" w:cs="宋体"/>
                <w:color w:val="000000"/>
                <w:sz w:val="24"/>
                <w:szCs w:val="24"/>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价格分</w:t>
            </w:r>
            <w:r>
              <w:rPr>
                <w:rFonts w:hint="eastAsia" w:ascii="宋体" w:hAnsi="宋体" w:eastAsia="宋体" w:cs="宋体"/>
                <w:color w:val="000000"/>
                <w:sz w:val="24"/>
                <w:szCs w:val="24"/>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w:t>
            </w:r>
            <w:r>
              <w:rPr>
                <w:rFonts w:hint="eastAsia" w:ascii="宋体" w:hAnsi="宋体" w:eastAsia="宋体" w:cs="宋体"/>
                <w:color w:val="000000"/>
                <w:sz w:val="24"/>
                <w:szCs w:val="24"/>
                <w:lang w:val="en-US" w:eastAsia="zh-CN"/>
              </w:rPr>
              <w:t xml:space="preserve">价格分值（小数点保留两位）</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w:t>
            </w:r>
            <w:r>
              <w:rPr>
                <w:rFonts w:hint="eastAsia" w:ascii="宋体" w:hAnsi="宋体" w:eastAsia="宋体" w:cs="宋体"/>
                <w:color w:val="000000"/>
                <w:sz w:val="24"/>
                <w:szCs w:val="24"/>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2.技术</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val="en-US" w:eastAsia="zh-CN"/>
              </w:rPr>
              <w:t xml:space="preserve">产品技术参数</w:t>
            </w:r>
            <w:r>
              <w:rPr>
                <w:rFonts w:hint="eastAsia" w:ascii="宋体" w:hAnsi="宋体" w:eastAsia="宋体" w:cs="宋体"/>
                <w:color w:val="000000"/>
                <w:spacing w:val="-2"/>
                <w:sz w:val="24"/>
                <w:szCs w:val="24"/>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产品技术参数全部满足招标要求的得满分，打★指标为必须满足项，如有负偏离将作为无效投标，打▲指标为重要指标，有1项负偏离扣1分，其余指标有1项负偏离扣0.2分。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2"/>
                <w:sz w:val="24"/>
                <w:szCs w:val="24"/>
                <w:lang w:val="en-US" w:eastAsia="zh-CN"/>
              </w:rPr>
              <w:t xml:space="preserve">检测报告</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投标人提供所投电梯产品检测报告（型式试验报告），检测（试验）内容如下：</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（1）曳引机（或主机或马达或驱动器）制动器，无故障实验动作次数（或运行次数）≥2000万次，得3分；1500万次≤无故障实验动作次数（或运行次数）＜2000万次，得1分；其余不得分。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（2）光幕：接收管数目≥40对且光束≥230束；防护等级≥IP65；抗太阳光能力≥100000LUX，每满足一项得1分，最多得3分。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（3）信号系统按钮试验次数(需满足10N(含)及以上按压力，1.5HZ(含)及以上按压频率)：1000万次（含）及以上得3分；500万次（含）-1000万次（不含）得1分；其余不得分。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（4）电梯控制柜在满足TSG T7007-2022试验依据条件下，供电电压在三相AC380V的基础上，电压波动±15%试验符合要求得1分；其余不得分。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（5）门机使用寿命次数：1500万次（含）及以上得3分；1500万次（不含）-1000万次（不含）得1分；其余不得分。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曳引机、控制柜、门机、安全钳、限速器、缓冲器、轿厢上行超速保护装置、轿厢意外移动保护装置、绳头组合为原厂原品牌的得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分，少一个扣</w:t>
            </w:r>
            <w:r>
              <w:rPr>
                <w:rFonts w:hint="eastAsia" w:ascii="宋体" w:hAnsi="宋体" w:eastAsia="宋体" w:cs="宋体"/>
                <w:color w:val="000000"/>
                <w:sz w:val="24"/>
                <w:szCs w:val="24"/>
                <w:lang w:val="en-US" w:eastAsia="zh-CN"/>
              </w:rPr>
              <w:t xml:space="preserve">0.5</w:t>
            </w:r>
            <w:r>
              <w:rPr>
                <w:rFonts w:ascii="宋体" w:hAnsi="宋体" w:eastAsia="宋体" w:cs="宋体"/>
                <w:color w:val="000000"/>
                <w:sz w:val="24"/>
                <w:szCs w:val="24"/>
                <w:lang w:val="en-US" w:eastAsia="zh-CN"/>
              </w:rPr>
              <w:t xml:space="preserve">分，扣完为止。</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（7）物联网等级：</w:t>
            </w:r>
            <w:r>
              <w:rPr>
                <w:rFonts w:ascii="宋体" w:hAnsi="宋体" w:eastAsia="宋体" w:cs="宋体"/>
                <w:color w:val="000000"/>
                <w:sz w:val="24"/>
                <w:szCs w:val="24"/>
                <w:lang w:val="en-US" w:eastAsia="zh-CN"/>
              </w:rPr>
              <w:t xml:space="preserve">所投电梯品牌</w:t>
            </w:r>
            <w:r>
              <w:rPr>
                <w:rFonts w:hint="eastAsia" w:ascii="宋体" w:hAnsi="宋体" w:eastAsia="宋体" w:cs="宋体"/>
                <w:color w:val="000000"/>
                <w:sz w:val="24"/>
                <w:szCs w:val="24"/>
                <w:lang w:val="en-US" w:eastAsia="zh-CN"/>
              </w:rPr>
              <w:t xml:space="preserve">获得物联网系统安全等级3级得3分；安全等级2级得2分；1级的得1分；其余或未提供的不得分。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pacing w:val="-3"/>
                <w:sz w:val="24"/>
                <w:szCs w:val="24"/>
                <w:lang w:val="en-US" w:eastAsia="zh-CN"/>
              </w:rPr>
              <w:t xml:space="preserve">3.服务</w:t>
            </w:r>
            <w:r>
              <w:rPr>
                <w:rFonts w:hint="eastAsia" w:ascii="宋体" w:hAnsi="宋体" w:eastAsia="宋体" w:cs="宋体"/>
                <w:color w:val="000000"/>
                <w:sz w:val="24"/>
                <w:szCs w:val="24"/>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bidi="ar-SA"/>
              </w:rPr>
              <w:t xml:space="preserve">3.1</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深化设计方案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根据本项目采购需求及基础图纸等资料编制深化设计方案，内容包含</w:t>
            </w:r>
            <w:r>
              <w:rPr>
                <w:rFonts w:hint="eastAsia" w:ascii="宋体" w:hAnsi="宋体" w:eastAsia="宋体" w:cs="宋体"/>
                <w:color w:val="000000"/>
                <w:sz w:val="24"/>
                <w:szCs w:val="24"/>
                <w:lang w:val="zh-CN" w:eastAsia="zh-CN"/>
              </w:rPr>
              <w:t xml:space="preserve">：1.井道及土建接口深化设计；2.非标部件与特殊工艺设计；3.电梯装饰与装潢深化设计。以上每项内容逐条阐述。</w:t>
            </w:r>
            <w:r>
              <w:rPr>
                <w:rFonts w:hint="eastAsia" w:ascii="宋体" w:hAnsi="宋体" w:eastAsia="宋体" w:cs="宋体"/>
                <w:color w:val="000000"/>
                <w:sz w:val="24"/>
                <w:szCs w:val="24"/>
                <w:lang w:val="en-US" w:eastAsia="zh-CN"/>
              </w:rPr>
              <w:t xml:space="preserve">评委根据投标方案对每项内容响应情况，逐条评分。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rPr>
              <w:t xml:space="preserve">，且专门针对本项目，</w:t>
            </w:r>
            <w:r>
              <w:rPr>
                <w:rFonts w:hint="eastAsia" w:ascii="宋体" w:hAnsi="宋体" w:eastAsia="宋体" w:cs="宋体"/>
                <w:color w:val="000000"/>
                <w:sz w:val="24"/>
                <w:szCs w:val="24"/>
                <w:lang w:val="en-US" w:eastAsia="zh-CN"/>
              </w:rPr>
              <w:t xml:space="preserve">契合</w:t>
            </w:r>
            <w:r>
              <w:rPr>
                <w:rFonts w:hint="eastAsia" w:ascii="宋体" w:hAnsi="宋体" w:eastAsia="宋体" w:cs="宋体"/>
                <w:color w:val="000000"/>
                <w:sz w:val="24"/>
                <w:szCs w:val="24"/>
                <w:lang w:val="en-US"/>
              </w:rPr>
              <w:t xml:space="preserve">采购需求视为符合；方案内容属于通用类，非专门针对本项目，部分</w:t>
            </w:r>
            <w:r>
              <w:rPr>
                <w:rFonts w:hint="eastAsia" w:ascii="宋体" w:hAnsi="宋体" w:eastAsia="宋体" w:cs="宋体"/>
                <w:color w:val="000000"/>
                <w:sz w:val="24"/>
                <w:szCs w:val="24"/>
                <w:lang w:val="en-US" w:eastAsia="zh-CN"/>
              </w:rPr>
              <w:t xml:space="preserve">契合采购需求</w:t>
            </w:r>
            <w:r>
              <w:rPr>
                <w:rFonts w:hint="eastAsia" w:ascii="宋体" w:hAnsi="宋体" w:eastAsia="宋体" w:cs="宋体"/>
                <w:color w:val="000000"/>
                <w:sz w:val="24"/>
                <w:szCs w:val="24"/>
                <w:lang w:val="en-US"/>
              </w:rPr>
              <w:t xml:space="preserve">视为部分符合；方案内容非专门针对本项目</w:t>
            </w:r>
            <w:r>
              <w:rPr>
                <w:rFonts w:hint="eastAsia" w:ascii="宋体" w:hAnsi="宋体" w:eastAsia="宋体" w:cs="宋体"/>
                <w:color w:val="000000"/>
                <w:sz w:val="24"/>
                <w:szCs w:val="24"/>
                <w:lang w:val="en-US" w:eastAsia="zh-CN"/>
              </w:rPr>
              <w:t xml:space="preserve">，脱离</w:t>
            </w:r>
            <w:r>
              <w:rPr>
                <w:rFonts w:hint="eastAsia" w:ascii="宋体" w:hAnsi="宋体" w:eastAsia="宋体" w:cs="宋体"/>
                <w:color w:val="000000"/>
                <w:sz w:val="24"/>
                <w:szCs w:val="24"/>
                <w:lang w:val="en-US"/>
              </w:rPr>
              <w:t xml:space="preserve">采购需求视为不符合。</w:t>
            </w:r>
            <w:r>
              <w:rPr>
                <w:rFonts w:hint="eastAsia" w:ascii="宋体" w:hAnsi="宋体" w:eastAsia="宋体" w:cs="宋体"/>
                <w:color w:val="000000"/>
                <w:sz w:val="24"/>
                <w:szCs w:val="24"/>
                <w:lang w:val="en-US"/>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spacing w:before="68" w:line="264" w:lineRule="auto"/>
              <w:rPr>
                <w:rFonts w:ascii="Arial" w:hAnsi="Arial" w:cs="Arial"/>
                <w:color w:val="000000"/>
                <w:sz w:val="24"/>
                <w:szCs w:val="24"/>
              </w:rPr>
            </w:pPr>
            <w:r>
              <w:rPr>
                <w:rFonts w:hint="eastAsia" w:ascii="宋体" w:hAnsi="宋体" w:eastAsia="宋体" w:cs="宋体"/>
                <w:color w:val="000000"/>
                <w:spacing w:val="0"/>
                <w:sz w:val="24"/>
                <w:szCs w:val="24"/>
                <w:highlight w:val="none"/>
                <w:lang w:val="en-US" w:eastAsia="zh-CN" w:bidi="ar-SA"/>
              </w:rPr>
              <w:t xml:space="preserve">6</w:t>
            </w:r>
            <w:r>
              <w:rPr>
                <w:rFonts w:ascii="Arial" w:hAnsi="Arial" w:cs="Arial"/>
                <w:color w:val="000000"/>
                <w:sz w:val="24"/>
                <w:szCs w:val="24"/>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ascii="宋体" w:hAnsi="宋体" w:eastAsia="宋体" w:cs="宋体"/>
                <w:color w:val="000000"/>
                <w:spacing w:val="0"/>
                <w:sz w:val="24"/>
                <w:szCs w:val="24"/>
                <w:highlight w:val="none"/>
                <w:lang w:val="en-US" w:eastAsia="zh-CN"/>
              </w:rPr>
              <w:t xml:space="preserve">实施方案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投标人根据本项目采购需求中实施要求编制实施方案，内容包含：</w:t>
            </w:r>
            <w:r>
              <w:rPr>
                <w:rFonts w:hint="eastAsia" w:ascii="宋体" w:hAnsi="宋体" w:eastAsia="宋体" w:cs="宋体"/>
                <w:color w:val="000000"/>
                <w:sz w:val="24"/>
                <w:szCs w:val="24"/>
                <w:lang w:val="zh-CN" w:eastAsia="zh-CN"/>
              </w:rPr>
              <w:t xml:space="preserve">1.供货进度保证措施；2.质量保证措施；3.协调配合措施；4.应急措施。</w:t>
            </w:r>
            <w:r>
              <w:rPr>
                <w:rFonts w:hint="eastAsia" w:ascii="宋体" w:hAnsi="宋体" w:eastAsia="宋体" w:cs="宋体"/>
                <w:color w:val="000000"/>
                <w:sz w:val="24"/>
                <w:szCs w:val="24"/>
                <w:lang w:val="en-US" w:eastAsia="zh-CN"/>
              </w:rPr>
              <w:t xml:space="preserve">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zh-CN"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拆梯方案</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拆梯要求编制拆梯方案，内容包含：1.施工前的准备工作；2.电梯拆除程序；3.拆梯安全技术措施；4.安全保障措施。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4.业绩</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spacing w:before="69" w:line="264" w:lineRule="auto"/>
              <w:rPr>
                <w:rFonts w:hint="eastAsia" w:eastAsia="宋体"/>
                <w:color w:val="000000"/>
                <w:sz w:val="24"/>
                <w:szCs w:val="24"/>
                <w:lang w:val="en-US" w:eastAsia="zh-CN"/>
              </w:rPr>
            </w:pPr>
            <w:r>
              <w:rPr>
                <w:rFonts w:hint="eastAsia" w:ascii="宋体" w:hAnsi="宋体" w:eastAsia="宋体" w:cs="宋体"/>
                <w:color w:val="000000"/>
                <w:spacing w:val="0"/>
                <w:sz w:val="24"/>
                <w:szCs w:val="24"/>
                <w:highlight w:val="none"/>
                <w:lang w:val="en-US" w:eastAsia="zh-CN"/>
              </w:rPr>
              <w:t xml:space="preserve">投标人业绩</w:t>
            </w:r>
            <w:r>
              <w:rPr>
                <w:rFonts w:hint="eastAsia" w:eastAsia="宋体"/>
                <w:color w:val="000000"/>
                <w:sz w:val="24"/>
                <w:szCs w:val="24"/>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rPr>
              <w:t xml:space="preserve">投标人提供2024年1月1日（含）以来类似电梯项目业绩（至少包含供货、安装、质保），每提供1个得3分，最多得9分。（时间以合同签订时间为准，提供有效合同，合同页须清晰可见相应内容）</w:t>
            </w:r>
            <w:r>
              <w:rPr>
                <w:rFonts w:ascii="宋体" w:hAnsi="宋体" w:eastAsia="宋体" w:cs="宋体"/>
                <w:color w:val="000000"/>
                <w:sz w:val="24"/>
                <w:szCs w:val="24"/>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5.履约能力</w:t>
            </w:r>
            <w:r>
              <w:rPr>
                <w:rFonts w:hint="eastAsia" w:ascii="宋体" w:hAnsi="宋体" w:eastAsia="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5.1</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履约能力1</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整梯质保（维保）的承诺函（质保期包含：电梯维修保养及配件更换，电梯年度报检、检测费、保险等相关费用），明确质保期限，满足质保期2年的基础上，每增加1年得2分，最多得6分。（提供加盖投标人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6</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rPr>
            </w:pPr>
            <w:r>
              <w:rPr>
                <w:rFonts w:hint="eastAsia" w:ascii="宋体" w:hAnsi="宋体" w:cs="宋体"/>
                <w:color w:val="000000"/>
                <w:spacing w:val="-6"/>
                <w:sz w:val="24"/>
                <w:szCs w:val="24"/>
              </w:rPr>
              <w:t xml:space="preserve">客观分</w:t>
            </w:r>
            <w:r>
              <w:rPr>
                <w:rFonts w:hint="eastAsia" w:ascii="宋体" w:hAnsi="宋体" w:eastAsia="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5.2</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履约能力2</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或所投产品制造商承诺投保《公共及产品责任险》的累计责任限额＞人民币15000万元的得4分；＞人民币10000万元≤15000万元的得3分；＞人民币5000万元≤10000万元的得1分，其他不得分。（提供加盖投标人或所投产品制造商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line="264" w:lineRule="auto"/>
              <w:rPr>
                <w:rFonts w:hint="eastAsia" w:ascii="宋体" w:hAnsi="宋体" w:eastAsia="宋体" w:cs="宋体"/>
                <w:color w:val="000000"/>
                <w:sz w:val="24"/>
                <w:szCs w:val="24"/>
              </w:rPr>
            </w:pPr>
            <w:r>
              <w:rPr>
                <w:rFonts w:hint="eastAsia"/>
                <w:color w:val="000000"/>
                <w:sz w:val="24"/>
                <w:szCs w:val="24"/>
                <w:highlight w:val="none"/>
                <w:u w:val="none"/>
              </w:rPr>
              <w:t xml:space="preserve">客观分</w:t>
            </w:r>
            <w:r>
              <w:rPr>
                <w:rFonts w:hint="eastAsia" w:ascii="宋体" w:hAnsi="宋体" w:eastAsia="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OLE_LINK1"/>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End w:id="198"/>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6"/>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59"/>
        <w:spacing w:before="0" w:after="0" w:line="360" w:lineRule="auto"/>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360" w:lineRule="auto"/>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1"/>
        <w:rPr>
          <w:rFonts w:eastAsia="宋体"/>
          <w:lang w:val="en-US" w:eastAsia="zh-CN"/>
        </w:rPr>
      </w:pPr>
      <w:r>
        <w:rPr>
          <w:rFonts w:hint="eastAsia"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59"/>
        <w:spacing w:before="0" w:after="0" w:line="360" w:lineRule="auto"/>
        <w:rPr>
          <w:rFonts w:hint="eastAsia" w:ascii="宋体" w:hAnsi="宋体"/>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Style w:val="944"/>
          <w:rFonts w:hint="eastAsia"/>
          <w:i w:val="0"/>
          <w:shd w:val="clear" w:color="auto" w:fill="ffffff"/>
          <w:vertAlign w:val="superscript"/>
        </w:rPr>
        <w:t xml:space="preserve">3</w:t>
      </w:r>
      <w:r>
        <w:rPr>
          <w:rFonts w:hint="eastAsia"/>
          <w:strike w:val="0"/>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Style w:val="94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Style w:val="94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Fonts w:hint="eastAsia"/>
          <w:strike w:val="0"/>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0"/>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rPr>
          <w:rFonts w:hint="eastAsia"/>
          <w:b w:val="0"/>
          <w:bCs w:val="0"/>
          <w:sz w:val="21"/>
          <w:szCs w:val="21"/>
          <w:shd w:val="clear" w:color="auto" w:fill="ffffff"/>
        </w:rPr>
      </w:r>
      <w:r/>
    </w:p>
    <w:p>
      <w:pPr>
        <w:pStyle w:val="869"/>
        <w:spacing w:line="360" w:lineRule="auto"/>
      </w:pPr>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69"/>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字符"/>
    <w:basedOn w:val="879"/>
    <w:next w:val="902"/>
    <w:link w:val="901"/>
    <w:rPr>
      <w:rFonts w:ascii="Calibri" w:hAnsi="Calibri" w:eastAsia="宋体" w:cs="Times New Roman"/>
      <w:sz w:val="21"/>
      <w:szCs w:val="24"/>
    </w:rPr>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901"/>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10</cp:revision>
  <dcterms:created xsi:type="dcterms:W3CDTF">2023-03-16T02:13:00Z</dcterms:created>
  <dcterms:modified xsi:type="dcterms:W3CDTF">2026-06-12T06:28:38Z</dcterms:modified>
</cp:coreProperties>
</file>