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3"/>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929"/>
        <w:ind w:firstLine="1606"/>
        <w:rPr>
          <w:rFonts w:hint="eastAsia" w:ascii="Arial" w:hAnsi="Arial" w:eastAsia="宋体" w:cs="Times New Roman"/>
          <w:b/>
          <w:bCs/>
          <w:sz w:val="32"/>
          <w:szCs w:val="24"/>
          <w:lang w:eastAsia="zh-CN"/>
        </w:rPr>
      </w:pPr>
      <w:r>
        <w:rPr>
          <w:rFonts w:hint="eastAsia" w:ascii="Arial" w:hAnsi="Arial" w:eastAsia="宋体" w:cs="Times New Roman"/>
          <w:b/>
          <w:bCs/>
          <w:sz w:val="32"/>
          <w:szCs w:val="24"/>
          <w:lang w:eastAsia="zh-CN"/>
        </w:rPr>
      </w:r>
      <w:r/>
    </w:p>
    <w:p>
      <w:pPr>
        <w:pStyle w:val="929"/>
        <w:ind w:firstLine="1606"/>
        <w:rPr>
          <w:rFonts w:hint="eastAsia" w:ascii="Arial" w:hAnsi="Arial" w:eastAsia="宋体" w:cs="Times New Roman"/>
          <w:b/>
          <w:bCs/>
          <w:sz w:val="32"/>
          <w:szCs w:val="24"/>
          <w:lang w:eastAsia="zh-CN"/>
        </w:rPr>
      </w:pPr>
      <w:r>
        <w:rPr>
          <w:rFonts w:hint="eastAsia" w:ascii="Arial" w:hAnsi="Arial" w:eastAsia="宋体" w:cs="Times New Roman"/>
          <w:b/>
          <w:bCs/>
          <w:sz w:val="32"/>
          <w:szCs w:val="24"/>
          <w:lang w:eastAsia="zh-CN"/>
        </w:rPr>
      </w:r>
      <w:r/>
    </w:p>
    <w:p>
      <w:pPr>
        <w:pStyle w:val="92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color w:val="000000"/>
          <w:sz w:val="32"/>
          <w:szCs w:val="24"/>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2026年度竹镇镇东片区老年人照护服务 </w:t>
      </w:r>
      <w:r>
        <w:rPr>
          <w:rFonts w:hint="eastAsia" w:ascii="Arial" w:hAnsi="Arial" w:cs="Times New Roman"/>
          <w:b/>
          <w:bCs/>
          <w:color w:val="000000"/>
          <w:sz w:val="32"/>
          <w:szCs w:val="24"/>
          <w:u w:val="single"/>
          <w:lang w:val="en-US" w:eastAsia="zh-CN"/>
        </w:rPr>
      </w:r>
      <w:r/>
    </w:p>
    <w:p>
      <w:pPr>
        <w:pStyle w:val="929"/>
        <w:jc w:val="center"/>
        <w:rPr>
          <w:rFonts w:hint="eastAsia" w:ascii="Times New Roman" w:hAnsi="Times New Roman" w:eastAsia="宋体" w:cs="Times New Roman"/>
          <w:b/>
          <w:bCs w:val="0"/>
          <w:color w:val="000000"/>
          <w:sz w:val="32"/>
          <w:szCs w:val="32"/>
          <w:u w:val="none"/>
          <w:lang w:val="en-US" w:eastAsia="zh-CN"/>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JSZC-320116-NJHS-C2026-0001</w:t>
      </w:r>
      <w:r>
        <w:rPr>
          <w:rFonts w:hint="eastAsia" w:ascii="Times New Roman" w:hAnsi="Times New Roman" w:eastAsia="宋体" w:cs="Times New Roman"/>
          <w:b/>
          <w:bCs w:val="0"/>
          <w:color w:val="000000"/>
          <w:sz w:val="32"/>
          <w:szCs w:val="32"/>
          <w:u w:val="none"/>
          <w:lang w:val="en-US" w:eastAsia="zh-CN"/>
        </w:rPr>
      </w:r>
      <w:r/>
    </w:p>
    <w:p>
      <w:pPr>
        <w:pStyle w:val="92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ind w:firstLine="0"/>
        <w:jc w:val="center"/>
        <w:rPr>
          <w:rFonts w:hint="eastAsia" w:ascii="Arial" w:hAnsi="Arial" w:eastAsia="宋体" w:cs="Times New Roman"/>
          <w:b/>
          <w:bCs/>
          <w:sz w:val="32"/>
          <w:lang w:val="en-US" w:eastAsia="zh-CN"/>
        </w:rPr>
      </w:pPr>
      <w:r>
        <w:rPr>
          <w:rFonts w:hint="eastAsia" w:ascii="Arial" w:hAnsi="Arial" w:eastAsia="宋体" w:cs="Times New Roman"/>
          <w:b/>
          <w:bCs/>
          <w:sz w:val="32"/>
          <w:lang w:val="en-US" w:eastAsia="zh-CN"/>
        </w:rPr>
        <w:t xml:space="preserve">采 购 人：南京市六合区竹镇镇人民政府</w:t>
      </w:r>
      <w:r>
        <w:rPr>
          <w:rFonts w:hint="eastAsia" w:ascii="Arial" w:hAnsi="Arial" w:eastAsia="宋体" w:cs="Times New Roman"/>
          <w:b/>
          <w:bCs/>
          <w:sz w:val="32"/>
          <w:lang w:val="en-US" w:eastAsia="zh-CN"/>
        </w:rPr>
      </w:r>
      <w:r/>
    </w:p>
    <w:p>
      <w:pPr>
        <w:pStyle w:val="929"/>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val="en-US" w:eastAsia="zh-CN"/>
        </w:rPr>
        <w:t xml:space="preserve">代理机构：</w:t>
      </w:r>
      <w:r>
        <w:rPr>
          <w:rFonts w:hint="eastAsia" w:ascii="Arial" w:hAnsi="Arial" w:eastAsia="宋体" w:cs="Times New Roman"/>
          <w:b/>
          <w:bCs/>
          <w:sz w:val="32"/>
          <w:lang w:eastAsia="zh-CN"/>
        </w:rPr>
        <w:t xml:space="preserve">南京华舜工程项目管理有限公司</w:t>
      </w:r>
      <w:r>
        <w:rPr>
          <w:rFonts w:hint="eastAsia" w:ascii="Arial" w:hAnsi="Arial" w:eastAsia="宋体" w:cs="Times New Roman"/>
          <w:b/>
          <w:bCs/>
          <w:sz w:val="32"/>
          <w:lang w:eastAsia="zh-CN"/>
        </w:rPr>
      </w:r>
      <w:r/>
    </w:p>
    <w:p>
      <w:pPr>
        <w:pStyle w:val="92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92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9"/>
        <w:jc w:val="center"/>
        <w:spacing w:before="120" w:after="120" w:line="360" w:lineRule="auto"/>
        <w:rPr>
          <w:rFonts w:hint="eastAsia" w:ascii="Arial" w:hAnsi="Arial"/>
          <w:sz w:val="24"/>
          <w:szCs w:val="24"/>
        </w:rPr>
      </w:pPr>
      <w:r>
        <w:rPr>
          <w:rFonts w:hint="eastAsia" w:ascii="Arial" w:hAnsi="Arial"/>
          <w:sz w:val="24"/>
          <w:szCs w:val="24"/>
        </w:rPr>
      </w:r>
      <w:r/>
    </w:p>
    <w:p>
      <w:pPr>
        <w:pStyle w:val="929"/>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929"/>
        <w:jc w:val="center"/>
        <w:spacing w:line="480" w:lineRule="auto"/>
        <w:rPr>
          <w:rFonts w:ascii="Times New Roman" w:hAnsi="Times New Roman"/>
          <w:szCs w:val="21"/>
        </w:rPr>
        <w:outlineLvl w:val="0"/>
      </w:pPr>
      <w:r>
        <w:rPr>
          <w:rFonts w:ascii="Times New Roman" w:hAnsi="Times New Roman"/>
          <w:szCs w:val="21"/>
        </w:rPr>
      </w:r>
      <w:r/>
    </w:p>
    <w:p>
      <w:pPr>
        <w:pStyle w:val="92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929"/>
        <w:spacing w:line="480" w:lineRule="auto"/>
        <w:rPr>
          <w:rFonts w:hint="eastAsia" w:ascii="仿宋_GB2312" w:hAnsi="Arial" w:eastAsia="仿宋_GB2312"/>
          <w:b/>
          <w:sz w:val="28"/>
          <w:szCs w:val="21"/>
        </w:rPr>
      </w:pPr>
      <w:r/>
      <w:bookmarkStart w:id="0" w:name="_Toc20823272"/>
      <w:r/>
      <w:bookmarkStart w:id="1" w:name="_Toc513029200"/>
      <w:r/>
      <w:bookmarkStart w:id="2" w:name="_Toc16938516"/>
      <w:r/>
      <w:bookmarkStart w:id="3" w:name="_Toc523127445"/>
      <w:r/>
      <w:bookmarkStart w:id="4" w:name="_Toc479757206"/>
      <w:r/>
      <w:bookmarkStart w:id="5" w:name="_Toc120614210"/>
      <w:r>
        <w:rPr>
          <w:rFonts w:hint="eastAsia" w:ascii="仿宋_GB2312" w:hAnsi="Arial" w:eastAsia="仿宋_GB2312"/>
          <w:b/>
          <w:sz w:val="28"/>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92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39</w:t>
      </w:r>
      <w:r>
        <w:rPr>
          <w:rFonts w:hint="eastAsia" w:ascii="黑体" w:hAnsi="宋体" w:eastAsia="黑体" w:cs="Times New Roman"/>
          <w:color w:val="000000"/>
          <w:sz w:val="36"/>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rPr>
          <w:rFonts w:hint="eastAsia" w:ascii="Times New Roman" w:hAnsi="Times New Roman"/>
          <w:szCs w:val="21"/>
        </w:rPr>
      </w:pPr>
      <w:r>
        <w:rPr>
          <w:rFonts w:hint="eastAsia" w:ascii="Times New Roman" w:hAnsi="Times New Roman"/>
          <w:szCs w:val="21"/>
        </w:rPr>
      </w:r>
      <w:r/>
    </w:p>
    <w:p>
      <w:pPr>
        <w:pStyle w:val="929"/>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92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92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ff"/>
          <w:sz w:val="24"/>
          <w:szCs w:val="24"/>
          <w:u w:val="none"/>
          <w:lang w:val="en-US" w:eastAsia="zh-CN"/>
        </w:rPr>
        <w:t xml:space="preserve">南京市六合区竹镇镇人民政府</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color w:val="0000ff"/>
          <w:sz w:val="24"/>
          <w:szCs w:val="24"/>
          <w:lang w:eastAsia="zh-CN"/>
        </w:rPr>
        <w:t xml:space="preserve">南京华舜工程项目管理有限公司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以下简称“代理机构”</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ff"/>
          <w:sz w:val="24"/>
          <w:szCs w:val="24"/>
          <w:u w:val="none"/>
          <w:lang w:val="en-US" w:eastAsia="zh-CN"/>
        </w:rPr>
        <w:t xml:space="preserve">2026年度竹镇镇东片区老年人照护服务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264" w:lineRule="auto"/>
        <w:widowControl w:val="off"/>
        <w:rPr>
          <w:rFonts w:hint="eastAsia" w:ascii="宋体" w:hAnsi="宋体" w:eastAsia="宋体" w:cs="Times New Roman"/>
          <w:color w:val="0000ff"/>
          <w:sz w:val="24"/>
          <w:szCs w:val="24"/>
          <w:lang w:eastAsia="zh-CN"/>
        </w:rPr>
      </w:pPr>
      <w:r>
        <w:rPr>
          <w:rFonts w:hint="eastAsia" w:ascii="宋体" w:hAnsi="宋体"/>
          <w:sz w:val="24"/>
          <w:szCs w:val="24"/>
        </w:rPr>
        <w:t xml:space="preserve">1.项目编号：</w:t>
      </w:r>
      <w:r>
        <w:rPr>
          <w:rFonts w:hint="eastAsia" w:ascii="宋体" w:hAnsi="宋体" w:eastAsia="宋体" w:cs="Times New Roman"/>
          <w:color w:val="0000ff"/>
          <w:sz w:val="24"/>
          <w:szCs w:val="24"/>
          <w:lang w:eastAsia="zh-CN"/>
        </w:rPr>
        <w:t xml:space="preserve">JSZC-320116-NJHS-C2026-0001</w:t>
      </w:r>
      <w:r>
        <w:rPr>
          <w:rFonts w:hint="eastAsia" w:ascii="宋体" w:hAnsi="宋体" w:eastAsia="宋体" w:cs="Times New Roman"/>
          <w:color w:val="0000ff"/>
          <w:sz w:val="24"/>
          <w:szCs w:val="24"/>
          <w:lang w:eastAsia="zh-CN"/>
        </w:rPr>
      </w:r>
      <w:r/>
    </w:p>
    <w:p>
      <w:pPr>
        <w:pStyle w:val="92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olor w:val="0000ff"/>
          <w:sz w:val="24"/>
          <w:szCs w:val="24"/>
          <w:lang w:val="en-US" w:eastAsia="zh-CN"/>
        </w:rPr>
        <w:t xml:space="preserve">2026年度竹镇镇东片区老年人照护服务</w:t>
      </w:r>
      <w:r>
        <w:rPr>
          <w:rFonts w:hint="eastAsia" w:ascii="宋体" w:hAnsi="宋体" w:eastAsia="宋体"/>
          <w:sz w:val="24"/>
          <w:szCs w:val="24"/>
          <w:lang w:eastAsia="zh-CN"/>
        </w:rPr>
      </w:r>
      <w:r/>
    </w:p>
    <w:p>
      <w:pPr>
        <w:pStyle w:val="929"/>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ff"/>
          <w:sz w:val="24"/>
          <w:szCs w:val="24"/>
          <w:lang w:val="en-US" w:eastAsia="zh-CN"/>
        </w:rPr>
        <w:t xml:space="preserve">135万元</w:t>
      </w:r>
      <w:r>
        <w:rPr>
          <w:rFonts w:ascii="宋体" w:hAnsi="宋体"/>
          <w:color w:val="000000"/>
          <w:sz w:val="24"/>
          <w:szCs w:val="24"/>
          <w:lang w:val="en-US" w:eastAsia="zh-CN"/>
        </w:rPr>
      </w:r>
      <w:r/>
    </w:p>
    <w:p>
      <w:pPr>
        <w:pStyle w:val="929"/>
        <w:ind w:firstLine="480"/>
        <w:pageBreakBefore w:val="0"/>
        <w:spacing w:line="264"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olor w:val="0000ff"/>
          <w:sz w:val="24"/>
          <w:szCs w:val="24"/>
          <w:lang w:val="en-US" w:eastAsia="zh-CN"/>
        </w:rPr>
        <w:t xml:space="preserve">135万元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929"/>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Times New Roman" w:hAnsi="Times New Roman" w:eastAsia="宋体" w:cs="宋体"/>
          <w:color w:val="0000ff"/>
          <w:sz w:val="24"/>
          <w:szCs w:val="32"/>
          <w:highlight w:val="none"/>
        </w:rPr>
        <w:t xml:space="preserve">照护服务的服务对象为中重度失能特困、低保老年人、80周岁以上老年人。服务范围涵盖竹镇镇东片区乌石、大侯、石婆、侯桥、八里、光华六个村社区，约1800人，年服务费约135万元。</w:t>
      </w:r>
      <w:r>
        <w:rPr>
          <w:rFonts w:hint="eastAsia" w:ascii="宋体" w:hAnsi="宋体" w:cs="宋体"/>
          <w:sz w:val="24"/>
          <w:szCs w:val="24"/>
          <w:highlight w:val="none"/>
        </w:rPr>
        <w:t xml:space="preserve">（</w:t>
      </w:r>
      <w:r>
        <w:rPr>
          <w:rFonts w:hint="eastAsia" w:ascii="宋体" w:hAnsi="宋体" w:cs="宋体"/>
          <w:sz w:val="24"/>
          <w:szCs w:val="24"/>
          <w:lang w:val="en-US" w:eastAsia="zh-CN"/>
        </w:rPr>
        <w:t xml:space="preserve">具体详见</w:t>
      </w:r>
      <w:r>
        <w:rPr>
          <w:rFonts w:hint="eastAsia" w:ascii="宋体" w:hAnsi="宋体" w:cs="宋体"/>
          <w:sz w:val="24"/>
          <w:szCs w:val="24"/>
          <w:lang w:eastAsia="zh-CN"/>
        </w:rPr>
        <w:t xml:space="preserve">磋商</w:t>
      </w:r>
      <w:r>
        <w:rPr>
          <w:rFonts w:hint="eastAsia" w:ascii="宋体" w:hAnsi="宋体" w:cs="宋体"/>
          <w:sz w:val="24"/>
          <w:szCs w:val="24"/>
        </w:rPr>
        <w:t xml:space="preserve">文件） </w:t>
      </w:r>
      <w:r>
        <w:rPr>
          <w:rFonts w:ascii="宋体" w:hAnsi="宋体"/>
          <w:sz w:val="24"/>
          <w:szCs w:val="24"/>
          <w:u w:val="single"/>
        </w:rPr>
      </w:r>
      <w:r/>
    </w:p>
    <w:p>
      <w:pPr>
        <w:pStyle w:val="929"/>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ff"/>
          <w:sz w:val="24"/>
          <w:szCs w:val="24"/>
          <w:highlight w:val="none"/>
          <w:u w:val="none"/>
          <w:lang w:val="en-US" w:eastAsia="zh-CN"/>
        </w:rPr>
        <w:t xml:space="preserve">365天</w:t>
      </w:r>
      <w:r>
        <w:rPr>
          <w:rFonts w:hint="eastAsia" w:ascii="宋体" w:hAnsi="宋体" w:cs="宋体"/>
          <w:sz w:val="24"/>
          <w:szCs w:val="24"/>
          <w:highlight w:val="yellow"/>
          <w:lang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ff"/>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）满足《中华人民共和国政府采购法》第二十二条规定：</w:t>
      </w:r>
      <w:r>
        <w:rPr>
          <w:rFonts w:hint="eastAsia" w:ascii="宋体" w:hAnsi="宋体" w:eastAsia="宋体" w:cs="Times New Roman"/>
          <w:color w:val="000000"/>
          <w:sz w:val="24"/>
          <w:szCs w:val="24"/>
          <w:lang w:val="zh-CN" w:eastAsia="zh-CN"/>
        </w:rPr>
      </w:r>
      <w:r/>
    </w:p>
    <w:p>
      <w:pPr>
        <w:pStyle w:val="929"/>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9"/>
        <w:ind w:firstLine="480"/>
        <w:pageBreakBefore w:val="0"/>
        <w:spacing w:line="400" w:lineRule="exact"/>
        <w:widowControl w:val="off"/>
        <w:rPr>
          <w:rFonts w:hint="eastAsia" w:ascii="宋体" w:hAnsi="宋体" w:eastAsia="宋体"/>
          <w:color w:val="000000"/>
          <w:sz w:val="24"/>
          <w:szCs w:val="24"/>
          <w:highlight w:val="yellow"/>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ff"/>
          <w:sz w:val="24"/>
          <w:szCs w:val="24"/>
          <w:u w:val="none"/>
          <w:lang w:val="en-US" w:eastAsia="zh-CN"/>
        </w:rPr>
        <w:t xml:space="preserve">本项目为非预留份额的采购项目或采购包，执行价格扣除优惠政策。</w:t>
      </w:r>
      <w:r>
        <w:rPr>
          <w:rFonts w:hint="eastAsia" w:ascii="宋体" w:hAnsi="宋体" w:eastAsia="宋体"/>
          <w:color w:val="000000"/>
          <w:sz w:val="24"/>
          <w:szCs w:val="24"/>
          <w:highlight w:val="yellow"/>
          <w:lang w:val="en-US" w:eastAsia="zh-CN"/>
        </w:rPr>
      </w:r>
      <w:r/>
    </w:p>
    <w:p>
      <w:pPr>
        <w:pStyle w:val="929"/>
        <w:ind w:firstLine="480"/>
        <w:pageBreakBefore w:val="0"/>
        <w:spacing w:line="400" w:lineRule="exact"/>
        <w:widowControl w:val="off"/>
        <w:rPr>
          <w:rFonts w:hint="eastAsia" w:ascii="宋体" w:hAnsi="宋体" w:eastAsia="宋体"/>
          <w:color w:val="000000"/>
          <w:sz w:val="24"/>
          <w:szCs w:val="24"/>
          <w:highlight w:val="yellow"/>
          <w:lang w:val="en-US" w:eastAsia="zh-CN"/>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ff"/>
          <w:spacing w:val="0"/>
          <w:sz w:val="24"/>
          <w:szCs w:val="24"/>
          <w:highlight w:val="none"/>
          <w:u w:val="none"/>
          <w:lang w:val="en-US" w:eastAsia="zh-CN" w:bidi="ar-SA"/>
        </w:rPr>
        <w:t xml:space="preserve">其他为列明行业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olor w:val="000000"/>
          <w:sz w:val="24"/>
          <w:szCs w:val="24"/>
          <w:highlight w:val="yellow"/>
          <w:lang w:val="en-US" w:eastAsia="zh-CN"/>
        </w:rPr>
      </w:r>
      <w:r/>
    </w:p>
    <w:p>
      <w:pPr>
        <w:pStyle w:val="929"/>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ff"/>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color w:val="000000"/>
          <w:sz w:val="24"/>
          <w:szCs w:val="24"/>
          <w:lang w:val="en-US" w:eastAsia="zh-CN"/>
        </w:rPr>
        <w:t xml:space="preserve">5个工作日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9"/>
        <w:ind w:firstLine="48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2.地点：江苏省政府采购网、南京公共采购信息网</w:t>
      </w:r>
      <w:r>
        <w:rPr>
          <w:rFonts w:hint="eastAsia" w:ascii="宋体" w:hAnsi="宋体" w:eastAsia="宋体" w:cs="宋体"/>
          <w:color w:val="000000"/>
          <w:sz w:val="24"/>
          <w:szCs w:val="24"/>
          <w:lang w:val="en-US" w:eastAsia="zh-CN"/>
        </w:rPr>
      </w:r>
      <w:r/>
    </w:p>
    <w:p>
      <w:pPr>
        <w:pStyle w:val="929"/>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.方式：在“江苏政府采购网”免费下载。</w:t>
      </w:r>
      <w:r>
        <w:rPr>
          <w:rFonts w:hint="eastAsia" w:ascii="宋体" w:hAnsi="宋体" w:eastAsia="宋体" w:cs="宋体"/>
          <w:color w:val="000000"/>
          <w:sz w:val="24"/>
          <w:szCs w:val="24"/>
        </w:rPr>
      </w:r>
      <w:r/>
    </w:p>
    <w:p>
      <w:pPr>
        <w:pStyle w:val="929"/>
        <w:ind w:firstLine="48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4.售价：0.00元</w:t>
      </w:r>
      <w:r>
        <w:rPr>
          <w:rFonts w:ascii="宋体" w:hAnsi="宋体" w:eastAsia="宋体" w:cs="宋体"/>
          <w:color w:val="000000"/>
          <w:sz w:val="24"/>
          <w:szCs w:val="24"/>
          <w:lang w:val="en-US" w:eastAsia="zh-CN"/>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32"/>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sz w:val="24"/>
          <w:szCs w:val="24"/>
          <w:u w:val="none"/>
          <w:lang w:val="en-US" w:eastAsia="zh-CN"/>
        </w:rPr>
        <w:t xml:space="preserve">截止时间：20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24</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lang w:eastAsia="zh-CN"/>
        </w:rPr>
      </w:r>
      <w:r/>
    </w:p>
    <w:p>
      <w:pPr>
        <w:pStyle w:val="946"/>
        <w:pageBreakBefore w:val="0"/>
        <w:spacing w:line="400" w:lineRule="exact"/>
        <w:widowControl w:val="off"/>
        <w:rPr>
          <w:rFonts w:hint="eastAsia" w:ascii="宋体" w:hAnsi="宋体" w:eastAsia="宋体"/>
          <w:b w:val="0"/>
          <w:bCs w:val="0"/>
          <w:sz w:val="24"/>
          <w:szCs w:val="24"/>
          <w:lang w:eastAsia="zh-CN"/>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宋体" w:hAnsi="宋体" w:eastAsia="宋体"/>
          <w:b w:val="0"/>
          <w:bCs w:val="0"/>
          <w:sz w:val="24"/>
          <w:szCs w:val="24"/>
          <w:lang w:eastAsia="zh-CN"/>
        </w:rPr>
      </w:r>
      <w:r/>
    </w:p>
    <w:p>
      <w:pPr>
        <w:pStyle w:val="932"/>
        <w:numPr>
          <w:ilvl w:val="0"/>
          <w:numId w:val="5"/>
        </w:numPr>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开启</w:t>
      </w:r>
      <w:r>
        <w:rPr>
          <w:rFonts w:hint="eastAsia" w:ascii="方正黑体_GBK" w:hAnsi="方正黑体_GBK" w:eastAsia="方正黑体_GBK" w:cs="方正黑体_GBK"/>
          <w:b w:val="0"/>
          <w:bCs w:val="0"/>
          <w:color w:val="000000"/>
          <w:sz w:val="30"/>
          <w:szCs w:val="30"/>
          <w:lang w:val="en-US" w:eastAsia="zh-CN"/>
        </w:rPr>
      </w:r>
      <w:r/>
    </w:p>
    <w:p>
      <w:pPr>
        <w:pStyle w:val="932"/>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24</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lang w:eastAsia="zh-CN"/>
        </w:rPr>
      </w:r>
      <w:r/>
    </w:p>
    <w:p>
      <w:pPr>
        <w:pStyle w:val="946"/>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方正黑体_GBK" w:hAnsi="方正黑体_GBK" w:eastAsia="方正黑体_GBK" w:cs="方正黑体_GBK"/>
          <w:b w:val="0"/>
          <w:bCs w:val="0"/>
          <w:color w:val="000000"/>
          <w:sz w:val="30"/>
          <w:szCs w:val="30"/>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、公告期限</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w:t>
      </w:r>
      <w:r>
        <w:rPr>
          <w:rFonts w:hint="eastAsia" w:ascii="宋体" w:hAnsi="宋体" w:cs="宋体"/>
          <w:sz w:val="24"/>
          <w:szCs w:val="24"/>
          <w:lang w:val="en-US" w:eastAsia="zh-CN"/>
        </w:rPr>
        <w:t xml:space="preserve">5</w:t>
      </w:r>
      <w:r>
        <w:rPr>
          <w:rFonts w:hint="eastAsia" w:ascii="宋体" w:hAnsi="宋体" w:cs="宋体"/>
          <w:sz w:val="24"/>
          <w:szCs w:val="24"/>
        </w:rPr>
        <w:t xml:space="preserve">个工作日。</w:t>
      </w:r>
      <w:r>
        <w:rPr>
          <w:rFonts w:ascii="宋体" w:hAnsi="宋体" w:cs="宋体"/>
          <w:sz w:val="24"/>
          <w:szCs w:val="24"/>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七</w:t>
      </w:r>
      <w:r>
        <w:rPr>
          <w:rFonts w:hint="eastAsia" w:ascii="方正黑体_GBK" w:hAnsi="方正黑体_GBK" w:eastAsia="方正黑体_GBK" w:cs="方正黑体_GBK"/>
          <w:b w:val="0"/>
          <w:bCs w:val="0"/>
          <w:color w:val="000000"/>
          <w:sz w:val="30"/>
          <w:szCs w:val="30"/>
        </w:rPr>
        <w:t xml:space="preserve">、其他事宜</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1.本项目中标后不允许分包、转包。</w:t>
      </w:r>
      <w:r>
        <w:rPr>
          <w:rFonts w:hint="eastAsia" w:ascii="宋体" w:hAnsi="宋体" w:eastAsia="宋体" w:cs="宋体"/>
          <w:sz w:val="24"/>
          <w:szCs w:val="24"/>
        </w:rPr>
      </w:r>
      <w:r/>
    </w:p>
    <w:p>
      <w:pPr>
        <w:pStyle w:val="929"/>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92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0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2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3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w:t>
      </w:r>
      <w:r>
        <w:rPr>
          <w:rFonts w:hint="eastAsia" w:ascii="方正黑体_GBK" w:hAnsi="方正黑体_GBK" w:eastAsia="方正黑体_GBK" w:cs="方正黑体_GBK"/>
          <w:b w:val="0"/>
          <w:bCs w:val="0"/>
          <w:color w:val="000000"/>
          <w:sz w:val="30"/>
          <w:szCs w:val="30"/>
        </w:rPr>
        <w:t xml:space="preserve">、本次磋商联系方式</w:t>
      </w:r>
      <w:r>
        <w:rPr>
          <w:rFonts w:hint="eastAsia" w:ascii="方正黑体_GBK" w:hAnsi="方正黑体_GBK" w:eastAsia="方正黑体_GBK" w:cs="方正黑体_GBK"/>
          <w:b w:val="0"/>
          <w:bCs w:val="0"/>
          <w:color w:val="000000"/>
          <w:sz w:val="30"/>
          <w:szCs w:val="30"/>
        </w:rPr>
      </w:r>
      <w:r/>
    </w:p>
    <w:p>
      <w:pPr>
        <w:pStyle w:val="92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w:t>
      </w:r>
      <w:r>
        <w:rPr>
          <w:rFonts w:hint="eastAsia" w:ascii="宋体" w:hAnsi="宋体" w:eastAsia="宋体" w:cs="Times New Roman"/>
          <w:color w:val="000000"/>
          <w:sz w:val="24"/>
          <w:szCs w:val="24"/>
          <w:u w:val="none"/>
          <w:lang w:val="en-US" w:eastAsia="zh-CN"/>
        </w:rPr>
        <w:t xml:space="preserve"> 称：南京市六合区竹镇镇人民政府         </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南京市六合区竹镇镇仕林南路500号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陈金才</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联系电话：13218052316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w:t>
      </w:r>
      <w:bookmarkEnd w:id="6"/>
      <w:r/>
      <w:bookmarkEnd w:id="7"/>
      <w:r>
        <w:rPr>
          <w:rFonts w:hint="eastAsia" w:ascii="宋体" w:hAnsi="宋体" w:eastAsia="宋体" w:cs="Times New Roman"/>
          <w:color w:val="000000"/>
          <w:sz w:val="24"/>
          <w:szCs w:val="24"/>
          <w:u w:val="none"/>
          <w:lang w:val="en-US" w:eastAsia="zh-CN"/>
        </w:rPr>
        <w:t xml:space="preserve">代理机构</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称：南京华舜工程项目管理有限公司</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址：南京市六合区雄州东路85号3栋1209室  </w:t>
      </w:r>
      <w:r>
        <w:rPr>
          <w:rFonts w:hint="eastAsia" w:ascii="宋体" w:hAnsi="宋体" w:eastAsia="宋体" w:cs="Times New Roman"/>
          <w:color w:val="000000"/>
          <w:sz w:val="24"/>
          <w:szCs w:val="24"/>
          <w:u w:val="none"/>
          <w:lang w:val="en-US" w:eastAsia="zh-CN"/>
        </w:rPr>
      </w:r>
      <w:r/>
    </w:p>
    <w:p>
      <w:pPr>
        <w:pStyle w:val="929"/>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联系人：徐工</w:t>
      </w:r>
      <w:r>
        <w:rPr>
          <w:rFonts w:ascii="宋体" w:hAnsi="宋体" w:cs="Times New Roman"/>
          <w:color w:val="000000"/>
          <w:sz w:val="24"/>
          <w:szCs w:val="24"/>
          <w:u w:val="none"/>
          <w:lang w:val="en-US" w:eastAsia="zh-CN"/>
        </w:rPr>
      </w:r>
      <w:r/>
    </w:p>
    <w:p>
      <w:pPr>
        <w:pStyle w:val="929"/>
        <w:ind w:firstLine="480"/>
        <w:pageBreakBefore w:val="0"/>
        <w:spacing w:line="264"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联系电话：18913027964</w:t>
      </w:r>
      <w:r>
        <w:rPr>
          <w:color w:val="000000"/>
          <w:u w:val="none"/>
          <w:lang w:val="en-US"/>
        </w:rPr>
      </w:r>
      <w:r/>
    </w:p>
    <w:p>
      <w:pPr>
        <w:pStyle w:val="929"/>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12"/>
        <w:numPr>
          <w:ilvl w:val="0"/>
          <w:numId w:val="0"/>
        </w:numPr>
        <w:jc w:val="both"/>
        <w:widowControl w:val="off"/>
        <w:rPr>
          <w:rFonts w:hint="eastAsia"/>
        </w:rPr>
      </w:pPr>
      <w:r>
        <w:rPr>
          <w:rFonts w:hint="eastAsia"/>
        </w:rPr>
      </w:r>
      <w:r/>
    </w:p>
    <w:p>
      <w:pPr>
        <w:pStyle w:val="929"/>
        <w:rPr>
          <w:rFonts w:hint="eastAsia"/>
        </w:rPr>
      </w:pPr>
      <w:r>
        <w:rPr>
          <w:rFonts w:hint="eastAsia"/>
        </w:rPr>
      </w:r>
      <w:r/>
    </w:p>
    <w:p>
      <w:pPr>
        <w:pStyle w:val="1002"/>
        <w:rPr>
          <w:rFonts w:hint="eastAsia"/>
        </w:rPr>
      </w:pPr>
      <w:r>
        <w:rPr>
          <w:rFonts w:hint="eastAsia"/>
        </w:rPr>
      </w:r>
      <w:r/>
    </w:p>
    <w:p>
      <w:pPr>
        <w:pStyle w:val="929"/>
        <w:rPr>
          <w:rFonts w:hint="eastAsia"/>
        </w:rPr>
      </w:pPr>
      <w:r>
        <w:rPr>
          <w:rFonts w:hint="eastAsia"/>
        </w:rPr>
      </w:r>
      <w:r/>
    </w:p>
    <w:p>
      <w:pPr>
        <w:pStyle w:val="929"/>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20614214"/>
      <w:r/>
      <w:bookmarkStart w:id="9" w:name="_Toc20823275"/>
      <w:r/>
      <w:bookmarkStart w:id="10" w:name="_Toc16938519"/>
      <w:r/>
      <w:bookmarkStart w:id="11" w:name="_Toc513029203"/>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b/>
          <w:bCs/>
          <w:sz w:val="28"/>
          <w:szCs w:val="28"/>
          <w:lang w:val="en-US" w:eastAsia="zh-CN"/>
        </w:rPr>
        <w:t xml:space="preserve">1</w:t>
      </w:r>
      <w:bookmarkEnd w:id="13"/>
      <w:r>
        <w:rPr>
          <w:rFonts w:hint="eastAsia" w:ascii="方正楷体_GBK" w:hAnsi="方正楷体_GBK" w:eastAsia="方正楷体_GBK" w:cs="方正楷体_GBK"/>
          <w:b/>
          <w:bCs/>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7" w:name="_Toc513029205"/>
      <w:r/>
      <w:bookmarkStart w:id="18" w:name="_Toc16938521"/>
      <w:r/>
      <w:bookmarkStart w:id="19" w:name="_Toc20823277"/>
      <w:r>
        <w:rPr>
          <w:rFonts w:hint="eastAsia" w:ascii="方正楷体_GBK" w:hAnsi="方正楷体_GBK" w:eastAsia="方正楷体_GBK" w:cs="方正楷体_GBK"/>
          <w:b/>
          <w:bCs/>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0" w:name="_Toc16938522"/>
      <w:r/>
      <w:bookmarkStart w:id="21" w:name="_Toc20823278"/>
      <w:r/>
      <w:bookmarkStart w:id="22" w:name="_Toc513029206"/>
      <w:r>
        <w:rPr>
          <w:rFonts w:hint="eastAsia" w:ascii="方正楷体_GBK" w:hAnsi="方正楷体_GBK" w:eastAsia="方正楷体_GBK" w:cs="方正楷体_GBK"/>
          <w:b/>
          <w:bCs/>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sz w:val="24"/>
          <w:szCs w:val="21"/>
        </w:rPr>
        <w:t xml:space="preserve">3.1 </w:t>
      </w:r>
      <w:r>
        <w:rPr>
          <w:rFonts w:hint="eastAsia" w:ascii="宋体" w:hAnsi="宋体"/>
          <w:sz w:val="24"/>
          <w:szCs w:val="24"/>
        </w:rPr>
        <w:t xml:space="preserve">本次</w:t>
      </w:r>
      <w:r>
        <w:rPr>
          <w:rFonts w:hint="eastAsia" w:ascii="宋体" w:hAnsi="宋体"/>
          <w:sz w:val="24"/>
          <w:szCs w:val="24"/>
          <w:lang w:val="en-US" w:eastAsia="zh-CN"/>
        </w:rPr>
        <w:t xml:space="preserve">采购</w:t>
      </w:r>
      <w:r>
        <w:rPr>
          <w:rFonts w:hint="eastAsia" w:ascii="宋体" w:hAnsi="宋体"/>
          <w:sz w:val="24"/>
          <w:szCs w:val="24"/>
        </w:rPr>
        <w:t xml:space="preserve">及由此</w:t>
      </w:r>
      <w:r>
        <w:rPr>
          <w:rFonts w:hint="eastAsia" w:ascii="宋体" w:hAnsi="宋体" w:eastAsia="宋体" w:cs="Times New Roman"/>
          <w:color w:val="000000"/>
          <w:sz w:val="24"/>
          <w:szCs w:val="21"/>
        </w:rPr>
        <w:t xml:space="preserve">产生的合同受中华人民共和国有关的法律法规制约和保护。</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3" w:name="_Toc462564067"/>
      <w:r/>
      <w:bookmarkStart w:id="24" w:name="_Toc513029207"/>
      <w:r/>
      <w:bookmarkStart w:id="25" w:name="_Toc16938523"/>
      <w:r/>
      <w:bookmarkStart w:id="26" w:name="_Toc20823279"/>
      <w:r>
        <w:rPr>
          <w:rFonts w:hint="eastAsia" w:ascii="方正楷体_GBK" w:hAnsi="方正楷体_GBK" w:eastAsia="方正楷体_GBK" w:cs="方正楷体_GBK"/>
          <w:b/>
          <w:bCs/>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本项目招标代理费由中标人支付。招标代理根据计价格</w:t>
      </w:r>
      <w:r>
        <w:rPr>
          <w:rFonts w:hint="eastAsia" w:ascii="宋体" w:hAnsi="宋体" w:eastAsia="宋体" w:cs="宋体"/>
          <w:color w:val="000000"/>
          <w:sz w:val="24"/>
          <w:szCs w:val="21"/>
        </w:rPr>
        <w:t xml:space="preserve">〔</w:t>
      </w:r>
      <w:r>
        <w:rPr>
          <w:rFonts w:hint="eastAsia" w:ascii="宋体" w:hAnsi="宋体" w:eastAsia="宋体" w:cs="Times New Roman"/>
          <w:color w:val="000000"/>
          <w:sz w:val="24"/>
          <w:szCs w:val="21"/>
        </w:rPr>
        <w:t xml:space="preserve">2002</w:t>
      </w:r>
      <w:r>
        <w:rPr>
          <w:rFonts w:hint="eastAsia" w:ascii="宋体" w:hAnsi="宋体" w:eastAsia="宋体" w:cs="宋体"/>
          <w:color w:val="000000"/>
          <w:sz w:val="24"/>
          <w:szCs w:val="21"/>
        </w:rPr>
        <w:t xml:space="preserve">〕</w:t>
      </w:r>
      <w:r>
        <w:rPr>
          <w:rFonts w:hint="eastAsia" w:ascii="宋体" w:hAnsi="宋体" w:eastAsia="宋体" w:cs="Times New Roman"/>
          <w:color w:val="000000"/>
          <w:sz w:val="24"/>
          <w:szCs w:val="21"/>
        </w:rPr>
        <w:t xml:space="preserve">1980号文件标准</w:t>
      </w:r>
      <w:r>
        <w:rPr>
          <w:rFonts w:hint="eastAsia" w:ascii="宋体" w:hAnsi="宋体" w:eastAsia="宋体" w:cs="Times New Roman"/>
          <w:color w:val="000000"/>
          <w:sz w:val="24"/>
          <w:szCs w:val="21"/>
          <w:lang w:val="en-US" w:eastAsia="zh-CN"/>
        </w:rPr>
        <w:t xml:space="preserve">的</w:t>
      </w:r>
      <w:r>
        <w:rPr>
          <w:rFonts w:hint="eastAsia" w:ascii="宋体" w:hAnsi="宋体" w:eastAsia="宋体" w:cs="Times New Roman"/>
          <w:color w:val="000000"/>
          <w:sz w:val="24"/>
          <w:szCs w:val="21"/>
        </w:rPr>
        <w:t xml:space="preserve">收取服务费，此费用已含在磋商报价中，结算时不予另计。请供应商充分考虑在磋商报价中。专家评审费</w:t>
      </w:r>
      <w:r>
        <w:rPr>
          <w:rFonts w:hint="eastAsia" w:ascii="宋体" w:hAnsi="宋体" w:eastAsia="宋体" w:cs="Times New Roman"/>
          <w:color w:val="000000"/>
          <w:sz w:val="24"/>
          <w:szCs w:val="21"/>
          <w:lang w:val="en-US" w:eastAsia="zh-CN"/>
        </w:rPr>
        <w:t xml:space="preserve">由</w:t>
      </w:r>
      <w:r>
        <w:rPr>
          <w:rFonts w:hint="eastAsia" w:ascii="宋体" w:hAnsi="宋体" w:eastAsia="宋体" w:cs="Times New Roman"/>
          <w:color w:val="000000"/>
          <w:sz w:val="24"/>
          <w:szCs w:val="21"/>
        </w:rPr>
        <w:t xml:space="preserve">招标人支付，按实结算。</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7" w:name="_Toc513029209"/>
      <w:r/>
      <w:bookmarkStart w:id="28" w:name="_Toc16938525"/>
      <w:r/>
      <w:bookmarkStart w:id="29" w:name="_Toc120614215"/>
      <w:r/>
      <w:bookmarkStart w:id="30" w:name="_Toc20823281"/>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1" w:name="_Toc16938526"/>
      <w:r/>
      <w:bookmarkStart w:id="32" w:name="_Toc20823282"/>
      <w:r/>
      <w:bookmarkStart w:id="33" w:name="_Toc513029210"/>
      <w:r>
        <w:rPr>
          <w:rFonts w:hint="eastAsia" w:ascii="方正楷体_GBK" w:hAnsi="方正楷体_GBK" w:eastAsia="方正楷体_GBK" w:cs="方正楷体_GBK"/>
          <w:b/>
          <w:bCs/>
          <w:sz w:val="28"/>
          <w:szCs w:val="28"/>
          <w:lang w:val="en-US" w:eastAsia="zh-CN"/>
        </w:rPr>
        <w:t xml:space="preserve">6.磋商文件构成</w:t>
      </w:r>
      <w:bookmarkEnd w:id="31"/>
      <w:r/>
      <w:bookmarkEnd w:id="32"/>
      <w:r/>
      <w:bookmarkEnd w:id="33"/>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4" w:name="_Toc513029211"/>
      <w:r/>
      <w:bookmarkStart w:id="35" w:name="_Toc462564070"/>
      <w:r/>
      <w:bookmarkStart w:id="36" w:name="_Toc20823283"/>
      <w:r/>
      <w:bookmarkStart w:id="37" w:name="_Toc16938527"/>
      <w:r>
        <w:rPr>
          <w:rFonts w:hint="eastAsia" w:ascii="方正楷体_GBK" w:hAnsi="方正楷体_GBK" w:eastAsia="方正楷体_GBK" w:cs="方正楷体_GBK"/>
          <w:b/>
          <w:bCs/>
          <w:sz w:val="28"/>
          <w:szCs w:val="28"/>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8" w:name="_Toc16938528"/>
      <w:r/>
      <w:bookmarkStart w:id="39" w:name="_Toc462564071"/>
      <w:r/>
      <w:bookmarkStart w:id="40" w:name="_Toc20823284"/>
      <w:r/>
      <w:bookmarkStart w:id="41" w:name="_Toc513029212"/>
      <w:r>
        <w:rPr>
          <w:rFonts w:hint="eastAsia" w:ascii="方正楷体_GBK" w:hAnsi="方正楷体_GBK" w:eastAsia="方正楷体_GBK" w:cs="方正楷体_GBK"/>
          <w:b/>
          <w:bCs/>
          <w:sz w:val="28"/>
          <w:szCs w:val="28"/>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2" w:name="_Toc16938529"/>
      <w:r/>
      <w:bookmarkStart w:id="43" w:name="_Toc20823285"/>
      <w:r/>
      <w:bookmarkStart w:id="44" w:name="_Toc120614216"/>
      <w:r/>
      <w:bookmarkStart w:id="45" w:name="_Toc513029213"/>
      <w:r/>
      <w:bookmarkStart w:id="46" w:name="_Toc462564072"/>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7" w:name="_Toc16938530"/>
      <w:r/>
      <w:bookmarkStart w:id="48" w:name="_Toc20823286"/>
      <w:r/>
      <w:bookmarkStart w:id="49" w:name="_Toc513029214"/>
      <w:r/>
      <w:bookmarkStart w:id="50"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1" w:name="_Toc16938531"/>
      <w:r/>
      <w:bookmarkStart w:id="52" w:name="_Toc462564074"/>
      <w:r/>
      <w:bookmarkStart w:id="53" w:name="_Toc20823287"/>
      <w:r/>
      <w:bookmarkStart w:id="54" w:name="_Toc513029215"/>
      <w:r>
        <w:rPr>
          <w:rFonts w:hint="eastAsia" w:ascii="方正楷体_GBK" w:hAnsi="方正楷体_GBK" w:eastAsia="方正楷体_GBK" w:cs="方正楷体_GBK"/>
          <w:b/>
          <w:bCs/>
          <w:sz w:val="28"/>
          <w:szCs w:val="28"/>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5" w:name="_Hlt26668975"/>
      <w:r/>
      <w:bookmarkEnd w:id="55"/>
      <w:r/>
      <w:bookmarkStart w:id="56" w:name="_Hlt26954838"/>
      <w:r/>
      <w:bookmarkEnd w:id="56"/>
      <w:r/>
      <w:bookmarkStart w:id="57" w:name="_Hlt26670360"/>
      <w:r/>
      <w:bookmarkEnd w:id="57"/>
      <w:r/>
      <w:bookmarkStart w:id="58" w:name="_Toc49090509"/>
      <w:r/>
      <w:bookmarkStart w:id="59" w:name="_Toc14577357"/>
      <w:r/>
      <w:bookmarkStart w:id="60" w:name="_Toc513029216"/>
      <w:r/>
      <w:bookmarkStart w:id="61" w:name="_Toc49090507"/>
      <w:r/>
      <w:bookmarkStart w:id="62" w:name="_Toc14577354"/>
      <w:r/>
      <w:bookmarkStart w:id="63" w:name="_Toc14577355"/>
      <w:r/>
      <w:bookmarkStart w:id="64" w:name="_Toc49090508"/>
      <w:r/>
      <w:bookmarkStart w:id="65" w:name="_Toc513029219"/>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58"/>
      <w:r/>
      <w:bookmarkEnd w:id="59"/>
      <w:r/>
      <w:bookmarkEnd w:id="65"/>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60"/>
      <w:r/>
      <w:bookmarkEnd w:id="61"/>
      <w:r/>
      <w:bookmarkEnd w:id="62"/>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3"/>
      <w:r/>
      <w:bookmarkEnd w:id="64"/>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6" w:name="_Hlt26954846"/>
      <w:r/>
      <w:bookmarkEnd w:id="66"/>
      <w:r/>
      <w:bookmarkStart w:id="67" w:name="_Hlt26954731"/>
      <w:r/>
      <w:bookmarkEnd w:id="67"/>
      <w:r/>
      <w:bookmarkStart w:id="68" w:name="_Hlt26954848"/>
      <w:r/>
      <w:bookmarkEnd w:id="68"/>
      <w:r/>
      <w:bookmarkStart w:id="69" w:name="_Hlt26670482"/>
      <w:r/>
      <w:bookmarkEnd w:id="69"/>
      <w:r/>
      <w:bookmarkStart w:id="70" w:name="_Hlt26670486"/>
      <w:r/>
      <w:bookmarkEnd w:id="70"/>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1" w:name="_Toc14577359"/>
      <w:r/>
      <w:bookmarkStart w:id="72" w:name="_Toc49090510"/>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71"/>
      <w:r/>
      <w:bookmarkEnd w:id="72"/>
      <w:r/>
      <w:bookmarkStart w:id="73" w:name="_Toc14577360"/>
      <w:r/>
      <w:bookmarkStart w:id="74" w:name="_Toc49090511"/>
      <w:r>
        <w:rPr>
          <w:rFonts w:hint="eastAsia" w:ascii="方正楷体_GBK" w:hAnsi="方正楷体_GBK" w:eastAsia="方正楷体_GBK" w:cs="方正楷体_GBK"/>
          <w:b/>
          <w:bCs/>
          <w:sz w:val="28"/>
          <w:szCs w:val="28"/>
          <w:lang w:val="en-US" w:eastAsia="zh-CN"/>
        </w:rPr>
        <w:t xml:space="preserve">15.磋商有效期</w:t>
      </w:r>
      <w:bookmarkEnd w:id="73"/>
      <w:r/>
      <w:bookmarkEnd w:id="74"/>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20823296"/>
      <w:r/>
      <w:bookmarkStart w:id="76" w:name="_Hlt26954852"/>
      <w:r/>
      <w:bookmarkEnd w:id="76"/>
      <w:r/>
      <w:bookmarkStart w:id="77" w:name="_Hlt26954739"/>
      <w:r/>
      <w:bookmarkEnd w:id="77"/>
      <w:r/>
      <w:bookmarkStart w:id="78" w:name="_Toc16938540"/>
      <w:r/>
      <w:bookmarkStart w:id="79" w:name="_Toc120614217"/>
      <w:r/>
      <w:bookmarkStart w:id="80" w:name="_Toc513029224"/>
      <w:r>
        <w:rPr>
          <w:rFonts w:hint="eastAsia" w:ascii="方正黑体_GBK" w:hAnsi="方正黑体_GBK" w:eastAsia="方正黑体_GBK" w:cs="方正黑体_GBK"/>
          <w:b w:val="0"/>
          <w:bCs w:val="0"/>
          <w:color w:val="000000"/>
          <w:sz w:val="30"/>
          <w:szCs w:val="30"/>
        </w:rPr>
        <w:t xml:space="preserve">四、响应文件的递交</w:t>
      </w:r>
      <w:bookmarkEnd w:id="75"/>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462564084"/>
      <w:r/>
      <w:bookmarkStart w:id="82" w:name="_Toc16938541"/>
      <w:r/>
      <w:bookmarkStart w:id="83" w:name="_Toc513029225"/>
      <w:r/>
      <w:bookmarkStart w:id="84" w:name="_Toc20823297"/>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5" w:name="_Toc513029226"/>
      <w:r/>
      <w:bookmarkStart w:id="86" w:name="_Toc20823298"/>
      <w:r/>
      <w:bookmarkStart w:id="87" w:name="_Toc16938542"/>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85"/>
      <w:r/>
      <w:bookmarkEnd w:id="86"/>
      <w:r/>
      <w:bookmarkEnd w:id="87"/>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8" w:name="_Toc513029227"/>
      <w:r/>
      <w:bookmarkStart w:id="89" w:name="_Toc20823299"/>
      <w:r/>
      <w:bookmarkStart w:id="90" w:name="_Toc16938543"/>
      <w:r>
        <w:rPr>
          <w:rFonts w:hint="eastAsia" w:ascii="方正楷体_GBK" w:hAnsi="方正楷体_GBK" w:eastAsia="方正楷体_GBK" w:cs="方正楷体_GBK"/>
          <w:b/>
          <w:bCs/>
          <w:sz w:val="28"/>
          <w:szCs w:val="28"/>
          <w:lang w:val="en-US" w:eastAsia="zh-CN"/>
        </w:rPr>
        <w:t xml:space="preserve">18.响应文件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1" w:name="_Toc20823300"/>
      <w:r/>
      <w:bookmarkStart w:id="92" w:name="_Toc513029228"/>
      <w:r/>
      <w:bookmarkStart w:id="93" w:name="_Toc16938544"/>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4" w:name="_Toc16938545"/>
      <w:r/>
      <w:bookmarkStart w:id="95" w:name="_Toc20823301"/>
      <w:r/>
      <w:bookmarkStart w:id="96" w:name="_Toc513029229"/>
      <w:r/>
      <w:bookmarkStart w:id="97"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20823302"/>
      <w:r/>
      <w:bookmarkStart w:id="99" w:name="_Toc16938546"/>
      <w:r/>
      <w:bookmarkStart w:id="100" w:name="_Toc513029230"/>
      <w:r>
        <w:rPr>
          <w:rFonts w:hint="eastAsia" w:ascii="方正楷体_GBK" w:hAnsi="方正楷体_GBK" w:eastAsia="方正楷体_GBK" w:cs="方正楷体_GBK"/>
          <w:b/>
          <w:bCs/>
          <w:sz w:val="28"/>
          <w:szCs w:val="28"/>
          <w:lang w:val="en-US" w:eastAsia="zh-CN"/>
        </w:rPr>
        <w:t xml:space="preserve">2</w:t>
      </w:r>
      <w:bookmarkEnd w:id="98"/>
      <w:r/>
      <w:bookmarkEnd w:id="99"/>
      <w:r/>
      <w:bookmarkEnd w:id="100"/>
      <w:r>
        <w:rPr>
          <w:rFonts w:hint="eastAsia" w:ascii="方正楷体_GBK" w:hAnsi="方正楷体_GBK" w:eastAsia="方正楷体_GBK" w:cs="方正楷体_GBK"/>
          <w:b/>
          <w:bCs/>
          <w:sz w:val="28"/>
          <w:szCs w:val="28"/>
          <w:lang w:val="en-US" w:eastAsia="zh-CN"/>
        </w:rPr>
        <w:t xml:space="preserve">0.响应文件解密</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1" w:name="_Toc513029231"/>
      <w:r/>
      <w:bookmarkStart w:id="102" w:name="_Toc20823303"/>
      <w:r/>
      <w:bookmarkStart w:id="103" w:name="_Toc16938547"/>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101"/>
      <w:r/>
      <w:bookmarkEnd w:id="102"/>
      <w:r/>
      <w:bookmarkEnd w:id="103"/>
      <w:r>
        <w:rPr>
          <w:rFonts w:hint="eastAsia" w:ascii="宋体" w:hAnsi="宋体" w:eastAsia="宋体" w:cs="Times New Roman"/>
          <w:color w:val="000000"/>
          <w:sz w:val="24"/>
          <w:szCs w:val="21"/>
          <w:lang w:val="en-US" w:eastAsia="zh-CN"/>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代理机构和磋商小组不向未成交的供应商解释未成交原因，也不公布评审过程中的相关细节。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4" w:name="_Toc20823304"/>
      <w:r/>
      <w:bookmarkStart w:id="105" w:name="_Toc513029232"/>
      <w:r/>
      <w:bookmarkStart w:id="106" w:name="_Toc16938548"/>
      <w:r>
        <w:rPr>
          <w:rFonts w:hint="eastAsia" w:ascii="方正楷体_GBK" w:hAnsi="方正楷体_GBK" w:eastAsia="方正楷体_GBK" w:cs="方正楷体_GBK"/>
          <w:b/>
          <w:bCs/>
          <w:sz w:val="28"/>
          <w:szCs w:val="28"/>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7" w:name="_Toc20823305"/>
      <w:r/>
      <w:bookmarkStart w:id="108" w:name="_Toc513029233"/>
      <w:r/>
      <w:bookmarkStart w:id="109" w:name="_Toc16938549"/>
      <w:r>
        <w:rPr>
          <w:rFonts w:hint="eastAsia" w:ascii="方正楷体_GBK" w:hAnsi="方正楷体_GBK" w:eastAsia="方正楷体_GBK" w:cs="方正楷体_GBK"/>
          <w:b/>
          <w:bCs/>
          <w:sz w:val="28"/>
          <w:szCs w:val="28"/>
          <w:lang w:val="en-US" w:eastAsia="zh-CN"/>
        </w:rPr>
        <w:t xml:space="preserve">24.响应文件的审</w:t>
      </w:r>
      <w:bookmarkEnd w:id="107"/>
      <w:r/>
      <w:bookmarkEnd w:id="108"/>
      <w:r/>
      <w:bookmarkEnd w:id="109"/>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zh-CN" w:eastAsia="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szCs w:val="21"/>
          <w:lang w:val="en-US" w:eastAsia="zh-CN"/>
        </w:rPr>
        <w:t xml:space="preserve">采购人</w:t>
      </w:r>
      <w:r>
        <w:rPr>
          <w:rFonts w:hint="eastAsia" w:ascii="宋体" w:hAnsi="宋体" w:eastAsia="宋体" w:cs="Times New Roman"/>
          <w:color w:val="000000"/>
          <w:sz w:val="24"/>
          <w:szCs w:val="21"/>
          <w:lang w:val="zh-CN" w:eastAsia="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szCs w:val="21"/>
          <w:lang w:val="en-US" w:eastAsia="zh-CN"/>
        </w:rPr>
        <w:t xml:space="preserve">由</w:t>
      </w:r>
      <w:r>
        <w:rPr>
          <w:rFonts w:hint="eastAsia" w:ascii="宋体" w:hAnsi="宋体" w:eastAsia="宋体" w:cs="Times New Roman"/>
          <w:color w:val="000000"/>
          <w:sz w:val="24"/>
          <w:szCs w:val="21"/>
          <w:lang w:val="zh-CN" w:eastAsia="zh-CN"/>
        </w:rPr>
        <w:t xml:space="preserve">磋商小组</w:t>
      </w:r>
      <w:r>
        <w:rPr>
          <w:rFonts w:hint="eastAsia" w:ascii="宋体" w:hAnsi="宋体" w:eastAsia="宋体" w:cs="Times New Roman"/>
          <w:color w:val="000000"/>
          <w:sz w:val="24"/>
          <w:szCs w:val="21"/>
          <w:lang w:val="en-US" w:eastAsia="zh-CN"/>
        </w:rPr>
        <w:t xml:space="preserve">按照</w:t>
      </w:r>
      <w:r>
        <w:rPr>
          <w:rFonts w:hint="eastAsia" w:ascii="宋体" w:hAnsi="宋体" w:eastAsia="宋体" w:cs="Times New Roman"/>
          <w:color w:val="000000"/>
          <w:sz w:val="24"/>
          <w:szCs w:val="21"/>
          <w:lang w:val="zh-CN" w:eastAsia="zh-CN"/>
        </w:rPr>
        <w:t xml:space="preserve">少数服从多数的原则作出结论。</w:t>
      </w:r>
      <w:r>
        <w:rPr>
          <w:rFonts w:hint="eastAsia" w:ascii="宋体" w:hAnsi="宋体" w:eastAsia="宋体" w:cs="Times New Roman"/>
          <w:color w:val="000000"/>
          <w:sz w:val="24"/>
          <w:szCs w:val="21"/>
          <w:lang w:val="en-US" w:eastAsia="zh-CN"/>
        </w:rPr>
        <w:t xml:space="preserve">磋商小组认</w:t>
      </w:r>
      <w:r>
        <w:rPr>
          <w:rFonts w:hint="eastAsia" w:ascii="宋体" w:hAnsi="宋体" w:eastAsia="宋体" w:cs="Times New Roman"/>
          <w:color w:val="000000"/>
          <w:sz w:val="24"/>
          <w:szCs w:val="21"/>
          <w:lang w:val="zh-CN" w:eastAsia="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24.</w:t>
      </w:r>
      <w:r>
        <w:rPr>
          <w:rFonts w:hint="eastAsia" w:ascii="宋体" w:hAnsi="宋体" w:eastAsia="宋体" w:cs="Times New Roman"/>
          <w:color w:val="0000ff"/>
          <w:sz w:val="24"/>
          <w:szCs w:val="21"/>
          <w:lang w:val="en-US" w:eastAsia="zh-CN"/>
        </w:rPr>
        <w:t xml:space="preserve">3 </w:t>
      </w:r>
      <w:r>
        <w:rPr>
          <w:rFonts w:hint="eastAsia" w:ascii="宋体" w:hAnsi="宋体" w:eastAsia="宋体" w:cs="Times New Roman"/>
          <w:color w:val="0000ff"/>
          <w:sz w:val="24"/>
          <w:szCs w:val="21"/>
          <w:lang w:val="zh-CN" w:eastAsia="zh-CN"/>
        </w:rPr>
        <w:t xml:space="preserve">异常低价投标审查</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4</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3</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1</w:t>
      </w:r>
      <w:r>
        <w:rPr>
          <w:rFonts w:hint="eastAsia" w:ascii="宋体" w:hAnsi="宋体" w:eastAsia="宋体" w:cs="Times New Roman"/>
          <w:color w:val="0000ff"/>
          <w:sz w:val="24"/>
          <w:szCs w:val="21"/>
          <w:lang w:val="zh-CN" w:eastAsia="zh-CN"/>
        </w:rPr>
        <w:t xml:space="preserve">评</w:t>
      </w:r>
      <w:r>
        <w:rPr>
          <w:rFonts w:hint="eastAsia" w:ascii="宋体" w:hAnsi="宋体" w:eastAsia="宋体" w:cs="Times New Roman"/>
          <w:color w:val="0000ff"/>
          <w:sz w:val="24"/>
          <w:szCs w:val="21"/>
          <w:lang w:val="en-US" w:eastAsia="zh-CN"/>
        </w:rPr>
        <w:t xml:space="preserve">审</w:t>
      </w:r>
      <w:r>
        <w:rPr>
          <w:rFonts w:hint="eastAsia" w:ascii="宋体" w:hAnsi="宋体" w:eastAsia="宋体" w:cs="Times New Roman"/>
          <w:color w:val="0000ff"/>
          <w:sz w:val="24"/>
          <w:szCs w:val="21"/>
          <w:lang w:val="zh-CN" w:eastAsia="zh-CN"/>
        </w:rPr>
        <w:t xml:space="preserve">过程中出现下列情形之一的，</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应当启动异常低价投标审查程序：</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（1）</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低于全部通过符合性审查供应商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平均值</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&lt;全部通过符合性审查供应商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平均值×</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低于通过符合性审查的次低报价供应商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&lt;通过符合性审查的次低报价供应商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（3）</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低于采购项目最高限价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&lt;采购项目最高限价×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（4）</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基于专业判断，认为供应商</w:t>
      </w:r>
      <w:r>
        <w:rPr>
          <w:rFonts w:hint="eastAsia" w:ascii="宋体" w:hAnsi="宋体" w:eastAsia="宋体" w:cs="Times New Roman"/>
          <w:color w:val="0000ff"/>
          <w:sz w:val="24"/>
          <w:szCs w:val="21"/>
          <w:lang w:val="en-US" w:eastAsia="zh-CN"/>
        </w:rPr>
        <w:t xml:space="preserve">最后</w:t>
      </w:r>
      <w:r>
        <w:rPr>
          <w:rFonts w:hint="eastAsia" w:ascii="宋体" w:hAnsi="宋体" w:eastAsia="宋体" w:cs="Times New Roman"/>
          <w:color w:val="0000ff"/>
          <w:sz w:val="24"/>
          <w:szCs w:val="21"/>
          <w:lang w:val="zh-CN" w:eastAsia="zh-CN"/>
        </w:rPr>
        <w:t xml:space="preserve">报价过低，有可能影响产品质量或者不能诚信履约的其他情形。</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4</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3</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2磋商小组</w:t>
      </w:r>
      <w:r>
        <w:rPr>
          <w:rFonts w:hint="eastAsia" w:ascii="宋体" w:hAnsi="宋体" w:eastAsia="宋体" w:cs="Times New Roman"/>
          <w:color w:val="0000ff"/>
          <w:sz w:val="24"/>
          <w:szCs w:val="21"/>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eastAsia="宋体" w:cs="Times New Roman"/>
          <w:color w:val="0000ff"/>
          <w:sz w:val="24"/>
          <w:szCs w:val="21"/>
          <w:lang w:val="zh-CN" w:eastAsia="zh-CN"/>
        </w:rPr>
        <w:t xml:space="preserve">供应商已随</w:t>
      </w:r>
      <w:r>
        <w:rPr>
          <w:rFonts w:hint="eastAsia" w:ascii="宋体" w:hAnsi="宋体" w:eastAsia="宋体" w:cs="Times New Roman"/>
          <w:color w:val="0000ff"/>
          <w:sz w:val="24"/>
          <w:szCs w:val="21"/>
          <w:lang w:val="en-US" w:eastAsia="zh-CN"/>
        </w:rPr>
        <w:t xml:space="preserve">响应</w:t>
      </w:r>
      <w:r>
        <w:rPr>
          <w:rFonts w:hint="eastAsia" w:ascii="宋体" w:hAnsi="宋体" w:eastAsia="宋体" w:cs="Times New Roman"/>
          <w:color w:val="0000ff"/>
          <w:sz w:val="24"/>
          <w:szCs w:val="21"/>
          <w:lang w:val="zh-CN" w:eastAsia="zh-CN"/>
        </w:rPr>
        <w:t xml:space="preserve">文件一并提交相关书面说明及必要的证明材料的，在评</w:t>
      </w:r>
      <w:r>
        <w:rPr>
          <w:rFonts w:hint="eastAsia" w:ascii="宋体" w:hAnsi="宋体" w:eastAsia="宋体" w:cs="Times New Roman"/>
          <w:color w:val="0000ff"/>
          <w:sz w:val="24"/>
          <w:szCs w:val="21"/>
          <w:lang w:val="en-US" w:eastAsia="zh-CN"/>
        </w:rPr>
        <w:t xml:space="preserve">审</w:t>
      </w:r>
      <w:r>
        <w:rPr>
          <w:rFonts w:hint="eastAsia" w:ascii="宋体" w:hAnsi="宋体" w:eastAsia="宋体" w:cs="Times New Roman"/>
          <w:color w:val="0000ff"/>
          <w:sz w:val="24"/>
          <w:szCs w:val="21"/>
          <w:lang w:val="zh-CN" w:eastAsia="zh-CN"/>
        </w:rPr>
        <w:t xml:space="preserve">现场可不再重复提交</w:t>
      </w:r>
      <w:bookmarkEnd w:id="110"/>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依据专业经验，参考同类项目</w:t>
      </w:r>
      <w:r>
        <w:rPr>
          <w:rFonts w:hint="eastAsia" w:ascii="宋体" w:hAnsi="宋体" w:eastAsia="宋体" w:cs="Times New Roman"/>
          <w:color w:val="0000ff"/>
          <w:sz w:val="24"/>
          <w:szCs w:val="21"/>
          <w:lang w:val="en-US" w:eastAsia="zh-CN"/>
        </w:rPr>
        <w:t xml:space="preserve">成交</w:t>
      </w:r>
      <w:r>
        <w:rPr>
          <w:rFonts w:hint="eastAsia" w:ascii="宋体" w:hAnsi="宋体" w:eastAsia="宋体" w:cs="Times New Roman"/>
          <w:color w:val="0000ff"/>
          <w:sz w:val="24"/>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应当将其作为</w:t>
      </w:r>
      <w:r>
        <w:rPr>
          <w:rFonts w:hint="eastAsia" w:ascii="宋体" w:hAnsi="宋体" w:eastAsia="宋体" w:cs="Times New Roman"/>
          <w:color w:val="0000ff"/>
          <w:sz w:val="24"/>
          <w:szCs w:val="21"/>
          <w:lang w:val="en-US" w:eastAsia="zh-CN"/>
        </w:rPr>
        <w:t xml:space="preserve">未实质性响应磋商文件</w:t>
      </w:r>
      <w:r>
        <w:rPr>
          <w:rFonts w:hint="eastAsia" w:ascii="宋体" w:hAnsi="宋体" w:eastAsia="宋体" w:cs="Times New Roman"/>
          <w:color w:val="0000ff"/>
          <w:sz w:val="24"/>
          <w:szCs w:val="21"/>
          <w:lang w:val="zh-CN" w:eastAsia="zh-CN"/>
        </w:rPr>
        <w:t xml:space="preserve">处理。</w:t>
      </w:r>
      <w:r>
        <w:rPr>
          <w:rFonts w:hint="eastAsia" w:ascii="宋体" w:hAnsi="宋体" w:eastAsia="宋体" w:cs="Times New Roman"/>
          <w:color w:val="0000ff"/>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lang w:val="en-US" w:eastAsia="zh-CN"/>
        </w:rPr>
      </w:pPr>
      <w:r/>
      <w:bookmarkStart w:id="111" w:name="_Toc513029234"/>
      <w:r/>
      <w:bookmarkStart w:id="112" w:name="_Toc20823306"/>
      <w:r/>
      <w:bookmarkStart w:id="113" w:name="_Toc16938550"/>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及磋商小组联系。</w:t>
      </w:r>
      <w:r>
        <w:rPr>
          <w:rFonts w:hint="eastAsia"/>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1"/>
      <w:r/>
      <w:bookmarkEnd w:id="112"/>
      <w:r/>
      <w:bookmarkEnd w:id="113"/>
      <w:r>
        <w:rPr>
          <w:rFonts w:hint="eastAsia" w:ascii="方正楷体_GBK" w:hAnsi="方正楷体_GBK" w:eastAsia="方正楷体_GBK" w:cs="方正楷体_GBK"/>
          <w:b/>
          <w:bCs/>
          <w:sz w:val="28"/>
          <w:szCs w:val="28"/>
          <w:lang w:val="en-US" w:eastAsia="zh-CN"/>
        </w:rPr>
        <w:t xml:space="preserve">5.磋商程序及评审方法与评审标准</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4" w:name="_Toc20823307"/>
      <w:r/>
      <w:bookmarkStart w:id="115" w:name="_Toc120614219"/>
      <w:r/>
      <w:bookmarkStart w:id="116" w:name="_Toc16938551"/>
      <w:r/>
      <w:bookmarkStart w:id="117" w:name="_Toc513029235"/>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lang w:val="en-US" w:eastAsia="zh-CN"/>
        </w:rPr>
        <w:t xml:space="preserve">（财库〔2014〕214号）</w:t>
      </w:r>
      <w:r>
        <w:rPr>
          <w:rFonts w:hint="eastAsia" w:ascii="宋体" w:hAnsi="宋体" w:eastAsia="宋体" w:cs="Times New Roman"/>
          <w:color w:val="000000"/>
          <w:sz w:val="24"/>
          <w:szCs w:val="21"/>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92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929"/>
        <w:ind w:firstLine="422"/>
        <w:keepLines w:val="0"/>
        <w:keepNext w:val="0"/>
        <w:pageBreakBefore w:val="0"/>
        <w:spacing w:line="240" w:lineRule="auto"/>
        <w:widowControl w:val="off"/>
        <w:rPr>
          <w:rFonts w:hint="eastAsia"/>
          <w:lang w:val="zh-CN" w:eastAsia="zh-CN"/>
        </w:rPr>
      </w:pPr>
      <w:r>
        <w:rPr>
          <w:rFonts w:hint="eastAsia" w:ascii="宋体" w:hAnsi="宋体" w:eastAsia="宋体" w:cs="Times New Roman"/>
          <w:b/>
          <w:bCs/>
          <w:color w:val="000000"/>
          <w:sz w:val="24"/>
          <w:szCs w:val="21"/>
          <w:lang w:val="zh-CN" w:eastAsia="zh-CN"/>
        </w:rPr>
        <w:t xml:space="preserve">25.4 如出现25.</w:t>
      </w:r>
      <w:r>
        <w:rPr>
          <w:rFonts w:hint="eastAsia" w:ascii="宋体" w:hAnsi="宋体" w:eastAsia="宋体" w:cs="Times New Roman"/>
          <w:b/>
          <w:bCs/>
          <w:color w:val="000000"/>
          <w:sz w:val="24"/>
          <w:szCs w:val="21"/>
          <w:lang w:val="en-US" w:eastAsia="zh-CN"/>
        </w:rPr>
        <w:t xml:space="preserve">3</w:t>
      </w:r>
      <w:r>
        <w:rPr>
          <w:rFonts w:hint="eastAsia" w:ascii="宋体" w:hAnsi="宋体" w:eastAsia="宋体" w:cs="Times New Roman"/>
          <w:b/>
          <w:bCs/>
          <w:color w:val="000000"/>
          <w:sz w:val="24"/>
          <w:szCs w:val="21"/>
          <w:lang w:val="zh-CN" w:eastAsia="zh-CN"/>
        </w:rPr>
        <w:t xml:space="preserve">.</w:t>
      </w:r>
      <w:r>
        <w:rPr>
          <w:rFonts w:hint="eastAsia" w:ascii="宋体" w:hAnsi="宋体" w:eastAsia="宋体" w:cs="Times New Roman"/>
          <w:b/>
          <w:bCs/>
          <w:color w:val="000000"/>
          <w:sz w:val="24"/>
          <w:szCs w:val="21"/>
          <w:lang w:val="en-US" w:eastAsia="zh-CN"/>
        </w:rPr>
        <w:t xml:space="preserve">3</w:t>
      </w:r>
      <w:r>
        <w:rPr>
          <w:rFonts w:hint="eastAsia" w:ascii="宋体" w:hAnsi="宋体" w:eastAsia="宋体" w:cs="Times New Roman"/>
          <w:b/>
          <w:bCs/>
          <w:color w:val="000000"/>
          <w:sz w:val="24"/>
          <w:szCs w:val="21"/>
          <w:lang w:val="zh-CN" w:eastAsia="zh-CN"/>
        </w:rPr>
        <w:t xml:space="preserve">或25.3</w:t>
      </w:r>
      <w:r>
        <w:rPr>
          <w:rFonts w:hint="eastAsia" w:ascii="宋体" w:hAnsi="宋体" w:eastAsia="宋体" w:cs="Times New Roman"/>
          <w:b/>
          <w:bCs/>
          <w:color w:val="000000"/>
          <w:sz w:val="24"/>
          <w:szCs w:val="21"/>
          <w:lang w:val="en-US" w:eastAsia="zh-CN"/>
        </w:rPr>
        <w:t xml:space="preserve">.4</w:t>
      </w:r>
      <w:r>
        <w:rPr>
          <w:rFonts w:hint="eastAsia" w:ascii="宋体" w:hAnsi="宋体" w:eastAsia="宋体" w:cs="Times New Roman"/>
          <w:b/>
          <w:bCs/>
          <w:color w:val="000000"/>
          <w:sz w:val="24"/>
          <w:szCs w:val="21"/>
          <w:lang w:val="zh-CN" w:eastAsia="zh-CN"/>
        </w:rPr>
        <w:t xml:space="preserve">情形，</w:t>
      </w:r>
      <w:r>
        <w:rPr>
          <w:rFonts w:hint="eastAsia" w:ascii="宋体" w:hAnsi="宋体" w:eastAsia="宋体" w:cs="Times New Roman"/>
          <w:b/>
          <w:bCs/>
          <w:color w:val="000000"/>
          <w:sz w:val="24"/>
          <w:szCs w:val="21"/>
          <w:lang w:val="en-US" w:eastAsia="zh-CN"/>
        </w:rPr>
        <w:t xml:space="preserve">采购</w:t>
      </w:r>
      <w:r>
        <w:rPr>
          <w:rFonts w:hint="eastAsia" w:ascii="宋体" w:hAnsi="宋体" w:eastAsia="宋体" w:cs="Times New Roman"/>
          <w:b/>
          <w:bCs/>
          <w:color w:val="000000"/>
          <w:sz w:val="24"/>
          <w:szCs w:val="21"/>
          <w:lang w:val="zh-CN" w:eastAsia="zh-CN"/>
        </w:rPr>
        <w:t xml:space="preserve">活动失败，</w:t>
      </w:r>
      <w:r>
        <w:rPr>
          <w:rFonts w:hint="eastAsia" w:ascii="宋体" w:hAnsi="宋体" w:eastAsia="宋体" w:cs="Times New Roman"/>
          <w:b/>
          <w:bCs/>
          <w:color w:val="000000"/>
          <w:sz w:val="24"/>
          <w:szCs w:val="21"/>
          <w:lang w:val="en-US" w:eastAsia="zh-CN"/>
        </w:rPr>
        <w:t xml:space="preserve">磋商小组应对磋商</w:t>
      </w:r>
      <w:r>
        <w:rPr>
          <w:rFonts w:hint="eastAsia" w:ascii="宋体" w:hAnsi="宋体" w:eastAsia="宋体" w:cs="Times New Roman"/>
          <w:b/>
          <w:bCs/>
          <w:color w:val="000000"/>
          <w:sz w:val="24"/>
          <w:szCs w:val="21"/>
          <w:lang w:val="zh-CN" w:eastAsia="zh-CN"/>
        </w:rPr>
        <w:t xml:space="preserve">文件是否存在不合理条款</w:t>
      </w:r>
      <w:r>
        <w:rPr>
          <w:rFonts w:hint="eastAsia" w:ascii="宋体" w:hAnsi="宋体" w:eastAsia="宋体" w:cs="Times New Roman"/>
          <w:b/>
          <w:bCs/>
          <w:color w:val="000000"/>
          <w:sz w:val="24"/>
          <w:szCs w:val="21"/>
          <w:lang w:val="en-US" w:eastAsia="zh-CN"/>
        </w:rPr>
        <w:t xml:space="preserve">进行论证，并在评审报告中写明</w:t>
      </w:r>
      <w:r>
        <w:rPr>
          <w:rFonts w:hint="eastAsia" w:ascii="宋体" w:hAnsi="宋体" w:eastAsia="宋体" w:cs="Times New Roman"/>
          <w:b/>
          <w:bCs/>
          <w:color w:val="000000"/>
          <w:sz w:val="24"/>
          <w:szCs w:val="21"/>
          <w:lang w:val="zh-CN" w:eastAsia="zh-CN"/>
        </w:rPr>
        <w:t xml:space="preserve">论证意见。</w:t>
      </w:r>
      <w:r>
        <w:rPr>
          <w:rFonts w:hint="eastAsia"/>
          <w:lang w:val="zh-CN" w:eastAsia="zh-CN"/>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8" w:name="_Toc20823310"/>
      <w:r/>
      <w:bookmarkStart w:id="119" w:name="_Toc513029238"/>
      <w:r/>
      <w:bookmarkStart w:id="120" w:name="_Toc16938554"/>
      <w:r>
        <w:rPr>
          <w:rFonts w:hint="eastAsia" w:ascii="方正楷体_GBK" w:hAnsi="方正楷体_GBK" w:eastAsia="方正楷体_GBK" w:cs="方正楷体_GBK"/>
          <w:b/>
          <w:bCs/>
          <w:sz w:val="28"/>
          <w:szCs w:val="28"/>
          <w:lang w:val="en-US" w:eastAsia="zh-CN"/>
        </w:rPr>
        <w:t xml:space="preserve">2</w:t>
      </w:r>
      <w:bookmarkEnd w:id="119"/>
      <w:r>
        <w:rPr>
          <w:rFonts w:hint="eastAsia" w:ascii="方正楷体_GBK" w:hAnsi="方正楷体_GBK" w:eastAsia="方正楷体_GBK" w:cs="方正楷体_GBK"/>
          <w:b/>
          <w:bCs/>
          <w:sz w:val="28"/>
          <w:szCs w:val="28"/>
          <w:lang w:val="en-US" w:eastAsia="zh-CN"/>
        </w:rPr>
        <w:t xml:space="preserve">6.确定</w:t>
      </w:r>
      <w:bookmarkEnd w:id="118"/>
      <w:r/>
      <w:bookmarkEnd w:id="120"/>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的，代理机构自评审结束之日起两个工作日内将评审报告送交采购人，采购人自收到评审报告之日起五个工作日内，在评审报告推荐的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代理机构将在“江苏政府采购网”发布成交结果公告，公告期限为1个工作日。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向评审专家、采购人或代理机构工作人员行贿或者提供其他不正当利益。</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与其他供应商、评审专家、采购人或代理机构工作人员恶意串通。</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1" w:name="_Toc200451960"/>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成交结果确定后，代理机构将向成交供应商发出《成交通知书》。成交供应商可在成交结果公告届满之日起三十日内，登录苏采云系统下载。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93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929"/>
        <w:ind w:firstLine="42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szCs w:val="21"/>
          <w:lang w:val="en-US" w:eastAsia="zh-CN"/>
        </w:rPr>
      </w:r>
      <w:r/>
    </w:p>
    <w:p>
      <w:pPr>
        <w:pStyle w:val="93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21"/>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代理机构</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w:t>
      </w:r>
      <w:r>
        <w:rPr>
          <w:rFonts w:hint="eastAsia" w:ascii="宋体" w:hAnsi="宋体" w:eastAsia="宋体" w:cs="Times New Roman"/>
          <w:b/>
          <w:bCs/>
          <w:color w:val="000000"/>
          <w:sz w:val="24"/>
          <w:lang w:val="zh-CN"/>
        </w:rPr>
        <w:t xml:space="preserve">审</w:t>
      </w:r>
      <w:r>
        <w:rPr>
          <w:rFonts w:hint="eastAsia" w:ascii="宋体" w:hAnsi="宋体" w:eastAsia="宋体" w:cs="Times New Roman"/>
          <w:b/>
          <w:bCs/>
          <w:color w:val="000000"/>
          <w:sz w:val="24"/>
          <w:lang w:val="zh-CN"/>
        </w:rPr>
        <w:t xml:space="preserve">方法与评</w:t>
      </w:r>
      <w:r>
        <w:rPr>
          <w:rFonts w:hint="eastAsia" w:ascii="宋体" w:hAnsi="宋体" w:eastAsia="宋体" w:cs="Times New Roman"/>
          <w:b/>
          <w:bCs/>
          <w:color w:val="000000"/>
          <w:sz w:val="24"/>
          <w:lang w:val="zh-CN"/>
        </w:rPr>
        <w:t xml:space="preserve">审</w:t>
      </w:r>
      <w:r>
        <w:rPr>
          <w:rFonts w:hint="eastAsia" w:ascii="宋体" w:hAnsi="宋体" w:eastAsia="宋体" w:cs="Times New Roman"/>
          <w:b/>
          <w:bCs/>
          <w:color w:val="000000"/>
          <w:sz w:val="24"/>
          <w:lang w:val="zh-CN"/>
        </w:rPr>
        <w:t xml:space="preserve">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929"/>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929"/>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由采购人负责答复的质疑，采购人将《质疑答复函》抄送代理机构。</w:t>
      </w:r>
      <w:r>
        <w:rPr>
          <w:rFonts w:hint="eastAsia" w:ascii="宋体" w:hAnsi="宋体" w:eastAsia="宋体" w:cs="Times New Roman"/>
          <w:b/>
          <w:bCs/>
          <w:color w:val="000000"/>
          <w:sz w:val="24"/>
          <w:szCs w:val="22"/>
          <w:lang w:val="zh-CN" w:eastAsia="zh-CN" w:bidi="ar-SA"/>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代理机构或采购人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3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8</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92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2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2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eastAsia="宋体" w:cs="Times New Roman"/>
          <w:color w:val="000000"/>
          <w:sz w:val="24"/>
          <w:lang w:val="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Times New Roman"/>
          <w:color w:val="000000"/>
          <w:sz w:val="24"/>
          <w:lang w:val="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42.1 本</w:t>
      </w:r>
      <w:r>
        <w:rPr>
          <w:rFonts w:hint="eastAsia" w:ascii="宋体" w:hAnsi="宋体" w:eastAsia="宋体" w:cs="Times New Roman"/>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43.2本国产品应当符合以下条件：</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（1）在中国境内生产</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（2）在中国境内生产的组件成本占比达到规定比例</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（3）特定产品的关键组件、关键工序符合相关要求</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43.3本国产品标准的适用范围</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43.4对本国产品的支持政策</w:t>
      </w:r>
      <w:r>
        <w:rPr>
          <w:rFonts w:hint="eastAsia" w:ascii="宋体" w:hAnsi="宋体" w:eastAsia="宋体" w:cs="Times New Roman"/>
          <w:color w:val="000000"/>
          <w:sz w:val="24"/>
          <w:lang w:val="zh-CN"/>
        </w:rPr>
      </w:r>
      <w:r/>
    </w:p>
    <w:p>
      <w:pPr>
        <w:pStyle w:val="92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43.5政策执行要求</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（2）有关证明文件。</w:t>
      </w:r>
      <w:r>
        <w:rPr>
          <w:rFonts w:hint="eastAsia" w:ascii="宋体" w:hAnsi="宋体" w:eastAsia="宋体" w:cs="Times New Roman"/>
          <w:b/>
          <w:bCs/>
          <w:color w:val="000000"/>
          <w:sz w:val="24"/>
          <w:lang w:val="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Times New Roman"/>
          <w:color w:val="000000"/>
          <w:sz w:val="24"/>
          <w:lang w:val="zh-CN"/>
        </w:rPr>
      </w:r>
      <w:r/>
    </w:p>
    <w:p>
      <w:pPr>
        <w:pStyle w:val="10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数据交易标的包括数据产品、数据服务、数据工具。</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rPr>
      </w:r>
      <w:r/>
    </w:p>
    <w:p>
      <w:pPr>
        <w:pStyle w:val="9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6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6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4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lang w:val="en-US" w:eastAsia="zh-CN"/>
        </w:rPr>
      </w:pPr>
      <w:r>
        <w:rPr>
          <w:rFonts w:hint="eastAsia"/>
          <w:lang w:val="en-US" w:eastAsia="zh-CN"/>
        </w:rPr>
      </w:r>
      <w:r/>
    </w:p>
    <w:p>
      <w:pPr>
        <w:pStyle w:val="96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6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6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rPr>
          <w:rFonts w:hint="eastAsia"/>
          <w:lang w:val="en-US" w:eastAsia="zh-CN"/>
        </w:rPr>
      </w:pPr>
      <w:r>
        <w:rPr>
          <w:rFonts w:hint="eastAsia"/>
          <w:lang w:val="en-US" w:eastAsia="zh-CN"/>
        </w:rPr>
      </w:r>
      <w:r/>
    </w:p>
    <w:p>
      <w:pPr>
        <w:pStyle w:val="92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9"/>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92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1012"/>
        <w:ind w:left="0" w:firstLine="0"/>
        <w:keepLines w:val="0"/>
        <w:keepNext w:val="0"/>
        <w:pageBreakBefore w:val="0"/>
        <w:spacing w:line="240" w:lineRule="auto"/>
        <w:widowControl w:val="off"/>
        <w:rPr>
          <w:rFonts w:hint="eastAsia"/>
          <w:lang w:eastAsia="zh-CN"/>
        </w:rPr>
      </w:pPr>
      <w:r>
        <w:rPr>
          <w:rFonts w:hint="eastAsia"/>
          <w:lang w:eastAsia="zh-CN"/>
        </w:rPr>
      </w:r>
      <w:r/>
    </w:p>
    <w:p>
      <w:pPr>
        <w:pStyle w:val="92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929"/>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29"/>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29"/>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29"/>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项目名称 ：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929"/>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采购单位 ：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929"/>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服务单位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929"/>
        <w:ind w:firstLine="960"/>
        <w:jc w:val="both"/>
        <w:keepLines w:val="0"/>
        <w:keepNext w:val="0"/>
        <w:pageBreakBefore w:val="0"/>
        <w:spacing w:before="145" w:after="145" w:line="240" w:lineRule="auto"/>
        <w:widowControl w:val="off"/>
        <w:rPr>
          <w:rFonts w:hint="eastAsia" w:ascii="仿宋" w:hAnsi="仿宋" w:eastAsia="仿宋" w:cs="仿宋"/>
          <w:b/>
          <w:bCs/>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签订日期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929"/>
        <w:jc w:val="center"/>
        <w:rPr>
          <w:rFonts w:hint="eastAsia" w:ascii="仿宋" w:hAnsi="仿宋" w:eastAsia="仿宋" w:cs="仿宋"/>
          <w:b/>
          <w:bCs/>
          <w:sz w:val="32"/>
          <w:szCs w:val="32"/>
        </w:rPr>
      </w:pP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929"/>
        <w:jc w:val="left"/>
        <w:keepLines w:val="0"/>
        <w:keepNext w:val="0"/>
        <w:pageBreakBefore w:val="0"/>
        <w:spacing w:before="145" w:after="145" w:line="240" w:lineRule="auto"/>
        <w:widowControl w:val="off"/>
        <w:rPr>
          <w:rFonts w:ascii="宋体" w:hAnsi="宋体" w:eastAsia="宋体" w:cs="Courier New"/>
          <w:b w:val="0"/>
          <w:color w:val="000000"/>
          <w:sz w:val="24"/>
          <w:szCs w:val="24"/>
        </w:rPr>
        <w:outlineLvl w:val="0"/>
      </w:pPr>
      <w:r>
        <w:rPr>
          <w:rFonts w:ascii="宋体" w:hAnsi="宋体" w:eastAsia="宋体" w:cs="Courier New"/>
          <w:b w:val="0"/>
          <w:color w:val="000000"/>
          <w:sz w:val="24"/>
          <w:szCs w:val="24"/>
        </w:r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spacing w:before="0" w:after="0"/>
        <w:pBdr>
          <w:top w:val="none" w:color="000000" w:sz="0" w:space="0"/>
          <w:left w:val="none" w:color="000000" w:sz="0" w:space="0"/>
          <w:bottom w:val="none" w:color="000000" w:sz="0" w:space="0"/>
          <w:right w:val="none" w:color="000000" w:sz="0" w:space="0"/>
        </w:pBdr>
      </w:pPr>
      <w:r/>
      <w:r/>
    </w:p>
    <w:p>
      <w:pPr>
        <w:pStyle w:val="929"/>
        <w:ind w:left="0" w:right="0" w:firstLine="0"/>
        <w:jc w:val="both"/>
        <w:keepLines w:val="0"/>
        <w:keepNext w:val="0"/>
        <w:pageBreakBefore w:val="0"/>
        <w:spacing w:before="75"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合同编号：</w:t>
      </w:r>
      <w:r/>
    </w:p>
    <w:tbl>
      <w:tblPr>
        <w:tblStyle w:val="100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2"/>
        <w:gridCol w:w="4943"/>
      </w:tblGrid>
      <w:tr>
        <w:trPr/>
        <w:tc>
          <w:tcPr>
            <w:tcMar>
              <w:left w:w="108" w:type="dxa"/>
              <w:top w:w="0" w:type="dxa"/>
              <w:right w:w="108" w:type="dxa"/>
              <w:bottom w:w="0" w:type="dxa"/>
            </w:tcMar>
            <w:tcW w:w="4412" w:type="dxa"/>
            <w:vAlign w:val="top"/>
            <w:textDirection w:val="lrTb"/>
            <w:noWrap w:val="false"/>
          </w:tcPr>
          <w:p>
            <w:pPr>
              <w:pStyle w:val="929"/>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采购人（以下称甲方）：</w:t>
            </w:r>
            <w:r/>
          </w:p>
        </w:tc>
        <w:tc>
          <w:tcPr>
            <w:tcMar>
              <w:left w:w="108" w:type="dxa"/>
              <w:top w:w="0" w:type="dxa"/>
              <w:right w:w="108" w:type="dxa"/>
              <w:bottom w:w="0" w:type="dxa"/>
            </w:tcMar>
            <w:tcW w:w="4943" w:type="dxa"/>
            <w:vAlign w:val="top"/>
            <w:textDirection w:val="lrTb"/>
            <w:noWrap w:val="false"/>
          </w:tcPr>
          <w:p>
            <w:pPr>
              <w:pStyle w:val="929"/>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供应商：（以下称乙方）</w:t>
            </w:r>
            <w:r/>
          </w:p>
        </w:tc>
      </w:tr>
      <w:tr>
        <w:trPr/>
        <w:tc>
          <w:tcPr>
            <w:tcMar>
              <w:left w:w="108" w:type="dxa"/>
              <w:top w:w="0" w:type="dxa"/>
              <w:right w:w="108" w:type="dxa"/>
              <w:bottom w:w="0" w:type="dxa"/>
            </w:tcMar>
            <w:tcW w:w="4412" w:type="dxa"/>
            <w:vAlign w:val="top"/>
            <w:textDirection w:val="lrTb"/>
            <w:noWrap w:val="false"/>
          </w:tcPr>
          <w:p>
            <w:pPr>
              <w:pStyle w:val="929"/>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住所地：</w:t>
            </w:r>
            <w:r/>
          </w:p>
        </w:tc>
        <w:tc>
          <w:tcPr>
            <w:tcMar>
              <w:left w:w="108" w:type="dxa"/>
              <w:top w:w="0" w:type="dxa"/>
              <w:right w:w="108" w:type="dxa"/>
              <w:bottom w:w="0" w:type="dxa"/>
            </w:tcMar>
            <w:tcW w:w="4943" w:type="dxa"/>
            <w:vAlign w:val="top"/>
            <w:textDirection w:val="lrTb"/>
            <w:noWrap w:val="false"/>
          </w:tcPr>
          <w:p>
            <w:pPr>
              <w:pStyle w:val="929"/>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住所地：</w:t>
            </w:r>
            <w:r/>
          </w:p>
        </w:tc>
      </w:tr>
    </w:tbl>
    <w:p>
      <w:pPr>
        <w:pStyle w:val="929"/>
        <w:ind w:left="0" w:right="0" w:firstLine="42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根据《中华人民共和国政府采购法》、《中华人民共和国民法典》的规定，甲乙双方按照招标结果签订本合同。</w:t>
      </w:r>
      <w:r/>
    </w:p>
    <w:p>
      <w:pPr>
        <w:pStyle w:val="929"/>
        <w:ind w:left="0" w:right="0" w:firstLine="42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 合同标的</w:t>
      </w:r>
      <w:r>
        <w:rPr>
          <w:rFonts w:ascii="宋体" w:hAnsi="宋体" w:eastAsia="宋体" w:cs="宋体"/>
          <w:color w:val="000000"/>
          <w:sz w:val="24"/>
        </w:rPr>
        <w:t xml:space="preserve"> </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乙方根据甲方要求提供下列服务：</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具体内容：</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1、根据六民字</w:t>
      </w:r>
      <w:r>
        <w:rPr>
          <w:rFonts w:ascii="宋体" w:hAnsi="宋体" w:eastAsia="宋体" w:cs="宋体"/>
          <w:color w:val="0000ff"/>
          <w:sz w:val="24"/>
        </w:rPr>
        <w:t xml:space="preserve">[2020]36号关于印发《六合区政府购买居家养老照护服务实施方案》的通知要求，开展</w:t>
      </w:r>
      <w:r>
        <w:rPr>
          <w:rFonts w:hint="eastAsia" w:ascii="宋体" w:hAnsi="宋体" w:eastAsia="宋体" w:cs="宋体"/>
          <w:color w:val="0000ff"/>
          <w:sz w:val="24"/>
          <w:lang w:eastAsia="zh-CN"/>
        </w:rPr>
        <w:t xml:space="preserve">2026年度竹镇镇东片区老年人照护服务</w:t>
      </w:r>
      <w:r>
        <w:rPr>
          <w:rFonts w:ascii="宋体" w:hAnsi="宋体" w:eastAsia="宋体" w:cs="宋体"/>
          <w:color w:val="0000ff"/>
          <w:sz w:val="24"/>
        </w:rPr>
        <w:t xml:space="preserve">。</w:t>
      </w:r>
      <w:r>
        <w:rPr>
          <w:rFonts w:ascii="宋体" w:hAnsi="宋体" w:eastAsia="宋体" w:cs="宋体"/>
          <w:color w:val="000000"/>
          <w:sz w:val="24"/>
        </w:rPr>
        <w:t xml:space="preserve">（如遇政策调整，按照最新文件标准执行）</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2、乙方协同甲方完成政府购买照护服务工作年度考核指标。</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 合同总价款</w:t>
      </w:r>
      <w:r>
        <w:rPr>
          <w:rFonts w:ascii="宋体" w:hAnsi="宋体" w:eastAsia="宋体" w:cs="宋体"/>
          <w:color w:val="000000"/>
          <w:sz w:val="24"/>
        </w:rPr>
        <w:t xml:space="preserve"> </w:t>
      </w:r>
      <w:r/>
    </w:p>
    <w:p>
      <w:pPr>
        <w:pStyle w:val="929"/>
        <w:ind w:left="0" w:right="0" w:firstLine="480"/>
        <w:jc w:val="both"/>
        <w:keepLines w:val="0"/>
        <w:keepNext w:val="0"/>
        <w:pageBreakBefore w:val="0"/>
        <w:spacing w:before="0" w:after="0" w:line="400" w:lineRule="exact"/>
        <w:shd w:val="clear" w:color="ffffff" w:fill="ffffff"/>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合同总价为</w:t>
      </w:r>
      <w:r>
        <w:rPr>
          <w:rFonts w:ascii="宋体" w:hAnsi="宋体" w:eastAsia="宋体" w:cs="宋体"/>
          <w:color w:val="000000"/>
          <w:sz w:val="24"/>
          <w:u w:val="single"/>
        </w:rPr>
        <w:t xml:space="preserve">        </w:t>
      </w:r>
      <w:r>
        <w:rPr>
          <w:rFonts w:ascii="宋体" w:hAnsi="宋体" w:eastAsia="宋体" w:cs="宋体"/>
          <w:color w:val="000000"/>
          <w:sz w:val="24"/>
        </w:rPr>
        <w:t xml:space="preserve">元，大写人民币：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最终按时结算</w:t>
      </w:r>
      <w:r>
        <w:rPr>
          <w:rFonts w:hint="eastAsia" w:ascii="宋体" w:hAnsi="宋体" w:eastAsia="宋体" w:cs="宋体"/>
          <w:color w:val="000000"/>
          <w:sz w:val="24"/>
          <w:lang w:eastAsia="zh-CN"/>
        </w:rPr>
        <w:t xml:space="preserve">）</w:t>
      </w:r>
      <w:r>
        <w:rPr>
          <w:rFonts w:hint="eastAsia" w:eastAsia="宋体"/>
          <w:lang w:eastAsia="zh-CN"/>
        </w:rPr>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甲方就本合同不再向乙方支付任何其他款项。</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合同服务时间：</w:t>
      </w:r>
      <w:r>
        <w:rPr>
          <w:rFonts w:ascii="宋体" w:hAnsi="宋体" w:eastAsia="宋体" w:cs="宋体"/>
          <w:color w:val="000000"/>
          <w:sz w:val="24"/>
          <w:u w:val="single"/>
        </w:rPr>
        <w:t xml:space="preserve">1年</w:t>
      </w:r>
      <w:r>
        <w:rPr>
          <w:rFonts w:ascii="宋体" w:hAnsi="宋体" w:eastAsia="宋体" w:cs="宋体"/>
          <w:color w:val="000000"/>
          <w:sz w:val="24"/>
        </w:rPr>
        <w:t xml:space="preserve">，</w:t>
      </w:r>
      <w:r>
        <w:rPr>
          <w:rFonts w:ascii="宋体" w:hAnsi="宋体" w:eastAsia="宋体" w:cs="宋体"/>
          <w:color w:val="000000"/>
          <w:sz w:val="24"/>
          <w:u w:val="single"/>
        </w:rPr>
        <w:t xml:space="preserve">自  年  月  日起至    年  月  日止</w:t>
      </w:r>
      <w:r>
        <w:rPr>
          <w:rFonts w:ascii="宋体" w:hAnsi="宋体" w:eastAsia="宋体" w:cs="宋体"/>
          <w:color w:val="000000"/>
          <w:sz w:val="24"/>
        </w:rPr>
        <w:t xml:space="preserve">。合同期间内依据六民字[2025]9号《六合区社区居家养老服务监督管理办法》</w:t>
      </w:r>
      <w:r>
        <w:rPr>
          <w:rFonts w:hint="eastAsia" w:ascii="宋体" w:hAnsi="宋体" w:eastAsia="宋体" w:cs="宋体"/>
          <w:color w:val="000000"/>
          <w:sz w:val="24"/>
          <w:lang w:val="en-US" w:eastAsia="zh-CN"/>
        </w:rPr>
        <w:t xml:space="preserve">执行</w:t>
      </w:r>
      <w:r>
        <w:rPr>
          <w:rFonts w:ascii="宋体" w:hAnsi="宋体" w:eastAsia="宋体" w:cs="宋体"/>
          <w:color w:val="000000"/>
          <w:sz w:val="24"/>
        </w:rPr>
        <w:t xml:space="preserve">，若不达监管要求，甲方可终止合同并有权不结算费用。在合同期间，如遇南京市或本区对于政府购买居家养老服务出台新的服务标准文件或通知，按照新文件或通知实施时间及标准执行。</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 组成本合同的有关文件</w:t>
      </w:r>
      <w:r>
        <w:rPr>
          <w:rFonts w:ascii="宋体" w:hAnsi="宋体" w:eastAsia="宋体" w:cs="宋体"/>
          <w:color w:val="000000"/>
          <w:sz w:val="24"/>
        </w:rPr>
        <w:t xml:space="preserve">  </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招标文件和有关附件是本合同不可分割的组成部分，与本合同具有同等法律效力。</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第四条 权利保证</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乙方应保证为甲方提供服务时不受第三方提出侵犯其专利权、版权、商标权或其他权利的起诉。一旦出现侵权，乙方应承担全部责任。</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 质量保证</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乙方提供的服务必须全部达到采购文件各项要求，国家或行业有规定的，还要符合相应规定。</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 交付使用和验收</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1、乙方应当在合同签订后按照甲方要求的期限内完成采购文件规定的项目并交付甲方使用。采购文件有约定的，从其约定。</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2、乙方提供服务质量须满足采购文件及相关规范，对于提供服务不符合采购文件及使用标准的，甲方有权拒收，相关费用由乙方自行承担。</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 履约保证金：无</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 甲乙双方的权利与义务</w:t>
      </w:r>
      <w:r/>
    </w:p>
    <w:p>
      <w:pPr>
        <w:pStyle w:val="929"/>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（一）甲方的权利和义务</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加强服务对象动态管理。甲方要及时做好服务对象的增减工作，中重度失能的低保、80周岁以上老年人每月更新一次，其他服务对象每半年更新一次，做到集中申报、集中审批、集中评估，及时上传至区平台并通知乙方提供服务。对于服务对象中出现迁离、去世或其他原因不再享受政府购买服务时，乙方应及时将信息反馈，甲方进行核实后，应立即核销平台人员信息、停止提供服务。</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2、行为资格监管。乙方有以下情形之一的，甲方对其取消服务资格：(1) 以向服务对象送实物等变通方式套取服务对象补贴资金的；(2)借助开展服务的机会向老年人推销虚假保健品等假冒伪劣老年产品的；(3)借助开展服务的机会向老年人集资、吸储等严重 损害了老年人合法权益的；(4)中标后，不具备完成政府购买照护服务能力的；(5)服务质效差并产生恶劣影响的；（6）在服务期间，因乙方服务工作人员对被服务对象造成人身伤害的；(7)服务组织有其他违法行为的。</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注：如遇政策调整，按照最新文件标准执行。</w:t>
      </w:r>
      <w:r/>
    </w:p>
    <w:p>
      <w:pPr>
        <w:pStyle w:val="929"/>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（二）乙方的权利和义务</w:t>
      </w:r>
      <w:r/>
    </w:p>
    <w:p>
      <w:pPr>
        <w:pStyle w:val="929"/>
        <w:ind w:left="0" w:right="0" w:firstLine="482"/>
        <w:keepLines w:val="0"/>
        <w:keepNext w:val="0"/>
        <w:pageBreakBefore w:val="0"/>
        <w:spacing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服务对象及标准（七类老人标准）</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具有六合区竹镇镇</w:t>
      </w:r>
      <w:r>
        <w:rPr>
          <w:rFonts w:hint="eastAsia" w:ascii="宋体" w:hAnsi="宋体" w:eastAsia="宋体" w:cs="宋体"/>
          <w:color w:val="000000"/>
          <w:sz w:val="24"/>
          <w:lang w:eastAsia="zh-CN"/>
        </w:rPr>
        <w:t xml:space="preserve">东片区</w:t>
      </w:r>
      <w:r>
        <w:rPr>
          <w:rFonts w:ascii="宋体" w:hAnsi="宋体" w:eastAsia="宋体" w:cs="宋体"/>
          <w:color w:val="000000"/>
          <w:sz w:val="24"/>
        </w:rPr>
        <w:t xml:space="preserve">户籍且常住的老年人，根据人员类别和能力状况每月为其提供一定时长的免费生活照料服务，具体标准如下：</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1、低保和低收入家庭中60-69周岁失独老人及70周岁以上自理失独老年人：每月上门服务不少于2.5小时；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2、签订“四方协议”的重点空巢独居老人：每月上门服务不少于2.5小时；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3、半失能的政府养老扶助对象：每人每月享受不少于36小时免费生活照料服务，每周上门不少于5天，每天不少于1小时；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4、失智、失能的政府养老扶助对象：每人每月享受不少于48小时免费生活照料服务，每周上门不少于5天，每天不少于1.5小时；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5、自理的低保家庭和分散特困供养两类老人中80周岁及以上老人：每人每月享受不少于3小时免费生活照料服务，每月上门不少于2天，每天不少于1小时；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6、自理的低保和低保边缘户家庭中的计生特扶老人：每人每月享受不少于3小时免费生活照料服务，每月上门不少于2天，每天不少于1小时；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7、80周岁以上老人：每人每月享受不少于2小时免费生活照料服务，每月上门不少于2天，每天不少于1小时。</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照护服务中的服务对象具备多种身份的，服务标准就高享受。</w:t>
      </w:r>
      <w:r/>
    </w:p>
    <w:p>
      <w:pPr>
        <w:pStyle w:val="929"/>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政府养老扶助对象，是指特困老年人，最低生活保障家庭以及最低生活保障边缘家庭中的老年人，经济困难的失智、失能、半失能老年人，计划生育特殊家庭老年人，百岁老人等市人民政府规定扶助的老年人。）</w:t>
      </w:r>
      <w:r/>
    </w:p>
    <w:p>
      <w:pPr>
        <w:pStyle w:val="929"/>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具体参照六民字[2020]36号关于印发《六合区政府购买居家养老照护服务实施方案》的通知要求，照护服务中的服务对象具备多种身份的，服务标准就高享受，不重复享受服务。</w:t>
      </w:r>
      <w:r/>
    </w:p>
    <w:p>
      <w:pPr>
        <w:pStyle w:val="929"/>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（如遇政策调整，按照最新文件标准执行）</w:t>
      </w:r>
      <w:r/>
    </w:p>
    <w:p>
      <w:pPr>
        <w:pStyle w:val="929"/>
        <w:numPr>
          <w:ilvl w:val="0"/>
          <w:numId w:val="0"/>
        </w:numPr>
        <w:ind w:left="480" w:right="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服务清单</w:t>
      </w:r>
      <w:r>
        <w:rPr>
          <w:rFonts w:ascii="宋体" w:hAnsi="宋体" w:eastAsia="宋体" w:cs="宋体"/>
          <w:b/>
          <w:color w:val="000000"/>
          <w:sz w:val="24"/>
        </w:rPr>
      </w:r>
      <w:r/>
    </w:p>
    <w:tbl>
      <w:tblPr>
        <w:tblStyle w:val="1004"/>
        <w:tblW w:w="0" w:type="auto"/>
        <w:tblInd w:w="14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5"/>
        <w:gridCol w:w="2070"/>
        <w:gridCol w:w="2378"/>
        <w:gridCol w:w="4067"/>
      </w:tblGrid>
      <w:tr>
        <w:trPr>
          <w:trHeight w:val="585"/>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服务大项</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服务小项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服务说明</w:t>
            </w:r>
            <w:r/>
          </w:p>
        </w:tc>
      </w:tr>
      <w:tr>
        <w:trPr>
          <w:trHeight w:val="56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助餐</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上门送餐</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上传餐食图片</w:t>
            </w:r>
            <w:r/>
          </w:p>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（包括餐食包装、时间等）</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上门做餐</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上门助浴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床上擦浴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助行</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陪同户外散步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陪同外出</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助洁（家政）</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洗衣服</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洗被褥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打扫家庭卫生</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家政预约</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上传预约证明</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整理床单位</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代送洗衣物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上传相关证明（接、送可各计算一次）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助洁（护理）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刮脸</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理发</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床上洗头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口腔护理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面部清洁和梳头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协助更衣</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修脚</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剪指甲</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助购</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代购生活必需品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陪同购物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助医</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代为取药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协助服药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陪同就医</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生命体征监测</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血糖测量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血压测量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血氧测量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助急</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知识宣教</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设备检查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制定预案</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现场处置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紧急呼叫</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上传呼叫证明和相关材料</w:t>
            </w:r>
            <w:r/>
          </w:p>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（包括但不限于处理情况说明）</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代缴代购（委托服务）</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代购、代领物品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物品照片</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代缴水费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代缴燃气费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代缴电话费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代缴其他费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代办证件</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上传代办凭证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其他委托业务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上传委托凭证</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银发顾问</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政策咨询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健康管理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解读体检报告</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上传体检报告解读情况（书面）</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健康服务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能力评估</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一年不能超过两次，上传评估材料</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康复护理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家庭护理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按摩推拿</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上门鼻饲</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上门翻身拍背</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针对卧床老年人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上门喂饭</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留置尿管的护理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会阴护理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失禁护理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床上使用便器</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压疮预防及护理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协助床上移动</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协助上厕所</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生活陪伴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上门陪伴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上门聊天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电话陪伴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工作人员电话陪伴或协助老人与家属电话，上传通话截图</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网络陪</w:t>
            </w:r>
            <w:r>
              <w:rPr>
                <w:rFonts w:hint="eastAsia" w:ascii="宋体" w:hAnsi="宋体" w:eastAsia="宋体" w:cs="宋体"/>
                <w:color w:val="000000"/>
                <w:sz w:val="22"/>
                <w:lang w:val="en-US" w:eastAsia="zh-CN"/>
              </w:rPr>
              <w:t xml:space="preserve">伴</w:t>
            </w:r>
            <w:r>
              <w:rPr>
                <w:rFonts w:hint="eastAsia" w:eastAsia="宋体"/>
                <w:lang w:val="en-US" w:eastAsia="zh-CN"/>
              </w:rPr>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工作人员网络陪伴或协助老人与家属网络沟通，上传网络截图</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读书读报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精神慰藉</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心理咨询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心理疏导</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临终关怀</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创建环境</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体征监测</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家属支持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尸体料理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上传救援处理相关材料</w:t>
            </w:r>
            <w:r/>
          </w:p>
        </w:tc>
      </w:tr>
      <w:tr>
        <w:trPr>
          <w:trHeight w:val="56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安装结束后选择项目，一年原则上不超过一次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教育培训</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疾病预防知识宣教</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智能技术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智能手机使用交流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适老产品的租赁、回收服务（上门服务）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上传租赁协议、使用照片</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助安</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家电维修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水管维修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电气维修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安全检查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下水道疏通</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上传助农照片</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4067" w:type="dxa"/>
            <w:vAlign w:val="center"/>
            <w:textDirection w:val="lrTb"/>
            <w:noWrap/>
          </w:tcPr>
          <w:p>
            <w:pPr>
              <w:pStyle w:val="929"/>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规范服务内容。乙方应结合老年人的实际需求，通过组合各类服务项目提供服务包服务，或据情提供其他订制服务，既满足老年人基础性需求，又保障老年人个性化服务要求，切实解决家庭养老难题。乙方应与所有接受服务的老年人签订政府购买居家养老服务协议，明确上门服务项目、服务时间、服务人员、服务组织以及隐私保护等重点内容，做到“凡服务必签约”。</w:t>
      </w:r>
      <w:r>
        <w:rPr>
          <w:rFonts w:ascii="宋体" w:hAnsi="宋体" w:eastAsia="宋体" w:cs="宋体"/>
          <w:color w:val="000000"/>
          <w:sz w:val="24"/>
        </w:rPr>
        <w:br w:type="textWrapping" w:clear="all"/>
      </w:r>
      <w:r>
        <w:rPr>
          <w:rFonts w:ascii="宋体" w:hAnsi="宋体" w:eastAsia="宋体" w:cs="宋体"/>
          <w:color w:val="000000"/>
          <w:sz w:val="24"/>
        </w:rPr>
        <w:t xml:space="preserve">    4、转变服务方式。实行预约上门、充分征询制度，服务人员要与老人和家属积极沟通，主动提供“照护服务基本服务清单”，主动告知居家养老政府购买服务的项目内容、服务次数及时长、预约方式等，充分尊重服务对象的选择权和知情权，让服务对象由“被服务”转变为“要服务”。</w:t>
      </w:r>
      <w:r>
        <w:rPr>
          <w:rFonts w:ascii="宋体" w:hAnsi="宋体" w:eastAsia="宋体" w:cs="宋体"/>
          <w:color w:val="000000"/>
          <w:sz w:val="24"/>
        </w:rPr>
        <w:br w:type="textWrapping" w:clear="all"/>
      </w:r>
      <w:r>
        <w:rPr>
          <w:rFonts w:ascii="宋体" w:hAnsi="宋体" w:eastAsia="宋体" w:cs="宋体"/>
          <w:color w:val="000000"/>
          <w:sz w:val="24"/>
        </w:rPr>
        <w:t xml:space="preserve">     5、强化服务能力。乙方要对服务人员集中开展文明礼仪和业务技能的培训，不断提高服务人员综合素质和服务形象。上门服务人员要统一着装，佩戴工作牌，工作牌必须标有服务人员姓名、照片、服务工号、联系电话、所在组织的名称和服务监督电话。服务过程中使用文明礼貌用语，遵守服务规范和流程，树立养老服务良好形象。上门服务人员要成为养老政策的宣传员、服务对象的初审员、服务需求的观察员、企业形象的展示员。</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6、乙方应确保服务覆盖率和服务人次不低于年度考核要求，服务满意度（感到满意的老人数/实际接受服务的老人数）应达95%以上（具体指标要求依据当年区下达的养老任务为准）。</w:t>
      </w:r>
      <w:r/>
    </w:p>
    <w:p>
      <w:pPr>
        <w:pStyle w:val="929"/>
        <w:ind w:left="0" w:right="0" w:firstLine="482"/>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7、安全责任。乙方工作人员在开服务的过程中的人身安全由乙方自行承担，与甲方无关。</w:t>
      </w:r>
      <w:r/>
    </w:p>
    <w:p>
      <w:pPr>
        <w:pStyle w:val="929"/>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 服务问责（参照六民字[2025]9号《六合区社区居家养老服务监督管理办法》执行）</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一、认定规则</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（一）服务项目认定</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同一位老人年度服务项目少于3个大项，服务数据无效。</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（二）服务数据认定</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1.服务时年龄低于60周岁的服务工单(特困除外）,为无效工单；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2.服务对象死亡后的服务订单为虚假工单；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3.服务时住养老机构的服务订单为无效工单；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4.晚21:00（不含）到次日5:00（含）开始的服务订单为无效订单；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5.服务时长超过4小时、不结束服务以及跨天服务的服务订单为异常订单；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6.早、中、晚餐时间段【早餐：6:00-10:00（不含），午餐：10：00-14:00（不含），晚餐：16:00-20:00（不含）】以外的助餐服务订单，为无效工单；</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7.每日每餐多次消费的,除第一次服务数据，其余服务数据为无效工单(即早、中、晚餐各保留第一次助餐数据 )；</w:t>
      </w:r>
      <w:r/>
    </w:p>
    <w:p>
      <w:pPr>
        <w:pStyle w:val="929"/>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8.同时期享受长期护理保险（失能险）的服务订单为无效订单；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9.同一名服务员在同一时间段为不同的老人开展政府购买照护服务，认定时间最先开始的服务为有效订单，其余为异常订单；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10.同一老人在同一时间段接受多名服务人员的政府购买照护服务，认定时间最先开始的服务为有效订单，其余均为异常订单；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11.经核查，服务照片翻拍、雷同、反光的订单，为虚假工单；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12.经核查，照片时间与服务时间不一致的订单（补单除外），为异常工单；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13.经核查，无服务照片的订单为异常工单；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14.经核查，服务工单开始前照片非订单老人，为异常工单；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同一服务员为不同户老人服务间隔时间（上一单结束时间与下一单开始时间）少于2分钟（含），上一单服务为有效订单，下一单为异常订单。同一服务员为不同户老人服务间隔时间（上一单结束时间与下一单开始时间）少于5分钟（含），上一单服务为有效订单，下一单为异常订单。同一服务员为不同户老人服务间隔时间（上一单结束时间与下一单开始时间）少于10分钟（含），上一单服务为有效订单，下一单为异常订单。</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二、服务问责</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1.技术核验：服务人员须在服务前后进行人脸识别验证,确保人证合一并记录服务数据;区信息化平台设置服务数据认定规则，自动获取异常服务数据。</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2.服务委托方应将服务监管情况与养老服务奖补发放直接挂钩，有关违规行为处理情况及时上报上级民政部门。</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3.经核查确认为虚假工单的，按以下规定处理:服务委托方对涉事组织通报批评并约谈负责人，责令公开检讨;当年度民办非企业年度检查业务主管部门初审结果为基本合格，并取消</w:t>
      </w:r>
      <w:r/>
    </w:p>
    <w:p>
      <w:pPr>
        <w:pStyle w:val="929"/>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养老服务领域评奖评优推荐资格;连续两年发现虚假工单的，年检初审结果为不合格;虛假工单数量不满5条的,核减服务奖补的10%，每增加1条，追加核减10%，扣完为止。</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核查确认存在以下情形之一的,即任一社区居家养老服务设施异常工单占比超过3%，或政府购买照护服务项目中异常工单超过300条，服务委托方约谈涉事组织，取消养老服务领域评奖评优推荐资格，并依据异常工单占比核减服务奖补。</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5.经核查确认服务组织存在服务对象、服务员个人信息(姓名、身份证号码、居住地址、联系方式等)录入不实、政府购买照护服务组织未签订服务协议或未出示服务清单的情形，涉</w:t>
      </w:r>
      <w:r/>
    </w:p>
    <w:p>
      <w:pPr>
        <w:pStyle w:val="929"/>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及人次占全年监管人次10% (不含)至20%(含)的，核减5%服务奖补，比例每增加10%，追加核减5%。以上情形分别核算、合并执行。</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6.居家养老服务组织应强化自我监管，坚持诚信自律经营切实保障服务真实性与有效性。主动参与社区居家养老监管工作，积极听取并吸纳服务对象及社会各界提出的意见建议，持</w:t>
      </w:r>
      <w:r/>
    </w:p>
    <w:p>
      <w:pPr>
        <w:pStyle w:val="929"/>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续优化服务流程、提升服务水平。</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 合同款支付</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1、本合同项下所有款项均以人民币支付。</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2、本合同项下的采购资金由国库集中支付或甲方自行支付，乙方向甲方开具发票。</w:t>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3、付款条件:</w:t>
      </w:r>
      <w:r>
        <w:rPr>
          <w:rFonts w:ascii="宋体" w:hAnsi="宋体" w:eastAsia="宋体" w:cs="宋体"/>
          <w:color w:val="000000"/>
          <w:sz w:val="24"/>
        </w:rPr>
        <w:t xml:space="preserve">照护服务采用二维码监管的方式，供应商上门服务开始与结束时，都需要扫二维码。二维码信息由成交供应商每月定期汇总给采购方，各服务组织的服务经费以二维码管理系统数据，结合第三方考核合格数据结果计算。具体付款时间根据上级财政拨付。</w:t>
      </w:r>
      <w:r>
        <w:rPr>
          <w:rFonts w:ascii="宋体" w:hAnsi="宋体" w:eastAsia="宋体" w:cs="宋体"/>
          <w:color w:val="000000"/>
          <w:sz w:val="24"/>
        </w:rPr>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4、照护服务每小时费用具体以南京市最新文件标准执行。</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 违约责任  </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1.甲方无故终止合同；乙方不履行合同义务；均视为违约。</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2.协商不能解决的，可向六合区人民法院提起诉讼。</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 合同的变更和终止</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1.合同履行期间</w:t>
      </w:r>
      <w:r>
        <w:rPr>
          <w:rFonts w:ascii="宋体" w:hAnsi="宋体" w:eastAsia="宋体" w:cs="宋体"/>
          <w:b/>
          <w:color w:val="000000"/>
          <w:sz w:val="24"/>
        </w:rPr>
        <w:t xml:space="preserve">如遇政策变化，甲方有权依政策调整或终止服务</w:t>
      </w:r>
      <w:r>
        <w:rPr>
          <w:rFonts w:ascii="宋体" w:hAnsi="宋体" w:eastAsia="宋体" w:cs="宋体"/>
          <w:color w:val="000000"/>
          <w:sz w:val="24"/>
        </w:rPr>
        <w:t xml:space="preserve">。</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 合同的转让</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乙方不得擅自部分或全部转让其应履行的合同义务。</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第十三条 诚实信用</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乙方应诚实信用，严格按照采购文件要求和承诺履行合同，不向甲方进行商业贿赂或者提供不正当利益。</w:t>
      </w:r>
      <w:r/>
    </w:p>
    <w:p>
      <w:pPr>
        <w:pStyle w:val="929"/>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第十四条 合同生效及其他</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1.本合同未尽事宜，由甲、乙双方协商解决。</w:t>
      </w:r>
      <w:r/>
    </w:p>
    <w:p>
      <w:pPr>
        <w:pStyle w:val="929"/>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2.本合同一式五份，甲、乙双方各执两份、代理公司执一份。</w:t>
      </w:r>
      <w:r/>
    </w:p>
    <w:p>
      <w:pPr>
        <w:pStyle w:val="929"/>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3.本合同经甲、乙双方（法定人或委托人签字）、盖章后生效。</w:t>
      </w:r>
      <w:r/>
    </w:p>
    <w:tbl>
      <w:tblPr>
        <w:tblStyle w:val="100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甲方（采购人）：（盖章）</w:t>
            </w:r>
            <w:r/>
          </w:p>
        </w:tc>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乙方（供应商）：（盖章）</w:t>
            </w:r>
            <w:r/>
          </w:p>
        </w:tc>
      </w:tr>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4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rPr>
                <w:rFonts w:ascii="宋体" w:hAnsi="宋体" w:eastAsia="宋体" w:cs="宋体"/>
                <w:color w:val="000000"/>
                <w:sz w:val="24"/>
              </w:rPr>
              <w:t xml:space="preserve">：</w:t>
            </w:r>
            <w:r/>
          </w:p>
        </w:tc>
        <w:tc>
          <w:tcPr>
            <w:tcMar>
              <w:left w:w="108" w:type="dxa"/>
              <w:top w:w="0" w:type="dxa"/>
              <w:right w:w="108" w:type="dxa"/>
              <w:bottom w:w="0" w:type="dxa"/>
            </w:tcMar>
            <w:tcW w:w="4643" w:type="dxa"/>
            <w:vAlign w:val="top"/>
            <w:textDirection w:val="lrTb"/>
            <w:noWrap w:val="false"/>
          </w:tcPr>
          <w:p>
            <w:pPr>
              <w:pStyle w:val="929"/>
              <w:ind w:left="0" w:right="0" w:firstLine="44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法定代表人或委托代表人</w:t>
            </w:r>
            <w:r>
              <w:rPr>
                <w:rFonts w:ascii="宋体" w:hAnsi="宋体" w:eastAsia="宋体" w:cs="宋体"/>
                <w:color w:val="000000"/>
                <w:sz w:val="24"/>
              </w:rPr>
              <w:t xml:space="preserve">：</w:t>
            </w:r>
            <w:r/>
          </w:p>
        </w:tc>
      </w:tr>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r>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r>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帐号：</w:t>
            </w:r>
            <w:r/>
          </w:p>
        </w:tc>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帐号：</w:t>
            </w:r>
            <w:r/>
          </w:p>
        </w:tc>
      </w:tr>
      <w:tr>
        <w:trPr>
          <w:trHeight w:val="397"/>
        </w:trPr>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tc>
        <w:tc>
          <w:tcPr>
            <w:tcMar>
              <w:left w:w="108" w:type="dxa"/>
              <w:top w:w="0" w:type="dxa"/>
              <w:right w:w="108" w:type="dxa"/>
              <w:bottom w:w="0" w:type="dxa"/>
            </w:tcMar>
            <w:tcW w:w="4643" w:type="dxa"/>
            <w:vAlign w:val="top"/>
            <w:textDirection w:val="lrTb"/>
            <w:noWrap w:val="false"/>
          </w:tcPr>
          <w:p>
            <w:pPr>
              <w:pStyle w:val="929"/>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tc>
      </w:tr>
    </w:tbl>
    <w:p>
      <w:pPr>
        <w:pStyle w:val="10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bookmarkEnd w:id="0"/>
      <w:r/>
      <w:bookmarkEnd w:id="1"/>
      <w:r/>
      <w:bookmarkEnd w:id="2"/>
      <w:r/>
      <w:bookmarkEnd w:id="3"/>
      <w:r/>
      <w:bookmarkEnd w:id="4"/>
      <w:r/>
      <w:bookmarkEnd w:id="5"/>
      <w:r/>
      <w:bookmarkStart w:id="122" w:name="_Toc26554093"/>
      <w:r/>
      <w:bookmarkStart w:id="123" w:name="_Toc49090575"/>
      <w:r/>
      <w:bookmarkStart w:id="124" w:name="_Toc479757211"/>
      <w:r/>
      <w:bookmarkStart w:id="125"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929"/>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 项目名称：</w:t>
      </w:r>
      <w:r>
        <w:rPr>
          <w:rFonts w:hint="eastAsia" w:ascii="宋体" w:hAnsi="宋体" w:eastAsia="宋体" w:cs="Times New Roman"/>
          <w:color w:val="0000ff"/>
          <w:sz w:val="24"/>
          <w:szCs w:val="24"/>
          <w:lang w:val="en-US" w:eastAsia="zh-CN"/>
        </w:rPr>
        <w:t xml:space="preserve">2026年度竹镇镇东片区老年人照护服务</w:t>
      </w:r>
      <w:r>
        <w:rPr>
          <w:rFonts w:hint="eastAsia" w:ascii="宋体" w:hAnsi="宋体" w:eastAsia="宋体" w:cs="Times New Roman"/>
          <w:color w:val="0000ff"/>
          <w:sz w:val="24"/>
          <w:szCs w:val="24"/>
          <w:lang w:val="en-US" w:eastAsia="zh-CN"/>
        </w:rPr>
      </w:r>
      <w:r/>
    </w:p>
    <w:p>
      <w:pPr>
        <w:pStyle w:val="92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 项目最高限价：</w:t>
      </w:r>
      <w:r>
        <w:rPr>
          <w:rFonts w:hint="eastAsia" w:ascii="宋体" w:hAnsi="宋体" w:eastAsia="宋体" w:cs="Times New Roman"/>
          <w:color w:val="0000ff"/>
          <w:sz w:val="24"/>
          <w:szCs w:val="24"/>
          <w:lang w:val="en-US" w:eastAsia="zh-CN"/>
        </w:rPr>
        <w:t xml:space="preserve">135万元</w:t>
      </w:r>
      <w:r>
        <w:rPr>
          <w:rFonts w:ascii="宋体" w:hAnsi="宋体" w:eastAsia="宋体" w:cs="Times New Roman"/>
          <w:color w:val="000000"/>
          <w:sz w:val="24"/>
          <w:szCs w:val="24"/>
          <w:lang w:val="en-US" w:eastAsia="zh-CN"/>
        </w:rPr>
      </w:r>
      <w:r/>
    </w:p>
    <w:p>
      <w:pPr>
        <w:pStyle w:val="929"/>
        <w:ind w:left="0" w:right="0" w:firstLine="638"/>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项目地点：南京市六合区竹镇镇</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采购需求概况：</w:t>
      </w:r>
      <w:r>
        <w:rPr>
          <w:rFonts w:ascii="Arial" w:hAnsi="Arial" w:eastAsia="Arial" w:cs="Arial"/>
          <w:color w:val="333333"/>
          <w:sz w:val="24"/>
          <w:highlight w:val="white"/>
        </w:rPr>
        <w:t xml:space="preserve">照护服务的服务对象为中重度失能特困、低保老年人、80周岁以上老年人。服务范围涵盖竹镇镇东片区乌石、大侯、石婆、侯桥、八里、光华六个村社区，约1800人，年服务费约135万元</w:t>
      </w:r>
      <w:r>
        <w:rPr>
          <w:rFonts w:ascii="宋体" w:hAnsi="宋体" w:eastAsia="宋体" w:cs="宋体"/>
          <w:color w:val="000000"/>
          <w:sz w:val="24"/>
          <w:highlight w:val="white"/>
        </w:rPr>
        <w:t xml:space="preserve">。</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合同履行期限：365天（自合同签订之日起一年内）。</w:t>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lang w:eastAsia="zh-CN"/>
        </w:rPr>
        <w:t xml:space="preserve">、服务对象及标准（七类老人标准）</w:t>
      </w:r>
      <w:r>
        <w:rPr>
          <w:rFonts w:hint="eastAsia" w:ascii="黑体" w:hAnsi="黑体" w:eastAsia="黑体" w:cs="黑体"/>
          <w:color w:val="000000"/>
          <w:sz w:val="24"/>
          <w:szCs w:val="24"/>
          <w:lang w:eastAsia="zh-CN"/>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具有六合区竹镇镇</w:t>
      </w:r>
      <w:r>
        <w:rPr>
          <w:rFonts w:hint="eastAsia" w:ascii="宋体" w:hAnsi="宋体" w:eastAsia="宋体" w:cs="宋体"/>
          <w:color w:val="000000"/>
          <w:sz w:val="24"/>
          <w:lang w:eastAsia="zh-CN"/>
        </w:rPr>
        <w:t xml:space="preserve">东片区</w:t>
      </w:r>
      <w:r>
        <w:rPr>
          <w:rFonts w:ascii="宋体" w:hAnsi="宋体" w:eastAsia="宋体" w:cs="宋体"/>
          <w:color w:val="000000"/>
          <w:sz w:val="24"/>
        </w:rPr>
        <w:t xml:space="preserve">户籍且常住的老年人，根据人员类别和能力状况每月为其提供一定时长的免费生活照料服务，具体标准如下：</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1、低保和低收入家庭中60-69周岁失独老人及70周岁以上自理失独老年人：每月上门服务不少于2.5小时；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2、签订“四方协议”的重点空巢独居老人：每月上门服务不少于2.5小时；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3、半失能的政府养老扶助对象：每人每月享受不少于36小时免费生活照料服务，每周上门不少于5天，每天不少于1小时；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4、失智、失能的政府养老扶助对象：每人每月享受不少于48小时免费生活照料服务，每周上门不少于5天，每天不少于1.5小时；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5、自理的低保家庭和分散特困供养两类老人中80周岁及以上老人：每人每月享受不少于3小时免费生活照料服务，每月上门不少于2天，每天不少于1小时；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6、自理的低保和低保边缘户家庭中的计生特扶老人：每人每月享受不少于3小时免费生活照料服务，每月上门不少于2天，每天不少于1小时；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7、80周岁以上老人：每人每月享受不少于2小时免费生活照料服务，每月上门不少于2天，每天不少于1小时。</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照护服务中的服务对象具备多种身份的，服务标准就高享受。</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政府养老扶助对象，是指特困老年人，最低生活保障家庭以及最低生活保障边缘家庭中的老年人，经济困难的失智、失能、半失能老年人，计划生育特殊家庭老年人，百岁老人等市人民政府规定扶助的老年人。）</w:t>
      </w:r>
      <w:r>
        <w:rPr>
          <w:rFonts w:ascii="宋体" w:hAnsi="宋体" w:eastAsia="宋体" w:cs="宋体"/>
          <w:color w:val="000000"/>
          <w:sz w:val="24"/>
        </w:rPr>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四、服务清单</w:t>
      </w:r>
      <w:r>
        <w:rPr>
          <w:rFonts w:hint="eastAsia" w:ascii="黑体" w:hAnsi="黑体" w:eastAsia="黑体" w:cs="黑体"/>
          <w:color w:val="000000"/>
          <w:sz w:val="24"/>
          <w:szCs w:val="24"/>
          <w:lang w:val="en-US" w:eastAsia="zh-CN"/>
        </w:rPr>
      </w:r>
      <w:r/>
    </w:p>
    <w:tbl>
      <w:tblPr>
        <w:tblStyle w:val="1004"/>
        <w:tblW w:w="0" w:type="auto"/>
        <w:tblInd w:w="14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5"/>
        <w:gridCol w:w="2070"/>
        <w:gridCol w:w="2378"/>
        <w:gridCol w:w="4067"/>
      </w:tblGrid>
      <w:tr>
        <w:trPr>
          <w:trHeight w:val="585"/>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服务大项</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服务小项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服务说明</w:t>
            </w:r>
            <w:r/>
          </w:p>
        </w:tc>
      </w:tr>
      <w:tr>
        <w:trPr>
          <w:trHeight w:val="56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助餐</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上门送餐</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上传餐食图片</w:t>
            </w:r>
            <w:r/>
          </w:p>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（包括餐食包装、时间等）</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上门做餐</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上门助浴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床上擦浴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助行</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陪同户外散步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陪同外出</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助洁（家政）</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洗衣服</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洗被褥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打扫家庭卫生</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家政预约</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上传预约证明</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整理床单位</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代送洗衣物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上传相关证明（接、送可各计算一次）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助洁（护理）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刮脸</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理发</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床上洗头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口腔护理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面部清洁和梳头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协助更衣</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修脚</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剪指甲</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助购</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代购生活必需品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陪同购物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助医</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代为取药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协助服药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陪同就医</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生命体征监测</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血糖测量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血压测量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血氧测量</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助急</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知识宣教</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设备检查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制定预案</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现场处置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紧急呼叫</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上传呼叫证明和相关材料</w:t>
            </w:r>
            <w:r/>
          </w:p>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（包括但不限于处理情况说明）</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代缴代购（委托服务）</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代购、代领物品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物品照片</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代缴水费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代缴燃气费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代缴电话费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代缴其他费</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代办证件</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上传代办凭证</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其他委托业务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上传委托凭证</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银发顾问</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政策咨询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健康管理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解读体检报告</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上传体检报告解读情况（书面）</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健康服务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能力评估</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一年不能超过两次，上传评估材料</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康复护理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家庭护理</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按摩推拿</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上门鼻饲</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上门翻身拍背</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针对卧床老年人</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上门喂饭</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留置尿管的护理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会阴护理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失禁护理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床上使用便器</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压疮预防及护理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协助床上移动</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协助上厕所</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生活陪伴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上门陪伴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上门聊天</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电话陪伴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工作人员电话陪伴或协助老人与家属电话，上传通话截图</w:t>
            </w:r>
            <w:r/>
          </w:p>
        </w:tc>
      </w:tr>
      <w:tr>
        <w:trPr>
          <w:trHeight w:val="56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网络陪</w:t>
            </w:r>
            <w:r>
              <w:rPr>
                <w:rFonts w:hint="eastAsia" w:ascii="宋体" w:hAnsi="宋体" w:eastAsia="宋体" w:cs="宋体"/>
                <w:color w:val="000000"/>
                <w:sz w:val="22"/>
                <w:lang w:val="en-US" w:eastAsia="zh-CN"/>
              </w:rPr>
              <w:t xml:space="preserve">伴</w:t>
            </w:r>
            <w:r>
              <w:rPr>
                <w:rFonts w:hint="eastAsia" w:eastAsia="宋体"/>
                <w:lang w:val="en-US" w:eastAsia="zh-CN"/>
              </w:rPr>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工作人员网络陪伴或协助老人与家属网络沟通，上传网络截图</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读书读报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精神慰藉</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心理咨询</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心理疏导</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临终关怀</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创建环境</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体征监测</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家属支持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尸体料理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上传救援处理相关材料</w:t>
            </w:r>
            <w:r/>
          </w:p>
        </w:tc>
      </w:tr>
      <w:tr>
        <w:trPr>
          <w:trHeight w:val="56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安装结束后选择项目，一年原则上不超过一次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教育培训</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疾病预防知识宣教</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智能技术</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智能手机使用交流</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适老产品的租赁、回收服务（上门服务）</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上传租赁协议、使用照片</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w:t>
            </w:r>
            <w:r/>
          </w:p>
        </w:tc>
        <w:tc>
          <w:tcPr>
            <w:tcMar>
              <w:left w:w="108" w:type="dxa"/>
              <w:top w:w="0" w:type="dxa"/>
              <w:right w:w="108" w:type="dxa"/>
              <w:bottom w:w="0" w:type="dxa"/>
            </w:tcMar>
            <w:tcW w:w="2070" w:type="dxa"/>
            <w:vAlign w:val="center"/>
            <w:vMerge w:val="restart"/>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助安</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安全护理</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家电维修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水管维修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电气维修</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安全检查</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929"/>
              <w:spacing w:after="0" w:line="240" w:lineRule="auto"/>
            </w:pPr>
            <w:r/>
            <w:r/>
          </w:p>
        </w:tc>
        <w:tc>
          <w:tcPr>
            <w:tcW w:w="2070" w:type="dxa"/>
            <w:vAlign w:val="top"/>
            <w:vMerge w:val="continue"/>
            <w:textDirection w:val="lrTb"/>
            <w:noWrap w:val="false"/>
          </w:tcPr>
          <w:p>
            <w:pPr>
              <w:pStyle w:val="929"/>
              <w:spacing w:after="0" w:line="240" w:lineRule="auto"/>
            </w:pPr>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下水道疏通</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4067"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上传助农照片</w:t>
            </w:r>
            <w:r/>
          </w:p>
        </w:tc>
      </w:tr>
      <w:tr>
        <w:trPr>
          <w:trHeight w:val="397"/>
        </w:trPr>
        <w:tc>
          <w:tcPr>
            <w:tcMar>
              <w:left w:w="108" w:type="dxa"/>
              <w:top w:w="0" w:type="dxa"/>
              <w:right w:w="108" w:type="dxa"/>
              <w:bottom w:w="0" w:type="dxa"/>
            </w:tcMar>
            <w:tcW w:w="735"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w:t>
            </w:r>
            <w:r/>
          </w:p>
        </w:tc>
        <w:tc>
          <w:tcPr>
            <w:tcMar>
              <w:left w:w="108" w:type="dxa"/>
              <w:top w:w="0" w:type="dxa"/>
              <w:right w:w="108" w:type="dxa"/>
              <w:bottom w:w="0" w:type="dxa"/>
            </w:tcMar>
            <w:tcW w:w="2070"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2378" w:type="dxa"/>
            <w:vAlign w:val="center"/>
            <w:textDirection w:val="lrTb"/>
            <w:noWrap w:val="false"/>
          </w:tcPr>
          <w:p>
            <w:pPr>
              <w:pStyle w:val="92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4067" w:type="dxa"/>
            <w:vAlign w:val="center"/>
            <w:textDirection w:val="lrTb"/>
            <w:noWrap/>
          </w:tcPr>
          <w:p>
            <w:pPr>
              <w:pStyle w:val="929"/>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注：1.服务标准和要求执行《关于制定印发&lt;六合区社区居家养老服务项目清单&gt;的通知》文件要求。</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2.服务清单中带“★”的为实质性要求，不得负偏离，否则为无效标；其他为非实质性要求，可根据采购人需求提供。</w:t>
      </w:r>
      <w:r/>
    </w:p>
    <w:p>
      <w:pPr>
        <w:pStyle w:val="929"/>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lang w:val="en-US" w:eastAsia="zh-CN"/>
        </w:rPr>
        <w:t xml:space="preserve">五</w:t>
      </w:r>
      <w:r>
        <w:rPr>
          <w:rFonts w:hint="eastAsia" w:ascii="黑体" w:hAnsi="黑体" w:eastAsia="黑体" w:cs="黑体"/>
          <w:color w:val="000000"/>
          <w:sz w:val="24"/>
          <w:szCs w:val="24"/>
        </w:rPr>
        <w:t xml:space="preserve">、拟采购标的需要满足的技术、商务要求</w:t>
      </w:r>
      <w:r>
        <w:rPr>
          <w:rFonts w:hint="eastAsia" w:ascii="宋体" w:hAnsi="宋体" w:cs="宋体"/>
          <w:b/>
          <w:color w:val="000000"/>
          <w:sz w:val="24"/>
          <w:szCs w:val="24"/>
        </w:rPr>
      </w:r>
      <w:r/>
    </w:p>
    <w:p>
      <w:pPr>
        <w:pStyle w:val="929"/>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29"/>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服务项目</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1、生命体征监测</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体温：对老年痴呆、精神异常、意识不清、烦躁和不合作者，应采取恰当的测量方法或在床旁协助测量体温.体温计消毒方法符合要求。测腋温、口温、肛温时，应选择合适的体温计，并注意将体温计放置在正确的位置。</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（2）脉搏：一般患者可以测量30秒，脉搏异常的患者，测量1分钟，避免在偏瘫侧、形成动静脉痿侧肢体、术肢等部位测量脉搏。</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（3）呼吸：测量呼吸时护理对象取自然体位，观察护理对象胸部或腹部起伏，测量30秒观察护理对象呼吸频率、节律、幅度和类型等情况。</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血压：测量血压时，协助护理对象采取坐位或者卧位，保持血压计零点、肱动脉与心脏同一水平选择宽窄度适宜的袖带，驱尽袖带内空气，平整地缠于护理对象上臂中部，松紧以能放入一指为宜，下缘距肘窝2-3厘米。正确判断收缩压与舒张压.如血压听不清或有异常时，应间隔1-2分钟后重新测量.长期观察血压的护理对象，做到四定：定时间、定部位、定体位、定血压计。</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2、整理床单位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（1）根据护理对象的病情、意识、活动和合作能力，有无引流管、伤口，有无大小便失禁等，采用适宜的方法整理床单。</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（2）做好安全措施，防治护理对象坠床。</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（3）按操作规程更换污染的床单位。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（4）保证床单位整洁，护理对象卧位舒适。</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3、上门送餐</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（1）餐食符合国家食品安全法律法规的规定和食品行业标准。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（2）送餐应及时，饮食应保温、保鲜、密闭、防止细菌滋生，提供符合保温、保鲜要求的设备及运输工具，保证及时、准确、安全地将餐饮送达。</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（3）膳食供应方应获得卫生许可证，送餐人员应持有健康证。</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4、上门助医</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（1）协助监护人陪送老年人到医院就医或代为取药。</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（2）协助生活不能自理的老年人服用药品。</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5、家务料理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（1）助洁主要包括整洁居室（客厅、卧室、厨房、卫生间）和清洁灶具。</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（2）墙壁：无尘土、开关盒等表面洁净。 </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（3）门及框：触摸光滑、有光泽，门沿上无尘土。 </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（4）地面：木地板洁净，瓷砖无尘土有光泽。</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（5）玻璃：目视无水痕、无手印、无污渍、光亮洁净。</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（6）厨房：无明显污渍、不锈钢灶具光亮洁净、地面无死角、无遗漏。</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（7）卫生间：洁具洁净光亮、地面无死角、无遗漏、无异味。</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（8）清洁灶具：应及时清洗，保持洁净，必要的进行定期消毒处理。</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6、安全护理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（1）根据护理对象的病情、意识、活动能力、生理机能、家庭环境等，做好坠床、跌倒、烫伤、误吸、误食、错服药物等意外的防护。</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（2）安全护理包括安全教育，对护理对象进行安全方面的指导，嘱咐服务对象或其家属注意自身安全。提高自我防范意识。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（3）指导服务对象或其家属根据安全要求，改造居家设施，消除不安全因素</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7、协助更衣</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（1）根据护理对象病情、意识、肌力、活动和合作能力、有无肢体偏瘫、手术、引流管，选择不同的更衣方法， 病情稳定可采取半坐卧位或坐位更换，手术或卧床可采取轴式翻身法更换。</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更衣可与温水擦浴、会阴护理等同时进行，原则是：①脱衣方法：无肢体活动障碍时，先近侧，后远侧；一侧肢体活动障碍时，先健侧，后患侧。②穿衣方法：无肢体活动障碍时，先远侧，后近侧；一侧肢体活动障碍时，先患侧，后健侧。</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（3）更衣过程中，注意保护伤口和各种管路，注意保暖。</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8、协助床上移动</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（1）根据护理对象的病情、肤体活动能力、年龄、体重，有无约束、伤口、引流管、骨折和牵引等，协助适度移动。</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（2）妥善处置各种管路，避免施拉，保护局部皮肤。</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（3）保证体位舒适。</w:t>
      </w:r>
      <w:r>
        <w:rPr>
          <w:rFonts w:ascii="宋体" w:hAnsi="宋体" w:eastAsia="宋体" w:cs="宋体"/>
          <w:b/>
          <w:color w:val="000000"/>
          <w:sz w:val="24"/>
        </w:rPr>
        <w:t xml:space="preserve"> </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9、温水擦浴</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（1）根据护理对象病情、 生活自理能力及皮肤完整性等，选择适当时间进行温水擦浴。</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（2）房问温度适宜，尽量减少暴露，注意保暖和保护隐私。</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（3）保持水温适宜，擦洗的方法和顺序正确。</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（4）擦浴时注意保护伤口和各种管路，擦浴后检查和妥善固定各种管路。</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（5）保持床单位的清洁、于燥；护理对象身体清洁、舒适。</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10、压疮预防及护理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预防护理对象发生压疮，为有压疮的护理对象实施恰当的护理措施，促进压疮愈合。</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（1）遵循标准预防、消毒隔离、无菌技术、安全的原则。</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（2）评估和确定护理对象发生压疮的危险程度，采取预防措施，如定时翻身、气垫减压等。</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（3）对出现压疮的护理对象，评估压疮的部位、面积、分期、有无感染等，分析导致发生压疮的危险因素并口头告知护理对象/家属，进行压疮治疗。</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（4）如压疮出现红、肿、痛等感染征象，及时送医处理。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（5）与护理对象沟通，为护理对象提供心理支持及压疮护理的健康指导。</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（6）保证预防压疮的措施到位，预防或降低压疮的发生；为有压疮的护理对象实施恰当的护理措施，促进压疮愈合。</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11、面部清洁和梳头</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（1）根据护理对象的病情、意识、生活自理能力及个人习惯，选择舒适体位。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（2）保持床单位清洁、干燥。</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（3）保证面部清洁，头发整洁，感觉舒适。</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12、床上洗头</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（1）根据护理对象的病情、意识、生活自理能力及个人卫生习惯、头发清洁度，选择合适体位适时进行。</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（2）操作过程中注意保护伤口和各种管路；清洗后，及时擦干或吹干头发.防止护理对象受凉。</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（3）保持床单位清洁干燥：头发清洁、 整齐，感觉舒适。</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13、协助进食/水</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（1）遵循安全的原则。</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（2）评估护理对象的病情、饮食种类、液体出入量、自行进食能力，有无偏瘫、吞咽困难、视力减退等。</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（3）评估护理对象有无餐前、餐中用药，以及是否有治疗饮食，给予指导，保证疗效。</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（4）协助护理对象进食过程中，应注意食物温度、软硬度及护理对象的咀嚼能力，观察有无吞咽困难、呛咳、恶心、呕吐等。</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（5）进餐完毕，清洁并检查口腔，及时清理用物及整理床单位，保持适当体位。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（6）必要时，准确记录护理对象的进食/水时间、种类、进食/水量等。</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14、口腔护理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（1）指导护理对象漱口方法，鼓励并协助自行刷牙。</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（2）遵医嘱选择合适的口腔护理溶液湿润棉球进行口腔护理，操作前后必须清点核对棉球数量。</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（3）保证口腔卫生得到改善，粘膜、牙齿无损伤。</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15、协助翻身及有效咳痰</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（1）根据护理对象的年龄、体重、病情、肢体活动能力、心功能状况，有无手术、引流管、骨折和牵引等，确定翻身的频次、体位、方式，选择合适的皮肤减压用具。</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（2）有活动性内出血、咯血、气胸、肋骨骨折、肺水肿、低血压等，禁止背部叩击。</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（3）翻身时，给予护理对象拍背，促进排痰.拍背原则：从下至上、从外至内，背部从第十肋间隙、胸部从第六肋间隙开始向上叩击至肩部，注意避开乳房及心前区，力度适宜。</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（4）保证卧位姿势定时更换，减轻局部组织的压力预防并发症，有效排出痰液。</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16、留置尿管的护理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（1）遵循消毒隔离、无菌操作的原则，预防感染，促进自主排尿的功能恢复。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（2）评估和观察护理对象尿管留置时间、尿液颜色、性状、量，膀脱功能，有无尿频、尿急、腹痛等症状。</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（3）做好会阴护理，保持尿道口清洁，保持尿管通畅，定期更换尿管及尿袋。</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（4）留置尿管期间，妥善固定尿管及尿袋，尿袋的高度不能高于膀胱，及时排放尿液，协助长期留置尿管的护理对象进行膀胱功能训练。</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（5）拔管后根据病情，鼓励护理对象多饮水，观察护理对象自主排尿及尿液情况，有排尿困难及时处理。</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17、会阴护理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（1）根据会阴部有无伤口、有无失禁和留置尿管等、确定会阴护理的方法。</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（2）保护护理对象隐私。</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（3）保证会阴清洁，预防和减少感染的发生。</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18、失禁护理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（1）护理时与护理对象沟通，清洁到位，注意保暖，保护隐私。</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（2）根据病情，采取相应的保护措施，如对男性患者可以采用尿套技术，女性患者可以采用尿垫等（留置导尿除外）。</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（3）鼓励并指导护理对象进行膀胧功能及盆底肌的训练。</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（4）保持床单位清洁、干燥：护理对象皮肤清洁，感觉舒适</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19、床上使用便器</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（1）根据护理对象的生活自理能力及活动情况，帮助或协助其使用便器，满足其需求。</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（2）排便时采取正确体位，注意保护隐私。</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（3）便后观察排泄物性状及骸尾部位的皮肤，保持床单位清洁、干操。</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20、指甲/脚趾甲护理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 意识、生活自理能力及个人卫生习惯、指/脚趾甲的长度，适时进行护理。</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（2）选择合适的指甲刀；修剪过程中，避免损伤甲床及周围皮肤。</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（3）操作后保持床单位整洁；保持生活不能自理护理对象指/脚趾甲的清洁、长度宜。</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21、足部清洁</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（1）根据护理对象的病情、足部皮肤情况，选择适宜的水温、清洁方法和舒适体位。</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（2）保持床单位清洁、干燥。</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（3）保证足部清洁。</w:t>
      </w:r>
      <w:r/>
    </w:p>
    <w:p>
      <w:pPr>
        <w:pStyle w:val="929"/>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22、日间照料</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（1）老人在养老服务站点接受全托式的照料。</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（2）服务内容采取打包式服务。</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（3）针对半失能、失能老人分别提供打包服务。</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（4）半失能老人服务包括：一日三餐、日间休息、测量血压血糖等日常体检项目， 康复保健、慢病建档和管理、慢病康复理疗、看护、其他必要的服务项目。失能老人服务包括：在半失能老人服务的基础上增加协助进食、口腔护理等所有必要的护理项目。</w:t>
      </w:r>
      <w:r/>
    </w:p>
    <w:p>
      <w:pPr>
        <w:pStyle w:val="929"/>
        <w:ind w:left="0" w:right="0" w:firstLine="482"/>
        <w:keepLines w:val="0"/>
        <w:keepNext w:val="0"/>
        <w:pageBreakBefore w:val="0"/>
        <w:spacing w:before="120" w:after="0" w:line="440" w:lineRule="exact"/>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（二）商务要求</w:t>
      </w:r>
      <w:r>
        <w:rPr>
          <w:rFonts w:hint="eastAsia" w:ascii="宋体" w:hAnsi="宋体" w:eastAsia="宋体" w:cs="宋体"/>
          <w:b/>
          <w:color w:val="000000"/>
          <w:sz w:val="24"/>
          <w:lang w:val="en-US" w:eastAsia="zh-CN"/>
        </w:rPr>
      </w:r>
      <w:r/>
    </w:p>
    <w:p>
      <w:pPr>
        <w:pStyle w:val="929"/>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、合同续签</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议签订后服务单位积极履行义务，配合镇、村（社区）要求完成照护服务考核目标，对于合同期间履约良好的，依据六合区民政局《关于进一步做好六合区高龄、经济困难失能老年人养老服务保障暨政府购买照护服务工作的通知》文件精神，可以续签服务协议。如续签，采购人按照申报的采购计划、采购预算等与服务单位续签服务协议。如因合同履约不达标，采购人将另行采购。</w:t>
      </w:r>
      <w:r/>
    </w:p>
    <w:p>
      <w:pPr>
        <w:pStyle w:val="929"/>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、服务监管</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实行多</w:t>
      </w:r>
      <w:r>
        <w:rPr>
          <w:rFonts w:ascii="宋体" w:hAnsi="宋体" w:eastAsia="宋体" w:cs="宋体"/>
          <w:color w:val="000000"/>
          <w:sz w:val="24"/>
        </w:rPr>
        <w:t xml:space="preserve">重监管。建立区-街镇-社区（村）三级服务质态监管体系，区通过智慧养老大数据信息平台，线上对上门服务情况和满意度进行回访调查，线上回访率不低于日工单的5%， 回访结果每季度反馈至采购人，采购人可将回访结果作为年度考核依据；采购人应当安排专职人员通过上门、委托第三方等方式对服务对象开展满意度回访调查，回访人数应当不低于接受服务老年人总数的10%，当满意度低于80%的，要求服务商限时整改，整改不到位的可终止服务资格；各服务商要对日工单进行回访，对服务质态及时长不符合规范的，均作废单处理，通知服务人员重新提供服务。</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服务数据核减。一是按照服务项目设定要求，服务对象每人每年服务项目少于3个的；二是发生6:00至21:00以外时间段的服务数据，服务</w:t>
      </w:r>
      <w:r>
        <w:rPr>
          <w:rFonts w:ascii="宋体" w:hAnsi="宋体" w:eastAsia="宋体" w:cs="宋体"/>
          <w:color w:val="000000"/>
          <w:sz w:val="24"/>
        </w:rPr>
        <w:t xml:space="preserve">超过5小时、未主动结束、跨天服务以及死亡后产生的服务；三是同期间享受失能险、入住养老机构或医疗机构的服务；四是经入户核查，老年人或其家属反映虚假服务、不达标服务、服务不满意且影响较大的工单；五是经核查与测算，服务时长、服务次数不达标的服务数据；六是社会投诉举报并经民政部门查证属实的服务工单，包括但不限于市民举报（含信访）、媒体曝光、12345工单投诉等，并在全区进行通报；七是同一位老人30分钟内有多条服务数据的保留首条数据，同一位护理员30分钟内有多条服务数据的保留首条数据；八是其他街镇认为应予核减的情形。</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行为资格监管。服务商有以下情形之一的，取消服务资格，并在近三年内不得参与全区范围内的居家养老服务：</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1）以向服务对象送实物等变通方式套取服务对象补贴资金的；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2）借助开展服务的机会向老年人推销虚假保健品等假冒伪劣老年产品的；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3）借助开展服务的机会向老年人集资、吸储等严重 损害了老年人合法权益的；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4）中标后，不具备完成政府购买照护服务能力的；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5）服务质效差并产生恶劣影响的；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6）服务商有其他违法行为的。</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其他要求详见《关于进一步做好六合区高龄、经济困难失能老年人养老服务保障暨政府购买照护服务工作的通知》。</w:t>
      </w:r>
      <w:r/>
    </w:p>
    <w:p>
      <w:pPr>
        <w:pStyle w:val="929"/>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、付款方式</w:t>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采用二维码监管的方式，供应商上门服务开始与结束时，都需要扫二维码。二维码信息由成交供应商每月定期汇总给采购方，各服务组织的服务经费以二维码管理系统数据，结合第三方考核合格数据结果计算。具体付款时间根据上级财政拨付。</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rPr>
        <w:t xml:space="preserve">政府购买居家上门照护服务财政补贴标准，单价为31.2元/人/小时。如后期政策调整，以最新政策标准进行相应调整。</w:t>
      </w:r>
      <w:r/>
    </w:p>
    <w:p>
      <w:pPr>
        <w:pStyle w:val="929"/>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、特别说明</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除人户分离、或因拆迁等特殊原因造成暂时性迁居等情形外，辖区内服务对象的服务覆盖率应达到98%以上。协助街道和村居做好其他养老服务工作。</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供应商应充分考虑所有可能影响到报价的价格及政策等风险因素。</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供应商的任何错漏、优惠、竞争性报价不得作为减轻责任、减少服务、增加收费、降低质量的理由。</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供应商报价除包含采购文件中列明的项目外还应包括保障服务正常运行应当具有的物资和服务，对服务正常运行应当具有的物资和服务理解不一致的以采购人理解为准。</w:t>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六、责任归属</w:t>
      </w:r>
      <w:r>
        <w:rPr>
          <w:rFonts w:hint="eastAsia" w:ascii="黑体" w:hAnsi="黑体" w:eastAsia="黑体" w:cs="黑体"/>
          <w:color w:val="000000"/>
          <w:sz w:val="24"/>
          <w:szCs w:val="24"/>
          <w:lang w:val="en-US" w:eastAsia="zh-CN"/>
        </w:rPr>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1、采购人在任何情况和条件下都不承担对管理团队、片管团队、签单团队、护理人员、护士、医师的管理和隶属责任，与其没有任何劳动人事关系，护理员发生的任何工伤事故与采购人没有任何关系。</w:t>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2、服务过程中对服务对象及其周边相关第三方造成的任何家庭财产、个人财产和个人身体损坏、伤害，均由服务的中标供应商负责协调和赔偿。</w:t>
      </w:r>
      <w:r/>
    </w:p>
    <w:p>
      <w:pPr>
        <w:pStyle w:val="92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七、其他</w:t>
      </w:r>
      <w:r>
        <w:rPr>
          <w:rFonts w:hint="eastAsia" w:ascii="黑体" w:hAnsi="黑体" w:eastAsia="黑体" w:cs="黑体"/>
          <w:color w:val="000000"/>
          <w:sz w:val="24"/>
          <w:szCs w:val="24"/>
          <w:lang w:val="en-US" w:eastAsia="zh-CN"/>
        </w:rPr>
      </w:r>
      <w:r/>
    </w:p>
    <w:p>
      <w:pPr>
        <w:pStyle w:val="929"/>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竹镇镇2026年度老年人照护服务分：</w:t>
      </w:r>
      <w:r>
        <w:rPr>
          <w:rFonts w:hint="eastAsia" w:ascii="宋体" w:hAnsi="宋体"/>
          <w:sz w:val="24"/>
          <w:lang w:eastAsia="zh-CN"/>
        </w:rPr>
        <w:t xml:space="preserve">2026年度竹镇镇西片区老年人照护服务</w:t>
      </w:r>
      <w:r>
        <w:rPr>
          <w:rFonts w:hint="eastAsia" w:ascii="宋体" w:hAnsi="宋体"/>
          <w:sz w:val="24"/>
          <w:lang w:val="en-US" w:eastAsia="zh-CN"/>
        </w:rPr>
        <w:t xml:space="preserve">和</w:t>
      </w:r>
      <w:r>
        <w:rPr>
          <w:rFonts w:hint="eastAsia" w:ascii="宋体" w:hAnsi="宋体"/>
          <w:sz w:val="24"/>
          <w:lang w:eastAsia="zh-CN"/>
        </w:rPr>
        <w:t xml:space="preserve">2026年度竹镇镇东片区老年人照护服务，</w:t>
      </w:r>
      <w:r>
        <w:rPr>
          <w:rFonts w:hint="eastAsia" w:ascii="宋体" w:hAnsi="宋体"/>
          <w:sz w:val="24"/>
          <w:lang w:val="en-US" w:eastAsia="zh-CN"/>
        </w:rPr>
        <w:t xml:space="preserve">供应商可同时参加，但最多只能成交一个。</w:t>
      </w:r>
      <w:r>
        <w:rPr>
          <w:rFonts w:ascii="宋体" w:hAnsi="宋体" w:eastAsia="宋体" w:cs="宋体"/>
          <w:color w:val="000000"/>
          <w:sz w:val="24"/>
        </w:rPr>
      </w:r>
      <w:r/>
    </w:p>
    <w:p>
      <w:pPr>
        <w:pStyle w:val="929"/>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
    </w:p>
    <w:p>
      <w:pPr>
        <w:pStyle w:val="929"/>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ascii="宋体" w:hAnsi="宋体" w:eastAsia="宋体" w:cs="宋体"/>
          <w:color w:val="000000"/>
          <w:sz w:val="24"/>
        </w:rPr>
        <w:t xml:space="preserve"> </w:t>
      </w:r>
      <w:r>
        <w:rPr>
          <w:rFonts w:hint="eastAsia" w:ascii="宋体" w:hAnsi="宋体" w:eastAsia="宋体" w:cs="宋体"/>
          <w:bCs/>
          <w:color w:val="0000ff"/>
          <w:sz w:val="24"/>
          <w:szCs w:val="24"/>
          <w:highlight w:val="none"/>
          <w:lang w:val="en-US" w:eastAsia="zh-CN"/>
        </w:rPr>
      </w:r>
      <w:r/>
    </w:p>
    <w:p>
      <w:pPr>
        <w:pStyle w:val="929"/>
        <w:jc w:val="center"/>
        <w:keepNext/>
        <w:rPr>
          <w:rFonts w:hint="eastAsia" w:ascii="黑体" w:hAnsi="Times New Roman" w:eastAsia="黑体"/>
          <w:bCs/>
          <w:sz w:val="44"/>
          <w:szCs w:val="28"/>
        </w:rPr>
        <w:outlineLvl w:val="0"/>
      </w:pPr>
      <w:r/>
      <w:bookmarkStart w:id="126"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929"/>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929"/>
        <w:ind w:firstLine="48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eastAsia="宋体" w:cs="宋体"/>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磋商小组按照评审总分由高到低顺序推荐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名成交候选供应商，并编写评审报告。评审得分相同的，按照最后报价由低到高的顺序推荐。评审得分且最后报价相同的，按照“评审标准三、评标标准中</w:t>
      </w:r>
      <w:r>
        <w:rPr>
          <w:rFonts w:hint="eastAsia" w:ascii="宋体" w:hAnsi="宋体" w:eastAsia="宋体" w:cs="宋体"/>
          <w:color w:val="0000ff"/>
          <w:sz w:val="24"/>
          <w:szCs w:val="24"/>
          <w:highlight w:val="none"/>
          <w:lang w:val="en-US" w:eastAsia="zh-CN"/>
        </w:rPr>
        <w:t xml:space="preserve">4.1</w:t>
      </w:r>
      <w:r>
        <w:rPr>
          <w:rFonts w:hint="eastAsia" w:ascii="宋体" w:hAnsi="宋体" w:eastAsia="宋体" w:cs="宋体"/>
          <w:sz w:val="24"/>
          <w:szCs w:val="24"/>
        </w:rPr>
        <w:t xml:space="preserve">项”得分由高到低顺序推荐。</w:t>
      </w:r>
      <w:r>
        <w:rPr>
          <w:rFonts w:hint="eastAsia" w:ascii="宋体" w:hAnsi="宋体" w:eastAsia="宋体" w:cs="宋体"/>
          <w:sz w:val="24"/>
          <w:szCs w:val="24"/>
        </w:rPr>
      </w:r>
      <w:r/>
    </w:p>
    <w:p>
      <w:pPr>
        <w:pStyle w:val="929"/>
        <w:ind w:firstLine="480"/>
        <w:spacing w:line="240" w:lineRule="auto"/>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1.本</w:t>
      </w:r>
      <w:r>
        <w:rPr>
          <w:rFonts w:hint="eastAsia" w:ascii="宋体" w:hAnsi="宋体" w:eastAsia="宋体" w:cs="宋体"/>
          <w:sz w:val="24"/>
          <w:szCs w:val="24"/>
        </w:rPr>
        <w:t xml:space="preserve">项目如</w:t>
      </w:r>
      <w:r>
        <w:rPr>
          <w:rFonts w:hint="eastAsia" w:ascii="宋体" w:hAnsi="宋体" w:eastAsia="宋体" w:cs="宋体"/>
          <w:sz w:val="24"/>
          <w:szCs w:val="24"/>
          <w:lang w:val="zh-CN"/>
        </w:rPr>
        <w:t xml:space="preserve">既有本国产品又有非本国产品参与竞争，依法对本国产品给予价格评审优惠，对本国产品的报价给予</w:t>
      </w:r>
      <w:r>
        <w:rPr>
          <w:rFonts w:hint="eastAsia" w:ascii="宋体" w:hAnsi="宋体" w:eastAsia="宋体" w:cs="宋体"/>
          <w:color w:val="0000ff"/>
          <w:sz w:val="24"/>
          <w:szCs w:val="24"/>
          <w:lang w:val="zh-CN"/>
        </w:rPr>
        <w:t xml:space="preserve">20%</w:t>
      </w:r>
      <w:r>
        <w:rPr>
          <w:rFonts w:hint="eastAsia" w:ascii="宋体" w:hAnsi="宋体" w:eastAsia="宋体" w:cs="宋体"/>
          <w:sz w:val="24"/>
          <w:szCs w:val="24"/>
          <w:lang w:val="zh-CN"/>
        </w:rPr>
        <w:t xml:space="preserve">的价格扣除，用扣除后的价格参与评审。</w:t>
      </w:r>
      <w:r>
        <w:rPr>
          <w:rFonts w:hint="eastAsia" w:ascii="宋体" w:hAnsi="宋体" w:eastAsia="宋体" w:cs="宋体"/>
          <w:sz w:val="24"/>
          <w:szCs w:val="24"/>
          <w:lang w:val="zh-CN"/>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2.如本</w:t>
      </w:r>
      <w:r>
        <w:rPr>
          <w:rFonts w:hint="eastAsia" w:ascii="宋体" w:hAnsi="宋体" w:eastAsia="宋体" w:cs="宋体"/>
          <w:sz w:val="24"/>
          <w:szCs w:val="24"/>
          <w:lang w:val="zh-CN"/>
        </w:rPr>
        <w:t xml:space="preserve">项目或者</w:t>
      </w:r>
      <w:r>
        <w:rPr>
          <w:rFonts w:hint="eastAsia" w:ascii="宋体" w:hAnsi="宋体" w:eastAsia="宋体" w:cs="宋体"/>
          <w:sz w:val="24"/>
          <w:szCs w:val="24"/>
        </w:rPr>
        <w:t xml:space="preserve">其中</w:t>
      </w:r>
      <w:r>
        <w:rPr>
          <w:rFonts w:hint="eastAsia" w:ascii="宋体" w:hAnsi="宋体" w:eastAsia="宋体" w:cs="宋体"/>
          <w:sz w:val="24"/>
          <w:szCs w:val="24"/>
          <w:lang w:val="zh-CN"/>
        </w:rPr>
        <w:t xml:space="preserve">采购包中含有多种产品，供应商为</w:t>
      </w:r>
      <w:r>
        <w:rPr>
          <w:rFonts w:hint="eastAsia" w:ascii="宋体" w:hAnsi="宋体" w:eastAsia="宋体" w:cs="宋体"/>
          <w:sz w:val="24"/>
          <w:szCs w:val="24"/>
        </w:rPr>
        <w:t xml:space="preserve">本</w:t>
      </w:r>
      <w:r>
        <w:rPr>
          <w:rFonts w:hint="eastAsia" w:ascii="宋体" w:hAnsi="宋体" w:eastAsia="宋体" w:cs="宋体"/>
          <w:sz w:val="24"/>
          <w:szCs w:val="24"/>
          <w:lang w:val="zh-CN"/>
        </w:rPr>
        <w:t xml:space="preserve">项目或者</w:t>
      </w:r>
      <w:r>
        <w:rPr>
          <w:rFonts w:hint="eastAsia" w:ascii="宋体" w:hAnsi="宋体" w:eastAsia="宋体" w:cs="宋体"/>
          <w:sz w:val="24"/>
          <w:szCs w:val="24"/>
        </w:rPr>
        <w:t xml:space="preserve">其中</w:t>
      </w:r>
      <w:r>
        <w:rPr>
          <w:rFonts w:hint="eastAsia" w:ascii="宋体" w:hAnsi="宋体" w:eastAsia="宋体" w:cs="宋体"/>
          <w:sz w:val="24"/>
          <w:szCs w:val="24"/>
          <w:lang w:val="zh-CN"/>
        </w:rPr>
        <w:t xml:space="preserve">采购包提供的符合本国产品标准的产品成本之和占该供应商提供的全部产品成本之和的比例达到80%以上时，依法</w:t>
      </w:r>
      <w:r>
        <w:rPr>
          <w:rFonts w:hint="eastAsia" w:ascii="宋体" w:hAnsi="宋体" w:eastAsia="宋体" w:cs="宋体"/>
          <w:sz w:val="24"/>
          <w:szCs w:val="24"/>
        </w:rPr>
        <w:t xml:space="preserve">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宋体"/>
          <w:sz w:val="24"/>
          <w:szCs w:val="24"/>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sz w:val="24"/>
          <w:szCs w:val="24"/>
        </w:rPr>
        <w:t xml:space="preserve">供应商需在《声明函》中填写比例数值</w:t>
      </w:r>
      <w:r>
        <w:rPr>
          <w:rFonts w:hint="eastAsia" w:ascii="宋体" w:hAnsi="宋体" w:eastAsia="宋体" w:cs="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rPr>
      </w:r>
      <w:r/>
    </w:p>
    <w:p>
      <w:pPr>
        <w:pStyle w:val="929"/>
        <w:ind w:firstLine="482"/>
        <w:keepLines w:val="0"/>
        <w:keepNext w:val="0"/>
        <w:pageBreakBefore w:val="0"/>
        <w:spacing w:line="264"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sz w:val="24"/>
          <w:szCs w:val="24"/>
        </w:rPr>
      </w:r>
      <w:r/>
    </w:p>
    <w:p>
      <w:pPr>
        <w:pStyle w:val="9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2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ff"/>
          <w:sz w:val="24"/>
          <w:szCs w:val="24"/>
          <w:highlight w:val="none"/>
          <w:u w:val="none"/>
          <w:lang w:val="zh-CN" w:eastAsia="zh-CN"/>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9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9"/>
        <w:ind w:firstLine="482"/>
        <w:keepLines w:val="0"/>
        <w:keepNext w:val="0"/>
        <w:pageBreakBefore w:val="0"/>
        <w:spacing w:line="264" w:lineRule="auto"/>
        <w:widowControl w:val="off"/>
        <w:rPr>
          <w:rFonts w:hint="eastAsia"/>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lang w:eastAsia="zh-CN"/>
        </w:rPr>
      </w:r>
      <w:r/>
    </w:p>
    <w:p>
      <w:pPr>
        <w:pStyle w:val="92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1049"/>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序号</w:t>
            </w:r>
            <w:r>
              <w:rPr>
                <w:rFonts w:hint="eastAsia" w:ascii="宋体" w:hAnsi="宋体" w:eastAsia="宋体" w:cs="宋体"/>
                <w:b/>
                <w:bCs/>
                <w:spacing w:val="-3"/>
                <w:sz w:val="24"/>
                <w:szCs w:val="24"/>
              </w:rPr>
            </w:r>
            <w:r/>
          </w:p>
        </w:tc>
        <w:tc>
          <w:tcPr>
            <w:tcW w:w="1179"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评审因素</w:t>
            </w:r>
            <w:r>
              <w:rPr>
                <w:rFonts w:hint="eastAsia" w:ascii="宋体" w:hAnsi="宋体" w:eastAsia="宋体" w:cs="宋体"/>
                <w:b/>
                <w:bCs/>
                <w:spacing w:val="-3"/>
                <w:sz w:val="24"/>
                <w:szCs w:val="24"/>
              </w:rPr>
            </w:r>
            <w:r/>
          </w:p>
        </w:tc>
        <w:tc>
          <w:tcPr>
            <w:tcW w:w="6425"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评审细则</w:t>
            </w:r>
            <w:r>
              <w:rPr>
                <w:rFonts w:hint="eastAsia" w:ascii="宋体" w:hAnsi="宋体" w:eastAsia="宋体" w:cs="宋体"/>
                <w:b/>
                <w:bCs/>
                <w:spacing w:val="-3"/>
                <w:sz w:val="24"/>
                <w:szCs w:val="24"/>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分值</w:t>
            </w:r>
            <w:r>
              <w:rPr>
                <w:rFonts w:hint="eastAsia" w:ascii="宋体" w:hAnsi="宋体" w:eastAsia="宋体" w:cs="宋体"/>
                <w:b/>
                <w:bCs/>
                <w:spacing w:val="-3"/>
                <w:sz w:val="24"/>
                <w:szCs w:val="24"/>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类型</w:t>
            </w:r>
            <w:r>
              <w:rPr>
                <w:rFonts w:hint="eastAsia" w:ascii="宋体" w:hAnsi="宋体" w:eastAsia="宋体" w:cs="宋体"/>
                <w:b/>
                <w:bCs/>
                <w:spacing w:val="-3"/>
                <w:sz w:val="24"/>
                <w:szCs w:val="24"/>
              </w:rPr>
            </w:r>
            <w:r/>
          </w:p>
        </w:tc>
      </w:tr>
      <w:tr>
        <w:trPr>
          <w:trHeight w:val="460"/>
        </w:trPr>
        <w:tc>
          <w:tcPr>
            <w:gridSpan w:val="5"/>
            <w:tcW w:w="9612" w:type="dxa"/>
            <w:vAlign w:val="top"/>
            <w:textDirection w:val="lrTb"/>
            <w:noWrap w:val="false"/>
          </w:tcPr>
          <w:p>
            <w:pPr>
              <w:pStyle w:val="929"/>
              <w:ind w:left="114"/>
              <w:keepLines w:val="0"/>
              <w:keepNext w:val="0"/>
              <w:pageBreakBefore w:val="0"/>
              <w:spacing w:before="122" w:line="264"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lang w:val="en-US" w:eastAsia="zh-CN"/>
              </w:rPr>
              <w:t xml:space="preserve">15分</w:t>
            </w:r>
            <w:r>
              <w:rPr>
                <w:rFonts w:hint="eastAsia" w:ascii="宋体" w:hAnsi="宋体" w:eastAsia="宋体" w:cs="宋体"/>
                <w:b/>
                <w:bCs/>
                <w:spacing w:val="-2"/>
                <w:sz w:val="24"/>
                <w:szCs w:val="24"/>
                <w:lang w:eastAsia="zh-CN"/>
              </w:rPr>
              <w:t xml:space="preserve">）</w:t>
            </w:r>
            <w:r>
              <w:rPr>
                <w:rFonts w:hint="eastAsia" w:ascii="宋体" w:hAnsi="宋体" w:eastAsia="宋体" w:cs="宋体"/>
                <w:sz w:val="24"/>
                <w:szCs w:val="24"/>
                <w:lang w:eastAsia="zh-CN"/>
              </w:rPr>
            </w:r>
            <w:r/>
          </w:p>
        </w:tc>
      </w:tr>
      <w:tr>
        <w:trPr>
          <w:trHeight w:val="1030"/>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rPr>
                <w:rFonts w:ascii="宋体" w:hAnsi="宋体" w:eastAsia="宋体" w:cs="宋体"/>
                <w:sz w:val="24"/>
                <w:szCs w:val="24"/>
              </w:rPr>
            </w:r>
            <w:r/>
          </w:p>
        </w:tc>
        <w:tc>
          <w:tcPr>
            <w:tcW w:w="1179" w:type="dxa"/>
            <w:vAlign w:val="center"/>
            <w:textDirection w:val="lrTb"/>
            <w:noWrap w:val="false"/>
          </w:tcPr>
          <w:p>
            <w:pPr>
              <w:pStyle w:val="929"/>
              <w:jc w:val="left"/>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2"/>
                <w:sz w:val="24"/>
                <w:szCs w:val="24"/>
              </w:rPr>
              <w:t xml:space="preserve">价格</w:t>
            </w:r>
            <w:r>
              <w:rPr>
                <w:rFonts w:ascii="宋体" w:hAnsi="宋体" w:eastAsia="宋体" w:cs="宋体"/>
                <w:sz w:val="24"/>
                <w:szCs w:val="24"/>
              </w:rPr>
            </w:r>
            <w:r/>
          </w:p>
        </w:tc>
        <w:tc>
          <w:tcPr>
            <w:tcW w:w="6425" w:type="dxa"/>
            <w:vAlign w:val="center"/>
            <w:textDirection w:val="lrTb"/>
            <w:noWrap w:val="false"/>
          </w:tcPr>
          <w:p>
            <w:pPr>
              <w:pStyle w:val="929"/>
              <w:jc w:val="left"/>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pacing w:val="1"/>
                <w:sz w:val="24"/>
                <w:szCs w:val="24"/>
              </w:rPr>
              <w:t xml:space="preserve">采用低价优先</w:t>
            </w:r>
            <w:r>
              <w:rPr>
                <w:rFonts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即满足</w:t>
            </w:r>
            <w:r>
              <w:rPr>
                <w:rFonts w:hint="eastAsia" w:ascii="宋体" w:hAnsi="宋体" w:eastAsia="宋体" w:cs="宋体"/>
                <w:sz w:val="24"/>
                <w:szCs w:val="24"/>
                <w:lang w:eastAsia="zh-CN"/>
              </w:rPr>
              <w:t xml:space="preserve">采购</w:t>
            </w:r>
            <w:r>
              <w:rPr>
                <w:rFonts w:ascii="宋体" w:hAnsi="宋体" w:eastAsia="宋体" w:cs="宋体"/>
                <w:sz w:val="24"/>
                <w:szCs w:val="24"/>
              </w:rPr>
              <w:t xml:space="preserve">文件要求且</w:t>
            </w:r>
            <w:r>
              <w:rPr>
                <w:rFonts w:hint="eastAsia" w:ascii="宋体" w:hAnsi="宋体" w:eastAsia="宋体" w:cs="宋体"/>
                <w:sz w:val="24"/>
                <w:szCs w:val="24"/>
                <w:lang w:eastAsia="zh-CN"/>
              </w:rPr>
              <w:t xml:space="preserve">最终报价</w:t>
            </w:r>
            <w:r>
              <w:rPr>
                <w:rFonts w:ascii="宋体" w:hAnsi="宋体" w:eastAsia="宋体" w:cs="宋体"/>
                <w:sz w:val="24"/>
                <w:szCs w:val="24"/>
              </w:rPr>
              <w:t xml:space="preserve">最低的</w:t>
            </w:r>
            <w:r>
              <w:rPr>
                <w:rFonts w:hint="eastAsia" w:ascii="宋体" w:hAnsi="宋体" w:eastAsia="宋体" w:cs="宋体"/>
                <w:sz w:val="24"/>
                <w:szCs w:val="24"/>
                <w:lang w:eastAsia="zh-CN"/>
              </w:rPr>
              <w:t xml:space="preserve">供应商</w:t>
            </w:r>
            <w:r>
              <w:rPr>
                <w:rFonts w:ascii="宋体" w:hAnsi="宋体" w:eastAsia="宋体" w:cs="宋体"/>
                <w:spacing w:val="1"/>
                <w:sz w:val="24"/>
                <w:szCs w:val="24"/>
              </w:rPr>
              <w:t xml:space="preserve">报价为评标基准</w:t>
            </w:r>
            <w:r>
              <w:rPr>
                <w:rFonts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ascii="宋体" w:hAnsi="宋体" w:eastAsia="宋体" w:cs="宋体"/>
                <w:sz w:val="24"/>
                <w:szCs w:val="24"/>
              </w:rPr>
              <w:t xml:space="preserve">其价格分为满分。其他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的价格分统一按</w:t>
            </w:r>
            <w:r>
              <w:rPr>
                <w:rFonts w:ascii="宋体" w:hAnsi="宋体" w:eastAsia="宋体" w:cs="宋体"/>
                <w:spacing w:val="-1"/>
                <w:sz w:val="24"/>
                <w:szCs w:val="24"/>
              </w:rPr>
              <w:t xml:space="preserve">照下列公</w:t>
            </w:r>
            <w:r>
              <w:rPr>
                <w:rFonts w:ascii="宋体" w:hAnsi="宋体" w:eastAsia="宋体" w:cs="宋体"/>
                <w:sz w:val="24"/>
                <w:szCs w:val="24"/>
              </w:rPr>
              <w:t xml:space="preserve">式计算：报价得分=(评标基准价/</w:t>
            </w:r>
            <w:r>
              <w:rPr>
                <w:rFonts w:hint="eastAsia" w:ascii="宋体" w:hAnsi="宋体" w:eastAsia="宋体" w:cs="宋体"/>
                <w:sz w:val="24"/>
                <w:szCs w:val="24"/>
                <w:lang w:eastAsia="zh-CN"/>
              </w:rPr>
              <w:t xml:space="preserve">最终</w:t>
            </w:r>
            <w:r>
              <w:rPr>
                <w:rFonts w:ascii="宋体" w:hAnsi="宋体" w:eastAsia="宋体" w:cs="宋体"/>
                <w:sz w:val="24"/>
                <w:szCs w:val="24"/>
              </w:rPr>
              <w:t xml:space="preserve">报价)×</w:t>
            </w:r>
            <w:r>
              <w:rPr>
                <w:rFonts w:hint="eastAsia" w:ascii="宋体" w:hAnsi="宋体" w:eastAsia="宋体" w:cs="宋体"/>
                <w:sz w:val="24"/>
                <w:szCs w:val="24"/>
                <w:lang w:val="en-US" w:eastAsia="zh-CN"/>
              </w:rPr>
              <w:t xml:space="preserve">15（小数点保留两位）</w:t>
            </w:r>
            <w:r>
              <w:rPr>
                <w:rFonts w:ascii="宋体" w:hAnsi="宋体" w:eastAsia="宋体" w:cs="宋体"/>
                <w:sz w:val="24"/>
                <w:szCs w:val="24"/>
                <w:lang w:val="en-US" w:eastAsia="zh-CN"/>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价格分</w:t>
            </w:r>
            <w:r>
              <w:rPr>
                <w:rFonts w:hint="eastAsia" w:ascii="宋体" w:hAnsi="宋体" w:eastAsia="宋体" w:cs="宋体"/>
                <w:sz w:val="24"/>
                <w:szCs w:val="24"/>
                <w:lang w:eastAsia="zh-CN"/>
              </w:rPr>
            </w:r>
            <w:r/>
          </w:p>
        </w:tc>
      </w:tr>
      <w:tr>
        <w:trPr>
          <w:trHeight w:val="460"/>
        </w:trPr>
        <w:tc>
          <w:tcPr>
            <w:gridSpan w:val="5"/>
            <w:tcW w:w="9612" w:type="dxa"/>
            <w:vAlign w:val="top"/>
            <w:textDirection w:val="lrTb"/>
            <w:noWrap w:val="false"/>
          </w:tcPr>
          <w:p>
            <w:pPr>
              <w:pStyle w:val="929"/>
              <w:ind w:left="114"/>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2.技术方案（50分）</w:t>
            </w:r>
            <w:r>
              <w:rPr>
                <w:rFonts w:ascii="宋体" w:hAnsi="宋体" w:eastAsia="宋体" w:cs="宋体"/>
                <w:sz w:val="24"/>
                <w:szCs w:val="24"/>
              </w:rPr>
            </w:r>
            <w:r/>
          </w:p>
        </w:tc>
      </w:tr>
      <w:tr>
        <w:trPr>
          <w:trHeight w:val="891"/>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2.1</w:t>
            </w:r>
            <w:r>
              <w:rPr>
                <w:rFonts w:ascii="宋体" w:hAnsi="宋体" w:eastAsia="宋体" w:cs="宋体"/>
                <w:spacing w:val="-2"/>
                <w:sz w:val="24"/>
                <w:szCs w:val="24"/>
              </w:rPr>
            </w:r>
            <w:r/>
          </w:p>
        </w:tc>
        <w:tc>
          <w:tcPr>
            <w:tcW w:w="1179" w:type="dxa"/>
            <w:vAlign w:val="center"/>
            <w:textDirection w:val="lrTb"/>
            <w:noWrap w:val="false"/>
          </w:tcPr>
          <w:p>
            <w:pPr>
              <w:pStyle w:val="929"/>
              <w:ind w:right="108"/>
              <w:jc w:val="left"/>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color w:val="000000"/>
                <w:sz w:val="24"/>
                <w:szCs w:val="24"/>
                <w:lang w:val="en-US" w:eastAsia="zh-CN" w:bidi="ar"/>
              </w:rPr>
              <w:t xml:space="preserve">服务方案及服务流程安排方案</w:t>
            </w:r>
            <w:r>
              <w:rPr>
                <w:rFonts w:ascii="宋体" w:hAnsi="宋体" w:eastAsia="宋体" w:cs="宋体"/>
                <w:spacing w:val="-2"/>
                <w:sz w:val="24"/>
                <w:szCs w:val="24"/>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评委根据供应商提供的整体服务方案及服务流程安排方案进行综合评分：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服务方案主题突出、全面合理、针对性强，服务流程安排科学合理的得9分；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服务方案主题较突出、较为全面合理、针对性较强，服务流程安排较科学合理的得6分；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服务方案基本能够满足项目需求，服务流程基本合理的得3分；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服务方案有缺漏，服务流程合理性相对欠缺的得1分；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ascii="宋体" w:hAnsi="宋体" w:eastAsia="宋体" w:cs="宋体"/>
                <w:spacing w:val="1"/>
                <w:sz w:val="24"/>
                <w:szCs w:val="24"/>
              </w:rPr>
            </w:pPr>
            <w:r>
              <w:rPr>
                <w:rFonts w:hint="eastAsia" w:ascii="宋体" w:hAnsi="宋体" w:eastAsia="宋体" w:cs="宋体"/>
                <w:color w:val="000000"/>
                <w:sz w:val="24"/>
                <w:szCs w:val="24"/>
                <w:lang w:val="en-US" w:eastAsia="zh-CN" w:bidi="ar"/>
              </w:rPr>
              <w:t xml:space="preserve">未提供不得分。</w:t>
            </w:r>
            <w:r>
              <w:rPr>
                <w:rFonts w:ascii="宋体" w:hAnsi="宋体" w:eastAsia="宋体" w:cs="宋体"/>
                <w:spacing w:val="1"/>
                <w:sz w:val="24"/>
                <w:szCs w:val="24"/>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889"/>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.2</w:t>
            </w:r>
            <w:r>
              <w:rPr>
                <w:rFonts w:ascii="宋体" w:hAnsi="宋体" w:eastAsia="宋体" w:cs="宋体"/>
                <w:spacing w:val="-2"/>
                <w:sz w:val="24"/>
                <w:szCs w:val="24"/>
              </w:rPr>
            </w:r>
            <w:r/>
          </w:p>
        </w:tc>
        <w:tc>
          <w:tcPr>
            <w:tcW w:w="1179" w:type="dxa"/>
            <w:vAlign w:val="center"/>
            <w:textDirection w:val="lrTb"/>
            <w:noWrap w:val="false"/>
          </w:tcPr>
          <w:p>
            <w:pPr>
              <w:pStyle w:val="929"/>
              <w:jc w:val="left"/>
              <w:keepLines w:val="0"/>
              <w:keepNext w:val="0"/>
              <w:pageBreakBefore w:val="0"/>
              <w:spacing w:before="260" w:line="264" w:lineRule="auto"/>
              <w:widowControl w:val="off"/>
              <w:rPr>
                <w:rFonts w:ascii="宋体" w:hAnsi="宋体" w:eastAsia="宋体" w:cs="宋体"/>
                <w:spacing w:val="-2"/>
                <w:sz w:val="24"/>
                <w:szCs w:val="24"/>
                <w:highlight w:val="yellow"/>
                <w:lang w:val="en-US"/>
              </w:rPr>
            </w:pPr>
            <w:r>
              <w:rPr>
                <w:rFonts w:hint="eastAsia" w:ascii="宋体" w:hAnsi="宋体" w:eastAsia="宋体" w:cs="宋体"/>
                <w:color w:val="000000"/>
                <w:sz w:val="24"/>
                <w:szCs w:val="24"/>
                <w:lang w:val="en-US" w:eastAsia="zh-CN" w:bidi="ar"/>
              </w:rPr>
              <w:t xml:space="preserve">服务管理制度</w:t>
            </w:r>
            <w:r>
              <w:rPr>
                <w:rFonts w:ascii="宋体" w:hAnsi="宋体" w:eastAsia="宋体" w:cs="宋体"/>
                <w:spacing w:val="-2"/>
                <w:sz w:val="24"/>
                <w:szCs w:val="24"/>
                <w:highlight w:val="yellow"/>
                <w:lang w:val="en-US"/>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评委根据供应商针对本项目制定相应服务管理制度（包括但不限于服务质量管理制度、服务反馈制度、服务考核奖惩、服务承诺制度、服务对象档案管理制度、工作人员守则等内容）进行综合评分：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各项规章制度合理、规范、全面的得9分；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各项规章制度较合理、较规范、较全面的得6分；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各项规章制度基本合理的3分；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各项规章制度不够规范，合理性性相对欠缺的得1分；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ascii="宋体" w:hAnsi="宋体" w:eastAsia="宋体" w:cs="宋体"/>
                <w:spacing w:val="1"/>
                <w:sz w:val="24"/>
                <w:szCs w:val="24"/>
              </w:rPr>
            </w:pPr>
            <w:r>
              <w:rPr>
                <w:rFonts w:hint="eastAsia" w:ascii="宋体" w:hAnsi="宋体" w:eastAsia="宋体" w:cs="宋体"/>
                <w:color w:val="000000"/>
                <w:sz w:val="24"/>
                <w:szCs w:val="24"/>
                <w:lang w:val="en-US" w:eastAsia="zh-CN" w:bidi="ar"/>
              </w:rPr>
              <w:t xml:space="preserve">未提供不得分。</w:t>
            </w:r>
            <w:r>
              <w:rPr>
                <w:rFonts w:ascii="宋体" w:hAnsi="宋体" w:eastAsia="宋体" w:cs="宋体"/>
                <w:spacing w:val="1"/>
                <w:sz w:val="24"/>
                <w:szCs w:val="24"/>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9</w:t>
            </w:r>
            <w:r>
              <w:rPr>
                <w:rFonts w:ascii="宋体" w:hAnsi="宋体" w:eastAsia="宋体" w:cs="宋体"/>
                <w:sz w:val="24"/>
                <w:szCs w:val="24"/>
                <w:highlight w:val="yellow"/>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z w:val="24"/>
                <w:szCs w:val="24"/>
              </w:rPr>
            </w:r>
            <w:r/>
          </w:p>
        </w:tc>
      </w:tr>
      <w:tr>
        <w:trPr>
          <w:trHeight w:val="825"/>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2.3</w:t>
            </w:r>
            <w:r>
              <w:rPr>
                <w:rFonts w:ascii="宋体" w:hAnsi="宋体" w:eastAsia="宋体" w:cs="宋体"/>
                <w:spacing w:val="-2"/>
                <w:sz w:val="24"/>
                <w:szCs w:val="24"/>
                <w:lang w:val="en-US"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突发事件处理和应急处理方案</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评委根据供应商对日常服务中突发事件处理和应急处理方案进行评分，包括实施中可能遇到的风险预测及应对措施：</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应急预案内容全面，突发事件的处理操作性强的得9分；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应急预案内容较全面，突发事件的处理操作性较强的得6分；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应急预案内容基本合理，突发事件处理方案基本可行的得3分；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应急预案内容及突发事件处理方案可操作性相对欠缺的得1分；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2.4</w:t>
            </w:r>
            <w:r>
              <w:rPr>
                <w:rFonts w:ascii="宋体" w:hAnsi="宋体" w:eastAsia="宋体" w:cs="宋体"/>
                <w:spacing w:val="-2"/>
                <w:sz w:val="24"/>
                <w:szCs w:val="24"/>
                <w:lang w:val="en-US"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沟通机制</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根据供应商对项目沟通机制的主动性进行综合评分：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对于项目实施进度及情况，有专人负责固定时间节点主动向采购人系统性汇报的得8分；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项目实施中遇到情况时能及时向采购人汇报的得6分；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当采购人问询项目实施情况时，能准确汇报相关信息的得4分；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沟通机制有缺漏，信息汇报流程有待完善的得2分；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2.5</w:t>
            </w:r>
            <w:r>
              <w:rPr>
                <w:rFonts w:ascii="宋体" w:hAnsi="宋体" w:eastAsia="宋体" w:cs="宋体"/>
                <w:spacing w:val="-2"/>
                <w:sz w:val="24"/>
                <w:szCs w:val="24"/>
                <w:lang w:val="en-US"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人员培训制度及培训方案</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评委根据项目制定服务人员培训制度及培训方案进行进行综合评分：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培训制度完整、合理、全面、可行性高得8分；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培训制度较完整、较合理、可行性稍欠缺的得6分；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培训制度一般， 没有具体计划方案的得4分；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内容、制度阐述简单的得2分；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未提供的不得分。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6</w:t>
            </w:r>
            <w:r>
              <w:rPr>
                <w:rFonts w:hint="eastAsia" w:ascii="宋体" w:hAnsi="宋体" w:eastAsia="宋体" w:cs="宋体"/>
                <w:spacing w:val="-2"/>
                <w:sz w:val="24"/>
                <w:szCs w:val="24"/>
                <w:lang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评委根据投标供应商提供的档案管理制度进行综合评分：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档案管理制度完整、合理、全面、可行性高得7分；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档案管理制度较完整、较合理、可行性稍欠缺的得5分；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档案管理制度一般， 没有具体计划方案的得3分；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内容、制度阐述简单的得1分；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未提供的不得分。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z w:val="24"/>
                <w:szCs w:val="24"/>
              </w:rPr>
            </w:r>
            <w:r/>
          </w:p>
        </w:tc>
      </w:tr>
      <w:tr>
        <w:trPr>
          <w:trHeight w:val="455"/>
        </w:trPr>
        <w:tc>
          <w:tcPr>
            <w:gridSpan w:val="5"/>
            <w:tcW w:w="9612" w:type="dxa"/>
            <w:vAlign w:val="center"/>
            <w:textDirection w:val="lrTb"/>
            <w:noWrap w:val="false"/>
          </w:tcPr>
          <w:p>
            <w:pPr>
              <w:pStyle w:val="929"/>
              <w:keepLines w:val="0"/>
              <w:keepNext w:val="0"/>
              <w:pageBreakBefore w:val="0"/>
              <w:spacing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3.业绩（9分）</w:t>
            </w:r>
            <w:r>
              <w:rPr>
                <w:rFonts w:ascii="宋体" w:hAnsi="宋体" w:eastAsia="宋体" w:cs="宋体"/>
                <w:sz w:val="24"/>
                <w:szCs w:val="24"/>
              </w:rPr>
            </w:r>
            <w:r/>
          </w:p>
        </w:tc>
      </w:tr>
      <w:tr>
        <w:trPr>
          <w:trHeight w:val="1015"/>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3.1</w:t>
            </w:r>
            <w:r>
              <w:rPr>
                <w:rFonts w:ascii="宋体" w:hAnsi="宋体" w:eastAsia="宋体" w:cs="宋体"/>
                <w:spacing w:val="-2"/>
                <w:sz w:val="24"/>
                <w:szCs w:val="24"/>
              </w:rPr>
            </w:r>
            <w:r/>
          </w:p>
        </w:tc>
        <w:tc>
          <w:tcPr>
            <w:tcW w:w="1179"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业绩</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供应商自2023年4月01日以来，具有类似项目业绩（长护服务、居家中心服务、养老服务）的，每提供一个得3分，最多得9分。（提供合同复印件并加盖公章，时间等内容以合同为准）。</w:t>
            </w:r>
            <w:r>
              <w:rPr>
                <w:rFonts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spacing w:line="264" w:lineRule="auto"/>
              <w:widowControl w:val="off"/>
              <w:rPr>
                <w:rFonts w:ascii="宋体" w:hAnsi="宋体" w:eastAsia="宋体" w:cs="宋体"/>
                <w:sz w:val="24"/>
                <w:szCs w:val="24"/>
                <w:lang w:val="en-US"/>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269"/>
        </w:trPr>
        <w:tc>
          <w:tcPr>
            <w:gridSpan w:val="5"/>
            <w:tcW w:w="9612" w:type="dxa"/>
            <w:vAlign w:val="top"/>
            <w:textDirection w:val="lrTb"/>
            <w:noWrap w:val="false"/>
          </w:tcPr>
          <w:p>
            <w:pPr>
              <w:pStyle w:val="929"/>
              <w:keepLines w:val="0"/>
              <w:keepNext w:val="0"/>
              <w:pageBreakBefore w:val="0"/>
              <w:spacing w:before="123" w:line="264" w:lineRule="auto"/>
              <w:widowControl w:val="off"/>
              <w:rPr>
                <w:rFonts w:ascii="宋体" w:hAnsi="宋体" w:eastAsia="宋体" w:cs="宋体"/>
                <w:sz w:val="24"/>
                <w:szCs w:val="24"/>
                <w:lang w:val="en-US"/>
              </w:rPr>
            </w:pPr>
            <w:r>
              <w:rPr>
                <w:rFonts w:hint="eastAsia" w:ascii="宋体" w:hAnsi="宋体" w:eastAsia="宋体" w:cs="宋体"/>
                <w:b/>
                <w:bCs/>
                <w:spacing w:val="-3"/>
                <w:sz w:val="24"/>
                <w:szCs w:val="24"/>
                <w:lang w:val="en-US" w:eastAsia="zh-CN"/>
              </w:rPr>
              <w:t xml:space="preserve">4.综合实力（26分）</w:t>
            </w:r>
            <w:r>
              <w:rPr>
                <w:rFonts w:ascii="宋体" w:hAnsi="宋体" w:eastAsia="宋体" w:cs="宋体"/>
                <w:sz w:val="24"/>
                <w:szCs w:val="24"/>
                <w:lang w:val="en-US"/>
              </w:rPr>
            </w:r>
            <w:r/>
          </w:p>
        </w:tc>
      </w:tr>
      <w:tr>
        <w:trPr>
          <w:trHeight w:val="792"/>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4.1</w:t>
            </w:r>
            <w:r>
              <w:rPr>
                <w:rFonts w:ascii="宋体" w:hAnsi="宋体" w:eastAsia="宋体" w:cs="宋体"/>
                <w:color w:val="000000"/>
                <w:spacing w:val="-2"/>
                <w:sz w:val="24"/>
                <w:szCs w:val="24"/>
              </w:rPr>
            </w:r>
            <w:r/>
          </w:p>
        </w:tc>
        <w:tc>
          <w:tcPr>
            <w:tcW w:w="1179" w:type="dxa"/>
            <w:vAlign w:val="center"/>
            <w:textDirection w:val="lrTb"/>
            <w:noWrap w:val="false"/>
          </w:tcPr>
          <w:p>
            <w:pPr>
              <w:pStyle w:val="929"/>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履约能力</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1、供应商具有民政部门评定的3级及以上居家养老组织或养老服务机构等级证书的得3分，无等级证书或未提供不得分。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2、供应商具有民政部门评定的社会组织评估3A及以上等级的得3分；具有民政部门评定的社会组织评估3A以下等级的得2分；无等级证书或未提供不得分。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（须提供相关证书复印件，未提供不得分）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792"/>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4.2</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项目负责人</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拟派项目负责人具有中级及以上养老护理员证书的得3分；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（提供相应的证明材料加盖供应商公章以及合同或供应商为其缴纳近六个月内任意一个月社保证明材料加盖供应商公章）</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792"/>
        </w:trPr>
        <w:tc>
          <w:tcPr>
            <w:tcW w:w="519"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29"/>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项目组成员</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项目组成员：（除项目负责人外）</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（1）具有中级及以上养老护理员证书，每提供一人得3分，最高得9分；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（2）具有初级养老护理员证书，每提供一人得2分，最高得8分。</w:t>
            </w:r>
            <w:r>
              <w:rPr>
                <w:rFonts w:hint="eastAsia" w:ascii="宋体" w:hAnsi="宋体" w:eastAsia="宋体" w:cs="宋体"/>
                <w:color w:val="000000"/>
                <w:sz w:val="24"/>
                <w:szCs w:val="24"/>
                <w:lang w:val="en-US" w:eastAsia="zh-CN" w:bidi="ar"/>
              </w:rPr>
            </w:r>
            <w:r/>
          </w:p>
          <w:p>
            <w:pPr>
              <w:pStyle w:val="929"/>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（以上人员须提供相应的证明材料加盖供应商公章以及合同或供应商为其缴纳近六个月内任意一个月社保证明材料加盖供应商公章）</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92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92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645"/>
        </w:trPr>
        <w:tc>
          <w:tcPr>
            <w:tcW w:w="519" w:type="dxa"/>
            <w:vAlign w:val="center"/>
            <w:textDirection w:val="lrTb"/>
            <w:noWrap w:val="false"/>
          </w:tcPr>
          <w:p>
            <w:pPr>
              <w:pStyle w:val="929"/>
              <w:jc w:val="center"/>
              <w:keepLines w:val="0"/>
              <w:keepNext w:val="0"/>
              <w:pageBreakBefore w:val="0"/>
              <w:spacing w:line="264" w:lineRule="auto"/>
              <w:widowControl w:val="off"/>
              <w:rPr>
                <w:color w:val="ff0000"/>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rPr>
                <w:color w:val="ff0000"/>
                <w:sz w:val="24"/>
                <w:szCs w:val="24"/>
              </w:rPr>
            </w:r>
            <w:r/>
          </w:p>
        </w:tc>
        <w:tc>
          <w:tcPr>
            <w:gridSpan w:val="2"/>
            <w:tcW w:w="7604" w:type="dxa"/>
            <w:vAlign w:val="center"/>
            <w:textDirection w:val="lrTb"/>
            <w:noWrap w:val="false"/>
          </w:tcPr>
          <w:p>
            <w:pPr>
              <w:pStyle w:val="929"/>
              <w:ind w:left="172"/>
              <w:jc w:val="center"/>
              <w:keepLines w:val="0"/>
              <w:keepNext w:val="0"/>
              <w:pageBreakBefore w:val="0"/>
              <w:spacing w:before="123" w:line="264" w:lineRule="auto"/>
              <w:widowControl w:val="off"/>
              <w:rPr>
                <w:rFonts w:ascii="宋体" w:hAnsi="宋体" w:eastAsia="宋体" w:cs="宋体"/>
                <w:color w:val="ff0000"/>
                <w:spacing w:val="-2"/>
                <w:sz w:val="24"/>
                <w:szCs w:val="24"/>
              </w:rPr>
            </w:pPr>
            <w:r>
              <w:rPr>
                <w:rFonts w:ascii="宋体" w:hAnsi="宋体" w:eastAsia="宋体" w:cs="宋体"/>
                <w:color w:val="ff0000"/>
                <w:spacing w:val="-2"/>
                <w:sz w:val="24"/>
                <w:szCs w:val="24"/>
              </w:rPr>
            </w:r>
            <w:r/>
          </w:p>
        </w:tc>
        <w:tc>
          <w:tcPr>
            <w:gridSpan w:val="2"/>
            <w:tcW w:w="1489" w:type="dxa"/>
            <w:vAlign w:val="center"/>
            <w:textDirection w:val="lrTb"/>
            <w:noWrap w:val="false"/>
          </w:tcPr>
          <w:p>
            <w:pPr>
              <w:pStyle w:val="929"/>
              <w:jc w:val="center"/>
              <w:keepLines w:val="0"/>
              <w:keepNext w:val="0"/>
              <w:pageBreakBefore w:val="0"/>
              <w:spacing w:line="264" w:lineRule="auto"/>
              <w:widowControl w:val="off"/>
              <w:rPr>
                <w:color w:val="000000"/>
                <w:sz w:val="24"/>
                <w:szCs w:val="24"/>
              </w:rPr>
            </w:pPr>
            <w:r>
              <w:rPr>
                <w:rFonts w:ascii="宋体" w:hAnsi="宋体" w:eastAsia="宋体" w:cs="宋体"/>
                <w:color w:val="000000"/>
                <w:spacing w:val="-11"/>
                <w:sz w:val="24"/>
                <w:szCs w:val="24"/>
              </w:rPr>
              <w:t xml:space="preserve">100分</w:t>
            </w:r>
            <w:r>
              <w:rPr>
                <w:color w:val="000000"/>
                <w:sz w:val="24"/>
                <w:szCs w:val="24"/>
              </w:rPr>
            </w:r>
            <w:r/>
          </w:p>
        </w:tc>
      </w:tr>
    </w:tbl>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63"/>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63"/>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rPr>
          <w:rFonts w:hint="eastAsia"/>
          <w:lang w:val="en-US" w:eastAsia="zh-CN"/>
        </w:rPr>
      </w:pPr>
      <w:r>
        <w:rPr>
          <w:rFonts w:hint="eastAsia"/>
          <w:lang w:val="en-US" w:eastAsia="zh-CN"/>
        </w:rPr>
      </w:r>
      <w:r/>
    </w:p>
    <w:p>
      <w:pPr>
        <w:pStyle w:val="929"/>
        <w:rPr>
          <w:rFonts w:hint="eastAsia"/>
          <w:lang w:val="en-US" w:eastAsia="zh-CN"/>
        </w:rPr>
      </w:pPr>
      <w:r>
        <w:rPr>
          <w:rFonts w:hint="eastAsia"/>
          <w:lang w:val="en-US" w:eastAsia="zh-CN"/>
        </w:rPr>
      </w:r>
      <w:r/>
    </w:p>
    <w:p>
      <w:pPr>
        <w:pStyle w:val="9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2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9"/>
        <w:jc w:val="center"/>
        <w:keepNext/>
        <w:rPr>
          <w:rFonts w:hint="eastAsia" w:ascii="黑体" w:hAnsi="Times New Roman" w:eastAsia="黑体"/>
          <w:bCs/>
          <w:sz w:val="44"/>
          <w:szCs w:val="28"/>
        </w:rPr>
        <w:outlineLvl w:val="0"/>
      </w:pPr>
      <w:r>
        <w:rPr>
          <w:rFonts w:hint="eastAsia" w:ascii="黑体" w:hAnsi="Times New Roman" w:eastAsia="黑体" w:cs="Times New Roman"/>
          <w:sz w:val="44"/>
          <w:szCs w:val="44"/>
        </w:rPr>
        <w:t xml:space="preserve">第六章  </w:t>
      </w:r>
      <w:bookmarkEnd w:id="122"/>
      <w:r/>
      <w:bookmarkEnd w:id="123"/>
      <w:r/>
      <w:bookmarkEnd w:id="126"/>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929"/>
        <w:jc w:val="center"/>
        <w:rPr>
          <w:rFonts w:hint="eastAsia" w:ascii="宋体" w:hAnsi="宋体"/>
          <w:b/>
          <w:sz w:val="72"/>
          <w:szCs w:val="21"/>
        </w:rPr>
      </w:pPr>
      <w:r/>
      <w:bookmarkStart w:id="127" w:name="_Hlt26955039"/>
      <w:r/>
      <w:bookmarkEnd w:id="127"/>
      <w:r/>
      <w:bookmarkStart w:id="128" w:name="_Hlt26671244"/>
      <w:r/>
      <w:bookmarkEnd w:id="128"/>
      <w:r/>
      <w:bookmarkStart w:id="129" w:name="_Toc49090576"/>
      <w:r/>
      <w:bookmarkStart w:id="130" w:name="_Toc120614282"/>
      <w:r/>
      <w:bookmarkStart w:id="131" w:name="_Toc26554094"/>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92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9"/>
        <w:jc w:val="center"/>
        <w:spacing w:line="440" w:lineRule="exact"/>
        <w:rPr>
          <w:rFonts w:hint="eastAsia" w:ascii="宋体" w:hAnsi="宋体"/>
          <w:b/>
          <w:bCs/>
          <w:sz w:val="32"/>
          <w:szCs w:val="32"/>
        </w:rPr>
      </w:pPr>
      <w:r>
        <w:rPr>
          <w:rFonts w:hint="eastAsia" w:ascii="宋体" w:hAnsi="宋体"/>
          <w:b/>
          <w:bCs/>
          <w:sz w:val="32"/>
          <w:szCs w:val="32"/>
        </w:rPr>
      </w:r>
      <w:r/>
    </w:p>
    <w:p>
      <w:pPr>
        <w:pStyle w:val="929"/>
        <w:spacing w:line="440" w:lineRule="exact"/>
        <w:rPr>
          <w:rFonts w:ascii="宋体" w:hAnsi="宋体"/>
          <w:szCs w:val="21"/>
        </w:rPr>
      </w:pPr>
      <w:r>
        <w:rPr>
          <w:rFonts w:ascii="宋体" w:hAnsi="宋体"/>
          <w:szCs w:val="21"/>
        </w:rPr>
      </w:r>
      <w:r/>
    </w:p>
    <w:p>
      <w:pPr>
        <w:pStyle w:val="92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9"/>
        <w:jc w:val="center"/>
        <w:spacing w:line="440" w:lineRule="exact"/>
        <w:rPr>
          <w:rFonts w:hint="eastAsia" w:ascii="宋体" w:hAnsi="宋体"/>
          <w:b/>
          <w:bCs/>
          <w:sz w:val="32"/>
          <w:szCs w:val="32"/>
        </w:rPr>
      </w:pPr>
      <w:r>
        <w:rPr>
          <w:rFonts w:hint="eastAsia" w:ascii="宋体" w:hAnsi="宋体"/>
          <w:b/>
          <w:bCs/>
          <w:sz w:val="32"/>
          <w:szCs w:val="32"/>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929"/>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ascii="宋体" w:hAnsi="宋体" w:eastAsia="宋体" w:cs="宋体"/>
          <w:b w:val="0"/>
          <w:bCs w:val="0"/>
          <w:i w:val="0"/>
          <w:sz w:val="28"/>
          <w:szCs w:val="28"/>
          <w:u w:val="none"/>
          <w:lang w:val="en-US" w:eastAsia="zh-CN"/>
        </w:rPr>
      </w:r>
      <w:r/>
    </w:p>
    <w:p>
      <w:pPr>
        <w:pStyle w:val="929"/>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ascii="宋体" w:hAnsi="宋体"/>
          <w:sz w:val="24"/>
        </w:rPr>
      </w:r>
      <w:r/>
    </w:p>
    <w:p>
      <w:pPr>
        <w:pStyle w:val="92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val="en-US" w:eastAsia="zh-CN"/>
        </w:rPr>
        <w:t xml:space="preserve">七</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92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val="en-US"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41"/>
        <w:ind w:left="218" w:firstLine="420"/>
        <w:rPr>
          <w:rFonts w:hint="eastAsia"/>
          <w:lang w:eastAsia="zh-CN"/>
        </w:rPr>
      </w:pPr>
      <w:r>
        <w:rPr>
          <w:rFonts w:hint="eastAsia" w:ascii="宋体" w:hAnsi="宋体" w:cs="宋体"/>
          <w:sz w:val="28"/>
          <w:szCs w:val="28"/>
        </w:rPr>
        <w:t xml:space="preserve">十</w:t>
      </w:r>
      <w:r>
        <w:rPr>
          <w:rFonts w:hint="eastAsia" w:cs="宋体"/>
          <w:sz w:val="28"/>
          <w:szCs w:val="28"/>
          <w:lang w:val="en-US" w:eastAsia="zh-CN"/>
        </w:rPr>
        <w:t xml:space="preserve">一</w:t>
      </w:r>
      <w:r>
        <w:rPr>
          <w:rFonts w:hint="eastAsia" w:ascii="宋体" w:hAnsi="宋体" w:cs="宋体"/>
          <w:sz w:val="28"/>
          <w:szCs w:val="28"/>
        </w:rPr>
        <w:t xml:space="preserve">、关于符合本国产品标准的声明函（如有）</w:t>
      </w:r>
      <w:r>
        <w:rPr>
          <w:rFonts w:hint="eastAsia"/>
          <w:lang w:eastAsia="zh-CN"/>
        </w:rPr>
      </w:r>
      <w:r/>
    </w:p>
    <w:p>
      <w:pPr>
        <w:pStyle w:val="92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929"/>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南京市六合区竹镇镇人民政府</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（2）参加本次政府采购活动前一年的财务</w:t>
      </w:r>
      <w:r>
        <w:rPr>
          <w:rFonts w:hint="eastAsia" w:ascii="宋体" w:hAnsi="宋体" w:eastAsia="宋体" w:cs="Times New Roman"/>
          <w:color w:val="000000"/>
          <w:sz w:val="24"/>
          <w:szCs w:val="24"/>
          <w:lang w:val="en-US" w:eastAsia="zh-CN"/>
        </w:rPr>
        <w:t xml:space="preserve">会计制度</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财务报表</w:t>
      </w:r>
      <w:r>
        <w:rPr>
          <w:rFonts w:hint="eastAsia" w:ascii="宋体" w:hAnsi="宋体" w:eastAsia="宋体" w:cs="Times New Roman"/>
          <w:color w:val="000000"/>
          <w:sz w:val="24"/>
          <w:szCs w:val="24"/>
        </w:rPr>
        <w:t xml:space="preserve">或参加本次政府采购活动前一年内的银行资信证明（法人或其他组织提供）或其他证明材料</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29"/>
        <w:ind w:firstLine="492"/>
        <w:spacing w:line="460" w:lineRule="exact"/>
        <w:rPr>
          <w:rFonts w:hint="eastAsia"/>
          <w:color w:val="000000"/>
          <w:sz w:val="24"/>
          <w:szCs w:val="24"/>
        </w:rPr>
      </w:pPr>
      <w:r>
        <w:rPr>
          <w:rFonts w:hint="eastAsia"/>
          <w:color w:val="000000"/>
          <w:sz w:val="24"/>
          <w:szCs w:val="24"/>
        </w:rPr>
      </w:r>
      <w:r/>
    </w:p>
    <w:p>
      <w:pPr>
        <w:pStyle w:val="9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2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9"/>
        <w:rPr>
          <w:sz w:val="24"/>
          <w:szCs w:val="24"/>
        </w:rPr>
      </w:pPr>
      <w:r>
        <w:rPr>
          <w:sz w:val="24"/>
          <w:szCs w:val="24"/>
        </w:rPr>
      </w:r>
      <w:r/>
    </w:p>
    <w:p>
      <w:pPr>
        <w:pStyle w:val="929"/>
        <w:spacing w:line="440" w:lineRule="exact"/>
        <w:rPr>
          <w:rFonts w:hint="eastAsia" w:ascii="宋体" w:hAnsi="宋体"/>
          <w:sz w:val="24"/>
          <w:szCs w:val="24"/>
          <w:lang w:eastAsia="zh-CN"/>
        </w:rPr>
      </w:pPr>
      <w:r>
        <w:rPr>
          <w:rFonts w:hint="eastAsia" w:ascii="宋体" w:hAnsi="宋体"/>
          <w:sz w:val="24"/>
          <w:szCs w:val="24"/>
          <w:lang w:eastAsia="zh-CN"/>
        </w:rPr>
      </w:r>
      <w:r/>
    </w:p>
    <w:p>
      <w:pPr>
        <w:pStyle w:val="963"/>
        <w:rPr>
          <w:rFonts w:hint="eastAsia"/>
          <w:lang w:eastAsia="zh-CN"/>
        </w:rPr>
      </w:pPr>
      <w:r>
        <w:rPr>
          <w:rFonts w:hint="eastAsia"/>
          <w:lang w:eastAsia="zh-CN"/>
        </w:rPr>
      </w:r>
      <w:r/>
    </w:p>
    <w:p>
      <w:pPr>
        <w:pStyle w:val="92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9"/>
        <w:rPr>
          <w:rFonts w:ascii="黑体" w:hAnsi="黑体" w:eastAsia="黑体" w:cs="Times New Roman"/>
          <w:i w:val="0"/>
          <w:color w:val="000000"/>
          <w:sz w:val="32"/>
          <w:szCs w:val="32"/>
          <w:u w:val="none"/>
          <w:lang w:val="en-US" w:eastAsia="zh-CN"/>
        </w:rPr>
      </w:pPr>
      <w:r/>
      <w:bookmarkEnd w:id="129"/>
      <w:r/>
      <w:bookmarkEnd w:id="130"/>
      <w:r/>
      <w:bookmarkEnd w:id="131"/>
      <w:r/>
      <w:bookmarkStart w:id="132" w:name="_Toc120614284"/>
      <w:r>
        <w:rPr>
          <w:rFonts w:hint="eastAsia" w:ascii="Times New Roman" w:hAnsi="Times New Roman" w:eastAsia="宋体" w:cs="Times New Roman"/>
          <w:color w:val="000000"/>
          <w:sz w:val="24"/>
          <w:szCs w:val="24"/>
          <w:lang w:val="en-US" w:eastAsia="zh-CN"/>
        </w:rPr>
        <w:t xml:space="preserve">备注：如果在响应文件中已提交上述材料的，成交后不再单独提供材料核实。</w:t>
      </w:r>
      <w:r>
        <w:rPr>
          <w:rFonts w:ascii="黑体" w:hAnsi="黑体" w:eastAsia="黑体" w:cs="Times New Roman"/>
          <w:i w:val="0"/>
          <w:color w:val="000000"/>
          <w:sz w:val="32"/>
          <w:szCs w:val="32"/>
          <w:u w:val="none"/>
          <w:lang w:val="en-US" w:eastAsia="zh-CN"/>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2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929"/>
        <w:spacing w:line="460" w:lineRule="exact"/>
        <w:rPr>
          <w:rFonts w:hint="eastAsia" w:ascii="宋体" w:hAnsi="宋体"/>
          <w:bCs/>
          <w:sz w:val="24"/>
          <w:szCs w:val="21"/>
        </w:rPr>
      </w:pPr>
      <w:r>
        <w:rPr>
          <w:rFonts w:hint="eastAsia" w:ascii="宋体" w:hAnsi="宋体"/>
          <w:bCs/>
          <w:sz w:val="24"/>
          <w:szCs w:val="21"/>
        </w:rPr>
      </w:r>
      <w:r/>
    </w:p>
    <w:p>
      <w:pPr>
        <w:pStyle w:val="92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2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2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102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1021"/>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021"/>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1021"/>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21"/>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33" w:name="_Hlt26955070"/>
      <w:r/>
      <w:bookmarkEnd w:id="133"/>
      <w:r/>
      <w:bookmarkStart w:id="134" w:name="_格式3__银行出具的资信证明"/>
      <w:r/>
      <w:bookmarkEnd w:id="134"/>
      <w:r/>
      <w:bookmarkStart w:id="135" w:name="_Hlt26671380"/>
      <w:r/>
      <w:bookmarkEnd w:id="135"/>
      <w:r>
        <w:rPr>
          <w:rFonts w:hint="eastAsia"/>
          <w:sz w:val="24"/>
          <w:szCs w:val="24"/>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92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929"/>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1023"/>
        <w:ind w:firstLine="480"/>
        <w:keepLines w:val="0"/>
        <w:keepNext w:val="0"/>
        <w:pageBreakBefore w:val="0"/>
        <w:spacing w:before="0" w:after="0" w:line="360" w:lineRule="auto"/>
        <w:widowControl w:val="off"/>
        <w:rPr>
          <w:rFonts w:hint="eastAsia" w:ascii="宋体" w:hAnsi="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南京市六合区竹镇镇人民政府</w:t>
      </w:r>
      <w:r>
        <w:rPr>
          <w:rFonts w:hint="eastAsia" w:ascii="宋体" w:hAnsi="宋体"/>
          <w:sz w:val="24"/>
          <w:szCs w:val="21"/>
          <w:lang w:eastAsia="zh-CN"/>
        </w:rPr>
      </w:r>
      <w:r/>
    </w:p>
    <w:p>
      <w:pPr>
        <w:pStyle w:val="1023"/>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2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rPr>
          <w:rFonts w:hint="eastAsia" w:ascii="宋体" w:hAnsi="宋体"/>
          <w:sz w:val="24"/>
          <w:szCs w:val="21"/>
        </w:rPr>
      </w:r>
      <w:r/>
    </w:p>
    <w:p>
      <w:pPr>
        <w:pStyle w:val="92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29"/>
        <w:ind w:firstLine="480"/>
        <w:jc w:val="left"/>
        <w:keepLines w:val="0"/>
        <w:keepNext w:val="0"/>
        <w:pageBreakBefore w:val="0"/>
        <w:spacing w:line="360" w:lineRule="auto"/>
        <w:widowControl w:val="off"/>
        <w:rPr>
          <w:rFonts w:ascii="宋体" w:hAnsi="宋体" w:eastAsia="宋体"/>
          <w:sz w:val="24"/>
          <w:szCs w:val="21"/>
          <w:lang w:val="en-US" w:eastAsia="zh-CN"/>
        </w:rPr>
      </w:pPr>
      <w:r>
        <w:rPr>
          <w:rFonts w:hint="eastAsia" w:ascii="宋体" w:hAnsi="宋体"/>
          <w:sz w:val="24"/>
          <w:szCs w:val="21"/>
          <w:lang w:val="en-US" w:eastAsia="zh-CN"/>
        </w:rPr>
        <w:t xml:space="preserve">3.我们的总报价为（大写）</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元</w:t>
      </w:r>
      <w:r>
        <w:rPr>
          <w:rFonts w:hint="eastAsia" w:ascii="宋体" w:hAnsi="宋体"/>
          <w:sz w:val="24"/>
          <w:szCs w:val="21"/>
          <w:lang w:val="en-US" w:eastAsia="zh-CN"/>
        </w:rPr>
        <w:t xml:space="preserve">人民币</w:t>
      </w:r>
      <w:r>
        <w:rPr>
          <w:rFonts w:hint="eastAsia" w:ascii="宋体" w:hAnsi="宋体"/>
          <w:sz w:val="24"/>
          <w:szCs w:val="21"/>
          <w:lang w:val="en-US" w:eastAsia="zh-CN"/>
        </w:rPr>
        <w:t xml:space="preserve">，拟派项目负责人：</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，服务期限</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，磋商有效期：</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w:t>
      </w:r>
      <w:r>
        <w:rPr>
          <w:rFonts w:ascii="宋体" w:hAnsi="宋体" w:eastAsia="宋体"/>
          <w:sz w:val="24"/>
          <w:szCs w:val="21"/>
          <w:lang w:val="en-US" w:eastAsia="zh-CN"/>
        </w:rPr>
      </w:r>
      <w:r/>
    </w:p>
    <w:p>
      <w:pPr>
        <w:pStyle w:val="92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lang w:val="en-US" w:eastAsia="zh-CN"/>
        </w:rPr>
        <w:t xml:space="preserve">4</w:t>
      </w:r>
      <w:r>
        <w:rPr>
          <w:rFonts w:hint="eastAsia" w:ascii="宋体" w:hAnsi="宋体"/>
          <w:sz w:val="24"/>
          <w:szCs w:val="21"/>
        </w:rPr>
        <w:t xml:space="preserve">.我们已详细审核全部磋商文件及其有效补充文件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92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92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92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929"/>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2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102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3"/>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2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2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2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2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2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9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929"/>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929"/>
        <w:ind w:firstLine="0"/>
        <w:keepLines w:val="0"/>
        <w:keepNext w:val="0"/>
        <w:pageBreakBefore w:val="0"/>
        <w:spacing w:line="240" w:lineRule="auto"/>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分包号：</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tbl>
      <w:tblPr>
        <w:tblW w:w="95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7"/>
        <w:gridCol w:w="3261"/>
        <w:gridCol w:w="3261"/>
      </w:tblGrid>
      <w:tr>
        <w:trPr>
          <w:cantSplit/>
          <w:trHeight w:val="712"/>
        </w:trPr>
        <w:tc>
          <w:tcPr>
            <w:tcW w:w="3057" w:type="dxa"/>
            <w:vAlign w:val="center"/>
            <w:textDirection w:val="lrTb"/>
            <w:noWrap w:val="false"/>
          </w:tcPr>
          <w:p>
            <w:pPr>
              <w:pStyle w:val="929"/>
              <w:jc w:val="center"/>
              <w:keepLines w:val="0"/>
              <w:keepNext w:val="0"/>
              <w:pageBreakBefore w:val="0"/>
              <w:spacing w:line="480" w:lineRule="auto"/>
              <w:widowControl w:val="off"/>
              <w:rPr>
                <w:rFonts w:ascii="宋体" w:hAnsi="宋体" w:eastAsia="宋体"/>
                <w:sz w:val="24"/>
                <w:szCs w:val="24"/>
                <w:lang w:val="en-US" w:eastAsia="zh-CN"/>
              </w:rPr>
            </w:pPr>
            <w:r>
              <w:rPr>
                <w:rFonts w:hint="eastAsia" w:ascii="宋体" w:hAnsi="宋体"/>
                <w:sz w:val="24"/>
                <w:szCs w:val="24"/>
                <w:lang w:val="en-US" w:eastAsia="zh-CN"/>
              </w:rPr>
              <w:t xml:space="preserve">项目名称</w:t>
            </w:r>
            <w:r>
              <w:rPr>
                <w:rFonts w:ascii="宋体" w:hAnsi="宋体" w:eastAsia="宋体"/>
                <w:sz w:val="24"/>
                <w:szCs w:val="24"/>
                <w:lang w:val="en-US" w:eastAsia="zh-CN"/>
              </w:rPr>
            </w:r>
            <w:r/>
          </w:p>
        </w:tc>
        <w:tc>
          <w:tcPr>
            <w:tcW w:w="3261" w:type="dxa"/>
            <w:vAlign w:val="center"/>
            <w:textDirection w:val="lrTb"/>
            <w:noWrap w:val="false"/>
          </w:tcPr>
          <w:p>
            <w:pPr>
              <w:pStyle w:val="929"/>
              <w:jc w:val="center"/>
              <w:keepLines w:val="0"/>
              <w:keepNext w:val="0"/>
              <w:pageBreakBefore w:val="0"/>
              <w:spacing w:line="480" w:lineRule="auto"/>
              <w:widowControl w:val="off"/>
              <w:rPr>
                <w:rFonts w:ascii="宋体" w:hAnsi="宋体" w:eastAsia="宋体"/>
                <w:sz w:val="24"/>
                <w:szCs w:val="24"/>
                <w:lang w:val="en-US" w:eastAsia="zh-CN"/>
              </w:rPr>
            </w:pPr>
            <w:r>
              <w:rPr>
                <w:rFonts w:hint="eastAsia" w:ascii="宋体" w:hAnsi="宋体"/>
                <w:sz w:val="24"/>
                <w:szCs w:val="24"/>
                <w:lang w:val="en-US" w:eastAsia="zh-CN"/>
              </w:rPr>
              <w:t xml:space="preserve">项目内容</w:t>
            </w:r>
            <w:r>
              <w:rPr>
                <w:rFonts w:ascii="宋体" w:hAnsi="宋体" w:eastAsia="宋体"/>
                <w:sz w:val="24"/>
                <w:szCs w:val="24"/>
                <w:lang w:val="en-US" w:eastAsia="zh-CN"/>
              </w:rPr>
            </w:r>
            <w:r/>
          </w:p>
        </w:tc>
        <w:tc>
          <w:tcPr>
            <w:tcW w:w="3261" w:type="dxa"/>
            <w:vAlign w:val="center"/>
            <w:textDirection w:val="lrTb"/>
            <w:noWrap w:val="false"/>
          </w:tcPr>
          <w:p>
            <w:pPr>
              <w:pStyle w:val="929"/>
              <w:jc w:val="center"/>
              <w:keepLines w:val="0"/>
              <w:keepNext w:val="0"/>
              <w:pageBreakBefore w:val="0"/>
              <w:spacing w:line="48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总价</w:t>
            </w:r>
            <w:r>
              <w:rPr>
                <w:rFonts w:hint="eastAsia" w:ascii="宋体" w:hAnsi="宋体" w:eastAsia="宋体"/>
                <w:sz w:val="24"/>
                <w:szCs w:val="24"/>
                <w:lang w:val="en-US" w:eastAsia="zh-CN"/>
              </w:rPr>
            </w:r>
            <w:r/>
          </w:p>
        </w:tc>
      </w:tr>
      <w:tr>
        <w:trPr>
          <w:cantSplit/>
          <w:trHeight w:val="765"/>
        </w:trPr>
        <w:tc>
          <w:tcPr>
            <w:tcW w:w="3057" w:type="dxa"/>
            <w:vAlign w:val="center"/>
            <w:textDirection w:val="lrTb"/>
            <w:noWrap w:val="false"/>
          </w:tcPr>
          <w:p>
            <w:pPr>
              <w:pStyle w:val="1023"/>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                         </w:t>
            </w:r>
            <w:r>
              <w:rPr>
                <w:rFonts w:hint="eastAsia" w:ascii="宋体" w:hAnsi="宋体"/>
                <w:szCs w:val="21"/>
              </w:rPr>
            </w:r>
            <w:r/>
          </w:p>
        </w:tc>
        <w:tc>
          <w:tcPr>
            <w:tcW w:w="3261" w:type="dxa"/>
            <w:vAlign w:val="center"/>
            <w:textDirection w:val="lrTb"/>
            <w:noWrap w:val="false"/>
          </w:tcPr>
          <w:p>
            <w:pPr>
              <w:pStyle w:val="1023"/>
              <w:ind w:firstLine="0"/>
              <w:keepLines w:val="0"/>
              <w:keepNext w:val="0"/>
              <w:pageBreakBefore w:val="0"/>
              <w:spacing w:before="0" w:after="0" w:line="480" w:lineRule="auto"/>
              <w:widowControl w:val="off"/>
              <w:rPr>
                <w:rFonts w:hint="eastAsia" w:ascii="宋体" w:hAnsi="宋体" w:cs="宋体"/>
              </w:rPr>
            </w:pPr>
            <w:r>
              <w:rPr>
                <w:rFonts w:hint="eastAsia" w:ascii="宋体" w:hAnsi="宋体" w:cs="宋体"/>
              </w:rPr>
            </w:r>
            <w:r/>
          </w:p>
        </w:tc>
        <w:tc>
          <w:tcPr>
            <w:tcW w:w="3261" w:type="dxa"/>
            <w:vAlign w:val="center"/>
            <w:textDirection w:val="lrTb"/>
            <w:noWrap w:val="false"/>
          </w:tcPr>
          <w:p>
            <w:pPr>
              <w:pStyle w:val="1023"/>
              <w:ind w:firstLine="0"/>
              <w:keepLines w:val="0"/>
              <w:keepNext w:val="0"/>
              <w:pageBreakBefore w:val="0"/>
              <w:spacing w:before="0" w:after="0" w:line="480" w:lineRule="auto"/>
              <w:widowControl w:val="off"/>
              <w:rPr>
                <w:rFonts w:ascii="宋体" w:hAnsi="宋体" w:eastAsia="宋体" w:cs="宋体"/>
                <w:lang w:val="en-US" w:eastAsia="zh-CN"/>
              </w:rPr>
            </w:pPr>
            <w:r>
              <w:rPr>
                <w:rFonts w:hint="eastAsia" w:ascii="宋体" w:hAnsi="宋体" w:cs="宋体"/>
                <w:lang w:val="en-US" w:eastAsia="zh-CN"/>
              </w:rPr>
              <w:t xml:space="preserve">  元</w:t>
            </w:r>
            <w:r>
              <w:rPr>
                <w:rFonts w:ascii="宋体" w:hAnsi="宋体" w:eastAsia="宋体" w:cs="宋体"/>
                <w:lang w:val="en-US" w:eastAsia="zh-CN"/>
              </w:rPr>
            </w:r>
            <w:r/>
          </w:p>
        </w:tc>
      </w:tr>
      <w:tr>
        <w:trPr>
          <w:cantSplit/>
          <w:trHeight w:val="765"/>
        </w:trPr>
        <w:tc>
          <w:tcPr>
            <w:tcW w:w="3057" w:type="dxa"/>
            <w:vAlign w:val="center"/>
            <w:textDirection w:val="lrTb"/>
            <w:noWrap w:val="false"/>
          </w:tcPr>
          <w:p>
            <w:pPr>
              <w:pStyle w:val="1023"/>
              <w:ind w:firstLine="0"/>
              <w:keepLines w:val="0"/>
              <w:keepNext w:val="0"/>
              <w:pageBreakBefore w:val="0"/>
              <w:spacing w:before="0" w:after="0" w:line="480" w:lineRule="auto"/>
              <w:widowControl w:val="off"/>
              <w:rPr>
                <w:rFonts w:ascii="宋体" w:hAnsi="宋体" w:cs="宋体"/>
                <w:lang w:val="en-US" w:eastAsia="zh-CN"/>
              </w:rPr>
            </w:pPr>
            <w:r>
              <w:rPr>
                <w:rFonts w:hint="eastAsia" w:ascii="宋体" w:hAnsi="宋体" w:cs="宋体"/>
                <w:lang w:val="en-US" w:eastAsia="zh-CN"/>
              </w:rPr>
              <w:t xml:space="preserve">总价（大写）</w:t>
            </w:r>
            <w:r>
              <w:rPr>
                <w:rFonts w:ascii="宋体" w:hAnsi="宋体" w:cs="宋体"/>
                <w:lang w:val="en-US" w:eastAsia="zh-CN"/>
              </w:rPr>
            </w:r>
            <w:r/>
          </w:p>
        </w:tc>
        <w:tc>
          <w:tcPr>
            <w:gridSpan w:val="2"/>
            <w:tcW w:w="6522" w:type="dxa"/>
            <w:vAlign w:val="center"/>
            <w:textDirection w:val="lrTb"/>
            <w:noWrap w:val="false"/>
          </w:tcPr>
          <w:p>
            <w:pPr>
              <w:pStyle w:val="1023"/>
              <w:ind w:firstLine="0"/>
              <w:keepLines w:val="0"/>
              <w:keepNext w:val="0"/>
              <w:pageBreakBefore w:val="0"/>
              <w:spacing w:before="0" w:after="0" w:line="480" w:lineRule="auto"/>
              <w:widowControl w:val="off"/>
              <w:rPr>
                <w:rFonts w:hint="eastAsia" w:ascii="宋体" w:hAnsi="宋体" w:cs="宋体"/>
                <w:lang w:val="en-US" w:eastAsia="zh-CN"/>
              </w:rPr>
            </w:pPr>
            <w:r>
              <w:rPr>
                <w:rFonts w:hint="eastAsia" w:ascii="宋体" w:hAnsi="宋体" w:cs="宋体"/>
                <w:lang w:val="en-US" w:eastAsia="zh-CN"/>
              </w:rPr>
            </w:r>
            <w:r/>
          </w:p>
        </w:tc>
      </w:tr>
    </w:tbl>
    <w:p>
      <w:pPr>
        <w:pStyle w:val="929"/>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929"/>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29"/>
        <w:spacing w:line="360" w:lineRule="auto"/>
        <w:rPr>
          <w:rFonts w:hint="eastAsia"/>
          <w:lang w:val="en-US" w:eastAsia="zh-CN"/>
        </w:rPr>
      </w:pPr>
      <w:r>
        <w:rPr>
          <w:rFonts w:hint="eastAsia"/>
          <w:lang w:val="en-US" w:eastAsia="zh-CN"/>
        </w:rPr>
      </w:r>
      <w:r/>
    </w:p>
    <w:p>
      <w:pPr>
        <w:pStyle w:val="929"/>
        <w:spacing w:line="360" w:lineRule="auto"/>
        <w:rPr>
          <w:rFonts w:hint="eastAsia"/>
          <w:lang w:val="en-US" w:eastAsia="zh-CN"/>
        </w:rPr>
      </w:pPr>
      <w:r>
        <w:rPr>
          <w:rFonts w:hint="eastAsia"/>
          <w:lang w:val="en-US" w:eastAsia="zh-CN"/>
        </w:rPr>
        <w:t xml:space="preserve">报价说明：</w:t>
      </w:r>
      <w:r>
        <w:rPr>
          <w:rFonts w:hint="eastAsia"/>
          <w:lang w:val="en-US" w:eastAsia="zh-CN"/>
        </w:rPr>
      </w:r>
      <w:r/>
    </w:p>
    <w:p>
      <w:pPr>
        <w:pStyle w:val="929"/>
        <w:spacing w:line="360" w:lineRule="auto"/>
        <w:rPr>
          <w:rFonts w:hint="eastAsia"/>
          <w:lang w:val="en-US" w:eastAsia="zh-CN"/>
        </w:rPr>
      </w:pPr>
      <w:r>
        <w:rPr>
          <w:rFonts w:hint="eastAsia"/>
          <w:lang w:val="en-US" w:eastAsia="zh-CN"/>
        </w:rPr>
        <w:t xml:space="preserve">1、报价包括完成项目的所有费用。采购人不再支付报价以外的任何费用。</w:t>
      </w:r>
      <w:r>
        <w:rPr>
          <w:rFonts w:hint="eastAsia"/>
          <w:lang w:val="en-US" w:eastAsia="zh-CN"/>
        </w:rPr>
      </w:r>
      <w:r/>
    </w:p>
    <w:p>
      <w:pPr>
        <w:pStyle w:val="929"/>
        <w:spacing w:line="360" w:lineRule="auto"/>
        <w:rPr>
          <w:rFonts w:hint="eastAsia"/>
          <w:lang w:val="en-US" w:eastAsia="zh-CN"/>
        </w:rPr>
      </w:pPr>
      <w:r>
        <w:rPr>
          <w:rFonts w:hint="eastAsia"/>
          <w:lang w:val="en-US" w:eastAsia="zh-CN"/>
        </w:rPr>
        <w:t xml:space="preserve">2、报价以总价为准，大小写不一致以大写为准；</w:t>
      </w:r>
      <w:r>
        <w:rPr>
          <w:rFonts w:hint="eastAsia"/>
          <w:lang w:val="en-US" w:eastAsia="zh-CN"/>
        </w:rPr>
      </w:r>
      <w:r/>
    </w:p>
    <w:p>
      <w:pPr>
        <w:pStyle w:val="9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0"/>
      </w:pPr>
      <w:r>
        <w:rPr>
          <w:rFonts w:hint="eastAsia" w:ascii="方正小标宋简体" w:hAnsi="方正小标宋简体" w:eastAsia="方正小标宋简体" w:cs="方正小标宋简体"/>
          <w:color w:val="0000ff"/>
          <w:sz w:val="32"/>
          <w:szCs w:val="32"/>
          <w:lang w:val="en-US" w:eastAsia="zh-CN"/>
        </w:rPr>
      </w:r>
      <w:r/>
    </w:p>
    <w:p>
      <w:pPr>
        <w:pStyle w:val="941"/>
        <w:rPr>
          <w:rFonts w:hint="eastAsia"/>
          <w:lang w:val="en-US" w:eastAsia="zh-CN"/>
        </w:rPr>
      </w:pPr>
      <w:r>
        <w:rPr>
          <w:rFonts w:hint="eastAsia"/>
          <w:lang w:val="en-US" w:eastAsia="zh-CN"/>
        </w:rPr>
      </w:r>
      <w:r/>
    </w:p>
    <w:p>
      <w:pPr>
        <w:pStyle w:val="941"/>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929"/>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941"/>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929"/>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941"/>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929"/>
        <w:rPr>
          <w:rFonts w:hint="eastAsia"/>
          <w:lang w:val="en-US" w:eastAsia="zh-CN"/>
        </w:rPr>
      </w:pPr>
      <w:r>
        <w:rPr>
          <w:rFonts w:hint="eastAsia"/>
          <w:lang w:val="en-US" w:eastAsia="zh-CN"/>
        </w:rPr>
      </w:r>
      <w:r/>
    </w:p>
    <w:p>
      <w:pPr>
        <w:pStyle w:val="9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0"/>
      </w:pPr>
      <w:r>
        <w:rPr>
          <w:rFonts w:hint="eastAsia" w:ascii="方正小标宋简体" w:hAnsi="方正小标宋简体" w:eastAsia="方正小标宋简体" w:cs="方正小标宋简体"/>
          <w:color w:val="0000ff"/>
          <w:sz w:val="32"/>
          <w:szCs w:val="32"/>
          <w:lang w:val="en-US" w:eastAsia="zh-CN"/>
        </w:rPr>
      </w:r>
      <w:r/>
    </w:p>
    <w:p>
      <w:pPr>
        <w:pStyle w:val="996"/>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bookmarkEnd w:id="124"/>
      <w:r/>
      <w:bookmarkEnd w:id="125"/>
      <w:r/>
      <w:bookmarkEnd w:id="132"/>
      <w:r>
        <w:rPr>
          <w:rFonts w:hint="eastAsia" w:ascii="黑体" w:hAnsi="黑体" w:eastAsia="黑体" w:cs="Times New Roman"/>
          <w:i w:val="0"/>
          <w:color w:val="000000"/>
          <w:sz w:val="32"/>
          <w:szCs w:val="32"/>
          <w:u w:val="none"/>
          <w:lang w:val="en-US" w:eastAsia="zh-CN"/>
        </w:rPr>
        <w:t xml:space="preserve">六、</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92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2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bl>
    <w:p>
      <w:pPr>
        <w:pStyle w:val="99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9"/>
        <w:rPr>
          <w:rFonts w:hint="eastAsia" w:ascii="宋体" w:hAnsi="宋体"/>
          <w:color w:val="000000"/>
          <w:sz w:val="24"/>
          <w:szCs w:val="24"/>
        </w:rPr>
      </w:pPr>
      <w:r>
        <w:rPr>
          <w:rFonts w:hint="eastAsia" w:ascii="宋体" w:hAnsi="宋体"/>
          <w:color w:val="000000"/>
          <w:sz w:val="24"/>
          <w:szCs w:val="24"/>
        </w:rPr>
      </w:r>
      <w:r/>
    </w:p>
    <w:p>
      <w:pPr>
        <w:pStyle w:val="99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2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929"/>
        <w:rPr>
          <w:rFonts w:hint="eastAsia" w:ascii="黑体" w:hAnsi="黑体" w:eastAsia="黑体" w:cs="Times New Roman"/>
          <w:i w:val="0"/>
          <w:iCs/>
          <w:color w:val="0000ff"/>
          <w:sz w:val="32"/>
          <w:szCs w:val="32"/>
          <w:u w:val="none"/>
          <w:lang w:val="en-US" w:eastAsia="zh-CN"/>
        </w:rPr>
      </w:pPr>
      <w:r/>
      <w:bookmarkStart w:id="136" w:name="_Hlt26955054"/>
      <w:r/>
      <w:bookmarkEnd w:id="136"/>
      <w:r>
        <w:rPr>
          <w:rFonts w:hint="eastAsia" w:ascii="黑体" w:hAnsi="黑体" w:eastAsia="黑体" w:cs="Times New Roman"/>
          <w:i w:val="0"/>
          <w:iCs/>
          <w:color w:val="0000ff"/>
          <w:sz w:val="32"/>
          <w:szCs w:val="32"/>
          <w:u w:val="none"/>
          <w:lang w:val="en-US" w:eastAsia="zh-CN"/>
        </w:rPr>
      </w:r>
      <w:r/>
    </w:p>
    <w:p>
      <w:pPr>
        <w:pStyle w:val="9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七、商务要求响应及偏离表</w:t>
      </w:r>
      <w:r>
        <w:rPr>
          <w:rFonts w:hint="eastAsia" w:ascii="黑体" w:hAnsi="黑体" w:eastAsia="黑体" w:cs="Times New Roman"/>
          <w:i w:val="0"/>
          <w:iCs/>
          <w:color w:val="000000"/>
          <w:sz w:val="32"/>
          <w:szCs w:val="32"/>
          <w:u w:val="none"/>
          <w:lang w:val="en-US" w:eastAsia="zh-CN"/>
        </w:rPr>
      </w:r>
      <w:r/>
    </w:p>
    <w:p>
      <w:pPr>
        <w:pStyle w:val="929"/>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2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9"/>
              <w:jc w:val="center"/>
              <w:rPr>
                <w:rFonts w:hint="eastAsia" w:ascii="宋体" w:hAnsi="宋体"/>
                <w:color w:val="000000"/>
                <w:sz w:val="24"/>
                <w:szCs w:val="24"/>
              </w:rPr>
            </w:pPr>
            <w:r>
              <w:rPr>
                <w:rFonts w:hint="eastAsia" w:ascii="宋体" w:hAnsi="宋体"/>
                <w:color w:val="000000"/>
                <w:sz w:val="24"/>
                <w:szCs w:val="24"/>
              </w:rPr>
            </w:r>
            <w:r/>
          </w:p>
        </w:tc>
      </w:tr>
    </w:tbl>
    <w:p>
      <w:pPr>
        <w:pStyle w:val="99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29"/>
      </w:pPr>
      <w:r/>
      <w:r/>
    </w:p>
    <w:p>
      <w:pPr>
        <w:pStyle w:val="929"/>
        <w:jc w:val="center"/>
        <w:rPr>
          <w:rFonts w:hint="eastAsia" w:ascii="宋体" w:hAnsi="宋体" w:cs="仿宋"/>
          <w:b/>
          <w:bCs/>
          <w:sz w:val="32"/>
          <w:szCs w:val="32"/>
        </w:rPr>
      </w:pPr>
      <w:r>
        <w:rPr>
          <w:rFonts w:hint="eastAsia" w:ascii="宋体" w:hAnsi="宋体" w:cs="仿宋"/>
          <w:b/>
          <w:bCs/>
          <w:sz w:val="32"/>
          <w:szCs w:val="32"/>
        </w:rPr>
      </w:r>
      <w:r/>
    </w:p>
    <w:p>
      <w:pPr>
        <w:pStyle w:val="1012"/>
        <w:rPr>
          <w:rFonts w:hint="eastAsia" w:ascii="宋体" w:hAnsi="宋体" w:cs="仿宋"/>
          <w:b/>
          <w:bCs/>
          <w:sz w:val="32"/>
          <w:szCs w:val="32"/>
        </w:rPr>
      </w:pPr>
      <w:r>
        <w:rPr>
          <w:rFonts w:hint="eastAsia" w:ascii="宋体" w:hAnsi="宋体" w:cs="仿宋"/>
          <w:b/>
          <w:bCs/>
          <w:sz w:val="32"/>
          <w:szCs w:val="32"/>
        </w:rPr>
      </w:r>
      <w:r/>
    </w:p>
    <w:p>
      <w:pPr>
        <w:pStyle w:val="929"/>
        <w:rPr>
          <w:rFonts w:hint="eastAsia" w:ascii="宋体" w:hAnsi="宋体" w:cs="仿宋"/>
          <w:b/>
          <w:bCs/>
          <w:sz w:val="32"/>
          <w:szCs w:val="32"/>
        </w:rPr>
      </w:pPr>
      <w:r>
        <w:rPr>
          <w:rFonts w:hint="eastAsia" w:ascii="宋体" w:hAnsi="宋体" w:cs="仿宋"/>
          <w:b/>
          <w:bCs/>
          <w:sz w:val="32"/>
          <w:szCs w:val="32"/>
        </w:rPr>
      </w:r>
      <w:r/>
    </w:p>
    <w:p>
      <w:pPr>
        <w:pStyle w:val="9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9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9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rPr>
          <w:rFonts w:hint="eastAsia" w:ascii="黑体" w:hAnsi="黑体" w:eastAsia="黑体" w:cs="Times New Roman"/>
          <w:i w:val="0"/>
          <w:iCs/>
          <w:sz w:val="32"/>
          <w:szCs w:val="32"/>
          <w:u w:val="none"/>
          <w:lang w:val="en-US" w:eastAsia="zh-CN"/>
        </w:rPr>
      </w:r>
      <w:r/>
    </w:p>
    <w:p>
      <w:pPr>
        <w:pStyle w:val="9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92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2026年度竹镇镇东片区老年人照护服务</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92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92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92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92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101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929"/>
        <w:keepLines w:val="0"/>
        <w:keepNext w:val="0"/>
        <w:pageBreakBefore w:val="0"/>
        <w:spacing w:line="360" w:lineRule="auto"/>
        <w:rPr>
          <w:rFonts w:hint="eastAsia"/>
          <w:lang w:eastAsia="zh-CN"/>
        </w:rPr>
      </w:pPr>
      <w:r>
        <w:rPr>
          <w:rFonts w:hint="eastAsia"/>
          <w:lang w:eastAsia="zh-CN"/>
        </w:rPr>
      </w:r>
      <w:r/>
    </w:p>
    <w:p>
      <w:pPr>
        <w:pStyle w:val="9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92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w:t>
      </w:r>
      <w:r>
        <w:rPr>
          <w:rFonts w:hint="eastAsia" w:ascii="宋体" w:hAnsi="宋体" w:eastAsia="宋体" w:cs="Times New Roman"/>
          <w:sz w:val="24"/>
          <w:szCs w:val="24"/>
          <w:lang w:val="en-US" w:eastAsia="zh-CN"/>
        </w:rPr>
        <w:t xml:space="preserve">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92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9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92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9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101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929"/>
        <w:keepLines w:val="0"/>
        <w:keepNext w:val="0"/>
        <w:pageBreakBefore w:val="0"/>
        <w:spacing w:line="360" w:lineRule="auto"/>
        <w:widowControl w:val="off"/>
        <w:rPr>
          <w:rFonts w:hint="eastAsia"/>
          <w:lang w:eastAsia="zh-CN"/>
        </w:rPr>
      </w:pPr>
      <w:r>
        <w:rPr>
          <w:rFonts w:hint="eastAsia"/>
          <w:lang w:eastAsia="zh-CN"/>
        </w:rPr>
      </w:r>
      <w:r/>
    </w:p>
    <w:p>
      <w:pPr>
        <w:pStyle w:val="9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9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rPr>
          <w:rFonts w:hint="eastAsia" w:ascii="宋体" w:hAnsi="宋体"/>
          <w:sz w:val="24"/>
        </w:rPr>
      </w:r>
      <w:r/>
    </w:p>
    <w:p>
      <w:pPr>
        <w:pStyle w:val="92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929"/>
        <w:ind w:firstLine="480"/>
        <w:spacing w:line="480" w:lineRule="exact"/>
        <w:rPr>
          <w:rFonts w:ascii="宋体" w:hAnsi="宋体"/>
          <w:sz w:val="24"/>
        </w:rPr>
      </w:pPr>
      <w:r>
        <w:rPr>
          <w:rFonts w:ascii="宋体" w:hAnsi="宋体"/>
          <w:sz w:val="24"/>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rPr>
          <w:rFonts w:hint="eastAsia" w:ascii="黑体" w:hAnsi="黑体" w:eastAsia="黑体" w:cs="Times New Roman"/>
          <w:i w:val="0"/>
          <w:iCs/>
          <w:sz w:val="32"/>
          <w:szCs w:val="32"/>
          <w:u w:val="none"/>
          <w:lang w:val="en-US" w:eastAsia="zh-CN"/>
        </w:rPr>
      </w:r>
      <w:r/>
    </w:p>
    <w:p>
      <w:pPr>
        <w:pStyle w:val="9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92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92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92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2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92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2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9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9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9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2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9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1002"/>
        <w:rPr>
          <w:rFonts w:hint="eastAsia" w:ascii="宋体" w:hAnsi="宋体" w:eastAsia="宋体" w:cs="Times New Roman"/>
          <w:sz w:val="24"/>
        </w:rPr>
      </w:pPr>
      <w:r>
        <w:rPr>
          <w:rFonts w:hint="eastAsia" w:ascii="宋体" w:hAnsi="宋体" w:eastAsia="宋体" w:cs="Times New Roman"/>
          <w:sz w:val="24"/>
        </w:rPr>
      </w:r>
      <w:r/>
    </w:p>
    <w:p>
      <w:pPr>
        <w:pStyle w:val="929"/>
        <w:rPr>
          <w:rFonts w:hint="eastAsia"/>
        </w:rPr>
      </w:pPr>
      <w:r>
        <w:rPr>
          <w:rFonts w:hint="eastAsia"/>
        </w:rPr>
      </w:r>
      <w:r/>
    </w:p>
    <w:p>
      <w:pPr>
        <w:pStyle w:val="929"/>
        <w:ind w:firstLine="645"/>
        <w:spacing w:line="560" w:lineRule="exact"/>
        <w:rPr>
          <w:rFonts w:ascii="宋体" w:hAnsi="宋体"/>
          <w:sz w:val="24"/>
        </w:rPr>
      </w:pPr>
      <w:r>
        <w:rPr>
          <w:rFonts w:ascii="宋体" w:hAnsi="宋体"/>
          <w:sz w:val="24"/>
        </w:rPr>
      </w:r>
      <w:r/>
    </w:p>
    <w:p>
      <w:pPr>
        <w:pStyle w:val="929"/>
        <w:ind w:firstLine="645"/>
        <w:spacing w:line="560" w:lineRule="exact"/>
        <w:rPr>
          <w:rFonts w:hint="eastAsia" w:ascii="宋体" w:hAnsi="宋体"/>
          <w:sz w:val="24"/>
        </w:rPr>
      </w:pPr>
      <w:r>
        <w:rPr>
          <w:rFonts w:hint="eastAsia" w:ascii="宋体" w:hAnsi="宋体"/>
          <w:sz w:val="24"/>
        </w:rPr>
      </w:r>
      <w:r/>
    </w:p>
    <w:p>
      <w:pPr>
        <w:pStyle w:val="1012"/>
        <w:rPr>
          <w:rFonts w:hint="eastAsia" w:ascii="宋体" w:hAnsi="宋体"/>
          <w:sz w:val="24"/>
        </w:rPr>
      </w:pPr>
      <w:r>
        <w:rPr>
          <w:rFonts w:hint="eastAsia" w:ascii="宋体" w:hAnsi="宋体"/>
          <w:sz w:val="24"/>
        </w:rPr>
      </w:r>
      <w:r/>
    </w:p>
    <w:p>
      <w:pPr>
        <w:pStyle w:val="929"/>
        <w:rPr>
          <w:rFonts w:hint="eastAsia" w:ascii="宋体" w:hAnsi="宋体"/>
          <w:sz w:val="24"/>
        </w:rPr>
      </w:pPr>
      <w:r>
        <w:rPr>
          <w:rFonts w:hint="eastAsia" w:ascii="宋体" w:hAnsi="宋体"/>
          <w:sz w:val="24"/>
        </w:rPr>
      </w:r>
      <w:r/>
    </w:p>
    <w:p>
      <w:pPr>
        <w:pStyle w:val="1012"/>
        <w:rPr>
          <w:rFonts w:hint="eastAsia"/>
        </w:rPr>
      </w:pPr>
      <w:r>
        <w:rPr>
          <w:rFonts w:hint="eastAsia"/>
        </w:rPr>
      </w:r>
      <w:r/>
    </w:p>
    <w:p>
      <w:pPr>
        <w:pStyle w:val="929"/>
        <w:jc w:val="left"/>
        <w:spacing w:line="360" w:lineRule="auto"/>
        <w:rPr>
          <w:rFonts w:hint="eastAsia" w:ascii="宋体" w:hAnsi="宋体"/>
          <w:sz w:val="24"/>
        </w:rPr>
      </w:pPr>
      <w:r>
        <w:rPr>
          <w:rFonts w:hint="eastAsia" w:ascii="黑体" w:hAnsi="黑体" w:eastAsia="黑体"/>
          <w:sz w:val="32"/>
          <w:szCs w:val="32"/>
        </w:rPr>
        <w:t xml:space="preserve">十</w:t>
      </w:r>
      <w:r>
        <w:rPr>
          <w:rFonts w:hint="eastAsia" w:ascii="黑体" w:hAnsi="黑体" w:eastAsia="黑体"/>
          <w:sz w:val="32"/>
          <w:szCs w:val="32"/>
          <w:lang w:val="en-US" w:eastAsia="zh-CN"/>
        </w:rPr>
        <w:t xml:space="preserve">一</w:t>
      </w:r>
      <w:r>
        <w:rPr>
          <w:rFonts w:hint="eastAsia" w:ascii="黑体" w:hAnsi="黑体" w:eastAsia="黑体"/>
          <w:sz w:val="32"/>
          <w:szCs w:val="32"/>
        </w:rPr>
        <w:t xml:space="preserve">、关于符合本国产品标准的声明函</w:t>
      </w:r>
      <w:r>
        <w:rPr>
          <w:rFonts w:hint="eastAsia" w:ascii="黑体" w:hAnsi="黑体" w:eastAsia="黑体"/>
          <w:color w:val="c00000"/>
          <w:sz w:val="32"/>
          <w:szCs w:val="32"/>
        </w:rPr>
        <w:t xml:space="preserve">（如有，可上传至“电子投标文件格式-企业报价折扣证明”中）</w:t>
      </w:r>
      <w:r>
        <w:rPr>
          <w:rFonts w:hint="eastAsia" w:ascii="宋体" w:hAnsi="宋体"/>
          <w:sz w:val="24"/>
        </w:rPr>
      </w:r>
      <w:r/>
    </w:p>
    <w:p>
      <w:pPr>
        <w:pStyle w:val="92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9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shd w:val="clear" w:color="auto" w:fill="ffffff"/>
        </w:rPr>
        <w:t xml:space="preserve"> </w:t>
      </w: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rPr>
      </w:r>
      <w:r/>
    </w:p>
    <w:p>
      <w:pPr>
        <w:pStyle w:val="99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（产品名称1）</w:t>
      </w:r>
      <w:r>
        <w:rPr>
          <w:rStyle w:val="1008"/>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1008"/>
          <w:rFonts w:hint="eastAsia" w:ascii="宋体" w:hAnsi="宋体" w:eastAsia="宋体" w:cs="宋体"/>
          <w:i w:val="0"/>
          <w:iCs w:val="0"/>
          <w:caps w:val="0"/>
          <w:color w:val="333333"/>
          <w:spacing w:val="0"/>
          <w:sz w:val="24"/>
          <w:szCs w:val="24"/>
          <w:u w:val="single"/>
          <w:shd w:val="clear" w:color="auto" w:fill="ffffff"/>
        </w:rPr>
        <w:t xml:space="preserve">（厂名）</w:t>
      </w:r>
      <w:r>
        <w:rPr>
          <w:rStyle w:val="1008"/>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1008"/>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008"/>
          <w:rFonts w:hint="eastAsia" w:ascii="宋体" w:hAnsi="宋体" w:eastAsia="宋体" w:cs="宋体"/>
          <w:i w:val="0"/>
          <w:iCs w:val="0"/>
          <w:caps w:val="0"/>
          <w:color w:val="333333"/>
          <w:spacing w:val="0"/>
          <w:sz w:val="24"/>
          <w:szCs w:val="24"/>
          <w:u w:val="single"/>
          <w:shd w:val="clear" w:color="auto" w:fill="ffffff"/>
        </w:rPr>
        <w:t xml:space="preserve">（规定比例）</w:t>
      </w:r>
      <w:r>
        <w:rPr>
          <w:rStyle w:val="1008"/>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008"/>
          <w:rFonts w:hint="eastAsia" w:ascii="宋体" w:hAnsi="宋体" w:eastAsia="宋体" w:cs="宋体"/>
          <w:i w:val="0"/>
          <w:iCs w:val="0"/>
          <w:caps w:val="0"/>
          <w:color w:val="333333"/>
          <w:spacing w:val="0"/>
          <w:sz w:val="24"/>
          <w:szCs w:val="24"/>
          <w:u w:val="single"/>
          <w:shd w:val="clear" w:color="auto" w:fill="ffffff"/>
        </w:rPr>
        <w:t xml:space="preserve">（关键组件）</w:t>
      </w:r>
      <w:r>
        <w:rPr>
          <w:rStyle w:val="1008"/>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008"/>
          <w:rFonts w:hint="eastAsia" w:ascii="宋体" w:hAnsi="宋体" w:eastAsia="宋体" w:cs="宋体"/>
          <w:i w:val="0"/>
          <w:iCs w:val="0"/>
          <w:caps w:val="0"/>
          <w:color w:val="333333"/>
          <w:spacing w:val="0"/>
          <w:sz w:val="24"/>
          <w:szCs w:val="24"/>
          <w:u w:val="single"/>
          <w:shd w:val="clear" w:color="auto" w:fill="ffffff"/>
        </w:rPr>
        <w:t xml:space="preserve">（关键工序）</w:t>
      </w:r>
      <w:r>
        <w:rPr>
          <w:rStyle w:val="1008"/>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9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1008"/>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1008"/>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008"/>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008"/>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0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008"/>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9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99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rPr>
      </w:r>
      <w:r/>
    </w:p>
    <w:p>
      <w:pPr>
        <w:pStyle w:val="1062"/>
        <w:ind w:firstLine="420"/>
        <w:spacing w:before="24" w:beforeAutospacing="0" w:after="24" w:afterAutospacing="0" w:line="360" w:lineRule="auto"/>
        <w:shd w:val="clear" w:color="auto" w:fill="ffffff"/>
        <w:rPr>
          <w:rFonts w:hint="eastAsia"/>
        </w:rPr>
      </w:pPr>
      <w:r>
        <w:rPr>
          <w:rFonts w:hint="eastAsia"/>
        </w:rPr>
      </w:r>
      <w:r/>
    </w:p>
    <w:p>
      <w:pPr>
        <w:pStyle w:val="106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106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rPr>
          <w:rFonts w:hint="eastAsia" w:ascii="宋体" w:hAnsi="宋体" w:eastAsia="宋体" w:cs="宋体"/>
          <w:i w:val="0"/>
          <w:iCs w:val="0"/>
          <w:caps w:val="0"/>
          <w:color w:val="333333"/>
          <w:spacing w:val="0"/>
          <w:sz w:val="21"/>
          <w:szCs w:val="21"/>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1"/>
          <w:szCs w:val="21"/>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1"/>
          <w:szCs w:val="21"/>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1"/>
          <w:szCs w:val="21"/>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1"/>
          <w:szCs w:val="21"/>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i w:val="0"/>
          <w:iCs w:val="0"/>
          <w:caps w:val="0"/>
          <w:color w:val="333333"/>
          <w:spacing w:val="0"/>
          <w:sz w:val="21"/>
          <w:szCs w:val="21"/>
          <w:shd w:val="clear" w:color="auto" w:fill="ffffff"/>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92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9"/>
        <w:rPr>
          <w:rFonts w:hint="eastAsia" w:ascii="宋体" w:hAnsi="宋体"/>
          <w:sz w:val="24"/>
          <w:szCs w:val="24"/>
        </w:rPr>
      </w:pPr>
      <w:r>
        <w:rPr>
          <w:rFonts w:hint="eastAsia" w:ascii="宋体" w:hAnsi="宋体"/>
          <w:sz w:val="24"/>
          <w:szCs w:val="24"/>
        </w:rPr>
      </w:r>
      <w:r/>
    </w:p>
    <w:p>
      <w:pPr>
        <w:pStyle w:val="92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2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9"/>
        <w:ind w:left="1440" w:hanging="360"/>
      </w:pPr>
      <w:rPr>
        <w:rFonts w:ascii="Courier New" w:hAnsi="Courier New" w:eastAsia="Courier New" w:cs="Courier New"/>
      </w:rPr>
    </w:lvl>
    <w:lvl w:ilvl="2">
      <w:start w:val="1"/>
      <w:numFmt w:val="bullet"/>
      <w:isLgl w:val="false"/>
      <w:suff w:val="tab"/>
      <w:lvlText w:val="§"/>
      <w:lvlJc w:val="left"/>
      <w:pPr>
        <w:pStyle w:val="929"/>
        <w:ind w:left="2160" w:hanging="360"/>
      </w:pPr>
      <w:rPr>
        <w:rFonts w:ascii="Wingdings" w:hAnsi="Wingdings" w:eastAsia="Wingdings" w:cs="Wingdings"/>
      </w:rPr>
    </w:lvl>
    <w:lvl w:ilvl="3">
      <w:start w:val="1"/>
      <w:numFmt w:val="bullet"/>
      <w:isLgl w:val="false"/>
      <w:suff w:val="tab"/>
      <w:lvlText w:val="·"/>
      <w:lvlJc w:val="left"/>
      <w:pPr>
        <w:pStyle w:val="929"/>
        <w:ind w:left="2880" w:hanging="360"/>
      </w:pPr>
      <w:rPr>
        <w:rFonts w:ascii="Symbol" w:hAnsi="Symbol" w:eastAsia="Symbol" w:cs="Symbol"/>
      </w:rPr>
    </w:lvl>
    <w:lvl w:ilvl="4">
      <w:start w:val="1"/>
      <w:numFmt w:val="bullet"/>
      <w:isLgl w:val="false"/>
      <w:suff w:val="tab"/>
      <w:lvlText w:val="o"/>
      <w:lvlJc w:val="left"/>
      <w:pPr>
        <w:pStyle w:val="929"/>
        <w:ind w:left="3600" w:hanging="360"/>
      </w:pPr>
      <w:rPr>
        <w:rFonts w:ascii="Courier New" w:hAnsi="Courier New" w:eastAsia="Courier New" w:cs="Courier New"/>
      </w:rPr>
    </w:lvl>
    <w:lvl w:ilvl="5">
      <w:start w:val="1"/>
      <w:numFmt w:val="bullet"/>
      <w:isLgl w:val="false"/>
      <w:suff w:val="tab"/>
      <w:lvlText w:val="§"/>
      <w:lvlJc w:val="left"/>
      <w:pPr>
        <w:pStyle w:val="929"/>
        <w:ind w:left="4320" w:hanging="360"/>
      </w:pPr>
      <w:rPr>
        <w:rFonts w:ascii="Wingdings" w:hAnsi="Wingdings" w:eastAsia="Wingdings" w:cs="Wingdings"/>
      </w:rPr>
    </w:lvl>
    <w:lvl w:ilvl="6">
      <w:start w:val="1"/>
      <w:numFmt w:val="bullet"/>
      <w:isLgl w:val="false"/>
      <w:suff w:val="tab"/>
      <w:lvlText w:val="·"/>
      <w:lvlJc w:val="left"/>
      <w:pPr>
        <w:pStyle w:val="929"/>
        <w:ind w:left="5040" w:hanging="360"/>
      </w:pPr>
      <w:rPr>
        <w:rFonts w:ascii="Symbol" w:hAnsi="Symbol" w:eastAsia="Symbol" w:cs="Symbol"/>
      </w:rPr>
    </w:lvl>
    <w:lvl w:ilvl="7">
      <w:start w:val="1"/>
      <w:numFmt w:val="bullet"/>
      <w:isLgl w:val="false"/>
      <w:suff w:val="tab"/>
      <w:lvlText w:val="o"/>
      <w:lvlJc w:val="left"/>
      <w:pPr>
        <w:pStyle w:val="929"/>
        <w:ind w:left="5760" w:hanging="360"/>
      </w:pPr>
      <w:rPr>
        <w:rFonts w:ascii="Courier New" w:hAnsi="Courier New" w:eastAsia="Courier New" w:cs="Courier New"/>
      </w:rPr>
    </w:lvl>
    <w:lvl w:ilvl="8">
      <w:start w:val="1"/>
      <w:numFmt w:val="bullet"/>
      <w:isLgl w:val="false"/>
      <w:suff w:val="tab"/>
      <w:lvlText w:val="§"/>
      <w:lvlJc w:val="left"/>
      <w:pPr>
        <w:pStyle w:val="929"/>
        <w:ind w:left="6480" w:hanging="360"/>
      </w:pPr>
      <w:rPr>
        <w:rFonts w:ascii="Wingdings" w:hAnsi="Wingdings" w:eastAsia="Wingdings" w:cs="Wingdings"/>
      </w:rPr>
    </w:lvl>
  </w:abstractNum>
  <w:abstractNum w:abstractNumId="1">
    <w:multiLevelType w:val="hybridMultilevel"/>
    <w:lvl w:ilvl="0">
      <w:start w:val="1"/>
      <w:numFmt w:val="upperLetter"/>
      <w:pStyle w:val="1015"/>
      <w:isLgl w:val="false"/>
      <w:suff w:val="tab"/>
      <w:lvlText w:val="附录%1."/>
      <w:lvlJc w:val="left"/>
      <w:pPr>
        <w:pStyle w:val="92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9"/>
        <w:ind w:left="709" w:hanging="709"/>
        <w:tabs>
          <w:tab w:val="num" w:pos="709" w:leader="none"/>
        </w:tabs>
      </w:pPr>
      <w:rPr>
        <w:rFonts w:hint="eastAsia"/>
      </w:rPr>
    </w:lvl>
    <w:lvl w:ilvl="1">
      <w:start w:val="1"/>
      <w:numFmt w:val="decimal"/>
      <w:isLgl w:val="false"/>
      <w:suff w:val="tab"/>
      <w:lvlText w:val="%1.%2"/>
      <w:lvlJc w:val="left"/>
      <w:pPr>
        <w:pStyle w:val="929"/>
        <w:ind w:left="709" w:hanging="709"/>
        <w:tabs>
          <w:tab w:val="num" w:pos="709" w:leader="none"/>
        </w:tabs>
      </w:pPr>
      <w:rPr>
        <w:rFonts w:hint="eastAsia"/>
      </w:rPr>
    </w:lvl>
    <w:lvl w:ilvl="2">
      <w:start w:val="1"/>
      <w:numFmt w:val="decimal"/>
      <w:isLgl w:val="false"/>
      <w:suff w:val="tab"/>
      <w:lvlText w:val="%1.%2.%3."/>
      <w:lvlJc w:val="left"/>
      <w:pPr>
        <w:pStyle w:val="929"/>
        <w:ind w:left="425" w:hanging="425"/>
        <w:tabs>
          <w:tab w:val="num" w:pos="425" w:leader="none"/>
        </w:tabs>
      </w:pPr>
      <w:rPr>
        <w:rFonts w:hint="eastAsia"/>
      </w:rPr>
    </w:lvl>
    <w:lvl w:ilvl="3">
      <w:start w:val="1"/>
      <w:numFmt w:val="decimal"/>
      <w:isLgl w:val="false"/>
      <w:suff w:val="tab"/>
      <w:lvlText w:val="%1.%2.%3.%4."/>
      <w:lvlJc w:val="left"/>
      <w:pPr>
        <w:pStyle w:val="929"/>
        <w:ind w:left="851" w:hanging="851"/>
        <w:tabs>
          <w:tab w:val="num" w:pos="851" w:leader="none"/>
        </w:tabs>
      </w:pPr>
      <w:rPr>
        <w:rFonts w:hint="eastAsia"/>
      </w:rPr>
    </w:lvl>
    <w:lvl w:ilvl="4">
      <w:start w:val="1"/>
      <w:numFmt w:val="decimal"/>
      <w:isLgl w:val="false"/>
      <w:suff w:val="tab"/>
      <w:lvlText w:val="%1.%2.%3.%4.%5."/>
      <w:lvlJc w:val="left"/>
      <w:pPr>
        <w:pStyle w:val="929"/>
        <w:ind w:left="992" w:hanging="992"/>
        <w:tabs>
          <w:tab w:val="num" w:pos="992" w:leader="none"/>
        </w:tabs>
      </w:pPr>
      <w:rPr>
        <w:rFonts w:hint="eastAsia"/>
      </w:rPr>
    </w:lvl>
    <w:lvl w:ilvl="5">
      <w:start w:val="1"/>
      <w:numFmt w:val="decimal"/>
      <w:isLgl w:val="false"/>
      <w:suff w:val="tab"/>
      <w:lvlText w:val="%1.%2.%3.%4.%5.%6."/>
      <w:lvlJc w:val="left"/>
      <w:pPr>
        <w:pStyle w:val="929"/>
        <w:ind w:left="1134" w:hanging="1134"/>
        <w:tabs>
          <w:tab w:val="num" w:pos="1134" w:leader="none"/>
        </w:tabs>
      </w:pPr>
      <w:rPr>
        <w:rFonts w:hint="eastAsia"/>
      </w:rPr>
    </w:lvl>
    <w:lvl w:ilvl="6">
      <w:start w:val="1"/>
      <w:numFmt w:val="decimal"/>
      <w:isLgl w:val="false"/>
      <w:suff w:val="tab"/>
      <w:lvlText w:val="%1.%2.%3.%4.%5.%6.%7."/>
      <w:lvlJc w:val="left"/>
      <w:pPr>
        <w:pStyle w:val="929"/>
        <w:ind w:left="1276" w:hanging="1276"/>
        <w:tabs>
          <w:tab w:val="num" w:pos="1276" w:leader="none"/>
        </w:tabs>
      </w:pPr>
      <w:rPr>
        <w:rFonts w:hint="eastAsia"/>
      </w:rPr>
    </w:lvl>
    <w:lvl w:ilvl="7">
      <w:start w:val="1"/>
      <w:numFmt w:val="decimal"/>
      <w:isLgl w:val="false"/>
      <w:suff w:val="tab"/>
      <w:lvlText w:val="%1.%2.%3.%4.%5.%6.%7.%8."/>
      <w:lvlJc w:val="left"/>
      <w:pPr>
        <w:pStyle w:val="929"/>
        <w:ind w:left="1418" w:hanging="1418"/>
        <w:tabs>
          <w:tab w:val="num" w:pos="1418" w:leader="none"/>
        </w:tabs>
      </w:pPr>
      <w:rPr>
        <w:rFonts w:hint="eastAsia"/>
      </w:rPr>
    </w:lvl>
    <w:lvl w:ilvl="8">
      <w:start w:val="1"/>
      <w:numFmt w:val="decimal"/>
      <w:isLgl w:val="false"/>
      <w:suff w:val="tab"/>
      <w:lvlText w:val="%1.%2.%3.%4.%5.%6.%7.%8.%9."/>
      <w:lvlJc w:val="left"/>
      <w:pPr>
        <w:pStyle w:val="929"/>
        <w:ind w:left="1559" w:hanging="1559"/>
        <w:tabs>
          <w:tab w:val="num" w:pos="1559" w:leader="none"/>
        </w:tabs>
      </w:pPr>
      <w:rPr>
        <w:rFonts w:hint="eastAsia"/>
      </w:rPr>
    </w:lvl>
  </w:abstractNum>
  <w:abstractNum w:abstractNumId="3">
    <w:multiLevelType w:val="hybridMultilevel"/>
    <w:lvl w:ilvl="0">
      <w:start w:val="5"/>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29"/>
        <w:ind w:left="0" w:firstLine="0"/>
      </w:pPr>
      <w:rPr>
        <w:rFonts w:hint="eastAsia"/>
      </w:rPr>
    </w:lvl>
    <w:lvl w:ilvl="1">
      <w:start w:val="1"/>
      <w:numFmt w:val="decimal"/>
      <w:isLgl w:val="false"/>
      <w:suff w:val="nothing"/>
      <w:lvlText w:val="%2、"/>
      <w:lvlJc w:val="left"/>
      <w:pPr>
        <w:pStyle w:val="929"/>
        <w:ind w:left="0" w:firstLine="0"/>
      </w:pPr>
      <w:rPr>
        <w:rFonts w:hint="eastAsia"/>
      </w:rPr>
    </w:lvl>
    <w:lvl w:ilvl="2">
      <w:start w:val="1"/>
      <w:numFmt w:val="decimal"/>
      <w:isLgl w:val="false"/>
      <w:suff w:val="nothing"/>
      <w:lvlText w:val="%2.%3 "/>
      <w:lvlJc w:val="left"/>
      <w:pPr>
        <w:pStyle w:val="929"/>
        <w:ind w:left="0" w:firstLine="0"/>
      </w:pPr>
      <w:rPr>
        <w:rFonts w:hint="eastAsia"/>
      </w:rPr>
    </w:lvl>
    <w:lvl w:ilvl="3">
      <w:start w:val="1"/>
      <w:numFmt w:val="decimal"/>
      <w:isLgl w:val="false"/>
      <w:suff w:val="nothing"/>
      <w:lvlText w:val="%2.%3.%4 "/>
      <w:lvlJc w:val="left"/>
      <w:pPr>
        <w:pStyle w:val="929"/>
        <w:ind w:left="0" w:firstLine="0"/>
      </w:pPr>
      <w:rPr>
        <w:rFonts w:hint="eastAsia"/>
      </w:rPr>
    </w:lvl>
    <w:lvl w:ilvl="4">
      <w:start w:val="1"/>
      <w:numFmt w:val="decimal"/>
      <w:isLgl w:val="false"/>
      <w:suff w:val="nothing"/>
      <w:lvlText w:val="%2.%3.%4.%5 "/>
      <w:lvlJc w:val="left"/>
      <w:pPr>
        <w:pStyle w:val="929"/>
        <w:ind w:left="0" w:firstLine="0"/>
      </w:pPr>
      <w:rPr>
        <w:rFonts w:hint="eastAsia"/>
      </w:rPr>
    </w:lvl>
    <w:lvl w:ilvl="5">
      <w:start w:val="1"/>
      <w:numFmt w:val="decimal"/>
      <w:pStyle w:val="935"/>
      <w:isLgl w:val="false"/>
      <w:suff w:val="nothing"/>
      <w:lvlText w:val=""/>
      <w:lvlJc w:val="left"/>
      <w:pPr>
        <w:pStyle w:val="929"/>
        <w:ind w:left="0" w:firstLine="0"/>
      </w:pPr>
      <w:rPr>
        <w:rFonts w:hint="eastAsia"/>
      </w:rPr>
    </w:lvl>
    <w:lvl w:ilvl="6">
      <w:start w:val="1"/>
      <w:numFmt w:val="decimal"/>
      <w:pStyle w:val="936"/>
      <w:isLgl w:val="false"/>
      <w:suff w:val="nothing"/>
      <w:lvlText w:val=""/>
      <w:lvlJc w:val="left"/>
      <w:pPr>
        <w:pStyle w:val="929"/>
        <w:ind w:left="0" w:firstLine="0"/>
      </w:pPr>
      <w:rPr>
        <w:rFonts w:hint="eastAsia"/>
      </w:rPr>
    </w:lvl>
    <w:lvl w:ilvl="7">
      <w:start w:val="1"/>
      <w:numFmt w:val="decimal"/>
      <w:pStyle w:val="937"/>
      <w:isLgl w:val="false"/>
      <w:suff w:val="nothing"/>
      <w:lvlText w:val=""/>
      <w:lvlJc w:val="left"/>
      <w:pPr>
        <w:pStyle w:val="929"/>
        <w:ind w:left="0" w:firstLine="0"/>
      </w:pPr>
      <w:rPr>
        <w:rFonts w:hint="eastAsia"/>
      </w:rPr>
    </w:lvl>
    <w:lvl w:ilvl="8">
      <w:start w:val="1"/>
      <w:numFmt w:val="decimal"/>
      <w:pStyle w:val="938"/>
      <w:isLgl w:val="false"/>
      <w:suff w:val="nothing"/>
      <w:lvlText w:val=""/>
      <w:lvlJc w:val="left"/>
      <w:pPr>
        <w:pStyle w:val="929"/>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9"/>
    <w:next w:val="929"/>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9"/>
    <w:next w:val="929"/>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9"/>
    <w:next w:val="929"/>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9"/>
    <w:next w:val="929"/>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9"/>
    <w:next w:val="929"/>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9"/>
    <w:next w:val="929"/>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9"/>
    <w:next w:val="92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9"/>
    <w:next w:val="92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9"/>
    <w:next w:val="92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9"/>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41"/>
    <w:link w:val="929"/>
    <w:qFormat/>
    <w:pPr>
      <w:jc w:val="both"/>
      <w:widowControl w:val="off"/>
    </w:pPr>
    <w:rPr>
      <w:sz w:val="21"/>
      <w:szCs w:val="22"/>
      <w:lang w:val="en-US" w:eastAsia="zh-CN" w:bidi="ar-SA"/>
    </w:rPr>
  </w:style>
  <w:style w:type="paragraph" w:styleId="930">
    <w:name w:val="标题 1"/>
    <w:basedOn w:val="929"/>
    <w:next w:val="929"/>
    <w:link w:val="944"/>
    <w:qFormat/>
    <w:pPr>
      <w:jc w:val="center"/>
      <w:keepNext/>
      <w:outlineLvl w:val="0"/>
    </w:pPr>
    <w:rPr>
      <w:rFonts w:ascii="楷体_GB2312" w:hAnsi="Times New Roman" w:eastAsia="楷体_GB2312" w:cs="Times New Roman"/>
      <w:sz w:val="28"/>
      <w:szCs w:val="28"/>
    </w:rPr>
  </w:style>
  <w:style w:type="paragraph" w:styleId="931">
    <w:name w:val="标题 2"/>
    <w:basedOn w:val="929"/>
    <w:next w:val="946"/>
    <w:link w:val="945"/>
    <w:qFormat/>
    <w:pPr>
      <w:jc w:val="center"/>
      <w:keepLines/>
      <w:keepNext/>
      <w:spacing w:before="260" w:after="260" w:line="416" w:lineRule="auto"/>
      <w:outlineLvl w:val="1"/>
    </w:pPr>
    <w:rPr>
      <w:rFonts w:ascii="Arial" w:hAnsi="Arial" w:eastAsia="幼圆" w:cs="Arial"/>
      <w:b/>
      <w:bCs/>
      <w:sz w:val="44"/>
      <w:szCs w:val="44"/>
    </w:rPr>
  </w:style>
  <w:style w:type="paragraph" w:styleId="932">
    <w:name w:val="标题 3"/>
    <w:basedOn w:val="929"/>
    <w:next w:val="946"/>
    <w:link w:val="94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3">
    <w:name w:val="标题 4"/>
    <w:basedOn w:val="929"/>
    <w:next w:val="946"/>
    <w:link w:val="949"/>
    <w:qFormat/>
    <w:pPr>
      <w:keepLines/>
      <w:keepNext/>
      <w:spacing w:before="280" w:after="290" w:line="376" w:lineRule="auto"/>
      <w:outlineLvl w:val="3"/>
    </w:pPr>
    <w:rPr>
      <w:rFonts w:ascii="Arial" w:hAnsi="Arial" w:eastAsia="黑体" w:cs="Arial"/>
      <w:b/>
      <w:bCs/>
      <w:sz w:val="28"/>
      <w:szCs w:val="28"/>
    </w:rPr>
  </w:style>
  <w:style w:type="paragraph" w:styleId="934">
    <w:name w:val="标题 5"/>
    <w:basedOn w:val="929"/>
    <w:next w:val="946"/>
    <w:link w:val="950"/>
    <w:qFormat/>
    <w:pPr>
      <w:keepNext/>
      <w:outlineLvl w:val="4"/>
    </w:pPr>
    <w:rPr>
      <w:rFonts w:ascii="宋体" w:hAnsi="Times New Roman" w:eastAsia="宋体" w:cs="Times New Roman"/>
      <w:color w:val="000000"/>
      <w:sz w:val="28"/>
      <w:szCs w:val="28"/>
    </w:rPr>
  </w:style>
  <w:style w:type="paragraph" w:styleId="935">
    <w:name w:val="标题 6"/>
    <w:basedOn w:val="929"/>
    <w:next w:val="929"/>
    <w:link w:val="95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6">
    <w:name w:val="标题 7"/>
    <w:basedOn w:val="929"/>
    <w:next w:val="929"/>
    <w:link w:val="95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7">
    <w:name w:val="标题 8"/>
    <w:basedOn w:val="929"/>
    <w:next w:val="929"/>
    <w:link w:val="95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8">
    <w:name w:val="标题 9"/>
    <w:basedOn w:val="929"/>
    <w:next w:val="929"/>
    <w:link w:val="954"/>
    <w:qFormat/>
    <w:pPr>
      <w:numPr>
        <w:ilvl w:val="8"/>
        <w:numId w:val="1"/>
      </w:numPr>
      <w:keepLines/>
      <w:keepNext/>
      <w:spacing w:before="240" w:after="64" w:line="320" w:lineRule="auto"/>
      <w:outlineLvl w:val="8"/>
    </w:pPr>
    <w:rPr>
      <w:rFonts w:ascii="Arial" w:hAnsi="Arial" w:eastAsia="黑体" w:cs="Times New Roman"/>
      <w:szCs w:val="21"/>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paragraph" w:styleId="941">
    <w:name w:val="正文首行缩进 211"/>
    <w:basedOn w:val="942"/>
    <w:next w:val="929"/>
    <w:link w:val="929"/>
    <w:qFormat/>
    <w:pPr>
      <w:ind w:firstLine="420"/>
      <w:spacing w:line="360" w:lineRule="auto"/>
    </w:pPr>
    <w:rPr>
      <w:rFonts w:ascii="宋体" w:hAnsi="宋体" w:eastAsia="宋体"/>
      <w:sz w:val="21"/>
      <w:szCs w:val="20"/>
    </w:rPr>
  </w:style>
  <w:style w:type="paragraph" w:styleId="942">
    <w:name w:val="正文文本缩进111"/>
    <w:basedOn w:val="929"/>
    <w:next w:val="943"/>
    <w:link w:val="929"/>
    <w:qFormat/>
    <w:pPr>
      <w:ind w:firstLine="645"/>
    </w:pPr>
    <w:rPr>
      <w:rFonts w:ascii="楷体_GB2312" w:eastAsia="楷体_GB2312"/>
      <w:sz w:val="32"/>
      <w:szCs w:val="32"/>
    </w:rPr>
  </w:style>
  <w:style w:type="paragraph" w:styleId="943">
    <w:name w:val="寄信人地址11"/>
    <w:basedOn w:val="929"/>
    <w:next w:val="943"/>
    <w:link w:val="929"/>
    <w:qFormat/>
    <w:rPr>
      <w:rFonts w:ascii="Arial" w:hAnsi="Arial" w:eastAsia="宋体" w:cs="宋体"/>
    </w:rPr>
  </w:style>
  <w:style w:type="character" w:styleId="944">
    <w:name w:val="标题 1 Char"/>
    <w:next w:val="944"/>
    <w:link w:val="930"/>
    <w:rPr>
      <w:rFonts w:ascii="楷体_GB2312" w:hAnsi="Times New Roman" w:eastAsia="楷体_GB2312" w:cs="Times New Roman"/>
      <w:sz w:val="28"/>
      <w:szCs w:val="28"/>
    </w:rPr>
  </w:style>
  <w:style w:type="character" w:styleId="945">
    <w:name w:val="标题 2 Char"/>
    <w:next w:val="945"/>
    <w:link w:val="931"/>
    <w:rPr>
      <w:rFonts w:ascii="Arial" w:hAnsi="Arial" w:eastAsia="幼圆" w:cs="Arial"/>
      <w:b/>
      <w:bCs/>
      <w:sz w:val="44"/>
      <w:szCs w:val="44"/>
    </w:rPr>
  </w:style>
  <w:style w:type="paragraph" w:styleId="946">
    <w:name w:val="正文缩进"/>
    <w:basedOn w:val="929"/>
    <w:next w:val="946"/>
    <w:link w:val="947"/>
    <w:pPr>
      <w:ind w:firstLine="420"/>
    </w:pPr>
    <w:rPr>
      <w:szCs w:val="21"/>
    </w:rPr>
  </w:style>
  <w:style w:type="character" w:styleId="947">
    <w:name w:val="正文缩进 Char"/>
    <w:next w:val="947"/>
    <w:link w:val="946"/>
    <w:rPr>
      <w:szCs w:val="21"/>
    </w:rPr>
  </w:style>
  <w:style w:type="character" w:styleId="948">
    <w:name w:val="标题 3 Char"/>
    <w:next w:val="948"/>
    <w:link w:val="932"/>
    <w:rPr>
      <w:rFonts w:ascii="Times New Roman" w:hAnsi="Times New Roman" w:eastAsia="宋体" w:cs="Times New Roman"/>
      <w:b/>
      <w:bCs/>
      <w:sz w:val="32"/>
      <w:szCs w:val="32"/>
    </w:rPr>
  </w:style>
  <w:style w:type="character" w:styleId="949">
    <w:name w:val="标题 4 Char"/>
    <w:next w:val="949"/>
    <w:link w:val="933"/>
    <w:rPr>
      <w:rFonts w:ascii="Arial" w:hAnsi="Arial" w:eastAsia="黑体" w:cs="Arial"/>
      <w:b/>
      <w:bCs/>
      <w:sz w:val="28"/>
      <w:szCs w:val="28"/>
    </w:rPr>
  </w:style>
  <w:style w:type="character" w:styleId="950">
    <w:name w:val="标题 5 Char"/>
    <w:next w:val="950"/>
    <w:link w:val="934"/>
    <w:rPr>
      <w:rFonts w:ascii="宋体" w:hAnsi="Times New Roman" w:eastAsia="宋体" w:cs="Times New Roman"/>
      <w:color w:val="000000"/>
      <w:sz w:val="28"/>
      <w:szCs w:val="28"/>
    </w:rPr>
  </w:style>
  <w:style w:type="character" w:styleId="951">
    <w:name w:val="标题 6 Char"/>
    <w:next w:val="951"/>
    <w:link w:val="935"/>
    <w:rPr>
      <w:rFonts w:ascii="Arial" w:hAnsi="Arial" w:eastAsia="黑体" w:cs="Times New Roman"/>
      <w:b/>
      <w:bCs/>
      <w:sz w:val="24"/>
      <w:szCs w:val="24"/>
    </w:rPr>
  </w:style>
  <w:style w:type="character" w:styleId="952">
    <w:name w:val="标题 7 Char"/>
    <w:next w:val="952"/>
    <w:link w:val="936"/>
    <w:rPr>
      <w:rFonts w:ascii="Times New Roman" w:hAnsi="Times New Roman" w:eastAsia="宋体" w:cs="Times New Roman"/>
      <w:b/>
      <w:bCs/>
      <w:sz w:val="24"/>
      <w:szCs w:val="24"/>
    </w:rPr>
  </w:style>
  <w:style w:type="character" w:styleId="953">
    <w:name w:val="标题 8 Char"/>
    <w:next w:val="953"/>
    <w:link w:val="937"/>
    <w:rPr>
      <w:rFonts w:ascii="Arial" w:hAnsi="Arial" w:eastAsia="黑体" w:cs="Times New Roman"/>
      <w:sz w:val="24"/>
      <w:szCs w:val="24"/>
    </w:rPr>
  </w:style>
  <w:style w:type="character" w:styleId="954">
    <w:name w:val="标题 9 Char"/>
    <w:next w:val="954"/>
    <w:link w:val="938"/>
    <w:rPr>
      <w:rFonts w:ascii="Arial" w:hAnsi="Arial" w:eastAsia="黑体" w:cs="Times New Roman"/>
      <w:szCs w:val="21"/>
    </w:rPr>
  </w:style>
  <w:style w:type="paragraph" w:styleId="955">
    <w:name w:val="列表 3"/>
    <w:basedOn w:val="929"/>
    <w:next w:val="955"/>
    <w:link w:val="929"/>
    <w:pPr>
      <w:ind w:left="100" w:hanging="200"/>
    </w:pPr>
    <w:rPr>
      <w:rFonts w:ascii="Times New Roman" w:hAnsi="Times New Roman" w:eastAsia="宋体" w:cs="Times New Roman"/>
      <w:szCs w:val="21"/>
    </w:rPr>
  </w:style>
  <w:style w:type="paragraph" w:styleId="956">
    <w:name w:val="目录 7"/>
    <w:basedOn w:val="929"/>
    <w:next w:val="929"/>
    <w:link w:val="929"/>
    <w:semiHidden/>
    <w:pPr>
      <w:ind w:left="1260"/>
      <w:jc w:val="left"/>
    </w:pPr>
    <w:rPr>
      <w:rFonts w:ascii="Times New Roman" w:hAnsi="Times New Roman" w:eastAsia="宋体" w:cs="Times New Roman"/>
      <w:szCs w:val="21"/>
    </w:rPr>
  </w:style>
  <w:style w:type="paragraph" w:styleId="957">
    <w:name w:val="文档结构图"/>
    <w:basedOn w:val="929"/>
    <w:next w:val="957"/>
    <w:link w:val="958"/>
    <w:semiHidden/>
    <w:pPr>
      <w:shd w:val="clear" w:color="auto" w:fill="000080"/>
    </w:pPr>
    <w:rPr>
      <w:rFonts w:ascii="Times New Roman" w:hAnsi="Times New Roman" w:eastAsia="宋体" w:cs="Times New Roman"/>
      <w:szCs w:val="21"/>
    </w:rPr>
  </w:style>
  <w:style w:type="character" w:styleId="958">
    <w:name w:val="文档结构图 Char"/>
    <w:next w:val="958"/>
    <w:link w:val="957"/>
    <w:semiHidden/>
    <w:rPr>
      <w:rFonts w:ascii="Times New Roman" w:hAnsi="Times New Roman" w:eastAsia="宋体" w:cs="Times New Roman"/>
      <w:szCs w:val="21"/>
      <w:shd w:val="clear" w:color="auto" w:fill="000080"/>
    </w:rPr>
  </w:style>
  <w:style w:type="paragraph" w:styleId="959">
    <w:name w:val="批注文字"/>
    <w:basedOn w:val="929"/>
    <w:next w:val="959"/>
    <w:link w:val="960"/>
    <w:unhideWhenUsed/>
    <w:pPr>
      <w:jc w:val="left"/>
    </w:pPr>
  </w:style>
  <w:style w:type="character" w:styleId="960">
    <w:name w:val="批注文字 Char"/>
    <w:basedOn w:val="939"/>
    <w:next w:val="960"/>
    <w:link w:val="959"/>
    <w:uiPriority w:val="99"/>
    <w:semiHidden/>
  </w:style>
  <w:style w:type="paragraph" w:styleId="961">
    <w:name w:val="正文文本 3"/>
    <w:basedOn w:val="929"/>
    <w:next w:val="961"/>
    <w:link w:val="962"/>
    <w:rPr>
      <w:rFonts w:ascii="仿宋_GB2312" w:hAnsi="Arial" w:eastAsia="仿宋_GB2312" w:cs="Times New Roman"/>
      <w:sz w:val="32"/>
      <w:szCs w:val="32"/>
    </w:rPr>
  </w:style>
  <w:style w:type="character" w:styleId="962">
    <w:name w:val="正文文本 3 Char"/>
    <w:next w:val="962"/>
    <w:link w:val="961"/>
    <w:rPr>
      <w:rFonts w:ascii="仿宋_GB2312" w:hAnsi="Arial" w:eastAsia="仿宋_GB2312" w:cs="Times New Roman"/>
      <w:sz w:val="32"/>
      <w:szCs w:val="32"/>
    </w:rPr>
  </w:style>
  <w:style w:type="paragraph" w:styleId="963">
    <w:name w:val="正文文本"/>
    <w:basedOn w:val="929"/>
    <w:next w:val="929"/>
    <w:link w:val="964"/>
    <w:rPr>
      <w:rFonts w:ascii="楷体_GB2312" w:hAnsi="Arial" w:eastAsia="楷体_GB2312" w:cs="Times New Roman"/>
      <w:sz w:val="28"/>
      <w:szCs w:val="28"/>
    </w:rPr>
  </w:style>
  <w:style w:type="character" w:styleId="964">
    <w:name w:val="正文文本 Char"/>
    <w:next w:val="964"/>
    <w:link w:val="963"/>
    <w:rPr>
      <w:rFonts w:ascii="楷体_GB2312" w:hAnsi="Arial" w:eastAsia="楷体_GB2312" w:cs="Times New Roman"/>
      <w:sz w:val="28"/>
      <w:szCs w:val="28"/>
    </w:rPr>
  </w:style>
  <w:style w:type="paragraph" w:styleId="965">
    <w:name w:val="正文文本缩进"/>
    <w:basedOn w:val="929"/>
    <w:next w:val="967"/>
    <w:link w:val="966"/>
    <w:unhideWhenUsed/>
    <w:pPr>
      <w:ind w:left="420"/>
      <w:spacing w:after="120"/>
    </w:pPr>
  </w:style>
  <w:style w:type="character" w:styleId="966">
    <w:name w:val="正文文本缩进 Char"/>
    <w:basedOn w:val="939"/>
    <w:next w:val="966"/>
    <w:link w:val="965"/>
    <w:uiPriority w:val="99"/>
    <w:semiHidden/>
  </w:style>
  <w:style w:type="paragraph" w:styleId="967">
    <w:name w:val="寄信人地址"/>
    <w:basedOn w:val="929"/>
    <w:next w:val="967"/>
    <w:link w:val="929"/>
    <w:qFormat/>
    <w:rPr>
      <w:rFonts w:ascii="Arial" w:hAnsi="Arial" w:eastAsia="宋体" w:cs="宋体"/>
    </w:rPr>
  </w:style>
  <w:style w:type="paragraph" w:styleId="968">
    <w:name w:val="列表 2"/>
    <w:basedOn w:val="929"/>
    <w:next w:val="968"/>
    <w:link w:val="929"/>
    <w:pPr>
      <w:ind w:left="100" w:hanging="200"/>
    </w:pPr>
    <w:rPr>
      <w:rFonts w:ascii="Times New Roman" w:hAnsi="Times New Roman" w:eastAsia="宋体" w:cs="Times New Roman"/>
      <w:szCs w:val="21"/>
    </w:rPr>
  </w:style>
  <w:style w:type="paragraph" w:styleId="969">
    <w:name w:val="索引 4"/>
    <w:basedOn w:val="929"/>
    <w:next w:val="929"/>
    <w:link w:val="929"/>
    <w:semiHidden/>
    <w:qFormat/>
    <w:pPr>
      <w:ind w:left="1260"/>
    </w:pPr>
    <w:rPr>
      <w:rFonts w:ascii="Calibri" w:hAnsi="Calibri" w:eastAsia="Calibri" w:cs="宋体"/>
      <w:sz w:val="20"/>
      <w:lang w:val="zh-CN"/>
    </w:rPr>
  </w:style>
  <w:style w:type="paragraph" w:styleId="970">
    <w:name w:val="目录 5"/>
    <w:basedOn w:val="929"/>
    <w:next w:val="929"/>
    <w:link w:val="929"/>
    <w:semiHidden/>
    <w:pPr>
      <w:ind w:left="840"/>
      <w:jc w:val="left"/>
    </w:pPr>
    <w:rPr>
      <w:rFonts w:ascii="Times New Roman" w:hAnsi="Times New Roman" w:eastAsia="宋体" w:cs="Times New Roman"/>
      <w:szCs w:val="21"/>
    </w:rPr>
  </w:style>
  <w:style w:type="paragraph" w:styleId="971">
    <w:name w:val="目录 3"/>
    <w:basedOn w:val="929"/>
    <w:next w:val="929"/>
    <w:link w:val="929"/>
    <w:semiHidden/>
    <w:pPr>
      <w:ind w:left="420"/>
      <w:jc w:val="left"/>
    </w:pPr>
    <w:rPr>
      <w:rFonts w:ascii="Times New Roman" w:hAnsi="Times New Roman" w:eastAsia="宋体" w:cs="Times New Roman"/>
      <w:i/>
      <w:iCs/>
      <w:szCs w:val="24"/>
    </w:rPr>
  </w:style>
  <w:style w:type="paragraph" w:styleId="972">
    <w:name w:val="纯文本"/>
    <w:basedOn w:val="929"/>
    <w:next w:val="972"/>
    <w:link w:val="973"/>
    <w:rPr>
      <w:rFonts w:ascii="宋体" w:hAnsi="Courier New" w:eastAsia="宋体" w:cs="Courier New"/>
      <w:szCs w:val="21"/>
    </w:rPr>
  </w:style>
  <w:style w:type="character" w:styleId="973">
    <w:name w:val="纯文本 Char"/>
    <w:next w:val="973"/>
    <w:link w:val="972"/>
    <w:rPr>
      <w:rFonts w:ascii="宋体" w:hAnsi="Courier New" w:eastAsia="宋体" w:cs="Courier New"/>
      <w:szCs w:val="21"/>
    </w:rPr>
  </w:style>
  <w:style w:type="paragraph" w:styleId="974">
    <w:name w:val="目录 8"/>
    <w:basedOn w:val="929"/>
    <w:next w:val="929"/>
    <w:link w:val="929"/>
    <w:semiHidden/>
    <w:pPr>
      <w:ind w:left="1470"/>
      <w:jc w:val="left"/>
    </w:pPr>
    <w:rPr>
      <w:rFonts w:ascii="Times New Roman" w:hAnsi="Times New Roman" w:eastAsia="宋体" w:cs="Times New Roman"/>
      <w:szCs w:val="21"/>
    </w:rPr>
  </w:style>
  <w:style w:type="paragraph" w:styleId="975">
    <w:name w:val="日期"/>
    <w:basedOn w:val="929"/>
    <w:next w:val="929"/>
    <w:link w:val="976"/>
    <w:rPr>
      <w:rFonts w:ascii="Times New Roman" w:hAnsi="Times New Roman" w:eastAsia="宋体" w:cs="Times New Roman"/>
      <w:sz w:val="24"/>
      <w:szCs w:val="24"/>
    </w:rPr>
  </w:style>
  <w:style w:type="character" w:styleId="976">
    <w:name w:val="日期 Char"/>
    <w:next w:val="976"/>
    <w:link w:val="975"/>
    <w:rPr>
      <w:rFonts w:ascii="Times New Roman" w:hAnsi="Times New Roman" w:eastAsia="宋体" w:cs="Times New Roman"/>
      <w:sz w:val="24"/>
      <w:szCs w:val="24"/>
    </w:rPr>
  </w:style>
  <w:style w:type="paragraph" w:styleId="977">
    <w:name w:val="正文文本缩进 2"/>
    <w:basedOn w:val="929"/>
    <w:next w:val="977"/>
    <w:link w:val="978"/>
    <w:pPr>
      <w:ind w:left="630" w:firstLine="645"/>
    </w:pPr>
    <w:rPr>
      <w:rFonts w:ascii="Arial" w:hAnsi="Arial" w:eastAsia="仿宋_GB2312" w:cs="Arial"/>
      <w:sz w:val="32"/>
      <w:szCs w:val="32"/>
    </w:rPr>
  </w:style>
  <w:style w:type="character" w:styleId="978">
    <w:name w:val="正文文本缩进 2 Char"/>
    <w:next w:val="978"/>
    <w:link w:val="977"/>
    <w:rPr>
      <w:rFonts w:ascii="Arial" w:hAnsi="Arial" w:eastAsia="仿宋_GB2312" w:cs="Arial"/>
      <w:sz w:val="32"/>
      <w:szCs w:val="32"/>
    </w:rPr>
  </w:style>
  <w:style w:type="paragraph" w:styleId="979">
    <w:name w:val="批注框文本"/>
    <w:basedOn w:val="929"/>
    <w:next w:val="979"/>
    <w:link w:val="980"/>
    <w:semiHidden/>
    <w:rPr>
      <w:rFonts w:ascii="Times New Roman" w:hAnsi="Times New Roman" w:eastAsia="宋体" w:cs="Times New Roman"/>
      <w:sz w:val="18"/>
      <w:szCs w:val="18"/>
    </w:rPr>
  </w:style>
  <w:style w:type="character" w:styleId="980">
    <w:name w:val="批注框文本 Char"/>
    <w:next w:val="980"/>
    <w:link w:val="979"/>
    <w:semiHidden/>
    <w:rPr>
      <w:rFonts w:ascii="Times New Roman" w:hAnsi="Times New Roman" w:eastAsia="宋体" w:cs="Times New Roman"/>
      <w:sz w:val="18"/>
      <w:szCs w:val="18"/>
    </w:rPr>
  </w:style>
  <w:style w:type="paragraph" w:styleId="981">
    <w:name w:val="页脚"/>
    <w:basedOn w:val="929"/>
    <w:next w:val="981"/>
    <w:link w:val="982"/>
    <w:pPr>
      <w:jc w:val="left"/>
      <w:tabs>
        <w:tab w:val="center" w:pos="4153" w:leader="none"/>
        <w:tab w:val="right" w:pos="8306" w:leader="none"/>
      </w:tabs>
    </w:pPr>
    <w:rPr>
      <w:rFonts w:ascii="Times New Roman" w:hAnsi="Times New Roman" w:eastAsia="宋体" w:cs="Times New Roman"/>
      <w:sz w:val="18"/>
      <w:szCs w:val="18"/>
    </w:rPr>
  </w:style>
  <w:style w:type="character" w:styleId="982">
    <w:name w:val="页脚 Char"/>
    <w:next w:val="982"/>
    <w:link w:val="981"/>
    <w:rPr>
      <w:rFonts w:ascii="Times New Roman" w:hAnsi="Times New Roman" w:eastAsia="宋体" w:cs="Times New Roman"/>
      <w:sz w:val="18"/>
      <w:szCs w:val="18"/>
    </w:rPr>
  </w:style>
  <w:style w:type="paragraph" w:styleId="983">
    <w:name w:val="页眉"/>
    <w:basedOn w:val="929"/>
    <w:next w:val="983"/>
    <w:link w:val="98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name w:val="页眉 Char"/>
    <w:next w:val="984"/>
    <w:link w:val="983"/>
    <w:rPr>
      <w:rFonts w:ascii="Times New Roman" w:hAnsi="Times New Roman" w:eastAsia="宋体" w:cs="Times New Roman"/>
      <w:sz w:val="18"/>
      <w:szCs w:val="18"/>
    </w:rPr>
  </w:style>
  <w:style w:type="paragraph" w:styleId="985">
    <w:name w:val="目录 1"/>
    <w:basedOn w:val="929"/>
    <w:next w:val="929"/>
    <w:link w:val="92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29"/>
    <w:next w:val="929"/>
    <w:link w:val="929"/>
    <w:semiHidden/>
    <w:pPr>
      <w:ind w:left="630"/>
      <w:jc w:val="left"/>
    </w:pPr>
    <w:rPr>
      <w:rFonts w:ascii="Times New Roman" w:hAnsi="Times New Roman" w:eastAsia="宋体" w:cs="Times New Roman"/>
      <w:szCs w:val="21"/>
    </w:rPr>
  </w:style>
  <w:style w:type="paragraph" w:styleId="987">
    <w:name w:val="列表"/>
    <w:basedOn w:val="929"/>
    <w:next w:val="987"/>
    <w:link w:val="929"/>
    <w:pPr>
      <w:ind w:left="200" w:hanging="200"/>
    </w:pPr>
    <w:rPr>
      <w:rFonts w:ascii="Times New Roman" w:hAnsi="Times New Roman" w:eastAsia="宋体" w:cs="Times New Roman"/>
      <w:szCs w:val="21"/>
    </w:rPr>
  </w:style>
  <w:style w:type="paragraph" w:styleId="988">
    <w:name w:val="目录 6"/>
    <w:basedOn w:val="929"/>
    <w:next w:val="929"/>
    <w:link w:val="929"/>
    <w:semiHidden/>
    <w:pPr>
      <w:ind w:left="1050"/>
      <w:jc w:val="left"/>
    </w:pPr>
    <w:rPr>
      <w:rFonts w:ascii="Times New Roman" w:hAnsi="Times New Roman" w:eastAsia="宋体" w:cs="Times New Roman"/>
      <w:szCs w:val="21"/>
    </w:rPr>
  </w:style>
  <w:style w:type="paragraph" w:styleId="989">
    <w:name w:val="正文文本缩进 3"/>
    <w:basedOn w:val="929"/>
    <w:next w:val="989"/>
    <w:link w:val="990"/>
    <w:pPr>
      <w:ind w:left="645" w:firstLine="645"/>
    </w:pPr>
    <w:rPr>
      <w:rFonts w:ascii="Arial" w:hAnsi="Arial" w:eastAsia="仿宋_GB2312" w:cs="Arial"/>
      <w:color w:val="ffff00"/>
      <w:sz w:val="32"/>
      <w:szCs w:val="32"/>
    </w:rPr>
  </w:style>
  <w:style w:type="character" w:styleId="990">
    <w:name w:val="正文文本缩进 3 Char"/>
    <w:next w:val="990"/>
    <w:link w:val="989"/>
    <w:rPr>
      <w:rFonts w:ascii="Arial" w:hAnsi="Arial" w:eastAsia="仿宋_GB2312" w:cs="Arial"/>
      <w:color w:val="ffff00"/>
      <w:sz w:val="32"/>
      <w:szCs w:val="32"/>
    </w:rPr>
  </w:style>
  <w:style w:type="paragraph" w:styleId="991">
    <w:name w:val="图表目录"/>
    <w:basedOn w:val="929"/>
    <w:next w:val="929"/>
    <w:link w:val="929"/>
    <w:semiHidden/>
    <w:pPr>
      <w:ind w:left="840" w:hanging="420"/>
    </w:pPr>
    <w:rPr>
      <w:rFonts w:ascii="Times New Roman" w:hAnsi="Times New Roman" w:eastAsia="宋体" w:cs="Times New Roman"/>
      <w:szCs w:val="21"/>
    </w:rPr>
  </w:style>
  <w:style w:type="paragraph" w:styleId="992">
    <w:name w:val="目录 2"/>
    <w:basedOn w:val="929"/>
    <w:next w:val="929"/>
    <w:link w:val="929"/>
    <w:semiHidden/>
    <w:pPr>
      <w:ind w:left="210"/>
      <w:jc w:val="left"/>
    </w:pPr>
    <w:rPr>
      <w:rFonts w:ascii="Times New Roman" w:hAnsi="Times New Roman" w:eastAsia="宋体" w:cs="Times New Roman"/>
      <w:smallCaps/>
      <w:szCs w:val="24"/>
    </w:rPr>
  </w:style>
  <w:style w:type="paragraph" w:styleId="993">
    <w:name w:val="目录 9"/>
    <w:basedOn w:val="929"/>
    <w:next w:val="929"/>
    <w:link w:val="929"/>
    <w:semiHidden/>
    <w:pPr>
      <w:ind w:left="1680"/>
      <w:jc w:val="left"/>
    </w:pPr>
    <w:rPr>
      <w:rFonts w:ascii="Times New Roman" w:hAnsi="Times New Roman" w:eastAsia="宋体" w:cs="Times New Roman"/>
      <w:szCs w:val="21"/>
    </w:rPr>
  </w:style>
  <w:style w:type="paragraph" w:styleId="994">
    <w:name w:val="正文文本 2"/>
    <w:basedOn w:val="929"/>
    <w:next w:val="994"/>
    <w:link w:val="995"/>
    <w:pPr>
      <w:jc w:val="center"/>
      <w:widowControl/>
    </w:pPr>
    <w:rPr>
      <w:rFonts w:ascii="楷体_GB2312" w:hAnsi="Times New Roman" w:eastAsia="楷体_GB2312" w:cs="Times New Roman"/>
      <w:sz w:val="28"/>
      <w:szCs w:val="28"/>
    </w:rPr>
  </w:style>
  <w:style w:type="character" w:styleId="995">
    <w:name w:val="正文文本 2 Char"/>
    <w:next w:val="995"/>
    <w:link w:val="994"/>
    <w:rPr>
      <w:rFonts w:ascii="楷体_GB2312" w:hAnsi="Times New Roman" w:eastAsia="楷体_GB2312" w:cs="Times New Roman"/>
      <w:sz w:val="28"/>
      <w:szCs w:val="28"/>
    </w:rPr>
  </w:style>
  <w:style w:type="paragraph" w:styleId="996">
    <w:name w:val="普通(网站)"/>
    <w:basedOn w:val="929"/>
    <w:next w:val="996"/>
    <w:link w:val="929"/>
    <w:uiPriority w:val="99"/>
    <w:pPr>
      <w:jc w:val="left"/>
      <w:spacing w:before="100" w:beforeAutospacing="1" w:after="100" w:afterAutospacing="1"/>
      <w:widowControl/>
    </w:pPr>
    <w:rPr>
      <w:rFonts w:ascii="宋体" w:hAnsi="宋体" w:eastAsia="宋体" w:cs="宋体"/>
      <w:sz w:val="24"/>
      <w:szCs w:val="24"/>
    </w:rPr>
  </w:style>
  <w:style w:type="paragraph" w:styleId="997">
    <w:name w:val="索引 1"/>
    <w:basedOn w:val="929"/>
    <w:next w:val="929"/>
    <w:link w:val="929"/>
    <w:semiHidden/>
    <w:pPr>
      <w:spacing w:line="240" w:lineRule="atLeast"/>
    </w:pPr>
    <w:rPr>
      <w:rFonts w:ascii="Times New Roman" w:hAnsi="Times New Roman" w:eastAsia="宋体" w:cs="Times New Roman"/>
      <w:b/>
      <w:bCs/>
      <w:szCs w:val="21"/>
    </w:rPr>
  </w:style>
  <w:style w:type="paragraph" w:styleId="998">
    <w:name w:val="批注主题"/>
    <w:basedOn w:val="959"/>
    <w:next w:val="959"/>
    <w:link w:val="999"/>
    <w:semiHidden/>
    <w:rPr>
      <w:rFonts w:ascii="Times New Roman" w:hAnsi="Times New Roman" w:eastAsia="宋体" w:cs="Times New Roman"/>
      <w:b/>
      <w:bCs/>
      <w:szCs w:val="21"/>
    </w:rPr>
  </w:style>
  <w:style w:type="character" w:styleId="999">
    <w:name w:val="批注主题 Char"/>
    <w:next w:val="999"/>
    <w:link w:val="998"/>
    <w:semiHidden/>
    <w:rPr>
      <w:rFonts w:ascii="Times New Roman" w:hAnsi="Times New Roman" w:eastAsia="宋体" w:cs="Times New Roman"/>
      <w:b/>
      <w:bCs/>
      <w:szCs w:val="21"/>
    </w:rPr>
  </w:style>
  <w:style w:type="paragraph" w:styleId="1000">
    <w:name w:val="正文首行缩进"/>
    <w:basedOn w:val="929"/>
    <w:next w:val="1000"/>
    <w:link w:val="1001"/>
    <w:pPr>
      <w:ind w:firstLine="200"/>
      <w:spacing w:line="360" w:lineRule="auto"/>
    </w:pPr>
    <w:rPr>
      <w:rFonts w:ascii="仿宋_GB2312" w:hAnsi="Times New Roman" w:eastAsia="仿宋_GB2312" w:cs="Times New Roman"/>
      <w:sz w:val="30"/>
      <w:szCs w:val="30"/>
    </w:rPr>
  </w:style>
  <w:style w:type="character" w:styleId="1001">
    <w:name w:val="正文首行缩进 Char"/>
    <w:next w:val="1001"/>
    <w:link w:val="1000"/>
    <w:rPr>
      <w:rFonts w:ascii="仿宋_GB2312" w:hAnsi="Times New Roman" w:eastAsia="仿宋_GB2312" w:cs="Times New Roman"/>
      <w:sz w:val="30"/>
      <w:szCs w:val="30"/>
    </w:rPr>
  </w:style>
  <w:style w:type="paragraph" w:styleId="1002">
    <w:name w:val="正文首行缩进 2"/>
    <w:basedOn w:val="965"/>
    <w:next w:val="929"/>
    <w:link w:val="1003"/>
    <w:pPr>
      <w:ind w:left="0" w:firstLine="420"/>
      <w:spacing w:after="0" w:line="360" w:lineRule="auto"/>
    </w:pPr>
    <w:rPr>
      <w:rFonts w:ascii="宋体" w:hAnsi="宋体" w:eastAsia="宋体" w:cs="Times New Roman"/>
      <w:szCs w:val="20"/>
    </w:rPr>
  </w:style>
  <w:style w:type="character" w:styleId="1003">
    <w:name w:val="正文首行缩进 2 Char"/>
    <w:next w:val="1003"/>
    <w:link w:val="1002"/>
    <w:rPr>
      <w:rFonts w:ascii="宋体" w:hAnsi="宋体" w:eastAsia="宋体" w:cs="Times New Roman"/>
      <w:szCs w:val="20"/>
    </w:rPr>
  </w:style>
  <w:style w:type="table" w:styleId="1004">
    <w:name w:val="网格型"/>
    <w:basedOn w:val="940"/>
    <w:next w:val="1004"/>
    <w:link w:val="929"/>
    <w:pPr>
      <w:jc w:val="both"/>
      <w:widowControl w:val="off"/>
    </w:pPr>
    <w:rPr>
      <w:rFonts w:ascii="Times New Roman" w:hAnsi="Times New Roman" w:eastAsia="宋体" w:cs="Times New Roman"/>
      <w:sz w:val="20"/>
      <w:szCs w:val="20"/>
    </w:rPr>
    <w:tblPr/>
  </w:style>
  <w:style w:type="character" w:styleId="1005">
    <w:name w:val="要点"/>
    <w:next w:val="1005"/>
    <w:link w:val="929"/>
    <w:qFormat/>
    <w:rPr>
      <w:b/>
      <w:bCs/>
    </w:rPr>
  </w:style>
  <w:style w:type="character" w:styleId="1006">
    <w:name w:val="页码"/>
    <w:next w:val="1006"/>
    <w:link w:val="929"/>
  </w:style>
  <w:style w:type="character" w:styleId="1007">
    <w:name w:val="已访问的超链接"/>
    <w:next w:val="1007"/>
    <w:link w:val="929"/>
    <w:rPr>
      <w:color w:val="800080"/>
      <w:u w:val="single"/>
    </w:rPr>
  </w:style>
  <w:style w:type="character" w:styleId="1008">
    <w:name w:val="强调"/>
    <w:basedOn w:val="939"/>
    <w:next w:val="1008"/>
    <w:link w:val="929"/>
    <w:uiPriority w:val="20"/>
    <w:qFormat/>
    <w:rPr>
      <w:i/>
    </w:rPr>
  </w:style>
  <w:style w:type="character" w:styleId="1009">
    <w:name w:val="超链接"/>
    <w:next w:val="1009"/>
    <w:link w:val="929"/>
    <w:rPr>
      <w:color w:val="0000ff"/>
      <w:u w:val="single"/>
    </w:rPr>
  </w:style>
  <w:style w:type="character" w:styleId="1010">
    <w:name w:val="批注引用"/>
    <w:next w:val="1010"/>
    <w:link w:val="929"/>
    <w:semiHidden/>
    <w:rPr>
      <w:sz w:val="21"/>
      <w:szCs w:val="21"/>
    </w:rPr>
  </w:style>
  <w:style w:type="character" w:styleId="1011">
    <w:name w:val="强调1"/>
    <w:next w:val="1011"/>
    <w:link w:val="929"/>
    <w:qFormat/>
    <w:rPr>
      <w:sz w:val="21"/>
      <w:szCs w:val="22"/>
      <w:lang w:val="en-US" w:eastAsia="zh-CN" w:bidi="ar-SA"/>
    </w:rPr>
  </w:style>
  <w:style w:type="paragraph" w:styleId="1012">
    <w:name w:val="索引 41"/>
    <w:basedOn w:val="929"/>
    <w:next w:val="929"/>
    <w:link w:val="929"/>
    <w:semiHidden/>
    <w:qFormat/>
    <w:pPr>
      <w:ind w:left="1260"/>
    </w:pPr>
    <w:rPr>
      <w:rFonts w:ascii="Calibri" w:hAnsi="Calibri" w:eastAsia="Calibri" w:cs="宋体"/>
      <w:sz w:val="20"/>
      <w:lang w:val="zh-CN"/>
    </w:rPr>
  </w:style>
  <w:style w:type="character" w:styleId="1013">
    <w:name w:val="font5 Char"/>
    <w:next w:val="1013"/>
    <w:link w:val="929"/>
    <w:rPr>
      <w:rFonts w:ascii="宋体" w:hAnsi="宋体" w:eastAsia="宋体"/>
      <w:sz w:val="28"/>
      <w:szCs w:val="28"/>
      <w:lang w:val="en-US" w:eastAsia="zh-CN" w:bidi="ar-SA"/>
    </w:rPr>
  </w:style>
  <w:style w:type="character" w:styleId="1014">
    <w:name w:val="二级目录 Char"/>
    <w:next w:val="1014"/>
    <w:link w:val="1015"/>
    <w:rPr>
      <w:b/>
      <w:sz w:val="30"/>
      <w:szCs w:val="28"/>
    </w:rPr>
  </w:style>
  <w:style w:type="paragraph" w:styleId="1015">
    <w:name w:val="二级目录"/>
    <w:next w:val="929"/>
    <w:link w:val="1014"/>
    <w:pPr>
      <w:numPr>
        <w:ilvl w:val="0"/>
        <w:numId w:val="2"/>
      </w:numPr>
      <w:tabs>
        <w:tab w:val="left" w:pos="907" w:leader="none"/>
        <w:tab w:val="left" w:pos="1145" w:leader="none"/>
      </w:tabs>
      <w:outlineLvl w:val="1"/>
    </w:pPr>
    <w:rPr>
      <w:b/>
      <w:sz w:val="30"/>
      <w:szCs w:val="28"/>
      <w:lang w:val="en-US" w:eastAsia="zh-CN" w:bidi="ar-SA"/>
    </w:rPr>
  </w:style>
  <w:style w:type="character" w:styleId="1016">
    <w:name w:val="列出段落 Char,Bullet List Char,numbered Char,FooterText Char,List Paragraph1 Char,Paragraphe de liste1 Char"/>
    <w:next w:val="1016"/>
    <w:link w:val="1017"/>
    <w:rPr>
      <w:rFonts w:ascii="Calibri" w:hAnsi="Calibri"/>
      <w:sz w:val="24"/>
      <w:szCs w:val="24"/>
      <w:lang w:eastAsia="en-US" w:bidi="en-US"/>
    </w:rPr>
  </w:style>
  <w:style w:type="paragraph" w:styleId="1017">
    <w:name w:val="列出段落1"/>
    <w:basedOn w:val="929"/>
    <w:next w:val="1017"/>
    <w:link w:val="1016"/>
    <w:qFormat/>
    <w:pPr>
      <w:contextualSpacing/>
      <w:ind w:left="720"/>
      <w:jc w:val="left"/>
      <w:widowControl/>
    </w:pPr>
    <w:rPr>
      <w:rFonts w:ascii="Calibri" w:hAnsi="Calibri"/>
      <w:sz w:val="24"/>
      <w:szCs w:val="24"/>
      <w:lang w:eastAsia="en-US" w:bidi="en-US"/>
    </w:rPr>
  </w:style>
  <w:style w:type="paragraph" w:styleId="1018">
    <w:name w:val="Body Text(ch)"/>
    <w:basedOn w:val="929"/>
    <w:next w:val="963"/>
    <w:link w:val="929"/>
    <w:pPr>
      <w:spacing w:after="120"/>
    </w:pPr>
    <w:rPr>
      <w:rFonts w:ascii="宋体" w:hAnsi="Arial" w:eastAsia="宋体" w:cs="Times New Roman"/>
      <w:bCs/>
      <w:iCs/>
      <w:szCs w:val="24"/>
    </w:rPr>
  </w:style>
  <w:style w:type="paragraph" w:styleId="1019">
    <w:name w:val="xl27"/>
    <w:basedOn w:val="929"/>
    <w:next w:val="1019"/>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xl26"/>
    <w:basedOn w:val="929"/>
    <w:next w:val="1020"/>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Char"/>
    <w:basedOn w:val="929"/>
    <w:next w:val="1021"/>
    <w:link w:val="929"/>
    <w:pPr>
      <w:ind w:firstLine="200"/>
      <w:tabs>
        <w:tab w:val="left" w:pos="360" w:leader="none"/>
      </w:tabs>
    </w:pPr>
    <w:rPr>
      <w:rFonts w:ascii="Times New Roman" w:hAnsi="Times New Roman" w:eastAsia="宋体" w:cs="Times New Roman"/>
      <w:sz w:val="28"/>
      <w:szCs w:val="30"/>
    </w:rPr>
  </w:style>
  <w:style w:type="paragraph" w:styleId="1022">
    <w:name w:val=" Char"/>
    <w:basedOn w:val="957"/>
    <w:next w:val="1022"/>
    <w:link w:val="929"/>
    <w:rPr>
      <w:rFonts w:ascii="Tahoma" w:hAnsi="Tahoma"/>
      <w:sz w:val="24"/>
      <w:szCs w:val="24"/>
    </w:rPr>
  </w:style>
  <w:style w:type="paragraph" w:styleId="1023">
    <w:name w:val="普通正文"/>
    <w:basedOn w:val="929"/>
    <w:next w:val="1023"/>
    <w:link w:val="929"/>
    <w:pPr>
      <w:ind w:firstLine="480"/>
      <w:jc w:val="left"/>
      <w:spacing w:before="120" w:after="120" w:line="360" w:lineRule="auto"/>
    </w:pPr>
    <w:rPr>
      <w:rFonts w:ascii="Arial" w:hAnsi="Arial" w:eastAsia="宋体" w:cs="Times New Roman"/>
      <w:sz w:val="24"/>
      <w:szCs w:val="24"/>
    </w:rPr>
  </w:style>
  <w:style w:type="paragraph" w:styleId="1024">
    <w:name w:val="table_lines"/>
    <w:basedOn w:val="929"/>
    <w:next w:val="1024"/>
    <w:link w:val="929"/>
    <w:pPr>
      <w:jc w:val="left"/>
      <w:widowControl/>
    </w:pPr>
    <w:rPr>
      <w:rFonts w:ascii="Times New Roman" w:hAnsi="Times New Roman" w:eastAsia="宋体" w:cs="Times New Roman"/>
      <w:sz w:val="20"/>
      <w:szCs w:val="20"/>
      <w:lang w:val="de-DE" w:eastAsia="de-DE"/>
    </w:rPr>
  </w:style>
  <w:style w:type="paragraph" w:styleId="1025">
    <w:name w:val="附录1"/>
    <w:next w:val="1025"/>
    <w:link w:val="92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6">
    <w:name w:val="font7"/>
    <w:basedOn w:val="929"/>
    <w:next w:val="1026"/>
    <w:link w:val="929"/>
    <w:pPr>
      <w:jc w:val="left"/>
      <w:spacing w:before="100" w:beforeAutospacing="1" w:after="100" w:afterAutospacing="1"/>
      <w:widowControl/>
    </w:pPr>
    <w:rPr>
      <w:rFonts w:hint="eastAsia" w:ascii="宋体" w:hAnsi="宋体" w:eastAsia="宋体" w:cs="Times New Roman"/>
      <w:sz w:val="18"/>
      <w:szCs w:val="18"/>
    </w:rPr>
  </w:style>
  <w:style w:type="paragraph" w:styleId="1027">
    <w:name w:val=" Char Char Char Char"/>
    <w:basedOn w:val="957"/>
    <w:next w:val="1027"/>
    <w:link w:val="929"/>
    <w:pPr>
      <w:spacing w:line="360" w:lineRule="auto"/>
    </w:pPr>
    <w:rPr>
      <w:rFonts w:ascii="Tahoma" w:hAnsi="Tahoma"/>
      <w:sz w:val="24"/>
      <w:szCs w:val="24"/>
    </w:rPr>
  </w:style>
  <w:style w:type="paragraph" w:styleId="1028">
    <w:name w:val="列出段落"/>
    <w:basedOn w:val="929"/>
    <w:next w:val="1028"/>
    <w:link w:val="929"/>
    <w:qFormat/>
    <w:pPr>
      <w:contextualSpacing/>
      <w:ind w:left="720"/>
      <w:jc w:val="left"/>
      <w:widowControl/>
    </w:pPr>
    <w:rPr>
      <w:rFonts w:ascii="Calibri" w:hAnsi="Calibri" w:eastAsia="宋体" w:cs="Times New Roman"/>
      <w:sz w:val="24"/>
      <w:szCs w:val="24"/>
      <w:lang w:eastAsia="en-US" w:bidi="en-US"/>
    </w:rPr>
  </w:style>
  <w:style w:type="paragraph" w:styleId="1029">
    <w:name w:val="4"/>
    <w:basedOn w:val="929"/>
    <w:next w:val="989"/>
    <w:link w:val="929"/>
    <w:pPr>
      <w:ind w:firstLine="420"/>
      <w:spacing w:line="360" w:lineRule="auto"/>
    </w:pPr>
    <w:rPr>
      <w:rFonts w:ascii="Times New Roman" w:hAnsi="Times New Roman" w:eastAsia="宋体" w:cs="Times New Roman"/>
      <w:color w:val="ff0000"/>
      <w:sz w:val="24"/>
      <w:szCs w:val="24"/>
    </w:rPr>
  </w:style>
  <w:style w:type="paragraph" w:styleId="1030">
    <w:name w:val="普通 (Web)"/>
    <w:basedOn w:val="929"/>
    <w:next w:val="1030"/>
    <w:link w:val="929"/>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9"/>
    <w:next w:val="1031"/>
    <w:link w:val="929"/>
    <w:pPr>
      <w:spacing w:line="360" w:lineRule="auto"/>
    </w:pPr>
    <w:rPr>
      <w:rFonts w:ascii="Times New Roman" w:hAnsi="Times New Roman" w:eastAsia="宋体" w:cs="Times New Roman"/>
      <w:sz w:val="24"/>
      <w:szCs w:val="20"/>
    </w:rPr>
  </w:style>
  <w:style w:type="paragraph" w:styleId="1032">
    <w:name w:val="样式1"/>
    <w:basedOn w:val="929"/>
    <w:next w:val="1032"/>
    <w:link w:val="929"/>
    <w:pPr>
      <w:numPr>
        <w:ilvl w:val="0"/>
        <w:numId w:val="3"/>
      </w:numPr>
      <w:tabs>
        <w:tab w:val="left" w:pos="709" w:leader="none"/>
      </w:tabs>
    </w:pPr>
    <w:rPr>
      <w:rFonts w:ascii="宋体" w:hAnsi="宋体" w:eastAsia="宋体" w:cs="Times New Roman"/>
      <w:szCs w:val="21"/>
    </w:rPr>
  </w:style>
  <w:style w:type="paragraph" w:styleId="1033">
    <w:name w:val="font6"/>
    <w:basedOn w:val="929"/>
    <w:next w:val="1033"/>
    <w:link w:val="929"/>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9"/>
    <w:next w:val="1034"/>
    <w:link w:val="9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9"/>
    <w:next w:val="929"/>
    <w:link w:val="92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9"/>
    <w:next w:val="929"/>
    <w:link w:val="929"/>
    <w:pPr>
      <w:ind w:firstLine="624"/>
      <w:spacing w:line="590" w:lineRule="atLeast"/>
    </w:pPr>
    <w:rPr>
      <w:rFonts w:ascii="方正黑体_GBK" w:hAnsi="Times New Roman" w:eastAsia="方正黑体_GBK" w:cs="Times New Roman"/>
      <w:sz w:val="32"/>
      <w:szCs w:val="32"/>
    </w:rPr>
  </w:style>
  <w:style w:type="paragraph" w:styleId="1037">
    <w:name w:val="xl24"/>
    <w:basedOn w:val="929"/>
    <w:next w:val="1037"/>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9"/>
    <w:next w:val="1038"/>
    <w:link w:val="92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9"/>
    <w:next w:val="1039"/>
    <w:link w:val="929"/>
    <w:pPr>
      <w:jc w:val="left"/>
      <w:spacing w:after="160" w:line="240" w:lineRule="exact"/>
      <w:widowControl/>
    </w:pPr>
    <w:rPr>
      <w:rFonts w:ascii="Verdana" w:hAnsi="Verdana" w:eastAsia="宋体" w:cs="Times New Roman"/>
      <w:sz w:val="20"/>
      <w:szCs w:val="20"/>
      <w:lang w:eastAsia="en-US"/>
    </w:rPr>
  </w:style>
  <w:style w:type="paragraph" w:styleId="1040">
    <w:name w:val="xl28"/>
    <w:basedOn w:val="929"/>
    <w:next w:val="1040"/>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9"/>
    <w:next w:val="1041"/>
    <w:link w:val="929"/>
    <w:pPr>
      <w:jc w:val="left"/>
      <w:spacing w:after="160" w:line="240" w:lineRule="exact"/>
      <w:widowControl/>
    </w:pPr>
    <w:rPr>
      <w:rFonts w:ascii="Verdana" w:hAnsi="Verdana" w:eastAsia="宋体" w:cs="Times New Roman"/>
      <w:sz w:val="20"/>
      <w:szCs w:val="20"/>
      <w:lang w:eastAsia="en-US"/>
    </w:rPr>
  </w:style>
  <w:style w:type="paragraph" w:styleId="1042">
    <w:name w:val="xl30"/>
    <w:basedOn w:val="929"/>
    <w:next w:val="1042"/>
    <w:link w:val="929"/>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7"/>
    <w:next w:val="1043"/>
    <w:link w:val="929"/>
    <w:pPr>
      <w:spacing w:line="360" w:lineRule="auto"/>
    </w:pPr>
    <w:rPr>
      <w:rFonts w:ascii="Tahoma" w:hAnsi="Tahoma"/>
      <w:sz w:val="24"/>
      <w:szCs w:val="24"/>
    </w:rPr>
  </w:style>
  <w:style w:type="paragraph" w:styleId="1044">
    <w:name w:val="table_1stline"/>
    <w:basedOn w:val="929"/>
    <w:next w:val="1044"/>
    <w:link w:val="929"/>
    <w:pPr>
      <w:jc w:val="left"/>
      <w:spacing w:before="120"/>
      <w:widowControl/>
    </w:pPr>
    <w:rPr>
      <w:rFonts w:ascii="Times New Roman" w:hAnsi="Times New Roman" w:eastAsia="宋体" w:cs="Times New Roman"/>
      <w:bCs/>
      <w:sz w:val="20"/>
      <w:szCs w:val="20"/>
      <w:lang w:val="de-DE" w:eastAsia="de-DE"/>
    </w:rPr>
  </w:style>
  <w:style w:type="paragraph" w:styleId="1045">
    <w:name w:val="font5"/>
    <w:basedOn w:val="929"/>
    <w:next w:val="1045"/>
    <w:link w:val="929"/>
    <w:pPr>
      <w:jc w:val="left"/>
      <w:spacing w:before="100" w:beforeAutospacing="1" w:after="100" w:afterAutospacing="1"/>
      <w:widowControl/>
    </w:pPr>
    <w:rPr>
      <w:rFonts w:hint="eastAsia" w:ascii="宋体" w:hAnsi="宋体" w:eastAsia="宋体" w:cs="Times New Roman"/>
      <w:sz w:val="28"/>
      <w:szCs w:val="28"/>
    </w:rPr>
  </w:style>
  <w:style w:type="paragraph" w:styleId="1046">
    <w:name w:val="标题1"/>
    <w:basedOn w:val="929"/>
    <w:next w:val="929"/>
    <w:link w:val="92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7">
    <w:name w:val="修订"/>
    <w:next w:val="1047"/>
    <w:link w:val="929"/>
    <w:uiPriority w:val="99"/>
    <w:semiHidden/>
    <w:rPr>
      <w:rFonts w:ascii="Times New Roman" w:hAnsi="Times New Roman"/>
      <w:sz w:val="21"/>
      <w:szCs w:val="21"/>
      <w:lang w:val="en-US" w:eastAsia="zh-CN" w:bidi="ar-SA"/>
    </w:rPr>
  </w:style>
  <w:style w:type="paragraph" w:styleId="1048">
    <w:name w:val="无间隔"/>
    <w:next w:val="1048"/>
    <w:link w:val="929"/>
    <w:uiPriority w:val="99"/>
    <w:qFormat/>
    <w:pPr>
      <w:jc w:val="both"/>
      <w:widowControl w:val="off"/>
    </w:pPr>
    <w:rPr>
      <w:rFonts w:ascii="Times New Roman" w:hAnsi="Times New Roman"/>
      <w:sz w:val="21"/>
      <w:szCs w:val="21"/>
      <w:lang w:val="en-US" w:eastAsia="zh-CN" w:bidi="ar-SA"/>
    </w:rPr>
  </w:style>
  <w:style w:type="table" w:styleId="1049">
    <w:name w:val="Table Normal"/>
    <w:next w:val="1049"/>
    <w:link w:val="929"/>
    <w:qFormat/>
    <w:tblPr/>
  </w:style>
  <w:style w:type="paragraph" w:styleId="1050">
    <w:name w:val="正文文本 211"/>
    <w:basedOn w:val="929"/>
    <w:next w:val="1050"/>
    <w:link w:val="929"/>
    <w:uiPriority w:val="99"/>
    <w:qFormat/>
    <w:pPr>
      <w:jc w:val="center"/>
    </w:pPr>
    <w:rPr>
      <w:b/>
      <w:bCs/>
      <w:sz w:val="20"/>
      <w:szCs w:val="20"/>
    </w:rPr>
  </w:style>
  <w:style w:type="paragraph" w:styleId="1051">
    <w:name w:val="正文文本1"/>
    <w:basedOn w:val="929"/>
    <w:next w:val="929"/>
    <w:link w:val="929"/>
    <w:semiHidden/>
    <w:qFormat/>
    <w:rPr>
      <w:rFonts w:ascii="Arial" w:hAnsi="Arial" w:eastAsia="Arial" w:cs="Arial"/>
      <w:sz w:val="21"/>
      <w:szCs w:val="21"/>
      <w:lang w:val="en-US" w:eastAsia="en-US" w:bidi="ar-SA"/>
    </w:rPr>
  </w:style>
  <w:style w:type="paragraph" w:styleId="1052">
    <w:name w:val="正文文本12"/>
    <w:basedOn w:val="929"/>
    <w:next w:val="1052"/>
    <w:link w:val="929"/>
    <w:uiPriority w:val="1"/>
    <w:qFormat/>
    <w:pPr>
      <w:ind w:left="120"/>
    </w:pPr>
    <w:rPr>
      <w:rFonts w:ascii="宋体" w:hAnsi="宋体" w:eastAsia="宋体" w:cs="宋体"/>
      <w:sz w:val="21"/>
      <w:szCs w:val="21"/>
      <w:lang w:val="zh-CN" w:eastAsia="zh-CN" w:bidi="zh-CN"/>
    </w:rPr>
  </w:style>
  <w:style w:type="paragraph" w:styleId="1053">
    <w:name w:val="纯文本1"/>
    <w:basedOn w:val="929"/>
    <w:next w:val="1053"/>
    <w:link w:val="929"/>
    <w:qFormat/>
    <w:rPr>
      <w:rFonts w:ascii="宋体" w:hAnsi="Courier New" w:cs="Courier New"/>
    </w:rPr>
  </w:style>
  <w:style w:type="table" w:styleId="1054">
    <w:name w:val="网格型1"/>
    <w:basedOn w:val="1055"/>
    <w:next w:val="1054"/>
    <w:link w:val="929"/>
    <w:qFormat/>
    <w:pPr>
      <w:jc w:val="both"/>
      <w:widowControl w:val="off"/>
    </w:pPr>
    <w:tblPr/>
  </w:style>
  <w:style w:type="table" w:styleId="1055">
    <w:name w:val="普通表格1"/>
    <w:next w:val="1055"/>
    <w:link w:val="929"/>
    <w:uiPriority w:val="99"/>
    <w:unhideWhenUsed/>
    <w:qFormat/>
    <w:tblPr/>
  </w:style>
  <w:style w:type="paragraph" w:styleId="1056">
    <w:name w:val="正文文本缩进1"/>
    <w:basedOn w:val="929"/>
    <w:next w:val="1057"/>
    <w:link w:val="929"/>
    <w:unhideWhenUsed/>
    <w:qFormat/>
    <w:pPr>
      <w:ind w:left="420"/>
      <w:spacing w:after="120"/>
    </w:pPr>
  </w:style>
  <w:style w:type="paragraph" w:styleId="1057">
    <w:name w:val="正文文本首行缩进 2"/>
    <w:basedOn w:val="1056"/>
    <w:next w:val="1057"/>
    <w:link w:val="929"/>
    <w:qFormat/>
    <w:pPr>
      <w:ind w:left="0" w:firstLine="420"/>
      <w:spacing w:after="0" w:line="360" w:lineRule="auto"/>
    </w:pPr>
    <w:rPr>
      <w:rFonts w:ascii="宋体" w:hAnsi="宋体"/>
      <w:sz w:val="20"/>
      <w:szCs w:val="20"/>
      <w:lang w:val="en-US" w:eastAsia="en-US"/>
    </w:rPr>
  </w:style>
  <w:style w:type="paragraph" w:styleId="1058">
    <w:name w:val="_Style 1"/>
    <w:basedOn w:val="929"/>
    <w:next w:val="1058"/>
    <w:link w:val="929"/>
    <w:qFormat/>
    <w:pPr>
      <w:ind w:firstLine="420"/>
    </w:pPr>
  </w:style>
  <w:style w:type="paragraph" w:styleId="1059">
    <w:name w:val="[Normal]"/>
    <w:next w:val="1059"/>
    <w:link w:val="929"/>
    <w:qFormat/>
    <w:rPr>
      <w:rFonts w:ascii="方正仿宋简体" w:hAnsi="方正仿宋简体" w:eastAsia="方正仿宋简体" w:cs="Courier New"/>
      <w:sz w:val="24"/>
      <w:szCs w:val="22"/>
      <w:lang w:val="zh-CN" w:eastAsia="zh-CN" w:bidi="ar-SA"/>
    </w:rPr>
  </w:style>
  <w:style w:type="paragraph" w:styleId="1060">
    <w:name w:val="标题 41"/>
    <w:basedOn w:val="929"/>
    <w:next w:val="1061"/>
    <w:link w:val="929"/>
    <w:qFormat/>
    <w:pPr>
      <w:keepLines/>
      <w:keepNext/>
      <w:spacing w:before="280" w:after="290" w:line="376" w:lineRule="auto"/>
      <w:outlineLvl w:val="3"/>
    </w:pPr>
    <w:rPr>
      <w:rFonts w:ascii="Arial" w:hAnsi="Arial" w:eastAsia="黑体" w:cs="Arial"/>
      <w:b/>
      <w:bCs/>
      <w:sz w:val="28"/>
      <w:szCs w:val="28"/>
    </w:rPr>
  </w:style>
  <w:style w:type="paragraph" w:styleId="1061">
    <w:name w:val="正文缩进1"/>
    <w:basedOn w:val="929"/>
    <w:next w:val="1061"/>
    <w:link w:val="929"/>
    <w:qFormat/>
    <w:pPr>
      <w:ind w:firstLine="420"/>
    </w:pPr>
    <w:rPr>
      <w:szCs w:val="21"/>
    </w:rPr>
  </w:style>
  <w:style w:type="paragraph" w:styleId="1062">
    <w:name w:val="普通(网站)1"/>
    <w:basedOn w:val="929"/>
    <w:next w:val="1062"/>
    <w:link w:val="929"/>
    <w:uiPriority w:val="99"/>
    <w:qFormat/>
    <w:pPr>
      <w:jc w:val="left"/>
      <w:spacing w:before="100" w:beforeAutospacing="1" w:after="100" w:afterAutospacing="1"/>
      <w:widowControl/>
    </w:pPr>
    <w:rPr>
      <w:rFonts w:ascii="宋体" w:hAnsi="宋体" w:eastAsia="宋体" w:cs="宋体"/>
      <w:sz w:val="24"/>
      <w:szCs w:val="24"/>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叶凡</cp:lastModifiedBy>
  <cp:revision>4</cp:revision>
  <dcterms:created xsi:type="dcterms:W3CDTF">2023-03-27T07:28:00Z</dcterms:created>
  <dcterms:modified xsi:type="dcterms:W3CDTF">2026-04-13T08:03:13Z</dcterms:modified>
</cp:coreProperties>
</file>