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outlineLvl w:val="0"/>
      </w:pPr>
      <w:r/>
      <w:bookmarkStart w:id="0" w:name="_Toc19086"/>
      <w:r/>
      <w:bookmarkStart w:id="1" w:name="_Toc8880"/>
      <w:r>
        <w:rPr>
          <w:rFonts w:hint="eastAsia" w:ascii="Arial" w:hAnsi="Arial" w:eastAsia="黑体"/>
          <w:b/>
          <w:bCs/>
          <w:sz w:val="84"/>
          <w:szCs w:val="24"/>
        </w:rPr>
        <w:t xml:space="preserve">竞争性磋商文件</w:t>
      </w:r>
      <w:bookmarkEnd w:id="0"/>
      <w:r/>
      <w:bookmarkEnd w:id="1"/>
      <w:r/>
      <w:r/>
    </w:p>
    <w:p>
      <w:pPr>
        <w:ind w:left="2244" w:hanging="1606"/>
        <w:jc w:val="left"/>
        <w:spacing w:before="120" w:after="120" w:line="360" w:lineRule="auto"/>
        <w:rPr>
          <w:rFonts w:ascii="Arial" w:hAnsi="Arial"/>
          <w:b/>
          <w:bCs/>
          <w:sz w:val="32"/>
          <w:szCs w:val="24"/>
        </w:rPr>
        <w:outlineLvl w:val="0"/>
      </w:pPr>
      <w:r/>
      <w:bookmarkStart w:id="2" w:name="_Toc4837"/>
      <w:r/>
      <w:bookmarkStart w:id="3" w:name="_Toc5249"/>
      <w:r>
        <w:rPr>
          <w:rFonts w:hint="eastAsia" w:ascii="Arial" w:hAnsi="Arial"/>
          <w:b/>
          <w:bCs/>
          <w:sz w:val="32"/>
          <w:szCs w:val="24"/>
        </w:rPr>
        <w:t xml:space="preserve">项目名称：</w:t>
      </w:r>
      <w:bookmarkEnd w:id="2"/>
      <w:r/>
      <w:bookmarkEnd w:id="3"/>
      <w:r>
        <w:rPr>
          <w:rFonts w:hint="eastAsia" w:ascii="Arial" w:hAnsi="Arial"/>
          <w:b/>
          <w:bCs/>
          <w:sz w:val="32"/>
          <w:szCs w:val="24"/>
        </w:rPr>
        <w:t xml:space="preserve">南京市浦口区中医院胸痛、卒中平台建</w:t>
      </w:r>
      <w:r>
        <w:rPr>
          <w:rFonts w:hint="eastAsia" w:ascii="Arial" w:hAnsi="Arial"/>
          <w:b/>
          <w:bCs/>
          <w:sz w:val="32"/>
          <w:szCs w:val="24"/>
        </w:rPr>
        <w:t xml:space="preserve">设</w:t>
      </w:r>
      <w:r/>
    </w:p>
    <w:p>
      <w:pPr>
        <w:jc w:val="center"/>
        <w:spacing w:before="120" w:after="120" w:line="360" w:lineRule="auto"/>
        <w:rPr>
          <w:rFonts w:hint="eastAsia" w:eastAsia="宋体"/>
          <w:b/>
          <w:sz w:val="32"/>
          <w:szCs w:val="32"/>
          <w:lang w:eastAsia="zh-CN"/>
        </w:rPr>
        <w:outlineLvl w:val="0"/>
      </w:pPr>
      <w:r>
        <w:rPr>
          <w:rFonts w:hint="eastAsia" w:ascii="Arial" w:hAnsi="Arial"/>
          <w:b/>
          <w:bCs/>
          <w:color w:val="000000"/>
          <w:sz w:val="32"/>
          <w:szCs w:val="24"/>
        </w:rPr>
        <w:t xml:space="preserve">项目编号：</w:t>
      </w:r>
      <w:bookmarkStart w:id="4" w:name="_Toc27358"/>
      <w:r/>
      <w:bookmarkStart w:id="5" w:name="_Toc11153"/>
      <w:r>
        <w:rPr>
          <w:rFonts w:hint="eastAsia"/>
          <w:b/>
          <w:sz w:val="32"/>
          <w:szCs w:val="32"/>
          <w:lang w:eastAsia="zh-CN"/>
        </w:rPr>
        <w:t xml:space="preserve">JSZC-320111-JZCG-C2026-0022</w:t>
      </w:r>
      <w:r/>
    </w:p>
    <w:p>
      <w:pPr>
        <w:jc w:val="center"/>
        <w:spacing w:before="120" w:after="120" w:line="360" w:lineRule="auto"/>
        <w:rPr>
          <w:b/>
          <w:sz w:val="30"/>
          <w:szCs w:val="30"/>
        </w:rPr>
        <w:outlineLvl w:val="0"/>
      </w:pPr>
      <w:r>
        <w:rPr>
          <w:rFonts w:hint="eastAsia" w:ascii="Arial" w:hAnsi="Arial"/>
          <w:b/>
          <w:bCs/>
          <w:color w:val="000000"/>
          <w:sz w:val="32"/>
          <w:szCs w:val="24"/>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ascii="Arial" w:hAnsi="Arial"/>
          <w:b/>
          <w:bCs/>
          <w:color w:val="000000"/>
          <w:sz w:val="32"/>
          <w:szCs w:val="24"/>
        </w:rPr>
        <w:t xml:space="preserve">）</w:t>
      </w:r>
      <w:bookmarkEnd w:id="4"/>
      <w:r/>
      <w:bookmarkEnd w:id="5"/>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60"/>
        <w:ind w:firstLine="0"/>
        <w:jc w:val="center"/>
        <w:rPr>
          <w:b/>
          <w:bCs/>
          <w:sz w:val="32"/>
        </w:rPr>
        <w:outlineLvl w:val="0"/>
      </w:pPr>
      <w:r/>
      <w:bookmarkStart w:id="6" w:name="_Toc2405"/>
      <w:r/>
      <w:bookmarkStart w:id="7" w:name="_Toc3085"/>
      <w:r>
        <w:rPr>
          <w:rFonts w:hint="eastAsia"/>
          <w:b/>
          <w:bCs/>
          <w:sz w:val="32"/>
        </w:rPr>
        <w:t xml:space="preserve">南京市公共资源交易中心浦口分中心</w:t>
      </w:r>
      <w:bookmarkEnd w:id="6"/>
      <w:r/>
      <w:bookmarkEnd w:id="7"/>
      <w:r/>
      <w:r/>
    </w:p>
    <w:p>
      <w:pPr>
        <w:pStyle w:val="1060"/>
        <w:ind w:firstLine="0"/>
        <w:jc w:val="center"/>
        <w:rPr>
          <w:rFonts w:ascii="Times New Roman" w:hAnsi="Times New Roman"/>
          <w:b/>
          <w:bCs/>
          <w:sz w:val="32"/>
        </w:rPr>
      </w:pPr>
      <w:r>
        <w:rPr>
          <w:rFonts w:hint="eastAsia" w:ascii="Times New Roman" w:hAnsi="Times New Roman"/>
          <w:b/>
          <w:bCs/>
          <w:sz w:val="32"/>
          <w:u w:val="single"/>
        </w:rPr>
        <w:t xml:space="preserve"> 2026 </w:t>
      </w:r>
      <w:r>
        <w:rPr>
          <w:rFonts w:hint="eastAsia"/>
          <w:b/>
          <w:bCs/>
          <w:sz w:val="32"/>
        </w:rPr>
        <w:t xml:space="preserve">年</w:t>
      </w:r>
      <w:r>
        <w:rPr>
          <w:rFonts w:hint="eastAsia"/>
          <w:b/>
          <w:bCs/>
          <w:sz w:val="32"/>
          <w:u w:val="single"/>
        </w:rPr>
        <w:t xml:space="preserve"> </w:t>
      </w:r>
      <w:r>
        <w:rPr>
          <w:rFonts w:hint="eastAsia" w:ascii="Times New Roman" w:hAnsi="Times New Roman"/>
          <w:b/>
          <w:bCs/>
          <w:sz w:val="32"/>
          <w:u w:val="single"/>
        </w:rPr>
        <w:t xml:space="preserve">4 </w:t>
      </w:r>
      <w:r>
        <w:rPr>
          <w:rFonts w:hint="eastAsia" w:ascii="Times New Roman" w:hAnsi="Times New Roman"/>
          <w:b/>
          <w:bCs/>
          <w:sz w:val="32"/>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8" w:name="_Toc20012"/>
      <w:r/>
      <w:bookmarkStart w:id="9" w:name="_Toc30723"/>
      <w:r/>
      <w:bookmarkStart w:id="10" w:name="_Toc120614210"/>
      <w:r/>
      <w:bookmarkStart w:id="11" w:name="_Toc513029200"/>
      <w:r/>
      <w:bookmarkStart w:id="12" w:name="_Toc20823272"/>
      <w:r/>
      <w:bookmarkStart w:id="13" w:name="_Toc16938516"/>
      <w:r/>
      <w:bookmarkStart w:id="14" w:name="_Toc523127445"/>
      <w:r/>
      <w:bookmarkStart w:id="15" w:name="_Toc479757206"/>
      <w:r>
        <w:rPr>
          <w:rFonts w:hint="eastAsia" w:ascii="黑体" w:hAnsi="Arial" w:eastAsia="黑体"/>
          <w:b/>
          <w:sz w:val="44"/>
          <w:szCs w:val="21"/>
        </w:rPr>
        <w:t xml:space="preserve">总  目  录</w:t>
      </w:r>
      <w:bookmarkEnd w:id="8"/>
      <w:r/>
      <w:bookmarkEnd w:id="9"/>
      <w:r/>
      <w:r/>
    </w:p>
    <w:p>
      <w:pPr>
        <w:spacing w:line="480" w:lineRule="auto"/>
        <w:rPr>
          <w:rFonts w:ascii="仿宋_GB2312" w:hAnsi="Arial" w:eastAsia="仿宋_GB2312"/>
          <w:b/>
          <w:sz w:val="28"/>
          <w:szCs w:val="21"/>
        </w:rPr>
      </w:pPr>
      <w:r>
        <w:rPr>
          <w:rFonts w:ascii="仿宋_GB2312" w:hAnsi="Arial" w:eastAsia="仿宋_GB2312"/>
          <w:b/>
          <w:sz w:val="28"/>
          <w:szCs w:val="21"/>
        </w:rPr>
      </w:r>
      <w:r/>
    </w:p>
    <w:sdt>
      <w:sdtPr>
        <w15:appearance w15:val="boundingBox"/>
        <w:id w:val="147463156"/>
        <w:docPartObj>
          <w:docPartGallery w:val="Table of Contents"/>
          <w:docPartUnique w:val="true"/>
        </w:docPartObj>
        <w:rPr>
          <w:rFonts w:ascii="宋体" w:hAnsi="宋体"/>
        </w:rPr>
      </w:sdtPr>
      <w:sdtContent>
        <w:p>
          <w:pPr>
            <w:jc w:val="center"/>
            <w:rPr>
              <w:szCs w:val="21"/>
            </w:rPr>
          </w:pPr>
          <w:r>
            <w:rPr>
              <w:rFonts w:hint="eastAsia"/>
              <w:szCs w:val="21"/>
            </w:rPr>
            <w:fldChar w:fldCharType="begin"/>
          </w:r>
          <w:r>
            <w:rPr>
              <w:rFonts w:hint="eastAsia"/>
              <w:szCs w:val="21"/>
            </w:rPr>
            <w:instrText xml:space="preserve">TOC \o "1-1" \h \u </w:instrText>
          </w:r>
          <w:r>
            <w:rPr>
              <w:rFonts w:hint="eastAsia"/>
              <w:szCs w:val="21"/>
            </w:rPr>
            <w:fldChar w:fldCharType="separate"/>
          </w:r>
          <w:r/>
        </w:p>
        <w:p>
          <w:pPr>
            <w:pStyle w:val="788"/>
            <w:spacing w:line="360" w:lineRule="auto"/>
            <w:tabs>
              <w:tab w:val="right" w:pos="9522" w:leader="dot"/>
            </w:tabs>
            <w:rPr>
              <w:sz w:val="44"/>
              <w:szCs w:val="44"/>
            </w:rPr>
          </w:pPr>
          <w:r>
            <w:fldChar w:fldCharType="begin"/>
          </w:r>
          <w:r>
            <w:instrText xml:space="preserve"> HYPERLINK \l "_Toc9137" \o "#_Toc9137" </w:instrText>
          </w:r>
          <w:r>
            <w:fldChar w:fldCharType="separate"/>
          </w:r>
          <w:r>
            <w:rPr>
              <w:rFonts w:hint="eastAsia" w:ascii="黑体" w:hAnsi="黑体" w:eastAsia="黑体" w:cs="黑体"/>
              <w:sz w:val="44"/>
              <w:szCs w:val="44"/>
            </w:rPr>
            <w:t xml:space="preserve">第一章  磋商邀请</w:t>
          </w:r>
          <w:r>
            <w:rPr>
              <w:sz w:val="44"/>
              <w:szCs w:val="44"/>
            </w:rPr>
            <w:tab/>
          </w:r>
          <w:r>
            <w:rPr>
              <w:sz w:val="44"/>
              <w:szCs w:val="44"/>
            </w:rPr>
            <w:fldChar w:fldCharType="begin"/>
          </w:r>
          <w:r>
            <w:rPr>
              <w:sz w:val="44"/>
              <w:szCs w:val="44"/>
            </w:rPr>
            <w:instrText xml:space="preserve"> PAGEREF _Toc9137 \h </w:instrText>
          </w:r>
          <w:r>
            <w:rPr>
              <w:sz w:val="44"/>
              <w:szCs w:val="44"/>
            </w:rPr>
            <w:fldChar w:fldCharType="separate"/>
          </w:r>
          <w:r>
            <w:rPr>
              <w:sz w:val="44"/>
              <w:szCs w:val="44"/>
            </w:rPr>
            <w:t xml:space="preserve">1</w:t>
          </w:r>
          <w:r>
            <w:rPr>
              <w:sz w:val="44"/>
              <w:szCs w:val="44"/>
            </w:rPr>
            <w:fldChar w:fldCharType="end"/>
          </w:r>
          <w:r>
            <w:rPr>
              <w:sz w:val="44"/>
              <w:szCs w:val="44"/>
            </w:rPr>
            <w:fldChar w:fldCharType="end"/>
          </w:r>
          <w:r/>
        </w:p>
        <w:p>
          <w:pPr>
            <w:pStyle w:val="788"/>
            <w:spacing w:line="360" w:lineRule="auto"/>
            <w:tabs>
              <w:tab w:val="right" w:pos="9522" w:leader="dot"/>
            </w:tabs>
            <w:rPr>
              <w:sz w:val="44"/>
              <w:szCs w:val="44"/>
            </w:rPr>
          </w:pPr>
          <w:r>
            <w:fldChar w:fldCharType="begin"/>
          </w:r>
          <w:r>
            <w:instrText xml:space="preserve"> HYPERLINK \l "_Toc26819" \o "#_Toc26819" </w:instrText>
          </w:r>
          <w:r>
            <w:fldChar w:fldCharType="separate"/>
          </w:r>
          <w:r>
            <w:rPr>
              <w:rFonts w:hint="eastAsia" w:ascii="黑体" w:hAnsi="黑体" w:eastAsia="黑体" w:cs="黑体"/>
              <w:sz w:val="44"/>
              <w:szCs w:val="44"/>
            </w:rPr>
            <w:t xml:space="preserve">第二章  供应商须知</w:t>
          </w:r>
          <w:r>
            <w:rPr>
              <w:sz w:val="44"/>
              <w:szCs w:val="44"/>
            </w:rPr>
            <w:tab/>
          </w:r>
          <w:r>
            <w:rPr>
              <w:sz w:val="44"/>
              <w:szCs w:val="44"/>
            </w:rPr>
            <w:fldChar w:fldCharType="begin"/>
          </w:r>
          <w:r>
            <w:rPr>
              <w:sz w:val="44"/>
              <w:szCs w:val="44"/>
            </w:rPr>
            <w:instrText xml:space="preserve"> PAGEREF _Toc26819 \h </w:instrText>
          </w:r>
          <w:r>
            <w:rPr>
              <w:sz w:val="44"/>
              <w:szCs w:val="44"/>
            </w:rPr>
            <w:fldChar w:fldCharType="separate"/>
          </w:r>
          <w:r>
            <w:rPr>
              <w:sz w:val="44"/>
              <w:szCs w:val="44"/>
            </w:rPr>
            <w:t xml:space="preserve">4</w:t>
          </w:r>
          <w:r>
            <w:rPr>
              <w:sz w:val="44"/>
              <w:szCs w:val="44"/>
            </w:rPr>
            <w:fldChar w:fldCharType="end"/>
          </w:r>
          <w:r>
            <w:rPr>
              <w:sz w:val="44"/>
              <w:szCs w:val="44"/>
            </w:rPr>
            <w:fldChar w:fldCharType="end"/>
          </w:r>
          <w:r/>
        </w:p>
        <w:p>
          <w:pPr>
            <w:pStyle w:val="788"/>
            <w:spacing w:line="360" w:lineRule="auto"/>
            <w:tabs>
              <w:tab w:val="right" w:pos="9522" w:leader="dot"/>
            </w:tabs>
            <w:rPr>
              <w:sz w:val="44"/>
              <w:szCs w:val="44"/>
            </w:rPr>
          </w:pPr>
          <w:r>
            <w:fldChar w:fldCharType="begin"/>
          </w:r>
          <w:r>
            <w:instrText xml:space="preserve"> HYPERLINK \l "_Toc29980" \o "#_Toc29980" </w:instrText>
          </w:r>
          <w:r>
            <w:fldChar w:fldCharType="separate"/>
          </w:r>
          <w:r>
            <w:rPr>
              <w:rFonts w:hint="eastAsia" w:ascii="黑体" w:hAnsi="黑体" w:eastAsia="黑体" w:cs="黑体"/>
              <w:sz w:val="44"/>
              <w:szCs w:val="44"/>
            </w:rPr>
            <w:t xml:space="preserve">第三章  合同文本</w:t>
          </w:r>
          <w:r>
            <w:rPr>
              <w:sz w:val="44"/>
              <w:szCs w:val="44"/>
            </w:rPr>
            <w:tab/>
          </w:r>
          <w:r>
            <w:rPr>
              <w:sz w:val="44"/>
              <w:szCs w:val="44"/>
            </w:rPr>
            <w:fldChar w:fldCharType="begin"/>
          </w:r>
          <w:r>
            <w:rPr>
              <w:sz w:val="44"/>
              <w:szCs w:val="44"/>
            </w:rPr>
            <w:instrText xml:space="preserve"> PAGEREF _Toc29980 \h </w:instrText>
          </w:r>
          <w:r>
            <w:rPr>
              <w:sz w:val="44"/>
              <w:szCs w:val="44"/>
            </w:rPr>
            <w:fldChar w:fldCharType="separate"/>
          </w:r>
          <w:r>
            <w:rPr>
              <w:sz w:val="44"/>
              <w:szCs w:val="44"/>
            </w:rPr>
            <w:t xml:space="preserve">15</w:t>
          </w:r>
          <w:r>
            <w:rPr>
              <w:sz w:val="44"/>
              <w:szCs w:val="44"/>
            </w:rPr>
            <w:fldChar w:fldCharType="end"/>
          </w:r>
          <w:r>
            <w:rPr>
              <w:sz w:val="44"/>
              <w:szCs w:val="44"/>
            </w:rPr>
            <w:fldChar w:fldCharType="end"/>
          </w:r>
          <w:r/>
        </w:p>
        <w:p>
          <w:pPr>
            <w:pStyle w:val="788"/>
            <w:spacing w:line="360" w:lineRule="auto"/>
            <w:tabs>
              <w:tab w:val="right" w:pos="9522" w:leader="dot"/>
            </w:tabs>
            <w:rPr>
              <w:sz w:val="44"/>
              <w:szCs w:val="44"/>
            </w:rPr>
          </w:pPr>
          <w:r>
            <w:fldChar w:fldCharType="begin"/>
          </w:r>
          <w:r>
            <w:instrText xml:space="preserve"> HYPERLINK \l "_Toc1812" \o "#_Toc1812" </w:instrText>
          </w:r>
          <w:r>
            <w:fldChar w:fldCharType="separate"/>
          </w:r>
          <w:r>
            <w:rPr>
              <w:rFonts w:hint="eastAsia" w:ascii="黑体" w:hAnsi="黑体" w:eastAsia="黑体" w:cs="黑体"/>
              <w:sz w:val="44"/>
              <w:szCs w:val="44"/>
            </w:rPr>
            <w:t xml:space="preserve">第四章  采购需求</w:t>
          </w:r>
          <w:r>
            <w:rPr>
              <w:sz w:val="44"/>
              <w:szCs w:val="44"/>
            </w:rPr>
            <w:tab/>
          </w:r>
          <w:r>
            <w:rPr>
              <w:sz w:val="44"/>
              <w:szCs w:val="44"/>
            </w:rPr>
            <w:fldChar w:fldCharType="begin"/>
          </w:r>
          <w:r>
            <w:rPr>
              <w:sz w:val="44"/>
              <w:szCs w:val="44"/>
            </w:rPr>
            <w:instrText xml:space="preserve"> PAGEREF _Toc1812 \h </w:instrText>
          </w:r>
          <w:r>
            <w:rPr>
              <w:sz w:val="44"/>
              <w:szCs w:val="44"/>
            </w:rPr>
            <w:fldChar w:fldCharType="separate"/>
          </w:r>
          <w:r>
            <w:rPr>
              <w:sz w:val="44"/>
              <w:szCs w:val="44"/>
            </w:rPr>
            <w:t xml:space="preserve">21</w:t>
          </w:r>
          <w:r>
            <w:rPr>
              <w:sz w:val="44"/>
              <w:szCs w:val="44"/>
            </w:rPr>
            <w:fldChar w:fldCharType="end"/>
          </w:r>
          <w:r>
            <w:rPr>
              <w:sz w:val="44"/>
              <w:szCs w:val="44"/>
            </w:rPr>
            <w:fldChar w:fldCharType="end"/>
          </w:r>
          <w:r/>
        </w:p>
        <w:p>
          <w:pPr>
            <w:pStyle w:val="788"/>
            <w:spacing w:line="360" w:lineRule="auto"/>
            <w:tabs>
              <w:tab w:val="right" w:pos="9522" w:leader="dot"/>
            </w:tabs>
            <w:rPr>
              <w:sz w:val="44"/>
              <w:szCs w:val="44"/>
            </w:rPr>
          </w:pPr>
          <w:r>
            <w:fldChar w:fldCharType="begin"/>
          </w:r>
          <w:r>
            <w:instrText xml:space="preserve"> HYPERLINK \l "_Toc8848" \o "#_Toc8848" </w:instrText>
          </w:r>
          <w:r>
            <w:fldChar w:fldCharType="separate"/>
          </w:r>
          <w:r>
            <w:rPr>
              <w:rFonts w:hint="eastAsia" w:ascii="黑体" w:hAnsi="黑体" w:eastAsia="黑体" w:cs="黑体"/>
              <w:sz w:val="44"/>
              <w:szCs w:val="44"/>
            </w:rPr>
            <w:t xml:space="preserve">第五章  评审方法与评审标准</w:t>
          </w:r>
          <w:r>
            <w:rPr>
              <w:sz w:val="44"/>
              <w:szCs w:val="44"/>
            </w:rPr>
            <w:tab/>
          </w:r>
          <w:r>
            <w:rPr>
              <w:sz w:val="44"/>
              <w:szCs w:val="44"/>
            </w:rPr>
            <w:fldChar w:fldCharType="begin"/>
          </w:r>
          <w:r>
            <w:rPr>
              <w:sz w:val="44"/>
              <w:szCs w:val="44"/>
            </w:rPr>
            <w:instrText xml:space="preserve"> PAGEREF _Toc8848 \h </w:instrText>
          </w:r>
          <w:r>
            <w:rPr>
              <w:sz w:val="44"/>
              <w:szCs w:val="44"/>
            </w:rPr>
            <w:fldChar w:fldCharType="separate"/>
          </w:r>
          <w:r>
            <w:rPr>
              <w:sz w:val="44"/>
              <w:szCs w:val="44"/>
            </w:rPr>
            <w:t xml:space="preserve">21</w:t>
          </w:r>
          <w:r>
            <w:rPr>
              <w:sz w:val="44"/>
              <w:szCs w:val="44"/>
            </w:rPr>
            <w:fldChar w:fldCharType="end"/>
          </w:r>
          <w:r>
            <w:rPr>
              <w:sz w:val="44"/>
              <w:szCs w:val="44"/>
            </w:rPr>
            <w:fldChar w:fldCharType="end"/>
          </w:r>
          <w:r/>
        </w:p>
        <w:p>
          <w:pPr>
            <w:pStyle w:val="788"/>
            <w:spacing w:line="360" w:lineRule="auto"/>
            <w:tabs>
              <w:tab w:val="right" w:pos="9522" w:leader="dot"/>
            </w:tabs>
          </w:pPr>
          <w:r>
            <w:fldChar w:fldCharType="begin"/>
          </w:r>
          <w:r>
            <w:instrText xml:space="preserve"> HYPERLINK \l "_Toc1557" \o "#_Toc1557" </w:instrText>
          </w:r>
          <w:r>
            <w:fldChar w:fldCharType="separate"/>
          </w:r>
          <w:r>
            <w:rPr>
              <w:rFonts w:hint="eastAsia" w:ascii="黑体" w:hAnsi="黑体" w:eastAsia="黑体" w:cs="黑体"/>
              <w:sz w:val="44"/>
              <w:szCs w:val="44"/>
            </w:rPr>
            <w:t xml:space="preserve">第六章  响应文件格式</w:t>
          </w:r>
          <w:r>
            <w:rPr>
              <w:sz w:val="44"/>
              <w:szCs w:val="44"/>
            </w:rPr>
            <w:tab/>
          </w:r>
          <w:r>
            <w:rPr>
              <w:sz w:val="44"/>
              <w:szCs w:val="44"/>
            </w:rPr>
            <w:fldChar w:fldCharType="begin"/>
          </w:r>
          <w:r>
            <w:rPr>
              <w:sz w:val="44"/>
              <w:szCs w:val="44"/>
            </w:rPr>
            <w:instrText xml:space="preserve"> PAGEREF _Toc1557 \h </w:instrText>
          </w:r>
          <w:r>
            <w:rPr>
              <w:sz w:val="44"/>
              <w:szCs w:val="44"/>
            </w:rPr>
            <w:fldChar w:fldCharType="separate"/>
          </w:r>
          <w:r>
            <w:rPr>
              <w:sz w:val="44"/>
              <w:szCs w:val="44"/>
            </w:rPr>
            <w:t xml:space="preserve">44</w:t>
          </w:r>
          <w:r>
            <w:rPr>
              <w:sz w:val="44"/>
              <w:szCs w:val="44"/>
            </w:rPr>
            <w:fldChar w:fldCharType="end"/>
          </w:r>
          <w:r>
            <w:rPr>
              <w:sz w:val="44"/>
              <w:szCs w:val="44"/>
            </w:rPr>
            <w:fldChar w:fldCharType="end"/>
          </w:r>
          <w:r/>
        </w:p>
        <w:p>
          <w:pPr>
            <w:pStyle w:val="788"/>
            <w:tabs>
              <w:tab w:val="right" w:pos="9522" w:leader="dot"/>
            </w:tabs>
          </w:pPr>
          <w:r/>
          <w:r/>
        </w:p>
        <w:p>
          <w:pPr>
            <w:jc w:val="center"/>
            <w:rPr>
              <w:szCs w:val="21"/>
            </w:rPr>
          </w:pPr>
          <w:r>
            <w:rPr>
              <w:rFonts w:hint="eastAsia"/>
              <w:szCs w:val="21"/>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63"/>
        <w:jc w:val="center"/>
        <w:rPr>
          <w:rFonts w:hint="eastAsia" w:ascii="黑体" w:hAnsi="黑体" w:eastAsia="黑体" w:cs="黑体"/>
        </w:rPr>
        <w:sectPr>
          <w:footnotePr/>
          <w:endnotePr/>
          <w:type w:val="nextPage"/>
          <w:pgSz w:w="12240" w:h="15840" w:orient="portrait"/>
          <w:pgMar w:top="1346" w:right="1352" w:bottom="1191" w:left="1366" w:header="0" w:footer="0" w:gutter="0"/>
          <w:cols w:num="1" w:sep="0" w:space="1701" w:equalWidth="0">
            <w:col w:w="9522" w:space="0"/>
          </w:cols>
          <w:docGrid w:linePitch="360"/>
        </w:sectPr>
      </w:pPr>
      <w:r/>
      <w:bookmarkStart w:id="16" w:name="_Toc9137"/>
      <w:r/>
      <w:r/>
    </w:p>
    <w:p>
      <w:pPr>
        <w:pStyle w:val="763"/>
        <w:jc w:val="center"/>
        <w:rPr>
          <w:rFonts w:hint="eastAsia" w:ascii="黑体" w:hAnsi="黑体" w:eastAsia="黑体" w:cs="黑体"/>
        </w:rPr>
      </w:pPr>
      <w:r>
        <w:rPr>
          <w:rFonts w:hint="eastAsia" w:ascii="黑体" w:hAnsi="黑体" w:eastAsia="黑体" w:cs="黑体"/>
        </w:rPr>
        <w:t xml:space="preserve">第一章  </w:t>
      </w:r>
      <w:bookmarkEnd w:id="10"/>
      <w:r>
        <w:rPr>
          <w:rFonts w:hint="eastAsia" w:ascii="黑体" w:hAnsi="黑体" w:eastAsia="黑体" w:cs="黑体"/>
        </w:rPr>
        <w:t xml:space="preserve">磋商邀请</w:t>
      </w:r>
      <w:bookmarkEnd w:id="16"/>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受南京市浦口区中医院的委托，南京市公共资源交易中心浦口分中心就南京市浦口区中医院胸痛、卒中平台建设进行竞争性磋商采购，欢迎符合条件的供应商参加磋商。</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南京市浦口区中医院</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南京市浦口区中医院胸痛、卒中平台建设</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bCs/>
          <w:color w:val="auto"/>
          <w:sz w:val="24"/>
          <w:szCs w:val="24"/>
          <w:u w:val="single"/>
        </w:rPr>
        <w:t xml:space="preserve">2026年</w:t>
      </w:r>
      <w:r>
        <w:rPr>
          <w:rFonts w:hint="eastAsia" w:ascii="仿宋" w:hAnsi="仿宋" w:eastAsia="仿宋" w:cs="仿宋"/>
          <w:bCs/>
          <w:color w:val="auto"/>
          <w:sz w:val="24"/>
          <w:szCs w:val="24"/>
          <w:u w:val="single"/>
          <w:lang w:val="en-US" w:eastAsia="zh-CN"/>
        </w:rPr>
        <w:t xml:space="preserve">5</w:t>
      </w:r>
      <w:r>
        <w:rPr>
          <w:rFonts w:hint="eastAsia" w:ascii="仿宋" w:hAnsi="仿宋" w:eastAsia="仿宋" w:cs="仿宋"/>
          <w:bCs/>
          <w:color w:val="auto"/>
          <w:sz w:val="24"/>
          <w:szCs w:val="24"/>
          <w:u w:val="single"/>
        </w:rPr>
        <w:t xml:space="preserve">月</w:t>
      </w:r>
      <w:r>
        <w:rPr>
          <w:rFonts w:hint="eastAsia" w:ascii="仿宋" w:hAnsi="仿宋" w:eastAsia="仿宋" w:cs="仿宋"/>
          <w:bCs/>
          <w:color w:val="auto"/>
          <w:sz w:val="24"/>
          <w:szCs w:val="24"/>
          <w:u w:val="single"/>
          <w:lang w:val="en-US" w:eastAsia="zh-CN"/>
        </w:rPr>
        <w:t xml:space="preserve">7</w:t>
      </w:r>
      <w:r>
        <w:rPr>
          <w:rFonts w:hint="eastAsia" w:ascii="仿宋" w:hAnsi="仿宋" w:eastAsia="仿宋" w:cs="仿宋"/>
          <w:bCs/>
          <w:color w:val="auto"/>
          <w:sz w:val="24"/>
          <w:szCs w:val="24"/>
          <w:u w:val="single"/>
        </w:rPr>
        <w:t xml:space="preserve">日9点30分（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82"/>
        <w:keepLines/>
        <w:keepNext/>
        <w:spacing w:line="360" w:lineRule="auto"/>
        <w:rPr>
          <w:rFonts w:hint="eastAsia" w:ascii="仿宋" w:hAnsi="仿宋" w:eastAsia="仿宋" w:cs="仿宋"/>
          <w:b/>
          <w:bCs/>
          <w:sz w:val="24"/>
          <w:szCs w:val="24"/>
        </w:rPr>
        <w:outlineLvl w:val="2"/>
      </w:pPr>
      <w:r/>
      <w:bookmarkStart w:id="17" w:name="_Toc28359079"/>
      <w:r/>
      <w:bookmarkStart w:id="18" w:name="_Toc28359002"/>
      <w:r/>
      <w:bookmarkStart w:id="19" w:name="_Toc38985263"/>
      <w:r/>
      <w:bookmarkStart w:id="20" w:name="_Toc35393790"/>
      <w:r/>
      <w:bookmarkStart w:id="21" w:name="_Toc35393621"/>
      <w:r/>
      <w:bookmarkStart w:id="22" w:name="_Hlk24379207"/>
      <w:r>
        <w:rPr>
          <w:rFonts w:hint="eastAsia" w:ascii="仿宋" w:hAnsi="仿宋" w:eastAsia="仿宋" w:cs="仿宋"/>
          <w:b/>
          <w:bCs/>
          <w:sz w:val="24"/>
          <w:szCs w:val="24"/>
        </w:rPr>
        <w:t xml:space="preserve">一、项目基本情况</w:t>
      </w:r>
      <w:bookmarkEnd w:id="17"/>
      <w:r/>
      <w:bookmarkEnd w:id="18"/>
      <w:r/>
      <w:bookmarkEnd w:id="19"/>
      <w:r/>
      <w:bookmarkEnd w:id="20"/>
      <w:r/>
      <w:bookmarkEnd w:id="21"/>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JSZC-320111-JZCG-C2026-0022</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2.项目名称：</w:t>
      </w:r>
      <w:bookmarkEnd w:id="22"/>
      <w:r>
        <w:rPr>
          <w:rFonts w:hint="eastAsia" w:ascii="仿宋" w:hAnsi="仿宋" w:eastAsia="仿宋" w:cs="仿宋"/>
          <w:sz w:val="24"/>
          <w:szCs w:val="24"/>
        </w:rPr>
        <w:t xml:space="preserve">南京市浦口区中医院胸痛、卒中平台建设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3.预算金额：75万元</w:t>
      </w:r>
      <w:r/>
    </w:p>
    <w:p>
      <w:pPr>
        <w:ind w:firstLine="48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4.最高限价：75万元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5.采购需求（简介）：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配合2025年浦口区整合型医疗服务体系项目，同时为满足临床实际工作需要，拟采购并建设符合国家标准的胸痛、卒中平台，旨在使医院的胸痛、卒中中心运营更加科学、规范和高效，突出医院在专科急救领域的优势，并助力医院相关学科的能力建设和跨越式发展。通过实现快速诊断、及时治疗、降低死亡率、减少浪费并改善临床预</w:t>
      </w:r>
      <w:r>
        <w:rPr>
          <w:rFonts w:hint="eastAsia" w:ascii="仿宋" w:hAnsi="仿宋" w:eastAsia="仿宋" w:cs="仿宋"/>
          <w:sz w:val="24"/>
          <w:szCs w:val="24"/>
        </w:rPr>
        <w:t xml:space="preserve">后，提升胸痛、卒中患者的救治质量。通过胸痛、卒中中心管理系统的建立，构建一套符合国家标准的救治流程。建立集院前急救、远程指导、预检分诊、绿色通道、数据中心质控上报、时钟同步、筛查、质控、随访为一体的专病急救管理系统。实现院前、院中、院后患者全生命周期的数字化监控体系，全面提升医院的在急危重症方面的整体管理水平和救治服务能力。系统需与医院现有的信息化系统对接，包括电子病历系统、医嘱系统、收费系统、检查、检验、南京市院前急救系统等。同时系统应具有可拓展性，后续可无缝接入医院创伤中心等系统形成统一的急救中心平台。</w:t>
      </w:r>
      <w:r/>
    </w:p>
    <w:p>
      <w:pPr>
        <w:ind w:firstLine="480"/>
        <w:spacing w:line="360" w:lineRule="auto"/>
        <w:rPr>
          <w:rFonts w:hint="eastAsia" w:ascii="仿宋" w:hAnsi="仿宋" w:eastAsia="仿宋" w:cs="仿宋"/>
          <w:color w:val="ff0000"/>
          <w:sz w:val="24"/>
          <w:szCs w:val="24"/>
        </w:rPr>
      </w:pPr>
      <w:r>
        <w:rPr>
          <w:rFonts w:hint="eastAsia" w:ascii="仿宋" w:hAnsi="仿宋" w:eastAsia="仿宋" w:cs="仿宋"/>
          <w:sz w:val="24"/>
          <w:szCs w:val="24"/>
        </w:rPr>
        <w:t xml:space="preserve">6.合同履行期限：中标后15日内签订合同，合同签订后180日内交付，自验收报告签字确认日起开始进入质保期，质保期：软件验收后1年。</w:t>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7.本项目不接受联合体参与磋商。</w:t>
      </w:r>
      <w:r/>
    </w:p>
    <w:p>
      <w:pPr>
        <w:ind w:firstLine="482"/>
        <w:keepLines/>
        <w:keepNext/>
        <w:spacing w:line="360" w:lineRule="auto"/>
        <w:rPr>
          <w:rFonts w:hint="eastAsia" w:ascii="仿宋" w:hAnsi="仿宋" w:eastAsia="仿宋" w:cs="仿宋"/>
          <w:b/>
          <w:bCs/>
          <w:sz w:val="24"/>
          <w:szCs w:val="24"/>
        </w:rPr>
        <w:outlineLvl w:val="2"/>
      </w:pPr>
      <w:r/>
      <w:bookmarkStart w:id="23" w:name="_Toc28359080"/>
      <w:r/>
      <w:bookmarkStart w:id="24" w:name="_Toc28359003"/>
      <w:r/>
      <w:bookmarkStart w:id="25" w:name="_Toc35393622"/>
      <w:r/>
      <w:bookmarkStart w:id="26" w:name="_Toc35393791"/>
      <w:r/>
      <w:bookmarkStart w:id="27" w:name="_Toc38985264"/>
      <w:r>
        <w:rPr>
          <w:rFonts w:hint="eastAsia" w:ascii="仿宋" w:hAnsi="仿宋" w:eastAsia="仿宋" w:cs="仿宋"/>
          <w:b/>
          <w:bCs/>
          <w:sz w:val="24"/>
          <w:szCs w:val="24"/>
        </w:rPr>
        <w:t xml:space="preserve">二、申请人的资格要求</w:t>
      </w:r>
      <w:bookmarkEnd w:id="23"/>
      <w:r/>
      <w:bookmarkEnd w:id="24"/>
      <w:r/>
      <w:bookmarkEnd w:id="25"/>
      <w:r/>
      <w:bookmarkEnd w:id="26"/>
      <w:r/>
      <w:bookmarkEnd w:id="27"/>
      <w:r/>
      <w:r/>
    </w:p>
    <w:p>
      <w:pPr>
        <w:ind w:firstLine="480"/>
        <w:spacing w:line="360" w:lineRule="auto"/>
        <w:rPr>
          <w:rFonts w:hint="eastAsia" w:ascii="仿宋" w:hAnsi="仿宋" w:eastAsia="仿宋" w:cs="仿宋"/>
          <w:sz w:val="24"/>
          <w:szCs w:val="24"/>
        </w:rPr>
      </w:pPr>
      <w:r/>
      <w:bookmarkStart w:id="28" w:name="_Toc28359004"/>
      <w:r/>
      <w:bookmarkStart w:id="29" w:name="_Toc35393792"/>
      <w:r/>
      <w:bookmarkStart w:id="30" w:name="_Toc35393623"/>
      <w:r/>
      <w:bookmarkStart w:id="31" w:name="_Toc28359081"/>
      <w:r/>
      <w:bookmarkStart w:id="32" w:name="_Toc38985265"/>
      <w:r>
        <w:rPr>
          <w:rFonts w:hint="eastAsia" w:ascii="仿宋" w:hAnsi="仿宋" w:eastAsia="仿宋" w:cs="仿宋"/>
          <w:sz w:val="24"/>
          <w:szCs w:val="24"/>
        </w:rPr>
        <w:t xml:space="preserve">（一）通用资格要求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1.满足《中华人民共和国政府采购法》第二十二条规定，并提供下列材料：</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1.1</w:t>
      </w:r>
      <w:r>
        <w:rPr>
          <w:rFonts w:hint="eastAsia" w:ascii="仿宋" w:hAnsi="仿宋" w:eastAsia="仿宋" w:cs="仿宋"/>
          <w:sz w:val="24"/>
          <w:szCs w:val="24"/>
          <w:lang w:val="zh-CN"/>
        </w:rPr>
        <w:t xml:space="preserve">供应商信用承诺函（格式见第六章）。</w:t>
      </w:r>
      <w:r/>
    </w:p>
    <w:p>
      <w:pPr>
        <w:ind w:firstLine="480"/>
        <w:spacing w:line="360" w:lineRule="auto"/>
        <w:rPr>
          <w:rFonts w:hint="eastAsia" w:ascii="仿宋" w:hAnsi="仿宋" w:eastAsia="仿宋" w:cs="仿宋"/>
          <w:sz w:val="24"/>
          <w:szCs w:val="24"/>
          <w:highlight w:val="yellow"/>
          <w:lang w:val="zh-CN"/>
        </w:rPr>
      </w:pPr>
      <w:r>
        <w:rPr>
          <w:rFonts w:hint="eastAsia" w:ascii="仿宋" w:hAnsi="仿宋" w:eastAsia="仿宋" w:cs="仿宋"/>
          <w:sz w:val="24"/>
          <w:szCs w:val="24"/>
        </w:rPr>
        <w:t xml:space="preserve">1.2法律、行政法规规定的其他条件：无。</w:t>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2.落实政府采购政策需满足的资格要求：</w:t>
      </w:r>
      <w:r/>
    </w:p>
    <w:p>
      <w:pPr>
        <w:ind w:firstLine="480"/>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rPr>
        <w:t xml:space="preserve">本项目不专门面向中小微企业采购，执行价格扣除优惠政策</w:t>
      </w:r>
      <w:r>
        <w:rPr>
          <w:rFonts w:hint="eastAsia" w:ascii="仿宋" w:hAnsi="仿宋" w:eastAsia="仿宋" w:cs="仿宋"/>
          <w:sz w:val="24"/>
          <w:szCs w:val="24"/>
          <w:shd w:val="clear" w:color="auto" w:fill="ffffff"/>
        </w:rPr>
        <w:t xml:space="preserve">，具体详见第五章评审方法与评审标准。</w:t>
      </w:r>
      <w:r/>
    </w:p>
    <w:p>
      <w:pPr>
        <w:ind w:firstLine="480"/>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本项目采购标的对应的中小企业划分标准所属行业为：</w:t>
      </w:r>
      <w:r>
        <w:rPr>
          <w:rFonts w:hint="eastAsia" w:ascii="仿宋" w:hAnsi="仿宋" w:eastAsia="仿宋" w:cs="仿宋"/>
          <w:sz w:val="24"/>
          <w:szCs w:val="24"/>
          <w:u w:val="single"/>
        </w:rPr>
        <w:t xml:space="preserve">软件和信息技术服务业。</w:t>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3.本项目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联合体参与磋商。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（三）拒绝下述供应商参加本次采购活动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3.供应商被“信用中国”网站（www.creditchina.gov.cn）、“中国政府采购网”(www.ccgp.gov.cn)列入失信被执行人、重大税收违法案件当事人名单、政府采购严重违法失信行为记录名单。</w:t>
      </w:r>
      <w:r/>
    </w:p>
    <w:p>
      <w:pPr>
        <w:ind w:firstLine="482"/>
        <w:keepLines/>
        <w:keepNext/>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三、获取</w:t>
      </w:r>
      <w:bookmarkEnd w:id="28"/>
      <w:r/>
      <w:bookmarkEnd w:id="29"/>
      <w:r/>
      <w:bookmarkEnd w:id="30"/>
      <w:r/>
      <w:bookmarkEnd w:id="31"/>
      <w:r/>
      <w:bookmarkEnd w:id="32"/>
      <w:r>
        <w:rPr>
          <w:rFonts w:hint="eastAsia" w:ascii="仿宋" w:hAnsi="仿宋" w:eastAsia="仿宋" w:cs="仿宋"/>
          <w:b/>
          <w:bCs/>
          <w:sz w:val="24"/>
          <w:szCs w:val="24"/>
        </w:rPr>
        <w:t xml:space="preserve">磋商文件</w:t>
      </w:r>
      <w:r/>
    </w:p>
    <w:p>
      <w:pPr>
        <w:ind w:firstLine="480"/>
        <w:spacing w:line="360" w:lineRule="auto"/>
        <w:rPr>
          <w:rFonts w:hint="eastAsia" w:ascii="仿宋" w:hAnsi="仿宋" w:eastAsia="仿宋" w:cs="仿宋"/>
          <w:b/>
          <w:sz w:val="24"/>
          <w:szCs w:val="24"/>
        </w:rPr>
      </w:pPr>
      <w:r/>
      <w:bookmarkStart w:id="33" w:name="_Toc28359005"/>
      <w:r/>
      <w:bookmarkStart w:id="34" w:name="_Toc28359082"/>
      <w:r/>
      <w:bookmarkStart w:id="35" w:name="_Toc35393793"/>
      <w:r/>
      <w:bookmarkStart w:id="36" w:name="_Toc38985266"/>
      <w:r/>
      <w:bookmarkStart w:id="37" w:name="_Toc35393624"/>
      <w:r>
        <w:rPr>
          <w:rFonts w:hint="eastAsia" w:ascii="仿宋" w:hAnsi="仿宋" w:eastAsia="仿宋" w:cs="仿宋"/>
          <w:sz w:val="24"/>
          <w:szCs w:val="24"/>
        </w:rPr>
        <w:t xml:space="preserve">1.时间：自磋商文件公告发布之日起。</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2.方式：在“江苏政府采购网”自行免费下载磋商文件。</w:t>
      </w:r>
      <w:r/>
    </w:p>
    <w:p>
      <w:pPr>
        <w:ind w:firstLine="482"/>
        <w:keepLines/>
        <w:keepNext/>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四、提交</w:t>
      </w:r>
      <w:bookmarkEnd w:id="33"/>
      <w:r/>
      <w:bookmarkEnd w:id="34"/>
      <w:r>
        <w:rPr>
          <w:rFonts w:hint="eastAsia" w:ascii="仿宋" w:hAnsi="仿宋" w:eastAsia="仿宋" w:cs="仿宋"/>
          <w:b/>
          <w:bCs/>
          <w:sz w:val="24"/>
          <w:szCs w:val="24"/>
        </w:rPr>
        <w:t xml:space="preserve">响应文件截止时间</w:t>
      </w:r>
      <w:bookmarkEnd w:id="35"/>
      <w:r/>
      <w:bookmarkEnd w:id="36"/>
      <w:r/>
      <w:bookmarkEnd w:id="37"/>
      <w:r/>
      <w:r/>
    </w:p>
    <w:p>
      <w:pPr>
        <w:ind w:firstLine="480"/>
        <w:spacing w:line="360" w:lineRule="auto"/>
        <w:rPr>
          <w:rFonts w:hint="eastAsia" w:ascii="仿宋" w:hAnsi="仿宋" w:eastAsia="仿宋" w:cs="仿宋"/>
          <w:bCs/>
          <w:sz w:val="24"/>
          <w:szCs w:val="24"/>
          <w:highlight w:val="yellow"/>
        </w:rPr>
      </w:pPr>
      <w:r>
        <w:rPr>
          <w:rFonts w:hint="eastAsia" w:ascii="仿宋" w:hAnsi="仿宋" w:eastAsia="仿宋" w:cs="仿宋"/>
          <w:bCs/>
          <w:sz w:val="24"/>
          <w:szCs w:val="24"/>
          <w:u w:val="single"/>
        </w:rPr>
        <w:t xml:space="preserve">2026年</w:t>
      </w:r>
      <w:r>
        <w:rPr>
          <w:rFonts w:hint="eastAsia" w:ascii="仿宋" w:hAnsi="仿宋" w:eastAsia="仿宋" w:cs="仿宋"/>
          <w:bCs/>
          <w:sz w:val="24"/>
          <w:szCs w:val="24"/>
          <w:u w:val="single"/>
          <w:lang w:val="en-US" w:eastAsia="zh-CN"/>
        </w:rPr>
        <w:t xml:space="preserve">5</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7</w:t>
      </w:r>
      <w:r>
        <w:rPr>
          <w:rFonts w:hint="eastAsia" w:ascii="仿宋" w:hAnsi="仿宋" w:eastAsia="仿宋" w:cs="仿宋"/>
          <w:bCs/>
          <w:sz w:val="24"/>
          <w:szCs w:val="24"/>
          <w:u w:val="single"/>
        </w:rPr>
        <w:t xml:space="preserve">日9点30分</w:t>
      </w:r>
      <w:r>
        <w:rPr>
          <w:rFonts w:hint="eastAsia" w:ascii="仿宋" w:hAnsi="仿宋" w:eastAsia="仿宋" w:cs="仿宋"/>
          <w:bCs/>
          <w:sz w:val="24"/>
          <w:szCs w:val="24"/>
        </w:rPr>
        <w:t xml:space="preserve">（北京时间）。</w:t>
      </w:r>
      <w:r/>
    </w:p>
    <w:p>
      <w:pPr>
        <w:ind w:firstLine="482"/>
        <w:keepLines/>
        <w:keepNext/>
        <w:spacing w:line="360" w:lineRule="auto"/>
        <w:rPr>
          <w:rFonts w:hint="eastAsia" w:ascii="仿宋" w:hAnsi="仿宋" w:eastAsia="仿宋" w:cs="仿宋"/>
          <w:b/>
          <w:bCs/>
          <w:sz w:val="24"/>
          <w:szCs w:val="24"/>
        </w:rPr>
        <w:outlineLvl w:val="2"/>
      </w:pPr>
      <w:r/>
      <w:bookmarkStart w:id="38" w:name="_Toc35393625"/>
      <w:r/>
      <w:bookmarkStart w:id="39" w:name="_Toc28359084"/>
      <w:r/>
      <w:bookmarkStart w:id="40" w:name="_Toc28359007"/>
      <w:r/>
      <w:bookmarkStart w:id="41" w:name="_Toc35393794"/>
      <w:r/>
      <w:bookmarkStart w:id="42" w:name="_Toc38985267"/>
      <w:r>
        <w:rPr>
          <w:rFonts w:hint="eastAsia" w:ascii="仿宋" w:hAnsi="仿宋" w:eastAsia="仿宋" w:cs="仿宋"/>
          <w:b/>
          <w:bCs/>
          <w:sz w:val="24"/>
          <w:szCs w:val="24"/>
        </w:rPr>
        <w:t xml:space="preserve">五、公告期限</w:t>
      </w:r>
      <w:bookmarkEnd w:id="38"/>
      <w:r/>
      <w:bookmarkEnd w:id="39"/>
      <w:r/>
      <w:bookmarkEnd w:id="40"/>
      <w:r/>
      <w:bookmarkEnd w:id="41"/>
      <w:r/>
      <w:bookmarkEnd w:id="42"/>
      <w:r/>
      <w:r/>
    </w:p>
    <w:p>
      <w:pPr>
        <w:ind w:firstLine="480"/>
        <w:spacing w:line="360" w:lineRule="auto"/>
        <w:rPr>
          <w:rFonts w:hint="eastAsia" w:ascii="仿宋" w:hAnsi="仿宋" w:eastAsia="仿宋" w:cs="仿宋"/>
          <w:sz w:val="24"/>
          <w:szCs w:val="24"/>
        </w:rPr>
      </w:pPr>
      <w:r/>
      <w:bookmarkStart w:id="43" w:name="_Toc35393795"/>
      <w:r/>
      <w:bookmarkStart w:id="44" w:name="_Toc35393626"/>
      <w:r/>
      <w:bookmarkStart w:id="45" w:name="_Toc38985268"/>
      <w:r>
        <w:rPr>
          <w:rFonts w:hint="eastAsia" w:ascii="仿宋" w:hAnsi="仿宋" w:eastAsia="仿宋" w:cs="仿宋"/>
          <w:sz w:val="24"/>
          <w:szCs w:val="24"/>
        </w:rPr>
        <w:t xml:space="preserve">磋商公告及磋商文件公告期限为自本公告发布之日起3个工作日。</w:t>
      </w:r>
      <w:r/>
    </w:p>
    <w:p>
      <w:pPr>
        <w:ind w:firstLine="482"/>
        <w:keepLines/>
        <w:keepNext/>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六、其他补充事宜</w:t>
      </w:r>
      <w:bookmarkEnd w:id="43"/>
      <w:r/>
      <w:bookmarkEnd w:id="44"/>
      <w:r/>
      <w:bookmarkEnd w:id="45"/>
      <w:r/>
      <w:r/>
    </w:p>
    <w:p>
      <w:pPr>
        <w:ind w:firstLine="480"/>
        <w:spacing w:line="360" w:lineRule="auto"/>
        <w:rPr>
          <w:rFonts w:hint="eastAsia" w:ascii="仿宋" w:hAnsi="仿宋" w:eastAsia="仿宋" w:cs="仿宋"/>
          <w:sz w:val="24"/>
          <w:szCs w:val="24"/>
        </w:rPr>
      </w:pPr>
      <w:r/>
      <w:bookmarkStart w:id="46" w:name="_Toc35393627"/>
      <w:r/>
      <w:bookmarkStart w:id="47" w:name="_Toc38985269"/>
      <w:r/>
      <w:bookmarkStart w:id="48" w:name="_Toc28359008"/>
      <w:r/>
      <w:bookmarkStart w:id="49" w:name="_Toc28359085"/>
      <w:r/>
      <w:bookmarkStart w:id="50" w:name="_Toc35393796"/>
      <w:r>
        <w:rPr>
          <w:rFonts w:hint="eastAsia" w:ascii="仿宋" w:hAnsi="仿宋" w:eastAsia="仿宋" w:cs="仿宋"/>
          <w:sz w:val="24"/>
          <w:szCs w:val="24"/>
        </w:rPr>
        <w:t xml:space="preserve">1.</w:t>
      </w:r>
      <w:r>
        <w:rPr>
          <w:rFonts w:hint="eastAsia" w:ascii="仿宋" w:hAnsi="仿宋" w:eastAsia="仿宋" w:cs="仿宋"/>
          <w:bCs/>
          <w:sz w:val="24"/>
          <w:szCs w:val="24"/>
        </w:rPr>
        <w:t xml:space="preserve">本次磋商</w:t>
      </w:r>
      <w:r>
        <w:rPr>
          <w:rFonts w:hint="eastAsia" w:ascii="仿宋" w:hAnsi="仿宋" w:eastAsia="仿宋" w:cs="仿宋"/>
          <w:sz w:val="24"/>
          <w:szCs w:val="24"/>
        </w:rPr>
        <w:t xml:space="preserve">不收取磋商保证金。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2.现场勘察及答疑：本项目不组织集中勘察及答疑，供应商如对采购需求有疑问，请咨询采购单位联系人。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1047"/>
          <w:rFonts w:hint="eastAsia" w:ascii="仿宋" w:hAnsi="仿宋" w:eastAsia="仿宋" w:cs="仿宋"/>
          <w:sz w:val="24"/>
          <w:szCs w:val="24"/>
        </w:rPr>
        <w:t xml:space="preserve">下载地址</w:t>
      </w:r>
      <w:r>
        <w:rPr>
          <w:rStyle w:val="1047"/>
          <w:rFonts w:hint="eastAsia" w:ascii="仿宋" w:hAnsi="仿宋" w:eastAsia="仿宋" w:cs="仿宋"/>
          <w:sz w:val="24"/>
          <w:szCs w:val="24"/>
        </w:rPr>
        <w:fldChar w:fldCharType="end"/>
      </w:r>
      <w:r>
        <w:rPr>
          <w:rFonts w:hint="eastAsia" w:ascii="仿宋" w:hAnsi="仿宋" w:eastAsia="仿宋" w:cs="仿宋"/>
          <w:sz w:val="24"/>
          <w:szCs w:val="24"/>
        </w:rPr>
        <w:t xml:space="preserve">（CTRL+鼠标左键）。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4.有关本次采购的事项若存在变动或修改，请及时关注“江苏政府采购网”（www.ccgp-jiangsu.gov.cn）更正公告。</w:t>
      </w:r>
      <w:r/>
    </w:p>
    <w:p>
      <w:pPr>
        <w:ind w:firstLine="482"/>
        <w:keepLines/>
        <w:keepNext/>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七、本次磋商联系方式</w:t>
      </w:r>
      <w:bookmarkEnd w:id="46"/>
      <w:r/>
      <w:bookmarkEnd w:id="47"/>
      <w:r/>
      <w:bookmarkEnd w:id="48"/>
      <w:r/>
      <w:bookmarkEnd w:id="49"/>
      <w:r/>
      <w:bookmarkEnd w:id="50"/>
      <w:r/>
      <w:r/>
    </w:p>
    <w:p>
      <w:pPr>
        <w:ind w:firstLine="480"/>
        <w:spacing w:line="360" w:lineRule="auto"/>
        <w:rPr>
          <w:rFonts w:hint="eastAsia" w:ascii="仿宋" w:hAnsi="仿宋" w:eastAsia="仿宋" w:cs="仿宋"/>
          <w:sz w:val="24"/>
          <w:szCs w:val="24"/>
        </w:rPr>
      </w:pPr>
      <w:r/>
      <w:bookmarkStart w:id="51" w:name="_Toc28359010"/>
      <w:r/>
      <w:bookmarkStart w:id="52" w:name="_Toc28359087"/>
      <w:r>
        <w:rPr>
          <w:rFonts w:hint="eastAsia" w:ascii="仿宋" w:hAnsi="仿宋" w:eastAsia="仿宋" w:cs="仿宋"/>
          <w:sz w:val="24"/>
          <w:szCs w:val="24"/>
        </w:rPr>
        <w:t xml:space="preserve">1.采购人信息</w:t>
      </w:r>
      <w:r/>
    </w:p>
    <w:p>
      <w:pPr>
        <w:ind w:firstLine="480"/>
        <w:spacing w:line="360" w:lineRule="auto"/>
        <w:rPr>
          <w:rFonts w:hint="eastAsia" w:ascii="仿宋" w:hAnsi="仿宋" w:eastAsia="仿宋" w:cs="仿宋"/>
          <w:sz w:val="24"/>
          <w:szCs w:val="24"/>
        </w:rPr>
      </w:pPr>
      <w:r/>
      <w:bookmarkStart w:id="53" w:name="_Toc28359086"/>
      <w:r/>
      <w:bookmarkStart w:id="54" w:name="_Toc28359009"/>
      <w:r>
        <w:rPr>
          <w:rFonts w:hint="eastAsia" w:ascii="仿宋" w:hAnsi="仿宋" w:eastAsia="仿宋" w:cs="仿宋"/>
          <w:sz w:val="24"/>
          <w:szCs w:val="24"/>
        </w:rPr>
        <w:t xml:space="preserve">名  称：　南京市浦口区中医院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w:t>
      </w:r>
      <w:r>
        <w:rPr>
          <w:rFonts w:hint="eastAsia" w:ascii="仿宋" w:hAnsi="仿宋" w:eastAsia="仿宋" w:cs="仿宋"/>
          <w:sz w:val="24"/>
          <w:szCs w:val="24"/>
          <w:lang w:val="zh-CN"/>
        </w:rPr>
        <w:t xml:space="preserve">南京市浦口区江浦街道公园北路18号</w:t>
      </w:r>
      <w:r>
        <w:rPr>
          <w:rFonts w:hint="eastAsia" w:ascii="仿宋" w:hAnsi="仿宋" w:eastAsia="仿宋" w:cs="仿宋"/>
          <w:sz w:val="24"/>
          <w:szCs w:val="24"/>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　汪科长</w:t>
      </w:r>
      <w:r>
        <w:rPr>
          <w:rFonts w:hint="eastAsia" w:ascii="仿宋" w:hAnsi="仿宋" w:eastAsia="仿宋" w:cs="仿宋"/>
          <w:sz w:val="24"/>
          <w:szCs w:val="24"/>
          <w:lang w:val="zh-CN"/>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2.南京市公共资源交易中心浦口分中心信息</w:t>
      </w:r>
      <w:bookmarkEnd w:id="53"/>
      <w:r/>
      <w:bookmarkEnd w:id="54"/>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lang w:val="zh-CN"/>
        </w:rPr>
        <w:t xml:space="preserve">南京市浦口区江浦街道象山路4号浦口市民中心 　</w:t>
      </w:r>
      <w:r>
        <w:rPr>
          <w:rFonts w:hint="eastAsia" w:ascii="仿宋" w:hAnsi="仿宋" w:eastAsia="仿宋" w:cs="仿宋"/>
          <w:sz w:val="24"/>
          <w:szCs w:val="24"/>
        </w:rPr>
        <w:t xml:space="preserve">　　　　　　　　　</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lang w:val="en-US" w:eastAsia="zh-CN"/>
        </w:rPr>
        <w:t xml:space="preserve">戴霜霜</w:t>
      </w:r>
      <w:r/>
    </w:p>
    <w:p>
      <w:pPr>
        <w:ind w:firstLine="480"/>
        <w:spacing w:line="360" w:lineRule="auto"/>
        <w:rPr>
          <w:rFonts w:ascii="黑体" w:hAnsi="Arial" w:eastAsia="黑体" w:cs="Arial"/>
          <w:b/>
          <w:bCs/>
          <w:sz w:val="44"/>
          <w:szCs w:val="44"/>
        </w:rPr>
      </w:pPr>
      <w:r>
        <w:rPr>
          <w:rFonts w:hint="eastAsia" w:ascii="仿宋" w:hAnsi="仿宋" w:eastAsia="仿宋" w:cs="仿宋"/>
          <w:color w:val="auto"/>
          <w:sz w:val="24"/>
          <w:szCs w:val="24"/>
        </w:rPr>
        <w:t xml:space="preserve">联系电话：025-</w:t>
      </w:r>
      <w:bookmarkEnd w:id="51"/>
      <w:r/>
      <w:bookmarkEnd w:id="52"/>
      <w:r/>
      <w:bookmarkStart w:id="55" w:name="_Toc120614211"/>
      <w:r>
        <w:rPr>
          <w:rFonts w:hint="eastAsia" w:ascii="仿宋" w:hAnsi="仿宋" w:eastAsia="仿宋" w:cs="仿宋"/>
          <w:color w:val="auto"/>
          <w:sz w:val="24"/>
          <w:szCs w:val="24"/>
        </w:rPr>
        <w:t xml:space="preserve">69659</w:t>
      </w:r>
      <w:r>
        <w:rPr>
          <w:rFonts w:hint="eastAsia" w:ascii="仿宋" w:hAnsi="仿宋" w:eastAsia="仿宋" w:cs="仿宋"/>
          <w:color w:val="auto"/>
          <w:sz w:val="24"/>
          <w:szCs w:val="24"/>
          <w:lang w:val="en-US" w:eastAsia="zh-CN"/>
        </w:rPr>
        <w:t xml:space="preserve">047</w:t>
      </w:r>
      <w:r>
        <w:rPr>
          <w:rFonts w:hint="eastAsia" w:ascii="黑体" w:hAnsi="Arial" w:eastAsia="黑体" w:cs="Arial"/>
          <w:b/>
          <w:bCs/>
          <w:sz w:val="44"/>
          <w:szCs w:val="44"/>
        </w:rPr>
        <w:br w:type="page" w:clear="all"/>
      </w:r>
      <w:r/>
    </w:p>
    <w:p>
      <w:pPr>
        <w:jc w:val="center"/>
        <w:spacing w:line="360" w:lineRule="auto"/>
        <w:rPr>
          <w:rFonts w:hint="eastAsia" w:ascii="黑体" w:hAnsi="黑体" w:eastAsia="黑体" w:cs="黑体"/>
          <w:sz w:val="44"/>
          <w:szCs w:val="44"/>
        </w:rPr>
      </w:pPr>
      <w:r/>
      <w:bookmarkStart w:id="56" w:name="_Toc26819"/>
      <w:r>
        <w:rPr>
          <w:rStyle w:val="854"/>
          <w:rFonts w:hint="eastAsia" w:ascii="黑体" w:hAnsi="黑体" w:eastAsia="黑体" w:cs="黑体"/>
        </w:rPr>
        <w:t xml:space="preserve">第二章  </w:t>
      </w:r>
      <w:bookmarkEnd w:id="11"/>
      <w:r/>
      <w:bookmarkEnd w:id="12"/>
      <w:r/>
      <w:bookmarkEnd w:id="13"/>
      <w:r/>
      <w:bookmarkEnd w:id="14"/>
      <w:r/>
      <w:bookmarkEnd w:id="15"/>
      <w:r/>
      <w:bookmarkEnd w:id="55"/>
      <w:r>
        <w:rPr>
          <w:rStyle w:val="854"/>
          <w:rFonts w:hint="eastAsia" w:ascii="黑体" w:hAnsi="黑体" w:eastAsia="黑体" w:cs="黑体"/>
        </w:rPr>
        <w:t xml:space="preserve">供应商须知</w:t>
      </w:r>
      <w:bookmarkEnd w:id="56"/>
      <w:r/>
      <w:r/>
    </w:p>
    <w:p>
      <w:pPr>
        <w:ind w:firstLine="480"/>
        <w:jc w:val="left"/>
        <w:spacing w:line="500" w:lineRule="exact"/>
        <w:widowControl/>
        <w:rPr>
          <w:rFonts w:hint="eastAsia" w:ascii="仿宋" w:hAnsi="仿宋" w:eastAsia="仿宋" w:cs="仿宋"/>
          <w:sz w:val="24"/>
          <w:szCs w:val="24"/>
        </w:rPr>
      </w:pPr>
      <w:r/>
      <w:bookmarkStart w:id="57" w:name="_Toc513029203"/>
      <w:r/>
      <w:bookmarkStart w:id="58" w:name="_Toc120614214"/>
      <w:r/>
      <w:bookmarkStart w:id="59" w:name="_Toc20823275"/>
      <w:r/>
      <w:bookmarkStart w:id="60" w:name="_Toc16938519"/>
      <w:r/>
      <w:bookmarkStart w:id="61" w:name="_Toc513029242"/>
      <w:r/>
      <w:bookmarkStart w:id="62" w:name="_Toc479757207"/>
      <w:r/>
      <w:bookmarkStart w:id="63" w:name="_Toc16938558"/>
      <w:r/>
      <w:bookmarkStart w:id="64" w:name="_Toc120614221"/>
      <w:r/>
      <w:bookmarkStart w:id="65" w:name="_Toc20823314"/>
      <w:r>
        <w:rPr>
          <w:rFonts w:hint="eastAsia" w:ascii="仿宋" w:hAnsi="仿宋" w:eastAsia="仿宋" w:cs="仿宋"/>
          <w:sz w:val="24"/>
          <w:szCs w:val="24"/>
        </w:rPr>
        <w:t xml:space="preserve">一、总则</w:t>
      </w:r>
      <w:bookmarkEnd w:id="57"/>
      <w:r/>
      <w:bookmarkEnd w:id="58"/>
      <w:r/>
      <w:bookmarkEnd w:id="59"/>
      <w:r/>
      <w:bookmarkEnd w:id="60"/>
      <w:r/>
      <w:r/>
    </w:p>
    <w:p>
      <w:pPr>
        <w:ind w:firstLine="480"/>
        <w:jc w:val="left"/>
        <w:spacing w:line="500" w:lineRule="exact"/>
        <w:widowControl/>
        <w:rPr>
          <w:rFonts w:hint="eastAsia" w:ascii="仿宋" w:hAnsi="仿宋" w:eastAsia="仿宋" w:cs="仿宋"/>
          <w:sz w:val="24"/>
          <w:szCs w:val="24"/>
        </w:rPr>
      </w:pPr>
      <w:r/>
      <w:bookmarkStart w:id="66" w:name="_Hlt16619475"/>
      <w:r/>
      <w:bookmarkEnd w:id="66"/>
      <w:r/>
      <w:bookmarkStart w:id="67" w:name="_Toc458694821"/>
      <w:r/>
      <w:bookmarkStart w:id="68" w:name="_Toc513029204"/>
      <w:r/>
      <w:bookmarkStart w:id="69" w:name="_Toc16938520"/>
      <w:r/>
      <w:bookmarkStart w:id="70" w:name="_Toc20823276"/>
      <w:r>
        <w:rPr>
          <w:rFonts w:hint="eastAsia" w:ascii="仿宋" w:hAnsi="仿宋" w:eastAsia="仿宋" w:cs="仿宋"/>
          <w:sz w:val="24"/>
          <w:szCs w:val="24"/>
        </w:rPr>
        <w:t xml:space="preserve">1</w:t>
      </w:r>
      <w:bookmarkEnd w:id="67"/>
      <w:r>
        <w:rPr>
          <w:rFonts w:hint="eastAsia" w:ascii="仿宋" w:hAnsi="仿宋" w:eastAsia="仿宋" w:cs="仿宋"/>
          <w:sz w:val="24"/>
          <w:szCs w:val="24"/>
        </w:rPr>
        <w:t xml:space="preserve">.采购方式</w:t>
      </w:r>
      <w:bookmarkEnd w:id="68"/>
      <w:r/>
      <w:bookmarkEnd w:id="69"/>
      <w:r/>
      <w:bookmarkEnd w:id="70"/>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1.1本次政府采购活动采取竞争性磋商(以下简称“磋商”)方式，本磋商文件仅适用于磋商公告中所述项目。</w:t>
      </w:r>
      <w:r/>
    </w:p>
    <w:p>
      <w:pPr>
        <w:ind w:firstLine="480"/>
        <w:jc w:val="left"/>
        <w:spacing w:line="500" w:lineRule="exact"/>
        <w:widowControl/>
        <w:rPr>
          <w:rFonts w:hint="eastAsia" w:ascii="仿宋" w:hAnsi="仿宋" w:eastAsia="仿宋" w:cs="仿宋"/>
          <w:sz w:val="24"/>
          <w:szCs w:val="24"/>
        </w:rPr>
      </w:pPr>
      <w:r/>
      <w:bookmarkStart w:id="71" w:name="_Toc20823277"/>
      <w:r/>
      <w:bookmarkStart w:id="72" w:name="_Toc513029205"/>
      <w:r/>
      <w:bookmarkStart w:id="73" w:name="_Toc16938521"/>
      <w:r>
        <w:rPr>
          <w:rFonts w:hint="eastAsia" w:ascii="仿宋" w:hAnsi="仿宋" w:eastAsia="仿宋" w:cs="仿宋"/>
          <w:sz w:val="24"/>
          <w:szCs w:val="24"/>
        </w:rPr>
        <w:t xml:space="preserve">2.合格的</w:t>
      </w:r>
      <w:bookmarkEnd w:id="71"/>
      <w:r/>
      <w:bookmarkEnd w:id="72"/>
      <w:r/>
      <w:bookmarkEnd w:id="73"/>
      <w:r>
        <w:rPr>
          <w:rFonts w:hint="eastAsia" w:ascii="仿宋" w:hAnsi="仿宋" w:eastAsia="仿宋" w:cs="仿宋"/>
          <w:sz w:val="24"/>
          <w:szCs w:val="24"/>
        </w:rPr>
        <w:t xml:space="preserve">供应商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2.1满足磋商公告对供应商资格要求的规定。</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2.2 满足本磋商文件规定的实质性要求和条件。</w:t>
      </w:r>
      <w:r/>
    </w:p>
    <w:p>
      <w:pPr>
        <w:ind w:firstLine="480"/>
        <w:jc w:val="left"/>
        <w:spacing w:line="500" w:lineRule="exact"/>
        <w:widowControl/>
        <w:rPr>
          <w:rFonts w:hint="eastAsia" w:ascii="仿宋" w:hAnsi="仿宋" w:eastAsia="仿宋" w:cs="仿宋"/>
          <w:sz w:val="24"/>
          <w:szCs w:val="24"/>
        </w:rPr>
      </w:pPr>
      <w:r/>
      <w:bookmarkStart w:id="74" w:name="_Toc20823278"/>
      <w:r/>
      <w:bookmarkStart w:id="75" w:name="_Toc16938522"/>
      <w:r/>
      <w:bookmarkStart w:id="76" w:name="_Toc513029206"/>
      <w:r>
        <w:rPr>
          <w:rFonts w:hint="eastAsia" w:ascii="仿宋" w:hAnsi="仿宋" w:eastAsia="仿宋" w:cs="仿宋"/>
          <w:sz w:val="24"/>
          <w:szCs w:val="24"/>
        </w:rPr>
        <w:t xml:space="preserve">3.适用法律</w:t>
      </w:r>
      <w:bookmarkEnd w:id="74"/>
      <w:r/>
      <w:bookmarkEnd w:id="75"/>
      <w:r/>
      <w:bookmarkEnd w:id="76"/>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3.1 本次磋商及由此产生的合同受中华人民共和国有关的法律法规制约和保护。</w:t>
      </w:r>
      <w:r/>
    </w:p>
    <w:p>
      <w:pPr>
        <w:ind w:firstLine="480"/>
        <w:jc w:val="left"/>
        <w:spacing w:line="500" w:lineRule="exact"/>
        <w:widowControl/>
        <w:rPr>
          <w:rFonts w:hint="eastAsia" w:ascii="仿宋" w:hAnsi="仿宋" w:eastAsia="仿宋" w:cs="仿宋"/>
          <w:sz w:val="24"/>
          <w:szCs w:val="24"/>
        </w:rPr>
      </w:pPr>
      <w:r/>
      <w:bookmarkStart w:id="77" w:name="_Toc513029207"/>
      <w:r/>
      <w:bookmarkStart w:id="78" w:name="_Toc20823279"/>
      <w:r/>
      <w:bookmarkStart w:id="79" w:name="_Toc16938523"/>
      <w:r/>
      <w:bookmarkStart w:id="80" w:name="_Toc462564067"/>
      <w:r>
        <w:rPr>
          <w:rFonts w:hint="eastAsia" w:ascii="仿宋" w:hAnsi="仿宋" w:eastAsia="仿宋" w:cs="仿宋"/>
          <w:sz w:val="24"/>
          <w:szCs w:val="24"/>
        </w:rPr>
        <w:t xml:space="preserve">4.磋商费用</w:t>
      </w:r>
      <w:bookmarkEnd w:id="77"/>
      <w:r/>
      <w:bookmarkEnd w:id="78"/>
      <w:r/>
      <w:bookmarkEnd w:id="79"/>
      <w:r/>
      <w:bookmarkEnd w:id="80"/>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4.1供应商应自行承担所有与参加磋商有关的费用，无论磋商过程中的做法和结果如何，交易中心在任何情况下均无义务和责任承担这些费用。</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4.2本次磋商交易中心和采购人不收取采购文件工本费与成交服务费。</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5.磋商文件的约束力</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5.1供应商一旦参加本项目采购活动，即被认为接受了本磋商文件的规定和约束。</w:t>
      </w:r>
      <w:r/>
    </w:p>
    <w:p>
      <w:pPr>
        <w:ind w:firstLine="480"/>
        <w:jc w:val="left"/>
        <w:spacing w:line="500" w:lineRule="exact"/>
        <w:widowControl/>
        <w:rPr>
          <w:rFonts w:hint="eastAsia" w:ascii="仿宋" w:hAnsi="仿宋" w:eastAsia="仿宋" w:cs="仿宋"/>
          <w:sz w:val="24"/>
          <w:szCs w:val="24"/>
        </w:rPr>
      </w:pPr>
      <w:r/>
      <w:bookmarkStart w:id="81" w:name="_Toc513029209"/>
      <w:r/>
      <w:bookmarkStart w:id="82" w:name="_Toc120614215"/>
      <w:r/>
      <w:bookmarkStart w:id="83" w:name="_Toc16938525"/>
      <w:r/>
      <w:bookmarkStart w:id="84" w:name="_Toc20823281"/>
      <w:r>
        <w:rPr>
          <w:rFonts w:hint="eastAsia" w:ascii="仿宋" w:hAnsi="仿宋" w:eastAsia="仿宋" w:cs="仿宋"/>
          <w:sz w:val="24"/>
          <w:szCs w:val="24"/>
        </w:rPr>
        <w:t xml:space="preserve">二、</w:t>
      </w:r>
      <w:bookmarkEnd w:id="81"/>
      <w:r/>
      <w:bookmarkEnd w:id="82"/>
      <w:r/>
      <w:bookmarkEnd w:id="83"/>
      <w:r/>
      <w:bookmarkEnd w:id="84"/>
      <w:r>
        <w:rPr>
          <w:rFonts w:hint="eastAsia" w:ascii="仿宋" w:hAnsi="仿宋" w:eastAsia="仿宋" w:cs="仿宋"/>
          <w:sz w:val="24"/>
          <w:szCs w:val="24"/>
        </w:rPr>
        <w:t xml:space="preserve">磋商文件</w:t>
      </w:r>
      <w:r/>
    </w:p>
    <w:p>
      <w:pPr>
        <w:ind w:firstLine="480"/>
        <w:jc w:val="left"/>
        <w:spacing w:line="500" w:lineRule="exact"/>
        <w:widowControl/>
        <w:rPr>
          <w:rFonts w:hint="eastAsia" w:ascii="仿宋" w:hAnsi="仿宋" w:eastAsia="仿宋" w:cs="仿宋"/>
          <w:sz w:val="24"/>
          <w:szCs w:val="24"/>
        </w:rPr>
      </w:pPr>
      <w:r/>
      <w:bookmarkStart w:id="85" w:name="_Toc20823282"/>
      <w:r/>
      <w:bookmarkStart w:id="86" w:name="_Toc513029210"/>
      <w:r/>
      <w:bookmarkStart w:id="87" w:name="_Toc16938526"/>
      <w:r>
        <w:rPr>
          <w:rFonts w:hint="eastAsia" w:ascii="仿宋" w:hAnsi="仿宋" w:eastAsia="仿宋" w:cs="仿宋"/>
          <w:sz w:val="24"/>
          <w:szCs w:val="24"/>
        </w:rPr>
        <w:t xml:space="preserve">6.磋商文件构成</w:t>
      </w:r>
      <w:bookmarkEnd w:id="85"/>
      <w:r/>
      <w:bookmarkEnd w:id="86"/>
      <w:r/>
      <w:bookmarkEnd w:id="87"/>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6.1磋商文件由以下部分组成：</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供应商应仔细检查磋商文件是否齐全，如有缺漏请立即与交易中心联系解决。</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00" w:lineRule="exact"/>
        <w:widowControl/>
        <w:rPr>
          <w:rFonts w:hint="eastAsia" w:ascii="仿宋" w:hAnsi="仿宋" w:eastAsia="仿宋" w:cs="仿宋"/>
          <w:sz w:val="24"/>
          <w:szCs w:val="24"/>
        </w:rPr>
      </w:pPr>
      <w:r/>
      <w:bookmarkStart w:id="88" w:name="_Toc16938527"/>
      <w:r/>
      <w:bookmarkStart w:id="89" w:name="_Toc513029211"/>
      <w:r/>
      <w:bookmarkStart w:id="90" w:name="_Toc462564070"/>
      <w:r/>
      <w:bookmarkStart w:id="91" w:name="_Toc20823283"/>
      <w:r>
        <w:rPr>
          <w:rFonts w:hint="eastAsia" w:ascii="仿宋" w:hAnsi="仿宋" w:eastAsia="仿宋" w:cs="仿宋"/>
          <w:sz w:val="24"/>
          <w:szCs w:val="24"/>
        </w:rPr>
        <w:t xml:space="preserve">7.磋商文件的澄清</w:t>
      </w:r>
      <w:bookmarkEnd w:id="88"/>
      <w:r/>
      <w:bookmarkEnd w:id="89"/>
      <w:r/>
      <w:bookmarkEnd w:id="90"/>
      <w:r/>
      <w:bookmarkEnd w:id="91"/>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7.1 任何要求对磋商文件进行澄清的供应商，应在磋商截止期五日前按磋商公告中的通讯地址，以书面形式通知交易中心。</w:t>
      </w:r>
      <w:r/>
    </w:p>
    <w:p>
      <w:pPr>
        <w:ind w:firstLine="480"/>
        <w:jc w:val="left"/>
        <w:spacing w:line="500" w:lineRule="exact"/>
        <w:widowControl/>
        <w:rPr>
          <w:rFonts w:hint="eastAsia" w:ascii="仿宋" w:hAnsi="仿宋" w:eastAsia="仿宋" w:cs="仿宋"/>
          <w:sz w:val="24"/>
          <w:szCs w:val="24"/>
        </w:rPr>
      </w:pPr>
      <w:r/>
      <w:bookmarkStart w:id="92" w:name="_Toc462564071"/>
      <w:r/>
      <w:bookmarkStart w:id="93" w:name="_Toc20823284"/>
      <w:r/>
      <w:bookmarkStart w:id="94" w:name="_Toc16938528"/>
      <w:r/>
      <w:bookmarkStart w:id="95" w:name="_Toc513029212"/>
      <w:r>
        <w:rPr>
          <w:rFonts w:hint="eastAsia" w:ascii="仿宋" w:hAnsi="仿宋" w:eastAsia="仿宋" w:cs="仿宋"/>
          <w:sz w:val="24"/>
          <w:szCs w:val="24"/>
        </w:rPr>
        <w:t xml:space="preserve">8.磋商文件的澄清和修改</w:t>
      </w:r>
      <w:bookmarkEnd w:id="92"/>
      <w:r/>
      <w:bookmarkEnd w:id="93"/>
      <w:r/>
      <w:bookmarkEnd w:id="94"/>
      <w:r/>
      <w:bookmarkEnd w:id="95"/>
      <w:r/>
      <w:r/>
    </w:p>
    <w:p>
      <w:pPr>
        <w:ind w:firstLine="480"/>
        <w:jc w:val="left"/>
        <w:spacing w:line="500" w:lineRule="exact"/>
        <w:widowControl/>
        <w:rPr>
          <w:rFonts w:hint="eastAsia" w:ascii="仿宋" w:hAnsi="仿宋" w:eastAsia="仿宋" w:cs="仿宋"/>
          <w:sz w:val="24"/>
          <w:szCs w:val="24"/>
        </w:rPr>
      </w:pPr>
      <w:r/>
      <w:bookmarkStart w:id="96" w:name="_Toc20823285"/>
      <w:r/>
      <w:bookmarkStart w:id="97" w:name="_Toc16938529"/>
      <w:r/>
      <w:bookmarkStart w:id="98" w:name="_Toc462564072"/>
      <w:r/>
      <w:bookmarkStart w:id="99" w:name="_Toc513029213"/>
      <w:r/>
      <w:bookmarkStart w:id="100" w:name="_Toc120614216"/>
      <w:r>
        <w:rPr>
          <w:rFonts w:hint="eastAsia" w:ascii="仿宋" w:hAnsi="仿宋" w:eastAsia="仿宋" w:cs="仿宋"/>
          <w:sz w:val="24"/>
          <w:szCs w:val="24"/>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8.3交易中心有权按照法定的要求推迟提交响应文件截止时间，并在原公告媒体发布更正公告。</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三、响应文件的编制</w:t>
      </w:r>
      <w:bookmarkEnd w:id="96"/>
      <w:r/>
      <w:bookmarkEnd w:id="97"/>
      <w:r/>
      <w:bookmarkEnd w:id="98"/>
      <w:r/>
      <w:bookmarkEnd w:id="99"/>
      <w:r/>
      <w:bookmarkEnd w:id="100"/>
      <w:r/>
      <w:r/>
    </w:p>
    <w:p>
      <w:pPr>
        <w:ind w:firstLine="480"/>
        <w:jc w:val="left"/>
        <w:spacing w:line="500" w:lineRule="exact"/>
        <w:widowControl/>
        <w:rPr>
          <w:rFonts w:hint="eastAsia" w:ascii="仿宋" w:hAnsi="仿宋" w:eastAsia="仿宋" w:cs="仿宋"/>
          <w:sz w:val="24"/>
          <w:szCs w:val="24"/>
        </w:rPr>
      </w:pPr>
      <w:r/>
      <w:bookmarkStart w:id="101" w:name="_Toc513029214"/>
      <w:r/>
      <w:bookmarkStart w:id="102" w:name="_Toc462564073"/>
      <w:r/>
      <w:bookmarkStart w:id="103" w:name="_Toc20823286"/>
      <w:r/>
      <w:bookmarkStart w:id="104" w:name="_Toc16938530"/>
      <w:r>
        <w:rPr>
          <w:rFonts w:hint="eastAsia" w:ascii="仿宋" w:hAnsi="仿宋" w:eastAsia="仿宋" w:cs="仿宋"/>
          <w:sz w:val="24"/>
          <w:szCs w:val="24"/>
        </w:rPr>
        <w:t xml:space="preserve">9.响应文件的语言及度量衡单位</w:t>
      </w:r>
      <w:bookmarkEnd w:id="101"/>
      <w:r/>
      <w:bookmarkEnd w:id="102"/>
      <w:r/>
      <w:bookmarkEnd w:id="103"/>
      <w:r/>
      <w:bookmarkEnd w:id="104"/>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9.1供应商提交的响应文件以及供应商与交易中心就有关磋商的所有来往通知、函件和文件均应使用简体中文。</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9.2 除技术性能另有规定外，响应文件所使用的度量衡单位，均须采用国家法定计量单位。</w:t>
      </w:r>
      <w:r/>
    </w:p>
    <w:p>
      <w:pPr>
        <w:ind w:firstLine="480"/>
        <w:jc w:val="left"/>
        <w:spacing w:line="500" w:lineRule="exact"/>
        <w:widowControl/>
        <w:rPr>
          <w:rFonts w:hint="eastAsia" w:ascii="仿宋" w:hAnsi="仿宋" w:eastAsia="仿宋" w:cs="仿宋"/>
          <w:sz w:val="24"/>
          <w:szCs w:val="24"/>
        </w:rPr>
      </w:pPr>
      <w:r/>
      <w:bookmarkStart w:id="105" w:name="_Toc462564074"/>
      <w:r/>
      <w:bookmarkStart w:id="106" w:name="_Toc16938531"/>
      <w:r/>
      <w:bookmarkStart w:id="107" w:name="_Toc513029215"/>
      <w:r/>
      <w:bookmarkStart w:id="108" w:name="_Toc20823287"/>
      <w:r>
        <w:rPr>
          <w:rFonts w:hint="eastAsia" w:ascii="仿宋" w:hAnsi="仿宋" w:eastAsia="仿宋" w:cs="仿宋"/>
          <w:sz w:val="24"/>
          <w:szCs w:val="24"/>
        </w:rPr>
        <w:t xml:space="preserve">10.响应文件构成</w:t>
      </w:r>
      <w:bookmarkEnd w:id="105"/>
      <w:r/>
      <w:bookmarkEnd w:id="106"/>
      <w:r/>
      <w:bookmarkEnd w:id="107"/>
      <w:r/>
      <w:bookmarkEnd w:id="108"/>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10.1供应商编写的响应文件应包括资格证明文件、符合性证明文件、磋商报价明细表、响应及偏离表、其他证明文件、磋商响应函等部分。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10.2 如标书制作工具中格式和内容与“江苏政府采购网”发布的磋商文件不一致，以“江苏政府采购网”发布的磋商文件为准。</w:t>
      </w:r>
      <w:r/>
    </w:p>
    <w:p>
      <w:pPr>
        <w:ind w:firstLine="480"/>
        <w:jc w:val="left"/>
        <w:spacing w:line="500" w:lineRule="exact"/>
        <w:widowControl/>
        <w:rPr>
          <w:rFonts w:hint="eastAsia" w:ascii="仿宋" w:hAnsi="仿宋" w:eastAsia="仿宋" w:cs="仿宋"/>
          <w:sz w:val="24"/>
          <w:szCs w:val="24"/>
        </w:rPr>
      </w:pPr>
      <w:r/>
      <w:bookmarkStart w:id="109" w:name="_Hlt26670360"/>
      <w:r/>
      <w:bookmarkEnd w:id="109"/>
      <w:r/>
      <w:bookmarkStart w:id="110" w:name="_Hlt26954838"/>
      <w:r/>
      <w:bookmarkEnd w:id="110"/>
      <w:r/>
      <w:bookmarkStart w:id="111" w:name="_Hlt26668975"/>
      <w:r/>
      <w:bookmarkEnd w:id="111"/>
      <w:r/>
      <w:bookmarkStart w:id="112" w:name="_Toc513029219"/>
      <w:r/>
      <w:bookmarkStart w:id="113" w:name="_Toc49090507"/>
      <w:r/>
      <w:bookmarkStart w:id="114" w:name="_Toc14577354"/>
      <w:r/>
      <w:bookmarkStart w:id="115" w:name="_Toc513029216"/>
      <w:r/>
      <w:bookmarkStart w:id="116" w:name="_Toc49090509"/>
      <w:r/>
      <w:bookmarkStart w:id="117" w:name="_Toc14577357"/>
      <w:r/>
      <w:bookmarkStart w:id="118" w:name="_Toc49090508"/>
      <w:r/>
      <w:bookmarkStart w:id="119" w:name="_Toc14577355"/>
      <w:r>
        <w:rPr>
          <w:rFonts w:hint="eastAsia" w:ascii="仿宋" w:hAnsi="仿宋" w:eastAsia="仿宋" w:cs="仿宋"/>
          <w:sz w:val="24"/>
          <w:szCs w:val="24"/>
        </w:rPr>
        <w:t xml:space="preserve">11.证明磋商响应标的符合磋商文件规定的文件</w:t>
      </w:r>
      <w:bookmarkEnd w:id="112"/>
      <w:r/>
      <w:bookmarkEnd w:id="113"/>
      <w:r/>
      <w:bookmarkEnd w:id="114"/>
      <w:r/>
      <w:bookmarkEnd w:id="115"/>
      <w:r/>
      <w:bookmarkEnd w:id="116"/>
      <w:r/>
      <w:bookmarkEnd w:id="117"/>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11.1供应商应按照法律、法规、规章和规范性文件以及磋商文件要求提交证明文件，证明其响应标的符合磋商文件规定。</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18"/>
      <w:r/>
      <w:bookmarkEnd w:id="119"/>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12.分项报价表（如有）</w:t>
      </w:r>
      <w:r/>
    </w:p>
    <w:p>
      <w:pPr>
        <w:ind w:firstLine="480"/>
        <w:jc w:val="left"/>
        <w:spacing w:line="500" w:lineRule="exact"/>
        <w:widowControl/>
        <w:rPr>
          <w:rFonts w:hint="eastAsia" w:ascii="仿宋" w:hAnsi="仿宋" w:eastAsia="仿宋" w:cs="仿宋"/>
          <w:sz w:val="24"/>
          <w:szCs w:val="24"/>
        </w:rPr>
      </w:pPr>
      <w:r/>
      <w:bookmarkStart w:id="120" w:name="_Hlt26954731"/>
      <w:r/>
      <w:bookmarkEnd w:id="120"/>
      <w:r/>
      <w:bookmarkStart w:id="121" w:name="_Hlt26954846"/>
      <w:r/>
      <w:bookmarkEnd w:id="121"/>
      <w:r/>
      <w:bookmarkStart w:id="122" w:name="_Hlt26954848"/>
      <w:r/>
      <w:bookmarkEnd w:id="122"/>
      <w:r/>
      <w:bookmarkStart w:id="123" w:name="_Hlt26670486"/>
      <w:r/>
      <w:bookmarkEnd w:id="123"/>
      <w:r/>
      <w:bookmarkStart w:id="124" w:name="_Hlt26670482"/>
      <w:r/>
      <w:bookmarkEnd w:id="124"/>
      <w:r>
        <w:rPr>
          <w:rFonts w:hint="eastAsia" w:ascii="仿宋" w:hAnsi="仿宋" w:eastAsia="仿宋" w:cs="仿宋"/>
          <w:sz w:val="24"/>
          <w:szCs w:val="24"/>
        </w:rPr>
        <w:t xml:space="preserve">12.1 供应商应按照磋商文件规定格式填报分项报价表。</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12.2 响应文件中的单价和总价无特殊规定的采用人民币报价，以元为单位标注。磋商文件另有规定的按规定执行。</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13.响应及偏离表</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13.1供应商需对磋商文件中的技术要求与商务要求逐项作出响应或偏离说明。</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13.2供应商可在响应文件中提供认为需要的其他技术文件或说明。</w:t>
      </w:r>
      <w:r/>
    </w:p>
    <w:p>
      <w:pPr>
        <w:ind w:firstLine="480"/>
        <w:jc w:val="left"/>
        <w:spacing w:line="500" w:lineRule="exact"/>
        <w:widowControl/>
        <w:rPr>
          <w:rFonts w:hint="eastAsia" w:ascii="仿宋" w:hAnsi="仿宋" w:eastAsia="仿宋" w:cs="仿宋"/>
          <w:sz w:val="24"/>
          <w:szCs w:val="24"/>
        </w:rPr>
      </w:pPr>
      <w:r/>
      <w:bookmarkStart w:id="125" w:name="_Toc49090510"/>
      <w:r/>
      <w:bookmarkStart w:id="126" w:name="_Toc14577359"/>
      <w:r>
        <w:rPr>
          <w:rFonts w:hint="eastAsia" w:ascii="仿宋" w:hAnsi="仿宋" w:eastAsia="仿宋" w:cs="仿宋"/>
          <w:sz w:val="24"/>
          <w:szCs w:val="24"/>
        </w:rPr>
        <w:t xml:space="preserve">14.磋商响应函</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.1供应商应按照磋商文件规定格式完整、正确填报磋商响应函。</w:t>
      </w:r>
      <w:bookmarkEnd w:id="125"/>
      <w:r/>
      <w:bookmarkEnd w:id="126"/>
      <w:r/>
      <w:r/>
    </w:p>
    <w:p>
      <w:pPr>
        <w:ind w:firstLine="480"/>
        <w:jc w:val="left"/>
        <w:spacing w:line="500" w:lineRule="exact"/>
        <w:widowControl/>
        <w:rPr>
          <w:rFonts w:hint="eastAsia" w:ascii="仿宋" w:hAnsi="仿宋" w:eastAsia="仿宋" w:cs="仿宋"/>
          <w:sz w:val="24"/>
          <w:szCs w:val="24"/>
        </w:rPr>
      </w:pPr>
      <w:r/>
      <w:bookmarkStart w:id="127" w:name="_Toc14577360"/>
      <w:r/>
      <w:bookmarkStart w:id="128" w:name="_Toc49090511"/>
      <w:r>
        <w:rPr>
          <w:rFonts w:hint="eastAsia" w:ascii="仿宋" w:hAnsi="仿宋" w:eastAsia="仿宋" w:cs="仿宋"/>
          <w:sz w:val="24"/>
          <w:szCs w:val="24"/>
        </w:rPr>
        <w:t xml:space="preserve">15.磋商有效期</w:t>
      </w:r>
      <w:bookmarkEnd w:id="127"/>
      <w:r/>
      <w:bookmarkEnd w:id="128"/>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15.1磋商有效期为采购公告规定的提交响应文件截止之日起</w:t>
      </w:r>
      <w:r>
        <w:rPr>
          <w:rFonts w:hint="eastAsia" w:ascii="仿宋" w:hAnsi="仿宋" w:eastAsia="仿宋" w:cs="仿宋"/>
          <w:sz w:val="24"/>
          <w:szCs w:val="24"/>
          <w:lang w:val="zh-CN"/>
        </w:rPr>
        <w:t xml:space="preserve">六十天</w:t>
      </w:r>
      <w:r>
        <w:rPr>
          <w:rFonts w:hint="eastAsia" w:ascii="仿宋" w:hAnsi="仿宋" w:eastAsia="仿宋" w:cs="仿宋"/>
          <w:sz w:val="24"/>
          <w:szCs w:val="24"/>
        </w:rPr>
        <w:t xml:space="preserve">。磋商有效期比规定短的将被视为非实质性响应磋商文件而被拒绝。</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16.磋商有效期的延长</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spacing w:line="500" w:lineRule="exact"/>
        <w:widowControl/>
        <w:rPr>
          <w:rFonts w:hint="eastAsia" w:ascii="仿宋" w:hAnsi="仿宋" w:eastAsia="仿宋" w:cs="仿宋"/>
          <w:sz w:val="24"/>
          <w:szCs w:val="24"/>
        </w:rPr>
      </w:pPr>
      <w:r/>
      <w:bookmarkStart w:id="129" w:name="_Toc16938540"/>
      <w:r/>
      <w:bookmarkStart w:id="130" w:name="_Toc20823296"/>
      <w:r/>
      <w:bookmarkStart w:id="131" w:name="_Toc120614217"/>
      <w:r/>
      <w:bookmarkStart w:id="132" w:name="_Toc513029224"/>
      <w:r>
        <w:rPr>
          <w:rFonts w:hint="eastAsia" w:ascii="仿宋" w:hAnsi="仿宋" w:eastAsia="仿宋" w:cs="仿宋"/>
          <w:sz w:val="24"/>
          <w:szCs w:val="24"/>
        </w:rPr>
        <w:t xml:space="preserve">四、响应文件的递交</w:t>
      </w:r>
      <w:bookmarkEnd w:id="129"/>
      <w:r/>
      <w:bookmarkEnd w:id="130"/>
      <w:r/>
      <w:bookmarkEnd w:id="131"/>
      <w:r/>
      <w:bookmarkEnd w:id="132"/>
      <w:r/>
      <w:r/>
    </w:p>
    <w:p>
      <w:pPr>
        <w:ind w:firstLine="480"/>
        <w:jc w:val="left"/>
        <w:spacing w:line="500" w:lineRule="exact"/>
        <w:widowControl/>
        <w:rPr>
          <w:rFonts w:hint="eastAsia" w:ascii="仿宋" w:hAnsi="仿宋" w:eastAsia="仿宋" w:cs="仿宋"/>
          <w:sz w:val="24"/>
          <w:szCs w:val="24"/>
        </w:rPr>
      </w:pPr>
      <w:r/>
      <w:bookmarkStart w:id="133" w:name="_Toc513029225"/>
      <w:r/>
      <w:bookmarkStart w:id="134" w:name="_Toc20823297"/>
      <w:r/>
      <w:bookmarkStart w:id="135" w:name="_Toc462564084"/>
      <w:r/>
      <w:bookmarkStart w:id="136" w:name="_Toc16938541"/>
      <w:r>
        <w:rPr>
          <w:rFonts w:hint="eastAsia" w:ascii="仿宋" w:hAnsi="仿宋" w:eastAsia="仿宋" w:cs="仿宋"/>
          <w:sz w:val="24"/>
          <w:szCs w:val="24"/>
        </w:rPr>
        <w:t xml:space="preserve">17.磋商</w:t>
      </w:r>
      <w:bookmarkEnd w:id="133"/>
      <w:r/>
      <w:bookmarkEnd w:id="134"/>
      <w:r/>
      <w:bookmarkEnd w:id="135"/>
      <w:r/>
      <w:bookmarkEnd w:id="136"/>
      <w:r>
        <w:rPr>
          <w:rFonts w:hint="eastAsia" w:ascii="仿宋" w:hAnsi="仿宋" w:eastAsia="仿宋" w:cs="仿宋"/>
          <w:sz w:val="24"/>
          <w:szCs w:val="24"/>
        </w:rPr>
        <w:t xml:space="preserve">响应文件的递交</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17.1供应商应当按照《操作手册》规定，在提交响应文件截止时间前制作并上传电子响应文件。</w:t>
      </w:r>
      <w:bookmarkStart w:id="137" w:name="_Toc20823298"/>
      <w:r/>
      <w:bookmarkEnd w:id="137"/>
      <w:r/>
      <w:bookmarkStart w:id="138" w:name="_Toc513029226"/>
      <w:r/>
      <w:bookmarkEnd w:id="138"/>
      <w:r/>
      <w:bookmarkStart w:id="139" w:name="_Toc16938542"/>
      <w:r/>
      <w:bookmarkEnd w:id="139"/>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17.3交易中心可以按照规定，通过修改磋商文件酌情延长提交响应文件截止日期，在此情况下，供应商的所有权利和义务均以延长后新的截止日期为准。</w:t>
      </w:r>
      <w:r/>
    </w:p>
    <w:p>
      <w:pPr>
        <w:ind w:firstLine="480"/>
        <w:jc w:val="left"/>
        <w:spacing w:line="500" w:lineRule="exact"/>
        <w:widowControl/>
        <w:rPr>
          <w:rFonts w:hint="eastAsia" w:ascii="仿宋" w:hAnsi="仿宋" w:eastAsia="仿宋" w:cs="仿宋"/>
          <w:sz w:val="24"/>
          <w:szCs w:val="24"/>
        </w:rPr>
      </w:pPr>
      <w:r/>
      <w:bookmarkStart w:id="140" w:name="_Toc16938543"/>
      <w:r/>
      <w:bookmarkStart w:id="141" w:name="_Toc513029227"/>
      <w:r/>
      <w:bookmarkStart w:id="142" w:name="_Toc20823299"/>
      <w:r>
        <w:rPr>
          <w:rFonts w:hint="eastAsia" w:ascii="仿宋" w:hAnsi="仿宋" w:eastAsia="仿宋" w:cs="仿宋"/>
          <w:sz w:val="24"/>
          <w:szCs w:val="24"/>
        </w:rPr>
        <w:t xml:space="preserve">18.响应文件</w:t>
      </w:r>
      <w:bookmarkEnd w:id="140"/>
      <w:r/>
      <w:bookmarkEnd w:id="141"/>
      <w:r/>
      <w:bookmarkEnd w:id="142"/>
      <w:r>
        <w:rPr>
          <w:rFonts w:hint="eastAsia" w:ascii="仿宋" w:hAnsi="仿宋" w:eastAsia="仿宋" w:cs="仿宋"/>
          <w:sz w:val="24"/>
          <w:szCs w:val="24"/>
        </w:rPr>
        <w:t xml:space="preserve">的拒收</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18.1 交易中心拒绝接收提交响应文件截止时间后上传的任何电子响应文件。</w:t>
      </w:r>
      <w:r/>
    </w:p>
    <w:p>
      <w:pPr>
        <w:ind w:firstLine="480"/>
        <w:jc w:val="left"/>
        <w:spacing w:line="500" w:lineRule="exact"/>
        <w:widowControl/>
        <w:rPr>
          <w:rFonts w:hint="eastAsia" w:ascii="仿宋" w:hAnsi="仿宋" w:eastAsia="仿宋" w:cs="仿宋"/>
          <w:sz w:val="24"/>
          <w:szCs w:val="24"/>
        </w:rPr>
      </w:pPr>
      <w:r/>
      <w:bookmarkStart w:id="143" w:name="_Toc513029228"/>
      <w:r/>
      <w:bookmarkStart w:id="144" w:name="_Toc16938544"/>
      <w:r/>
      <w:bookmarkStart w:id="145" w:name="_Toc20823300"/>
      <w:r>
        <w:rPr>
          <w:rFonts w:hint="eastAsia" w:ascii="仿宋" w:hAnsi="仿宋" w:eastAsia="仿宋" w:cs="仿宋"/>
          <w:sz w:val="24"/>
          <w:szCs w:val="24"/>
        </w:rPr>
        <w:t xml:space="preserve">19.响应文件的撤回和修改</w:t>
      </w:r>
      <w:bookmarkEnd w:id="143"/>
      <w:r/>
      <w:bookmarkEnd w:id="144"/>
      <w:r/>
      <w:bookmarkEnd w:id="145"/>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19.1响应文件的撤回</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19.1.1供应商可在提交响应文件截止时间前，撤回其电子响应文件，具体操作方法见《操作手册》。</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19.1.2供应商撤回电子响应文件，则认为其不再参与本项目磋商活动。</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19.2响应文件的修改</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19.2.1 供应商可在提交响应文件截止时间前，对其电子响应文件进行修改，具体操作方法见《操作手册》。</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19.2.2 在提交响应文件截止时间之后，供应商不得对其电子响应文件作任何修改。</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19.3 在提交响应文件截止时间至磋商文件中规定的磋商有效期满之间的这段时间内，供应商不得撤回其响应文件。</w:t>
      </w:r>
      <w:r/>
    </w:p>
    <w:p>
      <w:pPr>
        <w:ind w:firstLine="480"/>
        <w:jc w:val="left"/>
        <w:spacing w:line="500" w:lineRule="exact"/>
        <w:widowControl/>
        <w:rPr>
          <w:rFonts w:hint="eastAsia" w:ascii="仿宋" w:hAnsi="仿宋" w:eastAsia="仿宋" w:cs="仿宋"/>
          <w:sz w:val="24"/>
          <w:szCs w:val="24"/>
        </w:rPr>
      </w:pPr>
      <w:r/>
      <w:bookmarkStart w:id="146" w:name="_Toc120614218"/>
      <w:r/>
      <w:bookmarkStart w:id="147" w:name="_Toc16938545"/>
      <w:r/>
      <w:bookmarkStart w:id="148" w:name="_Toc513029229"/>
      <w:r/>
      <w:bookmarkStart w:id="149" w:name="_Toc20823301"/>
      <w:r>
        <w:rPr>
          <w:rFonts w:hint="eastAsia" w:ascii="仿宋" w:hAnsi="仿宋" w:eastAsia="仿宋" w:cs="仿宋"/>
          <w:sz w:val="24"/>
          <w:szCs w:val="24"/>
        </w:rPr>
        <w:t xml:space="preserve">五、响应文件的解密与评审</w:t>
      </w:r>
      <w:bookmarkEnd w:id="146"/>
      <w:r/>
      <w:bookmarkEnd w:id="147"/>
      <w:r/>
      <w:bookmarkEnd w:id="148"/>
      <w:r/>
      <w:bookmarkEnd w:id="149"/>
      <w:r/>
      <w:r/>
    </w:p>
    <w:p>
      <w:pPr>
        <w:ind w:firstLine="480"/>
        <w:jc w:val="left"/>
        <w:spacing w:line="500" w:lineRule="exact"/>
        <w:widowControl/>
        <w:rPr>
          <w:rFonts w:hint="eastAsia" w:ascii="仿宋" w:hAnsi="仿宋" w:eastAsia="仿宋" w:cs="仿宋"/>
          <w:sz w:val="24"/>
          <w:szCs w:val="24"/>
        </w:rPr>
      </w:pPr>
      <w:r/>
      <w:bookmarkStart w:id="150" w:name="_Toc20823302"/>
      <w:r/>
      <w:bookmarkStart w:id="151" w:name="_Toc513029230"/>
      <w:r/>
      <w:bookmarkStart w:id="152" w:name="_Toc16938546"/>
      <w:r>
        <w:rPr>
          <w:rFonts w:hint="eastAsia" w:ascii="仿宋" w:hAnsi="仿宋" w:eastAsia="仿宋" w:cs="仿宋"/>
          <w:sz w:val="24"/>
          <w:szCs w:val="24"/>
        </w:rPr>
        <w:t xml:space="preserve">2</w:t>
      </w:r>
      <w:bookmarkEnd w:id="150"/>
      <w:r/>
      <w:bookmarkEnd w:id="151"/>
      <w:r/>
      <w:bookmarkEnd w:id="152"/>
      <w:r>
        <w:rPr>
          <w:rFonts w:hint="eastAsia" w:ascii="仿宋" w:hAnsi="仿宋" w:eastAsia="仿宋" w:cs="仿宋"/>
          <w:sz w:val="24"/>
          <w:szCs w:val="24"/>
        </w:rPr>
        <w:t xml:space="preserve">0.响应文件解密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20.1 供应商应当按照《操作手册》规定，在苏采云系统规定的时间内对磋商响应文件进行解密。</w:t>
      </w:r>
      <w:r/>
    </w:p>
    <w:p>
      <w:pPr>
        <w:ind w:firstLine="480"/>
        <w:jc w:val="left"/>
        <w:spacing w:line="500" w:lineRule="exact"/>
        <w:widowControl/>
        <w:rPr>
          <w:rFonts w:hint="eastAsia" w:ascii="仿宋" w:hAnsi="仿宋" w:eastAsia="仿宋" w:cs="仿宋"/>
          <w:sz w:val="24"/>
          <w:szCs w:val="24"/>
        </w:rPr>
      </w:pPr>
      <w:r/>
      <w:bookmarkStart w:id="153" w:name="_Toc16938547"/>
      <w:r/>
      <w:bookmarkStart w:id="154" w:name="_Toc513029231"/>
      <w:r/>
      <w:bookmarkStart w:id="155" w:name="_Toc20823303"/>
      <w:r>
        <w:rPr>
          <w:rFonts w:hint="eastAsia" w:ascii="仿宋" w:hAnsi="仿宋" w:eastAsia="仿宋" w:cs="仿宋"/>
          <w:sz w:val="24"/>
          <w:szCs w:val="24"/>
        </w:rPr>
        <w:t xml:space="preserve">21.磋商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21.1 交易中心将组织磋商小组对响应文件进行评审。</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21.2 磋商小组由采购人代表和有关技术、经济等方面的专家组成，且人员构成符合政府采购有关规定。</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21.3 磋商小组独立工作，负责评审所有响应文件并推荐成交侯选人，或根据采购人授权直接确定成交供应商。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22.评审过程的保密与公正</w:t>
      </w:r>
      <w:bookmarkEnd w:id="153"/>
      <w:r/>
      <w:bookmarkEnd w:id="154"/>
      <w:r/>
      <w:bookmarkEnd w:id="155"/>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22.1 磋商小组、采购人和交易中心工作人员、相关监督人员等与评审工作有关的人员，对评审情况以及在评审过程中获悉的国家秘密、商业秘密负有保密责任。</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22.2 在评审过程中，供应商不得以任何行为影响磋商评审过程，否则其响应文件将被作为无效响应文件。</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22.3 交易中心和磋商小组不向未成交的供应商解释未成交原因，也不公布评审过程中的相关细节。</w:t>
      </w:r>
      <w:r/>
    </w:p>
    <w:p>
      <w:pPr>
        <w:ind w:firstLine="480"/>
        <w:jc w:val="left"/>
        <w:spacing w:line="500" w:lineRule="exact"/>
        <w:widowControl/>
        <w:rPr>
          <w:rFonts w:hint="eastAsia" w:ascii="仿宋" w:hAnsi="仿宋" w:eastAsia="仿宋" w:cs="仿宋"/>
          <w:sz w:val="24"/>
          <w:szCs w:val="24"/>
        </w:rPr>
      </w:pPr>
      <w:r/>
      <w:bookmarkStart w:id="156" w:name="_Toc513029232"/>
      <w:r/>
      <w:bookmarkStart w:id="157" w:name="_Toc20823304"/>
      <w:r/>
      <w:bookmarkStart w:id="158" w:name="_Toc16938548"/>
      <w:r>
        <w:rPr>
          <w:rFonts w:hint="eastAsia" w:ascii="仿宋" w:hAnsi="仿宋" w:eastAsia="仿宋" w:cs="仿宋"/>
          <w:sz w:val="24"/>
          <w:szCs w:val="24"/>
        </w:rPr>
        <w:t xml:space="preserve">23.评审过程中的澄清</w:t>
      </w:r>
      <w:bookmarkEnd w:id="156"/>
      <w:r/>
      <w:bookmarkEnd w:id="157"/>
      <w:r/>
      <w:bookmarkEnd w:id="158"/>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供应商的澄清、说明或者更正不得超出响应文件的范围或者改变响应文件的实质性内容。</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23.2 需要供应商进行澄清、说明和补正的，磋商小组将通过苏采云系统向供应商发布</w:t>
      </w:r>
      <w:r>
        <w:rPr>
          <w:rFonts w:hint="eastAsia" w:ascii="仿宋" w:hAnsi="仿宋" w:eastAsia="仿宋" w:cs="仿宋"/>
          <w:sz w:val="24"/>
          <w:szCs w:val="24"/>
          <w:lang w:val="zh-CN"/>
        </w:rPr>
        <w:t xml:space="preserve">《澄清要求函》</w:t>
      </w:r>
      <w:r>
        <w:rPr>
          <w:rFonts w:hint="eastAsia" w:ascii="仿宋" w:hAnsi="仿宋" w:eastAsia="仿宋" w:cs="仿宋"/>
          <w:sz w:val="24"/>
          <w:szCs w:val="24"/>
        </w:rPr>
        <w:t xml:space="preserve">，接到</w:t>
      </w:r>
      <w:r>
        <w:rPr>
          <w:rFonts w:hint="eastAsia" w:ascii="仿宋" w:hAnsi="仿宋" w:eastAsia="仿宋" w:cs="仿宋"/>
          <w:sz w:val="24"/>
          <w:szCs w:val="24"/>
          <w:lang w:val="zh-CN"/>
        </w:rPr>
        <w:t xml:space="preserve">《澄清要求函》</w:t>
      </w:r>
      <w:r>
        <w:rPr>
          <w:rFonts w:hint="eastAsia" w:ascii="仿宋" w:hAnsi="仿宋" w:eastAsia="仿宋" w:cs="仿宋"/>
          <w:sz w:val="24"/>
          <w:szCs w:val="24"/>
        </w:rPr>
        <w:t xml:space="preserve">的供应商应当按照要求在苏采云系统中提交</w:t>
      </w:r>
      <w:r>
        <w:rPr>
          <w:rFonts w:hint="eastAsia" w:ascii="仿宋" w:hAnsi="仿宋" w:eastAsia="仿宋" w:cs="仿宋"/>
          <w:sz w:val="24"/>
          <w:szCs w:val="24"/>
          <w:lang w:val="zh-CN"/>
        </w:rPr>
        <w:t xml:space="preserve">《澄清要求函》</w:t>
      </w:r>
      <w:r>
        <w:rPr>
          <w:rFonts w:hint="eastAsia" w:ascii="仿宋" w:hAnsi="仿宋" w:eastAsia="仿宋" w:cs="仿宋"/>
          <w:sz w:val="24"/>
          <w:szCs w:val="24"/>
        </w:rPr>
        <w:t xml:space="preserve">并加盖电子公章。澄清、说明和更正的内容作为响应文件的补充部分，具体操作方式见《操作手册》。</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23.3 接到磋商小组澄清、说明和更正要求的供应商如未按规定做出澄清、说明和更正，其风险由供应商自行承担。</w:t>
      </w:r>
      <w:r/>
    </w:p>
    <w:p>
      <w:pPr>
        <w:ind w:firstLine="480"/>
        <w:jc w:val="left"/>
        <w:spacing w:line="500" w:lineRule="exact"/>
        <w:widowControl/>
        <w:rPr>
          <w:rFonts w:hint="eastAsia" w:ascii="仿宋" w:hAnsi="仿宋" w:eastAsia="仿宋" w:cs="仿宋"/>
          <w:sz w:val="24"/>
          <w:szCs w:val="24"/>
        </w:rPr>
      </w:pPr>
      <w:r/>
      <w:bookmarkStart w:id="159" w:name="_Toc513029233"/>
      <w:r/>
      <w:bookmarkStart w:id="160" w:name="_Toc20823305"/>
      <w:r/>
      <w:bookmarkStart w:id="161" w:name="_Toc16938549"/>
      <w:r>
        <w:rPr>
          <w:rFonts w:hint="eastAsia" w:ascii="仿宋" w:hAnsi="仿宋" w:eastAsia="仿宋" w:cs="仿宋"/>
          <w:sz w:val="24"/>
          <w:szCs w:val="24"/>
        </w:rPr>
        <w:t xml:space="preserve">24.响应文件的审</w:t>
      </w:r>
      <w:bookmarkEnd w:id="159"/>
      <w:r/>
      <w:bookmarkEnd w:id="160"/>
      <w:r/>
      <w:bookmarkEnd w:id="161"/>
      <w:r>
        <w:rPr>
          <w:rFonts w:hint="eastAsia" w:ascii="仿宋" w:hAnsi="仿宋" w:eastAsia="仿宋" w:cs="仿宋"/>
          <w:sz w:val="24"/>
          <w:szCs w:val="24"/>
        </w:rPr>
        <w:t xml:space="preserve">查</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24.1 响应文件审查分为资格审查和符合性审查。</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24.1.1 资格审查。依据法律法规和磋商文件的规定，对响应文件中的资格证明文件进行审查，以确定供应商是否具备参加磋商的资格。</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24.1.3 未通过资格审查或符合性审查的供应商，磋商小组将在苏采云系统中告知具体原因，评审结束后磋商小组将不再告知未通过资格审查或符合性审查的原因。</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 未实质性响应磋商文件的情形</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24.3.1 供应商在苏采云系统规定的时间内未成功解密电子响应文件的。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24.3.2 供应商未按照磋商文件要求上传电子响应文件的。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24.3.3 同一供应商提交两个（含两个）以上不同的响应文件或者最后报价的。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24.3.4 供应商不具备磋商文件中规定资格要求的。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24.3.5 供应商的最后报价超过了采购预算或最高限价的。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24.3.6 不符合磋商文件中规定的实质性要求和条件的（本磋商文件中斜体且有下划线部分</w:t>
      </w:r>
      <w:r>
        <w:rPr>
          <w:rFonts w:hint="eastAsia" w:ascii="仿宋" w:hAnsi="仿宋" w:eastAsia="仿宋" w:cs="仿宋"/>
          <w:sz w:val="24"/>
          <w:szCs w:val="24"/>
          <w:lang w:val="zh-CN"/>
        </w:rPr>
        <w:t xml:space="preserve">或者打“</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”内容，</w:t>
      </w:r>
      <w:r>
        <w:rPr>
          <w:rFonts w:hint="eastAsia" w:ascii="仿宋" w:hAnsi="仿宋" w:eastAsia="仿宋" w:cs="仿宋"/>
          <w:sz w:val="24"/>
          <w:szCs w:val="24"/>
        </w:rPr>
        <w:t xml:space="preserve">为实质性要求和条件）。</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24.3.8 响应文件含有采购人不能接受的附加条件的。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spacing w:line="5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关于推动解决政府采购异常低价问题的通知（财库〔2026〕2号），评审委员会启动异常低价投标（响应）审查的情形和具体要求，包括：</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（一）评审过程中出现下列情形之一的，评审委员会应当启动异常低价投标（响应）审查程序：</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3.投标（响应）报价低于采购项目最高限价45%的，即投标（响应）报价&lt;采购项目最高限价×45%；</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4.评审委员会基于专业判断，认为供应商报价过低，有可能影响产品质量或者不能诚信履约的其他情形。</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24.3.10 响应文件未按照磋商文件要求加盖电子公章的。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24.3.11 法律法规及本磋商文件规定的其他无效响应的情形。</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24.4 未实质性响应磋商文件的响应文件按无效响应处理。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hint="eastAsia" w:ascii="仿宋" w:hAnsi="仿宋" w:eastAsia="仿宋" w:cs="仿宋"/>
          <w:sz w:val="24"/>
          <w:szCs w:val="24"/>
        </w:rPr>
      </w:pPr>
      <w:r/>
      <w:bookmarkStart w:id="162" w:name="_Toc16938550"/>
      <w:r/>
      <w:bookmarkStart w:id="163" w:name="_Toc20823306"/>
      <w:r/>
      <w:bookmarkStart w:id="164" w:name="_Toc513029234"/>
      <w:r>
        <w:rPr>
          <w:rFonts w:hint="eastAsia" w:ascii="仿宋" w:hAnsi="仿宋" w:eastAsia="仿宋" w:cs="仿宋"/>
          <w:sz w:val="24"/>
          <w:szCs w:val="24"/>
        </w:rPr>
        <w:t xml:space="preserve">24.6 供应商在项目评审全过程中应保持通讯畅通，并安排专人与交易中心及磋商小组联系。</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162"/>
      <w:r/>
      <w:bookmarkEnd w:id="163"/>
      <w:r/>
      <w:bookmarkEnd w:id="164"/>
      <w:r>
        <w:rPr>
          <w:rFonts w:hint="eastAsia" w:ascii="仿宋" w:hAnsi="仿宋" w:eastAsia="仿宋" w:cs="仿宋"/>
          <w:sz w:val="24"/>
          <w:szCs w:val="24"/>
        </w:rPr>
        <w:t xml:space="preserve">5.磋商程序及评审方法和评审标准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25.1 磋商程序</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25.2 评审方法和评审标准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25.2.2 评审标准</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见本磋商文件第五章规定。</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25.3 采购活动终止的情况</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出现下列情形之一的，本次竞争性磋商采购活动将被终止：</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25.3.1 因情况变化，不再符合规定的竞争性磋商采购方式适用情形的。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25.3.2 出现影响采购公正的违法、违规行为的。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25.3.4 在苏采云系统规定时间内成功解密电子响应文件的供应商不足3家的。</w:t>
      </w:r>
      <w:r/>
    </w:p>
    <w:p>
      <w:pPr>
        <w:ind w:firstLine="480"/>
        <w:jc w:val="left"/>
        <w:spacing w:line="500" w:lineRule="exact"/>
        <w:widowControl/>
        <w:rPr>
          <w:rFonts w:hint="eastAsia" w:ascii="仿宋" w:hAnsi="仿宋" w:eastAsia="仿宋" w:cs="仿宋"/>
          <w:sz w:val="24"/>
          <w:szCs w:val="24"/>
        </w:rPr>
      </w:pPr>
      <w:r/>
      <w:bookmarkStart w:id="165" w:name="_Toc513029235"/>
      <w:r/>
      <w:bookmarkStart w:id="166" w:name="_Toc20823307"/>
      <w:r/>
      <w:bookmarkStart w:id="167" w:name="_Toc120614219"/>
      <w:r/>
      <w:bookmarkStart w:id="168" w:name="_Toc16938551"/>
      <w:r>
        <w:rPr>
          <w:rFonts w:hint="eastAsia" w:ascii="仿宋" w:hAnsi="仿宋" w:eastAsia="仿宋" w:cs="仿宋"/>
          <w:sz w:val="24"/>
          <w:szCs w:val="24"/>
        </w:rPr>
        <w:t xml:space="preserve">六、</w:t>
      </w:r>
      <w:bookmarkEnd w:id="165"/>
      <w:r/>
      <w:bookmarkEnd w:id="166"/>
      <w:r/>
      <w:bookmarkEnd w:id="167"/>
      <w:r/>
      <w:bookmarkEnd w:id="168"/>
      <w:r>
        <w:rPr>
          <w:rFonts w:hint="eastAsia" w:ascii="仿宋" w:hAnsi="仿宋" w:eastAsia="仿宋" w:cs="仿宋"/>
          <w:sz w:val="24"/>
          <w:szCs w:val="24"/>
        </w:rPr>
        <w:t xml:space="preserve">成交</w:t>
      </w:r>
      <w:r/>
    </w:p>
    <w:p>
      <w:pPr>
        <w:ind w:firstLine="480"/>
        <w:jc w:val="left"/>
        <w:spacing w:line="500" w:lineRule="exact"/>
        <w:widowControl/>
        <w:rPr>
          <w:rFonts w:hint="eastAsia" w:ascii="仿宋" w:hAnsi="仿宋" w:eastAsia="仿宋" w:cs="仿宋"/>
          <w:sz w:val="24"/>
          <w:szCs w:val="24"/>
        </w:rPr>
      </w:pPr>
      <w:r/>
      <w:bookmarkStart w:id="169" w:name="_Toc513029238"/>
      <w:r/>
      <w:bookmarkStart w:id="170" w:name="_Toc20823310"/>
      <w:r/>
      <w:bookmarkStart w:id="171" w:name="_Toc16938554"/>
      <w:r>
        <w:rPr>
          <w:rFonts w:hint="eastAsia" w:ascii="仿宋" w:hAnsi="仿宋" w:eastAsia="仿宋" w:cs="仿宋"/>
          <w:sz w:val="24"/>
          <w:szCs w:val="24"/>
        </w:rPr>
        <w:t xml:space="preserve">2</w:t>
      </w:r>
      <w:bookmarkEnd w:id="169"/>
      <w:r>
        <w:rPr>
          <w:rFonts w:hint="eastAsia" w:ascii="仿宋" w:hAnsi="仿宋" w:eastAsia="仿宋" w:cs="仿宋"/>
          <w:sz w:val="24"/>
          <w:szCs w:val="24"/>
        </w:rPr>
        <w:t xml:space="preserve">6.确定</w:t>
      </w:r>
      <w:bookmarkEnd w:id="170"/>
      <w:r/>
      <w:bookmarkEnd w:id="171"/>
      <w:r>
        <w:rPr>
          <w:rFonts w:hint="eastAsia" w:ascii="仿宋" w:hAnsi="仿宋" w:eastAsia="仿宋" w:cs="仿宋"/>
          <w:sz w:val="24"/>
          <w:szCs w:val="24"/>
        </w:rPr>
        <w:t xml:space="preserve">成交单位</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26.2 </w:t>
      </w:r>
      <w:r>
        <w:rPr>
          <w:rFonts w:hint="eastAsia" w:ascii="仿宋" w:hAnsi="仿宋" w:eastAsia="仿宋" w:cs="仿宋"/>
          <w:sz w:val="24"/>
          <w:szCs w:val="24"/>
          <w:lang w:val="zh-CN"/>
        </w:rPr>
        <w:t xml:space="preserve">按以下第（</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）种方式确定</w:t>
      </w:r>
      <w:r>
        <w:rPr>
          <w:rFonts w:hint="eastAsia" w:ascii="仿宋" w:hAnsi="仿宋" w:eastAsia="仿宋" w:cs="仿宋"/>
          <w:sz w:val="24"/>
          <w:szCs w:val="24"/>
        </w:rPr>
        <w:t xml:space="preserve">成交供应商</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直接确定排名第一的</w:t>
      </w:r>
      <w:r>
        <w:rPr>
          <w:rFonts w:hint="eastAsia" w:ascii="仿宋" w:hAnsi="仿宋" w:eastAsia="仿宋" w:cs="仿宋"/>
          <w:sz w:val="24"/>
          <w:szCs w:val="24"/>
        </w:rPr>
        <w:t xml:space="preserve">成交候选供应商</w:t>
      </w:r>
      <w:r>
        <w:rPr>
          <w:rFonts w:hint="eastAsia" w:ascii="仿宋" w:hAnsi="仿宋" w:eastAsia="仿宋" w:cs="仿宋"/>
          <w:sz w:val="24"/>
          <w:szCs w:val="24"/>
          <w:lang w:val="zh-CN"/>
        </w:rPr>
        <w:t xml:space="preserve">为</w:t>
      </w:r>
      <w:r>
        <w:rPr>
          <w:rFonts w:hint="eastAsia" w:ascii="仿宋" w:hAnsi="仿宋" w:eastAsia="仿宋" w:cs="仿宋"/>
          <w:sz w:val="24"/>
          <w:szCs w:val="24"/>
        </w:rPr>
        <w:t xml:space="preserve">成交供应商</w:t>
      </w:r>
      <w:r>
        <w:rPr>
          <w:rFonts w:hint="eastAsia" w:ascii="仿宋" w:hAnsi="仿宋" w:eastAsia="仿宋" w:cs="仿宋"/>
          <w:sz w:val="24"/>
          <w:szCs w:val="24"/>
          <w:lang w:val="zh-CN"/>
        </w:rPr>
        <w:t xml:space="preserve">；</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（2）采购人在</w:t>
      </w: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推荐的</w:t>
      </w:r>
      <w:r>
        <w:rPr>
          <w:rFonts w:hint="eastAsia" w:ascii="仿宋" w:hAnsi="仿宋" w:eastAsia="仿宋" w:cs="仿宋"/>
          <w:sz w:val="24"/>
          <w:szCs w:val="24"/>
        </w:rPr>
        <w:t xml:space="preserve">成交候选供应商</w:t>
      </w:r>
      <w:r>
        <w:rPr>
          <w:rFonts w:hint="eastAsia" w:ascii="仿宋" w:hAnsi="仿宋" w:eastAsia="仿宋" w:cs="仿宋"/>
          <w:sz w:val="24"/>
          <w:szCs w:val="24"/>
          <w:lang w:val="zh-CN"/>
        </w:rPr>
        <w:t xml:space="preserve">中按顺序确定</w:t>
      </w:r>
      <w:r>
        <w:rPr>
          <w:rFonts w:hint="eastAsia" w:ascii="仿宋" w:hAnsi="仿宋" w:eastAsia="仿宋" w:cs="仿宋"/>
          <w:sz w:val="24"/>
          <w:szCs w:val="24"/>
        </w:rPr>
        <w:t xml:space="preserve">成交供应商</w:t>
      </w:r>
      <w:r>
        <w:rPr>
          <w:rFonts w:hint="eastAsia" w:ascii="仿宋" w:hAnsi="仿宋" w:eastAsia="仿宋" w:cs="仿宋"/>
          <w:sz w:val="24"/>
          <w:szCs w:val="24"/>
          <w:lang w:val="zh-CN"/>
        </w:rPr>
        <w:t xml:space="preserve">。</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按第二种方式确定</w:t>
      </w:r>
      <w:r>
        <w:rPr>
          <w:rFonts w:hint="eastAsia" w:ascii="仿宋" w:hAnsi="仿宋" w:eastAsia="仿宋" w:cs="仿宋"/>
          <w:sz w:val="24"/>
          <w:szCs w:val="24"/>
        </w:rPr>
        <w:t xml:space="preserve">成交供应商</w:t>
      </w:r>
      <w:r>
        <w:rPr>
          <w:rFonts w:hint="eastAsia" w:ascii="仿宋" w:hAnsi="仿宋" w:eastAsia="仿宋" w:cs="仿宋"/>
          <w:sz w:val="24"/>
          <w:szCs w:val="24"/>
          <w:lang w:val="zh-CN"/>
        </w:rPr>
        <w:t xml:space="preserve">的，交易中心自评审结束之日起两个工作日内将评审报告送交采购人，采购人自收到评审报告之日起五个工作日内，在评审报告推荐的</w:t>
      </w:r>
      <w:r>
        <w:rPr>
          <w:rFonts w:hint="eastAsia" w:ascii="仿宋" w:hAnsi="仿宋" w:eastAsia="仿宋" w:cs="仿宋"/>
          <w:sz w:val="24"/>
          <w:szCs w:val="24"/>
        </w:rPr>
        <w:t xml:space="preserve">成交候选供应商</w:t>
      </w:r>
      <w:r>
        <w:rPr>
          <w:rFonts w:hint="eastAsia" w:ascii="仿宋" w:hAnsi="仿宋" w:eastAsia="仿宋" w:cs="仿宋"/>
          <w:sz w:val="24"/>
          <w:szCs w:val="24"/>
          <w:lang w:val="zh-CN"/>
        </w:rPr>
        <w:t xml:space="preserve">中按顺序确定</w:t>
      </w:r>
      <w:r>
        <w:rPr>
          <w:rFonts w:hint="eastAsia" w:ascii="仿宋" w:hAnsi="仿宋" w:eastAsia="仿宋" w:cs="仿宋"/>
          <w:sz w:val="24"/>
          <w:szCs w:val="24"/>
        </w:rPr>
        <w:t xml:space="preserve">成交供应商</w:t>
      </w:r>
      <w:r>
        <w:rPr>
          <w:rFonts w:hint="eastAsia" w:ascii="仿宋" w:hAnsi="仿宋" w:eastAsia="仿宋" w:cs="仿宋"/>
          <w:sz w:val="24"/>
          <w:szCs w:val="24"/>
          <w:lang w:val="zh-CN"/>
        </w:rPr>
        <w:t xml:space="preserve">。</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26.3 交易中心将在“江苏政府采购网”发布成交结果公告，公告期限为1个工作日。</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 若有充分证据证明，成交供应商出现下列情况之一的，一经查实，将被取消成交资格：</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26.4.1 提供虚假材料谋取成交的。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26.4.2 与评审专家、采购人、其他供应商或者交易中心工作人员恶意串通的。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26.4.3 向评审专家、采购人或交易中心工作人员行贿或者提供其他不正当利益的。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26.4.4 恶意竞争，最后报价明显低于其自身合理成本且又无法提供证明的。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26.4.5 不满足本磋商文件规定的实质性要求，但在评审过程中未被磋商小组发现的。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26.4.7 将政府采购合同转包的。</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27.成交通知书</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27.1 成交结果确定后，交易中心将向成交供应商发出《成交通知书》。成交供应商可在成交结果公告届满之日起三十日内，登录苏采云系统下载。    </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七、授予合同</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28.签订合同</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28.2 磋商文件、成交供应商的响应文件及磋商过程中有关澄清、承诺文件均作为合同附件。</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28.4 成交供应商因自身原因拒绝与采购人签订合同的，</w:t>
      </w:r>
      <w:r>
        <w:rPr>
          <w:rFonts w:hint="eastAsia" w:ascii="仿宋" w:hAnsi="仿宋" w:eastAsia="仿宋" w:cs="仿宋"/>
          <w:sz w:val="24"/>
          <w:szCs w:val="24"/>
          <w:lang w:val="zh-CN"/>
        </w:rPr>
        <w:t xml:space="preserve">不得参加采购人</w:t>
      </w:r>
      <w:r>
        <w:rPr>
          <w:rFonts w:hint="eastAsia" w:ascii="仿宋" w:hAnsi="仿宋" w:eastAsia="仿宋" w:cs="仿宋"/>
          <w:sz w:val="24"/>
          <w:szCs w:val="24"/>
        </w:rPr>
        <w:t xml:space="preserve">重新组织的</w:t>
      </w:r>
      <w:r>
        <w:rPr>
          <w:rFonts w:hint="eastAsia" w:ascii="仿宋" w:hAnsi="仿宋" w:eastAsia="仿宋" w:cs="仿宋"/>
          <w:sz w:val="24"/>
          <w:szCs w:val="24"/>
          <w:lang w:val="zh-CN"/>
        </w:rPr>
        <w:t xml:space="preserve">采购活动</w:t>
      </w:r>
      <w:r>
        <w:rPr>
          <w:rFonts w:hint="eastAsia" w:ascii="仿宋" w:hAnsi="仿宋" w:eastAsia="仿宋" w:cs="仿宋"/>
          <w:sz w:val="24"/>
          <w:szCs w:val="24"/>
        </w:rPr>
        <w:t xml:space="preserve">，且将可能被拒绝参加该采购人</w:t>
      </w:r>
      <w:r>
        <w:rPr>
          <w:rFonts w:hint="eastAsia" w:ascii="仿宋" w:hAnsi="仿宋" w:eastAsia="仿宋" w:cs="仿宋"/>
          <w:sz w:val="24"/>
          <w:szCs w:val="24"/>
          <w:lang w:val="zh-CN"/>
        </w:rPr>
        <w:t xml:space="preserve">一年内</w:t>
      </w:r>
      <w:r>
        <w:rPr>
          <w:rFonts w:hint="eastAsia" w:ascii="仿宋" w:hAnsi="仿宋" w:eastAsia="仿宋" w:cs="仿宋"/>
          <w:sz w:val="24"/>
          <w:szCs w:val="24"/>
        </w:rPr>
        <w:t xml:space="preserve">的其他</w:t>
      </w:r>
      <w:r>
        <w:rPr>
          <w:rFonts w:hint="eastAsia" w:ascii="仿宋" w:hAnsi="仿宋" w:eastAsia="仿宋" w:cs="仿宋"/>
          <w:sz w:val="24"/>
          <w:szCs w:val="24"/>
          <w:lang w:val="zh-CN"/>
        </w:rPr>
        <w:t xml:space="preserve">政府采购活动。</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29.标的物的追加</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30.政府采购履约资金扶持政策</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30.1 成交供应商通过</w:t>
      </w:r>
      <w:r>
        <w:rPr>
          <w:rFonts w:hint="eastAsia" w:ascii="仿宋" w:hAnsi="仿宋" w:eastAsia="仿宋" w:cs="仿宋"/>
          <w:sz w:val="24"/>
          <w:szCs w:val="24"/>
          <w:lang w:val="zh-CN"/>
        </w:rPr>
        <w:t xml:space="preserve">南京市公共资源交易</w:t>
      </w:r>
      <w:r>
        <w:rPr>
          <w:rFonts w:hint="eastAsia" w:ascii="仿宋" w:hAnsi="仿宋" w:eastAsia="仿宋" w:cs="仿宋"/>
          <w:sz w:val="24"/>
          <w:szCs w:val="24"/>
        </w:rPr>
        <w:t xml:space="preserve">平台</w:t>
      </w:r>
      <w:r>
        <w:rPr>
          <w:rFonts w:hint="eastAsia" w:ascii="仿宋" w:hAnsi="仿宋" w:eastAsia="仿宋" w:cs="仿宋"/>
          <w:sz w:val="24"/>
          <w:szCs w:val="24"/>
          <w:lang w:val="zh-CN"/>
        </w:rPr>
        <w:t xml:space="preserve">网站“小企业融资平台”，</w:t>
      </w:r>
      <w:r>
        <w:rPr>
          <w:rFonts w:hint="eastAsia" w:ascii="仿宋" w:hAnsi="仿宋" w:eastAsia="仿宋" w:cs="仿宋"/>
          <w:sz w:val="24"/>
          <w:szCs w:val="24"/>
        </w:rPr>
        <w:t xml:space="preserve">选择相应的金融机构</w:t>
      </w:r>
      <w:r>
        <w:rPr>
          <w:rFonts w:hint="eastAsia" w:ascii="仿宋" w:hAnsi="仿宋" w:eastAsia="仿宋" w:cs="仿宋"/>
          <w:sz w:val="24"/>
          <w:szCs w:val="24"/>
          <w:lang w:val="zh-CN"/>
        </w:rPr>
        <w:t xml:space="preserve">办理融资贷款。</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30.2 依据《关于在全省政府采购领域推行电子履约保函（保险）的通知》（苏财购〔2023〕150号），需要缴纳履约保证金的，成交供应商</w:t>
      </w:r>
      <w:r>
        <w:rPr>
          <w:rFonts w:hint="eastAsia" w:ascii="仿宋" w:hAnsi="仿宋" w:eastAsia="仿宋" w:cs="仿宋"/>
          <w:sz w:val="24"/>
          <w:szCs w:val="24"/>
          <w:lang w:val="zh-CN"/>
        </w:rPr>
        <w:t xml:space="preserve">可</w:t>
      </w:r>
      <w:r>
        <w:rPr>
          <w:rFonts w:hint="eastAsia" w:ascii="仿宋" w:hAnsi="仿宋" w:eastAsia="仿宋" w:cs="仿宋"/>
          <w:sz w:val="24"/>
          <w:szCs w:val="24"/>
        </w:rPr>
        <w:t xml:space="preserve">通过江苏政府采购网“政府采购电子履约保函（保险）综合服务平台”线上办理履约保函（保险）</w:t>
      </w:r>
      <w:r>
        <w:rPr>
          <w:rFonts w:hint="eastAsia" w:ascii="仿宋" w:hAnsi="仿宋" w:eastAsia="仿宋" w:cs="仿宋"/>
          <w:sz w:val="24"/>
          <w:szCs w:val="24"/>
          <w:lang w:val="zh-CN"/>
        </w:rPr>
        <w:t xml:space="preserve">。</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八、质疑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31</w:t>
      </w:r>
      <w:r>
        <w:rPr>
          <w:rFonts w:hint="eastAsia" w:ascii="仿宋" w:hAnsi="仿宋" w:eastAsia="仿宋" w:cs="仿宋"/>
          <w:sz w:val="24"/>
          <w:szCs w:val="24"/>
          <w:lang w:val="zh-CN"/>
        </w:rPr>
        <w:t xml:space="preserve">.提出质疑的供应商应当是参与所质疑项目采购活动的供应商，潜在供应商依法获取其可质疑的采购文件的，可以对采购文件提出质疑。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sz w:val="24"/>
          <w:szCs w:val="24"/>
        </w:rPr>
        <w:t xml:space="preserve">按照第3</w:t>
      </w:r>
      <w:r>
        <w:rPr>
          <w:rFonts w:hint="eastAsia" w:ascii="仿宋" w:hAnsi="仿宋" w:eastAsia="仿宋" w:cs="仿宋"/>
          <w:sz w:val="24"/>
          <w:szCs w:val="24"/>
          <w:lang w:val="zh-CN"/>
        </w:rPr>
        <w:t xml:space="preserve">4</w:t>
      </w:r>
      <w:r>
        <w:rPr>
          <w:rFonts w:hint="eastAsia" w:ascii="仿宋" w:hAnsi="仿宋" w:eastAsia="仿宋" w:cs="仿宋"/>
          <w:sz w:val="24"/>
          <w:szCs w:val="24"/>
        </w:rPr>
        <w:t xml:space="preserve">条</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第35</w:t>
      </w:r>
      <w:r>
        <w:rPr>
          <w:rFonts w:hint="eastAsia" w:ascii="仿宋" w:hAnsi="仿宋" w:eastAsia="仿宋" w:cs="仿宋"/>
          <w:sz w:val="24"/>
          <w:szCs w:val="24"/>
          <w:lang w:val="zh-CN"/>
        </w:rPr>
        <w:t xml:space="preserve">条</w:t>
      </w:r>
      <w:r>
        <w:rPr>
          <w:rFonts w:hint="eastAsia" w:ascii="仿宋" w:hAnsi="仿宋" w:eastAsia="仿宋" w:cs="仿宋"/>
          <w:sz w:val="24"/>
          <w:szCs w:val="24"/>
        </w:rPr>
        <w:t xml:space="preserve">之</w:t>
      </w:r>
      <w:r>
        <w:rPr>
          <w:rFonts w:hint="eastAsia" w:ascii="仿宋" w:hAnsi="仿宋" w:eastAsia="仿宋" w:cs="仿宋"/>
          <w:sz w:val="24"/>
          <w:szCs w:val="24"/>
          <w:lang w:val="zh-CN"/>
        </w:rPr>
        <w:t xml:space="preserve">规定以书面形式向采购人或交易中心提出质疑。上述应知其权益受到损害之日是指：</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2.1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对采购文件提出质疑的，为收到采购文件之日或者采购文件公告期限届满之日。</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对采购过程提出质疑的，为各采购程序环节结束之日。</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2.3</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对成交结果提出质疑的，为成交结果公告期限届满之日。</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33.</w:t>
      </w:r>
      <w:r>
        <w:rPr>
          <w:rFonts w:hint="eastAsia" w:ascii="仿宋" w:hAnsi="仿宋" w:eastAsia="仿宋" w:cs="仿宋"/>
          <w:sz w:val="24"/>
          <w:szCs w:val="24"/>
          <w:lang w:val="zh-CN"/>
        </w:rPr>
        <w:t xml:space="preserve">供应商应当在法定质疑期内一次性提出针对同一采购程序环节的质疑。供应商如在法定期限内对同一采购程序环节提出多次质疑的，交易中心</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采购人将只对供应商第一次质疑作出答复。</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34.</w:t>
      </w:r>
      <w:r>
        <w:rPr>
          <w:rFonts w:hint="eastAsia" w:ascii="仿宋" w:hAnsi="仿宋" w:eastAsia="仿宋" w:cs="仿宋"/>
          <w:sz w:val="24"/>
          <w:szCs w:val="24"/>
          <w:lang w:val="zh-CN"/>
        </w:rPr>
        <w:t xml:space="preserve">供应商提出质疑应提交《质疑函》原件，且尽可能通过邮寄方式送达，交易中心和采购人不接受无运单的快件。《质疑函》应按照本磋商文件中《质疑函范本》</w:t>
      </w:r>
      <w:r>
        <w:rPr>
          <w:rFonts w:hint="eastAsia" w:ascii="仿宋" w:hAnsi="仿宋" w:eastAsia="仿宋" w:cs="仿宋"/>
          <w:sz w:val="24"/>
          <w:szCs w:val="24"/>
        </w:rPr>
        <w:t xml:space="preserve">的</w:t>
      </w:r>
      <w:r>
        <w:rPr>
          <w:rFonts w:hint="eastAsia" w:ascii="仿宋" w:hAnsi="仿宋" w:eastAsia="仿宋" w:cs="仿宋"/>
          <w:sz w:val="24"/>
          <w:szCs w:val="24"/>
          <w:lang w:val="zh-CN"/>
        </w:rPr>
        <w:t xml:space="preserve">格式和内容填写。</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供应商如组成联合体参加采购活动，《质疑函范本》中要求加盖公章之处，联合体各方均须按要求加盖公章。</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35.</w:t>
      </w:r>
      <w:r>
        <w:rPr>
          <w:rFonts w:hint="eastAsia" w:ascii="仿宋" w:hAnsi="仿宋" w:eastAsia="仿宋" w:cs="仿宋"/>
          <w:sz w:val="24"/>
          <w:szCs w:val="24"/>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交易中心提出，由交易中心负责答复。</w:t>
      </w:r>
      <w:r>
        <w:rPr>
          <w:rFonts w:hint="eastAsia" w:ascii="仿宋" w:hAnsi="仿宋" w:eastAsia="仿宋" w:cs="仿宋"/>
          <w:sz w:val="24"/>
          <w:szCs w:val="24"/>
        </w:rPr>
        <w:t xml:space="preserve">  </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采购人《质疑</w:t>
      </w:r>
      <w:r>
        <w:rPr>
          <w:rFonts w:hint="eastAsia" w:ascii="仿宋" w:hAnsi="仿宋" w:eastAsia="仿宋" w:cs="仿宋"/>
          <w:sz w:val="24"/>
          <w:szCs w:val="24"/>
        </w:rPr>
        <w:t xml:space="preserve">函</w:t>
      </w:r>
      <w:r>
        <w:rPr>
          <w:rFonts w:hint="eastAsia" w:ascii="仿宋" w:hAnsi="仿宋" w:eastAsia="仿宋" w:cs="仿宋"/>
          <w:sz w:val="24"/>
          <w:szCs w:val="24"/>
          <w:lang w:val="zh-CN"/>
        </w:rPr>
        <w:t xml:space="preserve">》接收人及联系方式见采购文件第一章。</w:t>
      </w:r>
      <w:r/>
    </w:p>
    <w:p>
      <w:pPr>
        <w:ind w:firstLine="480"/>
        <w:jc w:val="left"/>
        <w:spacing w:line="500" w:lineRule="exact"/>
        <w:widowControl/>
        <w:rPr>
          <w:rFonts w:hint="eastAsia" w:ascii="仿宋" w:hAnsi="仿宋" w:eastAsia="仿宋" w:cs="仿宋"/>
          <w:sz w:val="24"/>
          <w:szCs w:val="24"/>
          <w:highlight w:val="yellow"/>
          <w:lang w:val="zh-CN"/>
        </w:rPr>
      </w:pPr>
      <w:r>
        <w:rPr>
          <w:rFonts w:hint="eastAsia" w:ascii="仿宋" w:hAnsi="仿宋" w:eastAsia="仿宋" w:cs="仿宋"/>
          <w:sz w:val="24"/>
          <w:szCs w:val="24"/>
          <w:lang w:val="zh-CN"/>
        </w:rPr>
        <w:t xml:space="preserve">交易中心《质疑函》接收部门为政府采购部（快递运单上的收件人填写“政府采购部”），地址：地址：南京市浦口区象山路4号B座，南京市浦口区江浦街道象山路4号浦口市民中心B幢五楼受理大厅 ，联系电话：</w:t>
      </w:r>
      <w:r>
        <w:rPr>
          <w:rFonts w:hint="eastAsia" w:ascii="仿宋" w:hAnsi="仿宋" w:eastAsia="仿宋" w:cs="仿宋"/>
          <w:sz w:val="24"/>
          <w:szCs w:val="24"/>
        </w:rPr>
        <w:t xml:space="preserve">025-69659180。</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由采购人负责答复质疑，采购人将《质疑答复函》抄送交易中心。</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36.</w:t>
      </w:r>
      <w:r>
        <w:rPr>
          <w:rFonts w:hint="eastAsia" w:ascii="仿宋" w:hAnsi="仿宋" w:eastAsia="仿宋" w:cs="仿宋"/>
          <w:sz w:val="24"/>
          <w:szCs w:val="24"/>
          <w:lang w:val="zh-CN"/>
        </w:rPr>
        <w:t xml:space="preserve">以下情形的质疑不予受理：</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36</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内容不符合《政府采购质疑和投诉办法》第十二条规定的质疑。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36</w:t>
      </w: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超出政府采购法定期限的质疑。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36</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以传真、电子邮件等方式递交的非原件形式的质疑。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36</w:t>
      </w:r>
      <w:r>
        <w:rPr>
          <w:rFonts w:hint="eastAsia" w:ascii="仿宋" w:hAnsi="仿宋" w:eastAsia="仿宋" w:cs="仿宋"/>
          <w:sz w:val="24"/>
          <w:szCs w:val="24"/>
          <w:lang w:val="zh-CN"/>
        </w:rPr>
        <w:t xml:space="preserve">.4</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未参加采购活动或在采购活动中自身权益未受到损害的供应商所提出的质疑。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36</w:t>
      </w:r>
      <w:r>
        <w:rPr>
          <w:rFonts w:hint="eastAsia" w:ascii="仿宋" w:hAnsi="仿宋" w:eastAsia="仿宋" w:cs="仿宋"/>
          <w:sz w:val="24"/>
          <w:szCs w:val="24"/>
          <w:lang w:val="zh-CN"/>
        </w:rPr>
        <w:t xml:space="preserve">.5</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供应商组成联合体参加采购活动，联合体中任何一方或多方未按要求签字或盖章、加盖公章的质疑。</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6.</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 法律法规规定的</w:t>
      </w:r>
      <w:r>
        <w:rPr>
          <w:rFonts w:hint="eastAsia" w:ascii="仿宋" w:hAnsi="仿宋" w:eastAsia="仿宋" w:cs="仿宋"/>
          <w:sz w:val="24"/>
          <w:szCs w:val="24"/>
        </w:rPr>
        <w:t xml:space="preserve">其他</w:t>
      </w:r>
      <w:r>
        <w:rPr>
          <w:rFonts w:hint="eastAsia" w:ascii="仿宋" w:hAnsi="仿宋" w:eastAsia="仿宋" w:cs="仿宋"/>
          <w:sz w:val="24"/>
          <w:szCs w:val="24"/>
          <w:lang w:val="zh-CN"/>
        </w:rPr>
        <w:t xml:space="preserve">不予受理情形。</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37</w:t>
      </w:r>
      <w:r>
        <w:rPr>
          <w:rFonts w:hint="eastAsia" w:ascii="仿宋" w:hAnsi="仿宋" w:eastAsia="仿宋" w:cs="仿宋"/>
          <w:sz w:val="24"/>
          <w:szCs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九、政策功能落实</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38.促进中小企业发展</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38.1 本项目</w:t>
      </w:r>
      <w:r>
        <w:rPr>
          <w:rFonts w:hint="eastAsia" w:ascii="仿宋" w:hAnsi="仿宋" w:eastAsia="仿宋" w:cs="仿宋"/>
          <w:sz w:val="24"/>
          <w:szCs w:val="24"/>
          <w:lang w:val="zh-CN"/>
        </w:rPr>
        <w:t xml:space="preserve">服务由中小企业承接的，</w:t>
      </w:r>
      <w:r>
        <w:rPr>
          <w:rFonts w:hint="eastAsia" w:ascii="仿宋" w:hAnsi="仿宋" w:eastAsia="仿宋" w:cs="仿宋"/>
          <w:sz w:val="24"/>
          <w:szCs w:val="24"/>
        </w:rPr>
        <w:t xml:space="preserve">参与磋商的供应商</w:t>
      </w:r>
      <w:r>
        <w:rPr>
          <w:rFonts w:hint="eastAsia" w:ascii="仿宋" w:hAnsi="仿宋" w:eastAsia="仿宋" w:cs="仿宋"/>
          <w:sz w:val="24"/>
          <w:szCs w:val="24"/>
          <w:lang w:val="zh-CN"/>
        </w:rPr>
        <w:t xml:space="preserve">享受中小企业扶持政策。</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38.2 </w:t>
      </w:r>
      <w:r>
        <w:rPr>
          <w:rFonts w:hint="eastAsia" w:ascii="仿宋" w:hAnsi="仿宋" w:eastAsia="仿宋" w:cs="仿宋"/>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38.3 </w:t>
      </w:r>
      <w:r>
        <w:rPr>
          <w:rFonts w:hint="eastAsia" w:ascii="仿宋" w:hAnsi="仿宋" w:eastAsia="仿宋" w:cs="仿宋"/>
          <w:sz w:val="24"/>
          <w:szCs w:val="24"/>
          <w:lang w:val="zh-CN"/>
        </w:rPr>
        <w:t xml:space="preserve">中小企业参加政府采购活动，应当出具《中小企业声明函》，否则不享受相关中小企业</w:t>
      </w:r>
      <w:r>
        <w:rPr>
          <w:rFonts w:hint="eastAsia" w:ascii="仿宋" w:hAnsi="仿宋" w:eastAsia="仿宋" w:cs="仿宋"/>
          <w:sz w:val="24"/>
          <w:szCs w:val="24"/>
        </w:rPr>
        <w:t xml:space="preserve">支持</w:t>
      </w:r>
      <w:r>
        <w:rPr>
          <w:rFonts w:hint="eastAsia" w:ascii="仿宋" w:hAnsi="仿宋" w:eastAsia="仿宋" w:cs="仿宋"/>
          <w:sz w:val="24"/>
          <w:szCs w:val="24"/>
          <w:lang w:val="zh-CN"/>
        </w:rPr>
        <w:t xml:space="preserve">政策。</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rPr>
        <w:t xml:space="preserve">38.4 </w:t>
      </w:r>
      <w:r>
        <w:rPr>
          <w:rFonts w:hint="eastAsia" w:ascii="仿宋" w:hAnsi="仿宋" w:eastAsia="仿宋" w:cs="仿宋"/>
          <w:sz w:val="24"/>
          <w:szCs w:val="24"/>
          <w:lang w:val="zh-CN"/>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 </w:t>
      </w:r>
      <w:r>
        <w:rPr>
          <w:rFonts w:hint="eastAsia" w:ascii="仿宋" w:hAnsi="仿宋" w:eastAsia="仿宋" w:cs="仿宋"/>
          <w:sz w:val="24"/>
          <w:szCs w:val="24"/>
        </w:rPr>
        <w:t xml:space="preserve">监狱和戒毒企业（简称监狱企业）视同小型、微型企业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w:t>
      </w:r>
      <w:r>
        <w:rPr>
          <w:rFonts w:hint="eastAsia" w:ascii="仿宋" w:hAnsi="仿宋" w:eastAsia="仿宋" w:cs="仿宋"/>
          <w:sz w:val="24"/>
          <w:szCs w:val="24"/>
          <w:lang w:val="zh-CN"/>
        </w:rPr>
        <w:t xml:space="preserve">《关于政府采购支持监狱企业发展有关问题的通知》（财库〔2014〕68号）</w:t>
      </w:r>
      <w:r>
        <w:rPr>
          <w:rFonts w:hint="eastAsia" w:ascii="仿宋" w:hAnsi="仿宋" w:eastAsia="仿宋" w:cs="仿宋"/>
          <w:sz w:val="24"/>
          <w:szCs w:val="24"/>
        </w:rPr>
        <w:t xml:space="preserve">规定，</w:t>
      </w:r>
      <w:r>
        <w:rPr>
          <w:rFonts w:hint="eastAsia" w:ascii="仿宋" w:hAnsi="仿宋" w:eastAsia="仿宋" w:cs="仿宋"/>
          <w:sz w:val="24"/>
          <w:szCs w:val="24"/>
          <w:lang w:val="zh-CN"/>
        </w:rPr>
        <w:t xml:space="preserve">监狱企业需提供由省级以上监狱管理局、戒毒管理局（含新疆生产建设兵团）出具的属于监狱企业的证明文件。</w:t>
      </w:r>
      <w:r/>
    </w:p>
    <w:p>
      <w:pPr>
        <w:ind w:firstLine="480"/>
        <w:jc w:val="left"/>
        <w:spacing w:line="500" w:lineRule="exac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 残疾人福利性单位</w:t>
      </w:r>
      <w:r>
        <w:rPr>
          <w:rFonts w:hint="eastAsia" w:ascii="仿宋" w:hAnsi="仿宋" w:eastAsia="仿宋" w:cs="仿宋"/>
          <w:sz w:val="24"/>
          <w:szCs w:val="24"/>
        </w:rPr>
        <w:t xml:space="preserve">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按照《关于促进残疾人就业政府采购政策的通知》（财库〔2017〕141号）规定，残疾人福利单位需</w:t>
      </w:r>
      <w:r>
        <w:rPr>
          <w:rFonts w:hint="eastAsia" w:ascii="仿宋" w:hAnsi="仿宋" w:eastAsia="仿宋" w:cs="仿宋"/>
          <w:sz w:val="24"/>
          <w:szCs w:val="24"/>
          <w:lang w:val="zh-CN"/>
        </w:rPr>
        <w:t xml:space="preserve">提供《残疾人福利性单位声明函》。</w:t>
      </w:r>
      <w:r/>
    </w:p>
    <w:p>
      <w:pPr>
        <w:ind w:firstLine="480"/>
        <w:jc w:val="left"/>
        <w:spacing w:line="360" w:lineRule="auto"/>
        <w:rPr>
          <w:rFonts w:ascii="黑体" w:eastAsia="黑体"/>
          <w:sz w:val="44"/>
          <w:szCs w:val="44"/>
        </w:rPr>
      </w:pPr>
      <w:r>
        <w:rPr>
          <w:rFonts w:hint="eastAsia" w:ascii="黑体" w:eastAsia="黑体"/>
          <w:sz w:val="44"/>
          <w:szCs w:val="44"/>
        </w:rPr>
        <w:br w:type="page" w:clear="all"/>
      </w:r>
      <w:r/>
    </w:p>
    <w:p>
      <w:pPr>
        <w:pStyle w:val="763"/>
        <w:jc w:val="center"/>
        <w:rPr>
          <w:rFonts w:hint="eastAsia" w:ascii="黑体" w:hAnsi="黑体" w:eastAsia="黑体" w:cs="黑体"/>
        </w:rPr>
      </w:pPr>
      <w:r/>
      <w:bookmarkStart w:id="172" w:name="_Toc29980"/>
      <w:r>
        <w:rPr>
          <w:rFonts w:hint="eastAsia" w:ascii="黑体" w:hAnsi="黑体" w:eastAsia="黑体" w:cs="黑体"/>
        </w:rPr>
        <w:t xml:space="preserve">第三章  合同</w:t>
      </w:r>
      <w:bookmarkEnd w:id="61"/>
      <w:r/>
      <w:bookmarkEnd w:id="62"/>
      <w:r/>
      <w:bookmarkEnd w:id="63"/>
      <w:r/>
      <w:bookmarkEnd w:id="64"/>
      <w:r/>
      <w:bookmarkEnd w:id="65"/>
      <w:r>
        <w:rPr>
          <w:rFonts w:hint="eastAsia" w:ascii="黑体" w:hAnsi="黑体" w:eastAsia="黑体" w:cs="黑体"/>
        </w:rPr>
        <w:t xml:space="preserve">文本</w:t>
      </w:r>
      <w:bookmarkEnd w:id="172"/>
      <w:r/>
      <w:r/>
    </w:p>
    <w:p>
      <w:pPr>
        <w:ind w:firstLine="480"/>
        <w:spacing w:line="276" w:lineRule="auto"/>
        <w:rPr>
          <w:rFonts w:hint="eastAsia" w:ascii="仿宋" w:hAnsi="仿宋" w:eastAsia="仿宋" w:cs="仿宋"/>
          <w:bCs/>
          <w:sz w:val="24"/>
        </w:rPr>
      </w:pPr>
      <w:r/>
      <w:bookmarkStart w:id="173" w:name="_Hlt16619369"/>
      <w:r/>
      <w:bookmarkEnd w:id="173"/>
      <w:r/>
      <w:bookmarkStart w:id="174" w:name="_Toc16938559"/>
      <w:r/>
      <w:bookmarkStart w:id="175" w:name="_Toc513029243"/>
      <w:r/>
      <w:bookmarkStart w:id="176" w:name="_Toc20823315"/>
      <w:r/>
      <w:bookmarkStart w:id="177" w:name="_Hlt16619350"/>
      <w:r/>
      <w:bookmarkStart w:id="178" w:name="_Toc120614244"/>
      <w:r/>
      <w:bookmarkStart w:id="179" w:name="_Toc16938590"/>
      <w:r/>
      <w:bookmarkStart w:id="180" w:name="_Toc20823346"/>
      <w:r/>
      <w:bookmarkStart w:id="181" w:name="_Toc462564139"/>
      <w:r/>
      <w:bookmarkStart w:id="182" w:name="_Toc479757211"/>
      <w:r>
        <w:rPr>
          <w:rFonts w:hint="eastAsia" w:ascii="仿宋" w:hAnsi="仿宋" w:eastAsia="仿宋" w:cs="仿宋"/>
          <w:bCs/>
          <w:sz w:val="24"/>
        </w:rPr>
        <w:t xml:space="preserve">以下为成交后签定本项目合同的通用条款，供应商不得提出实质性的修改。</w:t>
      </w:r>
      <w:bookmarkEnd w:id="174"/>
      <w:r/>
      <w:bookmarkEnd w:id="175"/>
      <w:r/>
      <w:bookmarkEnd w:id="176"/>
      <w:r/>
      <w:r/>
    </w:p>
    <w:p>
      <w:pPr>
        <w:jc w:val="center"/>
        <w:spacing w:before="145" w:after="145" w:line="276" w:lineRule="auto"/>
        <w:rPr>
          <w:rFonts w:hint="eastAsia" w:ascii="宋体" w:hAnsi="宋体"/>
          <w:b/>
          <w:sz w:val="30"/>
        </w:rPr>
      </w:pPr>
      <w:r>
        <w:rPr>
          <w:rFonts w:hint="eastAsia" w:ascii="宋体" w:hAnsi="宋体"/>
          <w:b/>
          <w:sz w:val="30"/>
        </w:rPr>
      </w:r>
      <w:r/>
    </w:p>
    <w:p>
      <w:pPr>
        <w:spacing w:before="22"/>
        <w:rPr>
          <w:rFonts w:hint="eastAsia" w:ascii="仿宋" w:hAnsi="仿宋" w:eastAsia="仿宋"/>
        </w:rPr>
      </w:pPr>
      <w:r>
        <w:rPr>
          <w:rFonts w:hint="eastAsia" w:ascii="仿宋" w:hAnsi="仿宋" w:eastAsia="仿宋"/>
        </w:rPr>
      </w:r>
      <w:r/>
    </w:p>
    <w:p>
      <w:pPr>
        <w:spacing w:before="22"/>
        <w:rPr>
          <w:rFonts w:hint="eastAsia" w:ascii="仿宋" w:hAnsi="仿宋" w:eastAsia="仿宋"/>
        </w:rPr>
      </w:pPr>
      <w:r>
        <w:rPr>
          <w:rFonts w:hint="eastAsia" w:ascii="仿宋" w:hAnsi="仿宋" w:eastAsia="仿宋"/>
        </w:rPr>
      </w:r>
      <w:r/>
    </w:p>
    <w:p>
      <w:pPr>
        <w:spacing w:before="22"/>
        <w:rPr>
          <w:rFonts w:hint="eastAsia" w:ascii="仿宋" w:hAnsi="仿宋" w:eastAsia="仿宋"/>
        </w:rPr>
      </w:pPr>
      <w:r>
        <w:rPr>
          <w:rFonts w:hint="eastAsia" w:ascii="仿宋" w:hAnsi="仿宋" w:eastAsia="仿宋"/>
        </w:rPr>
      </w:r>
      <w:r/>
    </w:p>
    <w:p>
      <w:pPr>
        <w:rPr>
          <w:rFonts w:hint="eastAsia" w:ascii="仿宋" w:hAnsi="仿宋" w:eastAsia="仿宋"/>
        </w:rPr>
        <w:sectPr>
          <w:footerReference w:type="default" r:id="rId10"/>
          <w:footnotePr/>
          <w:endnotePr/>
          <w:type w:val="nextPage"/>
          <w:pgSz w:w="12240" w:h="15840" w:orient="portrait"/>
          <w:pgMar w:top="1346" w:right="1352" w:bottom="1191" w:left="1366" w:header="0" w:footer="0" w:gutter="0"/>
          <w:pgNumType w:start="1"/>
          <w:cols w:num="1" w:sep="0" w:space="1701" w:equalWidth="0">
            <w:col w:w="9522" w:space="0"/>
          </w:cols>
          <w:docGrid w:linePitch="360"/>
        </w:sectPr>
      </w:pPr>
      <w:r>
        <w:rPr>
          <w:rFonts w:hint="eastAsia" w:ascii="仿宋" w:hAnsi="仿宋" w:eastAsia="仿宋"/>
        </w:rPr>
      </w:r>
      <w:r/>
    </w:p>
    <w:p>
      <w:pPr>
        <w:spacing w:line="360" w:lineRule="auto"/>
        <w:rPr>
          <w:rFonts w:hint="eastAsia" w:ascii="仿宋" w:hAnsi="仿宋" w:eastAsia="仿宋" w:cs="宋体"/>
          <w:spacing w:val="-7"/>
          <w:sz w:val="24"/>
          <w:szCs w:val="24"/>
          <w:highlight w:val="yellow"/>
        </w:rPr>
      </w:pPr>
      <w:r>
        <w:rPr>
          <w:rFonts w:hint="eastAsia" w:ascii="仿宋" w:hAnsi="仿宋" w:eastAsia="仿宋" w:cs="宋体"/>
          <w:spacing w:val="-7"/>
          <w:sz w:val="24"/>
          <w:szCs w:val="24"/>
          <w:highlight w:val="yellow"/>
        </w:rPr>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项目编号：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项目名称：</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政府采购计划号：</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采购人：（以下简称甲方）                 供应商：（以下简称乙方）</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南京市浦口区中医院</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住所地：                                  住所地：</w:t>
      </w:r>
      <w:r/>
    </w:p>
    <w:p>
      <w:pPr>
        <w:pStyle w:val="779"/>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根据《中华人民共和国政府采购法》、《中华人民共和国民法典》等法律法规的规定， 甲乙双方经协商签订本合同。</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第一条 合同标的</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乙方提供下列服务：</w:t>
      </w:r>
      <w:r/>
    </w:p>
    <w:tbl>
      <w:tblPr>
        <w:tblStyle w:val="1086"/>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985"/>
        <w:gridCol w:w="3809"/>
        <w:gridCol w:w="1727"/>
        <w:gridCol w:w="1985"/>
      </w:tblGrid>
      <w:tr>
        <w:trPr>
          <w:trHeight w:val="390"/>
        </w:trPr>
        <w:tc>
          <w:tcPr>
            <w:tcW w:w="1985"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pacing w:val="-2"/>
                <w:sz w:val="24"/>
                <w:szCs w:val="24"/>
              </w:rPr>
              <w:t xml:space="preserve">序号</w:t>
            </w:r>
            <w:r/>
          </w:p>
        </w:tc>
        <w:tc>
          <w:tcPr>
            <w:tcW w:w="3809"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pacing w:val="-3"/>
                <w:sz w:val="24"/>
                <w:szCs w:val="24"/>
              </w:rPr>
              <w:t xml:space="preserve">名称</w:t>
            </w:r>
            <w:r/>
          </w:p>
        </w:tc>
        <w:tc>
          <w:tcPr>
            <w:tcW w:w="1727"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pacing w:val="-3"/>
                <w:sz w:val="24"/>
                <w:szCs w:val="24"/>
              </w:rPr>
              <w:t xml:space="preserve">数量</w:t>
            </w:r>
            <w:r/>
          </w:p>
        </w:tc>
        <w:tc>
          <w:tcPr>
            <w:tcW w:w="1985"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pacing w:val="-3"/>
                <w:sz w:val="24"/>
                <w:szCs w:val="24"/>
              </w:rPr>
              <w:t xml:space="preserve">单位</w:t>
            </w:r>
            <w:r/>
          </w:p>
        </w:tc>
      </w:tr>
      <w:tr>
        <w:trPr>
          <w:trHeight w:val="420"/>
        </w:trPr>
        <w:tc>
          <w:tcPr>
            <w:tcBorders>
              <w:bottom w:val="single" w:color="404040" w:sz="2" w:space="0"/>
              <w:right w:val="single" w:color="404040" w:sz="2" w:space="0"/>
            </w:tcBorders>
            <w:tcW w:w="1985"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bottom w:val="single" w:color="404040" w:sz="2" w:space="0"/>
              <w:right w:val="single" w:color="404040" w:sz="2" w:space="0"/>
            </w:tcBorders>
            <w:tcW w:w="3809" w:type="dxa"/>
            <w:textDirection w:val="lrTb"/>
            <w:noWrap/>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404040" w:sz="2" w:space="0"/>
              <w:right w:val="single" w:color="404040" w:sz="2" w:space="0"/>
            </w:tcBorders>
            <w:tcW w:w="1727"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bottom w:val="single" w:color="404040" w:sz="2" w:space="0"/>
              <w:right w:val="single" w:color="404040" w:sz="2" w:space="0"/>
            </w:tcBorders>
            <w:tcW w:w="1985" w:type="dxa"/>
            <w:textDirection w:val="lrTb"/>
            <w:noWrap/>
          </w:tcPr>
          <w:p>
            <w:pPr>
              <w:pStyle w:val="1092"/>
              <w:spacing w:line="360" w:lineRule="auto"/>
              <w:rPr>
                <w:rFonts w:hint="eastAsia" w:ascii="仿宋" w:hAnsi="仿宋" w:eastAsia="仿宋" w:cs="仿宋"/>
                <w:sz w:val="24"/>
                <w:szCs w:val="24"/>
              </w:rPr>
            </w:pPr>
            <w:r>
              <w:rPr>
                <w:rFonts w:hint="eastAsia" w:ascii="仿宋" w:hAnsi="仿宋" w:eastAsia="仿宋" w:cs="仿宋"/>
                <w:sz w:val="24"/>
                <w:szCs w:val="24"/>
              </w:rPr>
              <w:t xml:space="preserve">项</w:t>
            </w:r>
            <w:r/>
          </w:p>
        </w:tc>
      </w:tr>
    </w:tbl>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服务内容详见乙方投标（响应）文件。</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第二条 合同总价款</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本合同项下总价款为（大写）人民币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本合同最终结算总价款按照招标文件约定执行。</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本合同总价款包含以下内容：</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（1）完成本服务项目发生的所有含税费用；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（2）支付给员工的工资和国家强制缴纳的各种社会保障资金；</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（3）乙方应当提供的伴随服务/售后服务费用；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（4）供应商认为需要的其他费用。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第三条 合同期限</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中标后15日内签订合同，合同签订后180日内交付，自验收报告签字确认日起开始进入质保期，质保期：软件1年。</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第四条 组成本合同的有关文件</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下列关于      号的招标（采购）文件、投标（响应）文件， 以及与本次采购活动相关的文件及有关附件是本合同不可分割的组成部分，与本合同具有同等法律效力，这些文件包括但不限于：</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（1）投标（响应）文件和报价表；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（2）服务一览表；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（3）交付一览表；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（4）技术规格响应表；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（5）投标（响应）承诺；</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（6）服务承诺；</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（7）中标（成交）通知书；</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（8）甲乙双方商定的其它文件。</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第五条 权利保证</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乙方应保证甲方在使用该服务或其任何一部分时不受第三方提出侵犯其专利权、版权、商标权或其他权利的起诉。一旦出现侵权，乙方应承担全部责任。</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第六条 质量保证</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乙方所提供的服务的技术规格应与招标（采购）文件规定的技术规格及所附的“技术规格响应表”相一致；若技术性能无特殊说明，则按国家有关部门最新颁布的标准及规范为准。</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第七条 交付和验收</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1.交付时间：中标后15日内签订合同，合同签订后180日内交付。</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2.验收标准：按行业通行标准和乙方投标（响应）文件的承诺（详见合同附件载明的标准，并不低于国家相关标准）。</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第八条 履约保证金</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1.中标（成交）供应商应按以下第（1）方式向采购人缴纳履约保证金：</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（1）无需缴纳履约保证金；</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（2）投标保证金转为履约保证金；</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（3）以支票、汇票、本票或者金融机构、担保机构出具的保函等非现金形式缴纳履约保证金，金额为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2.履约保证金的有效期至时止。</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3.如乙方未能履行合同规定的义务，甲方有权从履约保证金中取得补偿。</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4.履约保证金扣除甲方应得的补偿后的余额，在有效期满后个工作日内无息退还给乙方。</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第九条 合同款支付</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1.本合同项下所有款项均以人民币支付。</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2.本合同项下的采购资金由乙方开具发票，甲方按照本条第 3 款的约定支付。</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3.合同款项的支付方式及进度安排：</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（1）合同签订后，支付预付款30%；</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（2）设备安装调试完成并经采购人验收合格后支付价款的60%：</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（3）无质量问题，正常稳定运行满一年后支付剩余10%尾款。</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注：1、满足合同约定支付条件的，甲方收到乙方发票后15个工作日内，将资金支付到合同约定的乙方账户。2、每次付款乙方须向甲方开具符合甲方财务要求的发票。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第十条 违约责任</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1.甲方无正当理由拒收服务、拒付服务款的，甲方向乙方偿付合同总价的 5%违约金。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2.甲方未按合同规定的期限向乙方支付服务款的，每逾期 1 天甲方向乙方偿付欠款总额的5‰滞纳金，但累计滞纳金总额不超过欠款总额的 5% 。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3.甲方逾期退还履约保证金的，除应当退还履约保证金本金外，还应当按中国人民银行同 期贷款基准利率上浮 20%后的利率支付超期资金占用费，但因乙方自身原因导致无法及时 退还的除外。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4.如乙方不能交付服务的，甲方有权扣留全部履约保证金；同时乙方应向甲方支付合同总价5%的违约金。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5.乙方逾期交付的，每逾期1天，乙方向甲方偿付合同总额的‰的滞纳金。如乙方逾期交付达 10 天，甲方有权解除合同，解除合同的通知自到达乙方时生效。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6.乙方所交付的服务不符合合同规定的，甲方有权拒收。甲方拒收的，乙方应向甲方支付合同总款 5%的违约金。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7.在乙方承诺的或国家规定的质量保证期内（取两者中最长的期限），如经乙方 2 次整改仍不能达到合同约定的质量标准，乙方应退回全部合同价款，并按本条第 3 款处理，同时，乙方还须赔偿甲方因此遭受的损失。</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8.乙方未按本合同的规定和服务承诺提供伴随服务/售后服务的，应按合同总价款的 5%向甲方承担违约责任。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9.乙方在承担上述 4-7 款一项或多项违约责任后，仍应继续履行合同规定的义务（甲方解 除合同的除外）。甲方未能及时追究乙方的任何一项违约责任并不表明甲方放弃追究乙方该项或其他违约责任。 </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10.乙方响应属虚假承诺，或经权威部门检测提供的服务不能满足投标（响应）文件要求，或是由于乙方的过错造成合同无法继续履行的，乙方履约保证金不予退还外，还应向甲方支付不少于合同总价 30%赔偿金。</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第十一条 合同的变更和终止</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1.除《政府采购法》第 50 条规定的情形外，本合同一经签订，甲乙双方不得擅自变更、中止或终止。</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2.除发生法律规定的不能预见、不能避免并不能克服的客观情况外，甲乙双方不得放弃或 拒绝履行合同。乙方放弃或拒绝履行合同，履约保证金不予退还，并按规定接受相关部门的处罚。</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第十二条 合同的转让</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乙方不得擅自部分或全部转让其应履行的合同义务。</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第十三条 争议的解决</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1.因服务的质量问题发生争议的，应当邀请国家认可的质量检测机构对服务质量进行鉴定。符合标准的，鉴定费由甲方承担；不符合标准的，鉴定费由乙方承担。</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2.因履行本合同引起的或与本合同有关的争议，甲、乙双方应首先通过友好协商解决，如果协商不能解决争议，则采取以下第（1）种方式解决争议：</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（1）向甲方所在地有管辖权的人民法院提起诉讼；</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（2）向南京仲裁委员会按其仲裁规则申请仲裁。</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如没有约定，默认采取第 2 种方式解决争议。</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3.仲裁期间本合同应继续履行。</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第十四条 诚实信用</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乙方应诚实信用，严格按照招标（采购）文件要求和投标（响应）承诺履行合同，不向甲方进行商业贿赂或者提供不正当利益。</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第十五条 合同生效及其他</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1.本合同自签订之日起生效，两个工作日内在财政部门指定的媒体上公告。</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2.本合同一式三份，甲乙双方及南京市公共资源交易中心各执一份。</w:t>
      </w:r>
      <w:r/>
    </w:p>
    <w:p>
      <w:pPr>
        <w:spacing w:line="360" w:lineRule="auto"/>
        <w:rPr>
          <w:rFonts w:hint="eastAsia" w:ascii="仿宋" w:hAnsi="仿宋" w:eastAsia="仿宋" w:cs="仿宋"/>
          <w:spacing w:val="-5"/>
          <w:sz w:val="24"/>
          <w:szCs w:val="24"/>
        </w:rPr>
      </w:pPr>
      <w:r>
        <w:rPr>
          <w:rFonts w:hint="eastAsia" w:ascii="仿宋" w:hAnsi="仿宋" w:eastAsia="仿宋" w:cs="仿宋"/>
          <w:spacing w:val="-5"/>
          <w:sz w:val="24"/>
          <w:szCs w:val="24"/>
        </w:rPr>
        <w:t xml:space="preserve">3.本合同按照中华人民共和国的现行法律进行解释。</w:t>
      </w:r>
      <w:r/>
    </w:p>
    <w:p>
      <w:pPr>
        <w:spacing w:before="26"/>
        <w:rPr>
          <w:rFonts w:hint="eastAsia" w:ascii="仿宋" w:hAnsi="仿宋" w:eastAsia="仿宋"/>
        </w:rPr>
      </w:pPr>
      <w:r>
        <w:rPr>
          <w:rFonts w:hint="eastAsia" w:ascii="仿宋" w:hAnsi="仿宋" w:eastAsia="仿宋"/>
        </w:rPr>
      </w:r>
      <w:r/>
    </w:p>
    <w:p>
      <w:pPr>
        <w:spacing w:before="26"/>
        <w:rPr>
          <w:rFonts w:hint="eastAsia" w:ascii="仿宋" w:hAnsi="仿宋" w:eastAsia="仿宋"/>
        </w:rPr>
      </w:pPr>
      <w:r>
        <w:rPr>
          <w:rFonts w:hint="eastAsia" w:ascii="仿宋" w:hAnsi="仿宋" w:eastAsia="仿宋"/>
        </w:rPr>
      </w:r>
      <w:r/>
    </w:p>
    <w:tbl>
      <w:tblPr>
        <w:tblStyle w:val="1086"/>
        <w:tblW w:w="9594"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63"/>
        <w:gridCol w:w="4731"/>
      </w:tblGrid>
      <w:tr>
        <w:trPr>
          <w:trHeight w:val="600"/>
        </w:trPr>
        <w:tc>
          <w:tcPr>
            <w:tcW w:w="4863" w:type="dxa"/>
            <w:textDirection w:val="lrTb"/>
            <w:noWrap/>
          </w:tcPr>
          <w:p>
            <w:pPr>
              <w:pStyle w:val="1092"/>
              <w:ind w:left="31"/>
              <w:spacing w:before="1" w:line="218" w:lineRule="auto"/>
              <w:rPr>
                <w:rFonts w:hint="eastAsia" w:ascii="仿宋" w:hAnsi="仿宋" w:eastAsia="仿宋"/>
                <w:sz w:val="24"/>
                <w:szCs w:val="24"/>
              </w:rPr>
            </w:pPr>
            <w:r>
              <w:rPr>
                <w:rFonts w:ascii="仿宋" w:hAnsi="仿宋" w:eastAsia="仿宋"/>
                <w:spacing w:val="-12"/>
                <w:sz w:val="24"/>
                <w:szCs w:val="24"/>
              </w:rPr>
              <w:t xml:space="preserve">甲方（采购人</w:t>
            </w:r>
            <w:r>
              <w:rPr>
                <w:rFonts w:ascii="仿宋" w:hAnsi="仿宋" w:eastAsia="仿宋"/>
                <w:spacing w:val="-5"/>
                <w:sz w:val="24"/>
                <w:szCs w:val="24"/>
              </w:rPr>
              <w:t xml:space="preserve">）：</w:t>
            </w:r>
            <w:r/>
          </w:p>
        </w:tc>
        <w:tc>
          <w:tcPr>
            <w:tcW w:w="4731" w:type="dxa"/>
            <w:textDirection w:val="lrTb"/>
            <w:noWrap/>
          </w:tcPr>
          <w:p>
            <w:pPr>
              <w:pStyle w:val="1092"/>
              <w:spacing w:before="1" w:line="218" w:lineRule="auto"/>
              <w:rPr>
                <w:rFonts w:hint="eastAsia" w:ascii="仿宋" w:hAnsi="仿宋" w:eastAsia="仿宋"/>
                <w:sz w:val="24"/>
                <w:szCs w:val="24"/>
              </w:rPr>
            </w:pPr>
            <w:r>
              <w:rPr>
                <w:rFonts w:ascii="仿宋" w:hAnsi="仿宋" w:eastAsia="仿宋"/>
                <w:spacing w:val="-26"/>
                <w:sz w:val="24"/>
                <w:szCs w:val="24"/>
              </w:rPr>
              <w:t xml:space="preserve">乙方（供应商</w:t>
            </w:r>
            <w:r>
              <w:rPr>
                <w:rFonts w:ascii="仿宋" w:hAnsi="仿宋" w:eastAsia="仿宋"/>
                <w:spacing w:val="-23"/>
                <w:sz w:val="24"/>
                <w:szCs w:val="24"/>
              </w:rPr>
              <w:t xml:space="preserve">）：</w:t>
            </w:r>
            <w:r/>
          </w:p>
        </w:tc>
      </w:tr>
      <w:tr>
        <w:trPr>
          <w:trHeight w:val="728"/>
        </w:trPr>
        <w:tc>
          <w:tcPr>
            <w:tcW w:w="4863" w:type="dxa"/>
            <w:textDirection w:val="lrTb"/>
            <w:noWrap/>
          </w:tcPr>
          <w:p>
            <w:pPr>
              <w:pStyle w:val="1092"/>
              <w:ind w:left="7"/>
              <w:spacing w:before="78" w:line="219" w:lineRule="auto"/>
              <w:rPr>
                <w:rFonts w:hint="eastAsia" w:ascii="仿宋" w:hAnsi="仿宋" w:eastAsia="仿宋"/>
                <w:sz w:val="24"/>
                <w:szCs w:val="24"/>
              </w:rPr>
            </w:pPr>
            <w:r>
              <w:rPr>
                <w:rFonts w:ascii="仿宋" w:hAnsi="仿宋" w:eastAsia="仿宋"/>
                <w:spacing w:val="-6"/>
                <w:sz w:val="24"/>
                <w:szCs w:val="24"/>
              </w:rPr>
              <w:t xml:space="preserve">（盖章）</w:t>
            </w:r>
            <w:r/>
          </w:p>
        </w:tc>
        <w:tc>
          <w:tcPr>
            <w:tcW w:w="4731" w:type="dxa"/>
            <w:textDirection w:val="lrTb"/>
            <w:noWrap/>
          </w:tcPr>
          <w:p>
            <w:pPr>
              <w:pStyle w:val="1092"/>
              <w:spacing w:before="78" w:line="219" w:lineRule="auto"/>
              <w:rPr>
                <w:rFonts w:hint="eastAsia" w:ascii="仿宋" w:hAnsi="仿宋" w:eastAsia="仿宋"/>
                <w:sz w:val="24"/>
                <w:szCs w:val="24"/>
              </w:rPr>
            </w:pPr>
            <w:r>
              <w:rPr>
                <w:rFonts w:ascii="仿宋" w:hAnsi="仿宋" w:eastAsia="仿宋"/>
                <w:spacing w:val="-6"/>
                <w:sz w:val="24"/>
                <w:szCs w:val="24"/>
              </w:rPr>
              <w:t xml:space="preserve">（盖章）</w:t>
            </w:r>
            <w:r/>
          </w:p>
        </w:tc>
      </w:tr>
      <w:tr>
        <w:trPr>
          <w:trHeight w:val="622"/>
        </w:trPr>
        <w:tc>
          <w:tcPr>
            <w:tcW w:w="4863" w:type="dxa"/>
            <w:textDirection w:val="lrTb"/>
            <w:noWrap/>
          </w:tcPr>
          <w:p>
            <w:pPr>
              <w:pStyle w:val="1092"/>
              <w:spacing w:before="127" w:line="220" w:lineRule="auto"/>
              <w:rPr>
                <w:rFonts w:hint="eastAsia" w:ascii="仿宋" w:hAnsi="仿宋" w:eastAsia="仿宋"/>
                <w:sz w:val="24"/>
                <w:szCs w:val="24"/>
              </w:rPr>
            </w:pPr>
            <w:r>
              <w:rPr>
                <w:rFonts w:ascii="仿宋" w:hAnsi="仿宋" w:eastAsia="仿宋"/>
                <w:spacing w:val="-12"/>
                <w:sz w:val="24"/>
                <w:szCs w:val="24"/>
              </w:rPr>
              <w:t xml:space="preserve">代表人：</w:t>
            </w:r>
            <w:r/>
          </w:p>
        </w:tc>
        <w:tc>
          <w:tcPr>
            <w:tcW w:w="4731" w:type="dxa"/>
            <w:textDirection w:val="lrTb"/>
            <w:noWrap/>
          </w:tcPr>
          <w:p>
            <w:pPr>
              <w:pStyle w:val="1092"/>
              <w:spacing w:before="127" w:line="220" w:lineRule="auto"/>
              <w:rPr>
                <w:rFonts w:hint="eastAsia" w:ascii="仿宋" w:hAnsi="仿宋" w:eastAsia="仿宋"/>
                <w:sz w:val="24"/>
                <w:szCs w:val="24"/>
              </w:rPr>
            </w:pPr>
            <w:r>
              <w:rPr>
                <w:rFonts w:ascii="仿宋" w:hAnsi="仿宋" w:eastAsia="仿宋"/>
                <w:spacing w:val="-2"/>
                <w:sz w:val="24"/>
                <w:szCs w:val="24"/>
              </w:rPr>
              <w:t xml:space="preserve">代表人：</w:t>
            </w:r>
            <w:r/>
          </w:p>
        </w:tc>
      </w:tr>
      <w:tr>
        <w:trPr>
          <w:trHeight w:val="757"/>
        </w:trPr>
        <w:tc>
          <w:tcPr>
            <w:tcW w:w="4863" w:type="dxa"/>
            <w:textDirection w:val="lrTb"/>
            <w:noWrap/>
          </w:tcPr>
          <w:p>
            <w:pPr>
              <w:pStyle w:val="1092"/>
              <w:ind w:left="29"/>
              <w:spacing w:before="128" w:line="222" w:lineRule="auto"/>
              <w:rPr>
                <w:rFonts w:hint="eastAsia" w:ascii="仿宋" w:hAnsi="仿宋" w:eastAsia="仿宋"/>
                <w:sz w:val="24"/>
                <w:szCs w:val="24"/>
              </w:rPr>
            </w:pPr>
            <w:r>
              <w:rPr>
                <w:rFonts w:ascii="仿宋" w:hAnsi="仿宋" w:eastAsia="仿宋"/>
                <w:spacing w:val="-21"/>
                <w:sz w:val="24"/>
                <w:szCs w:val="24"/>
              </w:rPr>
              <w:t xml:space="preserve">电话：</w:t>
            </w:r>
            <w:r/>
          </w:p>
        </w:tc>
        <w:tc>
          <w:tcPr>
            <w:tcW w:w="4731" w:type="dxa"/>
            <w:textDirection w:val="lrTb"/>
            <w:noWrap/>
          </w:tcPr>
          <w:p>
            <w:pPr>
              <w:pStyle w:val="1092"/>
              <w:spacing w:before="128" w:line="222" w:lineRule="auto"/>
              <w:rPr>
                <w:rFonts w:hint="eastAsia" w:ascii="仿宋" w:hAnsi="仿宋" w:eastAsia="仿宋"/>
                <w:sz w:val="24"/>
                <w:szCs w:val="24"/>
              </w:rPr>
            </w:pPr>
            <w:r>
              <w:rPr>
                <w:rFonts w:ascii="仿宋" w:hAnsi="仿宋" w:eastAsia="仿宋"/>
                <w:spacing w:val="-21"/>
                <w:sz w:val="24"/>
                <w:szCs w:val="24"/>
              </w:rPr>
              <w:t xml:space="preserve">电话：</w:t>
            </w:r>
            <w:r/>
          </w:p>
        </w:tc>
      </w:tr>
      <w:tr>
        <w:trPr>
          <w:trHeight w:val="711"/>
        </w:trPr>
        <w:tc>
          <w:tcPr>
            <w:tcW w:w="4863" w:type="dxa"/>
            <w:textDirection w:val="lrTb"/>
            <w:noWrap/>
          </w:tcPr>
          <w:p>
            <w:pPr>
              <w:pStyle w:val="1092"/>
              <w:ind w:left="1"/>
              <w:spacing w:before="136" w:line="220" w:lineRule="auto"/>
              <w:rPr>
                <w:rFonts w:hint="eastAsia" w:ascii="仿宋" w:hAnsi="仿宋" w:eastAsia="仿宋"/>
                <w:sz w:val="24"/>
                <w:szCs w:val="24"/>
              </w:rPr>
            </w:pPr>
            <w:r>
              <w:rPr>
                <w:rFonts w:ascii="仿宋" w:hAnsi="仿宋" w:eastAsia="仿宋"/>
                <w:spacing w:val="-11"/>
                <w:sz w:val="24"/>
                <w:szCs w:val="24"/>
              </w:rPr>
              <w:t xml:space="preserve">开户银行：</w:t>
            </w:r>
            <w:r/>
          </w:p>
        </w:tc>
        <w:tc>
          <w:tcPr>
            <w:tcW w:w="4731" w:type="dxa"/>
            <w:textDirection w:val="lrTb"/>
            <w:noWrap/>
          </w:tcPr>
          <w:p>
            <w:pPr>
              <w:pStyle w:val="1092"/>
              <w:spacing w:before="136" w:line="220" w:lineRule="auto"/>
              <w:rPr>
                <w:rFonts w:hint="eastAsia" w:ascii="仿宋" w:hAnsi="仿宋" w:eastAsia="仿宋"/>
                <w:sz w:val="24"/>
                <w:szCs w:val="24"/>
              </w:rPr>
            </w:pPr>
            <w:r>
              <w:rPr>
                <w:rFonts w:ascii="仿宋" w:hAnsi="仿宋" w:eastAsia="仿宋"/>
                <w:spacing w:val="-11"/>
                <w:sz w:val="24"/>
                <w:szCs w:val="24"/>
              </w:rPr>
              <w:t xml:space="preserve">开户银行：</w:t>
            </w:r>
            <w:r/>
          </w:p>
        </w:tc>
      </w:tr>
      <w:tr>
        <w:trPr>
          <w:trHeight w:val="703"/>
        </w:trPr>
        <w:tc>
          <w:tcPr>
            <w:tcW w:w="4863" w:type="dxa"/>
            <w:textDirection w:val="lrTb"/>
            <w:noWrap/>
          </w:tcPr>
          <w:p>
            <w:pPr>
              <w:pStyle w:val="1092"/>
              <w:ind w:left="4"/>
              <w:spacing w:before="129" w:line="176" w:lineRule="auto"/>
              <w:rPr>
                <w:rFonts w:hint="eastAsia" w:ascii="仿宋" w:hAnsi="仿宋" w:eastAsia="仿宋"/>
                <w:sz w:val="24"/>
                <w:szCs w:val="24"/>
              </w:rPr>
            </w:pPr>
            <w:r>
              <w:rPr>
                <w:rFonts w:ascii="仿宋" w:hAnsi="仿宋" w:eastAsia="仿宋"/>
                <w:spacing w:val="-15"/>
                <w:sz w:val="24"/>
                <w:szCs w:val="24"/>
              </w:rPr>
              <w:t xml:space="preserve">账号：</w:t>
            </w:r>
            <w:r/>
          </w:p>
        </w:tc>
        <w:tc>
          <w:tcPr>
            <w:tcW w:w="4731" w:type="dxa"/>
            <w:textDirection w:val="lrTb"/>
            <w:noWrap/>
          </w:tcPr>
          <w:p>
            <w:pPr>
              <w:pStyle w:val="1092"/>
              <w:spacing w:before="129" w:line="176" w:lineRule="auto"/>
              <w:rPr>
                <w:rFonts w:hint="eastAsia" w:ascii="仿宋" w:hAnsi="仿宋" w:eastAsia="仿宋"/>
                <w:sz w:val="24"/>
                <w:szCs w:val="24"/>
              </w:rPr>
            </w:pPr>
            <w:r>
              <w:rPr>
                <w:rFonts w:ascii="仿宋" w:hAnsi="仿宋" w:eastAsia="仿宋"/>
                <w:spacing w:val="-15"/>
                <w:sz w:val="24"/>
                <w:szCs w:val="24"/>
              </w:rPr>
              <w:t xml:space="preserve">账号：</w:t>
            </w:r>
            <w:r/>
          </w:p>
        </w:tc>
      </w:tr>
    </w:tbl>
    <w:p>
      <w:pPr>
        <w:rPr>
          <w:rFonts w:hint="eastAsia" w:ascii="宋体" w:hAnsi="宋体" w:cs="宋体"/>
          <w:bCs/>
          <w:sz w:val="24"/>
          <w:szCs w:val="24"/>
        </w:rPr>
      </w:pPr>
      <w:r>
        <w:rPr>
          <w:rFonts w:hint="eastAsia" w:ascii="宋体" w:hAnsi="宋体" w:cs="宋体"/>
          <w:bCs/>
          <w:sz w:val="24"/>
          <w:szCs w:val="24"/>
        </w:rPr>
      </w:r>
      <w:r/>
    </w:p>
    <w:p>
      <w:pPr>
        <w:spacing w:line="0" w:lineRule="atLeast"/>
        <w:rPr>
          <w:rFonts w:hint="eastAsia" w:ascii="宋体" w:hAnsi="宋体"/>
          <w:color w:val="ff0000"/>
          <w:sz w:val="24"/>
          <w:szCs w:val="21"/>
        </w:rPr>
      </w:pPr>
      <w:r>
        <w:rPr>
          <w:rFonts w:hint="eastAsia" w:ascii="宋体" w:hAnsi="宋体"/>
          <w:color w:val="ff0000"/>
          <w:sz w:val="24"/>
          <w:szCs w:val="21"/>
        </w:rPr>
      </w:r>
      <w:r/>
    </w:p>
    <w:p>
      <w:pPr>
        <w:pStyle w:val="1012"/>
        <w:spacing w:before="120" w:after="120" w:line="276" w:lineRule="auto"/>
        <w:rPr>
          <w:rFonts w:hint="eastAsia" w:hAnsi="宋体"/>
          <w:sz w:val="24"/>
          <w:szCs w:val="24"/>
        </w:rPr>
      </w:pPr>
      <w:r>
        <w:rPr>
          <w:rFonts w:hint="eastAsia" w:hAnsi="宋体"/>
          <w:sz w:val="24"/>
          <w:szCs w:val="24"/>
        </w:rPr>
      </w:r>
      <w:r/>
    </w:p>
    <w:p>
      <w:pPr>
        <w:pStyle w:val="1012"/>
        <w:spacing w:before="120" w:after="120" w:line="276" w:lineRule="auto"/>
        <w:rPr>
          <w:rFonts w:hint="eastAsia" w:hAnsi="宋体"/>
          <w:sz w:val="24"/>
          <w:szCs w:val="24"/>
          <w:highlight w:val="yellow"/>
        </w:rPr>
      </w:pPr>
      <w:r>
        <w:rPr>
          <w:rFonts w:hint="eastAsia" w:hAnsi="宋体"/>
          <w:sz w:val="24"/>
          <w:szCs w:val="24"/>
          <w:highlight w:val="yellow"/>
        </w:rPr>
      </w:r>
      <w:r/>
    </w:p>
    <w:p>
      <w:pPr>
        <w:pStyle w:val="1012"/>
        <w:spacing w:before="120" w:after="120" w:line="276" w:lineRule="auto"/>
        <w:rPr>
          <w:rFonts w:hint="eastAsia" w:hAnsi="宋体"/>
          <w:sz w:val="24"/>
          <w:szCs w:val="24"/>
          <w:highlight w:val="yellow"/>
        </w:rPr>
      </w:pPr>
      <w:r>
        <w:rPr>
          <w:rFonts w:hint="eastAsia" w:hAnsi="宋体"/>
          <w:sz w:val="24"/>
          <w:szCs w:val="24"/>
          <w:highlight w:val="yellow"/>
        </w:rPr>
      </w:r>
      <w:r/>
    </w:p>
    <w:p>
      <w:pPr>
        <w:pStyle w:val="1012"/>
        <w:spacing w:before="120" w:after="120" w:line="276" w:lineRule="auto"/>
        <w:rPr>
          <w:rFonts w:hint="eastAsia" w:hAnsi="宋体"/>
          <w:sz w:val="24"/>
          <w:szCs w:val="24"/>
          <w:highlight w:val="yellow"/>
        </w:rPr>
      </w:pPr>
      <w:r>
        <w:rPr>
          <w:rFonts w:hint="eastAsia" w:hAnsi="宋体"/>
          <w:sz w:val="24"/>
          <w:szCs w:val="24"/>
          <w:highlight w:val="yellow"/>
        </w:rPr>
      </w:r>
      <w:r/>
    </w:p>
    <w:p>
      <w:pPr>
        <w:pStyle w:val="1012"/>
        <w:spacing w:before="120" w:after="120" w:line="276" w:lineRule="auto"/>
        <w:rPr>
          <w:rFonts w:hint="eastAsia" w:hAnsi="宋体"/>
          <w:sz w:val="24"/>
          <w:szCs w:val="24"/>
        </w:rPr>
      </w:pPr>
      <w:r>
        <w:rPr>
          <w:rFonts w:hint="eastAsia" w:hAnsi="宋体"/>
          <w:sz w:val="24"/>
          <w:szCs w:val="24"/>
        </w:rPr>
      </w:r>
      <w:r/>
    </w:p>
    <w:p>
      <w:pPr>
        <w:pStyle w:val="1012"/>
        <w:spacing w:before="120" w:after="120" w:line="276" w:lineRule="auto"/>
        <w:rPr>
          <w:rFonts w:hint="eastAsia" w:hAnsi="宋体"/>
          <w:sz w:val="24"/>
          <w:szCs w:val="24"/>
        </w:rPr>
      </w:pPr>
      <w:r>
        <w:rPr>
          <w:rFonts w:hint="eastAsia" w:hAnsi="宋体"/>
          <w:sz w:val="24"/>
          <w:szCs w:val="24"/>
        </w:rPr>
      </w:r>
      <w:r/>
    </w:p>
    <w:p>
      <w:pPr>
        <w:pStyle w:val="1012"/>
        <w:spacing w:before="120" w:after="120" w:line="276" w:lineRule="auto"/>
        <w:rPr>
          <w:rFonts w:hint="eastAsia" w:hAnsi="宋体"/>
          <w:sz w:val="24"/>
          <w:szCs w:val="24"/>
        </w:rPr>
      </w:pPr>
      <w:r>
        <w:rPr>
          <w:rFonts w:hint="eastAsia" w:hAnsi="宋体"/>
          <w:sz w:val="24"/>
          <w:szCs w:val="24"/>
        </w:rPr>
      </w:r>
      <w:r/>
    </w:p>
    <w:p>
      <w:pPr>
        <w:pStyle w:val="1012"/>
        <w:spacing w:before="120" w:after="120" w:line="276" w:lineRule="auto"/>
        <w:rPr>
          <w:rFonts w:hint="eastAsia" w:hAnsi="宋体"/>
          <w:sz w:val="24"/>
          <w:szCs w:val="24"/>
        </w:rPr>
      </w:pPr>
      <w:r>
        <w:rPr>
          <w:rFonts w:hint="eastAsia" w:hAnsi="宋体"/>
          <w:sz w:val="24"/>
          <w:szCs w:val="24"/>
        </w:rPr>
      </w:r>
      <w:r/>
    </w:p>
    <w:p>
      <w:pPr>
        <w:pStyle w:val="1012"/>
        <w:spacing w:before="120" w:after="120" w:line="276" w:lineRule="auto"/>
        <w:rPr>
          <w:rFonts w:hint="eastAsia" w:hAnsi="宋体"/>
          <w:sz w:val="24"/>
          <w:szCs w:val="24"/>
        </w:rPr>
      </w:pPr>
      <w:r>
        <w:rPr>
          <w:rFonts w:hint="eastAsia" w:hAnsi="宋体"/>
          <w:sz w:val="24"/>
          <w:szCs w:val="24"/>
        </w:rPr>
      </w:r>
      <w:r/>
    </w:p>
    <w:p>
      <w:pPr>
        <w:jc w:val="center"/>
        <w:spacing w:before="145" w:after="145" w:line="276" w:lineRule="auto"/>
        <w:rPr>
          <w:rFonts w:hint="eastAsia" w:ascii="宋体" w:hAnsi="宋体"/>
          <w:b/>
          <w:sz w:val="30"/>
          <w:szCs w:val="21"/>
        </w:rPr>
        <w:outlineLvl w:val="0"/>
      </w:pPr>
      <w:r/>
      <w:bookmarkStart w:id="183" w:name="_Toc30740"/>
      <w:r>
        <w:rPr>
          <w:rFonts w:hint="eastAsia" w:ascii="宋体" w:hAnsi="宋体"/>
          <w:b/>
          <w:sz w:val="30"/>
          <w:szCs w:val="21"/>
        </w:rPr>
        <w:t xml:space="preserve">《*******合同》补充协议（合同附件）</w:t>
      </w:r>
      <w:bookmarkEnd w:id="183"/>
      <w:r/>
      <w:r/>
    </w:p>
    <w:p>
      <w:pPr>
        <w:pStyle w:val="1012"/>
        <w:jc w:val="left"/>
        <w:spacing w:before="120" w:after="120" w:line="276" w:lineRule="auto"/>
        <w:rPr>
          <w:rFonts w:hint="eastAsia" w:hAnsi="宋体"/>
          <w:color w:val="000000"/>
          <w:sz w:val="24"/>
          <w:szCs w:val="24"/>
        </w:rPr>
      </w:pPr>
      <w:r>
        <w:rPr>
          <w:rFonts w:hint="eastAsia" w:hAnsi="宋体"/>
          <w:color w:val="000000"/>
          <w:sz w:val="24"/>
          <w:szCs w:val="24"/>
        </w:rPr>
        <w:t xml:space="preserve">    如遇采购文件及合同未约定事项，双方可友好协商签订补充协议。</w:t>
      </w:r>
      <w:r/>
    </w:p>
    <w:p>
      <w:pPr>
        <w:jc w:val="center"/>
        <w:spacing w:line="360" w:lineRule="auto"/>
        <w:rPr>
          <w:rFonts w:ascii="黑体" w:hAnsi="Courier New" w:eastAsia="黑体" w:cs="Courier New"/>
          <w:bCs/>
          <w:sz w:val="44"/>
          <w:szCs w:val="21"/>
        </w:rPr>
        <w:outlineLvl w:val="0"/>
      </w:pPr>
      <w:r>
        <w:rPr>
          <w:rFonts w:hint="eastAsia" w:ascii="宋体" w:hAnsi="宋体" w:cs="Courier New"/>
          <w:color w:val="000000"/>
          <w:sz w:val="24"/>
          <w:szCs w:val="24"/>
        </w:rPr>
        <w:br w:type="page" w:clear="all"/>
      </w:r>
      <w:bookmarkStart w:id="184" w:name="_Toc1812"/>
      <w:r>
        <w:rPr>
          <w:rStyle w:val="854"/>
          <w:rFonts w:hint="eastAsia" w:ascii="黑体" w:hAnsi="黑体" w:eastAsia="黑体" w:cs="黑体"/>
        </w:rPr>
        <w:t xml:space="preserve">第</w:t>
      </w:r>
      <w:bookmarkEnd w:id="177"/>
      <w:r>
        <w:rPr>
          <w:rStyle w:val="854"/>
          <w:rFonts w:hint="eastAsia" w:ascii="黑体" w:hAnsi="黑体" w:eastAsia="黑体" w:cs="黑体"/>
        </w:rPr>
        <w:t xml:space="preserve">四章 采购需求</w:t>
      </w:r>
      <w:bookmarkEnd w:id="178"/>
      <w:r/>
      <w:bookmarkEnd w:id="179"/>
      <w:r/>
      <w:bookmarkEnd w:id="180"/>
      <w:r/>
      <w:bookmarkEnd w:id="184"/>
      <w:r/>
      <w:bookmarkStart w:id="185" w:name="_Toc49090575"/>
      <w:r/>
      <w:bookmarkStart w:id="186" w:name="_Toc26554093"/>
      <w:r/>
      <w:r/>
    </w:p>
    <w:p>
      <w:pPr>
        <w:spacing w:line="360" w:lineRule="auto"/>
        <w:rPr>
          <w:rFonts w:hint="eastAsia" w:ascii="仿宋" w:hAnsi="仿宋" w:eastAsia="仿宋" w:cs="仿宋"/>
          <w:b/>
          <w:bCs/>
          <w:color w:val="000000"/>
          <w:sz w:val="24"/>
          <w:szCs w:val="24"/>
        </w:rPr>
      </w:pPr>
      <w:r/>
      <w:bookmarkStart w:id="187" w:name="_Toc8848"/>
      <w:r/>
      <w:bookmarkStart w:id="188" w:name="_Toc120614281"/>
      <w:r>
        <w:rPr>
          <w:rFonts w:hint="eastAsia" w:ascii="仿宋" w:hAnsi="仿宋" w:eastAsia="仿宋" w:cs="仿宋"/>
          <w:b/>
          <w:bCs/>
          <w:color w:val="000000"/>
          <w:sz w:val="24"/>
          <w:szCs w:val="24"/>
        </w:rPr>
        <w:t xml:space="preserve">一、项目属性：</w:t>
      </w:r>
      <w:r>
        <w:rPr>
          <w:rFonts w:hint="eastAsia" w:ascii="仿宋" w:hAnsi="仿宋" w:eastAsia="仿宋" w:cs="仿宋"/>
          <w:color w:val="000000"/>
          <w:sz w:val="24"/>
          <w:szCs w:val="24"/>
        </w:rPr>
        <w:t xml:space="preserve">信息技术服务类项目</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二、项目背景</w:t>
      </w:r>
      <w:r/>
    </w:p>
    <w:p>
      <w:pPr>
        <w:ind w:firstLine="51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为配合2025年浦口区整合型医疗服务体系项目，同时为满足临床实际工作需要，拟采购并建设符合国家标准的胸痛、卒中平台，旨在使医院的胸痛、卒中中心运营更加科学、规范和高效，突出医院在专科急救领域的优势，并助力医院相关学科的能力建设和跨越式发展。通过实现快速诊断、及时治疗、降低死亡率、减少浪费并改善临床预后</w:t>
      </w:r>
      <w:r>
        <w:rPr>
          <w:rFonts w:hint="eastAsia" w:ascii="仿宋" w:hAnsi="仿宋" w:eastAsia="仿宋" w:cs="仿宋"/>
          <w:color w:val="000000"/>
          <w:sz w:val="24"/>
          <w:szCs w:val="24"/>
        </w:rPr>
        <w:t xml:space="preserve">，提升胸痛、卒中患者的救治质量。通过胸痛、卒中中心管理系统的建立，构建一套符合国家标准的救治流程。建立集院前急救、远程指导、预检分诊、绿色通道、数据中心质控上报、时钟同步、筛查、质控、随访为一体的专病急救管理系统。实现院前、院中、院后患者全生命周期的数字化监控体系，全面提升医院的在急危重症方面的整体管理水平和救治服务能力。系统需与医院现有的信息化系统对接，包括电子病历系统、医嘱系统、收费系统、检查、检验、南京市院前急救系统等。同时系统应具有可拓展性，后续可无缝接入医院创伤中心等系统形成统一的急救中心平台。。</w:t>
      </w:r>
      <w:r/>
    </w:p>
    <w:p>
      <w:pPr>
        <w:rPr>
          <w:rFonts w:hint="eastAsia" w:ascii="仿宋" w:hAnsi="仿宋" w:eastAsia="仿宋" w:cs="仿宋"/>
          <w:b/>
          <w:bCs/>
          <w:color w:val="000000"/>
          <w:sz w:val="24"/>
          <w:szCs w:val="24"/>
        </w:rPr>
      </w:pPr>
      <w:r>
        <w:rPr>
          <w:rFonts w:hint="eastAsia" w:ascii="仿宋" w:hAnsi="仿宋" w:eastAsia="仿宋" w:cs="仿宋"/>
          <w:b/>
          <w:bCs/>
          <w:color w:val="000000"/>
          <w:sz w:val="24"/>
          <w:szCs w:val="24"/>
        </w:rPr>
        <w:br w:type="page" w:clear="all"/>
      </w:r>
      <w:r/>
    </w:p>
    <w:p>
      <w:pPr>
        <w:ind w:firstLine="241"/>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三、建设内容与主要技术要求</w:t>
      </w:r>
      <w:r/>
    </w:p>
    <w:p>
      <w:pPr>
        <w:keepLines/>
        <w:keepNext/>
        <w:spacing w:after="480"/>
        <w:rPr>
          <w:rFonts w:eastAsia="仿宋"/>
        </w:rPr>
      </w:pPr>
      <w:r>
        <w:rPr>
          <w:rFonts w:hint="eastAsia" w:ascii="仿宋" w:hAnsi="仿宋" w:eastAsia="仿宋" w:cs="仿宋"/>
          <w:b/>
          <w:bCs/>
          <w:color w:val="000000"/>
          <w:sz w:val="24"/>
          <w:szCs w:val="24"/>
        </w:rPr>
        <w:t xml:space="preserve">（一）建设内容及功能说明</w:t>
      </w:r>
      <w:r/>
    </w:p>
    <w:p>
      <w:pPr>
        <w:spacing w:after="240"/>
        <w:rPr>
          <w:rFonts w:hint="eastAsia" w:ascii="宋体" w:hAnsi="宋体"/>
          <w:b/>
          <w:bCs/>
          <w:sz w:val="24"/>
          <w:szCs w:val="24"/>
        </w:rPr>
      </w:pPr>
      <w:r/>
      <w:bookmarkStart w:id="189" w:name="OLE_LINK10"/>
      <w:r>
        <w:rPr>
          <w:rFonts w:hint="eastAsia" w:ascii="宋体" w:hAnsi="宋体"/>
          <w:b/>
          <w:bCs/>
          <w:sz w:val="24"/>
          <w:szCs w:val="24"/>
        </w:rPr>
        <w:t xml:space="preserve">1、卒中中心系统</w:t>
      </w:r>
      <w:bookmarkEnd w:id="189"/>
      <w:r/>
    </w:p>
    <w:tbl>
      <w:tblPr>
        <w:tblStyle w:val="773"/>
        <w:tblW w:w="9160" w:type="dxa"/>
        <w:jc w:val="center"/>
        <w:tblLayout w:type="autofit"/>
        <w:tblCellMar>
          <w:left w:w="108" w:type="dxa"/>
          <w:top w:w="0" w:type="dxa"/>
          <w:right w:w="108" w:type="dxa"/>
          <w:bottom w:w="0" w:type="dxa"/>
        </w:tblCellMar>
        <w:tblLook w:val="04A0" w:firstRow="1" w:lastRow="0" w:firstColumn="1" w:lastColumn="0" w:noHBand="0" w:noVBand="1"/>
      </w:tblPr>
      <w:tblGrid>
        <w:gridCol w:w="1069"/>
        <w:gridCol w:w="1774"/>
        <w:gridCol w:w="4177"/>
        <w:gridCol w:w="1070"/>
        <w:gridCol w:w="1070"/>
      </w:tblGrid>
      <w:tr>
        <w:trPr>
          <w:jc w:val="center"/>
          <w:trHeight w:val="340"/>
        </w:trPr>
        <w:tc>
          <w:tcPr>
            <w:shd w:val="clear" w:color="000000" w:fill="f2f2f2"/>
            <w:tcBorders>
              <w:top w:val="single" w:color="auto" w:sz="4" w:space="0"/>
              <w:left w:val="single" w:color="auto" w:sz="4" w:space="0"/>
              <w:bottom w:val="single" w:color="auto" w:sz="4" w:space="0"/>
              <w:right w:val="single" w:color="auto" w:sz="4" w:space="0"/>
            </w:tcBorders>
            <w:tcW w:w="1069" w:type="dxa"/>
            <w:vAlign w:val="center"/>
            <w:textDirection w:val="lrTb"/>
            <w:noWrap/>
          </w:tcPr>
          <w:p>
            <w:pPr>
              <w:jc w:val="center"/>
              <w:widowControl/>
              <w:rPr>
                <w:rFonts w:ascii="方正仿宋_GB18030" w:hAnsi="方正仿宋_GB18030" w:eastAsia="方正仿宋_GB18030" w:cs="方正仿宋_GB18030"/>
                <w:sz w:val="24"/>
                <w:szCs w:val="24"/>
              </w:rPr>
            </w:pPr>
            <w:r/>
            <w:bookmarkStart w:id="190" w:name="OLE_LINK11"/>
            <w:r>
              <w:rPr>
                <w:rFonts w:hint="eastAsia" w:ascii="方正仿宋_GB18030" w:hAnsi="方正仿宋_GB18030" w:eastAsia="方正仿宋_GB18030" w:cs="方正仿宋_GB18030"/>
                <w:sz w:val="24"/>
                <w:szCs w:val="24"/>
              </w:rPr>
              <w:t xml:space="preserve">序号</w:t>
            </w:r>
            <w:r/>
          </w:p>
        </w:tc>
        <w:tc>
          <w:tcPr>
            <w:shd w:val="clear" w:color="000000" w:fill="f2f2f2"/>
            <w:tcBorders>
              <w:top w:val="single" w:color="auto" w:sz="4" w:space="0"/>
              <w:left w:val="none" w:color="000000" w:sz="4" w:space="0"/>
              <w:bottom w:val="single" w:color="auto" w:sz="4" w:space="0"/>
              <w:right w:val="single" w:color="auto" w:sz="4" w:space="0"/>
            </w:tcBorders>
            <w:tcW w:w="1774"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服务名称</w:t>
            </w:r>
            <w:r/>
          </w:p>
        </w:tc>
        <w:tc>
          <w:tcPr>
            <w:shd w:val="clear" w:color="000000" w:fill="f2f2f2"/>
            <w:tcBorders>
              <w:top w:val="single" w:color="auto" w:sz="4" w:space="0"/>
              <w:left w:val="none" w:color="000000" w:sz="4" w:space="0"/>
              <w:bottom w:val="single" w:color="auto" w:sz="4" w:space="0"/>
              <w:right w:val="single" w:color="auto" w:sz="4" w:space="0"/>
            </w:tcBorders>
            <w:tcW w:w="4177"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功能模块</w:t>
            </w:r>
            <w:r/>
          </w:p>
        </w:tc>
        <w:tc>
          <w:tcPr>
            <w:shd w:val="clear" w:color="000000" w:fill="f2f2f2"/>
            <w:tcBorders>
              <w:top w:val="single" w:color="auto" w:sz="4" w:space="0"/>
              <w:left w:val="none" w:color="000000" w:sz="4" w:space="0"/>
              <w:bottom w:val="single" w:color="auto" w:sz="4" w:space="0"/>
              <w:right w:val="single" w:color="auto" w:sz="4" w:space="0"/>
            </w:tcBorders>
            <w:tcW w:w="1070"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数量</w:t>
            </w:r>
            <w:r/>
          </w:p>
        </w:tc>
        <w:tc>
          <w:tcPr>
            <w:shd w:val="clear" w:color="000000" w:fill="f2f2f2"/>
            <w:tcBorders>
              <w:top w:val="single" w:color="auto" w:sz="4" w:space="0"/>
              <w:left w:val="none" w:color="000000" w:sz="4" w:space="0"/>
              <w:bottom w:val="single" w:color="auto" w:sz="4" w:space="0"/>
              <w:right w:val="single" w:color="auto" w:sz="4" w:space="0"/>
            </w:tcBorders>
            <w:tcW w:w="1070"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单位</w:t>
            </w:r>
            <w:r/>
          </w:p>
        </w:tc>
      </w:tr>
      <w:tr>
        <w:trPr>
          <w:jc w:val="center"/>
          <w:trHeight w:val="567"/>
        </w:trPr>
        <w:tc>
          <w:tcPr>
            <w:tcBorders>
              <w:top w:val="single" w:color="000000" w:sz="4" w:space="0"/>
              <w:left w:val="single" w:color="000000" w:sz="4" w:space="0"/>
              <w:right w:val="single" w:color="000000" w:sz="4" w:space="0"/>
            </w:tcBorders>
            <w:tcW w:w="1069"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卒中专病数据集成管理</w:t>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物联网救治时间采集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卒中救治数据集成</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卒中急救通道</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top w:val="single" w:color="000000" w:sz="4" w:space="0"/>
              <w:left w:val="single" w:color="000000" w:sz="4" w:space="0"/>
              <w:right w:val="single" w:color="000000" w:sz="4" w:space="0"/>
            </w:tcBorders>
            <w:tcW w:w="1069"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2</w:t>
            </w:r>
            <w:r/>
          </w:p>
        </w:tc>
        <w:tc>
          <w:tcPr>
            <w:tcBorders>
              <w:top w:val="single" w:color="000000" w:sz="4" w:space="0"/>
              <w:left w:val="single" w:color="000000" w:sz="4" w:space="0"/>
              <w:right w:val="single" w:color="000000" w:sz="4" w:space="0"/>
            </w:tcBorders>
            <w:tcW w:w="1774"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卒中专病管理平台</w:t>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卒中路径管理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卒中患者管理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卒中数据中心</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卒中数据上报</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卒中质控管理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套</w:t>
            </w:r>
            <w:r/>
          </w:p>
        </w:tc>
      </w:tr>
      <w:tr>
        <w:trPr>
          <w:jc w:val="center"/>
          <w:trHeight w:val="567"/>
        </w:trPr>
        <w:tc>
          <w:tcPr>
            <w:tcBorders>
              <w:left w:val="single" w:color="000000" w:sz="4" w:space="0"/>
              <w:bottom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bottom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卒中患者随访管理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套</w:t>
            </w:r>
            <w:r/>
          </w:p>
        </w:tc>
      </w:tr>
      <w:tr>
        <w:trPr>
          <w:jc w:val="center"/>
          <w:trHeight w:val="567"/>
        </w:trPr>
        <w:tc>
          <w:tcPr>
            <w:tcBorders>
              <w:top w:val="single" w:color="000000" w:sz="4" w:space="0"/>
              <w:left w:val="single" w:color="000000" w:sz="4" w:space="0"/>
              <w:bottom w:val="single" w:color="auto" w:sz="4" w:space="0"/>
              <w:right w:val="single" w:color="000000" w:sz="4" w:space="0"/>
            </w:tcBorders>
            <w:tcW w:w="1069"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eastAsia="方正仿宋_GB18030"/>
                <w:color w:val="000000"/>
                <w:sz w:val="22"/>
              </w:rPr>
            </w:pPr>
            <w:r>
              <w:rPr>
                <w:rFonts w:hint="eastAsia" w:eastAsia="方正仿宋_GB18030"/>
                <w:color w:val="000000"/>
                <w:sz w:val="22"/>
              </w:rPr>
              <w:t xml:space="preserve">卒中专病个性化评分配置</w:t>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2"/>
              </w:rPr>
            </w:pPr>
            <w:r>
              <w:rPr>
                <w:rFonts w:hint="eastAsia" w:eastAsia="方正仿宋_GB18030"/>
                <w:color w:val="000000"/>
                <w:sz w:val="22"/>
              </w:rPr>
              <w:t xml:space="preserve">评分设置</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bookmarkEnd w:id="190"/>
            <w:r/>
          </w:p>
        </w:tc>
      </w:tr>
    </w:tbl>
    <w:p>
      <w:r>
        <w:t xml:space="preserve"> </w:t>
      </w:r>
      <w:r/>
    </w:p>
    <w:p>
      <w:pPr>
        <w:jc w:val="left"/>
        <w:widowControl/>
      </w:pPr>
      <w:r>
        <w:br w:type="page" w:clear="all"/>
      </w:r>
      <w:r/>
    </w:p>
    <w:p>
      <w:r/>
      <w:r/>
    </w:p>
    <w:p>
      <w:pPr>
        <w:spacing w:after="240"/>
        <w:rPr>
          <w:rFonts w:hint="eastAsia" w:ascii="宋体" w:hAnsi="宋体"/>
          <w:b/>
          <w:bCs/>
          <w:sz w:val="24"/>
          <w:szCs w:val="24"/>
        </w:rPr>
      </w:pPr>
      <w:r/>
      <w:bookmarkStart w:id="191" w:name="OLE_LINK12"/>
      <w:r>
        <w:rPr>
          <w:rFonts w:hint="eastAsia" w:ascii="宋体" w:hAnsi="宋体"/>
          <w:b/>
          <w:bCs/>
          <w:sz w:val="24"/>
          <w:szCs w:val="24"/>
        </w:rPr>
        <w:t xml:space="preserve">2、胸痛中心系统</w:t>
      </w:r>
      <w:bookmarkEnd w:id="191"/>
      <w:r/>
    </w:p>
    <w:tbl>
      <w:tblPr>
        <w:tblStyle w:val="773"/>
        <w:tblW w:w="9160" w:type="dxa"/>
        <w:jc w:val="center"/>
        <w:tblLayout w:type="autofit"/>
        <w:tblCellMar>
          <w:left w:w="108" w:type="dxa"/>
          <w:top w:w="0" w:type="dxa"/>
          <w:right w:w="108" w:type="dxa"/>
          <w:bottom w:w="0" w:type="dxa"/>
        </w:tblCellMar>
        <w:tblLook w:val="04A0" w:firstRow="1" w:lastRow="0" w:firstColumn="1" w:lastColumn="0" w:noHBand="0" w:noVBand="1"/>
      </w:tblPr>
      <w:tblGrid>
        <w:gridCol w:w="1069"/>
        <w:gridCol w:w="1774"/>
        <w:gridCol w:w="4177"/>
        <w:gridCol w:w="1070"/>
        <w:gridCol w:w="1070"/>
      </w:tblGrid>
      <w:tr>
        <w:trPr>
          <w:jc w:val="center"/>
          <w:trHeight w:val="340"/>
        </w:trPr>
        <w:tc>
          <w:tcPr>
            <w:shd w:val="clear" w:color="000000" w:fill="f2f2f2"/>
            <w:tcBorders>
              <w:top w:val="single" w:color="auto" w:sz="4" w:space="0"/>
              <w:left w:val="single" w:color="auto" w:sz="4" w:space="0"/>
              <w:bottom w:val="single" w:color="auto" w:sz="4" w:space="0"/>
              <w:right w:val="single" w:color="auto" w:sz="4" w:space="0"/>
            </w:tcBorders>
            <w:tcW w:w="1069"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序号</w:t>
            </w:r>
            <w:r/>
          </w:p>
        </w:tc>
        <w:tc>
          <w:tcPr>
            <w:shd w:val="clear" w:color="000000" w:fill="f2f2f2"/>
            <w:tcBorders>
              <w:top w:val="single" w:color="auto" w:sz="4" w:space="0"/>
              <w:left w:val="none" w:color="000000" w:sz="4" w:space="0"/>
              <w:bottom w:val="single" w:color="auto" w:sz="4" w:space="0"/>
              <w:right w:val="single" w:color="auto" w:sz="4" w:space="0"/>
            </w:tcBorders>
            <w:tcW w:w="1774"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服务名称</w:t>
            </w:r>
            <w:r/>
          </w:p>
        </w:tc>
        <w:tc>
          <w:tcPr>
            <w:shd w:val="clear" w:color="000000" w:fill="f2f2f2"/>
            <w:tcBorders>
              <w:top w:val="single" w:color="auto" w:sz="4" w:space="0"/>
              <w:left w:val="none" w:color="000000" w:sz="4" w:space="0"/>
              <w:bottom w:val="single" w:color="auto" w:sz="4" w:space="0"/>
              <w:right w:val="single" w:color="auto" w:sz="4" w:space="0"/>
            </w:tcBorders>
            <w:tcW w:w="4177"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功能模块</w:t>
            </w:r>
            <w:r/>
          </w:p>
        </w:tc>
        <w:tc>
          <w:tcPr>
            <w:shd w:val="clear" w:color="000000" w:fill="f2f2f2"/>
            <w:tcBorders>
              <w:top w:val="single" w:color="auto" w:sz="4" w:space="0"/>
              <w:left w:val="none" w:color="000000" w:sz="4" w:space="0"/>
              <w:bottom w:val="single" w:color="auto" w:sz="4" w:space="0"/>
              <w:right w:val="single" w:color="auto" w:sz="4" w:space="0"/>
            </w:tcBorders>
            <w:tcW w:w="1070"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数量</w:t>
            </w:r>
            <w:r/>
          </w:p>
        </w:tc>
        <w:tc>
          <w:tcPr>
            <w:shd w:val="clear" w:color="000000" w:fill="f2f2f2"/>
            <w:tcBorders>
              <w:top w:val="single" w:color="auto" w:sz="4" w:space="0"/>
              <w:left w:val="none" w:color="000000" w:sz="4" w:space="0"/>
              <w:bottom w:val="single" w:color="auto" w:sz="4" w:space="0"/>
              <w:right w:val="single" w:color="auto" w:sz="4" w:space="0"/>
            </w:tcBorders>
            <w:tcW w:w="1070" w:type="dxa"/>
            <w:vAlign w:val="center"/>
            <w:textDirection w:val="lrTb"/>
            <w:noWrap/>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单位</w:t>
            </w:r>
            <w:r/>
          </w:p>
        </w:tc>
      </w:tr>
      <w:tr>
        <w:trPr>
          <w:jc w:val="center"/>
          <w:trHeight w:val="567"/>
        </w:trPr>
        <w:tc>
          <w:tcPr>
            <w:tcBorders>
              <w:top w:val="single" w:color="000000" w:sz="4" w:space="0"/>
              <w:left w:val="single" w:color="000000" w:sz="4" w:space="0"/>
              <w:right w:val="single" w:color="000000" w:sz="4" w:space="0"/>
            </w:tcBorders>
            <w:tcW w:w="1069"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胸痛专病数据集成管理</w:t>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物联网救治时间采集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胸痛救治数据集成</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胸痛急救通道</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top w:val="single" w:color="000000" w:sz="4" w:space="0"/>
              <w:left w:val="single" w:color="000000" w:sz="4" w:space="0"/>
              <w:right w:val="single" w:color="000000" w:sz="4" w:space="0"/>
            </w:tcBorders>
            <w:tcW w:w="1069"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2</w:t>
            </w:r>
            <w:r/>
          </w:p>
        </w:tc>
        <w:tc>
          <w:tcPr>
            <w:tcBorders>
              <w:top w:val="single" w:color="000000" w:sz="4" w:space="0"/>
              <w:left w:val="single" w:color="000000" w:sz="4" w:space="0"/>
              <w:right w:val="single" w:color="000000" w:sz="4" w:space="0"/>
            </w:tcBorders>
            <w:tcW w:w="1774" w:type="dxa"/>
            <w:vAlign w:val="center"/>
            <w:vMerge w:val="restart"/>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胸痛专病管理平台</w:t>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胸痛路径管理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胸痛患者管理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胸痛数据中心</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胸痛数据上报</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r>
        <w:trPr>
          <w:jc w:val="center"/>
          <w:trHeight w:val="567"/>
        </w:trPr>
        <w:tc>
          <w:tcPr>
            <w:tcBorders>
              <w:left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胸痛质控管理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套</w:t>
            </w:r>
            <w:r/>
          </w:p>
        </w:tc>
      </w:tr>
      <w:tr>
        <w:trPr>
          <w:jc w:val="center"/>
          <w:trHeight w:val="567"/>
        </w:trPr>
        <w:tc>
          <w:tcPr>
            <w:tcBorders>
              <w:left w:val="single" w:color="000000" w:sz="4" w:space="0"/>
              <w:bottom w:val="single" w:color="000000" w:sz="4" w:space="0"/>
              <w:right w:val="single" w:color="000000" w:sz="4" w:space="0"/>
            </w:tcBorders>
            <w:tcW w:w="1069" w:type="dxa"/>
            <w:vAlign w:val="center"/>
            <w:vMerge w:val="continue"/>
            <w:textDirection w:val="lrTb"/>
            <w:noWrap w:val="false"/>
          </w:tcPr>
          <w:p>
            <w:pPr>
              <w:jc w:val="center"/>
              <w:widowControl/>
              <w:rPr>
                <w:rFonts w:eastAsia="方正仿宋_GB18030"/>
                <w:color w:val="000000"/>
                <w:sz w:val="24"/>
                <w:szCs w:val="24"/>
              </w:rPr>
            </w:pPr>
            <w:r>
              <w:rPr>
                <w:rFonts w:eastAsia="方正仿宋_GB18030"/>
                <w:color w:val="000000"/>
                <w:sz w:val="24"/>
                <w:szCs w:val="24"/>
              </w:rPr>
            </w:r>
            <w:r/>
          </w:p>
        </w:tc>
        <w:tc>
          <w:tcPr>
            <w:tcBorders>
              <w:left w:val="single" w:color="000000" w:sz="4" w:space="0"/>
              <w:bottom w:val="single" w:color="000000" w:sz="4" w:space="0"/>
              <w:right w:val="single" w:color="000000" w:sz="4" w:space="0"/>
            </w:tcBorders>
            <w:tcW w:w="1774" w:type="dxa"/>
            <w:vAlign w:val="center"/>
            <w:vMerge w:val="continue"/>
            <w:textDirection w:val="lrTb"/>
            <w:noWrap w:val="false"/>
          </w:tcPr>
          <w:p>
            <w:pPr>
              <w:jc w:val="left"/>
              <w:widowControl/>
              <w:rPr>
                <w:rFonts w:eastAsia="方正仿宋_GB18030"/>
                <w:color w:val="000000"/>
                <w:sz w:val="24"/>
                <w:szCs w:val="24"/>
              </w:rPr>
            </w:pPr>
            <w:r>
              <w:rPr>
                <w:rFonts w:eastAsia="方正仿宋_GB18030"/>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胸痛患者随访管理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套</w:t>
            </w:r>
            <w:r/>
          </w:p>
        </w:tc>
      </w:tr>
      <w:tr>
        <w:trPr>
          <w:jc w:val="center"/>
          <w:trHeight w:val="970"/>
        </w:trPr>
        <w:tc>
          <w:tcPr>
            <w:tcBorders>
              <w:top w:val="single" w:color="000000" w:sz="4" w:space="0"/>
              <w:left w:val="single" w:color="000000" w:sz="4" w:space="0"/>
              <w:bottom w:val="single" w:color="auto" w:sz="4" w:space="0"/>
              <w:right w:val="single" w:color="000000" w:sz="4" w:space="0"/>
            </w:tcBorders>
            <w:tcW w:w="1069" w:type="dxa"/>
            <w:vAlign w:val="center"/>
            <w:textDirection w:val="lrTb"/>
            <w:noWrap w:val="false"/>
          </w:tcPr>
          <w:p>
            <w:pPr>
              <w:jc w:val="center"/>
              <w:widowControl/>
              <w:rPr>
                <w:rFonts w:eastAsia="方正仿宋_GB18030"/>
                <w:color w:val="000000"/>
                <w:sz w:val="24"/>
                <w:szCs w:val="24"/>
              </w:rPr>
            </w:pPr>
            <w:r>
              <w:rPr>
                <w:rFonts w:hint="eastAsia" w:eastAsia="方正仿宋_GB18030"/>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eastAsia="方正仿宋_GB18030"/>
                <w:color w:val="000000"/>
                <w:sz w:val="22"/>
              </w:rPr>
            </w:pPr>
            <w:r>
              <w:rPr>
                <w:rFonts w:hint="eastAsia" w:eastAsia="方正仿宋_GB18030"/>
                <w:color w:val="000000"/>
                <w:sz w:val="22"/>
              </w:rPr>
              <w:t xml:space="preserve">胸痛专病个性化评分配置</w:t>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val="false"/>
          </w:tcPr>
          <w:p>
            <w:pPr>
              <w:jc w:val="center"/>
              <w:widowControl/>
              <w:rPr>
                <w:rFonts w:eastAsia="方正仿宋_GB18030"/>
                <w:color w:val="000000"/>
                <w:sz w:val="22"/>
              </w:rPr>
            </w:pPr>
            <w:r>
              <w:rPr>
                <w:rFonts w:hint="eastAsia" w:eastAsia="方正仿宋_GB18030"/>
                <w:color w:val="000000"/>
                <w:sz w:val="22"/>
              </w:rPr>
              <w:t xml:space="preserve">评分设置</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widowControl/>
              <w:rPr>
                <w:rFonts w:eastAsia="方正仿宋_GB18030"/>
                <w:color w:val="000000"/>
                <w:sz w:val="24"/>
                <w:szCs w:val="24"/>
              </w:rPr>
            </w:pPr>
            <w:r>
              <w:rPr>
                <w:rFonts w:eastAsia="方正仿宋_GB18030"/>
                <w:color w:val="000000"/>
                <w:sz w:val="24"/>
                <w:szCs w:val="24"/>
              </w:rPr>
              <w:t xml:space="preserve">套</w:t>
            </w:r>
            <w:r/>
          </w:p>
        </w:tc>
      </w:tr>
    </w:tbl>
    <w:p>
      <w:pPr>
        <w:spacing w:after="240"/>
      </w:pPr>
      <w:r/>
      <w:r/>
    </w:p>
    <w:p>
      <w:pPr>
        <w:jc w:val="left"/>
        <w:widowControl/>
      </w:pPr>
      <w:r>
        <w:br w:type="page" w:clear="all"/>
      </w:r>
      <w:r/>
    </w:p>
    <w:p>
      <w:pPr>
        <w:spacing w:after="240"/>
      </w:pPr>
      <w:r/>
      <w:r/>
    </w:p>
    <w:p>
      <w:pPr>
        <w:spacing w:after="240"/>
        <w:rPr>
          <w:rFonts w:hint="eastAsia" w:ascii="宋体" w:hAnsi="宋体"/>
          <w:b/>
          <w:bCs/>
          <w:sz w:val="24"/>
          <w:szCs w:val="24"/>
        </w:rPr>
      </w:pPr>
      <w:r>
        <w:rPr>
          <w:rFonts w:hint="eastAsia" w:ascii="宋体" w:hAnsi="宋体"/>
          <w:b/>
          <w:bCs/>
          <w:sz w:val="24"/>
          <w:szCs w:val="24"/>
        </w:rPr>
        <w:t xml:space="preserve">2、配套硬件要求</w:t>
      </w:r>
      <w:r/>
    </w:p>
    <w:tbl>
      <w:tblPr>
        <w:tblStyle w:val="7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2041"/>
        <w:gridCol w:w="3667"/>
        <w:gridCol w:w="1229"/>
        <w:gridCol w:w="1230"/>
      </w:tblGrid>
      <w:tr>
        <w:trPr>
          <w:jc w:val="center"/>
        </w:trPr>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序号</w:t>
            </w:r>
            <w:r/>
          </w:p>
        </w:tc>
        <w:tc>
          <w:tcPr>
            <w:gridSpan w:val="2"/>
            <w:tcW w:w="3037"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产品名称</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数量</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单位</w:t>
            </w:r>
            <w:r/>
          </w:p>
        </w:tc>
      </w:tr>
      <w:tr>
        <w:trPr>
          <w:jc w:val="center"/>
        </w:trPr>
        <w:tc>
          <w:tcPr>
            <w:tcW w:w="654" w:type="pct"/>
            <w:vAlign w:val="center"/>
            <w:vMerge w:val="restart"/>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1</w:t>
            </w:r>
            <w:r/>
          </w:p>
        </w:tc>
        <w:tc>
          <w:tcPr>
            <w:tcW w:w="1086" w:type="pct"/>
            <w:vAlign w:val="center"/>
            <w:vMerge w:val="restart"/>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配套硬件</w:t>
            </w:r>
            <w:r/>
          </w:p>
        </w:tc>
        <w:tc>
          <w:tcPr>
            <w:tcW w:w="1951"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微型定位感应基站</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12</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套</w:t>
            </w:r>
            <w:r/>
          </w:p>
        </w:tc>
      </w:tr>
      <w:tr>
        <w:trPr>
          <w:jc w:val="center"/>
        </w:trPr>
        <w:tc>
          <w:tcPr>
            <w:tcW w:w="654"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086"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951"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微标签普通腕带</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20</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个</w:t>
            </w:r>
            <w:r/>
          </w:p>
        </w:tc>
      </w:tr>
      <w:tr>
        <w:trPr>
          <w:jc w:val="center"/>
        </w:trPr>
        <w:tc>
          <w:tcPr>
            <w:tcW w:w="654"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086"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951"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人员定位环境配套</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1</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套</w:t>
            </w:r>
            <w:r/>
          </w:p>
        </w:tc>
      </w:tr>
      <w:tr>
        <w:trPr>
          <w:jc w:val="center"/>
        </w:trPr>
        <w:tc>
          <w:tcPr>
            <w:tcW w:w="654" w:type="pct"/>
            <w:vAlign w:val="center"/>
            <w:vMerge w:val="continue"/>
            <w:textDirection w:val="lrTb"/>
            <w:noWrap w:val="false"/>
          </w:tcPr>
          <w:p>
            <w:pPr>
              <w:jc w:val="center"/>
              <w:spacing w:line="360" w:lineRule="auto"/>
              <w:widowControl/>
              <w:rPr>
                <w:rFonts w:eastAsia="方正仿宋_GB18030"/>
                <w:color w:val="000000"/>
                <w:sz w:val="24"/>
                <w:szCs w:val="24"/>
              </w:rPr>
            </w:pPr>
            <w:r/>
            <w:bookmarkStart w:id="192" w:name="_Hlk223599329"/>
            <w:r/>
            <w:r/>
          </w:p>
        </w:tc>
        <w:tc>
          <w:tcPr>
            <w:tcW w:w="1086"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951"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多媒体信息屏</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2</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台</w:t>
            </w:r>
            <w:r/>
          </w:p>
        </w:tc>
      </w:tr>
      <w:tr>
        <w:trPr>
          <w:jc w:val="center"/>
        </w:trPr>
        <w:tc>
          <w:tcPr>
            <w:tcW w:w="654"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086"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951"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PAD</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6</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台</w:t>
            </w:r>
            <w:r/>
          </w:p>
        </w:tc>
      </w:tr>
      <w:tr>
        <w:trPr>
          <w:jc w:val="center"/>
        </w:trPr>
        <w:tc>
          <w:tcPr>
            <w:tcW w:w="654"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086" w:type="pct"/>
            <w:vAlign w:val="center"/>
            <w:vMerge w:val="continue"/>
            <w:textDirection w:val="lrTb"/>
            <w:noWrap w:val="false"/>
          </w:tcPr>
          <w:p>
            <w:pPr>
              <w:jc w:val="center"/>
              <w:spacing w:line="360" w:lineRule="auto"/>
              <w:widowControl/>
              <w:rPr>
                <w:rFonts w:eastAsia="方正仿宋_GB18030"/>
                <w:color w:val="000000"/>
                <w:sz w:val="24"/>
                <w:szCs w:val="24"/>
              </w:rPr>
            </w:pPr>
            <w:r>
              <w:rPr>
                <w:rFonts w:eastAsia="方正仿宋_GB18030"/>
                <w:color w:val="000000"/>
                <w:sz w:val="24"/>
                <w:szCs w:val="24"/>
              </w:rPr>
            </w:r>
            <w:r/>
          </w:p>
        </w:tc>
        <w:tc>
          <w:tcPr>
            <w:tcW w:w="1951"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PDA</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4</w:t>
            </w:r>
            <w:r/>
          </w:p>
        </w:tc>
        <w:tc>
          <w:tcPr>
            <w:tcW w:w="654" w:type="pct"/>
            <w:vAlign w:val="center"/>
            <w:textDirection w:val="lrTb"/>
            <w:noWrap w:val="false"/>
          </w:tcPr>
          <w:p>
            <w:pPr>
              <w:jc w:val="center"/>
              <w:spacing w:line="360" w:lineRule="auto"/>
              <w:widowControl/>
              <w:rPr>
                <w:rFonts w:eastAsia="方正仿宋_GB18030"/>
                <w:color w:val="000000"/>
                <w:sz w:val="24"/>
                <w:szCs w:val="24"/>
              </w:rPr>
            </w:pPr>
            <w:r>
              <w:rPr>
                <w:rFonts w:hint="eastAsia" w:eastAsia="方正仿宋_GB18030"/>
                <w:color w:val="000000"/>
                <w:sz w:val="24"/>
                <w:szCs w:val="24"/>
              </w:rPr>
              <w:t xml:space="preserve">台</w:t>
            </w:r>
            <w:bookmarkEnd w:id="192"/>
            <w:r/>
          </w:p>
        </w:tc>
      </w:tr>
    </w:tbl>
    <w:p>
      <w:pPr>
        <w:spacing w:after="240"/>
        <w:rPr>
          <w:rFonts w:hint="eastAsia" w:ascii="宋体" w:hAnsi="宋体"/>
          <w:b/>
          <w:bCs/>
          <w:sz w:val="24"/>
          <w:szCs w:val="24"/>
        </w:rPr>
      </w:pPr>
      <w:r>
        <w:rPr>
          <w:rFonts w:hint="eastAsia" w:ascii="宋体" w:hAnsi="宋体"/>
          <w:b/>
          <w:bCs/>
          <w:sz w:val="24"/>
          <w:szCs w:val="24"/>
        </w:rPr>
      </w:r>
      <w:r/>
    </w:p>
    <w:p>
      <w:pPr>
        <w:spacing w:after="240"/>
      </w:pPr>
      <w:r>
        <w:br w:type="page" w:clear="all"/>
      </w:r>
      <w:r/>
    </w:p>
    <w:p>
      <w:pPr>
        <w:keepLines/>
        <w:keepNex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（二）建设内容明细</w:t>
      </w:r>
      <w:r/>
    </w:p>
    <w:p>
      <w:pPr>
        <w:pStyle w:val="764"/>
        <w:spacing w:line="276"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★一、相关要求</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1、本次项目需要包含本系统上线使用所需要对接接口相关费用。</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2、两大中心系统支持与基层医共体单位系统数据对接，支持数据交互，实现业务协同和数据管理。</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3、系统后续支持对接融入医共体急救中心平台，支持数据交互，实现急救中心平台一体化。</w:t>
      </w:r>
      <w:r/>
    </w:p>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4、支持对接卒中、胸痛医共体平台，实现数据交互。</w:t>
      </w:r>
      <w:r/>
    </w:p>
    <w:p>
      <w:pPr>
        <w:pStyle w:val="764"/>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二、</w:t>
      </w:r>
      <w:r>
        <w:rPr>
          <w:rFonts w:hint="eastAsia" w:ascii="仿宋" w:hAnsi="仿宋" w:eastAsia="仿宋"/>
          <w:b/>
          <w:bCs/>
          <w:color w:val="000000" w:themeColor="text1"/>
          <w:sz w:val="24"/>
          <w:szCs w:val="24"/>
          <w14:textFill>
            <w14:solidFill>
              <w14:schemeClr w14:val="tx1"/>
            </w14:solidFill>
          </w14:textFill>
        </w:rPr>
        <w:t xml:space="preserve">卒中中心系统</w:t>
      </w:r>
      <w:r/>
    </w:p>
    <w:p>
      <w:pPr>
        <w:pStyle w:val="765"/>
        <w:spacing w:line="276" w:lineRule="auto"/>
        <w:rPr>
          <w:rFonts w:hint="eastAsia" w:ascii="仿宋" w:hAnsi="仿宋" w:eastAsia="仿宋"/>
          <w:color w:val="000000" w:themeColor="text1"/>
          <w:sz w:val="24"/>
          <w:szCs w:val="24"/>
          <w14:textFill>
            <w14:solidFill>
              <w14:schemeClr w14:val="tx1"/>
            </w14:solidFill>
          </w14:textFill>
        </w:rPr>
      </w:pPr>
      <w:r/>
      <w:bookmarkStart w:id="193" w:name="_Toc218629809"/>
      <w:r>
        <w:rPr>
          <w:rFonts w:hint="eastAsia" w:ascii="仿宋" w:hAnsi="仿宋" w:eastAsia="仿宋"/>
          <w:color w:val="000000" w:themeColor="text1"/>
          <w:sz w:val="24"/>
          <w:szCs w:val="24"/>
          <w14:textFill>
            <w14:solidFill>
              <w14:schemeClr w14:val="tx1"/>
            </w14:solidFill>
          </w14:textFill>
        </w:rPr>
        <w:t xml:space="preserve">1．</w:t>
      </w:r>
      <w:bookmarkStart w:id="194" w:name="OLE_LINK13"/>
      <w:r>
        <w:rPr>
          <w:rFonts w:hint="eastAsia" w:ascii="仿宋" w:hAnsi="仿宋" w:eastAsia="仿宋"/>
          <w:color w:val="000000" w:themeColor="text1"/>
          <w:sz w:val="24"/>
          <w:szCs w:val="24"/>
          <w14:textFill>
            <w14:solidFill>
              <w14:schemeClr w14:val="tx1"/>
            </w14:solidFill>
          </w14:textFill>
        </w:rPr>
        <w:t xml:space="preserve">卒中专病数据集成管理</w:t>
      </w:r>
      <w:bookmarkEnd w:id="193"/>
      <w:r/>
      <w:r/>
    </w:p>
    <w:p>
      <w:pPr>
        <w:ind w:firstLine="42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运用物联网、5G结合传统医疗信息化技术，以卒中患者为中心，实现患者救治全流程诊疗数据采集、计算分析、数据清洗及应用。旨在打破传统信息孤岛，实现患者急救全方位信息展示，辅助临床医生精准、快速的制定诊疗方案，更好的利用黄金急救时间，最大可能的保障创伤患者的生命安全。在医疗数据方面，尽可能的实现，一处录入，多处共享，减少一线医护人员的工作量，提高工作效率。</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195" w:name="_Toc218629810"/>
      <w:r>
        <w:rPr>
          <w:rFonts w:hint="eastAsia" w:ascii="仿宋" w:hAnsi="仿宋" w:eastAsia="仿宋"/>
          <w:color w:val="000000" w:themeColor="text1"/>
          <w:sz w:val="24"/>
          <w:szCs w:val="24"/>
          <w14:textFill>
            <w14:solidFill>
              <w14:schemeClr w14:val="tx1"/>
            </w14:solidFill>
          </w14:textFill>
        </w:rPr>
        <w:t xml:space="preserve">1.1物联网救治时间采集</w:t>
      </w:r>
      <w:bookmarkEnd w:id="195"/>
      <w:r/>
      <w:r/>
    </w:p>
    <w:p>
      <w:pPr>
        <w:pStyle w:val="1065"/>
        <w:numPr>
          <w:ilvl w:val="1"/>
          <w:numId w:val="5"/>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系统提供可循环使用的患者物联网腕带标签，包含发放与回收管理。</w:t>
      </w:r>
      <w:r/>
    </w:p>
    <w:p>
      <w:pPr>
        <w:pStyle w:val="1065"/>
        <w:numPr>
          <w:ilvl w:val="1"/>
          <w:numId w:val="5"/>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系统提供将时间采集节点关联不同的专病救治环节，通过传感器实现关键时间数据自动采集。时间采集器安装在医院需要进行时间采集的各个位置,如救急诊科大门，抢救室、EICU、CT室、核磁室、导管室等。</w:t>
      </w:r>
      <w:r/>
    </w:p>
    <w:p>
      <w:pPr>
        <w:pStyle w:val="1065"/>
        <w:numPr>
          <w:ilvl w:val="1"/>
          <w:numId w:val="5"/>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系统提供对标签腕带进行统一管理，信息的维护，如：设备编号、规格、厂商、生产日期。</w:t>
      </w:r>
      <w:r/>
    </w:p>
    <w:p>
      <w:pPr>
        <w:pStyle w:val="1065"/>
        <w:numPr>
          <w:ilvl w:val="1"/>
          <w:numId w:val="5"/>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系统提供查看标签腕带设备运行情况</w:t>
      </w:r>
      <w:r/>
    </w:p>
    <w:p>
      <w:pPr>
        <w:pStyle w:val="1065"/>
        <w:numPr>
          <w:ilvl w:val="1"/>
          <w:numId w:val="5"/>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系统提供通过专病物联网设备管理，患者在绿色通道运行过程中，采集设备可以自动记录患者到达和离开的时间，相关数据自动同步至卒中专病数据库系统当中，无需人为干预，客观真实。</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196" w:name="_Toc218629811"/>
      <w:r>
        <w:rPr>
          <w:rFonts w:hint="eastAsia" w:ascii="仿宋" w:hAnsi="仿宋" w:eastAsia="仿宋"/>
          <w:color w:val="000000" w:themeColor="text1"/>
          <w:sz w:val="24"/>
          <w:szCs w:val="24"/>
          <w14:textFill>
            <w14:solidFill>
              <w14:schemeClr w14:val="tx1"/>
            </w14:solidFill>
          </w14:textFill>
        </w:rPr>
        <w:t xml:space="preserve">1.2卒中救治数据集成</w:t>
      </w:r>
      <w:bookmarkEnd w:id="196"/>
      <w:r/>
      <w:r/>
    </w:p>
    <w:p>
      <w:pPr>
        <w:pStyle w:val="1065"/>
        <w:ind w:left="0" w:firstLine="420"/>
        <w:spacing w:line="276" w:lineRule="auto"/>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通过标准化的数据接口服务，实现与医院数据平台、HIS，LIS（实验室报告系统）、PACS（医学影像报告系统）、EMR（电子病历系统）、导管室系统、院前急救系统进行数据交互，实现以卒中患者救治医疗数据为核心的诊疗数据通信共享。</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如医院已经建设完备的数据平台，系统支持依赖平台实现与全院信息系统交互，以满足医院管理的需要。</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对接院前急救系统，实现院前急救信息采集汇总，如：院前初步诊断信息、院前用药信息、院前溶栓给药时间、院前溶栓救治信息、院前知情同意书信息、NIHSS评分信息、mRS评分信息、呼救时间、到达时间、发病时间。</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对接院前急救系统，实现转诊患者急救信息采集汇总，如：患者基本信息、发病时间、到院时间、转运救护车上的治疗信息。</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对接急诊临床信息系统（ECIS），对自行来院患者进行基本信息和分诊评估信息进行汇总应用。</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系统支持与PACS（医学影像系统对接），实现CT、造影等脑卒中患者常用医学影像辅助诊疗项目的关键数据采集，如申请时间，检查时间，报告时间，报告结果。</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对接手术室/导管室系统，实现数据的采集和整合应用：手术开始时间、麻醉方式、手术方式、脑补并发症、预后信息（治愈、好转、加重、死亡）</w:t>
      </w:r>
      <w:r>
        <w:rPr>
          <w:rFonts w:ascii="仿宋" w:hAnsi="仿宋" w:eastAsia="仿宋"/>
          <w:color w:val="000000" w:themeColor="text1"/>
          <w:lang w:eastAsia="zh-CN"/>
          <w14:textFill>
            <w14:solidFill>
              <w14:schemeClr w14:val="tx1"/>
            </w14:solidFill>
          </w14:textFill>
        </w:rPr>
        <w:t xml:space="preserve">对接住院电子病历或者住院</w:t>
      </w:r>
      <w:r>
        <w:rPr>
          <w:rFonts w:hint="eastAsia" w:ascii="仿宋" w:hAnsi="仿宋" w:eastAsia="仿宋"/>
          <w:color w:val="000000" w:themeColor="text1"/>
          <w:lang w:eastAsia="zh-CN"/>
          <w14:textFill>
            <w14:solidFill>
              <w14:schemeClr w14:val="tx1"/>
            </w14:solidFill>
          </w14:textFill>
        </w:rPr>
        <w:t xml:space="preserve">系统，获取患者出院诊断、患者并发症信息、合并疾病情况、患者转归情况。</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系统提供配置有效值域，筛查排除异常值，更客观的分析数据结果。</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系统支持对接院前急救信息告知平台，确保院内卒中救治团队第一时间查看卒中患者急救消息。</w:t>
      </w:r>
      <w:r/>
    </w:p>
    <w:p>
      <w:pPr>
        <w:pStyle w:val="1065"/>
        <w:numPr>
          <w:ilvl w:val="0"/>
          <w:numId w:val="6"/>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为保障脑卒中患者救治医疗数据完整，上述接口数据在第三方厂商无法准确对接或医院接口数据集成条件不允许的情况下，系统支持人工录入和补充完善及校对，以汇集完整的脑卒中病历救治数据，为医院及临床提供数据决策支持。</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197" w:name="_Toc218629812"/>
      <w:r>
        <w:rPr>
          <w:rFonts w:hint="eastAsia" w:ascii="仿宋" w:hAnsi="仿宋" w:eastAsia="仿宋"/>
          <w:color w:val="000000" w:themeColor="text1"/>
          <w:sz w:val="24"/>
          <w:szCs w:val="24"/>
          <w14:textFill>
            <w14:solidFill>
              <w14:schemeClr w14:val="tx1"/>
            </w14:solidFill>
          </w14:textFill>
        </w:rPr>
        <w:t xml:space="preserve">1.3</w:t>
      </w:r>
      <w:bookmarkStart w:id="198" w:name="OLE_LINK5"/>
      <w:r>
        <w:rPr>
          <w:rFonts w:hint="eastAsia" w:ascii="仿宋" w:hAnsi="仿宋" w:eastAsia="仿宋"/>
          <w:color w:val="000000" w:themeColor="text1"/>
          <w:sz w:val="24"/>
          <w:szCs w:val="24"/>
          <w14:textFill>
            <w14:solidFill>
              <w14:schemeClr w14:val="tx1"/>
            </w14:solidFill>
          </w14:textFill>
        </w:rPr>
        <w:t xml:space="preserve">卒中急救通道</w:t>
      </w:r>
      <w:bookmarkEnd w:id="197"/>
      <w:r/>
      <w:bookmarkEnd w:id="198"/>
      <w:r/>
      <w:r/>
    </w:p>
    <w:p>
      <w:pPr>
        <w:pStyle w:val="1065"/>
        <w:numPr>
          <w:ilvl w:val="1"/>
          <w:numId w:val="7"/>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系统通过与急诊科预检分诊系统无缝衔接，实现卒中自行来院患者绿色通道建立，确保自行来院患者在第一时间得到急救响应。</w:t>
      </w:r>
      <w:r/>
    </w:p>
    <w:p>
      <w:pPr>
        <w:pStyle w:val="1065"/>
        <w:numPr>
          <w:ilvl w:val="1"/>
          <w:numId w:val="7"/>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系统通过与院前急救系统无缝衔接，实现院前急救卒中患者“上车即入院”，与院前急救系统完成数据交互，确保创伤患者到院即时得到院内创伤救治专家团队的救治，实现“急救前移”。</w:t>
      </w:r>
      <w:r/>
    </w:p>
    <w:p>
      <w:pPr>
        <w:pStyle w:val="1065"/>
        <w:numPr>
          <w:ilvl w:val="1"/>
          <w:numId w:val="7"/>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系统通过与转运系统对接，可实现在患者到院之前，了解患者发病信息及受伤机制，转运医疗机构处置情况，最大程度的缩短急救时间，提升患者满意度。</w:t>
      </w:r>
      <w:r/>
    </w:p>
    <w:p>
      <w:pPr>
        <w:pStyle w:val="1065"/>
        <w:numPr>
          <w:ilvl w:val="1"/>
          <w:numId w:val="7"/>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系统支持与院内门诊系统和住院系统对接，完成脑卒中院内发病患者的绿色通道建立。</w:t>
      </w:r>
      <w:r/>
    </w:p>
    <w:p>
      <w:pPr>
        <w:pStyle w:val="1065"/>
        <w:numPr>
          <w:ilvl w:val="1"/>
          <w:numId w:val="7"/>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上述急救通道因医院具体情况存在差异，不提供统一实现标准，以医院创伤急救业务实际开展路径为实施交付依据。</w:t>
      </w:r>
      <w:r/>
    </w:p>
    <w:p>
      <w:pPr>
        <w:pStyle w:val="765"/>
        <w:spacing w:line="276" w:lineRule="auto"/>
        <w:rPr>
          <w:rFonts w:hint="eastAsia" w:ascii="仿宋" w:hAnsi="仿宋" w:eastAsia="仿宋"/>
          <w:color w:val="000000" w:themeColor="text1"/>
          <w:sz w:val="24"/>
          <w:szCs w:val="24"/>
          <w14:textFill>
            <w14:solidFill>
              <w14:schemeClr w14:val="tx1"/>
            </w14:solidFill>
          </w14:textFill>
        </w:rPr>
      </w:pPr>
      <w:r/>
      <w:bookmarkStart w:id="199" w:name="_Toc218629813"/>
      <w:r>
        <w:rPr>
          <w:rFonts w:hint="eastAsia" w:ascii="仿宋" w:hAnsi="仿宋" w:eastAsia="仿宋"/>
          <w:color w:val="000000" w:themeColor="text1"/>
          <w:sz w:val="24"/>
          <w:szCs w:val="24"/>
          <w14:textFill>
            <w14:solidFill>
              <w14:schemeClr w14:val="tx1"/>
            </w14:solidFill>
          </w14:textFill>
        </w:rPr>
        <w:t xml:space="preserve">2．</w:t>
      </w:r>
      <w:bookmarkStart w:id="200" w:name="OLE_LINK3"/>
      <w:r>
        <w:rPr>
          <w:rFonts w:hint="eastAsia" w:ascii="仿宋" w:hAnsi="仿宋" w:eastAsia="仿宋"/>
          <w:color w:val="000000" w:themeColor="text1"/>
          <w:sz w:val="24"/>
          <w:szCs w:val="24"/>
          <w14:textFill>
            <w14:solidFill>
              <w14:schemeClr w14:val="tx1"/>
            </w14:solidFill>
          </w14:textFill>
        </w:rPr>
        <w:t xml:space="preserve">卒中专病管理平台</w:t>
      </w:r>
      <w:bookmarkEnd w:id="199"/>
      <w:r/>
      <w:bookmarkEnd w:id="200"/>
      <w:r/>
      <w:r/>
    </w:p>
    <w:p>
      <w:pPr>
        <w:ind w:firstLine="42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为响应国家卫健委及国家卒中中心关于卒中患者救治医疗质量不断提升的要求，持续提升和改进卒中急救患者的救治水平，建设专业的卒中急救专病管理平台以实现卒中患者救治流程规范化、患者诊疗全流程标准化、数据分析精细化、医疗服务质量提升依据数字化，用信息化技术高效实现卒中患者救治路径管理、卒中患者管理、卒中数据中心、卒中数据上报管理及基于国家标准的卒中质控管理。</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01" w:name="_Toc218629814"/>
      <w:r>
        <w:rPr>
          <w:rFonts w:hint="eastAsia" w:ascii="仿宋" w:hAnsi="仿宋" w:eastAsia="仿宋"/>
          <w:color w:val="000000" w:themeColor="text1"/>
          <w:sz w:val="24"/>
          <w:szCs w:val="24"/>
          <w14:textFill>
            <w14:solidFill>
              <w14:schemeClr w14:val="tx1"/>
            </w14:solidFill>
          </w14:textFill>
        </w:rPr>
        <w:t xml:space="preserve">2.1卒中路径管理</w:t>
      </w:r>
      <w:bookmarkEnd w:id="201"/>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根据国家卒中中心建设指南，系统自带卒中中心标准路径，可按照医院信息化及系统运行实际情况对路径中的各个节点及数据采集方式进行自定义配置。</w:t>
      </w:r>
      <w:r/>
    </w:p>
    <w:p>
      <w:pPr>
        <w:ind w:left="210"/>
        <w:spacing w:line="276"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ab/>
      </w:r>
      <w:r>
        <w:rPr>
          <w:rFonts w:hint="eastAsia" w:ascii="仿宋" w:hAnsi="仿宋" w:eastAsia="仿宋"/>
          <w:sz w:val="24"/>
          <w:szCs w:val="24"/>
        </w:rPr>
        <w:t xml:space="preserve">满足对卒中路径的增加、修改、启用、停用等操作。</w:t>
      </w:r>
      <w:r/>
    </w:p>
    <w:p>
      <w:pPr>
        <w:ind w:left="210"/>
        <w:spacing w:line="276" w:lineRule="auto"/>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ab/>
      </w:r>
      <w:r>
        <w:rPr>
          <w:rFonts w:hint="eastAsia" w:ascii="仿宋" w:hAnsi="仿宋" w:eastAsia="仿宋"/>
          <w:sz w:val="24"/>
          <w:szCs w:val="24"/>
        </w:rPr>
        <w:t xml:space="preserve">满足卒中路径列表、章节、节点信息的增加、修改和删除。</w:t>
      </w:r>
      <w:r/>
    </w:p>
    <w:p>
      <w:pPr>
        <w:ind w:left="210"/>
        <w:spacing w:line="276" w:lineRule="auto"/>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ab/>
      </w:r>
      <w:r>
        <w:rPr>
          <w:rFonts w:hint="eastAsia" w:ascii="仿宋" w:hAnsi="仿宋" w:eastAsia="仿宋"/>
          <w:sz w:val="24"/>
          <w:szCs w:val="24"/>
        </w:rPr>
        <w:t xml:space="preserve">满足卒中路径基本信息的维护，如：名称、所属章节、显示顺序、执行地点、执行类型、节点类型。</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满足卒中路径PC端的设置、路径的二维码设置及打印。</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满足传感器和腕带匹配识别路径信息。</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系统支持关键路径救治信息通过算法自动匹配医院相关信息系统数据。</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满足通过对患者的诊断信息进行关联判断，作为进入卒中路径的自动判定条件。</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14:textFill>
            <w14:solidFill>
              <w14:schemeClr w14:val="tx1"/>
            </w14:solidFill>
          </w14:textFill>
        </w:rPr>
        <w:tab/>
      </w:r>
      <w:bookmarkStart w:id="202" w:name="OLE_LINK1"/>
      <w:r/>
      <w:bookmarkStart w:id="203" w:name="OLE_LINK2"/>
      <w:r>
        <w:rPr>
          <w:rFonts w:hint="eastAsia" w:ascii="仿宋" w:hAnsi="仿宋" w:eastAsia="仿宋"/>
          <w:color w:val="000000" w:themeColor="text1"/>
          <w:sz w:val="24"/>
          <w:szCs w:val="24"/>
          <w14:textFill>
            <w14:solidFill>
              <w14:schemeClr w14:val="tx1"/>
            </w14:solidFill>
          </w14:textFill>
        </w:rPr>
        <w:t xml:space="preserve">满足卒中自动入径条件配置，可自动识别患者救治事件执行信息并关联。</w:t>
      </w:r>
      <w:bookmarkEnd w:id="202"/>
      <w:r/>
      <w:bookmarkEnd w:id="203"/>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满足患者卒中入径时对相关医护人员进行消息提醒。</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能够将接入的信息按照卒中急救路径进行综合分类整理和集中呈现。</w:t>
      </w:r>
      <w:r/>
    </w:p>
    <w:p>
      <w:pPr>
        <w:ind w:left="210"/>
        <w:spacing w:line="276" w:lineRule="auto"/>
        <w:rPr>
          <w:rFonts w:hint="eastAsia" w:ascii="仿宋" w:hAnsi="仿宋" w:eastAsia="仿宋"/>
          <w:sz w:val="24"/>
          <w:szCs w:val="24"/>
        </w:rPr>
      </w:pPr>
      <w:r>
        <w:rPr>
          <w:rFonts w:hint="eastAsia" w:ascii="仿宋" w:hAnsi="仿宋" w:eastAsia="仿宋"/>
          <w:sz w:val="24"/>
          <w:szCs w:val="24"/>
        </w:rPr>
        <w:t xml:space="preserve">12)</w:t>
      </w:r>
      <w:r>
        <w:rPr>
          <w:rFonts w:hint="eastAsia" w:ascii="仿宋" w:hAnsi="仿宋" w:eastAsia="仿宋"/>
          <w:sz w:val="24"/>
          <w:szCs w:val="24"/>
        </w:rPr>
        <w:tab/>
      </w:r>
      <w:r>
        <w:rPr>
          <w:rFonts w:hint="eastAsia" w:ascii="仿宋" w:hAnsi="仿宋" w:eastAsia="仿宋"/>
          <w:sz w:val="24"/>
          <w:szCs w:val="24"/>
        </w:rPr>
        <w:t xml:space="preserve">可按照医院特色和需求对卒中路径进行自定义的维护和设置。</w:t>
      </w:r>
      <w:r/>
    </w:p>
    <w:p>
      <w:pPr>
        <w:ind w:left="210"/>
        <w:spacing w:line="276" w:lineRule="auto"/>
        <w:rPr>
          <w:rFonts w:hint="eastAsia" w:ascii="仿宋" w:hAnsi="仿宋" w:eastAsia="仿宋"/>
          <w:sz w:val="24"/>
          <w:szCs w:val="24"/>
        </w:rPr>
      </w:pPr>
      <w:r>
        <w:rPr>
          <w:rFonts w:hint="eastAsia" w:ascii="仿宋" w:hAnsi="仿宋" w:eastAsia="仿宋"/>
          <w:sz w:val="24"/>
          <w:szCs w:val="24"/>
        </w:rPr>
        <w:t xml:space="preserve">13)</w:t>
      </w:r>
      <w:r>
        <w:rPr>
          <w:rFonts w:hint="eastAsia" w:ascii="仿宋" w:hAnsi="仿宋" w:eastAsia="仿宋"/>
          <w:sz w:val="24"/>
          <w:szCs w:val="24"/>
        </w:rPr>
        <w:tab/>
      </w:r>
      <w:r>
        <w:rPr>
          <w:rFonts w:hint="eastAsia" w:ascii="仿宋" w:hAnsi="仿宋" w:eastAsia="仿宋"/>
          <w:sz w:val="24"/>
          <w:szCs w:val="24"/>
        </w:rPr>
        <w:t xml:space="preserve">满足卒中路径节点与临床事件的对应关系，可作为路径执行下一节点的前置条件。</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满足路径节点类型配置，包含有：基础信息节点、路径信息节点、评分信息节点、诊断信息节点、时间轴节点、关键信息节点、质控节点。</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满足路径节点配置为时间轴节点类型时，将患者诊疗路径过程以可视化的轨道图展示。</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满足卒中质控路径节点的消息提醒。</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满足在医院自定义地点/物品/人员等重要信息，设置有针对性的地点/物品/人员二维码，打印好后贴在相应地点/物品环节或人员胸牌背面，以便在绿道执行时精确记录。</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04" w:name="_Toc218629815"/>
      <w:r>
        <w:rPr>
          <w:rFonts w:hint="eastAsia" w:ascii="仿宋" w:hAnsi="仿宋" w:eastAsia="仿宋"/>
          <w:color w:val="000000" w:themeColor="text1"/>
          <w:sz w:val="24"/>
          <w:szCs w:val="24"/>
          <w14:textFill>
            <w14:solidFill>
              <w14:schemeClr w14:val="tx1"/>
            </w14:solidFill>
          </w14:textFill>
        </w:rPr>
        <w:t xml:space="preserve">2.2卒中患者管理</w:t>
      </w:r>
      <w:bookmarkEnd w:id="204"/>
      <w:r/>
      <w:r/>
    </w:p>
    <w:p>
      <w:pPr>
        <w:ind w:firstLine="42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系统内置脑卒中救治团队通讯录维护，方便当班人员快速查询卒中救治团队联系方式，以迅速响应卒中患者抢救的需要。</w:t>
      </w:r>
      <w:r/>
    </w:p>
    <w:p>
      <w:pPr>
        <w:pStyle w:val="767"/>
        <w:spacing w:line="276" w:lineRule="auto"/>
        <w:rPr>
          <w:rFonts w:hint="eastAsia" w:ascii="仿宋" w:hAnsi="仿宋" w:eastAsia="仿宋"/>
          <w:color w:val="000000" w:themeColor="text1"/>
          <w14:textFill>
            <w14:solidFill>
              <w14:schemeClr w14:val="tx1"/>
            </w14:solidFill>
          </w14:textFill>
        </w:rPr>
      </w:pPr>
      <w:r/>
      <w:bookmarkStart w:id="205" w:name="_Toc218629816"/>
      <w:r>
        <w:rPr>
          <w:rFonts w:hint="eastAsia" w:ascii="仿宋" w:hAnsi="仿宋" w:eastAsia="仿宋"/>
          <w:color w:val="000000" w:themeColor="text1"/>
          <w14:textFill>
            <w14:solidFill>
              <w14:schemeClr w14:val="tx1"/>
            </w14:solidFill>
          </w14:textFill>
        </w:rPr>
        <w:t xml:space="preserve">2.2.1患者列表</w:t>
      </w:r>
      <w:bookmarkEnd w:id="205"/>
      <w:r/>
      <w:r/>
    </w:p>
    <w:p>
      <w:pPr>
        <w:pStyle w:val="1065"/>
        <w:numPr>
          <w:ilvl w:val="1"/>
          <w:numId w:val="8"/>
        </w:numPr>
        <w:contextualSpacing w:val="0"/>
        <w:spacing w:line="276" w:lineRule="auto"/>
        <w:widowControl w:val="off"/>
        <w:rPr>
          <w:rFonts w:hint="eastAsia" w:ascii="仿宋" w:hAnsi="仿宋" w:eastAsia="仿宋"/>
          <w:bCs/>
          <w:color w:val="000000" w:themeColor="text1"/>
          <w:lang w:eastAsia="zh-CN"/>
          <w14:textFill>
            <w14:solidFill>
              <w14:schemeClr w14:val="tx1"/>
            </w14:solidFill>
          </w14:textFill>
        </w:rPr>
      </w:pPr>
      <w:r>
        <w:rPr>
          <w:rFonts w:hint="eastAsia" w:ascii="仿宋" w:hAnsi="仿宋" w:eastAsia="仿宋"/>
          <w:bCs/>
          <w:color w:val="000000" w:themeColor="text1"/>
          <w:lang w:eastAsia="zh-CN"/>
          <w14:textFill>
            <w14:solidFill>
              <w14:schemeClr w14:val="tx1"/>
            </w14:solidFill>
          </w14:textFill>
        </w:rPr>
        <w:t xml:space="preserve">系统提供专病绿道为卒中标识的患者自动纳入卒中患者诊疗管理。</w:t>
      </w:r>
      <w:r/>
    </w:p>
    <w:p>
      <w:pPr>
        <w:pStyle w:val="1065"/>
        <w:numPr>
          <w:ilvl w:val="1"/>
          <w:numId w:val="8"/>
        </w:numPr>
        <w:contextualSpacing w:val="0"/>
        <w:spacing w:line="276" w:lineRule="auto"/>
        <w:widowControl w:val="off"/>
        <w:rPr>
          <w:rFonts w:hint="eastAsia" w:ascii="仿宋" w:hAnsi="仿宋" w:eastAsia="仿宋"/>
          <w:bCs/>
          <w:color w:val="000000" w:themeColor="text1"/>
          <w:lang w:eastAsia="zh-CN"/>
          <w14:textFill>
            <w14:solidFill>
              <w14:schemeClr w14:val="tx1"/>
            </w14:solidFill>
          </w14:textFill>
        </w:rPr>
      </w:pPr>
      <w:r>
        <w:rPr>
          <w:rFonts w:hint="eastAsia" w:ascii="仿宋" w:hAnsi="仿宋" w:eastAsia="仿宋"/>
          <w:bCs/>
          <w:color w:val="000000" w:themeColor="text1"/>
          <w:lang w:eastAsia="zh-CN"/>
          <w14:textFill>
            <w14:solidFill>
              <w14:schemeClr w14:val="tx1"/>
            </w14:solidFill>
          </w14:textFill>
        </w:rPr>
        <w:t xml:space="preserve">系统提供查询院内门诊或住院患者信息，实现院内发病脑卒中患者快速入径。</w:t>
      </w:r>
      <w:r/>
    </w:p>
    <w:p>
      <w:pPr>
        <w:pStyle w:val="1065"/>
        <w:numPr>
          <w:ilvl w:val="1"/>
          <w:numId w:val="8"/>
        </w:numPr>
        <w:contextualSpacing w:val="0"/>
        <w:spacing w:line="276" w:lineRule="auto"/>
        <w:widowControl w:val="off"/>
        <w:rPr>
          <w:rFonts w:hint="eastAsia" w:ascii="仿宋" w:hAnsi="仿宋" w:eastAsia="仿宋"/>
          <w:bCs/>
          <w:color w:val="000000" w:themeColor="text1"/>
          <w:lang w:eastAsia="zh-CN"/>
          <w14:textFill>
            <w14:solidFill>
              <w14:schemeClr w14:val="tx1"/>
            </w14:solidFill>
          </w14:textFill>
        </w:rPr>
      </w:pPr>
      <w:r>
        <w:rPr>
          <w:rFonts w:hint="eastAsia" w:ascii="仿宋" w:hAnsi="仿宋" w:eastAsia="仿宋"/>
          <w:bCs/>
          <w:color w:val="000000" w:themeColor="text1"/>
          <w:lang w:eastAsia="zh-CN"/>
          <w14:textFill>
            <w14:solidFill>
              <w14:schemeClr w14:val="tx1"/>
            </w14:solidFill>
          </w14:textFill>
        </w:rPr>
        <w:t xml:space="preserve">系统支持对接院前急救系统，实现脑卒中院前急救患者快速入径。</w:t>
      </w:r>
      <w:r/>
    </w:p>
    <w:p>
      <w:pPr>
        <w:pStyle w:val="1065"/>
        <w:numPr>
          <w:ilvl w:val="1"/>
          <w:numId w:val="8"/>
        </w:numPr>
        <w:contextualSpacing w:val="0"/>
        <w:spacing w:line="276" w:lineRule="auto"/>
        <w:widowControl w:val="off"/>
        <w:rPr>
          <w:rFonts w:hint="eastAsia" w:ascii="仿宋" w:hAnsi="仿宋" w:eastAsia="仿宋"/>
          <w:bCs/>
          <w:lang w:eastAsia="zh-CN"/>
        </w:rPr>
      </w:pPr>
      <w:r>
        <w:rPr>
          <w:rFonts w:hint="eastAsia" w:ascii="仿宋" w:hAnsi="仿宋" w:eastAsia="仿宋"/>
          <w:bCs/>
          <w:lang w:eastAsia="zh-CN"/>
        </w:rPr>
        <w:t xml:space="preserve">▲系统提供无名氏或三无人员患者通过手动添加患者基本信息进入脑卒中救治路径。</w:t>
      </w:r>
      <w:r/>
    </w:p>
    <w:p>
      <w:pPr>
        <w:pStyle w:val="1065"/>
        <w:numPr>
          <w:ilvl w:val="1"/>
          <w:numId w:val="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系统提供患者列表和患者信息卡片两种展示方式展示脑卒中患者基本信息，展示的信息有：姓名、性别、年龄、首诊医生、脑卒中专病标识、病历上报状态。</w:t>
      </w:r>
      <w:r/>
    </w:p>
    <w:p>
      <w:pPr>
        <w:pStyle w:val="1065"/>
        <w:numPr>
          <w:ilvl w:val="1"/>
          <w:numId w:val="8"/>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系统提供通过患者的姓名、身份证号、就诊号进行快速检索定位查找。</w:t>
      </w:r>
      <w:r/>
    </w:p>
    <w:p>
      <w:pPr>
        <w:pStyle w:val="1065"/>
        <w:numPr>
          <w:ilvl w:val="1"/>
          <w:numId w:val="8"/>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系统提供脑卒中患者入径和出径管理。</w:t>
      </w:r>
      <w:r/>
    </w:p>
    <w:p>
      <w:pPr>
        <w:pStyle w:val="1065"/>
        <w:numPr>
          <w:ilvl w:val="1"/>
          <w:numId w:val="8"/>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系统提供消息通知，包括：会诊消息、质控消息、患者新入经消息和患者转归消息。</w:t>
      </w:r>
      <w:r/>
    </w:p>
    <w:p>
      <w:pPr>
        <w:pStyle w:val="1065"/>
        <w:numPr>
          <w:ilvl w:val="1"/>
          <w:numId w:val="8"/>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ascii="仿宋" w:hAnsi="仿宋" w:eastAsia="仿宋"/>
          <w:color w:val="000000" w:themeColor="text1"/>
          <w:lang w:eastAsia="zh-CN"/>
          <w14:textFill>
            <w14:solidFill>
              <w14:schemeClr w14:val="tx1"/>
            </w14:solidFill>
          </w14:textFill>
        </w:rPr>
        <w:t xml:space="preserve">支持一键快速查询在科患者、出科患者、全部患者的患者列表。</w:t>
      </w:r>
      <w:r/>
    </w:p>
    <w:p>
      <w:pPr>
        <w:pStyle w:val="1065"/>
        <w:numPr>
          <w:ilvl w:val="1"/>
          <w:numId w:val="8"/>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支持手动刷新患者列表。</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pStyle w:val="767"/>
        <w:spacing w:line="276" w:lineRule="auto"/>
        <w:rPr>
          <w:rFonts w:hint="eastAsia" w:ascii="仿宋" w:hAnsi="仿宋" w:eastAsia="仿宋"/>
          <w:color w:val="000000" w:themeColor="text1"/>
          <w14:textFill>
            <w14:solidFill>
              <w14:schemeClr w14:val="tx1"/>
            </w14:solidFill>
          </w14:textFill>
        </w:rPr>
      </w:pPr>
      <w:r/>
      <w:bookmarkStart w:id="206" w:name="_Toc218629817"/>
      <w:r>
        <w:rPr>
          <w:rFonts w:hint="eastAsia" w:ascii="仿宋" w:hAnsi="仿宋" w:eastAsia="仿宋"/>
          <w:color w:val="000000" w:themeColor="text1"/>
          <w14:textFill>
            <w14:solidFill>
              <w14:schemeClr w14:val="tx1"/>
            </w14:solidFill>
          </w14:textFill>
        </w:rPr>
        <w:t xml:space="preserve">2.2.2患者概览</w:t>
      </w:r>
      <w:bookmarkEnd w:id="206"/>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可查看患者基本信息，如：姓名、性别、民族、身份证号、身高、体征、BMI。</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可查看患者生命体征信息，如：收缩压、舒张压、心率、脉搏、血氧、血糖、意识。</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可查看患者评分信息，如：GCS评分、本次入院mRS评分、本次入院NIHSS评分、吞咽功能。</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可查看患者检查报告信息，如：检查名称、检查表现、检查结果。</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可查看患者检验结果信息，如：项目名称、项目结果、参考值。</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可查看患者诊断与关键诊疗信息。</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7）可查看患者关键救治事件时间记录。</w:t>
      </w:r>
      <w:r/>
    </w:p>
    <w:p>
      <w:pPr>
        <w:pStyle w:val="767"/>
        <w:spacing w:line="276" w:lineRule="auto"/>
        <w:rPr>
          <w:rFonts w:hint="eastAsia" w:ascii="仿宋" w:hAnsi="仿宋" w:eastAsia="仿宋"/>
          <w:color w:val="000000" w:themeColor="text1"/>
          <w14:textFill>
            <w14:solidFill>
              <w14:schemeClr w14:val="tx1"/>
            </w14:solidFill>
          </w14:textFill>
        </w:rPr>
      </w:pPr>
      <w:r/>
      <w:bookmarkStart w:id="207" w:name="_Toc218629818"/>
      <w:r>
        <w:rPr>
          <w:rFonts w:hint="eastAsia" w:ascii="仿宋" w:hAnsi="仿宋" w:eastAsia="仿宋"/>
          <w:color w:val="000000" w:themeColor="text1"/>
          <w14:textFill>
            <w14:solidFill>
              <w14:schemeClr w14:val="tx1"/>
            </w14:solidFill>
          </w14:textFill>
        </w:rPr>
        <w:t xml:space="preserve">2.2.3患者救治时间窗节点管理</w:t>
      </w:r>
      <w:bookmarkEnd w:id="207"/>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▲系统提供脑卒中专病诊疗救治事件列表和时间轴两种展示方式。</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系统提供记录和显示脑卒中专病诊疗救治事件的执行科室、执行地点、执行时间和执行人信息。</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支持对展示的关键事件和时间进行人工校对和编辑。</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 xml:space="preserve">）系统支持关键事件和时间进行人工校对和编辑留痕，针对存在客观误差的记录，系统支持留痕修改。</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 xml:space="preserve">）系统支持关键事件和时间进行人工校对和编辑留痕查询统计。</w:t>
      </w:r>
      <w:r/>
    </w:p>
    <w:p>
      <w:pPr>
        <w:pStyle w:val="767"/>
        <w:spacing w:line="276" w:lineRule="auto"/>
        <w:rPr>
          <w:rFonts w:hint="eastAsia" w:ascii="仿宋" w:hAnsi="仿宋" w:eastAsia="仿宋"/>
          <w:color w:val="000000" w:themeColor="text1"/>
          <w14:textFill>
            <w14:solidFill>
              <w14:schemeClr w14:val="tx1"/>
            </w14:solidFill>
          </w14:textFill>
        </w:rPr>
      </w:pPr>
      <w:r/>
      <w:bookmarkStart w:id="208" w:name="_Toc218629819"/>
      <w:r>
        <w:rPr>
          <w:rFonts w:hint="eastAsia" w:ascii="仿宋" w:hAnsi="仿宋" w:eastAsia="仿宋"/>
          <w:color w:val="000000" w:themeColor="text1"/>
          <w14:textFill>
            <w14:solidFill>
              <w14:schemeClr w14:val="tx1"/>
            </w14:solidFill>
          </w14:textFill>
        </w:rPr>
        <w:t xml:space="preserve">2.2.4脑卒中评分</w:t>
      </w:r>
      <w:bookmarkEnd w:id="208"/>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1)系统按照脑卒中入组疾病分类进行评分内容设计，同时支持用户自定义评分分组展示和应用。</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2）系统提供脑卒中专病患者救治过程中评分的录入和显示，如：mRS评分、NIHSS评分、ASPECT评分、TICI分级。</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2)系统提供评分按照患者救治过程分类，如：入院评估、静脉溶栓、血管开通治疗。</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3)系统提供评分的新增、导入和删除。</w:t>
      </w:r>
      <w:r/>
    </w:p>
    <w:p>
      <w:pPr>
        <w:ind w:left="21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4)系统提供评分结果自动计算和配置结果对应的显示内容。</w:t>
      </w:r>
      <w:r/>
    </w:p>
    <w:p>
      <w:pPr>
        <w:pStyle w:val="767"/>
        <w:spacing w:line="276" w:lineRule="auto"/>
        <w:rPr>
          <w:rFonts w:hint="eastAsia" w:ascii="仿宋" w:hAnsi="仿宋" w:eastAsia="仿宋"/>
          <w:color w:val="000000" w:themeColor="text1"/>
          <w14:textFill>
            <w14:solidFill>
              <w14:schemeClr w14:val="tx1"/>
            </w14:solidFill>
          </w14:textFill>
        </w:rPr>
      </w:pPr>
      <w:r/>
      <w:bookmarkStart w:id="209" w:name="_Toc218629820"/>
      <w:r>
        <w:rPr>
          <w:rFonts w:hint="eastAsia" w:ascii="仿宋" w:hAnsi="仿宋" w:eastAsia="仿宋"/>
          <w:color w:val="000000" w:themeColor="text1"/>
          <w14:textFill>
            <w14:solidFill>
              <w14:schemeClr w14:val="tx1"/>
            </w14:solidFill>
          </w14:textFill>
        </w:rPr>
        <w:t xml:space="preserve">2.2.5脑卒中会诊</w:t>
      </w:r>
      <w:bookmarkEnd w:id="209"/>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系统提供发起会诊申请，会诊申请自动带入患者基本信息：姓名、性别、年龄、初步诊断；支持会诊申请时医生填写病历摘要、会诊目的、邀请会诊人员。</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提交会诊申请后，系统支持会诊消息发送至相关会诊邀请人员。</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会诊支持会诊概览，查看会诊申请信息中的会诊摘要、会诊目的、及会诊申请时间。</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系统支持会诊签到，并形成签到记录：会诊签到人，会诊签到时间。</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系统支持会诊记录填写，书写会诊意见及建议，并支持会诊医生调阅电子签名图片进行电子签名，并记录会诊记录时间。</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系统提供会诊历史记录查询。包含：会诊名称、申请人、申请时间、会诊目的、会诊签到、会诊意见。</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提供常用会诊单模板，系统提供模板样式定制。</w:t>
      </w:r>
      <w:r/>
    </w:p>
    <w:p>
      <w:pPr>
        <w:pStyle w:val="1065"/>
        <w:numPr>
          <w:ilvl w:val="0"/>
          <w:numId w:val="9"/>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系统提供会诊单打印，并显示打印次数。</w:t>
      </w:r>
      <w:r/>
    </w:p>
    <w:p>
      <w:pPr>
        <w:pStyle w:val="767"/>
        <w:spacing w:line="276" w:lineRule="auto"/>
        <w:rPr>
          <w:rFonts w:hint="eastAsia" w:ascii="仿宋" w:hAnsi="仿宋" w:eastAsia="仿宋"/>
          <w:color w:val="000000" w:themeColor="text1"/>
          <w14:textFill>
            <w14:solidFill>
              <w14:schemeClr w14:val="tx1"/>
            </w14:solidFill>
          </w14:textFill>
        </w:rPr>
      </w:pPr>
      <w:r/>
      <w:bookmarkStart w:id="210" w:name="_Toc218629821"/>
      <w:r>
        <w:rPr>
          <w:rFonts w:hint="eastAsia" w:ascii="仿宋" w:hAnsi="仿宋" w:eastAsia="仿宋"/>
          <w:color w:val="000000" w:themeColor="text1"/>
          <w14:textFill>
            <w14:solidFill>
              <w14:schemeClr w14:val="tx1"/>
            </w14:solidFill>
          </w14:textFill>
        </w:rPr>
        <w:t xml:space="preserve">2.2.6知情同意书</w:t>
      </w:r>
      <w:bookmarkEnd w:id="210"/>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系统提供医护和患者及患者家属填写知情同意书。</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系统提供已提交的知情同意书历史查询和打印。</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系统提供知情同意书模版引用。</w:t>
      </w:r>
      <w:r/>
    </w:p>
    <w:p>
      <w:pPr>
        <w:pStyle w:val="1065"/>
        <w:numPr>
          <w:ilvl w:val="0"/>
          <w:numId w:val="1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系统提供知情同意书模板自定义。</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系统提供知情同意书历史记录查看。</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系统提供知情同意书中的医生签名集成对接院内CA电子签名。</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系统提供知情同意书中的患者签名在移动端手写签名。</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系统提供知情同意书中的患者签名集成院内手写板签名。</w:t>
      </w:r>
      <w:r/>
    </w:p>
    <w:p>
      <w:pPr>
        <w:pStyle w:val="1065"/>
        <w:numPr>
          <w:ilvl w:val="0"/>
          <w:numId w:val="10"/>
        </w:numPr>
        <w:contextualSpacing w:val="0"/>
        <w:spacing w:line="276" w:lineRule="auto"/>
        <w:widowControl w:val="off"/>
        <w:rPr>
          <w:rFonts w:hint="eastAsia" w:ascii="仿宋" w:hAnsi="仿宋" w:eastAsia="仿宋"/>
          <w:color w:val="000000" w:themeColor="text1"/>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系统提供知情同意书相关数据自动同步至专病上报数据中心。</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11" w:name="_Toc218629822"/>
      <w:r>
        <w:rPr>
          <w:rFonts w:hint="eastAsia" w:ascii="仿宋" w:hAnsi="仿宋" w:eastAsia="仿宋"/>
          <w:color w:val="000000" w:themeColor="text1"/>
          <w:sz w:val="24"/>
          <w:szCs w:val="24"/>
          <w14:textFill>
            <w14:solidFill>
              <w14:schemeClr w14:val="tx1"/>
            </w14:solidFill>
          </w14:textFill>
        </w:rPr>
        <w:t xml:space="preserve">2.3卒中数据中心</w:t>
      </w:r>
      <w:bookmarkEnd w:id="211"/>
      <w:r/>
      <w:r/>
    </w:p>
    <w:p>
      <w:pPr>
        <w:pStyle w:val="767"/>
        <w:spacing w:line="276" w:lineRule="auto"/>
        <w:rPr>
          <w:rFonts w:hint="eastAsia" w:ascii="仿宋" w:hAnsi="仿宋" w:eastAsia="仿宋"/>
          <w:color w:val="000000" w:themeColor="text1"/>
          <w14:textFill>
            <w14:solidFill>
              <w14:schemeClr w14:val="tx1"/>
            </w14:solidFill>
          </w14:textFill>
        </w:rPr>
      </w:pPr>
      <w:r/>
      <w:bookmarkStart w:id="212" w:name="_Toc218629823"/>
      <w:r>
        <w:rPr>
          <w:rFonts w:hint="eastAsia" w:ascii="仿宋" w:hAnsi="仿宋" w:eastAsia="仿宋"/>
          <w:color w:val="000000" w:themeColor="text1"/>
          <w14:textFill>
            <w14:solidFill>
              <w14:schemeClr w14:val="tx1"/>
            </w14:solidFill>
          </w14:textFill>
        </w:rPr>
        <w:t xml:space="preserve">2.3.1卒中患者列表</w:t>
      </w:r>
      <w:bookmarkEnd w:id="212"/>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满足卒中入径患者上报列表查询，可通过日期、姓名、住院号、上报状态进行快速检索查询。</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满足高级查询自定义查询条件。</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满足当前日期内所有上报患者情况概览，包含有：未提交个数、已提交个数、已上报个数、已审核个数、已驳回个数。</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满足卒中患者上报列表，包含：序号、姓名、性别、民族、住院号、入径时间、填报人、数据完整度、状态。</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满足卒中患者数据提交、审核和上报。</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满足卒中患者数据的批量提交、审核和上报。</w:t>
      </w:r>
      <w:r/>
    </w:p>
    <w:p>
      <w:pPr>
        <w:pStyle w:val="767"/>
        <w:spacing w:line="276" w:lineRule="auto"/>
        <w:rPr>
          <w:rFonts w:hint="eastAsia" w:ascii="仿宋" w:hAnsi="仿宋" w:eastAsia="仿宋"/>
          <w:color w:val="000000" w:themeColor="text1"/>
          <w14:textFill>
            <w14:solidFill>
              <w14:schemeClr w14:val="tx1"/>
            </w14:solidFill>
          </w14:textFill>
        </w:rPr>
      </w:pPr>
      <w:r/>
      <w:bookmarkStart w:id="213" w:name="_Toc218629824"/>
      <w:r>
        <w:rPr>
          <w:rFonts w:hint="eastAsia" w:ascii="仿宋" w:hAnsi="仿宋" w:eastAsia="仿宋"/>
          <w:color w:val="000000" w:themeColor="text1"/>
          <w14:textFill>
            <w14:solidFill>
              <w14:schemeClr w14:val="tx1"/>
            </w14:solidFill>
          </w14:textFill>
        </w:rPr>
        <w:t xml:space="preserve">2.3.2卒中病案信息管理</w:t>
      </w:r>
      <w:bookmarkEnd w:id="213"/>
      <w:r/>
      <w:r/>
    </w:p>
    <w:p>
      <w:pPr>
        <w:pStyle w:val="863"/>
        <w:numPr>
          <w:ilvl w:val="0"/>
          <w:numId w:val="11"/>
        </w:numPr>
        <w:contextualSpacing w:val="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为患者建立卒中上报病案索引，包括：创建时间、填报人、填报表单。</w:t>
      </w:r>
      <w:r/>
    </w:p>
    <w:p>
      <w:pPr>
        <w:pStyle w:val="863"/>
        <w:numPr>
          <w:ilvl w:val="0"/>
          <w:numId w:val="11"/>
        </w:numPr>
        <w:contextualSpacing w:val="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满足卒中患者病案内容有效性校验。</w:t>
      </w:r>
      <w:r/>
    </w:p>
    <w:p>
      <w:pPr>
        <w:pStyle w:val="863"/>
        <w:numPr>
          <w:ilvl w:val="0"/>
          <w:numId w:val="11"/>
        </w:numPr>
        <w:contextualSpacing w:val="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满足卒中患者病案填报内容完成度显示。</w:t>
      </w:r>
      <w:r/>
    </w:p>
    <w:p>
      <w:pPr>
        <w:pStyle w:val="863"/>
        <w:numPr>
          <w:ilvl w:val="0"/>
          <w:numId w:val="11"/>
        </w:numPr>
        <w:contextualSpacing w:val="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满足卒中患者病案内容以填报章节形式分类展示，可对章节进行折叠和展开。</w:t>
      </w:r>
      <w:r/>
    </w:p>
    <w:p>
      <w:pPr>
        <w:pStyle w:val="863"/>
        <w:numPr>
          <w:ilvl w:val="0"/>
          <w:numId w:val="11"/>
        </w:numPr>
        <w:contextualSpacing w:val="0"/>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满足卒中患者按照诊疗流程展示病案章节和内容。</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2.3.2.1诊疗类型（疾病分类）</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满足对卒中患者入径后选择诊疗类型，如：AIS静脉溶栓、AIS介入再通、脑出血手术、颅内动脉瘤手术、CEA/CAS。</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满足对卒中患者按照所选择的诊疗类型生成对应的病案信息模版章节和内容。</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2.3.2.2入院情况</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系统满足记录卒中患者诊疗分类为AIS静脉溶栓或AIS介入再通的脑梗死相关的入院信息，如：脑梗死发病是否在院、脑梗死患者到院时间、脑梗死发病时间是否明确、脑梗死患者发病时间。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满足记录患者卒中患者诊疗分类为脑出血手术的入院信息，如：脑出血发病是否在院、脑出血患者到院时间、脑出血发病时间是否明确、脑出血患者发病时间。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记录卒中患者入院的评估信息，如：本次发病前mRS评分、本次入院NIHSS评分、吞咽功能评估、入院GCS评分、是否脑疝、有无既往动脉瘤破裂史、动脉瘤临床分类、动脉瘤发病时间、Hunt-Hess分级、Fisher分级、是否尼莫地平预防血管痉挛治疗、颈动脉狭窄或闭塞是否有症状（缺血或脑梗死症状）。</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如果医院有院前急救系统，可以通过与院前系统对接，实现院前数据与院内专病的数据自动同步和匹配。</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2.3.2.3 TOAST分型</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系统满足患者卒中病因分型，大动脉粥样硬化性卒中(LAA)，心源性脑栓塞(CE)，小动脉闭塞性卒中或间隙性卒中(SAA)，其它原因导致的缺血性卒中(SOE)，不明原因的缺血性卒中(SUE)。</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系统满足患者卒中病因分析为其它原因导致的缺血性卒中(SOE)时记录其是否有烟雾病。</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2.3.2.4 AIS静脉溶栓</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系统满足记录患者是否进行静脉溶栓治疗，满足记录未溶栓的原因，如超时间窗、禁忌症、患者/家属拒绝等。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系统满足记录开始静脉溶栓的场所信息，如急救车、本院急诊科、本院CT室、本院病房。</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系统满足记录开始静脉溶栓的时间。如：ONT时间、DNT时间。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系统满足记录患者溶栓前NIHSS评分信息。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系统满足记录静脉溶栓药物信息，如rt-PA、尿激酶、阿尼普酶、瑞替普酶。</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系统满足记录患者有无溶栓并发症信息，如颅内出血、消化道出血、牙龈出血、再灌注损伤、其他。</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系统满足记录溶栓结束后即刻、溶栓后24h、溶栓后7±2天的NIHSS评分。</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系统满足记录未给予血管内治疗的原因。</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2.3.2.5 AIS介入再通信息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系统满足选择是否采取血管内治疗措施，满足记录未给予血管内治疗措施的原因，如超时间窗、时间窗、禁忌症、患者/家属拒绝等。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系统满足记录患者血管内开通方法，如支架取栓、抽栓、球囊成形、支架成形、动脉溶栓、机械碎栓、其他等。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系统满足选择介入手术前是否进行NIHSS评分，满足NIHSS评估并记录结果。</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系统满足选择介入手术前是否进行ASPECT评分，满足ASPECT评估并记录结果。</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系统满足选择介入手术前是否进行mTICI评级，满足记录mTICI评级分级结果。</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系统满足记录患者发病至股动脉穿刺（OPT）时间。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系统满足记录患者入院至股动脉穿刺（DPT）时间。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系统满足选择介入手术后即刻、术后24H、术后7±2天是否进行NIHSS评分，满足NIHSS评估并记录结果。</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系统满足选择介入手术后即刻是否进行mTICI评级，满足记录mTICI评级分级结果。</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系统满足对术后并发症进行记录，如颅内出血、动脉夹层、缺血性并发症、其他部位动脉闭塞、支架脱离、再闭塞、消化道出血再灌注损伤、颈内动脉海绵窦瘘等。</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2.3.2.6主要影像检查</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系统满足记录卒中患者出血量信息，如：出血部位、出血大小。</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系统满足记录卒中颅内出血检查方式，如：MRI、CTA、MRA、DSA、未查。</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系统满足记录卒中患者脑出血病因诊断信息，如：高血压、动静脉畸形AVM、烟雾病、血管淀粉样变性、颅内动脉瘤、硬脑膜动静脉瘘、海绵状血管瘤、颅内静脉窦血栓形成、其他。</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2.3.2.7脑出血手术信息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系统满足对脑出血手术的开始时间进行记录。</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系统满足选择脑出血手术的麻醉方式，如全麻、局麻。</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系统满足选择脑出血手术的方式，如开颅血肿清除术、去骨瓣减压术、脑室镜下血肿抽吸术、钻孔血肿抽吸术、复合手术、其他等。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系统满足对术后并发症进行记录，如手术部位再次脑出血、手术远离部位再出血、脑梗死、继发性癫痫、颅内感染、其他等 。</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系统满足对术后预后进行记录，如治愈、好转、加重、死亡。</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2.3.2.8动脉瘤手术信息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系统满足对动脉瘤相关信息记录，如动脉瘤数量、动脉瘤长度、动脉瘤宽度、动脉瘤高度等。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系统满足对颅内动脉瘤影像检查进行记录，满足对出血位置进行记录，如左侧/右侧、 基底节区、 幕上脑叶、小脑、脑干、脑室等。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系统满足记录颅内动脉瘤手术信息，如：手术类型、手术时间、治疗结果。</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系统满足对颅内动脉瘤手术过程中有无并发症和并发症信息进行记录，如：急性血栓形成、动脉瘤破裂、动脉瘤附近穿支血管闭塞、动脉夹层、穿刺部位并发症、其他。</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2.3.2.9 CEA/CAS手术信息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系统满足记录CEA/CAS手术的开始时间。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系统满足记录CEA/CAS手术的手术部位信息，如LICA、RICA等。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系统满足记录CEA/CAS手术的麻醉方式，如全麻、局麻。</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系统满足记录CEA/CAS手术实施的监测手段，如TCD、脑电图、其他等。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系统满足记录手术的标准方式，如标准式CEA、外翻式CEA、CAS、复合手术等。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系统满足记录CEA/CAS手术是否使用补片。</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系统满足记录CEA手术并发症信息，如：切口血肿、颅神经损伤、血流动力学障碍、再狭窄、过度灌注损伤、其他、无。</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系统满足记录CAS手术并发症信息，如：脑梗死、脑出血、心血管事件、再狭窄、过度灌注损伤、其他、无。</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2.3.2.10药物及康复治疗</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系统满足记录患者是否进行抗血小板治疗。</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系统满足剂量患者术后/住院的抗血小板药物信息，如：氯吡格雷、奥扎格雷、双嘧达莫、塞氯吡啶、西洛他唑、其他。</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系统满足记录患者术后/住院的调脂药物信息，如：他汀类、烟酸及其衍生物、贝特类、胆固醇吸收抑制剂、其他。</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系统满足记录患者术后/住院的降压药物信息，如：ACEI、  ARB  利尿剂、受体阻滞剂、钙拮抗剂、其他。</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系统满足记录患者术后/住院的降糖药物信息，如：胰岛素、磺酰脲类、 双胍类、α糖苷酶抑制剂、胰岛素增敏剂、促胰岛素分泌剂、其他等。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系统满足记录患者术后/住院的抗凝药物信息，如：法华林、利伐沙班、 达比加群、阿哌沙班、依度沙班、低分子肝素、 普通肝素 、其他等。</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系统满足记录患者是否接受康复治疗信息，及康复治疗方式，如：传统康复（针灸、推拿）、 运动疗法（PT）、  作业疗法（OT）、口语训练（ST）。</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2.3.2.11出院及健康宣教</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系统满足记录出院患者的出院信息，如：出院日期、离院方式、出院用药。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系统满足记录患者死亡的相关信息，如：死亡时间、死亡原因、死亡原因其他备注。</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系统满足记录患者的健康宣教情况，和宣教方式。</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系统满足查看患者健康宣教历史记录。</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14" w:name="_Toc218629825"/>
      <w:r>
        <w:rPr>
          <w:rFonts w:hint="eastAsia" w:ascii="仿宋" w:hAnsi="仿宋" w:eastAsia="仿宋"/>
          <w:color w:val="000000" w:themeColor="text1"/>
          <w:sz w:val="24"/>
          <w:szCs w:val="24"/>
          <w14:textFill>
            <w14:solidFill>
              <w14:schemeClr w14:val="tx1"/>
            </w14:solidFill>
          </w14:textFill>
        </w:rPr>
        <w:t xml:space="preserve">2.4</w:t>
      </w:r>
      <w:bookmarkStart w:id="215" w:name="OLE_LINK6"/>
      <w:r>
        <w:rPr>
          <w:rFonts w:hint="eastAsia" w:ascii="仿宋" w:hAnsi="仿宋" w:eastAsia="仿宋"/>
          <w:color w:val="000000" w:themeColor="text1"/>
          <w:sz w:val="24"/>
          <w:szCs w:val="24"/>
          <w14:textFill>
            <w14:solidFill>
              <w14:schemeClr w14:val="tx1"/>
            </w14:solidFill>
          </w14:textFill>
        </w:rPr>
        <w:t xml:space="preserve">卒中数据上报</w:t>
      </w:r>
      <w:bookmarkEnd w:id="214"/>
      <w:r/>
      <w:bookmarkEnd w:id="215"/>
      <w:r/>
      <w:r/>
    </w:p>
    <w:p>
      <w:pPr>
        <w:pStyle w:val="767"/>
        <w:spacing w:line="276" w:lineRule="auto"/>
        <w:rPr>
          <w:rFonts w:hint="eastAsia" w:ascii="仿宋" w:hAnsi="仿宋" w:eastAsia="仿宋"/>
          <w:color w:val="000000" w:themeColor="text1"/>
          <w14:textFill>
            <w14:solidFill>
              <w14:schemeClr w14:val="tx1"/>
            </w14:solidFill>
          </w14:textFill>
        </w:rPr>
      </w:pPr>
      <w:r/>
      <w:bookmarkStart w:id="216" w:name="_Toc218629826"/>
      <w:r>
        <w:rPr>
          <w:rFonts w:hint="eastAsia" w:ascii="仿宋" w:hAnsi="仿宋" w:eastAsia="仿宋"/>
          <w:color w:val="000000" w:themeColor="text1"/>
          <w14:textFill>
            <w14:solidFill>
              <w14:schemeClr w14:val="tx1"/>
            </w14:solidFill>
          </w14:textFill>
        </w:rPr>
        <w:t xml:space="preserve">2.4.1卒中病案查询</w:t>
      </w:r>
      <w:bookmarkEnd w:id="216"/>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满足患者列表查看及基于条件的查询筛选功能。</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满足查询当前所有在科卒中专病患者，通过患者相关信息筛选，如通过状态、患者ID、姓名、性别、年龄、身份证号码、入科时间等条件查看对应患者卒中填报卡。</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满足显示病人基本信息：病人姓名、病人ID、性别、年龄、出生日期、责任医生。</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满足显示当前已进入卒中专病急救路径的患者列表及患者所属的卒中类型。</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满足显示当前填报卡内容数据效验不通过的异常内容提醒。</w:t>
      </w:r>
      <w:r/>
    </w:p>
    <w:p>
      <w:pPr>
        <w:pStyle w:val="767"/>
        <w:spacing w:line="276" w:lineRule="auto"/>
        <w:rPr>
          <w:rFonts w:hint="eastAsia" w:ascii="仿宋" w:hAnsi="仿宋" w:eastAsia="仿宋"/>
          <w:color w:val="000000" w:themeColor="text1"/>
          <w14:textFill>
            <w14:solidFill>
              <w14:schemeClr w14:val="tx1"/>
            </w14:solidFill>
          </w14:textFill>
        </w:rPr>
      </w:pPr>
      <w:r/>
      <w:bookmarkStart w:id="217" w:name="_Toc218629827"/>
      <w:r>
        <w:rPr>
          <w:rFonts w:hint="eastAsia" w:ascii="仿宋" w:hAnsi="仿宋" w:eastAsia="仿宋"/>
          <w:color w:val="000000" w:themeColor="text1"/>
          <w14:textFill>
            <w14:solidFill>
              <w14:schemeClr w14:val="tx1"/>
            </w14:solidFill>
          </w14:textFill>
        </w:rPr>
        <w:t xml:space="preserve">2.4.2数据上报</w:t>
      </w:r>
      <w:bookmarkEnd w:id="217"/>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满足卒中病案数据内容的删除、保存和效验。</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满足卒中病案数据内容按照填报完成度显示。</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满足卒中病案数据提交至院内审核。</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满足对接国家卒中中心数据上报系统进行数据上报。</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满足查看上报明细数据，和返回的错误详细信息。</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满足查看上报历史记录和上报状态。</w:t>
      </w:r>
      <w:r/>
    </w:p>
    <w:p>
      <w:pPr>
        <w:pStyle w:val="767"/>
        <w:spacing w:line="276" w:lineRule="auto"/>
        <w:rPr>
          <w:rFonts w:hint="eastAsia" w:ascii="仿宋" w:hAnsi="仿宋" w:eastAsia="仿宋"/>
          <w:color w:val="000000" w:themeColor="text1"/>
          <w14:textFill>
            <w14:solidFill>
              <w14:schemeClr w14:val="tx1"/>
            </w14:solidFill>
          </w14:textFill>
        </w:rPr>
      </w:pPr>
      <w:r/>
      <w:bookmarkStart w:id="218" w:name="_Toc218629828"/>
      <w:r>
        <w:rPr>
          <w:rFonts w:hint="eastAsia" w:ascii="仿宋" w:hAnsi="仿宋" w:eastAsia="仿宋"/>
          <w:color w:val="000000" w:themeColor="text1"/>
          <w14:textFill>
            <w14:solidFill>
              <w14:schemeClr w14:val="tx1"/>
            </w14:solidFill>
          </w14:textFill>
        </w:rPr>
        <w:t xml:space="preserve">2.4.3卒中病案归档</w:t>
      </w:r>
      <w:bookmarkEnd w:id="218"/>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满足卒中患者病案归档功能，卒中患者急救结束后，有权限的医护人员可对患者的卒中病案发起归档申请，提交给上级审核。</w:t>
      </w:r>
      <w:r/>
    </w:p>
    <w:p>
      <w:pPr>
        <w:spacing w:line="276"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ab/>
      </w:r>
      <w:r>
        <w:rPr>
          <w:rFonts w:hint="eastAsia" w:ascii="仿宋" w:hAnsi="仿宋" w:eastAsia="仿宋"/>
          <w:sz w:val="24"/>
          <w:szCs w:val="24"/>
        </w:rPr>
        <w:t xml:space="preserve">▲根据权限的划分，上级可对待审核的卒中病案进行审核，可选择审核通过、拒绝通过，可录入拒绝的原因。</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归档后的患者卒中病案不满足填报数据的自动同步或者修改。</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19" w:name="_Toc218629829"/>
      <w:r>
        <w:rPr>
          <w:rFonts w:hint="eastAsia" w:ascii="仿宋" w:hAnsi="仿宋" w:eastAsia="仿宋"/>
          <w:color w:val="000000" w:themeColor="text1"/>
          <w:sz w:val="24"/>
          <w:szCs w:val="24"/>
          <w14:textFill>
            <w14:solidFill>
              <w14:schemeClr w14:val="tx1"/>
            </w14:solidFill>
          </w14:textFill>
        </w:rPr>
        <w:t xml:space="preserve">2.5</w:t>
      </w:r>
      <w:bookmarkStart w:id="220" w:name="OLE_LINK7"/>
      <w:r>
        <w:rPr>
          <w:rFonts w:hint="eastAsia" w:ascii="仿宋" w:hAnsi="仿宋" w:eastAsia="仿宋"/>
          <w:color w:val="000000" w:themeColor="text1"/>
          <w:sz w:val="24"/>
          <w:szCs w:val="24"/>
          <w14:textFill>
            <w14:solidFill>
              <w14:schemeClr w14:val="tx1"/>
            </w14:solidFill>
          </w14:textFill>
        </w:rPr>
        <w:t xml:space="preserve">卒中质控管理</w:t>
      </w:r>
      <w:bookmarkEnd w:id="219"/>
      <w:r/>
      <w:bookmarkEnd w:id="220"/>
      <w:r/>
      <w:r/>
    </w:p>
    <w:p>
      <w:pPr>
        <w:pStyle w:val="767"/>
        <w:spacing w:line="276" w:lineRule="auto"/>
        <w:rPr>
          <w:rFonts w:hint="eastAsia" w:ascii="仿宋" w:hAnsi="仿宋" w:eastAsia="仿宋"/>
          <w:color w:val="000000" w:themeColor="text1"/>
          <w14:textFill>
            <w14:solidFill>
              <w14:schemeClr w14:val="tx1"/>
            </w14:solidFill>
          </w14:textFill>
        </w:rPr>
      </w:pPr>
      <w:r/>
      <w:bookmarkStart w:id="221" w:name="_Toc218629830"/>
      <w:r>
        <w:rPr>
          <w:rFonts w:hint="eastAsia" w:ascii="仿宋" w:hAnsi="仿宋" w:eastAsia="仿宋"/>
          <w:color w:val="000000" w:themeColor="text1"/>
          <w14:textFill>
            <w14:solidFill>
              <w14:schemeClr w14:val="tx1"/>
            </w14:solidFill>
          </w14:textFill>
        </w:rPr>
        <w:t xml:space="preserve">2.5.1卒中质控指标</w:t>
      </w:r>
      <w:bookmarkEnd w:id="221"/>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满足国家卒中中心认证质控指标：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卒中患者抵达急诊接受NIHSS评分的比例；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缺血性卒中患者在溶栓时间窗内接受静脉溶栓患者的比例；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在抵达医院60分钟内，急性缺血性卒中患者接受静脉溶栓患者的比例；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在发病6h内到达医院的急性缺血性卒中患者，从到达急诊至开始做多模式头颅CT/CTA或MRI/MRA的时间。完成头颅CT&lt;25分钟的比例；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对急性缺血性卒中患者，从入院到开始血管内治疗的时间；</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对缺血性卒中患者，在静脉溶栓治疗36h内发生症状性颅内出血的患者比例；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对接受静脉溶栓或血管内治疗的急性缺血性卒中患者有治疗后90天mRS记录的患者比例；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诊断性全脑血管造影检查术后24小时内患者的卒中发生率和死亡率；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接受CEA或CAS治疗的患者在30天内卒中发生率和死亡率；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SAH、ICH、AVM患者入院时病情严重程度评估率；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48小时内动脉瘤破裂导致的SAH患者从就诊到行动脉瘤夹闭或介入术治疗的平均时间。</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AVM导致的卒中患者在30天内行外科或血管内治疗的比例。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卒中患者行去骨瓣减压、血肿清除术的比例及死亡率。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卒中患者行脑室外引流的比例及死亡率。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与华法林治疗相关的颅内出血率；INR升高（INR＞1.4）患者从入院到给予促凝血治疗后INR达标的平均时间。</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各类型卒中，颅内外动脉狭窄，SAH或TIA患者入组相关临床试验研究的比例。</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满足按照医院卒中救治路径配置自定义质控指标。</w:t>
      </w:r>
      <w:r/>
    </w:p>
    <w:p>
      <w:pPr>
        <w:spacing w:line="276" w:lineRule="auto"/>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ab/>
      </w:r>
      <w:r>
        <w:rPr>
          <w:rFonts w:hint="eastAsia" w:ascii="仿宋" w:hAnsi="仿宋" w:eastAsia="仿宋"/>
          <w:sz w:val="24"/>
          <w:szCs w:val="24"/>
        </w:rPr>
        <w:t xml:space="preserve">▲满足卒中患者关键救治数据统计分析，并以柱状图、饼图、折线图等形式展示，包括：</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患者发病时间（分钟）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患者到院-分诊完成时间（分钟）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入院至接诊时间（分钟）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采血送检时间（分钟）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心电图检查用时（分钟）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入院-建立静脉通路时间（分钟）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接到血标本到化验报告时间（分钟）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CT检查到报告时间（分钟）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签署知情同意书时间（分钟）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发病到开始溶栓时间（ONT）</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入院至开始溶栓时间（DNT）</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发病到穿刺完成时间（OPT）</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入院至穿刺完成时间（DPT）</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静脉溶栓治疗时间窗</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患者溶栓前后血压水平</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DNT时间达标率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NIHSS评分分布</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NIHSS平均评分趋势图（分钟）</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发病机制（TOAST分型）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入院NIHSS评分率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溶栓后即刻NIHSS评分率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溶栓后24hNIHSS评分率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溶栓结束7+2天NIHSS评分率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侧支循环情</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溶栓药物类型（%）</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溶栓并发症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治疗结果</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入院GCS评分</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DPT时间的达标率</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术前ASPECT评估</w:t>
      </w:r>
      <w:r/>
    </w:p>
    <w:p>
      <w:pPr>
        <w:pStyle w:val="863"/>
        <w:numPr>
          <w:ilvl w:val="0"/>
          <w:numId w:val="12"/>
        </w:numPr>
        <w:contextualSpacing w:val="0"/>
        <w:ind w:left="480" w:hanging="480"/>
        <w:jc w:val="left"/>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手术并发症</w:t>
      </w:r>
      <w:r/>
    </w:p>
    <w:p>
      <w:pPr>
        <w:pStyle w:val="767"/>
        <w:spacing w:line="276" w:lineRule="auto"/>
        <w:rPr>
          <w:rFonts w:hint="eastAsia" w:ascii="仿宋" w:hAnsi="仿宋" w:eastAsia="仿宋"/>
          <w:color w:val="000000" w:themeColor="text1"/>
          <w14:textFill>
            <w14:solidFill>
              <w14:schemeClr w14:val="tx1"/>
            </w14:solidFill>
          </w14:textFill>
        </w:rPr>
      </w:pPr>
      <w:r/>
      <w:bookmarkStart w:id="222" w:name="_Toc218629831"/>
      <w:r>
        <w:rPr>
          <w:rFonts w:hint="eastAsia" w:ascii="仿宋" w:hAnsi="仿宋" w:eastAsia="仿宋"/>
          <w:color w:val="000000" w:themeColor="text1"/>
          <w14:textFill>
            <w14:solidFill>
              <w14:schemeClr w14:val="tx1"/>
            </w14:solidFill>
          </w14:textFill>
        </w:rPr>
        <w:t xml:space="preserve">2.5.2卒中患者救治依从性分析</w:t>
      </w:r>
      <w:bookmarkEnd w:id="222"/>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满足卒中患者按照疾病组分类对应依从性规则。</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满足卒中质控指标即临床规则依从性分析，如基于时间统计，如检查报告时间、知情同意时间、血管再通时间。</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满足自动统计查询时间段内各个质控点依从性完成程度。</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满足2-3位卒中患者的急救时间轴的横向对比，便于分析和发现流程执行问题。</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23" w:name="_Toc218629832"/>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.6</w:t>
      </w:r>
      <w:bookmarkStart w:id="224" w:name="OLE_LINK8"/>
      <w:r>
        <w:rPr>
          <w:rFonts w:hint="eastAsia" w:ascii="仿宋" w:hAnsi="仿宋" w:eastAsia="仿宋"/>
          <w:color w:val="000000" w:themeColor="text1"/>
          <w:sz w:val="24"/>
          <w:szCs w:val="24"/>
          <w14:textFill>
            <w14:solidFill>
              <w14:schemeClr w14:val="tx1"/>
            </w14:solidFill>
          </w14:textFill>
        </w:rPr>
        <w:t xml:space="preserve">卒中患者随访管理</w:t>
      </w:r>
      <w:bookmarkEnd w:id="223"/>
      <w:r/>
      <w:bookmarkEnd w:id="224"/>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（1）支持制定随访计划，针对患者开展术后随访跟踪业务，并设置随访任务提醒、结束、查询和导出以及随访统计等，随访医生能够根据随访计划跟踪患者全周期健康情况。</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支持为</w:t>
      </w:r>
      <w:r>
        <w:rPr>
          <w:rFonts w:ascii="仿宋" w:hAnsi="仿宋" w:eastAsia="仿宋"/>
          <w:color w:val="000000" w:themeColor="text1"/>
          <w:sz w:val="24"/>
          <w:szCs w:val="24"/>
          <w14:textFill>
            <w14:solidFill>
              <w14:schemeClr w14:val="tx1"/>
            </w14:solidFill>
          </w14:textFill>
        </w:rPr>
        <w:t xml:space="preserve">患者创建术后随访任务，结合该患者的术后情况定制适宜的术后随访计划。支持提醒医生随访计划即将到达， 当随访计划到达时按照随访制度录入随访指标。</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（3）支持随访任务未执行提醒功能。</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（4）支持随访内容自定义功能，且自定义操作便捷。</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（5）支持按照随访日期、随访状态、随访周期、随访医生及患者姓名、 ID 的病历查询、完整患者病历查看功能。</w:t>
      </w:r>
      <w:r/>
    </w:p>
    <w:p>
      <w:pPr>
        <w:pStyle w:val="765"/>
        <w:spacing w:line="276" w:lineRule="auto"/>
        <w:rPr>
          <w:rFonts w:hint="eastAsia" w:ascii="仿宋" w:hAnsi="仿宋" w:eastAsia="仿宋"/>
          <w:color w:val="000000" w:themeColor="text1"/>
          <w:sz w:val="24"/>
          <w:szCs w:val="24"/>
          <w14:textFill>
            <w14:solidFill>
              <w14:schemeClr w14:val="tx1"/>
            </w14:solidFill>
          </w14:textFill>
        </w:rPr>
      </w:pPr>
      <w:r/>
      <w:bookmarkStart w:id="225" w:name="_Toc218629833"/>
      <w:r>
        <w:rPr>
          <w:rFonts w:hint="eastAsia" w:ascii="仿宋" w:hAnsi="仿宋" w:eastAsia="仿宋"/>
          <w:color w:val="000000" w:themeColor="text1"/>
          <w:sz w:val="24"/>
          <w:szCs w:val="24"/>
          <w14:textFill>
            <w14:solidFill>
              <w14:schemeClr w14:val="tx1"/>
            </w14:solidFill>
          </w14:textFill>
        </w:rPr>
        <w:t xml:space="preserve">3.</w:t>
      </w:r>
      <w:bookmarkStart w:id="226" w:name="OLE_LINK4"/>
      <w:r>
        <w:rPr>
          <w:rFonts w:hint="eastAsia" w:ascii="仿宋" w:hAnsi="仿宋" w:eastAsia="仿宋"/>
          <w:color w:val="000000" w:themeColor="text1"/>
          <w:sz w:val="24"/>
          <w:szCs w:val="24"/>
          <w14:textFill>
            <w14:solidFill>
              <w14:schemeClr w14:val="tx1"/>
            </w14:solidFill>
          </w14:textFill>
        </w:rPr>
        <w:t xml:space="preserve">卒中专病个性化评分配置</w:t>
      </w:r>
      <w:bookmarkEnd w:id="225"/>
      <w:r/>
      <w:bookmarkEnd w:id="226"/>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27" w:name="_Toc218629834"/>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.1</w:t>
      </w:r>
      <w:bookmarkStart w:id="228" w:name="OLE_LINK9"/>
      <w:r>
        <w:rPr>
          <w:rFonts w:hint="eastAsia" w:ascii="仿宋" w:hAnsi="仿宋" w:eastAsia="仿宋"/>
          <w:color w:val="000000" w:themeColor="text1"/>
          <w:sz w:val="24"/>
          <w:szCs w:val="24"/>
          <w14:textFill>
            <w14:solidFill>
              <w14:schemeClr w14:val="tx1"/>
            </w14:solidFill>
          </w14:textFill>
        </w:rPr>
        <w:t xml:space="preserve">评分设置</w:t>
      </w:r>
      <w:bookmarkEnd w:id="227"/>
      <w:r/>
      <w:bookmarkEnd w:id="228"/>
      <w:r/>
      <w:r/>
    </w:p>
    <w:p>
      <w:pPr>
        <w:spacing w:line="276" w:lineRule="auto"/>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支持医护人员根据医院实际需求进行手动和导入两种模式新增各种卒中相关评分</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手动新增评分包含评分名称、标准编码、评分描述，正常值（低值和高值），结果单位、显示顺序、数据状态。</w:t>
      </w:r>
      <w:r/>
    </w:p>
    <w:p>
      <w:pPr>
        <w:spacing w:line="276"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 xml:space="preserve">支持对已存在的评分编辑、删除和下载。</w:t>
      </w:r>
      <w:r/>
    </w:p>
    <w:p>
      <w:pPr>
        <w:spacing w:line="276"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支持对已生成的评分维护评分项和评分选项，评分项和评分选项支持编辑和删除操作</w:t>
      </w:r>
      <w:bookmarkEnd w:id="194"/>
      <w:r/>
      <w:r/>
    </w:p>
    <w:p>
      <w:r/>
      <w:r/>
    </w:p>
    <w:p>
      <w:pPr>
        <w:pStyle w:val="765"/>
        <w:spacing w:line="276" w:lineRule="auto"/>
        <w:rPr>
          <w:rFonts w:hint="eastAsia" w:ascii="仿宋" w:hAnsi="仿宋" w:eastAsia="仿宋" w:cs="Times New Roman"/>
          <w:sz w:val="24"/>
          <w:szCs w:val="24"/>
          <w:lang w:val="en-US" w:eastAsia="zh-CN" w:bidi="ar-SA"/>
        </w:rPr>
      </w:pPr>
      <w:r/>
      <w:bookmarkStart w:id="229" w:name="OLE_LINK14"/>
      <w:r>
        <w:rPr>
          <w:rFonts w:hint="eastAsia" w:ascii="仿宋" w:hAnsi="仿宋" w:eastAsia="仿宋" w:cs="Times New Roman"/>
          <w:sz w:val="24"/>
          <w:szCs w:val="24"/>
          <w:lang w:val="en-US" w:eastAsia="zh-CN" w:bidi="ar-SA"/>
        </w:rPr>
        <w:t xml:space="preserve">4．卒中急救大数据监控中心</w:t>
      </w:r>
      <w:r/>
    </w:p>
    <w:p>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4.1院方监控大屏展现</w:t>
      </w:r>
      <w:r/>
    </w:p>
    <w:p>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1.全院卒中患者病例档案总览：病因分布统计、就诊途径统计；</w:t>
      </w:r>
      <w:r/>
    </w:p>
    <w:p>
      <w:pPr>
        <w:spacing w:line="360" w:lineRule="auto"/>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2.全院卒中关键指标统计：到达急诊至完成头颅CT小于25分钟比例、到院后接收静脉溶栓时间比例、本月手术治疗统计、全年手术治疗统计。</w:t>
      </w:r>
      <w:r/>
    </w:p>
    <w:p>
      <w:pPr>
        <w:spacing w:line="360" w:lineRule="auto"/>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4.2卒中中心驾驶舱</w:t>
      </w:r>
      <w:r>
        <w:rPr>
          <w:rFonts w:hint="eastAsia" w:ascii="仿宋" w:hAnsi="仿宋" w:eastAsia="仿宋" w:cs="Times New Roman"/>
          <w:sz w:val="24"/>
          <w:szCs w:val="24"/>
          <w:lang w:val="en-US" w:eastAsia="zh-CN" w:bidi="ar-SA"/>
        </w:rPr>
        <w:tab/>
      </w:r>
      <w:r/>
    </w:p>
    <w:p>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1.系统提供实时可视化界面，展示医院卒中中心的核心运营指标，涵盖患者数量统计、年龄分布、性别分布、救治措施统计、救治质量分析、绿色通道关键指标达标情况等，帮助管理者和医护人员全面了解中心的运营情况；</w:t>
      </w:r>
      <w:r/>
    </w:p>
    <w:p>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2.系统支持实时数据更新，所有关键运营指标基于实际数据自动生成，并动态显示</w:t>
      </w:r>
      <w:r/>
    </w:p>
    <w:p>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3.支持个性化定制，允许根据客户需求就核心指标、数据范围、展示方式等进行灵活定制。</w:t>
      </w:r>
      <w:r/>
    </w:p>
    <w:p>
      <w:r/>
      <w:bookmarkEnd w:id="229"/>
      <w:r/>
    </w:p>
    <w:p>
      <w:pPr>
        <w:pStyle w:val="764"/>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三、</w:t>
      </w:r>
      <w:r>
        <w:rPr>
          <w:rFonts w:hint="eastAsia" w:ascii="仿宋" w:hAnsi="仿宋" w:eastAsia="仿宋"/>
          <w:b/>
          <w:bCs/>
          <w:color w:val="000000" w:themeColor="text1"/>
          <w:sz w:val="24"/>
          <w:szCs w:val="24"/>
          <w14:textFill>
            <w14:solidFill>
              <w14:schemeClr w14:val="tx1"/>
            </w14:solidFill>
          </w14:textFill>
        </w:rPr>
        <w:t xml:space="preserve">胸痛中心系统</w:t>
      </w:r>
      <w:r/>
    </w:p>
    <w:p>
      <w:pPr>
        <w:pStyle w:val="765"/>
        <w:spacing w:line="276" w:lineRule="auto"/>
        <w:rPr>
          <w:rFonts w:hint="eastAsia" w:ascii="仿宋" w:hAnsi="仿宋" w:eastAsia="仿宋"/>
          <w:color w:val="000000" w:themeColor="text1"/>
          <w:sz w:val="24"/>
          <w:szCs w:val="24"/>
          <w14:textFill>
            <w14:solidFill>
              <w14:schemeClr w14:val="tx1"/>
            </w14:solidFill>
          </w14:textFill>
        </w:rPr>
      </w:pPr>
      <w:r/>
      <w:bookmarkStart w:id="230" w:name="_Toc218631160"/>
      <w:r/>
      <w:bookmarkStart w:id="231" w:name="_Toc162023630"/>
      <w:r>
        <w:rPr>
          <w:rFonts w:hint="eastAsia" w:ascii="仿宋" w:hAnsi="仿宋" w:eastAsia="仿宋"/>
          <w:color w:val="000000" w:themeColor="text1"/>
          <w:sz w:val="24"/>
          <w:szCs w:val="24"/>
          <w14:textFill>
            <w14:solidFill>
              <w14:schemeClr w14:val="tx1"/>
            </w14:solidFill>
          </w14:textFill>
        </w:rPr>
        <w:t xml:space="preserve">1．胸痛专病数据集成管理</w:t>
      </w:r>
      <w:bookmarkEnd w:id="230"/>
      <w:r/>
      <w:bookmarkEnd w:id="231"/>
      <w:r/>
      <w:r/>
    </w:p>
    <w:p>
      <w:pPr>
        <w:ind w:firstLine="424"/>
        <w:spacing w:line="276" w:lineRule="auto"/>
        <w:rPr>
          <w:rFonts w:hint="eastAsia" w:ascii="仿宋" w:hAnsi="仿宋" w:eastAsia="仿宋"/>
          <w:color w:val="000000" w:themeColor="text1"/>
          <w:sz w:val="24"/>
          <w:szCs w:val="24"/>
          <w14:textFill>
            <w14:solidFill>
              <w14:schemeClr w14:val="tx1"/>
            </w14:solidFill>
          </w14:textFill>
        </w:rPr>
      </w:pPr>
      <w:r/>
      <w:bookmarkStart w:id="232" w:name="_Toc162023631"/>
      <w:r/>
      <w:bookmarkStart w:id="233" w:name="_Toc21608"/>
      <w:r/>
      <w:bookmarkStart w:id="234" w:name="_Toc90471645"/>
      <w:r>
        <w:rPr>
          <w:rFonts w:hint="eastAsia" w:ascii="仿宋" w:hAnsi="仿宋" w:eastAsia="仿宋"/>
          <w:color w:val="000000" w:themeColor="text1"/>
          <w:sz w:val="24"/>
          <w:szCs w:val="24"/>
          <w14:textFill>
            <w14:solidFill>
              <w14:schemeClr w14:val="tx1"/>
            </w14:solidFill>
          </w14:textFill>
        </w:rPr>
        <w:t xml:space="preserve">运用物联网、5G结合传统医疗信息化技术，以胸痛患者为中心，实现患者救治全流程诊疗数据采集、计算分析、数据清洗及应用。旨在搭建院内信息互通桥梁，实现患者急救全方位信息展示，辅助临床医生精准、快速的制定诊疗方案，更好的利用黄金急救时间，最大可能的保障胸痛患者的生命安全。在医疗数据方面，尽可能的实现，一处录入，多处共享，减少一线医护人员的工作量，提高工作效率。</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35" w:name="_Toc218631161"/>
      <w:r>
        <w:rPr>
          <w:rFonts w:hint="eastAsia" w:ascii="仿宋" w:hAnsi="仿宋" w:eastAsia="仿宋"/>
          <w:color w:val="000000" w:themeColor="text1"/>
          <w:sz w:val="24"/>
          <w:szCs w:val="24"/>
          <w14:textFill>
            <w14:solidFill>
              <w14:schemeClr w14:val="tx1"/>
            </w14:solidFill>
          </w14:textFill>
        </w:rPr>
        <w:t xml:space="preserve">1.1物联网救治时间采集</w:t>
      </w:r>
      <w:bookmarkEnd w:id="232"/>
      <w:r/>
      <w:bookmarkEnd w:id="235"/>
      <w:r/>
      <w:r/>
    </w:p>
    <w:p>
      <w:pPr>
        <w:pStyle w:val="1065"/>
        <w:numPr>
          <w:ilvl w:val="0"/>
          <w:numId w:val="1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系统提供可循环使用的患者物联网腕带标签，包含发放与回收管理。</w:t>
      </w:r>
      <w:r/>
    </w:p>
    <w:p>
      <w:pPr>
        <w:pStyle w:val="1065"/>
        <w:numPr>
          <w:ilvl w:val="0"/>
          <w:numId w:val="1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系统提供将时间采集节点关联不同的专病救治环节，通过传感器实现关键时间数据自动采集。时间采集器安装在医院需要进行时间采集的各个位置,如救急诊科大门，抢救室、EICU、CT室、心内科CCU、导管室等。</w:t>
      </w:r>
      <w:r/>
    </w:p>
    <w:p>
      <w:pPr>
        <w:pStyle w:val="1065"/>
        <w:numPr>
          <w:ilvl w:val="0"/>
          <w:numId w:val="13"/>
        </w:numPr>
        <w:contextualSpacing w:val="0"/>
        <w:spacing w:line="276" w:lineRule="auto"/>
        <w:widowControl w:val="off"/>
        <w:rPr>
          <w:rFonts w:hint="eastAsia" w:ascii="仿宋" w:hAnsi="仿宋" w:eastAsia="仿宋"/>
          <w:lang w:eastAsia="zh-CN"/>
        </w:rPr>
      </w:pPr>
      <w:r/>
      <w:bookmarkStart w:id="236" w:name="_Toc162023632"/>
      <w:r>
        <w:rPr>
          <w:rFonts w:hint="eastAsia" w:ascii="仿宋" w:hAnsi="仿宋" w:eastAsia="仿宋"/>
          <w:lang w:eastAsia="zh-CN"/>
        </w:rPr>
        <w:t xml:space="preserve">系统提供对标签腕带进行统一管理，信息的维护，如：设备编号、规格、厂商、生产日期。</w:t>
      </w:r>
      <w:r/>
    </w:p>
    <w:p>
      <w:pPr>
        <w:pStyle w:val="1065"/>
        <w:numPr>
          <w:ilvl w:val="0"/>
          <w:numId w:val="1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系统提供查看标签腕带设备运行情况，如电量及当前是否绑定患者。</w:t>
      </w:r>
      <w:r/>
    </w:p>
    <w:p>
      <w:pPr>
        <w:pStyle w:val="1065"/>
        <w:numPr>
          <w:ilvl w:val="0"/>
          <w:numId w:val="1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系统提供通过专病物联网设备管理，患者在绿色通道运行过程中，采集设备可以自动记录患者到达和离开的时间，相关数据自动同步至胸痛专病数据库系统当中，无需人为干预，客观真实。</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37" w:name="_Toc218631162"/>
      <w:r>
        <w:rPr>
          <w:rFonts w:hint="eastAsia" w:ascii="仿宋" w:hAnsi="仿宋" w:eastAsia="仿宋"/>
          <w:color w:val="000000" w:themeColor="text1"/>
          <w:sz w:val="24"/>
          <w:szCs w:val="24"/>
          <w14:textFill>
            <w14:solidFill>
              <w14:schemeClr w14:val="tx1"/>
            </w14:solidFill>
          </w14:textFill>
        </w:rPr>
        <w:t xml:space="preserve">1.2胸痛</w:t>
      </w:r>
      <w:bookmarkEnd w:id="233"/>
      <w:r/>
      <w:bookmarkEnd w:id="236"/>
      <w:r>
        <w:rPr>
          <w:rFonts w:hint="eastAsia" w:ascii="仿宋" w:hAnsi="仿宋" w:eastAsia="仿宋"/>
          <w:color w:val="000000" w:themeColor="text1"/>
          <w:sz w:val="24"/>
          <w:szCs w:val="24"/>
          <w14:textFill>
            <w14:solidFill>
              <w14:schemeClr w14:val="tx1"/>
            </w14:solidFill>
          </w14:textFill>
        </w:rPr>
        <w:t xml:space="preserve">救治数据集成</w:t>
      </w:r>
      <w:bookmarkEnd w:id="237"/>
      <w:r/>
      <w:r/>
    </w:p>
    <w:p>
      <w:pPr>
        <w:pStyle w:val="1065"/>
        <w:ind w:left="420"/>
        <w:spacing w:line="276" w:lineRule="auto"/>
        <w:rPr>
          <w:rFonts w:hint="eastAsia" w:ascii="仿宋" w:hAnsi="仿宋" w:eastAsia="仿宋"/>
          <w:lang w:eastAsia="zh-CN"/>
        </w:rPr>
      </w:pPr>
      <w:r>
        <w:rPr>
          <w:rFonts w:hint="eastAsia" w:ascii="仿宋" w:hAnsi="仿宋" w:eastAsia="仿宋"/>
          <w:lang w:eastAsia="zh-CN"/>
        </w:rPr>
        <w:t xml:space="preserve">系统通过标准化的数据接口服务，实现与医院数据平台、HIS，LIS（实验室报告系统）、PACS（医学影像报告系统）、EMR（电子病历系统）、导管室系统、院前急救系统进行数据交互，实现以胸痛患者救治医疗数据为核心的诊疗数据通信共享。</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如医院已经建设完备的数据平台，系统支持依赖平台实现与全院信息系统交互，以满足医院管理的需要。</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接院前急救系统，实现院前急救信息采集汇总，如：院前初步诊断信息、院前用药信息、院前溶栓救治信息、院前知情同意书信息、院前心电图传递时间、传输方式、呼救时间、到达时间、院前首份心电图时间。</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接院前急救系统，实现转诊患者急救信息采集汇总，如：转出医院名称、转出医院首次医疗接触时间、决定转院时间、离开转出医院时间、到达本院大门时间、我院院内就诊时间、首份心电图时间、心电图确诊时间。</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对接急诊临床信息系统（ECIS），来院方式、到达医院时间、首次医疗接触时间、首诊医生接诊时间完成信息采集与同步。</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系统支持与LIS（医学检验系统对接），实现抽血时间、报告时间、报告结果，如：CKMB、肌钙蛋白、检验值等患者化验数据整合应用。</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系统支持与PACS（医学影像系统对接），实现CT、彩超等胸痛患者常用医学影像辅助诊疗项目的关键数据采集，如申请时间，检查时间，报告时间，报告结果。</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系统支持与心电系统对接以实现心电图检查关键诊疗数据的采集。</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对接手术室/导管室系统，实现穿刺、造影、用药信息及用药时间、导丝通过、手术结束时间数据的采集和整合应用。</w:t>
      </w:r>
      <w:r/>
    </w:p>
    <w:p>
      <w:pPr>
        <w:pStyle w:val="1065"/>
        <w:numPr>
          <w:ilvl w:val="0"/>
          <w:numId w:val="14"/>
        </w:numPr>
        <w:contextualSpacing w:val="0"/>
        <w:spacing w:line="276" w:lineRule="auto"/>
        <w:widowControl w:val="off"/>
        <w:rPr>
          <w:rFonts w:hint="eastAsia" w:ascii="仿宋" w:hAnsi="仿宋" w:eastAsia="仿宋"/>
          <w:lang w:eastAsia="zh-CN"/>
        </w:rPr>
      </w:pPr>
      <w:r>
        <w:rPr>
          <w:rFonts w:ascii="仿宋" w:hAnsi="仿宋" w:eastAsia="仿宋"/>
          <w:lang w:eastAsia="zh-CN"/>
        </w:rPr>
        <w:t xml:space="preserve">对接住院电子病历或者住院</w:t>
      </w:r>
      <w:r>
        <w:rPr>
          <w:rFonts w:hint="eastAsia" w:ascii="仿宋" w:hAnsi="仿宋" w:eastAsia="仿宋"/>
          <w:lang w:eastAsia="zh-CN"/>
        </w:rPr>
        <w:t xml:space="preserve">系统，获取患者出院诊断、患者并发症信息、合并疾病情况、患者转归情况。</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系统提供配置有效值域，筛查排除异常值，更客观的分析数据结果。</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系统支持对接院前急救信息告知平台，确保院内胸痛救治团队第一时间查看胸痛患者急救消息。</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系统支持对接急救转运系统，打通胸痛患者转运的院前院内信息。</w:t>
      </w:r>
      <w:r/>
    </w:p>
    <w:p>
      <w:pPr>
        <w:pStyle w:val="1065"/>
        <w:numPr>
          <w:ilvl w:val="0"/>
          <w:numId w:val="1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为保障胸痛患者救治医疗数据完整，上述接口数据在第三方厂商无法准确对接或医院接口数据集成条件不允许的情况下，系统支持人工录入和补充完善及校对，以汇集完整的胸痛病历救治数据，为医院及临床提供数据决策支持。</w:t>
      </w:r>
      <w:bookmarkEnd w:id="234"/>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38" w:name="_Toc162023633"/>
      <w:r/>
      <w:bookmarkStart w:id="239" w:name="_Toc218631163"/>
      <w:r>
        <w:rPr>
          <w:rFonts w:hint="eastAsia" w:ascii="仿宋" w:hAnsi="仿宋" w:eastAsia="仿宋"/>
          <w:color w:val="000000" w:themeColor="text1"/>
          <w:sz w:val="24"/>
          <w:szCs w:val="24"/>
          <w14:textFill>
            <w14:solidFill>
              <w14:schemeClr w14:val="tx1"/>
            </w14:solidFill>
          </w14:textFill>
        </w:rPr>
        <w:t xml:space="preserve">1.3胸痛</w:t>
      </w:r>
      <w:bookmarkEnd w:id="238"/>
      <w:r>
        <w:rPr>
          <w:rFonts w:hint="eastAsia" w:ascii="仿宋" w:hAnsi="仿宋" w:eastAsia="仿宋"/>
          <w:color w:val="000000" w:themeColor="text1"/>
          <w:sz w:val="24"/>
          <w:szCs w:val="24"/>
          <w14:textFill>
            <w14:solidFill>
              <w14:schemeClr w14:val="tx1"/>
            </w14:solidFill>
          </w14:textFill>
        </w:rPr>
        <w:t xml:space="preserve">急救通道</w:t>
      </w:r>
      <w:bookmarkEnd w:id="239"/>
      <w:r/>
      <w:r/>
    </w:p>
    <w:p>
      <w:pPr>
        <w:pStyle w:val="1065"/>
        <w:numPr>
          <w:ilvl w:val="0"/>
          <w:numId w:val="1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系统通过与急诊科预检分诊系统无缝衔接，实现胸痛自行来院患者绿色通道建立，确保自行来院患者在第一时间得到急救响应。</w:t>
      </w:r>
      <w:r/>
    </w:p>
    <w:p>
      <w:pPr>
        <w:pStyle w:val="1065"/>
        <w:numPr>
          <w:ilvl w:val="0"/>
          <w:numId w:val="1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系统通过与院前急救系统无缝衔接，实现院前急救患者“上车即入院”，与院前急救系统完成数据交互，确保患者到院即时得到院内胸痛救治专家团队的救治，实现“急救前移”。</w:t>
      </w:r>
      <w:r/>
    </w:p>
    <w:p>
      <w:pPr>
        <w:pStyle w:val="1065"/>
        <w:numPr>
          <w:ilvl w:val="0"/>
          <w:numId w:val="1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系统通过与转运系统对接，可实现在患者到院之前，了解患者发病信息及受伤机制，转运医疗机构处置情况，最大程度的缩短急救时间，提升患者满意度。</w:t>
      </w:r>
      <w:r/>
    </w:p>
    <w:p>
      <w:pPr>
        <w:pStyle w:val="1065"/>
        <w:numPr>
          <w:ilvl w:val="0"/>
          <w:numId w:val="1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对接院前急救与转运系统，实现胸痛急救早期识别与诊疗预案准备。</w:t>
      </w:r>
      <w:r/>
    </w:p>
    <w:p>
      <w:pPr>
        <w:pStyle w:val="1065"/>
        <w:numPr>
          <w:ilvl w:val="0"/>
          <w:numId w:val="1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系统通过与门诊及住院系统对接，可获取院内发病患者信息，将相关信息同步至胸痛中心，支撑院内发病胸痛患者急救工作开展。</w:t>
      </w:r>
      <w:r/>
    </w:p>
    <w:p>
      <w:pPr>
        <w:pStyle w:val="1065"/>
        <w:numPr>
          <w:ilvl w:val="0"/>
          <w:numId w:val="1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上述急救通道因医院具体情况存在差异，不提供统一实现标准，以医院胸痛急救业务实际开展路径为实施交付依据。</w:t>
      </w:r>
      <w:r/>
    </w:p>
    <w:p>
      <w:pPr>
        <w:pStyle w:val="765"/>
        <w:spacing w:line="276" w:lineRule="auto"/>
        <w:rPr>
          <w:rFonts w:hint="eastAsia" w:ascii="仿宋" w:hAnsi="仿宋" w:eastAsia="仿宋"/>
          <w:color w:val="000000" w:themeColor="text1"/>
          <w:sz w:val="24"/>
          <w:szCs w:val="24"/>
          <w14:textFill>
            <w14:solidFill>
              <w14:schemeClr w14:val="tx1"/>
            </w14:solidFill>
          </w14:textFill>
        </w:rPr>
      </w:pPr>
      <w:r/>
      <w:bookmarkStart w:id="240" w:name="_Toc162023634"/>
      <w:r/>
      <w:bookmarkStart w:id="241" w:name="_Toc218631164"/>
      <w:r/>
      <w:bookmarkStart w:id="242" w:name="_Toc13923"/>
      <w:r>
        <w:rPr>
          <w:rFonts w:hint="eastAsia" w:ascii="仿宋" w:hAnsi="仿宋" w:eastAsia="仿宋"/>
          <w:color w:val="000000" w:themeColor="text1"/>
          <w:sz w:val="24"/>
          <w:szCs w:val="24"/>
          <w14:textFill>
            <w14:solidFill>
              <w14:schemeClr w14:val="tx1"/>
            </w14:solidFill>
          </w14:textFill>
        </w:rPr>
        <w:t xml:space="preserve">2．胸痛专病管理平台</w:t>
      </w:r>
      <w:bookmarkEnd w:id="240"/>
      <w:r/>
      <w:bookmarkEnd w:id="241"/>
      <w:r/>
      <w:r/>
    </w:p>
    <w:p>
      <w:pPr>
        <w:ind w:firstLine="424"/>
        <w:spacing w:line="276" w:lineRule="auto"/>
        <w:rPr>
          <w:rFonts w:hint="eastAsia" w:ascii="仿宋" w:hAnsi="仿宋" w:eastAsia="仿宋"/>
          <w:color w:val="000000" w:themeColor="text1"/>
          <w:sz w:val="24"/>
          <w:szCs w:val="24"/>
          <w14:textFill>
            <w14:solidFill>
              <w14:schemeClr w14:val="tx1"/>
            </w14:solidFill>
          </w14:textFill>
        </w:rPr>
      </w:pPr>
      <w:r/>
      <w:bookmarkStart w:id="243" w:name="_Toc162023635"/>
      <w:r>
        <w:rPr>
          <w:rFonts w:hint="eastAsia" w:ascii="仿宋" w:hAnsi="仿宋" w:eastAsia="仿宋"/>
          <w:color w:val="000000" w:themeColor="text1"/>
          <w:sz w:val="24"/>
          <w:szCs w:val="24"/>
          <w14:textFill>
            <w14:solidFill>
              <w14:schemeClr w14:val="tx1"/>
            </w14:solidFill>
          </w14:textFill>
        </w:rPr>
        <w:t xml:space="preserve">为响应国家卫健委及国家胸痛中心关于胸痛患者救治医疗质量不断提升的要求，持续提升和改进胸痛急救患者的救治水平，建设专业的胸痛急救专病管理平台以实现胸痛患者救治流程规范化、患者诊疗全流程标准化、数据分析精细化、医疗服务质量提升依据数字化，用信息化技术高效实现胸痛患者救治路径管理、胸痛患者管理、胸痛数据中心、胸痛数据上报管理及基于国家标准的胸痛质控管理。</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44" w:name="_Toc218631165"/>
      <w:r>
        <w:rPr>
          <w:rFonts w:hint="eastAsia" w:ascii="仿宋" w:hAnsi="仿宋" w:eastAsia="仿宋"/>
          <w:color w:val="000000" w:themeColor="text1"/>
          <w:sz w:val="24"/>
          <w:szCs w:val="24"/>
          <w14:textFill>
            <w14:solidFill>
              <w14:schemeClr w14:val="tx1"/>
            </w14:solidFill>
          </w14:textFill>
        </w:rPr>
        <w:t xml:space="preserve">2.1胸痛路径管理</w:t>
      </w:r>
      <w:bookmarkEnd w:id="243"/>
      <w:r/>
      <w:bookmarkEnd w:id="244"/>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根据国家胸痛中心建设指南，系统提供胸痛急救中心标准路径，同时支持医院结合自身实际情况对路径中的各个节点及数据采集方式进行自定义配置。</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系统提供对胸痛路径的增加、修改、启用、停用等操作。</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系统提供胸痛路径列表、章节、节点信息的增加、修改和删除。</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系统提供胸痛路径基本信息的维护，如：名称、所属章节、显示顺序、执行地点、执行类型、节点类型。</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系统提供胸痛路径的二维码设置及打印。</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系统提供传感器和腕带匹配识别路径信息。</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系统提供路径节点自动获取医院相关信息系统数据。</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系统提供通过对患者的诊断信息进行关联判断，作为进入胸痛路径的自动判定入径条件。</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系统提供胸痛自动入径条件配置。</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系统提供患者胸痛入径时对相关医护人员进行消息提醒。</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可按照医院需求对胸痛路径进行自定义的维护和设置。</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系统提供胸痛路径节点与临床事件的对应关系，可作为路径执行下一节点的前置条件。</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系统提供路径节点类型配置，包含有：基础信息节点、路径信息节点、评分信息节点、诊断信息节点、时间轴节点、关键信息节点、质控节点。</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系统提供路径节点配置为时间轴节点类型时，将患者诊疗路径过程以可视化的轨道图展示。</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系统提供质控路径节点的消息提醒。</w:t>
      </w:r>
      <w:r/>
    </w:p>
    <w:p>
      <w:pPr>
        <w:pStyle w:val="1065"/>
        <w:numPr>
          <w:ilvl w:val="1"/>
          <w:numId w:val="1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系统提供在医院自定义地点/物品/人员等重要信息，设置有针对性的地点/物品/人员二维码，打印好后贴在相应地点/物品环节或人员胸牌背面，以便在绿道执行时精确记录。</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45" w:name="_Toc218631166"/>
      <w:r/>
      <w:bookmarkStart w:id="246" w:name="_Toc162023636"/>
      <w:r>
        <w:rPr>
          <w:rFonts w:hint="eastAsia" w:ascii="仿宋" w:hAnsi="仿宋" w:eastAsia="仿宋"/>
          <w:color w:val="000000" w:themeColor="text1"/>
          <w:sz w:val="24"/>
          <w:szCs w:val="24"/>
          <w14:textFill>
            <w14:solidFill>
              <w14:schemeClr w14:val="tx1"/>
            </w14:solidFill>
          </w14:textFill>
        </w:rPr>
        <w:t xml:space="preserve">2.2胸痛患者管理</w:t>
      </w:r>
      <w:bookmarkEnd w:id="245"/>
      <w:r/>
      <w:bookmarkEnd w:id="246"/>
      <w:r/>
      <w:r/>
    </w:p>
    <w:p>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系统内置院内胸痛急救团队通讯录维护，方便当班人员快速查询胸痛救治团队联系方式，以迅速响应胸痛患者抢救的需要。</w:t>
      </w:r>
      <w:r/>
    </w:p>
    <w:p>
      <w:pPr>
        <w:pStyle w:val="767"/>
        <w:spacing w:line="276" w:lineRule="auto"/>
        <w:rPr>
          <w:rFonts w:hint="eastAsia" w:ascii="仿宋" w:hAnsi="仿宋" w:eastAsia="仿宋"/>
          <w:color w:val="000000" w:themeColor="text1"/>
          <w14:textFill>
            <w14:solidFill>
              <w14:schemeClr w14:val="tx1"/>
            </w14:solidFill>
          </w14:textFill>
        </w:rPr>
      </w:pPr>
      <w:r/>
      <w:bookmarkStart w:id="247" w:name="_Toc162023637"/>
      <w:r/>
      <w:bookmarkStart w:id="248" w:name="_Toc218631167"/>
      <w:r>
        <w:rPr>
          <w:rFonts w:hint="eastAsia" w:ascii="仿宋" w:hAnsi="仿宋" w:eastAsia="仿宋"/>
          <w:color w:val="000000" w:themeColor="text1"/>
          <w14:textFill>
            <w14:solidFill>
              <w14:schemeClr w14:val="tx1"/>
            </w14:solidFill>
          </w14:textFill>
        </w:rPr>
        <w:t xml:space="preserve">2.2.1患者列表</w:t>
      </w:r>
      <w:bookmarkEnd w:id="247"/>
      <w:r/>
      <w:bookmarkEnd w:id="248"/>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系统提供专病绿道为胸痛标识的患者自动纳入胸痛患者诊疗管理。</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系统提供查询院内门诊或住院患者信息，实现院内发病胸痛患者快速入径。</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系统支持对接院前急救系统，实现胸痛院前急救患者快速入径。</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系统提供无名氏或三无人员患者通过手动添加患者基本信息进入胸痛救治路径。</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▲系统提供患者列表和患者信息卡片两种展示方式展示胸痛患者基本信息，展示的信息有：姓名、性别、年龄、首诊医生、胸痛专病标识、病历上报状态。</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系统提供通过患者的姓名、身份证号、就诊号进行快速检索定位查找。</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系统提供胸痛患者入径和出径管理。</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系统提供消息通知，包括：会诊消息、质控消息、患者新入经消息和患者转归消息。</w:t>
      </w:r>
      <w:r/>
    </w:p>
    <w:p>
      <w:pPr>
        <w:pStyle w:val="1065"/>
        <w:numPr>
          <w:ilvl w:val="1"/>
          <w:numId w:val="17"/>
        </w:numPr>
        <w:contextualSpacing w:val="0"/>
        <w:spacing w:line="276" w:lineRule="auto"/>
        <w:widowControl w:val="off"/>
        <w:rPr>
          <w:rFonts w:hint="eastAsia" w:ascii="仿宋" w:hAnsi="仿宋" w:eastAsia="仿宋"/>
          <w:lang w:eastAsia="zh-CN"/>
        </w:rPr>
      </w:pPr>
      <w:r>
        <w:rPr>
          <w:rFonts w:ascii="仿宋" w:hAnsi="仿宋" w:eastAsia="仿宋"/>
          <w:lang w:eastAsia="zh-CN"/>
        </w:rPr>
        <w:t xml:space="preserve">支持一键快速查询在科患者、出科患者、全部患者的患者列表。</w:t>
      </w:r>
      <w:r/>
    </w:p>
    <w:p>
      <w:pPr>
        <w:pStyle w:val="1065"/>
        <w:numPr>
          <w:ilvl w:val="1"/>
          <w:numId w:val="1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支持手动刷新患者列表。</w:t>
      </w:r>
      <w:r/>
    </w:p>
    <w:p>
      <w:pPr>
        <w:pStyle w:val="767"/>
        <w:spacing w:line="276" w:lineRule="auto"/>
        <w:rPr>
          <w:rFonts w:hint="eastAsia" w:ascii="仿宋" w:hAnsi="仿宋" w:eastAsia="仿宋"/>
          <w:color w:val="000000" w:themeColor="text1"/>
          <w14:textFill>
            <w14:solidFill>
              <w14:schemeClr w14:val="tx1"/>
            </w14:solidFill>
          </w14:textFill>
        </w:rPr>
      </w:pPr>
      <w:r/>
      <w:bookmarkStart w:id="249" w:name="_Toc162023638"/>
      <w:r/>
      <w:bookmarkStart w:id="250" w:name="_Toc218631168"/>
      <w:r>
        <w:rPr>
          <w:rFonts w:hint="eastAsia" w:ascii="仿宋" w:hAnsi="仿宋" w:eastAsia="仿宋"/>
          <w:color w:val="000000" w:themeColor="text1"/>
          <w14:textFill>
            <w14:solidFill>
              <w14:schemeClr w14:val="tx1"/>
            </w14:solidFill>
          </w14:textFill>
        </w:rPr>
        <w:t xml:space="preserve">2.2.2患者概览</w:t>
      </w:r>
      <w:bookmarkEnd w:id="249"/>
      <w:r/>
      <w:bookmarkEnd w:id="250"/>
      <w:r/>
      <w:r/>
    </w:p>
    <w:p>
      <w:pPr>
        <w:pStyle w:val="1065"/>
        <w:numPr>
          <w:ilvl w:val="1"/>
          <w:numId w:val="1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可查看患者基本信息，如：姓名、性别、民族、婚姻状况、医保类型。</w:t>
      </w:r>
      <w:r/>
    </w:p>
    <w:p>
      <w:pPr>
        <w:pStyle w:val="1065"/>
        <w:numPr>
          <w:ilvl w:val="1"/>
          <w:numId w:val="1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可查看患者生命体征信息，如：收缩压、舒张压、心率、脉搏、血氧、血糖、意识。</w:t>
      </w:r>
      <w:r/>
    </w:p>
    <w:p>
      <w:pPr>
        <w:pStyle w:val="1065"/>
        <w:numPr>
          <w:ilvl w:val="1"/>
          <w:numId w:val="1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可查看患者评估信息，如：Grace评估、心功能分级。</w:t>
      </w:r>
      <w:r/>
    </w:p>
    <w:p>
      <w:pPr>
        <w:pStyle w:val="1065"/>
        <w:numPr>
          <w:ilvl w:val="1"/>
          <w:numId w:val="1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可查看患者检查报告信息，如：肌钙蛋白、CKMB。</w:t>
      </w:r>
      <w:r/>
    </w:p>
    <w:p>
      <w:pPr>
        <w:pStyle w:val="1065"/>
        <w:numPr>
          <w:ilvl w:val="1"/>
          <w:numId w:val="1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可查看患者检验结果信息，如：CT、彩超、冠状动脉造影。</w:t>
      </w:r>
      <w:r/>
    </w:p>
    <w:p>
      <w:pPr>
        <w:pStyle w:val="1065"/>
        <w:numPr>
          <w:ilvl w:val="1"/>
          <w:numId w:val="1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可查看患者诊断与关键诊疗信息、患者关键救治事件时间记录。</w:t>
      </w:r>
      <w:r/>
    </w:p>
    <w:p>
      <w:pPr>
        <w:pStyle w:val="767"/>
        <w:spacing w:line="276" w:lineRule="auto"/>
        <w:rPr>
          <w:rFonts w:hint="eastAsia" w:ascii="仿宋" w:hAnsi="仿宋" w:eastAsia="仿宋"/>
          <w:color w:val="000000" w:themeColor="text1"/>
          <w14:textFill>
            <w14:solidFill>
              <w14:schemeClr w14:val="tx1"/>
            </w14:solidFill>
          </w14:textFill>
        </w:rPr>
      </w:pPr>
      <w:r/>
      <w:bookmarkStart w:id="251" w:name="_Toc162023639"/>
      <w:r/>
      <w:bookmarkStart w:id="252" w:name="_Toc218631169"/>
      <w:r>
        <w:rPr>
          <w:rFonts w:hint="eastAsia" w:ascii="仿宋" w:hAnsi="仿宋" w:eastAsia="仿宋"/>
          <w:color w:val="000000" w:themeColor="text1"/>
          <w14:textFill>
            <w14:solidFill>
              <w14:schemeClr w14:val="tx1"/>
            </w14:solidFill>
          </w14:textFill>
        </w:rPr>
        <w:t xml:space="preserve">2.2.3</w:t>
      </w:r>
      <w:bookmarkEnd w:id="251"/>
      <w:r>
        <w:rPr>
          <w:rFonts w:hint="eastAsia" w:ascii="仿宋" w:hAnsi="仿宋" w:eastAsia="仿宋"/>
          <w:color w:val="000000" w:themeColor="text1"/>
          <w14:textFill>
            <w14:solidFill>
              <w14:schemeClr w14:val="tx1"/>
            </w14:solidFill>
          </w14:textFill>
        </w:rPr>
        <w:t xml:space="preserve">患者救治时间窗节点管理</w:t>
      </w:r>
      <w:bookmarkEnd w:id="252"/>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▲系统提供胸痛专病诊疗救治事件列表和诊疗救治事件时间轴两种展示方式。</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根据胸痛诊断提供不同的关键时间窗管理路径，如：STEMI、UA、ACS。</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系统提供记录和显示胸痛专病诊疗救治事件的执行科室、执行地点、执行时间和执行人信息。</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系统提供用户记录患者关键救治事件及事件完成时间。</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系统以轨道图的形式直观展示患者救治关键时间轴，方便医护人员查看。</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展示患者呼救、120出车、120达到、患者上车、通知医院、MDT会诊、患者到达关键院前急救环节时间（需医院提供接口对接）</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系统支持关键事件和时间进行人工校对和编辑留痕，针对存在客观误差的记录，系统支持留痕修改。</w:t>
      </w:r>
      <w:r/>
    </w:p>
    <w:p>
      <w:pPr>
        <w:pStyle w:val="1065"/>
        <w:numPr>
          <w:ilvl w:val="1"/>
          <w:numId w:val="1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系统支持关键事件和时间进行人工校对和编辑留痕查询统计。</w:t>
      </w:r>
      <w:r/>
    </w:p>
    <w:p>
      <w:pPr>
        <w:pStyle w:val="767"/>
        <w:spacing w:line="276" w:lineRule="auto"/>
        <w:rPr>
          <w:rFonts w:hint="eastAsia" w:ascii="仿宋" w:hAnsi="仿宋" w:eastAsia="仿宋"/>
          <w:color w:val="000000" w:themeColor="text1"/>
          <w14:textFill>
            <w14:solidFill>
              <w14:schemeClr w14:val="tx1"/>
            </w14:solidFill>
          </w14:textFill>
        </w:rPr>
      </w:pPr>
      <w:r/>
      <w:bookmarkStart w:id="253" w:name="_Toc162023640"/>
      <w:r/>
      <w:bookmarkStart w:id="254" w:name="_Toc218631170"/>
      <w:r>
        <w:rPr>
          <w:rFonts w:hint="eastAsia" w:ascii="仿宋" w:hAnsi="仿宋" w:eastAsia="仿宋"/>
          <w:color w:val="000000" w:themeColor="text1"/>
          <w14:textFill>
            <w14:solidFill>
              <w14:schemeClr w14:val="tx1"/>
            </w14:solidFill>
          </w14:textFill>
        </w:rPr>
        <w:t xml:space="preserve">2.2.4胸痛评分</w:t>
      </w:r>
      <w:bookmarkEnd w:id="253"/>
      <w:r/>
      <w:bookmarkEnd w:id="254"/>
      <w:r/>
      <w:r/>
    </w:p>
    <w:p>
      <w:pPr>
        <w:pStyle w:val="1065"/>
        <w:numPr>
          <w:ilvl w:val="0"/>
          <w:numId w:val="2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系统提供胸痛专病患者救治过程中评分的录入和显示，如：Grace评估、心功能分级。</w:t>
      </w:r>
      <w:r/>
    </w:p>
    <w:p>
      <w:pPr>
        <w:pStyle w:val="1065"/>
        <w:numPr>
          <w:ilvl w:val="0"/>
          <w:numId w:val="2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系统提供自定义评分模版，支持用户自定义评分设置。</w:t>
      </w:r>
      <w:r/>
    </w:p>
    <w:p>
      <w:pPr>
        <w:pStyle w:val="1065"/>
        <w:numPr>
          <w:ilvl w:val="0"/>
          <w:numId w:val="2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系统提供评分的新增、导入和删除。</w:t>
      </w:r>
      <w:r/>
    </w:p>
    <w:p>
      <w:pPr>
        <w:pStyle w:val="1065"/>
        <w:numPr>
          <w:ilvl w:val="0"/>
          <w:numId w:val="2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系统提供评分结果自动计算和配置结果对应的显示内容。</w:t>
      </w:r>
      <w:r/>
    </w:p>
    <w:p>
      <w:pPr>
        <w:pStyle w:val="767"/>
        <w:spacing w:line="276" w:lineRule="auto"/>
        <w:rPr>
          <w:rFonts w:hint="eastAsia" w:ascii="仿宋" w:hAnsi="仿宋" w:eastAsia="仿宋"/>
          <w:color w:val="000000" w:themeColor="text1"/>
          <w14:textFill>
            <w14:solidFill>
              <w14:schemeClr w14:val="tx1"/>
            </w14:solidFill>
          </w14:textFill>
        </w:rPr>
      </w:pPr>
      <w:r/>
      <w:bookmarkStart w:id="255" w:name="_Toc218631171"/>
      <w:r/>
      <w:bookmarkStart w:id="256" w:name="_Toc162023641"/>
      <w:r>
        <w:rPr>
          <w:rFonts w:hint="eastAsia" w:ascii="仿宋" w:hAnsi="仿宋" w:eastAsia="仿宋"/>
          <w:color w:val="000000" w:themeColor="text1"/>
          <w14:textFill>
            <w14:solidFill>
              <w14:schemeClr w14:val="tx1"/>
            </w14:solidFill>
          </w14:textFill>
        </w:rPr>
        <w:t xml:space="preserve">2.2.5胸痛会诊</w:t>
      </w:r>
      <w:bookmarkEnd w:id="255"/>
      <w:r/>
      <w:bookmarkEnd w:id="256"/>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系统提供发起会诊申请，会诊申请自动带入患者基本信息：姓名、性别、年龄、初步诊断；支持会诊申请时医生填写病历摘要、会诊目的、邀请会诊人员。</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提交会诊申请后，系统支持会诊消息发送至相关会诊邀请人员。</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会诊支持会诊概览，查看会诊申请信息中的会诊摘要、会诊目的、及会诊申请时间。</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系统支持会诊签到，并形成签到记录：会诊签到人，会诊签到时间。</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系统支持会诊记录填写，书写会诊意见及建议，并支持会诊医生调阅电子签名图片进行电子签名，并记录会诊记录时间。</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系统提供会诊历史记录查询。包含：会诊名称、申请人、申请时间、会诊目的、会诊签到、会诊意见。</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提供常用会诊单模板，系统提供模板样式定制。</w:t>
      </w:r>
      <w:r/>
    </w:p>
    <w:p>
      <w:pPr>
        <w:pStyle w:val="1065"/>
        <w:numPr>
          <w:ilvl w:val="0"/>
          <w:numId w:val="2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系统提供会诊单打印，并显示打印次数。</w:t>
      </w:r>
      <w:r/>
    </w:p>
    <w:p>
      <w:pPr>
        <w:pStyle w:val="767"/>
        <w:spacing w:line="276" w:lineRule="auto"/>
        <w:rPr>
          <w:rFonts w:hint="eastAsia" w:ascii="仿宋" w:hAnsi="仿宋" w:eastAsia="仿宋"/>
          <w:color w:val="000000" w:themeColor="text1"/>
          <w14:textFill>
            <w14:solidFill>
              <w14:schemeClr w14:val="tx1"/>
            </w14:solidFill>
          </w14:textFill>
        </w:rPr>
      </w:pPr>
      <w:r/>
      <w:bookmarkStart w:id="257" w:name="_Toc218631172"/>
      <w:r/>
      <w:bookmarkStart w:id="258" w:name="_Toc162023642"/>
      <w:r>
        <w:rPr>
          <w:rFonts w:hint="eastAsia" w:ascii="仿宋" w:hAnsi="仿宋" w:eastAsia="仿宋"/>
          <w:color w:val="000000" w:themeColor="text1"/>
          <w14:textFill>
            <w14:solidFill>
              <w14:schemeClr w14:val="tx1"/>
            </w14:solidFill>
          </w14:textFill>
        </w:rPr>
        <w:t xml:space="preserve">2.2.6知情同意书</w:t>
      </w:r>
      <w:bookmarkEnd w:id="257"/>
      <w:r/>
      <w:bookmarkEnd w:id="258"/>
      <w:r/>
      <w:bookmarkEnd w:id="242"/>
      <w:r/>
    </w:p>
    <w:p>
      <w:pPr>
        <w:pStyle w:val="1065"/>
        <w:numPr>
          <w:ilvl w:val="0"/>
          <w:numId w:val="22"/>
        </w:numPr>
        <w:contextualSpacing w:val="0"/>
        <w:spacing w:line="276" w:lineRule="auto"/>
        <w:widowControl w:val="off"/>
        <w:rPr>
          <w:rFonts w:hint="eastAsia" w:ascii="仿宋" w:hAnsi="仿宋" w:eastAsia="仿宋"/>
          <w:lang w:eastAsia="zh-CN"/>
        </w:rPr>
      </w:pPr>
      <w:r/>
      <w:bookmarkStart w:id="259" w:name="_Toc10418"/>
      <w:r/>
      <w:bookmarkStart w:id="260" w:name="_Toc162023643"/>
      <w:r/>
      <w:bookmarkStart w:id="261" w:name="_Toc29505"/>
      <w:r>
        <w:rPr>
          <w:rFonts w:hint="eastAsia" w:ascii="仿宋" w:hAnsi="仿宋" w:eastAsia="仿宋"/>
          <w:lang w:eastAsia="zh-CN"/>
        </w:rPr>
        <w:t xml:space="preserve">系统提供医护和患者及患者家属填写知情同意书。</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系统提供已提交的知情同意书历史查询和打印。</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系统提供知情同意书模版引用。</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系统提供知情同意书模板自定义。</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系统提供知情同意书历史记录查看。</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系统提供知情同意书中的医生签名集成对接院内CA电子签名。</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系统提供知情同意书中的患者签名在移动端手写签名。</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系统提供知情同意书中的患者签名集成院内手写板签名。</w:t>
      </w:r>
      <w:r/>
    </w:p>
    <w:p>
      <w:pPr>
        <w:pStyle w:val="1065"/>
        <w:numPr>
          <w:ilvl w:val="0"/>
          <w:numId w:val="2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系统提供知情同意书相关数据自动同步至专病上报数据中心。</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62" w:name="_Toc218631173"/>
      <w:r>
        <w:rPr>
          <w:rFonts w:hint="eastAsia" w:ascii="仿宋" w:hAnsi="仿宋" w:eastAsia="仿宋"/>
          <w:color w:val="000000" w:themeColor="text1"/>
          <w:sz w:val="24"/>
          <w:szCs w:val="24"/>
          <w14:textFill>
            <w14:solidFill>
              <w14:schemeClr w14:val="tx1"/>
            </w14:solidFill>
          </w14:textFill>
        </w:rPr>
        <w:t xml:space="preserve">2.3胸痛</w:t>
      </w:r>
      <w:bookmarkEnd w:id="259"/>
      <w:r>
        <w:rPr>
          <w:rFonts w:hint="eastAsia" w:ascii="仿宋" w:hAnsi="仿宋" w:eastAsia="仿宋"/>
          <w:color w:val="000000" w:themeColor="text1"/>
          <w:sz w:val="24"/>
          <w:szCs w:val="24"/>
          <w14:textFill>
            <w14:solidFill>
              <w14:schemeClr w14:val="tx1"/>
            </w14:solidFill>
          </w14:textFill>
        </w:rPr>
        <w:t xml:space="preserve">数据中心</w:t>
      </w:r>
      <w:bookmarkEnd w:id="260"/>
      <w:r/>
      <w:bookmarkEnd w:id="262"/>
      <w:r/>
      <w:r/>
    </w:p>
    <w:p>
      <w:pPr>
        <w:pStyle w:val="767"/>
        <w:spacing w:line="276" w:lineRule="auto"/>
        <w:rPr>
          <w:rFonts w:hint="eastAsia" w:ascii="仿宋" w:hAnsi="仿宋" w:eastAsia="仿宋"/>
          <w:color w:val="000000" w:themeColor="text1"/>
          <w14:textFill>
            <w14:solidFill>
              <w14:schemeClr w14:val="tx1"/>
            </w14:solidFill>
          </w14:textFill>
        </w:rPr>
      </w:pPr>
      <w:r/>
      <w:bookmarkStart w:id="263" w:name="_Toc162023644"/>
      <w:r/>
      <w:bookmarkStart w:id="264" w:name="_Toc218631174"/>
      <w:r>
        <w:rPr>
          <w:rFonts w:hint="eastAsia" w:ascii="仿宋" w:hAnsi="仿宋" w:eastAsia="仿宋"/>
          <w:color w:val="000000" w:themeColor="text1"/>
          <w14:textFill>
            <w14:solidFill>
              <w14:schemeClr w14:val="tx1"/>
            </w14:solidFill>
          </w14:textFill>
        </w:rPr>
        <w:t xml:space="preserve">2.3.1胸痛患者列表</w:t>
      </w:r>
      <w:bookmarkEnd w:id="263"/>
      <w:r/>
      <w:bookmarkEnd w:id="264"/>
      <w:r/>
      <w:r/>
    </w:p>
    <w:p>
      <w:pPr>
        <w:pStyle w:val="1065"/>
        <w:numPr>
          <w:ilvl w:val="1"/>
          <w:numId w:val="2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系统提供胸痛入径患者上报列表查询，可通过日期、姓名、住院号、上报状态进行快速检索查询。</w:t>
      </w:r>
      <w:r/>
    </w:p>
    <w:p>
      <w:pPr>
        <w:pStyle w:val="1065"/>
        <w:numPr>
          <w:ilvl w:val="1"/>
          <w:numId w:val="2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系统提供高级查询自定义查询条件。</w:t>
      </w:r>
      <w:r/>
    </w:p>
    <w:p>
      <w:pPr>
        <w:pStyle w:val="1065"/>
        <w:numPr>
          <w:ilvl w:val="1"/>
          <w:numId w:val="2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系统提供当前日期内所有上报患者情况概览，包含有：未提交个数、已提交个数、已上报个数、已审核个数、已驳回个数。</w:t>
      </w:r>
      <w:r/>
    </w:p>
    <w:p>
      <w:pPr>
        <w:pStyle w:val="1065"/>
        <w:numPr>
          <w:ilvl w:val="1"/>
          <w:numId w:val="2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系统提供胸痛患者上报列表，包含：姓名、性别、民族、住院号、入径时间、填报人、数据完整度(百分比)、上报状态。</w:t>
      </w:r>
      <w:r/>
    </w:p>
    <w:p>
      <w:pPr>
        <w:pStyle w:val="1065"/>
        <w:numPr>
          <w:ilvl w:val="1"/>
          <w:numId w:val="2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系统提供胸痛患者数据提交、审核和上报。</w:t>
      </w:r>
      <w:r/>
    </w:p>
    <w:p>
      <w:pPr>
        <w:pStyle w:val="1065"/>
        <w:numPr>
          <w:ilvl w:val="1"/>
          <w:numId w:val="2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系统提供胸痛患者数据的批量提交、审核和上报。</w:t>
      </w:r>
      <w:r/>
    </w:p>
    <w:p>
      <w:pPr>
        <w:pStyle w:val="767"/>
        <w:spacing w:line="276" w:lineRule="auto"/>
        <w:rPr>
          <w:rFonts w:hint="eastAsia" w:ascii="仿宋" w:hAnsi="仿宋" w:eastAsia="仿宋"/>
          <w:color w:val="000000" w:themeColor="text1"/>
          <w14:textFill>
            <w14:solidFill>
              <w14:schemeClr w14:val="tx1"/>
            </w14:solidFill>
          </w14:textFill>
        </w:rPr>
      </w:pPr>
      <w:r/>
      <w:bookmarkStart w:id="265" w:name="_Toc17328"/>
      <w:r/>
      <w:bookmarkStart w:id="266" w:name="_Toc162023645"/>
      <w:r/>
      <w:bookmarkStart w:id="267" w:name="_Toc218631175"/>
      <w:r>
        <w:rPr>
          <w:rFonts w:hint="eastAsia" w:ascii="仿宋" w:hAnsi="仿宋" w:eastAsia="仿宋"/>
          <w:color w:val="000000" w:themeColor="text1"/>
          <w14:textFill>
            <w14:solidFill>
              <w14:schemeClr w14:val="tx1"/>
            </w14:solidFill>
          </w14:textFill>
        </w:rPr>
        <w:t xml:space="preserve">2.3.2胸痛</w:t>
      </w:r>
      <w:bookmarkEnd w:id="265"/>
      <w:r/>
      <w:bookmarkEnd w:id="266"/>
      <w:r>
        <w:rPr>
          <w:rFonts w:hint="eastAsia" w:ascii="仿宋" w:hAnsi="仿宋" w:eastAsia="仿宋"/>
          <w:color w:val="000000" w:themeColor="text1"/>
          <w14:textFill>
            <w14:solidFill>
              <w14:schemeClr w14:val="tx1"/>
            </w14:solidFill>
          </w14:textFill>
        </w:rPr>
        <w:t xml:space="preserve">病案信息管理</w:t>
      </w:r>
      <w:bookmarkEnd w:id="267"/>
      <w:r/>
      <w:r/>
    </w:p>
    <w:p>
      <w:pPr>
        <w:pStyle w:val="1065"/>
        <w:numPr>
          <w:ilvl w:val="1"/>
          <w:numId w:val="2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为患者建立胸痛上报病案，包括：创建时间、填报人、病案填报表单。</w:t>
      </w:r>
      <w:r/>
    </w:p>
    <w:p>
      <w:pPr>
        <w:pStyle w:val="1065"/>
        <w:numPr>
          <w:ilvl w:val="1"/>
          <w:numId w:val="24"/>
        </w:numPr>
        <w:contextualSpacing w:val="0"/>
        <w:spacing w:line="276" w:lineRule="auto"/>
        <w:widowControl w:val="off"/>
        <w:rPr>
          <w:rFonts w:hint="eastAsia" w:ascii="仿宋" w:hAnsi="仿宋" w:eastAsia="仿宋" w:cs="仿宋"/>
          <w:lang w:eastAsia="zh-CN"/>
        </w:rPr>
      </w:pPr>
      <w:r>
        <w:rPr>
          <w:rFonts w:hint="eastAsia" w:ascii="仿宋" w:hAnsi="仿宋" w:eastAsia="仿宋"/>
          <w:lang w:eastAsia="zh-CN"/>
        </w:rPr>
        <w:t xml:space="preserve">系统提供胸痛患者病案内容有效性校验。</w:t>
      </w:r>
      <w:r/>
    </w:p>
    <w:p>
      <w:pPr>
        <w:pStyle w:val="1065"/>
        <w:numPr>
          <w:ilvl w:val="1"/>
          <w:numId w:val="2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系统提供胸痛患者病案填报内容完成度显示。</w:t>
      </w:r>
      <w:r/>
    </w:p>
    <w:p>
      <w:pPr>
        <w:pStyle w:val="1065"/>
        <w:numPr>
          <w:ilvl w:val="1"/>
          <w:numId w:val="2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系统提供胸痛患者病案内容以填报章节形式分类展示，可对章节进行折叠和展开。</w:t>
      </w:r>
      <w:r/>
    </w:p>
    <w:p>
      <w:pPr>
        <w:pStyle w:val="1065"/>
        <w:numPr>
          <w:ilvl w:val="1"/>
          <w:numId w:val="2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系统提供胸痛患者按照诊疗流程展示病案章节和内容。</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bookmarkStart w:id="268" w:name="_Toc162023647"/>
      <w:r/>
      <w:bookmarkStart w:id="269" w:name="_Toc9029"/>
      <w:r>
        <w:rPr>
          <w:rFonts w:hint="eastAsia" w:ascii="仿宋" w:hAnsi="仿宋" w:eastAsia="仿宋"/>
          <w:color w:val="000000" w:themeColor="text1"/>
          <w:sz w:val="24"/>
          <w:szCs w:val="24"/>
          <w14:textFill>
            <w14:solidFill>
              <w14:schemeClr w14:val="tx1"/>
            </w14:solidFill>
          </w14:textFill>
        </w:rPr>
        <w:t xml:space="preserve">2.3.2.1人口基本信息</w:t>
      </w:r>
      <w:bookmarkEnd w:id="268"/>
      <w:r/>
      <w:r/>
    </w:p>
    <w:p>
      <w:pPr>
        <w:pStyle w:val="1065"/>
        <w:numPr>
          <w:ilvl w:val="1"/>
          <w:numId w:val="2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系统提供患者的基本信息进行填写，包含：姓名、性别、年龄、出生日期、证件类型、证件号码、民族、联系电话、职业、文化程度、婚姻状况、身高和体重。</w:t>
      </w:r>
      <w:r/>
    </w:p>
    <w:p>
      <w:pPr>
        <w:pStyle w:val="1065"/>
        <w:numPr>
          <w:ilvl w:val="1"/>
          <w:numId w:val="2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系统提供患者基本信息自动带入病案信息，支持人工修改和补充完善。</w:t>
      </w:r>
      <w:r/>
    </w:p>
    <w:p>
      <w:pPr>
        <w:pStyle w:val="1065"/>
        <w:numPr>
          <w:ilvl w:val="1"/>
          <w:numId w:val="2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系统提供患者出生日期根据年龄自动计算，或按照出生日期自动计算患者年龄。</w:t>
      </w:r>
      <w:r/>
    </w:p>
    <w:p>
      <w:pPr>
        <w:pStyle w:val="1065"/>
        <w:numPr>
          <w:ilvl w:val="1"/>
          <w:numId w:val="25"/>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系统提供患者身份证、手机号等信息有效性验证。</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bookmarkStart w:id="270" w:name="_Toc162023648"/>
      <w:r>
        <w:rPr>
          <w:rFonts w:hint="eastAsia" w:ascii="仿宋" w:hAnsi="仿宋" w:eastAsia="仿宋"/>
          <w:color w:val="000000" w:themeColor="text1"/>
          <w:sz w:val="24"/>
          <w:szCs w:val="24"/>
          <w14:textFill>
            <w14:solidFill>
              <w14:schemeClr w14:val="tx1"/>
            </w14:solidFill>
          </w14:textFill>
        </w:rPr>
        <w:t xml:space="preserve">2.3.2.2急救信息</w:t>
      </w:r>
      <w:bookmarkEnd w:id="270"/>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系统提供患者急救基础信息记录，包含：发病时间、发病地址、医保类型、医保编号、是否大病医保。</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系统提供患者基础生命体征信息记录，包含：意识、呼吸、脉搏、心率、血压、体温和基本情况备注。</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系统提供患者病情现况信息记录，包含：病情评估和病情评估明细。</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系统提供患者来院方式记录，包含：呼叫（120或其他）出车、转院（包含任何机构）、自行来院、院内发病。</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对于呼叫（120或其他）出车来院的方式，系统提供记录出车单位、呼救时间、到达医院大门时间、是否直接转送上级医院、是否直达导管室、首次医疗接触时间、首诊医生接诊时间、医护人员。</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系统提供院前溶栓治疗信息对接或人工补录，包括：溶栓筛查、存在禁忌症、溶栓治疗、直达溶栓场所、知情同意书信息、溶栓信息、溶栓药物信息、溶栓地点。</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于转院（包含任何机构）的方式，系统提供记录转院类型、转出医院名称、首次医疗接触时间、转出医院入门时间、决定转院时间、是否直接转送上级医院、是否直达导管室、医护人员、转出医院出门时间、到达本院大门时间、院内接诊时间。</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对于患者自行来院的方式，系统提供记录到达本院大门时间、首次医疗接触时间、首诊医生接诊时间、医护人员。</w:t>
      </w:r>
      <w:r/>
    </w:p>
    <w:p>
      <w:pPr>
        <w:pStyle w:val="1065"/>
        <w:numPr>
          <w:ilvl w:val="1"/>
          <w:numId w:val="26"/>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对于患者院内发病的方式，系统提供记录发病科室、本次发病后首次医疗接触时间、离开发病现场时间、本次发病后首次医疗接触人员。</w:t>
      </w:r>
      <w:bookmarkEnd w:id="269"/>
      <w:r/>
    </w:p>
    <w:p>
      <w:pPr>
        <w:pStyle w:val="768"/>
        <w:spacing w:line="276" w:lineRule="auto"/>
        <w:rPr>
          <w:rFonts w:hint="eastAsia" w:ascii="仿宋" w:hAnsi="仿宋" w:eastAsia="仿宋"/>
          <w:color w:val="000000" w:themeColor="text1"/>
          <w:sz w:val="24"/>
          <w:szCs w:val="24"/>
          <w14:textFill>
            <w14:solidFill>
              <w14:schemeClr w14:val="tx1"/>
            </w14:solidFill>
          </w14:textFill>
        </w:rPr>
      </w:pPr>
      <w:r/>
      <w:bookmarkStart w:id="271" w:name="_Toc162023650"/>
      <w:r>
        <w:rPr>
          <w:rFonts w:hint="eastAsia" w:ascii="仿宋" w:hAnsi="仿宋" w:eastAsia="仿宋"/>
          <w:color w:val="000000" w:themeColor="text1"/>
          <w:sz w:val="24"/>
          <w:szCs w:val="24"/>
          <w14:textFill>
            <w14:solidFill>
              <w14:schemeClr w14:val="tx1"/>
            </w14:solidFill>
          </w14:textFill>
        </w:rPr>
        <w:t xml:space="preserve">2.3.2.3胸痛诊疗</w:t>
      </w:r>
      <w:bookmarkEnd w:id="271"/>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系统提供记录患者心电图信息，包含：有无心电图、未获得心电图原因、心电图集合、远程心电图传输、接收120/网络医院心电图时间、传输方式。</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系统支持上传心电图报告文件。</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系统提供记录胸痛患者实验室检查相关信息，如肌钙蛋白抽血时间、肌钙蛋白报告时间、血清肌酐数值、D-二聚体数值、BNP数值、NT-proBNP数值、Myo数值、CKMB数值。</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系统提供记录患者心内科会诊相关信息，如有无心内科会诊、会诊类型、通知会诊时间、会诊时间。</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系统提供记录患者诊断相关信息。如：初步诊断、初步诊断时间、诊断医生。</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系统提供记录患者诊疗前相关信息，如：是否自愿放弃后续治疗、心功能分级、是否绕行急诊、是否绕行CCU。</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系统提供记录患者诊疗过程中药物信息，如：是否抗血小板治疗、阿司匹林剂量、阿司匹林时间、氯吡格雷剂量、氯吡格雷时间、替格瑞洛剂量、替格瑞洛时间。</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系统提供记录患者手术前相关信息，如：是否术前抗凝、术前抗凝药物名称、术前抗凝剂量、术前抗凝单位、术前抗凝时间。是否他汀治疗、是否</w:t>
      </w:r>
      <w:r>
        <w:rPr>
          <w:rFonts w:hint="eastAsia" w:ascii="仿宋" w:hAnsi="仿宋" w:eastAsia="仿宋"/>
        </w:rPr>
        <w:t xml:space="preserve">β</w:t>
      </w:r>
      <w:r>
        <w:rPr>
          <w:rFonts w:hint="eastAsia" w:ascii="仿宋" w:hAnsi="仿宋" w:eastAsia="仿宋"/>
          <w:lang w:eastAsia="zh-CN"/>
        </w:rPr>
        <w:t xml:space="preserve">阻滞剂。</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系统提供按照患者诊断的胸痛类型生成对应的诊疗记录填报内容，如：STEMI、NSTEMI、UA、主动脉夹层、肺动脉栓塞、非ACS心源性胸痛、其他心源性胸痛、待查。</w:t>
      </w:r>
      <w:r/>
    </w:p>
    <w:p>
      <w:pPr>
        <w:pStyle w:val="1065"/>
        <w:numPr>
          <w:ilvl w:val="1"/>
          <w:numId w:val="27"/>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系统提供对接医院信息系统获取诊疗相关信息，诊疗数据与患者病案信息自动同步匹配。</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bookmarkStart w:id="272" w:name="_Toc162023651"/>
      <w:r>
        <w:rPr>
          <w:rFonts w:hint="eastAsia" w:ascii="仿宋" w:hAnsi="仿宋" w:eastAsia="仿宋"/>
          <w:color w:val="000000" w:themeColor="text1"/>
          <w:sz w:val="24"/>
          <w:szCs w:val="24"/>
          <w14:textFill>
            <w14:solidFill>
              <w14:schemeClr w14:val="tx1"/>
            </w14:solidFill>
          </w14:textFill>
        </w:rPr>
        <w:t xml:space="preserve">2.3.2.4导管室</w:t>
      </w:r>
      <w:bookmarkEnd w:id="272"/>
      <w:r/>
      <w:r/>
    </w:p>
    <w:p>
      <w:pPr>
        <w:pStyle w:val="1065"/>
        <w:numPr>
          <w:ilvl w:val="1"/>
          <w:numId w:val="2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导管室诊疗过程信息，如：导管室激活时间、患者到达导管室时间、介入医师、开始穿刺时间、造影开始时间、TIMI血流等级、术中抗凝给药时间、术中抗凝药物名称、术中抗凝药物剂量、术中抗凝药物单位、手术结束时间、D2W时间、是否延误、延误原因。</w:t>
      </w:r>
      <w:r/>
    </w:p>
    <w:p>
      <w:pPr>
        <w:pStyle w:val="1065"/>
        <w:numPr>
          <w:ilvl w:val="1"/>
          <w:numId w:val="2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系统提供记录患者导管室入路信息，如：桡动脉(左侧)、桡动脉(右侧)、股动脉、其他。</w:t>
      </w:r>
      <w:r/>
    </w:p>
    <w:p>
      <w:pPr>
        <w:pStyle w:val="1065"/>
        <w:numPr>
          <w:ilvl w:val="1"/>
          <w:numId w:val="2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系统提供记录患者导管室冠脉造影信息，如：部位、造影集合。</w:t>
      </w:r>
      <w:r/>
    </w:p>
    <w:p>
      <w:pPr>
        <w:pStyle w:val="1065"/>
        <w:numPr>
          <w:ilvl w:val="1"/>
          <w:numId w:val="2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系统提供记录患者导管室器械信息，如：腔内影像、功能检测、功能检测（数值）、是否IABP、是否使用临时起搏器、是否使用ECMO、是否左心室辅助装置。</w:t>
      </w:r>
      <w:r/>
    </w:p>
    <w:p>
      <w:pPr>
        <w:pStyle w:val="1065"/>
        <w:numPr>
          <w:ilvl w:val="1"/>
          <w:numId w:val="28"/>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系统提供记录患者导管室术中并发症信息。</w:t>
      </w:r>
      <w:r/>
    </w:p>
    <w:p>
      <w:pPr>
        <w:pStyle w:val="768"/>
        <w:spacing w:line="276" w:lineRule="auto"/>
        <w:rPr>
          <w:rFonts w:hint="eastAsia" w:ascii="仿宋" w:hAnsi="仿宋" w:eastAsia="仿宋"/>
          <w:color w:val="000000" w:themeColor="text1"/>
          <w:sz w:val="24"/>
          <w:szCs w:val="24"/>
          <w14:textFill>
            <w14:solidFill>
              <w14:schemeClr w14:val="tx1"/>
            </w14:solidFill>
          </w14:textFill>
        </w:rPr>
      </w:pPr>
      <w:r/>
      <w:bookmarkStart w:id="273" w:name="_Toc162023652"/>
      <w:r>
        <w:rPr>
          <w:rFonts w:hint="eastAsia" w:ascii="仿宋" w:hAnsi="仿宋" w:eastAsia="仿宋"/>
          <w:color w:val="000000" w:themeColor="text1"/>
          <w:sz w:val="24"/>
          <w:szCs w:val="24"/>
          <w14:textFill>
            <w14:solidFill>
              <w14:schemeClr w14:val="tx1"/>
            </w14:solidFill>
          </w14:textFill>
        </w:rPr>
        <w:t xml:space="preserve">2.3.2.5患者转归</w:t>
      </w:r>
      <w:bookmarkEnd w:id="273"/>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系统提供记录患者转归基本信息，如：出院诊断、确诊时间、住院期间并发症、非ACS心源性胸痛类型、其他心源性胸痛类型。</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系统提供记录患者危险因素信息，如是否有以下情况：高血压、高脂血症、糖尿病、吸烟、肥胖、早发CVD家族。</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系统提供记录患者合并疾病信息，如：冠心病、心房颤动、慢性心力衰竭、脑血管疾病、主动脉瘤、COPD、恶性肿瘤等。</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系统提供记录患者检查结果信息，如：72h内肌钙蛋白、脑钠肽、总胆固醇、甘油三酯、高密度脂蛋白、低密度脂蛋白、超声心电图、室壁瘤、局部室活动异常。</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系统提供记录患者出院信息，如：住院天数、总费用、患者转归、出院时间、治疗结果。</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系统提供记录患者住院期间用药信息，如：降糖药物、口服抗凝药物、PCSK9。</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系统提供记录患者出院带药信息，如：药品类型、药品名称、剂量、频次、时间。</w:t>
      </w:r>
      <w:r/>
    </w:p>
    <w:p>
      <w:pPr>
        <w:pStyle w:val="1065"/>
        <w:numPr>
          <w:ilvl w:val="1"/>
          <w:numId w:val="29"/>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系统提供对接医院信息系统获取诊疗相关信息，诊疗数据与患者病案信息自动同步匹配。</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74" w:name="_Toc162023653"/>
      <w:r/>
      <w:bookmarkStart w:id="275" w:name="_Toc218631176"/>
      <w:r/>
      <w:bookmarkStart w:id="276" w:name="_Toc32751"/>
      <w:r>
        <w:rPr>
          <w:rFonts w:hint="eastAsia" w:ascii="仿宋" w:hAnsi="仿宋" w:eastAsia="仿宋"/>
          <w:color w:val="000000" w:themeColor="text1"/>
          <w:sz w:val="24"/>
          <w:szCs w:val="24"/>
          <w14:textFill>
            <w14:solidFill>
              <w14:schemeClr w14:val="tx1"/>
            </w14:solidFill>
          </w14:textFill>
        </w:rPr>
        <w:t xml:space="preserve">2.4.胸痛数据上报</w:t>
      </w:r>
      <w:bookmarkEnd w:id="274"/>
      <w:r/>
      <w:bookmarkEnd w:id="275"/>
      <w:r/>
      <w:r/>
    </w:p>
    <w:p>
      <w:pPr>
        <w:pStyle w:val="767"/>
        <w:spacing w:line="276" w:lineRule="auto"/>
        <w:rPr>
          <w:rFonts w:hint="eastAsia" w:ascii="仿宋" w:hAnsi="仿宋" w:eastAsia="仿宋"/>
          <w:color w:val="000000" w:themeColor="text1"/>
          <w14:textFill>
            <w14:solidFill>
              <w14:schemeClr w14:val="tx1"/>
            </w14:solidFill>
          </w14:textFill>
        </w:rPr>
      </w:pPr>
      <w:r/>
      <w:bookmarkStart w:id="277" w:name="_Toc7438"/>
      <w:r/>
      <w:bookmarkStart w:id="278" w:name="_Toc218631177"/>
      <w:r/>
      <w:bookmarkStart w:id="279" w:name="_Toc162023654"/>
      <w:r>
        <w:rPr>
          <w:rFonts w:hint="eastAsia" w:ascii="仿宋" w:hAnsi="仿宋" w:eastAsia="仿宋"/>
          <w:color w:val="000000" w:themeColor="text1"/>
          <w14:textFill>
            <w14:solidFill>
              <w14:schemeClr w14:val="tx1"/>
            </w14:solidFill>
          </w14:textFill>
        </w:rPr>
        <w:t xml:space="preserve">2.4.1胸痛</w:t>
      </w:r>
      <w:bookmarkEnd w:id="277"/>
      <w:r>
        <w:rPr>
          <w:rFonts w:hint="eastAsia" w:ascii="仿宋" w:hAnsi="仿宋" w:eastAsia="仿宋"/>
          <w:color w:val="000000" w:themeColor="text1"/>
          <w14:textFill>
            <w14:solidFill>
              <w14:schemeClr w14:val="tx1"/>
            </w14:solidFill>
          </w14:textFill>
        </w:rPr>
        <w:t xml:space="preserve">病案查询</w:t>
      </w:r>
      <w:bookmarkEnd w:id="278"/>
      <w:r/>
      <w:bookmarkEnd w:id="279"/>
      <w:r/>
      <w:r/>
    </w:p>
    <w:p>
      <w:pPr>
        <w:pStyle w:val="1065"/>
        <w:numPr>
          <w:ilvl w:val="1"/>
          <w:numId w:val="30"/>
        </w:numPr>
        <w:contextualSpacing w:val="0"/>
        <w:spacing w:line="276" w:lineRule="auto"/>
        <w:widowControl w:val="off"/>
        <w:rPr>
          <w:rFonts w:hint="eastAsia" w:ascii="仿宋" w:hAnsi="仿宋" w:eastAsia="仿宋" w:cs="仿宋"/>
          <w:lang w:eastAsia="zh-CN"/>
        </w:rPr>
      </w:pPr>
      <w:r>
        <w:rPr>
          <w:rFonts w:hint="eastAsia" w:ascii="仿宋" w:hAnsi="仿宋" w:eastAsia="仿宋"/>
          <w:lang w:eastAsia="zh-CN"/>
        </w:rPr>
        <w:t xml:space="preserve">系统提供患者列表查看及基于条件的查询筛选功能。</w:t>
      </w:r>
      <w:r/>
    </w:p>
    <w:p>
      <w:pPr>
        <w:pStyle w:val="1065"/>
        <w:numPr>
          <w:ilvl w:val="1"/>
          <w:numId w:val="3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系统提供查询当前所有在科胸痛专病患者，通过患者相关信息筛选，如通过状态、患者ID、姓名、性别、年龄、身份证号码、入科时间等条件查看对应患者胸痛填报卡。</w:t>
      </w:r>
      <w:r/>
    </w:p>
    <w:p>
      <w:pPr>
        <w:pStyle w:val="1065"/>
        <w:numPr>
          <w:ilvl w:val="1"/>
          <w:numId w:val="30"/>
        </w:numPr>
        <w:contextualSpacing w:val="0"/>
        <w:spacing w:line="276" w:lineRule="auto"/>
        <w:widowControl w:val="off"/>
        <w:rPr>
          <w:rFonts w:hint="eastAsia" w:ascii="仿宋" w:hAnsi="仿宋" w:eastAsia="仿宋" w:cs="宋体"/>
          <w:lang w:eastAsia="zh-CN"/>
        </w:rPr>
      </w:pPr>
      <w:r>
        <w:rPr>
          <w:rFonts w:hint="eastAsia" w:ascii="仿宋" w:hAnsi="仿宋" w:eastAsia="仿宋"/>
          <w:lang w:eastAsia="zh-CN"/>
        </w:rPr>
        <w:t xml:space="preserve">系统提供通过初步诊断、救治状态、呼救信息、溶栓情况、转归情况等内容，查询符合条件的胸痛患者，查看胸痛病案。</w:t>
      </w:r>
      <w:r/>
    </w:p>
    <w:p>
      <w:pPr>
        <w:pStyle w:val="1065"/>
        <w:numPr>
          <w:ilvl w:val="1"/>
          <w:numId w:val="3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可显示病人基本信息：病人姓名、病人ID、性别、年龄、出生日期、责任医生。</w:t>
      </w:r>
      <w:r/>
    </w:p>
    <w:p>
      <w:pPr>
        <w:pStyle w:val="1065"/>
        <w:numPr>
          <w:ilvl w:val="1"/>
          <w:numId w:val="3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可显示当前已进入专病急救路径列表及胸痛类型。</w:t>
      </w:r>
      <w:r/>
    </w:p>
    <w:p>
      <w:pPr>
        <w:pStyle w:val="1065"/>
        <w:numPr>
          <w:ilvl w:val="1"/>
          <w:numId w:val="30"/>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可显示当前病案内容数据效验不通过的异常内容提醒。</w:t>
      </w:r>
      <w:r/>
    </w:p>
    <w:p>
      <w:pPr>
        <w:pStyle w:val="767"/>
        <w:spacing w:line="276" w:lineRule="auto"/>
        <w:rPr>
          <w:rFonts w:hint="eastAsia" w:ascii="仿宋" w:hAnsi="仿宋" w:eastAsia="仿宋"/>
          <w:color w:val="000000" w:themeColor="text1"/>
          <w14:textFill>
            <w14:solidFill>
              <w14:schemeClr w14:val="tx1"/>
            </w14:solidFill>
          </w14:textFill>
        </w:rPr>
      </w:pPr>
      <w:r/>
      <w:bookmarkStart w:id="280" w:name="_Toc218631178"/>
      <w:r/>
      <w:bookmarkStart w:id="281" w:name="_Toc162023655"/>
      <w:r>
        <w:rPr>
          <w:rFonts w:hint="eastAsia" w:ascii="仿宋" w:hAnsi="仿宋" w:eastAsia="仿宋"/>
          <w:color w:val="000000" w:themeColor="text1"/>
          <w14:textFill>
            <w14:solidFill>
              <w14:schemeClr w14:val="tx1"/>
            </w14:solidFill>
          </w14:textFill>
        </w:rPr>
        <w:t xml:space="preserve">2.4.2数据上报</w:t>
      </w:r>
      <w:bookmarkEnd w:id="280"/>
      <w:r/>
      <w:bookmarkEnd w:id="281"/>
      <w:r/>
      <w:r/>
    </w:p>
    <w:p>
      <w:pPr>
        <w:pStyle w:val="1065"/>
        <w:numPr>
          <w:ilvl w:val="1"/>
          <w:numId w:val="3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系统提供胸痛病案数据内容的保存和效验。</w:t>
      </w:r>
      <w:r/>
    </w:p>
    <w:p>
      <w:pPr>
        <w:pStyle w:val="1065"/>
        <w:numPr>
          <w:ilvl w:val="1"/>
          <w:numId w:val="3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系统提供胸痛病案数据内容按照填报完成度显示。</w:t>
      </w:r>
      <w:r/>
    </w:p>
    <w:p>
      <w:pPr>
        <w:pStyle w:val="1065"/>
        <w:numPr>
          <w:ilvl w:val="1"/>
          <w:numId w:val="3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系统提供胸痛病案数据提交至院内审核。</w:t>
      </w:r>
      <w:r/>
    </w:p>
    <w:p>
      <w:pPr>
        <w:pStyle w:val="1065"/>
        <w:numPr>
          <w:ilvl w:val="1"/>
          <w:numId w:val="3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系统提供对接国家胸痛中心数据上报系统进行数据上报。</w:t>
      </w:r>
      <w:r/>
    </w:p>
    <w:p>
      <w:pPr>
        <w:pStyle w:val="1065"/>
        <w:numPr>
          <w:ilvl w:val="1"/>
          <w:numId w:val="31"/>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系统提供查看上报明细数据，和返回的错误详细信息。</w:t>
      </w:r>
      <w:r/>
    </w:p>
    <w:p>
      <w:pPr>
        <w:pStyle w:val="1065"/>
        <w:numPr>
          <w:ilvl w:val="1"/>
          <w:numId w:val="31"/>
        </w:numPr>
        <w:contextualSpacing w:val="0"/>
        <w:spacing w:line="276" w:lineRule="auto"/>
        <w:widowControl w:val="off"/>
        <w:rPr>
          <w:rFonts w:hint="eastAsia" w:ascii="仿宋" w:hAnsi="仿宋" w:eastAsia="仿宋" w:cs="仿宋"/>
          <w:lang w:eastAsia="zh-CN"/>
        </w:rPr>
      </w:pPr>
      <w:r>
        <w:rPr>
          <w:rFonts w:hint="eastAsia" w:ascii="仿宋" w:hAnsi="仿宋" w:eastAsia="仿宋"/>
          <w:lang w:eastAsia="zh-CN"/>
        </w:rPr>
        <w:t xml:space="preserve">系统提供查看上报历史记录和上报状态。</w:t>
      </w:r>
      <w:r/>
    </w:p>
    <w:p>
      <w:pPr>
        <w:pStyle w:val="767"/>
        <w:spacing w:line="276" w:lineRule="auto"/>
        <w:rPr>
          <w:rFonts w:hint="eastAsia" w:ascii="仿宋" w:hAnsi="仿宋" w:eastAsia="仿宋"/>
          <w:color w:val="000000" w:themeColor="text1"/>
          <w14:textFill>
            <w14:solidFill>
              <w14:schemeClr w14:val="tx1"/>
            </w14:solidFill>
          </w14:textFill>
        </w:rPr>
      </w:pPr>
      <w:r/>
      <w:bookmarkStart w:id="282" w:name="_Toc162023656"/>
      <w:r/>
      <w:bookmarkStart w:id="283" w:name="_Toc218631179"/>
      <w:r>
        <w:rPr>
          <w:rFonts w:hint="eastAsia" w:ascii="仿宋" w:hAnsi="仿宋" w:eastAsia="仿宋"/>
          <w:color w:val="000000" w:themeColor="text1"/>
          <w14:textFill>
            <w14:solidFill>
              <w14:schemeClr w14:val="tx1"/>
            </w14:solidFill>
          </w14:textFill>
        </w:rPr>
        <w:t xml:space="preserve">2.4.3胸痛病案归档</w:t>
      </w:r>
      <w:bookmarkEnd w:id="282"/>
      <w:r/>
      <w:bookmarkEnd w:id="283"/>
      <w:r/>
      <w:r/>
    </w:p>
    <w:p>
      <w:pPr>
        <w:pStyle w:val="1065"/>
        <w:numPr>
          <w:ilvl w:val="1"/>
          <w:numId w:val="3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系统提供胸痛患者填报卡归档功能，胸痛患者急救结束后，有权限的医护人员可对患者的胸痛填报卡发起归档申请，提交给上级审核。</w:t>
      </w:r>
      <w:r/>
    </w:p>
    <w:p>
      <w:pPr>
        <w:pStyle w:val="1065"/>
        <w:numPr>
          <w:ilvl w:val="1"/>
          <w:numId w:val="3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根据权限的划分，上级可对待审核的胸痛填报卡进行审核，可选择审核通过、拒绝通过，可录入拒绝的原因。</w:t>
      </w:r>
      <w:r/>
    </w:p>
    <w:p>
      <w:pPr>
        <w:pStyle w:val="1065"/>
        <w:numPr>
          <w:ilvl w:val="1"/>
          <w:numId w:val="32"/>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归档后的患者胸痛填报卡不系统提供填报数据的自动同步或者修改。</w:t>
      </w:r>
      <w:bookmarkEnd w:id="261"/>
      <w:bookmarkEnd w:id="276"/>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84" w:name="_Toc22782"/>
      <w:r/>
      <w:bookmarkStart w:id="285" w:name="_Toc162023657"/>
      <w:r/>
      <w:bookmarkStart w:id="286" w:name="_Toc218631180"/>
      <w:r>
        <w:rPr>
          <w:rFonts w:hint="eastAsia" w:ascii="仿宋" w:hAnsi="仿宋" w:eastAsia="仿宋"/>
          <w:color w:val="000000" w:themeColor="text1"/>
          <w:sz w:val="24"/>
          <w:szCs w:val="24"/>
          <w14:textFill>
            <w14:solidFill>
              <w14:schemeClr w14:val="tx1"/>
            </w14:solidFill>
          </w14:textFill>
        </w:rPr>
        <w:t xml:space="preserve">2.5.胸痛质控</w:t>
      </w:r>
      <w:bookmarkEnd w:id="284"/>
      <w:r>
        <w:rPr>
          <w:rFonts w:hint="eastAsia" w:ascii="仿宋" w:hAnsi="仿宋" w:eastAsia="仿宋"/>
          <w:color w:val="000000" w:themeColor="text1"/>
          <w:sz w:val="24"/>
          <w:szCs w:val="24"/>
          <w14:textFill>
            <w14:solidFill>
              <w14:schemeClr w14:val="tx1"/>
            </w14:solidFill>
          </w14:textFill>
        </w:rPr>
        <w:t xml:space="preserve">管理</w:t>
      </w:r>
      <w:bookmarkEnd w:id="285"/>
      <w:r/>
      <w:bookmarkEnd w:id="286"/>
      <w:r/>
      <w:r/>
    </w:p>
    <w:p>
      <w:pPr>
        <w:pStyle w:val="767"/>
        <w:spacing w:line="276" w:lineRule="auto"/>
        <w:rPr>
          <w:rFonts w:hint="eastAsia" w:ascii="仿宋" w:hAnsi="仿宋" w:eastAsia="仿宋"/>
          <w:color w:val="000000" w:themeColor="text1"/>
          <w14:textFill>
            <w14:solidFill>
              <w14:schemeClr w14:val="tx1"/>
            </w14:solidFill>
          </w14:textFill>
        </w:rPr>
      </w:pPr>
      <w:r/>
      <w:bookmarkStart w:id="287" w:name="_Toc218631181"/>
      <w:r/>
      <w:bookmarkStart w:id="288" w:name="_Toc30394"/>
      <w:r/>
      <w:bookmarkStart w:id="289" w:name="_Toc162023658"/>
      <w:r>
        <w:rPr>
          <w:rFonts w:hint="eastAsia" w:ascii="仿宋" w:hAnsi="仿宋" w:eastAsia="仿宋"/>
          <w:color w:val="000000" w:themeColor="text1"/>
          <w14:textFill>
            <w14:solidFill>
              <w14:schemeClr w14:val="tx1"/>
            </w14:solidFill>
          </w14:textFill>
        </w:rPr>
        <w:t xml:space="preserve">2.5.1胸痛质控指标</w:t>
      </w:r>
      <w:bookmarkEnd w:id="287"/>
      <w:r/>
      <w:bookmarkEnd w:id="288"/>
      <w:r/>
      <w:bookmarkEnd w:id="289"/>
      <w:r/>
      <w:r/>
    </w:p>
    <w:p>
      <w:pPr>
        <w:pStyle w:val="1065"/>
        <w:numPr>
          <w:ilvl w:val="1"/>
          <w:numId w:val="3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系统支持《胸痛中心质控指标及考核办法》（第三版）标准版评价指标。</w:t>
      </w:r>
      <w:r/>
    </w:p>
    <w:p>
      <w:pPr>
        <w:pStyle w:val="1065"/>
        <w:numPr>
          <w:ilvl w:val="1"/>
          <w:numId w:val="3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标准版指标支持：STEMI患者症状到首次医疗接触（S2FMC）时间、首次医疗接触至首份心电图（FMC2ECG）时间、ECG远程传输比例、直达导管室比例、非PCI医院停留时间(DIDO)、入门至导丝通过(D2W)、D2W达标率、再灌注比例、高危胸痛患者填报数量、及时建档率、及时归档率、急诊PCI例数、ACS患者1月随访率、ACS患者3月随访率、ACS患者6月随访率、ACS患者12月随访率。</w:t>
      </w:r>
      <w:r/>
    </w:p>
    <w:p>
      <w:pPr>
        <w:pStyle w:val="1065"/>
        <w:numPr>
          <w:ilvl w:val="1"/>
          <w:numId w:val="3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系统提供按照医院胸痛救治路径配置自定义质控指标。</w:t>
      </w:r>
      <w:r/>
    </w:p>
    <w:p>
      <w:pPr>
        <w:pStyle w:val="1065"/>
        <w:numPr>
          <w:ilvl w:val="1"/>
          <w:numId w:val="3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系统提供质控指标消息提醒，如：限时提醒、超时提醒、漏项提醒。</w:t>
      </w:r>
      <w:r/>
    </w:p>
    <w:p>
      <w:pPr>
        <w:pStyle w:val="1065"/>
        <w:numPr>
          <w:ilvl w:val="1"/>
          <w:numId w:val="33"/>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以上指标统计皆系统提供柱状图、饼状图、曲线图或数值方式显示。</w:t>
      </w:r>
      <w:r/>
    </w:p>
    <w:p>
      <w:pPr>
        <w:pStyle w:val="767"/>
        <w:spacing w:line="276" w:lineRule="auto"/>
        <w:rPr>
          <w:rFonts w:hint="eastAsia" w:ascii="仿宋" w:hAnsi="仿宋" w:eastAsia="仿宋"/>
          <w:color w:val="000000" w:themeColor="text1"/>
          <w14:textFill>
            <w14:solidFill>
              <w14:schemeClr w14:val="tx1"/>
            </w14:solidFill>
          </w14:textFill>
        </w:rPr>
      </w:pPr>
      <w:r/>
      <w:bookmarkStart w:id="290" w:name="_Toc218631182"/>
      <w:r/>
      <w:bookmarkStart w:id="291" w:name="_Toc162023659"/>
      <w:r/>
      <w:bookmarkStart w:id="292" w:name="_Toc18065"/>
      <w:r>
        <w:rPr>
          <w:rFonts w:hint="eastAsia" w:ascii="仿宋" w:hAnsi="仿宋" w:eastAsia="仿宋"/>
          <w:color w:val="000000" w:themeColor="text1"/>
          <w14:textFill>
            <w14:solidFill>
              <w14:schemeClr w14:val="tx1"/>
            </w14:solidFill>
          </w14:textFill>
        </w:rPr>
        <w:t xml:space="preserve">2.5.2胸痛患者救治依从性分析</w:t>
      </w:r>
      <w:bookmarkEnd w:id="290"/>
      <w:r/>
      <w:bookmarkEnd w:id="291"/>
      <w:r/>
      <w:bookmarkEnd w:id="292"/>
      <w:r/>
      <w:r/>
    </w:p>
    <w:p>
      <w:pPr>
        <w:pStyle w:val="1065"/>
        <w:numPr>
          <w:ilvl w:val="1"/>
          <w:numId w:val="3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系统提供胸痛患者按照疾病组分类对应依从性规则。</w:t>
      </w:r>
      <w:r/>
    </w:p>
    <w:p>
      <w:pPr>
        <w:pStyle w:val="1065"/>
        <w:numPr>
          <w:ilvl w:val="1"/>
          <w:numId w:val="3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系统提供胸痛质控指标即临床规则依从性分析，如基于时间分析，如首份心电图时间、D2W时间。</w:t>
      </w:r>
      <w:r/>
    </w:p>
    <w:p>
      <w:pPr>
        <w:pStyle w:val="1065"/>
        <w:numPr>
          <w:ilvl w:val="1"/>
          <w:numId w:val="3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系统提供自动统计查询时间段内各个质控点依从性完成程度。</w:t>
      </w:r>
      <w:r/>
    </w:p>
    <w:p>
      <w:pPr>
        <w:pStyle w:val="1065"/>
        <w:numPr>
          <w:ilvl w:val="1"/>
          <w:numId w:val="34"/>
        </w:numPr>
        <w:contextualSpacing w:val="0"/>
        <w:spacing w:line="276" w:lineRule="auto"/>
        <w:widowControl w:val="off"/>
        <w:rPr>
          <w:rFonts w:hint="eastAsia" w:ascii="仿宋" w:hAnsi="仿宋" w:eastAsia="仿宋"/>
          <w:lang w:eastAsia="zh-CN"/>
        </w:rPr>
      </w:pPr>
      <w:r>
        <w:rPr>
          <w:rFonts w:hint="eastAsia" w:ascii="仿宋" w:hAnsi="仿宋" w:eastAsia="仿宋"/>
          <w:lang w:eastAsia="zh-CN"/>
        </w:rPr>
        <w:t xml:space="preserve">系统提供2-3位胸痛患者的急救时间轴的横向对比，便于分析和发现流程执行问题。</w:t>
      </w:r>
      <w:r/>
    </w:p>
    <w:p>
      <w:pPr>
        <w:pStyle w:val="766"/>
        <w:spacing w:line="276" w:lineRule="auto"/>
        <w:rPr>
          <w:rFonts w:hint="eastAsia" w:ascii="仿宋" w:hAnsi="仿宋" w:eastAsia="仿宋"/>
          <w:color w:val="000000" w:themeColor="text1"/>
          <w:sz w:val="24"/>
          <w:szCs w:val="24"/>
          <w14:textFill>
            <w14:solidFill>
              <w14:schemeClr w14:val="tx1"/>
            </w14:solidFill>
          </w14:textFill>
        </w:rPr>
      </w:pPr>
      <w:r/>
      <w:bookmarkStart w:id="293" w:name="_Toc218631183"/>
      <w:r/>
      <w:bookmarkStart w:id="294" w:name="_Toc218592671"/>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 xml:space="preserve">胸痛患者随访管理</w:t>
      </w:r>
      <w:bookmarkEnd w:id="293"/>
      <w:r/>
      <w:bookmarkEnd w:id="294"/>
      <w:r/>
      <w:r/>
    </w:p>
    <w:p>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 xml:space="preserve">（1）支持制定随访计划，针对患者开展术后随访跟踪业务，并设置随访任务提醒、结束、查询和导出以及随访统计等，随访医生能够根据随访计划跟踪患者全周期健康情况。</w:t>
      </w:r>
      <w:r/>
    </w:p>
    <w:p>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支持为</w:t>
      </w:r>
      <w:r>
        <w:rPr>
          <w:rFonts w:ascii="仿宋" w:hAnsi="仿宋" w:eastAsia="仿宋" w:cstheme="minorBidi"/>
          <w:color w:val="000000" w:themeColor="text1"/>
          <w:sz w:val="24"/>
          <w:szCs w:val="24"/>
          <w14:textFill>
            <w14:solidFill>
              <w14:schemeClr w14:val="tx1"/>
            </w14:solidFill>
          </w14:textFill>
        </w:rPr>
        <w:t xml:space="preserve">患者创建术后随访任务，结合该患者的术后情况定制适宜的术后随访计划。支持提醒医生随访计划即将到达， 当随访计划到达时按照随访制度录入随访指标。</w:t>
      </w:r>
      <w:r/>
    </w:p>
    <w:p>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 xml:space="preserve">（</w:t>
      </w:r>
      <w:r>
        <w:rPr>
          <w:rFonts w:ascii="仿宋" w:hAnsi="仿宋" w:eastAsia="仿宋"/>
          <w:color w:val="000000" w:themeColor="text1"/>
          <w:sz w:val="24"/>
          <w:szCs w:val="24"/>
          <w14:textFill>
            <w14:solidFill>
              <w14:schemeClr w14:val="tx1"/>
            </w14:solidFill>
          </w14:textFill>
        </w:rPr>
        <w:t xml:space="preserve">3</w:t>
      </w:r>
      <w:r>
        <w:rPr>
          <w:rFonts w:ascii="仿宋" w:hAnsi="仿宋" w:eastAsia="仿宋" w:cstheme="minorBidi"/>
          <w:color w:val="000000" w:themeColor="text1"/>
          <w:sz w:val="24"/>
          <w:szCs w:val="24"/>
          <w14:textFill>
            <w14:solidFill>
              <w14:schemeClr w14:val="tx1"/>
            </w14:solidFill>
          </w14:textFill>
        </w:rPr>
        <w:t xml:space="preserve">）支持随访任务未执行提醒功能。</w:t>
      </w:r>
      <w:r/>
    </w:p>
    <w:p>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 xml:space="preserve">（</w:t>
      </w:r>
      <w:r>
        <w:rPr>
          <w:rFonts w:ascii="仿宋" w:hAnsi="仿宋" w:eastAsia="仿宋"/>
          <w:color w:val="000000" w:themeColor="text1"/>
          <w:sz w:val="24"/>
          <w:szCs w:val="24"/>
          <w14:textFill>
            <w14:solidFill>
              <w14:schemeClr w14:val="tx1"/>
            </w14:solidFill>
          </w14:textFill>
        </w:rPr>
        <w:t xml:space="preserve">4</w:t>
      </w:r>
      <w:r>
        <w:rPr>
          <w:rFonts w:ascii="仿宋" w:hAnsi="仿宋" w:eastAsia="仿宋" w:cstheme="minorBidi"/>
          <w:color w:val="000000" w:themeColor="text1"/>
          <w:sz w:val="24"/>
          <w:szCs w:val="24"/>
          <w14:textFill>
            <w14:solidFill>
              <w14:schemeClr w14:val="tx1"/>
            </w14:solidFill>
          </w14:textFill>
        </w:rPr>
        <w:t xml:space="preserve">）支持随访内容自定义功能，且自定义操作便捷。</w:t>
      </w:r>
      <w:r/>
    </w:p>
    <w:p>
      <w:pPr>
        <w:spacing w:line="276" w:lineRule="auto"/>
        <w:rPr>
          <w:rFonts w:hint="eastAsia" w:ascii="仿宋" w:hAnsi="仿宋" w:eastAsia="仿宋" w:cstheme="minorBidi"/>
          <w:color w:val="000000" w:themeColor="text1"/>
          <w:sz w:val="24"/>
          <w:szCs w:val="24"/>
          <w14:textFill>
            <w14:solidFill>
              <w14:schemeClr w14:val="tx1"/>
            </w14:solidFill>
          </w14:textFill>
        </w:rPr>
      </w:pPr>
      <w:r>
        <w:rPr>
          <w:rFonts w:ascii="仿宋" w:hAnsi="仿宋" w:eastAsia="仿宋" w:cstheme="minorBidi"/>
          <w:color w:val="000000" w:themeColor="text1"/>
          <w:sz w:val="24"/>
          <w:szCs w:val="24"/>
          <w14:textFill>
            <w14:solidFill>
              <w14:schemeClr w14:val="tx1"/>
            </w14:solidFill>
          </w14:textFill>
        </w:rPr>
        <w:t xml:space="preserve">（</w:t>
      </w:r>
      <w:r>
        <w:rPr>
          <w:rFonts w:ascii="仿宋" w:hAnsi="仿宋" w:eastAsia="仿宋"/>
          <w:color w:val="000000" w:themeColor="text1"/>
          <w:sz w:val="24"/>
          <w:szCs w:val="24"/>
          <w14:textFill>
            <w14:solidFill>
              <w14:schemeClr w14:val="tx1"/>
            </w14:solidFill>
          </w14:textFill>
        </w:rPr>
        <w:t xml:space="preserve">5</w:t>
      </w:r>
      <w:r>
        <w:rPr>
          <w:rFonts w:ascii="仿宋" w:hAnsi="仿宋" w:eastAsia="仿宋" w:cstheme="minorBidi"/>
          <w:color w:val="000000" w:themeColor="text1"/>
          <w:sz w:val="24"/>
          <w:szCs w:val="24"/>
          <w14:textFill>
            <w14:solidFill>
              <w14:schemeClr w14:val="tx1"/>
            </w14:solidFill>
          </w14:textFill>
        </w:rPr>
        <w:t xml:space="preserve">）支持按照随访日期、随访状态、随访周期、随访医生及患者姓名、 ID 的病历查询、完整患者病历查看功能。</w:t>
      </w:r>
      <w:r/>
    </w:p>
    <w:p>
      <w:pPr>
        <w:pStyle w:val="765"/>
        <w:spacing w:line="276" w:lineRule="auto"/>
        <w:rPr>
          <w:rFonts w:hint="eastAsia" w:ascii="仿宋" w:hAnsi="仿宋" w:eastAsia="仿宋"/>
          <w:color w:val="000000" w:themeColor="text1"/>
          <w:sz w:val="24"/>
          <w:szCs w:val="24"/>
          <w14:textFill>
            <w14:solidFill>
              <w14:schemeClr w14:val="tx1"/>
            </w14:solidFill>
          </w14:textFill>
        </w:rPr>
      </w:pPr>
      <w:r/>
      <w:bookmarkStart w:id="295" w:name="_Toc218631184"/>
      <w:r>
        <w:rPr>
          <w:rFonts w:hint="eastAsia" w:ascii="仿宋" w:hAnsi="仿宋" w:eastAsia="仿宋"/>
          <w:color w:val="000000" w:themeColor="text1"/>
          <w:sz w:val="24"/>
          <w:szCs w:val="24"/>
          <w14:textFill>
            <w14:solidFill>
              <w14:schemeClr w14:val="tx1"/>
            </w14:solidFill>
          </w14:textFill>
        </w:rPr>
        <w:t xml:space="preserve">3.胸痛专病个性化评分配置</w:t>
      </w:r>
      <w:bookmarkEnd w:id="295"/>
      <w:r/>
      <w:r/>
    </w:p>
    <w:p>
      <w:pPr>
        <w:pStyle w:val="766"/>
        <w:spacing w:line="276" w:lineRule="auto"/>
        <w:rPr>
          <w:rFonts w:hint="eastAsia" w:ascii="仿宋" w:hAnsi="仿宋" w:eastAsia="仿宋"/>
          <w:color w:val="000000" w:themeColor="text1"/>
          <w14:textFill>
            <w14:solidFill>
              <w14:schemeClr w14:val="tx1"/>
            </w14:solidFill>
          </w14:textFill>
        </w:rPr>
      </w:pPr>
      <w:r/>
      <w:bookmarkStart w:id="296" w:name="_Toc218631185"/>
      <w:r>
        <w:rPr>
          <w:rFonts w:hint="eastAsia" w:ascii="仿宋" w:hAnsi="仿宋" w:eastAsia="仿宋"/>
          <w:color w:val="000000" w:themeColor="text1"/>
          <w14:textFill>
            <w14:solidFill>
              <w14:schemeClr w14:val="tx1"/>
            </w14:solidFill>
          </w14:textFill>
        </w:rPr>
        <w:t xml:space="preserve">3</w:t>
      </w:r>
      <w:r>
        <w:rPr>
          <w:rFonts w:ascii="仿宋" w:hAnsi="仿宋" w:eastAsia="仿宋"/>
          <w:color w:val="000000" w:themeColor="text1"/>
          <w14:textFill>
            <w14:solidFill>
              <w14:schemeClr w14:val="tx1"/>
            </w14:solidFill>
          </w14:textFill>
        </w:rPr>
        <w:t xml:space="preserve">.1</w:t>
      </w:r>
      <w:r>
        <w:rPr>
          <w:rFonts w:hint="eastAsia" w:ascii="仿宋" w:hAnsi="仿宋" w:eastAsia="仿宋"/>
          <w:color w:val="000000" w:themeColor="text1"/>
          <w14:textFill>
            <w14:solidFill>
              <w14:schemeClr w14:val="tx1"/>
            </w14:solidFill>
          </w14:textFill>
        </w:rPr>
        <w:t xml:space="preserve">评分设置</w:t>
      </w:r>
      <w:bookmarkEnd w:id="296"/>
      <w:r/>
      <w:r/>
    </w:p>
    <w:p>
      <w:pPr>
        <w:spacing w:line="276" w:lineRule="auto"/>
        <w:rPr>
          <w:rFonts w:hint="eastAsia" w:ascii="仿宋" w:hAnsi="仿宋" w:eastAsia="仿宋"/>
          <w:sz w:val="24"/>
          <w:szCs w:val="24"/>
        </w:rPr>
      </w:pPr>
      <w:r>
        <w:rPr>
          <w:rFonts w:ascii="仿宋" w:hAnsi="仿宋" w:eastAsia="仿宋" w:cstheme="minorBidi"/>
          <w:sz w:val="24"/>
          <w:szCs w:val="24"/>
        </w:rPr>
        <w:t xml:space="preserve">（1）</w:t>
      </w:r>
      <w:r>
        <w:rPr>
          <w:rFonts w:hint="eastAsia" w:ascii="仿宋" w:hAnsi="仿宋" w:eastAsia="仿宋"/>
          <w:sz w:val="24"/>
          <w:szCs w:val="24"/>
        </w:rPr>
        <w:t xml:space="preserve">支持医护人员根据医院实际需求进行手动和导入两种模式新增各种胸痛评分</w:t>
      </w:r>
      <w:r/>
    </w:p>
    <w:p>
      <w:pPr>
        <w:spacing w:line="276" w:lineRule="auto"/>
        <w:rPr>
          <w:rFonts w:hint="eastAsia" w:ascii="仿宋" w:hAnsi="仿宋" w:eastAsia="仿宋"/>
          <w:sz w:val="24"/>
          <w:szCs w:val="24"/>
        </w:rPr>
      </w:pPr>
      <w:r>
        <w:rPr>
          <w:rFonts w:ascii="仿宋" w:hAnsi="仿宋" w:eastAsia="仿宋" w:cstheme="minorBidi"/>
          <w:sz w:val="24"/>
          <w:szCs w:val="24"/>
        </w:rPr>
        <w:t xml:space="preserve">（</w:t>
      </w:r>
      <w:r>
        <w:rPr>
          <w:rFonts w:ascii="仿宋" w:hAnsi="仿宋" w:eastAsia="仿宋"/>
          <w:sz w:val="24"/>
          <w:szCs w:val="24"/>
        </w:rPr>
        <w:t xml:space="preserve">2</w:t>
      </w:r>
      <w:r>
        <w:rPr>
          <w:rFonts w:ascii="仿宋" w:hAnsi="仿宋" w:eastAsia="仿宋" w:cstheme="minorBidi"/>
          <w:sz w:val="24"/>
          <w:szCs w:val="24"/>
        </w:rPr>
        <w:t xml:space="preserve">）</w:t>
      </w:r>
      <w:r>
        <w:rPr>
          <w:rFonts w:hint="eastAsia" w:ascii="仿宋" w:hAnsi="仿宋" w:eastAsia="仿宋"/>
          <w:sz w:val="24"/>
          <w:szCs w:val="24"/>
        </w:rPr>
        <w:t xml:space="preserve">手动新增评分包含评分名称、标准编码、评分描述，正常值（低值和高值），结果单位、显示顺序、数据状态。</w:t>
      </w:r>
      <w:r/>
    </w:p>
    <w:p>
      <w:pPr>
        <w:spacing w:line="276" w:lineRule="auto"/>
        <w:rPr>
          <w:rFonts w:hint="eastAsia" w:ascii="仿宋" w:hAnsi="仿宋" w:eastAsia="仿宋"/>
          <w:sz w:val="24"/>
          <w:szCs w:val="24"/>
        </w:rPr>
      </w:pPr>
      <w:r>
        <w:rPr>
          <w:rFonts w:ascii="仿宋" w:hAnsi="仿宋" w:eastAsia="仿宋" w:cstheme="minorBidi"/>
          <w:sz w:val="24"/>
          <w:szCs w:val="24"/>
        </w:rPr>
        <w:t xml:space="preserve">（</w:t>
      </w:r>
      <w:r>
        <w:rPr>
          <w:rFonts w:ascii="仿宋" w:hAnsi="仿宋" w:eastAsia="仿宋"/>
          <w:sz w:val="24"/>
          <w:szCs w:val="24"/>
        </w:rPr>
        <w:t xml:space="preserve">3</w:t>
      </w:r>
      <w:r>
        <w:rPr>
          <w:rFonts w:ascii="仿宋" w:hAnsi="仿宋" w:eastAsia="仿宋" w:cstheme="minorBidi"/>
          <w:sz w:val="24"/>
          <w:szCs w:val="24"/>
        </w:rPr>
        <w:t xml:space="preserve">）</w:t>
      </w:r>
      <w:r>
        <w:rPr>
          <w:rFonts w:hint="eastAsia" w:ascii="仿宋" w:hAnsi="仿宋" w:eastAsia="仿宋"/>
          <w:sz w:val="24"/>
          <w:szCs w:val="24"/>
        </w:rPr>
        <w:t xml:space="preserve">支持对已存在的评分编辑、删除和下载。</w:t>
      </w:r>
      <w:r/>
    </w:p>
    <w:p>
      <w:pPr>
        <w:spacing w:line="276" w:lineRule="auto"/>
        <w:rPr>
          <w:rFonts w:ascii="仿宋" w:hAnsi="仿宋" w:eastAsia="仿宋"/>
          <w:sz w:val="24"/>
          <w:szCs w:val="24"/>
        </w:rPr>
      </w:pPr>
      <w:r>
        <w:rPr>
          <w:rFonts w:ascii="仿宋" w:hAnsi="仿宋" w:eastAsia="仿宋" w:cstheme="minorBidi"/>
          <w:sz w:val="24"/>
          <w:szCs w:val="24"/>
        </w:rPr>
        <w:t xml:space="preserve">（</w:t>
      </w:r>
      <w:r>
        <w:rPr>
          <w:rFonts w:ascii="仿宋" w:hAnsi="仿宋" w:eastAsia="仿宋"/>
          <w:sz w:val="24"/>
          <w:szCs w:val="24"/>
        </w:rPr>
        <w:t xml:space="preserve">4</w:t>
      </w:r>
      <w:r>
        <w:rPr>
          <w:rFonts w:ascii="仿宋" w:hAnsi="仿宋" w:eastAsia="仿宋" w:cstheme="minorBidi"/>
          <w:sz w:val="24"/>
          <w:szCs w:val="24"/>
        </w:rPr>
        <w:t xml:space="preserve">）</w:t>
      </w:r>
      <w:r>
        <w:rPr>
          <w:rFonts w:hint="eastAsia" w:ascii="仿宋" w:hAnsi="仿宋" w:eastAsia="仿宋"/>
          <w:sz w:val="24"/>
          <w:szCs w:val="24"/>
        </w:rPr>
        <w:t xml:space="preserve">支持对已生成的评分维护评分项和评分选项，评分项和评分选项支持编辑和删除操作</w:t>
      </w:r>
      <w:r>
        <w:rPr>
          <w:rFonts w:hint="eastAsia" w:ascii="仿宋" w:hAnsi="仿宋" w:eastAsia="仿宋"/>
          <w:sz w:val="24"/>
          <w:szCs w:val="24"/>
          <w:lang w:eastAsia="zh-CN"/>
        </w:rPr>
        <w:t xml:space="preserve">。</w:t>
      </w:r>
      <w:r/>
    </w:p>
    <w:p>
      <w:pPr>
        <w:pStyle w:val="765"/>
        <w:spacing w:line="276"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4.胸痛急救大数据监控中心</w:t>
      </w:r>
      <w:r/>
    </w:p>
    <w:p>
      <w:pPr>
        <w:pStyle w:val="766"/>
        <w:spacing w:line="276"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4.1院方监控大屏上展现</w:t>
      </w:r>
      <w:r/>
    </w:p>
    <w:p>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1.全院胸痛患者病例档案总览：病因分布统计、就诊途径统计；</w:t>
      </w:r>
      <w:r/>
    </w:p>
    <w:p>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2.全院胸痛关键指标统计；</w:t>
      </w:r>
      <w:r/>
    </w:p>
    <w:p>
      <w:pPr>
        <w:spacing w:line="360" w:lineRule="auto"/>
        <w:rPr>
          <w:rFonts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3.胸痛中心诊疗数据展示：胸痛患者诊疗数据、院内首份心电图检查</w:t>
      </w:r>
      <w:r/>
    </w:p>
    <w:p>
      <w:pPr>
        <w:pStyle w:val="766"/>
        <w:spacing w:line="276" w:lineRule="auto"/>
        <w:rPr>
          <w:rFonts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4.2胸痛中心驾驶舱</w:t>
      </w:r>
      <w:r>
        <w:rPr>
          <w:rFonts w:hint="eastAsia" w:ascii="仿宋" w:hAnsi="仿宋" w:eastAsia="仿宋" w:cstheme="minorBidi"/>
          <w:sz w:val="24"/>
          <w:szCs w:val="24"/>
          <w:lang w:val="en-US" w:eastAsia="zh-CN" w:bidi="ar-SA"/>
        </w:rPr>
        <w:tab/>
      </w:r>
      <w:r/>
    </w:p>
    <w:p>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1．提供实时可视化界面，展示医院胸痛中心的核心运营指标，涵盖患者数量统计、疾病分布分析、再灌注措施统计、救治质量分析、绿色通道关键指标达标情况等，帮助管理者和医护人员全面了解中心的运营情况</w:t>
      </w:r>
      <w:r/>
    </w:p>
    <w:p>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2.支持实时数据更新，所有关键运营指标基于实际数据自动生成，并动态显示</w:t>
      </w:r>
      <w:r/>
    </w:p>
    <w:p>
      <w:pPr>
        <w:spacing w:line="360" w:lineRule="auto"/>
        <w:rPr>
          <w:rFonts w:hint="eastAsia" w:ascii="仿宋" w:hAnsi="仿宋" w:eastAsia="仿宋" w:cstheme="minorBidi"/>
          <w:sz w:val="24"/>
          <w:szCs w:val="24"/>
          <w:lang w:val="en-US" w:eastAsia="zh-CN" w:bidi="ar-SA"/>
        </w:rPr>
      </w:pPr>
      <w:r>
        <w:rPr>
          <w:rFonts w:hint="eastAsia" w:ascii="仿宋" w:hAnsi="仿宋" w:eastAsia="仿宋" w:cstheme="minorBidi"/>
          <w:sz w:val="24"/>
          <w:szCs w:val="24"/>
          <w:lang w:val="en-US" w:eastAsia="zh-CN" w:bidi="ar-SA"/>
        </w:rPr>
        <w:t xml:space="preserve">3.支持个性化定制，允许根据客户需求就核心指标、数据范围、展示方式等进行灵活定制</w:t>
      </w:r>
      <w:r/>
    </w:p>
    <w:p>
      <w:pPr>
        <w:pStyle w:val="764"/>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 xml:space="preserve">四、配套硬件要求</w:t>
      </w:r>
      <w:r/>
    </w:p>
    <w:p>
      <w:pPr>
        <w:spacing w:after="240"/>
        <w:rPr>
          <w:rFonts w:hint="eastAsia" w:ascii="仿宋" w:hAnsi="仿宋" w:eastAsia="仿宋"/>
          <w:b/>
          <w:bCs/>
          <w:sz w:val="24"/>
          <w:szCs w:val="24"/>
        </w:rPr>
      </w:pPr>
      <w:r/>
      <w:bookmarkStart w:id="297" w:name="_Toc171953468"/>
      <w:r>
        <w:rPr>
          <w:rFonts w:hint="eastAsia" w:ascii="仿宋" w:hAnsi="仿宋" w:eastAsia="仿宋"/>
          <w:b/>
          <w:bCs/>
          <w:sz w:val="24"/>
          <w:szCs w:val="24"/>
        </w:rPr>
        <w:t xml:space="preserve">1、室内型基站</w:t>
      </w:r>
      <w:r/>
    </w:p>
    <w:p>
      <w:pPr>
        <w:spacing w:line="276" w:lineRule="auto"/>
        <w:rPr>
          <w:rFonts w:hint="eastAsia" w:ascii="仿宋" w:hAnsi="仿宋" w:eastAsia="仿宋"/>
          <w:sz w:val="24"/>
          <w:szCs w:val="24"/>
        </w:rPr>
      </w:pPr>
      <w:r>
        <w:rPr>
          <w:rFonts w:hint="eastAsia" w:ascii="仿宋" w:hAnsi="仿宋" w:eastAsia="仿宋"/>
          <w:sz w:val="24"/>
          <w:szCs w:val="24"/>
        </w:rPr>
        <w:t xml:space="preserve">频段范围：2.4GHz-2.4835GHz（提供无线电发射设备型号核准证）</w:t>
      </w:r>
      <w:r/>
    </w:p>
    <w:p>
      <w:pPr>
        <w:spacing w:line="276" w:lineRule="auto"/>
        <w:rPr>
          <w:rFonts w:hint="eastAsia" w:ascii="仿宋" w:hAnsi="仿宋" w:eastAsia="仿宋"/>
          <w:sz w:val="24"/>
          <w:szCs w:val="24"/>
        </w:rPr>
      </w:pPr>
      <w:r>
        <w:rPr>
          <w:rFonts w:hint="eastAsia" w:ascii="仿宋" w:hAnsi="仿宋" w:eastAsia="仿宋"/>
          <w:sz w:val="24"/>
          <w:szCs w:val="24"/>
        </w:rPr>
        <w:t xml:space="preserve">协议标准：Bluetooth5.1及以上</w:t>
      </w:r>
      <w:r/>
    </w:p>
    <w:p>
      <w:pPr>
        <w:spacing w:line="276" w:lineRule="auto"/>
        <w:rPr>
          <w:rFonts w:hint="eastAsia" w:ascii="仿宋" w:hAnsi="仿宋" w:eastAsia="仿宋"/>
          <w:sz w:val="24"/>
          <w:szCs w:val="24"/>
        </w:rPr>
      </w:pPr>
      <w:r>
        <w:rPr>
          <w:rFonts w:hint="eastAsia" w:ascii="仿宋" w:hAnsi="仿宋" w:eastAsia="仿宋"/>
          <w:sz w:val="24"/>
          <w:szCs w:val="24"/>
        </w:rPr>
        <w:t xml:space="preserve">定位精度：无遮挡最高精度≤30cm</w:t>
      </w:r>
      <w:r/>
    </w:p>
    <w:p>
      <w:pPr>
        <w:spacing w:line="276" w:lineRule="auto"/>
        <w:rPr>
          <w:rFonts w:hint="eastAsia" w:ascii="仿宋" w:hAnsi="仿宋" w:eastAsia="仿宋"/>
          <w:sz w:val="24"/>
          <w:szCs w:val="24"/>
        </w:rPr>
      </w:pPr>
      <w:r>
        <w:rPr>
          <w:rFonts w:hint="eastAsia" w:ascii="仿宋" w:hAnsi="仿宋" w:eastAsia="仿宋"/>
          <w:sz w:val="24"/>
          <w:szCs w:val="24"/>
        </w:rPr>
        <w:t xml:space="preserve">兼容性：终端支持手机、PDA、平板等安装APP/小程序进行定位，兼容iOS/Android系统</w:t>
      </w:r>
      <w:r/>
    </w:p>
    <w:p>
      <w:pPr>
        <w:spacing w:line="276" w:lineRule="auto"/>
        <w:rPr>
          <w:rFonts w:hint="eastAsia" w:ascii="仿宋" w:hAnsi="仿宋" w:eastAsia="仿宋"/>
          <w:sz w:val="24"/>
          <w:szCs w:val="24"/>
        </w:rPr>
      </w:pPr>
      <w:r>
        <w:rPr>
          <w:rFonts w:hint="eastAsia" w:ascii="仿宋" w:hAnsi="仿宋" w:eastAsia="仿宋"/>
          <w:sz w:val="24"/>
          <w:szCs w:val="24"/>
        </w:rPr>
        <w:t xml:space="preserve">网络接口：10/100M RJ45</w:t>
      </w:r>
      <w:r/>
    </w:p>
    <w:p>
      <w:pPr>
        <w:spacing w:line="276" w:lineRule="auto"/>
        <w:rPr>
          <w:rFonts w:hint="eastAsia" w:ascii="仿宋" w:hAnsi="仿宋" w:eastAsia="仿宋"/>
          <w:sz w:val="24"/>
          <w:szCs w:val="24"/>
        </w:rPr>
      </w:pPr>
      <w:r>
        <w:rPr>
          <w:rFonts w:hint="eastAsia" w:ascii="仿宋" w:hAnsi="仿宋" w:eastAsia="仿宋"/>
          <w:sz w:val="24"/>
          <w:szCs w:val="24"/>
        </w:rPr>
        <w:t xml:space="preserve">网络形式：支持菊花链一进一出，双网口串行链接，串接数量≥4</w:t>
      </w:r>
      <w:r/>
    </w:p>
    <w:p>
      <w:pPr>
        <w:spacing w:line="276" w:lineRule="auto"/>
        <w:rPr>
          <w:rFonts w:hint="eastAsia" w:ascii="仿宋" w:hAnsi="仿宋" w:eastAsia="仿宋"/>
          <w:sz w:val="24"/>
          <w:szCs w:val="24"/>
        </w:rPr>
      </w:pPr>
      <w:r>
        <w:rPr>
          <w:rFonts w:hint="eastAsia" w:ascii="仿宋" w:hAnsi="仿宋" w:eastAsia="仿宋"/>
          <w:sz w:val="24"/>
          <w:szCs w:val="24"/>
        </w:rPr>
        <w:t xml:space="preserve">ID标识：唯一ID标识</w:t>
      </w:r>
      <w:r/>
    </w:p>
    <w:p>
      <w:pPr>
        <w:spacing w:line="276" w:lineRule="auto"/>
        <w:rPr>
          <w:rFonts w:hint="eastAsia" w:ascii="仿宋" w:hAnsi="仿宋" w:eastAsia="仿宋"/>
          <w:sz w:val="24"/>
          <w:szCs w:val="24"/>
        </w:rPr>
      </w:pPr>
      <w:r>
        <w:rPr>
          <w:rFonts w:hint="eastAsia" w:ascii="仿宋" w:hAnsi="仿宋" w:eastAsia="仿宋"/>
          <w:sz w:val="24"/>
          <w:szCs w:val="24"/>
        </w:rPr>
        <w:t xml:space="preserve">外形尺寸：≤230×230×35mm</w:t>
      </w:r>
      <w:r/>
    </w:p>
    <w:p>
      <w:pPr>
        <w:spacing w:line="276" w:lineRule="auto"/>
        <w:rPr>
          <w:rFonts w:hint="eastAsia" w:ascii="仿宋" w:hAnsi="仿宋" w:eastAsia="仿宋"/>
          <w:sz w:val="24"/>
          <w:szCs w:val="24"/>
        </w:rPr>
      </w:pPr>
      <w:r>
        <w:rPr>
          <w:rFonts w:hint="eastAsia" w:ascii="仿宋" w:hAnsi="仿宋" w:eastAsia="仿宋"/>
          <w:sz w:val="24"/>
          <w:szCs w:val="24"/>
        </w:rPr>
        <w:t xml:space="preserve">指示灯：≥3个指示灯，包括电源连接指示灯、网络通信指示灯、定位状态指示灯</w:t>
      </w:r>
      <w:r/>
    </w:p>
    <w:p>
      <w:pPr>
        <w:spacing w:line="276" w:lineRule="auto"/>
        <w:rPr>
          <w:rFonts w:hint="eastAsia" w:ascii="仿宋" w:hAnsi="仿宋" w:eastAsia="仿宋"/>
          <w:sz w:val="24"/>
          <w:szCs w:val="24"/>
        </w:rPr>
      </w:pPr>
      <w:r>
        <w:rPr>
          <w:rFonts w:hint="eastAsia" w:ascii="仿宋" w:hAnsi="仿宋" w:eastAsia="仿宋"/>
          <w:sz w:val="24"/>
          <w:szCs w:val="24"/>
        </w:rPr>
        <w:t xml:space="preserve">天线类型：内置全向天线</w:t>
      </w:r>
      <w:r/>
    </w:p>
    <w:p>
      <w:pPr>
        <w:spacing w:line="276" w:lineRule="auto"/>
        <w:rPr>
          <w:rFonts w:hint="eastAsia" w:ascii="仿宋" w:hAnsi="仿宋" w:eastAsia="仿宋"/>
          <w:sz w:val="24"/>
          <w:szCs w:val="24"/>
        </w:rPr>
      </w:pPr>
      <w:r>
        <w:rPr>
          <w:rFonts w:hint="eastAsia" w:ascii="仿宋" w:hAnsi="仿宋" w:eastAsia="仿宋"/>
          <w:sz w:val="24"/>
          <w:szCs w:val="24"/>
        </w:rPr>
        <w:t xml:space="preserve">通信方式：双向通讯</w:t>
      </w:r>
      <w:r/>
    </w:p>
    <w:p>
      <w:pPr>
        <w:spacing w:line="276" w:lineRule="auto"/>
        <w:rPr>
          <w:rFonts w:hint="eastAsia" w:ascii="仿宋" w:hAnsi="仿宋" w:eastAsia="仿宋"/>
          <w:sz w:val="24"/>
          <w:szCs w:val="24"/>
        </w:rPr>
      </w:pPr>
      <w:r>
        <w:rPr>
          <w:rFonts w:hint="eastAsia" w:ascii="仿宋" w:hAnsi="仿宋" w:eastAsia="仿宋"/>
          <w:sz w:val="24"/>
          <w:szCs w:val="24"/>
        </w:rPr>
        <w:t xml:space="preserve">升级方式：OTA </w:t>
      </w:r>
      <w:r/>
    </w:p>
    <w:p>
      <w:pPr>
        <w:spacing w:line="276" w:lineRule="auto"/>
        <w:rPr>
          <w:rFonts w:hint="eastAsia" w:ascii="仿宋" w:hAnsi="仿宋" w:eastAsia="仿宋"/>
          <w:sz w:val="24"/>
          <w:szCs w:val="24"/>
        </w:rPr>
      </w:pPr>
      <w:r>
        <w:rPr>
          <w:rFonts w:hint="eastAsia" w:ascii="仿宋" w:hAnsi="仿宋" w:eastAsia="仿宋"/>
          <w:sz w:val="24"/>
          <w:szCs w:val="24"/>
        </w:rPr>
        <w:t xml:space="preserve">供电方式：支持标准48V POE供电</w:t>
      </w:r>
      <w:r/>
    </w:p>
    <w:p>
      <w:pPr>
        <w:spacing w:line="276" w:lineRule="auto"/>
        <w:rPr>
          <w:rFonts w:hint="eastAsia" w:ascii="仿宋" w:hAnsi="仿宋" w:eastAsia="仿宋"/>
          <w:sz w:val="24"/>
          <w:szCs w:val="24"/>
        </w:rPr>
      </w:pPr>
      <w:r>
        <w:rPr>
          <w:rFonts w:hint="eastAsia" w:ascii="仿宋" w:hAnsi="仿宋" w:eastAsia="仿宋"/>
          <w:sz w:val="24"/>
          <w:szCs w:val="24"/>
        </w:rPr>
        <w:t xml:space="preserve">安装方式：支持吸顶安装，不破坏整体环境；支持支架壁装、吊装</w:t>
      </w:r>
      <w:r/>
    </w:p>
    <w:p>
      <w:pPr>
        <w:spacing w:line="276" w:lineRule="auto"/>
        <w:rPr>
          <w:rFonts w:hint="eastAsia" w:ascii="仿宋" w:hAnsi="仿宋" w:eastAsia="仿宋"/>
          <w:sz w:val="24"/>
          <w:szCs w:val="24"/>
        </w:rPr>
      </w:pPr>
      <w:r>
        <w:rPr>
          <w:rFonts w:hint="eastAsia" w:ascii="仿宋" w:hAnsi="仿宋" w:eastAsia="仿宋"/>
          <w:sz w:val="24"/>
          <w:szCs w:val="24"/>
        </w:rPr>
        <w:t xml:space="preserve">基站功率：≤3W</w:t>
      </w:r>
      <w:r/>
    </w:p>
    <w:p>
      <w:pPr>
        <w:spacing w:line="276" w:lineRule="auto"/>
        <w:rPr>
          <w:rFonts w:hint="eastAsia" w:ascii="仿宋" w:hAnsi="仿宋" w:eastAsia="仿宋"/>
          <w:sz w:val="24"/>
          <w:szCs w:val="24"/>
        </w:rPr>
      </w:pPr>
      <w:r/>
      <w:bookmarkStart w:id="298" w:name="OLE_LINK17"/>
      <w:r>
        <w:rPr>
          <w:rFonts w:hint="eastAsia" w:ascii="仿宋" w:hAnsi="仿宋" w:eastAsia="仿宋"/>
          <w:sz w:val="24"/>
          <w:szCs w:val="24"/>
        </w:rPr>
        <w:t xml:space="preserve">▲</w:t>
      </w:r>
      <w:bookmarkEnd w:id="298"/>
      <w:r>
        <w:rPr>
          <w:rFonts w:hint="eastAsia" w:ascii="仿宋" w:hAnsi="仿宋" w:eastAsia="仿宋"/>
          <w:sz w:val="24"/>
          <w:szCs w:val="24"/>
        </w:rPr>
        <w:t xml:space="preserve">工作温度：依据GB/T 2423.1-2008，满足-20℃低温使用；依据GB/T 2423.2-2008，满足70℃高温使用，提供具有CNAS认证或CMA认证的第三方检测报告</w:t>
      </w:r>
      <w:r/>
    </w:p>
    <w:p>
      <w:pPr>
        <w:spacing w:line="276" w:lineRule="auto"/>
        <w:rPr>
          <w:rFonts w:hint="eastAsia" w:ascii="仿宋" w:hAnsi="仿宋" w:eastAsia="仿宋"/>
          <w:sz w:val="24"/>
          <w:szCs w:val="24"/>
        </w:rPr>
      </w:pPr>
      <w:r>
        <w:rPr>
          <w:rFonts w:hint="eastAsia" w:ascii="仿宋" w:hAnsi="仿宋" w:eastAsia="仿宋"/>
          <w:sz w:val="24"/>
          <w:szCs w:val="24"/>
        </w:rPr>
        <w:t xml:space="preserve">▲EMC认证：依据GB/T 17626.2-2018静电放电抗扰度、17626.3-2016射频电磁场辐射抗扰度、17626.8-2006工频磁场抗扰度，提供具有CNAS认证或CMA认证的第三方检测报告</w:t>
      </w:r>
      <w:r/>
    </w:p>
    <w:p>
      <w:pPr>
        <w:spacing w:line="276" w:lineRule="auto"/>
        <w:rPr>
          <w:rFonts w:hint="eastAsia" w:ascii="仿宋" w:hAnsi="仿宋" w:eastAsia="仿宋"/>
          <w:sz w:val="24"/>
          <w:szCs w:val="24"/>
        </w:rPr>
      </w:pPr>
      <w:r>
        <w:rPr>
          <w:rFonts w:hint="eastAsia" w:ascii="仿宋" w:hAnsi="仿宋" w:eastAsia="仿宋"/>
          <w:sz w:val="24"/>
          <w:szCs w:val="24"/>
        </w:rPr>
        <w:t xml:space="preserve">▲提供CE、RoHS、FCC认证报告</w:t>
      </w:r>
      <w:r/>
    </w:p>
    <w:p>
      <w:pPr>
        <w:spacing w:after="240" w:line="276" w:lineRule="auto"/>
        <w:rPr>
          <w:rFonts w:hint="eastAsia" w:ascii="仿宋" w:hAnsi="仿宋" w:eastAsia="仿宋"/>
          <w:b/>
          <w:bCs/>
          <w:sz w:val="24"/>
          <w:szCs w:val="24"/>
        </w:rPr>
      </w:pPr>
      <w:r>
        <w:rPr>
          <w:rFonts w:hint="eastAsia" w:ascii="仿宋" w:hAnsi="仿宋" w:eastAsia="仿宋"/>
          <w:b/>
          <w:bCs/>
          <w:sz w:val="24"/>
          <w:szCs w:val="24"/>
        </w:rPr>
        <w:t xml:space="preserve">2、腕带型</w:t>
      </w:r>
      <w:r/>
    </w:p>
    <w:p>
      <w:pPr>
        <w:spacing w:line="276" w:lineRule="auto"/>
        <w:rPr>
          <w:rFonts w:hint="eastAsia" w:ascii="仿宋" w:hAnsi="仿宋" w:eastAsia="仿宋"/>
          <w:sz w:val="24"/>
          <w:szCs w:val="24"/>
        </w:rPr>
      </w:pPr>
      <w:r>
        <w:rPr>
          <w:rFonts w:hint="eastAsia" w:ascii="仿宋" w:hAnsi="仿宋" w:eastAsia="仿宋"/>
          <w:sz w:val="24"/>
          <w:szCs w:val="24"/>
        </w:rPr>
        <w:t xml:space="preserve">定位精度：无遮挡最高精度≤30cm</w:t>
      </w:r>
      <w:r/>
    </w:p>
    <w:p>
      <w:pPr>
        <w:spacing w:line="276" w:lineRule="auto"/>
        <w:rPr>
          <w:rFonts w:hint="eastAsia" w:ascii="仿宋" w:hAnsi="仿宋" w:eastAsia="仿宋"/>
          <w:sz w:val="24"/>
          <w:szCs w:val="24"/>
        </w:rPr>
      </w:pPr>
      <w:r>
        <w:rPr>
          <w:rFonts w:hint="eastAsia" w:ascii="仿宋" w:hAnsi="仿宋" w:eastAsia="仿宋"/>
          <w:sz w:val="24"/>
          <w:szCs w:val="24"/>
        </w:rPr>
        <w:t xml:space="preserve">▲IP68防水等级，满足现场多水、潮湿环境使用，提供具有CNAS认证或CMA认证的第三方检测报告</w:t>
      </w:r>
      <w:r/>
    </w:p>
    <w:p>
      <w:pPr>
        <w:spacing w:line="276" w:lineRule="auto"/>
        <w:rPr>
          <w:rFonts w:hint="eastAsia" w:ascii="仿宋" w:hAnsi="仿宋" w:eastAsia="仿宋"/>
          <w:sz w:val="24"/>
          <w:szCs w:val="24"/>
        </w:rPr>
      </w:pPr>
      <w:r>
        <w:rPr>
          <w:rFonts w:hint="eastAsia" w:ascii="仿宋" w:hAnsi="仿宋" w:eastAsia="仿宋"/>
          <w:sz w:val="24"/>
          <w:szCs w:val="24"/>
        </w:rPr>
        <w:t xml:space="preserve">定位原理：蓝牙AOA</w:t>
      </w:r>
      <w:r/>
    </w:p>
    <w:p>
      <w:pPr>
        <w:spacing w:line="276" w:lineRule="auto"/>
        <w:rPr>
          <w:rFonts w:hint="eastAsia" w:ascii="仿宋" w:hAnsi="仿宋" w:eastAsia="仿宋"/>
          <w:sz w:val="24"/>
          <w:szCs w:val="24"/>
        </w:rPr>
      </w:pPr>
      <w:r>
        <w:rPr>
          <w:rFonts w:hint="eastAsia" w:ascii="仿宋" w:hAnsi="仿宋" w:eastAsia="仿宋"/>
          <w:sz w:val="24"/>
          <w:szCs w:val="24"/>
        </w:rPr>
        <w:t xml:space="preserve">频段范围：2.4GHz ~ 2.4835GHz</w:t>
      </w:r>
      <w:r/>
    </w:p>
    <w:p>
      <w:pPr>
        <w:spacing w:line="276" w:lineRule="auto"/>
        <w:rPr>
          <w:rFonts w:hint="eastAsia" w:ascii="仿宋" w:hAnsi="仿宋" w:eastAsia="仿宋"/>
          <w:sz w:val="24"/>
          <w:szCs w:val="24"/>
        </w:rPr>
      </w:pPr>
      <w:r>
        <w:rPr>
          <w:rFonts w:hint="eastAsia" w:ascii="仿宋" w:hAnsi="仿宋" w:eastAsia="仿宋"/>
          <w:sz w:val="24"/>
          <w:szCs w:val="24"/>
        </w:rPr>
        <w:t xml:space="preserve">天线类型：内置全向天线</w:t>
      </w:r>
      <w:r/>
    </w:p>
    <w:p>
      <w:pPr>
        <w:spacing w:line="276" w:lineRule="auto"/>
        <w:rPr>
          <w:rFonts w:hint="eastAsia" w:ascii="仿宋" w:hAnsi="仿宋" w:eastAsia="仿宋"/>
          <w:sz w:val="24"/>
          <w:szCs w:val="24"/>
        </w:rPr>
      </w:pPr>
      <w:r>
        <w:rPr>
          <w:rFonts w:hint="eastAsia" w:ascii="仿宋" w:hAnsi="仿宋" w:eastAsia="仿宋"/>
          <w:sz w:val="24"/>
          <w:szCs w:val="24"/>
        </w:rPr>
        <w:t xml:space="preserve">△刷新率：0.1Hz-30Hz，可调</w:t>
      </w:r>
      <w:r/>
    </w:p>
    <w:p>
      <w:pPr>
        <w:spacing w:line="276" w:lineRule="auto"/>
        <w:rPr>
          <w:rFonts w:hint="eastAsia" w:ascii="仿宋" w:hAnsi="仿宋" w:eastAsia="仿宋"/>
          <w:sz w:val="24"/>
          <w:szCs w:val="24"/>
        </w:rPr>
      </w:pPr>
      <w:r>
        <w:rPr>
          <w:rFonts w:hint="eastAsia" w:ascii="仿宋" w:hAnsi="仿宋" w:eastAsia="仿宋"/>
          <w:sz w:val="24"/>
          <w:szCs w:val="24"/>
        </w:rPr>
        <w:t xml:space="preserve">△升级方式：OTA</w:t>
      </w:r>
      <w:r/>
    </w:p>
    <w:p>
      <w:pPr>
        <w:spacing w:line="276" w:lineRule="auto"/>
        <w:rPr>
          <w:rFonts w:hint="eastAsia" w:ascii="仿宋" w:hAnsi="仿宋" w:eastAsia="仿宋"/>
          <w:sz w:val="24"/>
          <w:szCs w:val="24"/>
        </w:rPr>
      </w:pPr>
      <w:r>
        <w:rPr>
          <w:rFonts w:hint="eastAsia" w:ascii="仿宋" w:hAnsi="仿宋" w:eastAsia="仿宋"/>
          <w:sz w:val="24"/>
          <w:szCs w:val="24"/>
        </w:rPr>
        <w:t xml:space="preserve">产品编号：全球唯一固化ID，不可更改</w:t>
      </w:r>
      <w:r/>
    </w:p>
    <w:p>
      <w:pPr>
        <w:spacing w:line="276" w:lineRule="auto"/>
        <w:rPr>
          <w:rFonts w:hint="eastAsia" w:ascii="仿宋" w:hAnsi="仿宋" w:eastAsia="仿宋"/>
          <w:sz w:val="24"/>
          <w:szCs w:val="24"/>
        </w:rPr>
      </w:pPr>
      <w:r>
        <w:rPr>
          <w:rFonts w:hint="eastAsia" w:ascii="仿宋" w:hAnsi="仿宋" w:eastAsia="仿宋"/>
          <w:sz w:val="24"/>
          <w:szCs w:val="24"/>
        </w:rPr>
        <w:t xml:space="preserve">状态指示：LED闪烁/振动/蜂鸣</w:t>
      </w:r>
      <w:r/>
    </w:p>
    <w:p>
      <w:pPr>
        <w:spacing w:line="276" w:lineRule="auto"/>
        <w:rPr>
          <w:rFonts w:hint="eastAsia" w:ascii="仿宋" w:hAnsi="仿宋" w:eastAsia="仿宋"/>
          <w:sz w:val="24"/>
          <w:szCs w:val="24"/>
        </w:rPr>
      </w:pPr>
      <w:r>
        <w:rPr>
          <w:rFonts w:hint="eastAsia" w:ascii="仿宋" w:hAnsi="仿宋" w:eastAsia="仿宋"/>
          <w:sz w:val="24"/>
          <w:szCs w:val="24"/>
        </w:rPr>
        <w:t xml:space="preserve">状态监测：SOS按键检测/电量检测</w:t>
      </w:r>
      <w:r/>
    </w:p>
    <w:p>
      <w:pPr>
        <w:spacing w:line="276" w:lineRule="auto"/>
        <w:rPr>
          <w:rFonts w:hint="eastAsia" w:ascii="仿宋" w:hAnsi="仿宋" w:eastAsia="仿宋"/>
          <w:sz w:val="24"/>
          <w:szCs w:val="24"/>
        </w:rPr>
      </w:pPr>
      <w:r>
        <w:rPr>
          <w:rFonts w:hint="eastAsia" w:ascii="仿宋" w:hAnsi="仿宋" w:eastAsia="仿宋"/>
          <w:sz w:val="24"/>
          <w:szCs w:val="24"/>
        </w:rPr>
        <w:t xml:space="preserve">状态报警：SOS报警/电量报警</w:t>
      </w:r>
      <w:r/>
    </w:p>
    <w:p>
      <w:pPr>
        <w:spacing w:line="276" w:lineRule="auto"/>
        <w:rPr>
          <w:rFonts w:hint="eastAsia" w:ascii="仿宋" w:hAnsi="仿宋" w:eastAsia="仿宋"/>
          <w:sz w:val="24"/>
          <w:szCs w:val="24"/>
        </w:rPr>
      </w:pPr>
      <w:r>
        <w:rPr>
          <w:rFonts w:hint="eastAsia" w:ascii="仿宋" w:hAnsi="仿宋" w:eastAsia="仿宋"/>
          <w:sz w:val="24"/>
          <w:szCs w:val="24"/>
        </w:rPr>
        <w:t xml:space="preserve">节电方式：支持休眠方式</w:t>
      </w:r>
      <w:r/>
    </w:p>
    <w:p>
      <w:pPr>
        <w:spacing w:line="276" w:lineRule="auto"/>
        <w:rPr>
          <w:rFonts w:hint="eastAsia" w:ascii="仿宋" w:hAnsi="仿宋" w:eastAsia="仿宋"/>
          <w:sz w:val="24"/>
          <w:szCs w:val="24"/>
        </w:rPr>
      </w:pPr>
      <w:r>
        <w:rPr>
          <w:rFonts w:hint="eastAsia" w:ascii="仿宋" w:hAnsi="仿宋" w:eastAsia="仿宋"/>
          <w:sz w:val="24"/>
          <w:szCs w:val="24"/>
        </w:rPr>
        <w:t xml:space="preserve">尺寸：&lt;  55mm×40mm×17mm</w:t>
      </w:r>
      <w:r/>
    </w:p>
    <w:p>
      <w:pPr>
        <w:spacing w:line="276" w:lineRule="auto"/>
        <w:rPr>
          <w:rFonts w:hint="eastAsia" w:ascii="仿宋" w:hAnsi="仿宋" w:eastAsia="仿宋"/>
          <w:sz w:val="24"/>
          <w:szCs w:val="24"/>
        </w:rPr>
      </w:pPr>
      <w:r>
        <w:rPr>
          <w:rFonts w:hint="eastAsia" w:ascii="仿宋" w:hAnsi="仿宋" w:eastAsia="仿宋"/>
          <w:sz w:val="24"/>
          <w:szCs w:val="24"/>
        </w:rPr>
        <w:t xml:space="preserve">重量：40g</w:t>
      </w:r>
      <w:r/>
    </w:p>
    <w:p>
      <w:pPr>
        <w:spacing w:line="276" w:lineRule="auto"/>
        <w:rPr>
          <w:rFonts w:hint="eastAsia" w:ascii="仿宋" w:hAnsi="仿宋" w:eastAsia="仿宋"/>
          <w:sz w:val="24"/>
          <w:szCs w:val="24"/>
        </w:rPr>
      </w:pPr>
      <w:r>
        <w:rPr>
          <w:rFonts w:hint="eastAsia" w:ascii="仿宋" w:hAnsi="仿宋" w:eastAsia="仿宋"/>
          <w:sz w:val="24"/>
          <w:szCs w:val="24"/>
        </w:rPr>
        <w:t xml:space="preserve">佩戴方式：腕带佩戴</w:t>
      </w:r>
      <w:r/>
    </w:p>
    <w:p>
      <w:pPr>
        <w:spacing w:line="276" w:lineRule="auto"/>
        <w:rPr>
          <w:rFonts w:hint="eastAsia" w:ascii="仿宋" w:hAnsi="仿宋" w:eastAsia="仿宋"/>
          <w:sz w:val="24"/>
          <w:szCs w:val="24"/>
        </w:rPr>
      </w:pPr>
      <w:r>
        <w:rPr>
          <w:rFonts w:hint="eastAsia" w:ascii="仿宋" w:hAnsi="仿宋" w:eastAsia="仿宋"/>
          <w:sz w:val="24"/>
          <w:szCs w:val="24"/>
        </w:rPr>
        <w:t xml:space="preserve">续航时间：4-6个月</w:t>
      </w:r>
      <w:r/>
    </w:p>
    <w:p>
      <w:pPr>
        <w:spacing w:line="276" w:lineRule="auto"/>
        <w:rPr>
          <w:rFonts w:hint="eastAsia" w:ascii="仿宋" w:hAnsi="仿宋" w:eastAsia="仿宋"/>
          <w:sz w:val="24"/>
          <w:szCs w:val="24"/>
        </w:rPr>
      </w:pPr>
      <w:r>
        <w:rPr>
          <w:rFonts w:hint="eastAsia" w:ascii="仿宋" w:hAnsi="仿宋" w:eastAsia="仿宋"/>
          <w:sz w:val="24"/>
          <w:szCs w:val="24"/>
        </w:rPr>
        <w:t xml:space="preserve">电池电量：600mAh/可充电锂电池</w:t>
      </w:r>
      <w:r/>
    </w:p>
    <w:p>
      <w:pPr>
        <w:spacing w:line="276" w:lineRule="auto"/>
        <w:rPr>
          <w:rFonts w:hint="eastAsia" w:ascii="仿宋" w:hAnsi="仿宋" w:eastAsia="仿宋"/>
          <w:sz w:val="24"/>
          <w:szCs w:val="24"/>
        </w:rPr>
      </w:pPr>
      <w:r>
        <w:rPr>
          <w:rFonts w:hint="eastAsia" w:ascii="仿宋" w:hAnsi="仿宋" w:eastAsia="仿宋"/>
          <w:sz w:val="24"/>
          <w:szCs w:val="24"/>
        </w:rPr>
        <w:t xml:space="preserve">充电接口：磁吸触点</w:t>
      </w:r>
      <w:r/>
    </w:p>
    <w:p>
      <w:pPr>
        <w:spacing w:line="276" w:lineRule="auto"/>
        <w:rPr>
          <w:rFonts w:hint="eastAsia" w:ascii="仿宋" w:hAnsi="仿宋" w:eastAsia="仿宋"/>
          <w:sz w:val="24"/>
          <w:szCs w:val="24"/>
        </w:rPr>
      </w:pPr>
      <w:r>
        <w:rPr>
          <w:rFonts w:hint="eastAsia" w:ascii="仿宋" w:hAnsi="仿宋" w:eastAsia="仿宋"/>
          <w:sz w:val="24"/>
          <w:szCs w:val="24"/>
        </w:rPr>
        <w:t xml:space="preserve">充电参数：5±0.1V，1A</w:t>
      </w:r>
      <w:r/>
    </w:p>
    <w:p>
      <w:pPr>
        <w:spacing w:line="276" w:lineRule="auto"/>
        <w:rPr>
          <w:rFonts w:hint="eastAsia" w:ascii="仿宋" w:hAnsi="仿宋" w:eastAsia="仿宋"/>
          <w:sz w:val="24"/>
          <w:szCs w:val="24"/>
        </w:rPr>
      </w:pPr>
      <w:r>
        <w:rPr>
          <w:rFonts w:hint="eastAsia" w:ascii="仿宋" w:hAnsi="仿宋" w:eastAsia="仿宋"/>
          <w:sz w:val="24"/>
          <w:szCs w:val="24"/>
        </w:rPr>
        <w:t xml:space="preserve">充电时间：4-6小时</w:t>
      </w:r>
      <w:r/>
    </w:p>
    <w:p>
      <w:pPr>
        <w:spacing w:line="276" w:lineRule="auto"/>
        <w:rPr>
          <w:rFonts w:hint="eastAsia" w:ascii="仿宋" w:hAnsi="仿宋" w:eastAsia="仿宋"/>
          <w:sz w:val="24"/>
          <w:szCs w:val="24"/>
        </w:rPr>
      </w:pPr>
      <w:r>
        <w:rPr>
          <w:rFonts w:hint="eastAsia" w:ascii="仿宋" w:hAnsi="仿宋" w:eastAsia="仿宋"/>
          <w:sz w:val="24"/>
          <w:szCs w:val="24"/>
        </w:rPr>
        <w:t xml:space="preserve">充电次数：500次</w:t>
      </w:r>
      <w:r/>
    </w:p>
    <w:p>
      <w:pPr>
        <w:spacing w:line="276" w:lineRule="auto"/>
        <w:rPr>
          <w:rFonts w:hint="eastAsia" w:ascii="仿宋" w:hAnsi="仿宋" w:eastAsia="仿宋"/>
          <w:sz w:val="24"/>
          <w:szCs w:val="24"/>
        </w:rPr>
      </w:pPr>
      <w:r>
        <w:rPr>
          <w:rFonts w:hint="eastAsia" w:ascii="仿宋" w:hAnsi="仿宋" w:eastAsia="仿宋"/>
          <w:sz w:val="24"/>
          <w:szCs w:val="24"/>
        </w:rPr>
        <w:t xml:space="preserve">工作温度：-20-70℃</w:t>
      </w:r>
      <w:r/>
    </w:p>
    <w:p>
      <w:pPr>
        <w:spacing w:line="276" w:lineRule="auto"/>
        <w:rPr>
          <w:rFonts w:hint="eastAsia" w:ascii="仿宋" w:hAnsi="仿宋" w:eastAsia="仿宋"/>
          <w:sz w:val="24"/>
          <w:szCs w:val="24"/>
        </w:rPr>
      </w:pPr>
      <w:r>
        <w:rPr>
          <w:rFonts w:hint="eastAsia" w:ascii="仿宋" w:hAnsi="仿宋" w:eastAsia="仿宋"/>
          <w:sz w:val="24"/>
          <w:szCs w:val="24"/>
        </w:rPr>
        <w:t xml:space="preserve">存储温度：-40-75℃</w:t>
      </w:r>
      <w:r/>
    </w:p>
    <w:p>
      <w:pPr>
        <w:spacing w:line="276" w:lineRule="auto"/>
        <w:rPr>
          <w:rFonts w:hint="eastAsia" w:ascii="仿宋" w:hAnsi="仿宋" w:eastAsia="仿宋"/>
          <w:sz w:val="24"/>
          <w:szCs w:val="24"/>
        </w:rPr>
      </w:pPr>
      <w:r>
        <w:rPr>
          <w:rFonts w:hint="eastAsia" w:ascii="仿宋" w:hAnsi="仿宋" w:eastAsia="仿宋"/>
          <w:sz w:val="24"/>
          <w:szCs w:val="24"/>
        </w:rPr>
        <w:t xml:space="preserve">RFID支持：内置RFID线圈，符合ISO14443A协议</w:t>
      </w:r>
      <w:r/>
    </w:p>
    <w:p>
      <w:pPr>
        <w:spacing w:line="276" w:lineRule="auto"/>
        <w:rPr>
          <w:rFonts w:hint="eastAsia" w:ascii="仿宋" w:hAnsi="仿宋" w:eastAsia="仿宋"/>
          <w:sz w:val="24"/>
          <w:szCs w:val="24"/>
        </w:rPr>
      </w:pPr>
      <w:r>
        <w:rPr>
          <w:rFonts w:hint="eastAsia" w:ascii="仿宋" w:hAnsi="仿宋" w:eastAsia="仿宋"/>
          <w:sz w:val="24"/>
          <w:szCs w:val="24"/>
        </w:rPr>
        <w:t xml:space="preserve">认证支持：CE、RoHS</w:t>
      </w:r>
      <w:r/>
    </w:p>
    <w:p>
      <w:pPr>
        <w:spacing w:after="240" w:line="276" w:lineRule="auto"/>
        <w:rPr>
          <w:rFonts w:hint="eastAsia" w:ascii="仿宋" w:hAnsi="仿宋" w:eastAsia="仿宋"/>
          <w:b/>
          <w:bCs/>
          <w:sz w:val="24"/>
          <w:szCs w:val="24"/>
        </w:rPr>
      </w:pPr>
      <w:r>
        <w:rPr>
          <w:rFonts w:hint="eastAsia" w:ascii="仿宋" w:hAnsi="仿宋" w:eastAsia="仿宋"/>
          <w:b/>
          <w:bCs/>
          <w:sz w:val="24"/>
          <w:szCs w:val="24"/>
        </w:rPr>
        <w:t xml:space="preserve">3、国产自主开发的室内定位系统软件</w:t>
      </w:r>
      <w:r/>
    </w:p>
    <w:p>
      <w:pPr>
        <w:spacing w:line="276" w:lineRule="auto"/>
        <w:rPr>
          <w:rFonts w:hint="eastAsia" w:ascii="仿宋" w:hAnsi="仿宋" w:eastAsia="仿宋" w:cs="宋体"/>
          <w:color w:val="000000"/>
          <w:sz w:val="24"/>
          <w:szCs w:val="24"/>
          <w:lang w:bidi="ar"/>
        </w:rPr>
      </w:pPr>
      <w:r/>
      <w:bookmarkStart w:id="339" w:name="_GoBack"/>
      <w:r/>
      <w:bookmarkEnd w:id="339"/>
      <w:r>
        <w:rPr>
          <w:rFonts w:hint="eastAsia" w:ascii="仿宋" w:hAnsi="仿宋" w:eastAsia="仿宋" w:cs="宋体"/>
          <w:color w:val="000000"/>
          <w:sz w:val="24"/>
          <w:szCs w:val="24"/>
          <w:lang w:bidi="ar"/>
        </w:rPr>
        <w:t xml:space="preserve">国产自主开发的室内定位系统软件（提供国家版权局登记的定位系统软件著作权证书）。</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支持Windows、Linux系统部署，支持mysql和oracle数据库</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采用B/S架构，支持通过Chrome、IE、遨游等通用浏览器。</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提供websocket\http\https接口，用于平台对接，提供C#,C++,JAVA,JavaScrip以上4种语言的SDK。</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实时显示人员位置及行动轨迹，点击图标可显示人员信息（可显示照片）；可设置重点关注人员，使用特殊图标、颜色显示。</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具备多种类型告警功能，如电子围栏、SOS求助、滞留、区域超/缺员、离岗、低电量、消失等多种告警方式。报警时，可点击查看该人员实时位置、告警位置、视频联动画面。</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支持历史轨迹回放功能，回放某一历史时段的定位轨迹，支持多倍速调节、全轨迹一键显示，可同时播放联动视频。</w:t>
      </w:r>
      <w:r/>
    </w:p>
    <w:p>
      <w:pPr>
        <w:spacing w:line="276" w:lineRule="auto"/>
        <w:rPr>
          <w:rFonts w:hint="eastAsia"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具备数据可视化功能，以列表、柱状图、扇形图等形式展示人员信息、告警记录等。</w:t>
      </w:r>
      <w:r/>
    </w:p>
    <w:p>
      <w:pPr>
        <w:spacing w:after="240"/>
        <w:rPr>
          <w:rFonts w:hint="eastAsia" w:ascii="仿宋" w:hAnsi="仿宋" w:eastAsia="仿宋"/>
          <w:b/>
          <w:bCs/>
          <w:sz w:val="24"/>
          <w:szCs w:val="24"/>
        </w:rPr>
      </w:pPr>
      <w:r>
        <w:rPr>
          <w:rFonts w:hint="eastAsia" w:ascii="仿宋" w:hAnsi="仿宋" w:eastAsia="仿宋"/>
          <w:b/>
          <w:bCs/>
          <w:sz w:val="24"/>
          <w:szCs w:val="24"/>
        </w:rPr>
        <w:t xml:space="preserve">4、多媒体信息屏</w:t>
      </w:r>
      <w:r/>
    </w:p>
    <w:p>
      <w:pPr>
        <w:rPr>
          <w:rFonts w:hint="eastAsia" w:ascii="仿宋" w:hAnsi="仿宋" w:eastAsia="仿宋" w:cs="仿宋"/>
          <w:sz w:val="24"/>
          <w:szCs w:val="44"/>
        </w:rPr>
      </w:pPr>
      <w:r>
        <w:rPr>
          <w:rFonts w:hint="eastAsia" w:ascii="仿宋" w:hAnsi="仿宋" w:eastAsia="仿宋" w:cs="仿宋"/>
          <w:sz w:val="24"/>
          <w:szCs w:val="44"/>
        </w:rPr>
        <w:t xml:space="preserve">1）屏幕尺寸：55 英寸；</w:t>
      </w:r>
      <w:r/>
    </w:p>
    <w:p>
      <w:pPr>
        <w:rPr>
          <w:rFonts w:hint="eastAsia" w:ascii="仿宋" w:hAnsi="仿宋" w:eastAsia="仿宋" w:cs="仿宋"/>
          <w:sz w:val="24"/>
          <w:szCs w:val="44"/>
        </w:rPr>
      </w:pPr>
      <w:r>
        <w:rPr>
          <w:rFonts w:hint="eastAsia" w:ascii="仿宋" w:hAnsi="仿宋" w:eastAsia="仿宋" w:cs="仿宋"/>
          <w:sz w:val="24"/>
          <w:szCs w:val="44"/>
        </w:rPr>
        <w:t xml:space="preserve">2）CPU架构：四核A55</w:t>
      </w:r>
      <w:r/>
    </w:p>
    <w:p>
      <w:pPr>
        <w:rPr>
          <w:rFonts w:hint="eastAsia" w:ascii="仿宋" w:hAnsi="仿宋" w:eastAsia="仿宋" w:cs="仿宋"/>
          <w:sz w:val="24"/>
          <w:szCs w:val="44"/>
        </w:rPr>
      </w:pPr>
      <w:r>
        <w:rPr>
          <w:rFonts w:hint="eastAsia" w:ascii="仿宋" w:hAnsi="仿宋" w:eastAsia="仿宋" w:cs="仿宋"/>
          <w:sz w:val="24"/>
          <w:szCs w:val="44"/>
        </w:rPr>
        <w:t xml:space="preserve">3）内存容量：3GB；</w:t>
      </w:r>
      <w:r/>
    </w:p>
    <w:p>
      <w:pPr>
        <w:rPr>
          <w:rFonts w:hint="eastAsia" w:ascii="仿宋" w:hAnsi="仿宋" w:eastAsia="仿宋" w:cs="仿宋"/>
          <w:sz w:val="24"/>
          <w:szCs w:val="44"/>
        </w:rPr>
      </w:pPr>
      <w:r>
        <w:rPr>
          <w:rFonts w:hint="eastAsia" w:ascii="仿宋" w:hAnsi="仿宋" w:eastAsia="仿宋" w:cs="仿宋"/>
          <w:sz w:val="24"/>
          <w:szCs w:val="44"/>
        </w:rPr>
        <w:t xml:space="preserve">4）存储容量：64G；</w:t>
      </w:r>
      <w:r/>
    </w:p>
    <w:p>
      <w:pPr>
        <w:spacing w:after="240"/>
        <w:rPr>
          <w:rFonts w:hint="eastAsia" w:ascii="仿宋" w:hAnsi="仿宋" w:eastAsia="仿宋"/>
          <w:b/>
          <w:bCs/>
          <w:sz w:val="24"/>
          <w:szCs w:val="24"/>
        </w:rPr>
      </w:pPr>
      <w:r>
        <w:rPr>
          <w:rFonts w:hint="eastAsia" w:ascii="仿宋" w:hAnsi="仿宋" w:eastAsia="仿宋"/>
          <w:b/>
          <w:bCs/>
          <w:sz w:val="24"/>
          <w:szCs w:val="24"/>
        </w:rPr>
        <w:t xml:space="preserve">5、</w:t>
      </w:r>
      <w:r>
        <w:rPr>
          <w:rFonts w:ascii="仿宋" w:hAnsi="仿宋" w:eastAsia="仿宋"/>
          <w:b/>
          <w:bCs/>
          <w:sz w:val="24"/>
          <w:szCs w:val="24"/>
        </w:rPr>
        <w:t xml:space="preserve">PAD</w:t>
      </w:r>
      <w:r/>
    </w:p>
    <w:p>
      <w:pPr>
        <w:pStyle w:val="1105"/>
        <w:rPr>
          <w:rFonts w:hint="eastAsia" w:ascii="仿宋" w:hAnsi="仿宋" w:eastAsia="仿宋"/>
          <w:lang w:bidi="ar"/>
        </w:rPr>
      </w:pPr>
      <w:r>
        <w:rPr>
          <w:rFonts w:hint="eastAsia" w:ascii="仿宋" w:hAnsi="仿宋" w:eastAsia="仿宋"/>
          <w:lang w:bidi="ar"/>
        </w:rPr>
        <w:t xml:space="preserve">1）屏幕尺寸：</w:t>
      </w:r>
      <w:r>
        <w:rPr>
          <w:rFonts w:hint="eastAsia" w:ascii="仿宋" w:hAnsi="仿宋" w:eastAsia="仿宋"/>
          <w:b/>
          <w:bCs/>
          <w:sz w:val="24"/>
          <w:szCs w:val="24"/>
        </w:rPr>
        <w:t xml:space="preserve">≥</w:t>
      </w:r>
      <w:r>
        <w:rPr>
          <w:rFonts w:hint="eastAsia" w:ascii="仿宋" w:hAnsi="仿宋" w:eastAsia="仿宋"/>
          <w:lang w:val="en-US" w:eastAsia="zh-CN" w:bidi="ar"/>
        </w:rPr>
        <w:t xml:space="preserve">9.0</w:t>
      </w:r>
      <w:r>
        <w:rPr>
          <w:rFonts w:hint="eastAsia" w:ascii="仿宋" w:hAnsi="仿宋" w:eastAsia="仿宋"/>
          <w:lang w:bidi="ar"/>
        </w:rPr>
        <w:t xml:space="preserve"> 英寸 </w:t>
      </w:r>
      <w:r/>
    </w:p>
    <w:p>
      <w:pPr>
        <w:pStyle w:val="1105"/>
        <w:rPr>
          <w:rFonts w:hint="eastAsia" w:ascii="仿宋" w:hAnsi="仿宋" w:eastAsia="仿宋"/>
          <w:lang w:bidi="ar"/>
        </w:rPr>
      </w:pPr>
      <w:r>
        <w:rPr>
          <w:rFonts w:hint="eastAsia" w:ascii="仿宋" w:hAnsi="仿宋" w:eastAsia="仿宋"/>
          <w:lang w:bidi="ar"/>
        </w:rPr>
        <w:t xml:space="preserve">2）处理器：高速八核64位处理器，2.0GHz</w:t>
      </w:r>
      <w:r/>
    </w:p>
    <w:p>
      <w:pPr>
        <w:pStyle w:val="1105"/>
        <w:rPr>
          <w:rFonts w:hint="eastAsia" w:ascii="仿宋" w:hAnsi="仿宋" w:eastAsia="仿宋"/>
          <w:lang w:bidi="ar"/>
        </w:rPr>
      </w:pPr>
      <w:r>
        <w:rPr>
          <w:rFonts w:hint="eastAsia" w:ascii="仿宋" w:hAnsi="仿宋" w:eastAsia="仿宋"/>
          <w:lang w:bidi="ar"/>
        </w:rPr>
        <w:t xml:space="preserve">3）内存容量：4GB </w:t>
      </w:r>
      <w:r/>
    </w:p>
    <w:p>
      <w:pPr>
        <w:pStyle w:val="1105"/>
        <w:rPr>
          <w:rFonts w:hint="eastAsia" w:ascii="仿宋" w:hAnsi="仿宋" w:eastAsia="仿宋"/>
          <w:lang w:bidi="ar"/>
        </w:rPr>
      </w:pPr>
      <w:r>
        <w:rPr>
          <w:rFonts w:hint="eastAsia" w:ascii="仿宋" w:hAnsi="仿宋" w:eastAsia="仿宋"/>
          <w:lang w:bidi="ar"/>
        </w:rPr>
        <w:t xml:space="preserve">4）存储容量：64G </w:t>
      </w:r>
      <w:r/>
    </w:p>
    <w:p>
      <w:pPr>
        <w:pStyle w:val="1105"/>
        <w:rPr>
          <w:rFonts w:hint="eastAsia" w:ascii="仿宋" w:hAnsi="仿宋" w:eastAsia="仿宋"/>
          <w:lang w:bidi="ar"/>
        </w:rPr>
      </w:pPr>
      <w:r>
        <w:rPr>
          <w:rFonts w:hint="eastAsia" w:ascii="仿宋" w:hAnsi="仿宋" w:eastAsia="仿宋"/>
          <w:lang w:bidi="ar"/>
        </w:rPr>
        <w:t xml:space="preserve">5）操作系统：Android 9</w:t>
      </w:r>
      <w:r/>
    </w:p>
    <w:p>
      <w:pPr>
        <w:pStyle w:val="1105"/>
        <w:rPr>
          <w:rFonts w:hint="eastAsia" w:ascii="仿宋" w:hAnsi="仿宋" w:eastAsia="仿宋"/>
          <w:lang w:bidi="ar"/>
        </w:rPr>
      </w:pPr>
      <w:r>
        <w:rPr>
          <w:rFonts w:hint="eastAsia" w:ascii="仿宋" w:hAnsi="仿宋" w:eastAsia="仿宋"/>
          <w:lang w:bidi="ar"/>
        </w:rPr>
        <w:t xml:space="preserve">6）网络支持：WiFi/蓝牙/4G全网通</w:t>
      </w:r>
      <w:r/>
    </w:p>
    <w:p>
      <w:pPr>
        <w:rPr>
          <w:rFonts w:hint="eastAsia" w:ascii="仿宋" w:hAnsi="仿宋" w:eastAsia="仿宋" w:cs="仿宋"/>
          <w:sz w:val="24"/>
          <w:szCs w:val="44"/>
        </w:rPr>
      </w:pPr>
      <w:r>
        <w:rPr>
          <w:rFonts w:hint="eastAsia" w:ascii="仿宋" w:hAnsi="仿宋" w:eastAsia="仿宋" w:cs="仿宋"/>
          <w:sz w:val="24"/>
          <w:szCs w:val="44"/>
        </w:rPr>
      </w:r>
      <w:r/>
    </w:p>
    <w:p>
      <w:pPr>
        <w:spacing w:after="240"/>
        <w:rPr>
          <w:rFonts w:hint="eastAsia" w:ascii="仿宋" w:hAnsi="仿宋" w:eastAsia="仿宋"/>
          <w:b/>
          <w:bCs/>
          <w:sz w:val="24"/>
          <w:szCs w:val="24"/>
        </w:rPr>
      </w:pPr>
      <w:r>
        <w:rPr>
          <w:rFonts w:hint="eastAsia" w:ascii="仿宋" w:hAnsi="仿宋" w:eastAsia="仿宋"/>
          <w:b/>
          <w:bCs/>
          <w:sz w:val="24"/>
          <w:szCs w:val="24"/>
        </w:rPr>
        <w:t xml:space="preserve">6、</w:t>
      </w:r>
      <w:r>
        <w:rPr>
          <w:rFonts w:ascii="仿宋" w:hAnsi="仿宋" w:eastAsia="仿宋"/>
          <w:b/>
          <w:bCs/>
          <w:sz w:val="24"/>
          <w:szCs w:val="24"/>
        </w:rPr>
        <w:t xml:space="preserve">PDA</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手持终端PDA必须支持5G通信功能，能够插入5G物理网卡，确保通讯畅通。</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1、处理器：八核及以上处理器，CPU主频≥2.2GHz</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2、操作系统：操作系统 Android12及以上(具备医疗操作系统软件著作权证书)</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3、RAM：≥8GB，ROM：≥128GB、支持存储扩展</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▲4、屏幕：≥5.5英寸并且≤5.9英寸，避免设备过大造成用户使用困难，支持戴手套/带水触摸分辨率支持：≥720×1440</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摄像头前置 800W 像素，后置 1600W 摄像头支持变焦、自动对焦，能支持现场录像功能；</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5、电池：3.85V 5000mAh 可充电锂电池，可无需工具拆卸，方便更换电池提高工作</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6、数据通信接口：5G， 4G， 3G， 2G 全网通</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7、wifi联盟</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8、可读取国际通用一维条码和二维条码同时支持左右两侧实体扫描按键及屏幕虚拟扫描按键，扫描扫码需具备十字光线瞄准定位，并带有相应的安全指示标志，现场测试出光效果，并检查指示标志。</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9、蓝牙5.2或以上,支持 BR/EDR + BLE</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10、网络传输：2.4G/5G双频， IEEE 802.11a/b/g/n/ac/d/e/h/i/k/r/v/w 协议</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11、快速漫游： 802.11r /OKC/ PMKID caching</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12、充电底座：提供一机一电充电底座，同时充电一个主机和一块电池，</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▲13.设备平均无故障工作时间MTBF≥40000小时</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（提供符合GB/T 5080.1-2012标准的第三方检测报告）；</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▲14. YY0505-2012和GB 9706.1-2007医用电气安全检测（需提供相关证明文件）；</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▲15. 医疗耐菌认证，可耐受大肠杆菌和金黄色葡萄球菌（提供符合JIS Z 2801：2010检测标准的盖章CNAS检测报告）；</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▲16.产品选用医疗专用材料的外壳，可耐受酒精、次氯酸钠、过氧化氢、异丙醇、麦瑞斯表面消毒剂擦拭（提供符合GB/T 23989-2009 A法检测标准的盖章检测报告）；</w:t>
      </w:r>
      <w:r/>
    </w:p>
    <w:p>
      <w:pPr>
        <w:spacing w:line="276" w:lineRule="auto"/>
        <w:rPr>
          <w:rFonts w:hint="eastAsia" w:ascii="仿宋" w:hAnsi="仿宋" w:eastAsia="仿宋" w:cs="仿宋"/>
          <w:sz w:val="24"/>
          <w:szCs w:val="44"/>
        </w:rPr>
      </w:pPr>
      <w:r>
        <w:rPr>
          <w:rFonts w:hint="eastAsia" w:ascii="仿宋" w:hAnsi="仿宋" w:eastAsia="仿宋" w:cs="仿宋"/>
          <w:sz w:val="24"/>
          <w:szCs w:val="44"/>
        </w:rPr>
        <w:t xml:space="preserve">17.IP68防护等级（需提供带CMA相关证书）；</w:t>
      </w:r>
      <w:r/>
    </w:p>
    <w:p>
      <w:pPr>
        <w:spacing w:line="276" w:lineRule="auto"/>
        <w:rPr>
          <w:rFonts w:hint="eastAsia" w:ascii="仿宋" w:hAnsi="仿宋" w:eastAsia="仿宋" w:cs="仿宋"/>
          <w:sz w:val="24"/>
          <w:szCs w:val="44"/>
          <w:lang w:eastAsia="zh-CN"/>
        </w:rPr>
      </w:pPr>
      <w:r>
        <w:rPr>
          <w:rFonts w:hint="eastAsia" w:ascii="仿宋" w:hAnsi="仿宋" w:eastAsia="仿宋" w:cs="仿宋"/>
          <w:sz w:val="24"/>
          <w:szCs w:val="44"/>
        </w:rPr>
        <w:t xml:space="preserve">18.提供移动医疗操作系统软件著作权登记证书</w:t>
      </w:r>
      <w:r>
        <w:rPr>
          <w:rFonts w:hint="eastAsia" w:ascii="仿宋" w:hAnsi="仿宋" w:eastAsia="仿宋" w:cs="仿宋"/>
          <w:sz w:val="24"/>
          <w:szCs w:val="44"/>
          <w:lang w:eastAsia="zh-CN"/>
        </w:rPr>
        <w:t xml:space="preserve">。</w:t>
      </w:r>
      <w:bookmarkEnd w:id="297"/>
      <w:r/>
      <w:bookmarkStart w:id="299" w:name="_Toc171953470"/>
      <w:r/>
      <w:r/>
    </w:p>
    <w:p>
      <w:pPr>
        <w:spacing w:line="276" w:lineRule="auto"/>
        <w:rPr>
          <w:rFonts w:hint="eastAsia" w:ascii="仿宋" w:hAnsi="仿宋" w:eastAsia="仿宋" w:cs="仿宋"/>
          <w:b/>
          <w:bCs/>
          <w:sz w:val="24"/>
          <w:szCs w:val="44"/>
        </w:rPr>
      </w:pPr>
      <w:r>
        <w:rPr>
          <w:rFonts w:hint="eastAsia" w:ascii="仿宋" w:hAnsi="仿宋" w:eastAsia="仿宋" w:cs="仿宋"/>
          <w:b/>
          <w:bCs/>
          <w:sz w:val="24"/>
          <w:szCs w:val="44"/>
        </w:rPr>
        <w:t xml:space="preserve">四、</w:t>
      </w:r>
      <w:bookmarkEnd w:id="299"/>
      <w:r>
        <w:rPr>
          <w:rFonts w:hint="eastAsia" w:ascii="仿宋" w:hAnsi="仿宋" w:eastAsia="仿宋" w:cs="仿宋"/>
          <w:b/>
          <w:bCs/>
          <w:sz w:val="24"/>
          <w:szCs w:val="44"/>
        </w:rPr>
        <w:t xml:space="preserve">商务要求</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1.合同主体与付款单位：该项目合同主体与付款单位为南京市浦口区中医院。 </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2.质保期要求：软件验收后1年。</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3.工期要求：合同签订后180天内，完成设备安装并调试安装到位提请验收。 </w:t>
      </w:r>
      <w:r/>
    </w:p>
    <w:p>
      <w:pPr>
        <w:ind w:firstLine="480"/>
        <w:jc w:val="left"/>
        <w:spacing w:line="360" w:lineRule="auto"/>
        <w:rPr>
          <w:rFonts w:hint="eastAsia" w:ascii="仿宋" w:hAnsi="仿宋" w:eastAsia="仿宋" w:cs="仿宋"/>
          <w:bCs/>
          <w:color w:val="ff0000"/>
          <w:sz w:val="24"/>
          <w:szCs w:val="24"/>
        </w:rPr>
      </w:pPr>
      <w:r>
        <w:rPr>
          <w:rFonts w:hint="eastAsia" w:ascii="仿宋" w:hAnsi="仿宋" w:eastAsia="仿宋" w:cs="仿宋"/>
          <w:bCs/>
          <w:sz w:val="24"/>
          <w:szCs w:val="24"/>
        </w:rPr>
        <w:t xml:space="preserve">4.交货地点：采购人指定地点。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5.付款条件：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（1）合同签订后，支付预付款30%；</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（2）设备安装调试完成并经采购人验收合格后支付价款的60%：</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（3）无质量问题，正常稳定运行满一年后支付剩余10%尾款。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提示：根据工业和信息化部关于印发《保障中小企业款项支付投诉处理暂行办法》的通知（工信部企业〔2021〕224 号），采购人未按合同约定支付款项的，供应商可以向有关部门投诉。</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五、售后服务要求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1、所有软件产品的质保期自本项目终验合格书签订之日起开始计算。对于应用系统开发，供应商应提供一年免费维护，7×24小时软件工程师现场维护；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项目建设期间及质保期均属于免费服务期，该期限内的所有售后服务，包括软件维护、软件升级、提供替代品等所产生的费用（不包含更换硬件的费用）均由中标人承担，免费维护期内确保使用软件为最新版本，开放所有功能授权，不含隐藏收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响应时间：供应商在响应文件中必须明确承诺售后服务响应时间，并不得低于以下标准：提供7×24电话或电子邮件服务，接到业主报修通知1小时内做出明确响应和安排，4小时内做出故障诊断报告。如需现场服务的，具有解决故障能力的工程师应在2小时内到达现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4、供应商在质保期满后应向业主提供远程通信维护（采用电话指导或远程维护终端）和现场故障抢修。</w:t>
      </w:r>
      <w:r/>
    </w:p>
    <w:p>
      <w:pPr>
        <w:rPr>
          <w:rFonts w:hint="eastAsia" w:ascii="黑体" w:hAnsi="黑体" w:eastAsia="黑体" w:cs="黑体"/>
        </w:rPr>
      </w:pPr>
      <w:r>
        <w:rPr>
          <w:rFonts w:hint="eastAsia" w:ascii="黑体" w:hAnsi="黑体" w:eastAsia="黑体" w:cs="黑体"/>
        </w:rPr>
        <w:br w:type="page" w:clear="all"/>
      </w:r>
      <w:r/>
    </w:p>
    <w:p>
      <w:pPr>
        <w:pStyle w:val="763"/>
        <w:jc w:val="center"/>
        <w:rPr>
          <w:rFonts w:hint="eastAsia" w:ascii="黑体" w:hAnsi="黑体" w:eastAsia="黑体" w:cs="黑体"/>
        </w:rPr>
      </w:pPr>
      <w:r>
        <w:rPr>
          <w:rFonts w:hint="eastAsia" w:ascii="黑体" w:hAnsi="黑体" w:eastAsia="黑体" w:cs="黑体"/>
        </w:rPr>
        <w:t xml:space="preserve">第五章  评审方法与评审标准</w:t>
      </w:r>
      <w:bookmarkEnd w:id="187"/>
      <w:r/>
      <w:r/>
    </w:p>
    <w:p>
      <w:pPr>
        <w:spacing w:line="288" w:lineRule="auto"/>
        <w:rPr>
          <w:szCs w:val="21"/>
        </w:rPr>
      </w:pPr>
      <w:r>
        <w:rPr>
          <w:szCs w:val="21"/>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一、评审方法</w:t>
      </w:r>
      <w:r/>
    </w:p>
    <w:p>
      <w:pPr>
        <w:ind w:firstLine="480"/>
        <w:spacing w:line="360" w:lineRule="auto"/>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360" w:lineRule="auto"/>
        <w:rPr>
          <w:rFonts w:hint="eastAsia" w:ascii="仿宋" w:hAnsi="仿宋" w:eastAsia="仿宋" w:cs="仿宋"/>
          <w:sz w:val="24"/>
          <w:szCs w:val="21"/>
        </w:rPr>
      </w:pPr>
      <w:r>
        <w:rPr>
          <w:rFonts w:hint="eastAsia" w:ascii="仿宋" w:hAnsi="仿宋" w:eastAsia="仿宋" w:cs="仿宋"/>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w:t>
      </w:r>
      <w:r>
        <w:rPr>
          <w:rFonts w:hint="eastAsia" w:ascii="仿宋" w:hAnsi="仿宋" w:eastAsia="仿宋" w:cs="仿宋"/>
          <w:sz w:val="24"/>
          <w:szCs w:val="24"/>
        </w:rPr>
        <w:t xml:space="preserve">三、评标标准中2.1-2.4项</w:t>
      </w:r>
      <w:r>
        <w:rPr>
          <w:rFonts w:hint="eastAsia" w:ascii="仿宋" w:hAnsi="仿宋" w:eastAsia="仿宋" w:cs="仿宋"/>
          <w:sz w:val="24"/>
          <w:szCs w:val="21"/>
        </w:rPr>
        <w:t xml:space="preserve">”</w:t>
      </w:r>
      <w:r>
        <w:rPr>
          <w:rFonts w:hint="eastAsia" w:ascii="仿宋" w:hAnsi="仿宋" w:eastAsia="仿宋" w:cs="仿宋"/>
          <w:sz w:val="24"/>
          <w:szCs w:val="24"/>
        </w:rPr>
        <w:t xml:space="preserve">得分由高到低顺序排列的</w:t>
      </w:r>
      <w:r>
        <w:rPr>
          <w:rFonts w:hint="eastAsia" w:ascii="仿宋" w:hAnsi="仿宋" w:eastAsia="仿宋" w:cs="仿宋"/>
          <w:sz w:val="24"/>
          <w:szCs w:val="21"/>
        </w:rPr>
        <w:t xml:space="preserve">顺序推荐。</w:t>
      </w:r>
      <w:r/>
    </w:p>
    <w:p>
      <w:pPr>
        <w:pStyle w:val="853"/>
        <w:ind w:left="0"/>
        <w:spacing w:line="360" w:lineRule="auto"/>
        <w:rPr>
          <w:rFonts w:hint="eastAsia" w:ascii="仿宋" w:hAnsi="仿宋" w:eastAsia="仿宋" w:cs="仿宋"/>
          <w:lang w:val="en-US"/>
        </w:rPr>
      </w:pPr>
      <w:r>
        <w:rPr>
          <w:rFonts w:hint="eastAsia" w:ascii="仿宋" w:hAnsi="仿宋" w:eastAsia="仿宋" w:cs="仿宋"/>
          <w:lang w:val="en-US"/>
        </w:rPr>
      </w:r>
      <w:r/>
    </w:p>
    <w:p>
      <w:pPr>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二、政府采购政策功能落实</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（1）本项目对小微企业产品给予</w:t>
      </w:r>
      <w:r>
        <w:rPr>
          <w:rFonts w:hint="eastAsia" w:ascii="仿宋" w:hAnsi="仿宋" w:eastAsia="仿宋" w:cs="仿宋"/>
          <w:b/>
          <w:bCs/>
          <w:sz w:val="24"/>
          <w:szCs w:val="24"/>
          <w:u w:val="single"/>
        </w:rPr>
        <w:t xml:space="preserve">10%</w:t>
      </w:r>
      <w:r>
        <w:rPr>
          <w:rFonts w:hint="eastAsia" w:ascii="仿宋" w:hAnsi="仿宋" w:eastAsia="仿宋" w:cs="仿宋"/>
          <w:sz w:val="24"/>
          <w:szCs w:val="24"/>
        </w:rPr>
        <w:t xml:space="preserve">的扣除价格，用扣除后的价格参与评审。</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（2）企业按照采购文件的要求提供相应的《中小企业声明函》。</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（3）企业标准请参照《关于印发中小企业划型标准规定的通知》（工信部联企业[2011]300号）文件规定自行填写。</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（1）本项目对残疾人福利性单位视同小型、微型企业，给予与小微企业相同的价格扣除，用扣除后的价格参与评审。</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（2）残疾人福利单位需按照采购文件的要求提供《残疾人福利性单位声明函》。</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（1）本项目对监狱和戒毒企业（简称监狱企业）视同小型、微型企业，给予与小微企业相同的价格扣除，用扣除后的价格参与评审。</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4、残疾人福利单位、监狱企业属于小型、微型企业的，不重复享受政策。上述价格扣除政策仅适用“不专门面向中小微企业采购项目”。</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5、节能产品、环境标志产品规定</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执行节能环保产品优先采购和强制采购制度。节能产品是指列入财政部、国家发展和改革委员会制定的《节能产品政府采购品目清单》（财库〔2019〕19号），且依据国家相关标准的最新版本，依据国家能效标准中二级能效（水效）指标认证的节能产品；环境标志产品是指列入财政部、生态环境部制定的《环境标志产品政府采购品目清单》（财库〔2019〕18号），且依据相关标准的最新版本认证的环境标志产品。 国家对品目清单进行调整的，按照最新调整的品目清单执行。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（2）属于政府强制采购节能产品的，供应商应当选择依据国家能效标准中二级能效（水效）指标认证的节能产品投标，并提供国家确定的认证机构出具的、处于有效期之内的节能产品认证证书。</w:t>
      </w:r>
      <w:r/>
    </w:p>
    <w:p>
      <w:pPr>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（3）属于政府优先采购节能产品和环境标志产品的，对供应商提供的国家确定的认证机构出具的、处于有效期之内的节能产品或环境标志产品认证证书，</w:t>
      </w:r>
      <w:r>
        <w:rPr>
          <w:rFonts w:hint="eastAsia" w:ascii="仿宋" w:hAnsi="仿宋" w:eastAsia="仿宋" w:cs="仿宋"/>
          <w:b/>
          <w:bCs/>
          <w:sz w:val="24"/>
          <w:szCs w:val="24"/>
        </w:rPr>
        <w:t xml:space="preserve">分别给予产品报价</w:t>
      </w:r>
      <w:r>
        <w:rPr>
          <w:rFonts w:hint="eastAsia" w:ascii="仿宋" w:hAnsi="仿宋" w:eastAsia="仿宋" w:cs="仿宋"/>
          <w:b/>
          <w:bCs/>
          <w:sz w:val="24"/>
          <w:szCs w:val="24"/>
          <w:u w:val="single"/>
        </w:rPr>
        <w:t xml:space="preserve">5%</w:t>
      </w:r>
      <w:r>
        <w:rPr>
          <w:rFonts w:hint="eastAsia" w:ascii="仿宋" w:hAnsi="仿宋" w:eastAsia="仿宋" w:cs="仿宋"/>
          <w:b/>
          <w:bCs/>
          <w:sz w:val="24"/>
          <w:szCs w:val="24"/>
        </w:rPr>
        <w:t xml:space="preserve">的扣除，用扣除后的价格参与评审</w:t>
      </w:r>
      <w:r>
        <w:rPr>
          <w:rFonts w:hint="eastAsia" w:ascii="仿宋" w:hAnsi="仿宋" w:eastAsia="仿宋" w:cs="仿宋"/>
          <w:sz w:val="24"/>
          <w:szCs w:val="24"/>
        </w:rPr>
        <w:t xml:space="preserve">。</w:t>
      </w:r>
      <w:r/>
    </w:p>
    <w:p>
      <w:pPr>
        <w:spacing w:line="360" w:lineRule="auto"/>
        <w:rPr>
          <w:rFonts w:hint="eastAsia" w:ascii="仿宋" w:hAnsi="仿宋" w:eastAsia="仿宋" w:cs="仿宋"/>
        </w:rPr>
      </w:pPr>
      <w:r>
        <w:rPr>
          <w:rFonts w:hint="eastAsia" w:ascii="仿宋" w:hAnsi="仿宋" w:eastAsia="仿宋" w:cs="仿宋"/>
          <w:sz w:val="24"/>
          <w:szCs w:val="24"/>
        </w:rPr>
        <w:t xml:space="preserve">（特别说明：节能、环保产品必须纳入“中国政府采购网http://www.ccgp.gov.cn”等官方网站“节能、环保产品查询系统”，且以提供的证书为准）。</w:t>
      </w:r>
      <w:r/>
    </w:p>
    <w:p>
      <w:pPr>
        <w:jc w:val="left"/>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6、绿色采购要求</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（2）本项目中涉及涂料、胶黏剂、油墨、清洗剂等挥发性有机物产品的，属于强制性标准的，供应商应当提供符合国家和江苏省相关VOCs 含量限制标准的产品。 </w:t>
      </w:r>
      <w:r/>
    </w:p>
    <w:p>
      <w:pPr>
        <w:jc w:val="left"/>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（3）本项目涉及的数据中心相关设备、运维服务执行《绿色数据中心政府采购需求标准》（财库〔2023〕7号）的要求，供应商应当提供符合需求标准的产品及相关服务。</w:t>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left"/>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三、评审</w:t>
      </w:r>
      <w:r>
        <w:rPr>
          <w:rFonts w:hint="eastAsia" w:ascii="仿宋" w:hAnsi="仿宋" w:eastAsia="仿宋" w:cs="仿宋"/>
          <w:b/>
          <w:sz w:val="24"/>
          <w:szCs w:val="24"/>
        </w:rPr>
        <w:t xml:space="preserve">标准</w:t>
      </w:r>
      <w:r/>
    </w:p>
    <w:tbl>
      <w:tblPr>
        <w:tblStyle w:val="77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423"/>
        <w:gridCol w:w="5948"/>
        <w:gridCol w:w="1418"/>
      </w:tblGrid>
      <w:tr>
        <w:trPr>
          <w:jc w:val="center"/>
        </w:trPr>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评分标准</w:t>
            </w:r>
            <w:r/>
          </w:p>
        </w:tc>
      </w:tr>
      <w:tr>
        <w:trPr>
          <w:jc w:val="center"/>
          <w:trHeight w:val="732"/>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价格</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采用低价优先法计算，即满足招标文件要求且投标价格最低的投标报价为评标基准价，其价格分为满分。其他投标人的价格分统一按照下列公式计算：投标报价得分=(评标基准价/投标报价)×10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10分</w:t>
            </w:r>
            <w:r/>
          </w:p>
        </w:tc>
      </w:tr>
      <w:tr>
        <w:trPr>
          <w:jc w:val="center"/>
          <w:trHeight w:val="1408"/>
        </w:trPr>
        <w:tc>
          <w:tcPr>
            <w:tcBorders>
              <w:top w:val="single" w:color="auto" w:sz="4" w:space="0"/>
              <w:left w:val="single" w:color="auto" w:sz="4" w:space="0"/>
              <w:right w:val="single" w:color="auto" w:sz="4" w:space="0"/>
            </w:tcBorders>
            <w:tcW w:w="1129" w:type="dxa"/>
            <w:vAlign w:val="center"/>
            <w:vMerge w:val="restart"/>
            <w:textDirection w:val="lrTb"/>
            <w:noWrap w:val="false"/>
          </w:tcPr>
          <w:p>
            <w:pPr>
              <w:jc w:val="left"/>
              <w:widowControl/>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专利</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为保障专科中心系统满足智能化应用投标人具有下列自主知识产权的技术专利证书：</w:t>
            </w:r>
            <w:r/>
          </w:p>
          <w:p>
            <w:pPr>
              <w:spacing w:line="360" w:lineRule="auto"/>
              <w:rPr>
                <w:rFonts w:hint="eastAsia" w:ascii="仿宋" w:hAnsi="仿宋" w:eastAsia="仿宋"/>
                <w:sz w:val="24"/>
                <w:szCs w:val="24"/>
              </w:rPr>
            </w:pPr>
            <w:r>
              <w:rPr>
                <w:rFonts w:hint="eastAsia" w:ascii="仿宋" w:hAnsi="仿宋" w:eastAsia="仿宋"/>
                <w:sz w:val="24"/>
                <w:szCs w:val="24"/>
              </w:rPr>
              <w:t xml:space="preserve">1、自然语言的语义解析方法；</w:t>
            </w:r>
            <w:r/>
          </w:p>
          <w:p>
            <w:pPr>
              <w:spacing w:line="360" w:lineRule="auto"/>
              <w:rPr>
                <w:rFonts w:hint="eastAsia" w:ascii="仿宋" w:hAnsi="仿宋" w:eastAsia="仿宋"/>
                <w:sz w:val="24"/>
                <w:szCs w:val="24"/>
              </w:rPr>
            </w:pPr>
            <w:r>
              <w:rPr>
                <w:rFonts w:hint="eastAsia" w:ascii="仿宋" w:hAnsi="仿宋" w:eastAsia="仿宋"/>
                <w:sz w:val="24"/>
                <w:szCs w:val="24"/>
              </w:rPr>
              <w:t xml:space="preserve">2、自然语言信息的处理方法；</w:t>
            </w:r>
            <w:r/>
          </w:p>
          <w:p>
            <w:pPr>
              <w:spacing w:line="360" w:lineRule="auto"/>
              <w:rPr>
                <w:rFonts w:hint="eastAsia" w:ascii="仿宋" w:hAnsi="仿宋" w:eastAsia="仿宋"/>
                <w:sz w:val="24"/>
                <w:szCs w:val="24"/>
              </w:rPr>
            </w:pPr>
            <w:r>
              <w:rPr>
                <w:rFonts w:hint="eastAsia" w:ascii="仿宋" w:hAnsi="仿宋" w:eastAsia="仿宋"/>
                <w:sz w:val="24"/>
                <w:szCs w:val="24"/>
              </w:rPr>
              <w:t xml:space="preserve">3、智能语义的检索方法；</w:t>
            </w:r>
            <w:r/>
          </w:p>
          <w:p>
            <w:pPr>
              <w:spacing w:line="360" w:lineRule="auto"/>
              <w:rPr>
                <w:rFonts w:hint="eastAsia" w:ascii="仿宋" w:hAnsi="仿宋" w:eastAsia="仿宋"/>
                <w:sz w:val="24"/>
                <w:szCs w:val="24"/>
              </w:rPr>
            </w:pPr>
            <w:r>
              <w:rPr>
                <w:rFonts w:hint="eastAsia" w:ascii="仿宋" w:hAnsi="仿宋" w:eastAsia="仿宋"/>
                <w:sz w:val="24"/>
                <w:szCs w:val="24"/>
              </w:rPr>
              <w:t xml:space="preserve">每提供一项得1分，最高得3分，未提供不得分。</w:t>
            </w:r>
            <w:r/>
          </w:p>
          <w:p>
            <w:pPr>
              <w:spacing w:line="360" w:lineRule="auto"/>
              <w:rPr>
                <w:rFonts w:hint="eastAsia" w:ascii="仿宋" w:hAnsi="仿宋" w:eastAsia="仿宋"/>
                <w:sz w:val="24"/>
                <w:szCs w:val="24"/>
              </w:rPr>
            </w:pPr>
            <w:r>
              <w:rPr>
                <w:rFonts w:hint="eastAsia" w:ascii="仿宋" w:hAnsi="仿宋" w:eastAsia="仿宋"/>
                <w:sz w:val="24"/>
                <w:szCs w:val="24"/>
              </w:rPr>
              <w:t xml:space="preserve">（提供有效证书复印件并加盖投标人公章）</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3分</w:t>
            </w:r>
            <w:r/>
          </w:p>
        </w:tc>
      </w:tr>
      <w:tr>
        <w:trPr>
          <w:jc w:val="center"/>
          <w:trHeight w:val="1408"/>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项目案例</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供应商或软件生产厂商提供自2023年1月1日以来(以合同签订时间为准),具有类似项目业绩的，每提供一个业绩得2分，最高得6分。注：提供业绩合同并加盖投标人公章。</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6分</w:t>
            </w:r>
            <w:r/>
          </w:p>
        </w:tc>
      </w:tr>
      <w:tr>
        <w:trPr>
          <w:jc w:val="center"/>
          <w:trHeight w:val="806"/>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产品技术参数</w:t>
            </w:r>
            <w:r/>
          </w:p>
        </w:tc>
        <w:tc>
          <w:tcPr>
            <w:tcBorders>
              <w:top w:val="single" w:color="auto" w:sz="4" w:space="0"/>
              <w:left w:val="single" w:color="auto" w:sz="4" w:space="0"/>
              <w:bottom w:val="single" w:color="auto" w:sz="4" w:space="0"/>
              <w:right w:val="single" w:color="auto" w:sz="4" w:space="0"/>
            </w:tcBorders>
            <w:tcW w:w="5948"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所投产品技术指标完全满足招标文件要求的得35分；</w:t>
            </w:r>
            <w:r/>
          </w:p>
          <w:p>
            <w:pP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产品技术参数全部满足招标要求的得满分35分；打▲号指标为重要指标，有一项负偏离扣2分；其他参数有一项负偏离扣1分，扣完为止。</w:t>
            </w:r>
            <w:r/>
          </w:p>
          <w:p>
            <w:pPr>
              <w:spacing w:line="360" w:lineRule="auto"/>
              <w:rPr>
                <w:rFonts w:hint="eastAsia" w:ascii="仿宋" w:hAnsi="仿宋" w:eastAsia="仿宋"/>
                <w:sz w:val="24"/>
                <w:szCs w:val="24"/>
              </w:rPr>
            </w:pPr>
            <w:r>
              <w:rPr>
                <w:rFonts w:hint="eastAsia" w:ascii="仿宋" w:hAnsi="仿宋" w:eastAsia="仿宋" w:cs="宋体"/>
                <w:bCs/>
                <w:sz w:val="24"/>
                <w:szCs w:val="24"/>
              </w:rPr>
              <w:t xml:space="preserve">注：▲参数须在投标文件中提供证明文件，且须在技术响应偏差表详尽真实的提供偏差情况及证明材料页码，否则视为负偏离。</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35分</w:t>
            </w:r>
            <w:r/>
          </w:p>
        </w:tc>
      </w:tr>
      <w:tr>
        <w:trPr>
          <w:jc w:val="center"/>
          <w:trHeight w:val="557"/>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知识图谱</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bookmarkStart w:id="300" w:name="OLE_LINK31"/>
            <w:r>
              <w:rPr>
                <w:rFonts w:hint="eastAsia" w:ascii="仿宋" w:hAnsi="仿宋" w:eastAsia="仿宋"/>
                <w:sz w:val="24"/>
                <w:szCs w:val="24"/>
              </w:rPr>
              <w:t xml:space="preserve">为保障专科中心系统数据智能化应用和管理</w:t>
            </w:r>
            <w:bookmarkEnd w:id="300"/>
            <w:r>
              <w:rPr>
                <w:rFonts w:hint="eastAsia" w:ascii="仿宋" w:hAnsi="仿宋" w:eastAsia="仿宋"/>
                <w:sz w:val="24"/>
                <w:szCs w:val="24"/>
              </w:rPr>
              <w:t xml:space="preserve">，投标人具有关于</w:t>
            </w:r>
            <w:bookmarkStart w:id="301" w:name="OLE_LINK30"/>
            <w:r>
              <w:rPr>
                <w:rFonts w:hint="eastAsia" w:ascii="仿宋" w:hAnsi="仿宋" w:eastAsia="仿宋"/>
                <w:sz w:val="24"/>
                <w:szCs w:val="24"/>
              </w:rPr>
              <w:t xml:space="preserve">医疗知识图谱</w:t>
            </w:r>
            <w:bookmarkEnd w:id="301"/>
            <w:r>
              <w:rPr>
                <w:rFonts w:hint="eastAsia" w:ascii="仿宋" w:hAnsi="仿宋" w:eastAsia="仿宋"/>
                <w:sz w:val="24"/>
                <w:szCs w:val="24"/>
              </w:rPr>
              <w:t xml:space="preserve">类检测报告的得4分，未提供不得分。（需提供复印件，并加盖投标人公章）</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4分</w:t>
            </w:r>
            <w:r/>
          </w:p>
        </w:tc>
      </w:tr>
      <w:tr>
        <w:trPr>
          <w:jc w:val="center"/>
          <w:trHeight w:val="26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项目团队能力</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供应商具备项目团队的能力、经验与人员构成：</w:t>
            </w:r>
            <w:r/>
          </w:p>
          <w:p>
            <w:pPr>
              <w:spacing w:line="360" w:lineRule="auto"/>
              <w:rPr>
                <w:rFonts w:hint="eastAsia" w:ascii="仿宋" w:hAnsi="仿宋" w:eastAsia="仿宋"/>
                <w:sz w:val="24"/>
                <w:szCs w:val="24"/>
              </w:rPr>
            </w:pPr>
            <w:r>
              <w:rPr>
                <w:rFonts w:hint="eastAsia" w:ascii="仿宋" w:hAnsi="仿宋" w:eastAsia="仿宋"/>
                <w:sz w:val="24"/>
                <w:szCs w:val="24"/>
              </w:rPr>
              <w:t xml:space="preserve">1、项目经理具有高级信息系统项目管理师职称</w:t>
            </w:r>
            <w:r/>
          </w:p>
          <w:p>
            <w:pPr>
              <w:spacing w:line="360" w:lineRule="auto"/>
              <w:rPr>
                <w:rFonts w:hint="eastAsia" w:ascii="仿宋" w:hAnsi="仿宋" w:eastAsia="仿宋"/>
                <w:sz w:val="24"/>
                <w:szCs w:val="24"/>
              </w:rPr>
            </w:pPr>
            <w:r>
              <w:rPr>
                <w:rFonts w:hint="eastAsia" w:ascii="仿宋" w:hAnsi="仿宋" w:eastAsia="仿宋"/>
                <w:sz w:val="24"/>
                <w:szCs w:val="24"/>
              </w:rPr>
              <w:t xml:space="preserve">2、项目团队中包含至少1名具备软件设计师证书</w:t>
            </w:r>
            <w:r/>
          </w:p>
          <w:p>
            <w:pPr>
              <w:spacing w:line="360" w:lineRule="auto"/>
              <w:rPr>
                <w:rFonts w:hint="eastAsia" w:ascii="仿宋" w:hAnsi="仿宋" w:eastAsia="仿宋"/>
                <w:sz w:val="24"/>
                <w:szCs w:val="24"/>
              </w:rPr>
            </w:pPr>
            <w:r>
              <w:rPr>
                <w:rFonts w:hint="eastAsia" w:ascii="仿宋" w:hAnsi="仿宋" w:eastAsia="仿宋"/>
                <w:sz w:val="24"/>
                <w:szCs w:val="24"/>
              </w:rPr>
              <w:t xml:space="preserve">3、项目团队中包含至少1名具备高级软件工程师证书</w:t>
            </w:r>
            <w:r/>
          </w:p>
          <w:p>
            <w:pPr>
              <w:spacing w:line="360" w:lineRule="auto"/>
              <w:rPr>
                <w:rFonts w:hint="eastAsia" w:ascii="仿宋" w:hAnsi="仿宋" w:eastAsia="仿宋"/>
                <w:sz w:val="24"/>
                <w:szCs w:val="24"/>
              </w:rPr>
            </w:pPr>
            <w:r>
              <w:rPr>
                <w:rFonts w:hint="eastAsia" w:ascii="仿宋" w:hAnsi="仿宋" w:eastAsia="仿宋"/>
                <w:sz w:val="24"/>
                <w:szCs w:val="24"/>
              </w:rPr>
              <w:t xml:space="preserve">4、项目团队中包含至少1名具备医师资格证书</w:t>
            </w:r>
            <w:r/>
          </w:p>
          <w:p>
            <w:pPr>
              <w:spacing w:line="360" w:lineRule="auto"/>
              <w:rPr>
                <w:rFonts w:hint="eastAsia" w:ascii="仿宋" w:hAnsi="仿宋" w:eastAsia="仿宋"/>
                <w:sz w:val="24"/>
                <w:szCs w:val="24"/>
              </w:rPr>
            </w:pPr>
            <w:r>
              <w:rPr>
                <w:rFonts w:hint="eastAsia" w:ascii="仿宋" w:hAnsi="仿宋" w:eastAsia="仿宋"/>
                <w:sz w:val="24"/>
                <w:szCs w:val="24"/>
              </w:rPr>
              <w:t xml:space="preserve">以上人员证书每提供一个得1分，最多得4分。需提供拟派项目团队成员身份证、学历证明、劳动合同、资质证书复印件及投标人为其缴纳的2025年10月以来任意一个月养老保险缴费证明材料并加盖社保中心章或社保中心参保缴费证明电子专用章并加盖投标人公章）</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4分</w:t>
            </w:r>
            <w:r/>
          </w:p>
        </w:tc>
      </w:tr>
      <w:tr>
        <w:trPr>
          <w:jc w:val="center"/>
          <w:trHeight w:val="26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项目整体方案</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评委根据供应商提供针对本项目的整体方案进行打分，内容包括但不限于：需求分析、架构设计（业务、技术架构）、系统功能、部署方案、安全设计（网络安全、保密性等）、关键技术等</w:t>
            </w:r>
            <w:r/>
          </w:p>
          <w:p>
            <w:pPr>
              <w:spacing w:line="360" w:lineRule="auto"/>
              <w:rPr>
                <w:rFonts w:hint="eastAsia" w:ascii="仿宋" w:hAnsi="仿宋" w:eastAsia="仿宋"/>
                <w:sz w:val="24"/>
                <w:szCs w:val="24"/>
              </w:rPr>
            </w:pPr>
            <w:r>
              <w:rPr>
                <w:rFonts w:hint="eastAsia" w:ascii="仿宋" w:hAnsi="仿宋" w:eastAsia="仿宋"/>
                <w:sz w:val="24"/>
                <w:szCs w:val="24"/>
              </w:rPr>
              <w:t xml:space="preserve">1、方案内容完整、合理、可行性强、针对性强的，得</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2、方案内容较完整、较合理、可行性较强、针对性较强的，得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3、方案内容粗略、可行性一般的，得2分；</w:t>
            </w:r>
            <w:r/>
          </w:p>
          <w:p>
            <w:pPr>
              <w:spacing w:line="360" w:lineRule="auto"/>
              <w:rPr>
                <w:rFonts w:hint="eastAsia" w:ascii="仿宋" w:hAnsi="仿宋" w:eastAsia="仿宋"/>
                <w:sz w:val="24"/>
                <w:szCs w:val="24"/>
              </w:rPr>
            </w:pPr>
            <w:r/>
            <w:bookmarkStart w:id="302" w:name="OLE_LINK22"/>
            <w:r>
              <w:rPr>
                <w:rFonts w:hint="eastAsia" w:ascii="仿宋" w:hAnsi="仿宋" w:eastAsia="仿宋"/>
                <w:sz w:val="24"/>
                <w:szCs w:val="24"/>
              </w:rPr>
              <w:t xml:space="preserve">4、方案缺漏严重，不能满足要求或未提供方案的不得分。</w:t>
            </w:r>
            <w:bookmarkEnd w:id="302"/>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tc>
      </w:tr>
      <w:tr>
        <w:trPr>
          <w:jc w:val="center"/>
          <w:trHeight w:val="26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进度保障和质量保障方案</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评委根据供应商提供的本项目进度保障和质量保障方案进行综合评分：</w:t>
            </w:r>
            <w:r/>
          </w:p>
          <w:p>
            <w:pPr>
              <w:spacing w:line="360" w:lineRule="auto"/>
              <w:rPr>
                <w:rFonts w:hint="eastAsia" w:ascii="仿宋" w:hAnsi="仿宋" w:eastAsia="仿宋"/>
                <w:sz w:val="24"/>
                <w:szCs w:val="24"/>
              </w:rPr>
            </w:pPr>
            <w:r>
              <w:rPr>
                <w:rFonts w:hint="eastAsia" w:ascii="仿宋" w:hAnsi="仿宋" w:eastAsia="仿宋"/>
                <w:sz w:val="24"/>
                <w:szCs w:val="24"/>
              </w:rPr>
              <w:t xml:space="preserve">1、方案全面，实施进度控制、质量管理、验收方案科学合理得</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2、方案较全面，实施进度控制、质量管理、验收方案较科学合理，得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3、方案包含基本内容，实施进度控制、质量管理、验收方案基本满足需求，得2分；</w:t>
            </w:r>
            <w:r/>
          </w:p>
          <w:p>
            <w:pPr>
              <w:spacing w:line="360" w:lineRule="auto"/>
              <w:rPr>
                <w:rFonts w:hint="eastAsia" w:ascii="仿宋" w:hAnsi="仿宋" w:eastAsia="仿宋"/>
                <w:sz w:val="24"/>
                <w:szCs w:val="24"/>
              </w:rPr>
            </w:pPr>
            <w:r>
              <w:rPr>
                <w:rFonts w:hint="eastAsia" w:ascii="仿宋" w:hAnsi="仿宋" w:eastAsia="仿宋"/>
                <w:sz w:val="24"/>
                <w:szCs w:val="24"/>
              </w:rPr>
              <w:t xml:space="preserve">4、</w:t>
            </w:r>
            <w:bookmarkStart w:id="303" w:name="OLE_LINK21"/>
            <w:r>
              <w:rPr>
                <w:rFonts w:hint="eastAsia" w:ascii="仿宋" w:hAnsi="仿宋" w:eastAsia="仿宋"/>
                <w:sz w:val="24"/>
                <w:szCs w:val="24"/>
              </w:rPr>
              <w:t xml:space="preserve">方案缺漏严重，实施进度控制、质量管理、验收方案不能满足要求或未提供实施方案的不得分。</w:t>
            </w:r>
            <w:bookmarkEnd w:id="303"/>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tc>
      </w:tr>
      <w:tr>
        <w:trPr>
          <w:jc w:val="center"/>
          <w:trHeight w:val="26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项目实施方案</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评委根据供应商提供针对本项目的实施方案(包括但不限于项目详细实施计划、人员组织保障、测试方案等)综合评分：</w:t>
            </w:r>
            <w:r/>
          </w:p>
          <w:p>
            <w:pPr>
              <w:spacing w:line="360" w:lineRule="auto"/>
              <w:rPr>
                <w:rFonts w:hint="eastAsia" w:ascii="仿宋" w:hAnsi="仿宋" w:eastAsia="仿宋"/>
                <w:sz w:val="24"/>
                <w:szCs w:val="24"/>
              </w:rPr>
            </w:pPr>
            <w:r>
              <w:rPr>
                <w:rFonts w:hint="eastAsia" w:ascii="仿宋" w:hAnsi="仿宋" w:eastAsia="仿宋"/>
                <w:sz w:val="24"/>
                <w:szCs w:val="24"/>
              </w:rPr>
              <w:t xml:space="preserve">1、方案详细、完整，科学合理，思路清晰，对项目认识到位、实施计划详细、人员配备合理、可操作性强，完全满足采购需求，得</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2、方案基本合理，思路略有瑕疵，对项目认识略有欠缺、实施计划较详细、人员配备较合理、可操作性较强，基本满足采购需求，得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3、方案内容有缺失，对项目认识不到位、实施计划一般、人员配备不合理、可操作性不强，得2分；</w:t>
            </w:r>
            <w:r/>
          </w:p>
          <w:p>
            <w:pPr>
              <w:spacing w:line="360" w:lineRule="auto"/>
              <w:rPr>
                <w:rFonts w:hint="eastAsia" w:ascii="仿宋" w:hAnsi="仿宋" w:eastAsia="仿宋"/>
                <w:sz w:val="24"/>
                <w:szCs w:val="24"/>
              </w:rPr>
            </w:pPr>
            <w:r>
              <w:rPr>
                <w:rFonts w:hint="eastAsia" w:ascii="仿宋" w:hAnsi="仿宋" w:eastAsia="仿宋"/>
                <w:sz w:val="24"/>
                <w:szCs w:val="24"/>
              </w:rPr>
              <w:t xml:space="preserve">4、</w:t>
            </w:r>
            <w:bookmarkStart w:id="304" w:name="OLE_LINK23"/>
            <w:r>
              <w:rPr>
                <w:rFonts w:hint="eastAsia" w:ascii="仿宋" w:hAnsi="仿宋" w:eastAsia="仿宋"/>
                <w:sz w:val="24"/>
                <w:szCs w:val="24"/>
              </w:rPr>
              <w:t xml:space="preserve">方案缺漏严重，不能满足要求或未提供方案的不得分。</w:t>
            </w:r>
            <w:bookmarkEnd w:id="304"/>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tc>
      </w:tr>
      <w:tr>
        <w:trPr>
          <w:jc w:val="center"/>
          <w:trHeight w:val="26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项目培训方案</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评委根据供应商提供的培训方案（包含但不限于以下内容：培训人员数量、培训内容、培训时间）综合评分：</w:t>
            </w:r>
            <w:r/>
          </w:p>
          <w:p>
            <w:pPr>
              <w:spacing w:line="360" w:lineRule="auto"/>
              <w:rPr>
                <w:rFonts w:hint="eastAsia" w:ascii="仿宋" w:hAnsi="仿宋" w:eastAsia="仿宋"/>
                <w:sz w:val="24"/>
                <w:szCs w:val="24"/>
              </w:rPr>
            </w:pPr>
            <w:r>
              <w:rPr>
                <w:rFonts w:hint="eastAsia" w:ascii="仿宋" w:hAnsi="仿宋" w:eastAsia="仿宋"/>
                <w:sz w:val="24"/>
                <w:szCs w:val="24"/>
              </w:rPr>
              <w:t xml:space="preserve">1、培训方案内容完整、科学有效、完全满足采购人需求的得</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2、培训方案内容一般、基本满足采购人需求的得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w:t>
            </w:r>
            <w:r/>
          </w:p>
          <w:p>
            <w:pPr>
              <w:spacing w:line="360" w:lineRule="auto"/>
              <w:rPr>
                <w:rFonts w:hint="eastAsia" w:ascii="仿宋" w:hAnsi="仿宋" w:eastAsia="仿宋"/>
                <w:sz w:val="24"/>
                <w:szCs w:val="24"/>
              </w:rPr>
            </w:pPr>
            <w:r>
              <w:rPr>
                <w:rFonts w:hint="eastAsia" w:ascii="仿宋" w:hAnsi="仿宋" w:eastAsia="仿宋"/>
                <w:sz w:val="24"/>
                <w:szCs w:val="24"/>
              </w:rPr>
              <w:t xml:space="preserve">3、培训方案内容有缺漏、不能很好满足采购人需求的得2分；</w:t>
            </w:r>
            <w:r/>
          </w:p>
          <w:p>
            <w:pPr>
              <w:spacing w:line="360" w:lineRule="auto"/>
              <w:rPr>
                <w:rFonts w:hint="eastAsia" w:ascii="仿宋" w:hAnsi="仿宋" w:eastAsia="仿宋"/>
                <w:sz w:val="24"/>
                <w:szCs w:val="24"/>
              </w:rPr>
            </w:pPr>
            <w:r>
              <w:rPr>
                <w:rFonts w:hint="eastAsia" w:ascii="仿宋" w:hAnsi="仿宋" w:eastAsia="仿宋"/>
                <w:sz w:val="24"/>
                <w:szCs w:val="24"/>
              </w:rPr>
              <w:t xml:space="preserve">4、</w:t>
            </w:r>
            <w:bookmarkStart w:id="305" w:name="OLE_LINK28"/>
            <w:r>
              <w:rPr>
                <w:rFonts w:hint="eastAsia" w:ascii="仿宋" w:hAnsi="仿宋" w:eastAsia="仿宋"/>
                <w:sz w:val="24"/>
                <w:szCs w:val="24"/>
              </w:rPr>
              <w:t xml:space="preserve">方案缺漏严重，不能满足要求或未提供方案的不得分。</w:t>
            </w:r>
            <w:bookmarkEnd w:id="305"/>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8分</w:t>
            </w:r>
            <w:r/>
          </w:p>
        </w:tc>
      </w:tr>
      <w:tr>
        <w:trPr>
          <w:jc w:val="center"/>
          <w:trHeight w:val="26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ind w:right="34"/>
              <w:spacing w:line="360" w:lineRule="auto"/>
              <w:rPr>
                <w:rFonts w:hint="eastAsia" w:ascii="仿宋" w:hAnsi="仿宋" w:eastAsia="仿宋"/>
                <w:sz w:val="24"/>
                <w:szCs w:val="24"/>
              </w:rPr>
            </w:pPr>
            <w:r>
              <w:rPr>
                <w:rFonts w:hint="eastAsia" w:ascii="仿宋" w:hAnsi="仿宋" w:eastAsia="仿宋"/>
                <w:sz w:val="24"/>
                <w:szCs w:val="24"/>
              </w:rPr>
              <w:t xml:space="preserve">评委根据供应商提供的售后服务方案(包括售后服务保障体系、应急技术支持、培训计划、服务响应时间承诺、服务内容等)综合评分：</w:t>
            </w:r>
            <w:r/>
          </w:p>
          <w:p>
            <w:pPr>
              <w:ind w:right="34"/>
              <w:spacing w:line="360" w:lineRule="auto"/>
              <w:rPr>
                <w:rFonts w:hint="eastAsia" w:ascii="仿宋" w:hAnsi="仿宋" w:eastAsia="仿宋"/>
                <w:sz w:val="24"/>
                <w:szCs w:val="24"/>
              </w:rPr>
            </w:pPr>
            <w:r>
              <w:rPr>
                <w:rFonts w:hint="eastAsia" w:ascii="仿宋" w:hAnsi="仿宋" w:eastAsia="仿宋"/>
                <w:sz w:val="24"/>
                <w:szCs w:val="24"/>
              </w:rPr>
              <w:t xml:space="preserve">1、方案完整、科学合理、</w:t>
            </w:r>
            <w:bookmarkStart w:id="306" w:name="OLE_LINK26"/>
            <w:r>
              <w:rPr>
                <w:rFonts w:hint="eastAsia" w:ascii="仿宋" w:hAnsi="仿宋" w:eastAsia="仿宋"/>
                <w:sz w:val="24"/>
                <w:szCs w:val="24"/>
              </w:rPr>
              <w:t xml:space="preserve">完全符合采购人要求</w:t>
            </w:r>
            <w:bookmarkEnd w:id="306"/>
            <w:r>
              <w:rPr>
                <w:rFonts w:hint="eastAsia" w:ascii="仿宋" w:hAnsi="仿宋" w:eastAsia="仿宋"/>
                <w:sz w:val="24"/>
                <w:szCs w:val="24"/>
              </w:rPr>
              <w:t xml:space="preserve">、切实可行的得6分；</w:t>
            </w:r>
            <w:r/>
          </w:p>
          <w:p>
            <w:pPr>
              <w:ind w:right="34"/>
              <w:spacing w:line="360" w:lineRule="auto"/>
              <w:rPr>
                <w:rFonts w:hint="eastAsia" w:ascii="仿宋" w:hAnsi="仿宋" w:eastAsia="仿宋"/>
                <w:sz w:val="24"/>
                <w:szCs w:val="24"/>
              </w:rPr>
            </w:pPr>
            <w:r>
              <w:rPr>
                <w:rFonts w:hint="eastAsia" w:ascii="仿宋" w:hAnsi="仿宋" w:eastAsia="仿宋"/>
                <w:sz w:val="24"/>
                <w:szCs w:val="24"/>
              </w:rPr>
              <w:t xml:space="preserve">2、方案较完整、较科学合理、</w:t>
            </w:r>
            <w:bookmarkStart w:id="307" w:name="OLE_LINK27"/>
            <w:r>
              <w:rPr>
                <w:rFonts w:hint="eastAsia" w:ascii="仿宋" w:hAnsi="仿宋" w:eastAsia="仿宋"/>
                <w:sz w:val="24"/>
                <w:szCs w:val="24"/>
              </w:rPr>
              <w:t xml:space="preserve">基本符合采购人要求</w:t>
            </w:r>
            <w:bookmarkEnd w:id="307"/>
            <w:r>
              <w:rPr>
                <w:rFonts w:hint="eastAsia" w:ascii="仿宋" w:hAnsi="仿宋" w:eastAsia="仿宋"/>
                <w:sz w:val="24"/>
                <w:szCs w:val="24"/>
              </w:rPr>
              <w:t xml:space="preserve">、较切实可行的得4分；</w:t>
            </w:r>
            <w:r/>
          </w:p>
          <w:p>
            <w:pPr>
              <w:ind w:right="34"/>
              <w:spacing w:line="360" w:lineRule="auto"/>
              <w:rPr>
                <w:rFonts w:hint="eastAsia" w:ascii="仿宋" w:hAnsi="仿宋" w:eastAsia="仿宋"/>
                <w:sz w:val="24"/>
                <w:szCs w:val="24"/>
              </w:rPr>
            </w:pPr>
            <w:r>
              <w:rPr>
                <w:rFonts w:hint="eastAsia" w:ascii="仿宋" w:hAnsi="仿宋" w:eastAsia="仿宋"/>
                <w:sz w:val="24"/>
                <w:szCs w:val="24"/>
              </w:rPr>
              <w:t xml:space="preserve">3、方案具有基本内容，基本合理，不能很好满足采购人要求、基本可行的得2分；</w:t>
            </w:r>
            <w:r/>
          </w:p>
          <w:p>
            <w:pPr>
              <w:ind w:right="34"/>
              <w:spacing w:line="360" w:lineRule="auto"/>
              <w:rPr>
                <w:rFonts w:hint="eastAsia" w:ascii="仿宋" w:hAnsi="仿宋" w:eastAsia="仿宋"/>
                <w:sz w:val="24"/>
                <w:szCs w:val="24"/>
              </w:rPr>
            </w:pPr>
            <w:r>
              <w:rPr>
                <w:rFonts w:hint="eastAsia" w:ascii="仿宋" w:hAnsi="仿宋" w:eastAsia="仿宋"/>
                <w:sz w:val="24"/>
                <w:szCs w:val="24"/>
              </w:rPr>
              <w:t xml:space="preserve">4、方案缺漏严重，不能满足要求或未提供方案的不得分。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6分</w:t>
            </w:r>
            <w:r/>
          </w:p>
        </w:tc>
      </w:tr>
    </w:tbl>
    <w:p>
      <w:pPr>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Cs/>
          <w:sz w:val="44"/>
          <w:szCs w:val="28"/>
        </w:rPr>
      </w:pPr>
      <w:r>
        <w:rPr>
          <w:rFonts w:hint="eastAsia"/>
        </w:rPr>
        <w:br w:type="page" w:clear="all"/>
      </w:r>
      <w:bookmarkStart w:id="308" w:name="_Toc1557"/>
      <w:r>
        <w:rPr>
          <w:rStyle w:val="854"/>
          <w:rFonts w:hint="eastAsia" w:ascii="仿宋" w:hAnsi="仿宋" w:eastAsia="仿宋" w:cs="仿宋"/>
        </w:rPr>
        <w:t xml:space="preserve">第六章  </w:t>
      </w:r>
      <w:bookmarkEnd w:id="185"/>
      <w:r/>
      <w:bookmarkEnd w:id="186"/>
      <w:r/>
      <w:bookmarkEnd w:id="188"/>
      <w:r>
        <w:rPr>
          <w:rStyle w:val="854"/>
          <w:rFonts w:hint="eastAsia" w:ascii="仿宋" w:hAnsi="仿宋" w:eastAsia="仿宋" w:cs="仿宋"/>
        </w:rPr>
        <w:t xml:space="preserve">响应文件格式</w:t>
      </w:r>
      <w:bookmarkEnd w:id="308"/>
      <w:r/>
      <w:r/>
    </w:p>
    <w:p>
      <w:pPr>
        <w:jc w:val="center"/>
        <w:rPr>
          <w:rFonts w:hint="eastAsia" w:ascii="仿宋" w:hAnsi="仿宋" w:eastAsia="仿宋" w:cs="仿宋"/>
          <w:b/>
          <w:sz w:val="72"/>
          <w:szCs w:val="21"/>
        </w:rPr>
      </w:pPr>
      <w:r/>
      <w:bookmarkStart w:id="309" w:name="_Hlt26671244"/>
      <w:r/>
      <w:bookmarkEnd w:id="309"/>
      <w:r/>
      <w:bookmarkStart w:id="310" w:name="_Hlt26955039"/>
      <w:r/>
      <w:bookmarkEnd w:id="310"/>
      <w:r/>
      <w:bookmarkStart w:id="311" w:name="_Toc49090576"/>
      <w:r/>
      <w:bookmarkStart w:id="312" w:name="_Toc26554094"/>
      <w:r/>
      <w:bookmarkStart w:id="313" w:name="_Toc120614282"/>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jc w:val="center"/>
        <w:rPr>
          <w:rFonts w:hint="eastAsia" w:ascii="仿宋" w:hAnsi="仿宋" w:eastAsia="仿宋" w:cs="仿宋"/>
          <w:b/>
          <w:bCs/>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一、供应商信用承诺函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三、磋商响应函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四、磋商报价表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五、中小企业声明函（如有）</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六、残疾人福利性单位声明函（如有）</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七、技术要求响应及偏离表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八、商务要求响应及偏离表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rFonts w:hint="eastAsia" w:ascii="仿宋" w:hAnsi="仿宋" w:eastAsia="仿宋" w:cs="仿宋"/>
          <w:i/>
          <w:sz w:val="32"/>
          <w:szCs w:val="32"/>
          <w:u w:val="single"/>
        </w:rPr>
      </w:pPr>
      <w:r>
        <w:rPr>
          <w:rFonts w:hint="eastAsia" w:ascii="仿宋" w:hAnsi="仿宋" w:eastAsia="仿宋" w:cs="仿宋"/>
          <w:i/>
          <w:sz w:val="32"/>
          <w:szCs w:val="32"/>
          <w:u w:val="single"/>
        </w:rPr>
        <w:br w:type="page" w:clear="all"/>
      </w:r>
      <w:r>
        <w:rPr>
          <w:rFonts w:hint="eastAsia" w:ascii="仿宋" w:hAnsi="仿宋" w:eastAsia="仿宋" w:cs="仿宋"/>
          <w:i/>
          <w:sz w:val="32"/>
          <w:szCs w:val="32"/>
          <w:u w:val="single"/>
        </w:rPr>
        <w:t xml:space="preserve">一、供应商信用承诺函</w:t>
      </w:r>
      <w:r/>
    </w:p>
    <w:p>
      <w:pPr>
        <w:jc w:val="center"/>
        <w:spacing w:line="360" w:lineRule="auto"/>
        <w:rPr>
          <w:rFonts w:hint="eastAsia" w:ascii="仿宋" w:hAnsi="仿宋" w:eastAsia="仿宋" w:cs="仿宋"/>
          <w:color w:val="000000"/>
          <w:sz w:val="32"/>
          <w:szCs w:val="32"/>
          <w:lang w:val="zh-CN"/>
        </w:rPr>
        <w:outlineLvl w:val="0"/>
      </w:pPr>
      <w:r/>
      <w:bookmarkStart w:id="314" w:name="_Toc19276"/>
      <w:r>
        <w:rPr>
          <w:rFonts w:hint="eastAsia" w:ascii="仿宋" w:hAnsi="仿宋" w:eastAsia="仿宋" w:cs="仿宋"/>
          <w:color w:val="000000"/>
          <w:sz w:val="32"/>
          <w:szCs w:val="32"/>
          <w:lang w:val="zh-CN"/>
        </w:rPr>
        <w:t xml:space="preserve">供应商信用承诺函</w:t>
      </w:r>
      <w:bookmarkEnd w:id="314"/>
      <w:r/>
      <w:r/>
    </w:p>
    <w:p>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南京市公共资源交易中心浦口分中心：</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我公司（供应商名称）郑重承诺：</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我公司符合下列要求：</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(一)具有独立承担民事责任的能力；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(二)具有良好的商业信誉和健全的财务会计制度；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(三)具有履行合同所必需的设备和专业技术能力；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(四)有依法缴纳税收和社会保障资金的良好记录；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(五)参加政府采购活动前三年内，在经营活动中没有重大违法记录。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如果我公司中标（成交），将在中标（成交）结果公示后七个工作日内向采购人提供下列材料核验：</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（1）营业执照副本或事业单位法人登记证书；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（3）履行合同所必需的设备和专业技术能力证明材料；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87"/>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供应商名称：（加盖CA电子公章）</w:t>
      </w:r>
      <w:r/>
    </w:p>
    <w:p>
      <w:pPr>
        <w:ind w:firstLine="576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  期：年___月___日</w:t>
      </w:r>
      <w:r/>
    </w:p>
    <w:p>
      <w:pPr>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说明：执行南京市财政局《关于在政府采购活动中推行信用承诺制的通知》（宁财购通</w:t>
      </w:r>
      <w:r>
        <w:rPr>
          <w:rFonts w:hint="eastAsia" w:ascii="仿宋" w:hAnsi="仿宋" w:eastAsia="仿宋" w:cs="仿宋"/>
          <w:b/>
          <w:bCs/>
          <w:szCs w:val="21"/>
          <w:lang w:val="zh-CN"/>
        </w:rPr>
        <w:t xml:space="preserve">〔202</w:t>
      </w:r>
      <w:r>
        <w:rPr>
          <w:rFonts w:hint="eastAsia" w:ascii="仿宋" w:hAnsi="仿宋" w:eastAsia="仿宋" w:cs="仿宋"/>
          <w:b/>
          <w:bCs/>
          <w:szCs w:val="21"/>
        </w:rPr>
        <w:t xml:space="preserve">1</w:t>
      </w:r>
      <w:r>
        <w:rPr>
          <w:rFonts w:hint="eastAsia" w:ascii="仿宋" w:hAnsi="仿宋" w:eastAsia="仿宋" w:cs="仿宋"/>
          <w:b/>
          <w:bCs/>
          <w:szCs w:val="21"/>
          <w:lang w:val="zh-CN"/>
        </w:rPr>
        <w:t xml:space="preserve">〕5号</w:t>
      </w:r>
      <w:r>
        <w:rPr>
          <w:rFonts w:hint="eastAsia" w:ascii="仿宋" w:hAnsi="仿宋" w:eastAsia="仿宋" w:cs="仿宋"/>
          <w:b/>
          <w:bCs/>
          <w:szCs w:val="21"/>
        </w:rPr>
        <w:t xml:space="preserve">）要求。</w:t>
      </w:r>
      <w:bookmarkEnd w:id="311"/>
      <w:r/>
      <w:bookmarkEnd w:id="312"/>
      <w:r/>
      <w:bookmarkEnd w:id="313"/>
      <w:r/>
      <w:r/>
    </w:p>
    <w:p>
      <w:pPr>
        <w:pStyle w:val="853"/>
        <w:rPr>
          <w:rFonts w:hint="eastAsia" w:ascii="仿宋" w:hAnsi="仿宋" w:eastAsia="仿宋" w:cs="仿宋"/>
        </w:rPr>
      </w:pPr>
      <w:r>
        <w:rPr>
          <w:rFonts w:hint="eastAsia" w:ascii="仿宋" w:hAnsi="仿宋" w:eastAsia="仿宋" w:cs="仿宋"/>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bookmarkStart w:id="315" w:name="_Toc120614284"/>
      <w:r>
        <w:rPr>
          <w:rFonts w:hint="eastAsia" w:ascii="仿宋" w:hAnsi="仿宋" w:eastAsia="仿宋" w:cs="仿宋"/>
          <w:i/>
          <w:sz w:val="32"/>
          <w:szCs w:val="32"/>
          <w:u w:val="single"/>
        </w:rPr>
        <w:t xml:space="preserve">二、法人授权书</w:t>
      </w:r>
      <w:r/>
    </w:p>
    <w:p>
      <w:pPr>
        <w:jc w:val="center"/>
        <w:spacing w:line="360" w:lineRule="auto"/>
        <w:rPr>
          <w:rFonts w:hint="eastAsia" w:ascii="仿宋" w:hAnsi="仿宋" w:eastAsia="仿宋" w:cs="仿宋"/>
          <w:color w:val="000000"/>
          <w:sz w:val="32"/>
          <w:szCs w:val="32"/>
          <w:lang w:val="zh-CN"/>
        </w:rPr>
        <w:outlineLvl w:val="0"/>
      </w:pPr>
      <w:r/>
      <w:bookmarkStart w:id="316" w:name="_Toc14148"/>
      <w:r>
        <w:rPr>
          <w:rFonts w:hint="eastAsia" w:ascii="仿宋" w:hAnsi="仿宋" w:eastAsia="仿宋" w:cs="仿宋"/>
          <w:color w:val="000000"/>
          <w:sz w:val="32"/>
          <w:szCs w:val="32"/>
          <w:lang w:val="zh-CN"/>
        </w:rPr>
        <w:t xml:space="preserve">法人授权书</w:t>
      </w:r>
      <w:bookmarkEnd w:id="316"/>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号项目采购活动的合法代理人，以本单位名义全权处理一切与该项目采购有关的事务。</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p>
    <w:p>
      <w:pPr>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317" w:name="_Hlt26955070"/>
      <w:r/>
      <w:bookmarkEnd w:id="317"/>
      <w:r/>
      <w:bookmarkStart w:id="318" w:name="_格式3__银行出具的资信证明"/>
      <w:r/>
      <w:bookmarkEnd w:id="318"/>
      <w:r/>
      <w:bookmarkStart w:id="319" w:name="_Hlt26671380"/>
      <w:r/>
      <w:bookmarkEnd w:id="319"/>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53"/>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53"/>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53"/>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53"/>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53"/>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53"/>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jc w:val="left"/>
        <w:rPr>
          <w:rFonts w:hint="eastAsia" w:ascii="仿宋" w:hAnsi="仿宋" w:eastAsia="仿宋" w:cs="仿宋"/>
          <w:bCs/>
          <w:i/>
          <w:sz w:val="32"/>
          <w:szCs w:val="32"/>
          <w:u w:val="single"/>
        </w:rPr>
      </w:pPr>
      <w:r>
        <w:rPr>
          <w:rFonts w:hint="eastAsia" w:ascii="仿宋" w:hAnsi="仿宋" w:eastAsia="仿宋" w:cs="仿宋"/>
          <w:i/>
          <w:sz w:val="32"/>
          <w:szCs w:val="32"/>
          <w:u w:val="single"/>
        </w:rPr>
        <w:t xml:space="preserve">三、磋商响应函</w:t>
      </w:r>
      <w:r/>
    </w:p>
    <w:p>
      <w:pPr>
        <w:jc w:val="center"/>
        <w:spacing w:line="360" w:lineRule="auto"/>
        <w:rPr>
          <w:rFonts w:hint="eastAsia" w:ascii="仿宋" w:hAnsi="仿宋" w:eastAsia="仿宋" w:cs="仿宋"/>
          <w:b/>
          <w:i/>
          <w:sz w:val="32"/>
          <w:szCs w:val="32"/>
          <w:u w:val="single"/>
        </w:rPr>
        <w:outlineLvl w:val="0"/>
      </w:pPr>
      <w:r/>
      <w:bookmarkStart w:id="320" w:name="_Toc24498"/>
      <w:r>
        <w:rPr>
          <w:rFonts w:hint="eastAsia" w:ascii="仿宋" w:hAnsi="仿宋" w:eastAsia="仿宋" w:cs="仿宋"/>
          <w:color w:val="000000"/>
          <w:sz w:val="32"/>
          <w:szCs w:val="32"/>
        </w:rPr>
        <w:t xml:space="preserve">磋商响应函</w:t>
      </w:r>
      <w:bookmarkEnd w:id="320"/>
      <w:r/>
      <w:r/>
    </w:p>
    <w:p>
      <w:pPr>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致：南京市公共资源交易中心浦口分中心</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                  </w:t>
      </w:r>
      <w:r>
        <w:rPr>
          <w:rFonts w:hint="eastAsia" w:ascii="仿宋" w:hAnsi="仿宋" w:eastAsia="仿宋" w:cs="仿宋"/>
          <w:sz w:val="24"/>
          <w:szCs w:val="21"/>
          <w:lang w:val="zh-CN"/>
        </w:rPr>
        <w:t xml:space="preserve">（项目编号）</w:t>
      </w:r>
      <w:r>
        <w:rPr>
          <w:rFonts w:hint="eastAsia" w:ascii="仿宋" w:hAnsi="仿宋" w:eastAsia="仿宋" w:cs="仿宋"/>
          <w:sz w:val="24"/>
          <w:szCs w:val="21"/>
        </w:rPr>
        <w:t xml:space="preserve">磋商文件，正式授权下述签字人______(姓名)代表我方（供应商的名称），全权处理本次项目磋商的有关事宜。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据此函，签字人兹宣布同意如下：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7.我方为：¨大型企业¨中型企业¨小型企业 ¨微型企业（对应¨</w:t>
      </w:r>
      <w:r>
        <w:rPr>
          <w:rFonts w:hint="eastAsia" w:ascii="仿宋" w:hAnsi="仿宋" w:eastAsia="仿宋" w:cs="仿宋"/>
          <w:sz w:val="24"/>
          <w:szCs w:val="24"/>
          <w:lang w:val="zh-CN"/>
        </w:rPr>
        <w:t xml:space="preserve">上打“√”</w:t>
      </w:r>
      <w:r>
        <w:rPr>
          <w:rFonts w:hint="eastAsia" w:ascii="仿宋" w:hAnsi="仿宋" w:eastAsia="仿宋" w:cs="仿宋"/>
          <w:sz w:val="24"/>
          <w:szCs w:val="24"/>
        </w:rPr>
        <w:t xml:space="preserve">）</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8.我方与本磋商有关的正式通讯地址为：</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供应商名称：</w:t>
      </w:r>
      <w:r>
        <w:rPr>
          <w:rFonts w:hint="eastAsia" w:ascii="仿宋" w:hAnsi="仿宋" w:eastAsia="仿宋" w:cs="仿宋"/>
          <w:szCs w:val="21"/>
          <w:u w:val="single"/>
        </w:rPr>
        <w:t xml:space="preserve">（加盖CA电子公章）</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地      址：</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邮      编：</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电      话：</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传      真：</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供应商开户行：</w:t>
      </w:r>
      <w:r/>
    </w:p>
    <w:p>
      <w:pPr>
        <w:pStyle w:val="1060"/>
        <w:ind w:left="42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账      号：</w:t>
      </w:r>
      <w:r/>
    </w:p>
    <w:p>
      <w:pPr>
        <w:pStyle w:val="1060"/>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日      期：年月日</w:t>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4"/>
          <w:szCs w:val="20"/>
        </w:rPr>
      </w:pPr>
      <w:r>
        <w:rPr>
          <w:rFonts w:hint="eastAsia" w:ascii="仿宋" w:hAnsi="仿宋" w:eastAsia="仿宋" w:cs="仿宋"/>
          <w:i/>
          <w:sz w:val="32"/>
          <w:szCs w:val="32"/>
          <w:u w:val="single"/>
        </w:rPr>
        <w:br w:type="page" w:clear="all"/>
      </w:r>
      <w:r>
        <w:rPr>
          <w:rFonts w:hint="eastAsia" w:ascii="仿宋" w:hAnsi="仿宋" w:eastAsia="仿宋" w:cs="仿宋"/>
          <w:i/>
          <w:sz w:val="32"/>
          <w:szCs w:val="32"/>
          <w:u w:val="single"/>
        </w:rPr>
        <w:t xml:space="preserve">四、磋商报价表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项目编号：                                   </w:t>
      </w:r>
      <w:r/>
    </w:p>
    <w:tbl>
      <w:tblPr>
        <w:tblStyle w:val="77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2735"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项目内容</w:t>
            </w:r>
            <w:r/>
          </w:p>
        </w:tc>
        <w:tc>
          <w:tcPr>
            <w:tcW w:w="2736"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总价（小写）</w:t>
            </w:r>
            <w:r/>
          </w:p>
        </w:tc>
      </w:tr>
      <w:tr>
        <w:trPr>
          <w:cantSplit/>
          <w:trHeight w:val="725"/>
        </w:trPr>
        <w:tc>
          <w:tcPr>
            <w:tcW w:w="2735"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2735"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详见响应文件</w:t>
            </w:r>
            <w:r/>
          </w:p>
        </w:tc>
        <w:tc>
          <w:tcPr>
            <w:tcW w:w="2736"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r>
      <w:tr>
        <w:trPr>
          <w:cantSplit/>
          <w:trHeight w:val="725"/>
        </w:trPr>
        <w:tc>
          <w:tcPr>
            <w:tcW w:w="2735"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总价（大写）：</w:t>
            </w:r>
            <w:r/>
          </w:p>
        </w:tc>
        <w:tc>
          <w:tcPr>
            <w:gridSpan w:val="2"/>
            <w:tcW w:w="5471"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供应商名称（电子签章）年月日</w:t>
      </w:r>
      <w:r/>
    </w:p>
    <w:p>
      <w:pPr>
        <w:ind w:firstLine="480"/>
        <w:rPr>
          <w:rFonts w:hint="eastAsia" w:ascii="仿宋" w:hAnsi="仿宋" w:eastAsia="仿宋" w:cs="仿宋"/>
          <w:b/>
          <w:i/>
          <w:sz w:val="32"/>
          <w:szCs w:val="32"/>
          <w:u w:val="single"/>
        </w:rPr>
      </w:pPr>
      <w:r>
        <w:rPr>
          <w:rFonts w:hint="eastAsia" w:ascii="仿宋" w:hAnsi="仿宋" w:eastAsia="仿宋" w:cs="仿宋"/>
          <w:b/>
          <w:i/>
          <w:sz w:val="32"/>
          <w:szCs w:val="32"/>
          <w:u w:val="single"/>
        </w:rPr>
      </w:r>
      <w:r/>
    </w:p>
    <w:p>
      <w:pPr>
        <w:rPr>
          <w:rFonts w:hint="eastAsia" w:ascii="仿宋" w:hAnsi="仿宋" w:eastAsia="仿宋" w:cs="仿宋"/>
          <w:iCs/>
          <w:sz w:val="32"/>
          <w:szCs w:val="32"/>
        </w:rPr>
      </w:pPr>
      <w:r>
        <w:rPr>
          <w:rFonts w:hint="eastAsia" w:ascii="仿宋" w:hAnsi="仿宋" w:eastAsia="仿宋" w:cs="仿宋"/>
          <w:iCs/>
          <w:sz w:val="32"/>
          <w:szCs w:val="32"/>
        </w:rPr>
      </w:r>
      <w:r/>
    </w:p>
    <w:p>
      <w:pPr>
        <w:rPr>
          <w:rFonts w:hint="eastAsia" w:ascii="仿宋" w:hAnsi="仿宋" w:eastAsia="仿宋" w:cs="仿宋"/>
          <w:iCs/>
          <w:sz w:val="32"/>
          <w:szCs w:val="32"/>
        </w:rPr>
      </w:pPr>
      <w:r>
        <w:rPr>
          <w:rFonts w:hint="eastAsia" w:ascii="仿宋" w:hAnsi="仿宋" w:eastAsia="仿宋" w:cs="仿宋"/>
          <w:iCs/>
          <w:sz w:val="32"/>
          <w:szCs w:val="32"/>
        </w:rPr>
        <w:br w:type="page" w:clear="all"/>
      </w:r>
      <w:r>
        <w:rPr>
          <w:rFonts w:hint="eastAsia" w:ascii="仿宋" w:hAnsi="仿宋" w:eastAsia="仿宋" w:cs="仿宋"/>
          <w:iCs/>
          <w:sz w:val="32"/>
          <w:szCs w:val="32"/>
        </w:rPr>
        <w:t xml:space="preserve">五、中小企业声明函</w:t>
      </w:r>
      <w:r/>
    </w:p>
    <w:p>
      <w:pPr>
        <w:jc w:val="center"/>
        <w:spacing w:line="360" w:lineRule="auto"/>
        <w:rPr>
          <w:rFonts w:hint="eastAsia" w:ascii="仿宋" w:hAnsi="仿宋" w:eastAsia="仿宋" w:cs="仿宋"/>
          <w:color w:val="000000"/>
          <w:sz w:val="32"/>
          <w:szCs w:val="32"/>
        </w:rPr>
        <w:outlineLvl w:val="0"/>
      </w:pPr>
      <w:r/>
      <w:bookmarkStart w:id="321" w:name="_Toc983"/>
      <w:r>
        <w:rPr>
          <w:rFonts w:hint="eastAsia" w:ascii="仿宋" w:hAnsi="仿宋" w:eastAsia="仿宋" w:cs="仿宋"/>
          <w:color w:val="000000"/>
          <w:sz w:val="32"/>
          <w:szCs w:val="32"/>
        </w:rPr>
        <w:t xml:space="preserve">中小企业声明函（服务）</w:t>
      </w:r>
      <w:bookmarkEnd w:id="321"/>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本公司（联合体）郑重声明，根据《政府采购促进中小企业发展管理办法》(财库[2020]46号)的规定，本公司（联合体）参加南京市公共资源交易中心浦口分中心组织的</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（项目名称）（分包号：**）</w:t>
      </w:r>
      <w:r>
        <w:rPr>
          <w:rFonts w:hint="eastAsia" w:ascii="仿宋" w:hAnsi="仿宋" w:eastAsia="仿宋" w:cs="仿宋"/>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0"/>
        <w:spacing w:line="360" w:lineRule="auto"/>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，属于¨中型企业¨小型企业¨微型企业</w:t>
      </w:r>
      <w:r>
        <w:rPr>
          <w:rFonts w:hint="eastAsia" w:ascii="仿宋" w:hAnsi="仿宋" w:eastAsia="仿宋" w:cs="仿宋"/>
          <w:sz w:val="24"/>
          <w:szCs w:val="24"/>
          <w:u w:val="single"/>
        </w:rPr>
        <w:t xml:space="preserve">；</w:t>
      </w:r>
      <w:r/>
    </w:p>
    <w:p>
      <w:pPr>
        <w:ind w:firstLine="360"/>
        <w:spacing w:line="360" w:lineRule="auto"/>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，属于¨中型企业¨小型企业¨微型企业</w:t>
      </w:r>
      <w:r>
        <w:rPr>
          <w:rFonts w:hint="eastAsia" w:ascii="仿宋" w:hAnsi="仿宋" w:eastAsia="仿宋" w:cs="仿宋"/>
          <w:sz w:val="24"/>
          <w:szCs w:val="24"/>
          <w:u w:val="single"/>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（备注：1.从业人员、营业收入、资产总额填报上一年度数据，无上一年度数据的新成立企业可不填报。2.在所属企业类型前的</w:t>
      </w:r>
      <w:r>
        <w:rPr>
          <w:rFonts w:hint="eastAsia" w:ascii="仿宋" w:hAnsi="仿宋" w:eastAsia="仿宋" w:cs="仿宋"/>
          <w:sz w:val="24"/>
          <w:szCs w:val="24"/>
          <w:u w:val="single"/>
        </w:rPr>
        <w:t xml:space="preserve">¨内打“√”。</w:t>
      </w:r>
      <w:r>
        <w:rPr>
          <w:rFonts w:hint="eastAsia" w:ascii="仿宋" w:hAnsi="仿宋" w:eastAsia="仿宋" w:cs="仿宋"/>
          <w:sz w:val="24"/>
          <w:szCs w:val="24"/>
        </w:rPr>
        <w:t xml:space="preserve">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right="180" w:firstLine="36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576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日  期：年___月___日</w:t>
      </w:r>
      <w:r/>
    </w:p>
    <w:p>
      <w:pPr>
        <w:jc w:val="left"/>
        <w:spacing w:line="360" w:lineRule="auto"/>
        <w:rPr>
          <w:rFonts w:hint="eastAsia" w:ascii="仿宋" w:hAnsi="仿宋" w:eastAsia="仿宋" w:cs="仿宋"/>
          <w:b/>
          <w:i/>
          <w:sz w:val="32"/>
          <w:szCs w:val="32"/>
          <w:u w:val="single"/>
        </w:rPr>
      </w:pPr>
      <w:r>
        <w:rPr>
          <w:rFonts w:hint="eastAsia" w:ascii="仿宋" w:hAnsi="仿宋" w:eastAsia="仿宋" w:cs="仿宋"/>
          <w:b/>
          <w:sz w:val="32"/>
          <w:szCs w:val="32"/>
        </w:rPr>
        <w:br w:type="page" w:clear="all"/>
      </w:r>
      <w:r>
        <w:rPr>
          <w:rFonts w:hint="eastAsia" w:ascii="仿宋" w:hAnsi="仿宋" w:eastAsia="仿宋" w:cs="仿宋"/>
          <w:iCs/>
          <w:sz w:val="32"/>
          <w:szCs w:val="32"/>
        </w:rPr>
        <w:t xml:space="preserve">六、残疾人福利性单位声明函</w:t>
      </w:r>
      <w:r/>
    </w:p>
    <w:p>
      <w:pPr>
        <w:jc w:val="center"/>
        <w:spacing w:line="360" w:lineRule="auto"/>
        <w:rPr>
          <w:rFonts w:hint="eastAsia" w:ascii="仿宋" w:hAnsi="仿宋" w:eastAsia="仿宋" w:cs="仿宋"/>
          <w:color w:val="000000"/>
          <w:sz w:val="32"/>
          <w:szCs w:val="32"/>
        </w:rPr>
        <w:outlineLvl w:val="0"/>
      </w:pPr>
      <w:r/>
      <w:bookmarkStart w:id="322" w:name="_Toc22477"/>
      <w:r>
        <w:rPr>
          <w:rFonts w:hint="eastAsia" w:ascii="仿宋" w:hAnsi="仿宋" w:eastAsia="仿宋" w:cs="仿宋"/>
          <w:color w:val="000000"/>
          <w:sz w:val="32"/>
          <w:szCs w:val="32"/>
        </w:rPr>
        <w:t xml:space="preserve">残疾人福利性单位声明函</w:t>
      </w:r>
      <w:bookmarkEnd w:id="322"/>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的项目（分包号：**）采购活动提供本单位承担的服务。</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1089"/>
        <w:rPr>
          <w:rFonts w:hint="eastAsia" w:ascii="仿宋" w:hAnsi="仿宋" w:eastAsia="仿宋" w:cs="仿宋"/>
        </w:rPr>
      </w:pPr>
      <w:r>
        <w:rPr>
          <w:rFonts w:hint="eastAsia" w:ascii="仿宋" w:hAnsi="仿宋" w:eastAsia="仿宋" w:cs="仿宋"/>
        </w:rPr>
      </w:r>
      <w:r/>
    </w:p>
    <w:p>
      <w:pPr>
        <w:ind w:right="180" w:firstLine="36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576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日  期：年___月___日</w:t>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left"/>
        <w:spacing w:line="46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r>
        <w:rPr>
          <w:rFonts w:hint="eastAsia" w:ascii="仿宋" w:hAnsi="仿宋" w:eastAsia="仿宋" w:cs="仿宋"/>
          <w:i/>
          <w:sz w:val="32"/>
          <w:szCs w:val="32"/>
          <w:u w:val="single"/>
        </w:rPr>
        <w:br w:type="page" w:clear="all"/>
      </w:r>
      <w:r/>
    </w:p>
    <w:p>
      <w:pPr>
        <w:rPr>
          <w:rFonts w:hint="eastAsia" w:ascii="仿宋" w:hAnsi="仿宋" w:eastAsia="仿宋" w:cs="仿宋"/>
          <w:i/>
          <w:sz w:val="32"/>
          <w:szCs w:val="32"/>
          <w:u w:val="single"/>
        </w:rPr>
      </w:pPr>
      <w:r>
        <w:rPr>
          <w:rFonts w:hint="eastAsia" w:ascii="仿宋" w:hAnsi="仿宋" w:eastAsia="仿宋" w:cs="仿宋"/>
          <w:i/>
          <w:sz w:val="32"/>
          <w:szCs w:val="32"/>
          <w:u w:val="single"/>
        </w:rPr>
        <w:t xml:space="preserve">七、技术要求响应及偏离表</w:t>
      </w:r>
      <w:r/>
    </w:p>
    <w:p>
      <w:pPr>
        <w:jc w:val="center"/>
        <w:spacing w:line="360" w:lineRule="auto"/>
        <w:rPr>
          <w:rFonts w:hint="eastAsia" w:ascii="仿宋" w:hAnsi="仿宋" w:eastAsia="仿宋" w:cs="仿宋"/>
          <w:color w:val="000000"/>
          <w:sz w:val="32"/>
          <w:szCs w:val="32"/>
        </w:rPr>
        <w:outlineLvl w:val="0"/>
      </w:pPr>
      <w:r/>
      <w:bookmarkStart w:id="323" w:name="_Toc9719"/>
      <w:r>
        <w:rPr>
          <w:rFonts w:hint="eastAsia" w:ascii="仿宋" w:hAnsi="仿宋" w:eastAsia="仿宋" w:cs="仿宋"/>
          <w:color w:val="000000"/>
          <w:sz w:val="32"/>
          <w:szCs w:val="32"/>
        </w:rPr>
        <w:t xml:space="preserve">技术要求响应及偏离表</w:t>
      </w:r>
      <w:bookmarkEnd w:id="323"/>
      <w:r/>
      <w:r/>
    </w:p>
    <w:tbl>
      <w:tblPr>
        <w:tblStyle w:val="77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924"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磋商文件要求</w:t>
            </w:r>
            <w:r/>
          </w:p>
        </w:tc>
        <w:tc>
          <w:tcPr>
            <w:tcW w:w="2916"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响应情况</w:t>
            </w:r>
            <w:r/>
          </w:p>
        </w:tc>
        <w:tc>
          <w:tcPr>
            <w:tcW w:w="1611"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color w:val="000000"/>
                <w:sz w:val="24"/>
                <w:szCs w:val="24"/>
              </w:rPr>
              <w:t xml:space="preserve">正偏离、无偏离或负偏离</w:t>
            </w:r>
            <w:r/>
          </w:p>
        </w:tc>
        <w:tc>
          <w:tcPr>
            <w:tcW w:w="1173"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证明</w:t>
            </w:r>
            <w:r/>
          </w:p>
          <w:p>
            <w:pPr>
              <w:jc w:val="center"/>
              <w:rPr>
                <w:rFonts w:hint="eastAsia" w:ascii="仿宋" w:hAnsi="仿宋" w:eastAsia="仿宋" w:cs="仿宋"/>
                <w:sz w:val="24"/>
                <w:szCs w:val="24"/>
              </w:rPr>
            </w:pPr>
            <w:r>
              <w:rPr>
                <w:rFonts w:hint="eastAsia" w:ascii="仿宋" w:hAnsi="仿宋" w:eastAsia="仿宋" w:cs="仿宋"/>
                <w:sz w:val="24"/>
                <w:szCs w:val="24"/>
              </w:rPr>
              <w:t xml:space="preserve">材料</w:t>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24"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1"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1060"/>
        <w:ind w:firstLine="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供应商名称：</w:t>
      </w:r>
      <w:r>
        <w:rPr>
          <w:rFonts w:hint="eastAsia" w:ascii="仿宋" w:hAnsi="仿宋" w:eastAsia="仿宋" w:cs="仿宋"/>
          <w:szCs w:val="21"/>
          <w:u w:val="single"/>
        </w:rPr>
        <w:t xml:space="preserve">（加盖CA电子公章）</w:t>
      </w:r>
      <w:r/>
    </w:p>
    <w:p>
      <w:pPr>
        <w:rPr>
          <w:rFonts w:hint="eastAsia" w:ascii="仿宋" w:hAnsi="仿宋" w:eastAsia="仿宋" w:cs="仿宋"/>
          <w:sz w:val="24"/>
          <w:szCs w:val="24"/>
        </w:rPr>
      </w:pPr>
      <w:r>
        <w:rPr>
          <w:rFonts w:hint="eastAsia" w:ascii="仿宋" w:hAnsi="仿宋" w:eastAsia="仿宋" w:cs="仿宋"/>
          <w:sz w:val="24"/>
          <w:szCs w:val="24"/>
        </w:rPr>
        <w:t xml:space="preserve">注： 行数不够，可自行添加。</w:t>
      </w:r>
      <w:bookmarkEnd w:id="315"/>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left"/>
        <w:rPr>
          <w:rFonts w:hint="eastAsia" w:ascii="仿宋" w:hAnsi="仿宋" w:eastAsia="仿宋" w:cs="仿宋"/>
          <w:i/>
          <w:sz w:val="32"/>
          <w:szCs w:val="32"/>
          <w:u w:val="single"/>
        </w:rPr>
      </w:pPr>
      <w:r/>
      <w:bookmarkStart w:id="324" w:name="_Hlt26955054"/>
      <w:r/>
      <w:bookmarkEnd w:id="324"/>
      <w:r/>
      <w:r/>
    </w:p>
    <w:p>
      <w:pPr>
        <w:jc w:val="left"/>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rPr>
          <w:rFonts w:hint="eastAsia" w:ascii="仿宋" w:hAnsi="仿宋" w:eastAsia="仿宋" w:cs="仿宋"/>
          <w:i/>
          <w:sz w:val="32"/>
          <w:szCs w:val="32"/>
          <w:u w:val="single"/>
        </w:rPr>
      </w:pPr>
      <w:r>
        <w:rPr>
          <w:rFonts w:hint="eastAsia" w:ascii="仿宋" w:hAnsi="仿宋" w:eastAsia="仿宋" w:cs="仿宋"/>
          <w:i/>
          <w:sz w:val="32"/>
          <w:szCs w:val="32"/>
          <w:u w:val="single"/>
        </w:rPr>
        <w:t xml:space="preserve">八、商务要求响应及偏离表</w:t>
      </w:r>
      <w:r/>
    </w:p>
    <w:p>
      <w:pPr>
        <w:jc w:val="center"/>
        <w:spacing w:line="360" w:lineRule="auto"/>
        <w:rPr>
          <w:rFonts w:hint="eastAsia" w:ascii="仿宋" w:hAnsi="仿宋" w:eastAsia="仿宋" w:cs="仿宋"/>
          <w:color w:val="000000"/>
          <w:sz w:val="32"/>
          <w:szCs w:val="32"/>
        </w:rPr>
        <w:outlineLvl w:val="0"/>
      </w:pPr>
      <w:r/>
      <w:bookmarkStart w:id="325" w:name="_Toc19402"/>
      <w:r>
        <w:rPr>
          <w:rFonts w:hint="eastAsia" w:ascii="仿宋" w:hAnsi="仿宋" w:eastAsia="仿宋" w:cs="仿宋"/>
          <w:color w:val="000000"/>
          <w:sz w:val="32"/>
          <w:szCs w:val="32"/>
        </w:rPr>
        <w:t xml:space="preserve">商务要求响应及偏离表</w:t>
      </w:r>
      <w:bookmarkEnd w:id="325"/>
      <w:r/>
      <w:r/>
    </w:p>
    <w:tbl>
      <w:tblPr>
        <w:tblStyle w:val="77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hint="eastAsia" w:ascii="仿宋" w:hAnsi="仿宋" w:eastAsia="仿宋" w:cs="仿宋"/>
                <w:sz w:val="24"/>
                <w:szCs w:val="24"/>
              </w:rPr>
            </w:pPr>
            <w:r/>
            <w:bookmarkStart w:id="326" w:name="_Hlt26609391"/>
            <w:r/>
            <w:bookmarkEnd w:id="326"/>
            <w:r/>
            <w:bookmarkStart w:id="327" w:name="_Hlt26671372"/>
            <w:r/>
            <w:bookmarkEnd w:id="327"/>
            <w:r/>
            <w:bookmarkStart w:id="328" w:name="_Hlt26782999"/>
            <w:r/>
            <w:bookmarkEnd w:id="328"/>
            <w:r/>
            <w:bookmarkStart w:id="329" w:name="_Hlt24879081"/>
            <w:r/>
            <w:bookmarkEnd w:id="329"/>
            <w:r/>
            <w:bookmarkStart w:id="330" w:name="_Hlt26671343"/>
            <w:r/>
            <w:bookmarkEnd w:id="330"/>
            <w:r/>
            <w:bookmarkStart w:id="331" w:name="_Hlt26955064"/>
            <w:r/>
            <w:bookmarkEnd w:id="331"/>
            <w:r/>
            <w:bookmarkStart w:id="332" w:name="_Hlt26955056"/>
            <w:r/>
            <w:bookmarkEnd w:id="332"/>
            <w:r/>
            <w:bookmarkStart w:id="333" w:name="_Hlt26580838"/>
            <w:r/>
            <w:bookmarkEnd w:id="333"/>
            <w:r>
              <w:rPr>
                <w:rFonts w:hint="eastAsia" w:ascii="仿宋" w:hAnsi="仿宋" w:eastAsia="仿宋" w:cs="仿宋"/>
                <w:sz w:val="24"/>
                <w:szCs w:val="24"/>
              </w:rPr>
              <w:t xml:space="preserve">序号</w:t>
            </w:r>
            <w:r/>
          </w:p>
        </w:tc>
        <w:tc>
          <w:tcPr>
            <w:tcW w:w="2912"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磋商文件要求</w:t>
            </w:r>
            <w:r/>
          </w:p>
        </w:tc>
        <w:tc>
          <w:tcPr>
            <w:tcW w:w="2916"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响应情况</w:t>
            </w:r>
            <w:r/>
          </w:p>
        </w:tc>
        <w:tc>
          <w:tcPr>
            <w:tcW w:w="1623"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color w:val="000000"/>
                <w:sz w:val="24"/>
                <w:szCs w:val="24"/>
              </w:rPr>
              <w:t xml:space="preserve">正偏离、无偏离或负偏离</w:t>
            </w:r>
            <w:r/>
          </w:p>
        </w:tc>
        <w:tc>
          <w:tcPr>
            <w:tcW w:w="1173" w:type="dxa"/>
            <w:vAlign w:val="center"/>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证明</w:t>
            </w:r>
            <w:r/>
          </w:p>
          <w:p>
            <w:pPr>
              <w:jc w:val="center"/>
              <w:rPr>
                <w:rFonts w:hint="eastAsia" w:ascii="仿宋" w:hAnsi="仿宋" w:eastAsia="仿宋" w:cs="仿宋"/>
                <w:sz w:val="24"/>
                <w:szCs w:val="24"/>
              </w:rPr>
            </w:pPr>
            <w:r>
              <w:rPr>
                <w:rFonts w:hint="eastAsia" w:ascii="仿宋" w:hAnsi="仿宋" w:eastAsia="仿宋" w:cs="仿宋"/>
                <w:sz w:val="24"/>
                <w:szCs w:val="24"/>
              </w:rPr>
              <w:t xml:space="preserve">材料</w:t>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bCs/>
                <w:sz w:val="24"/>
                <w:szCs w:val="24"/>
              </w:rPr>
              <w:t xml:space="preserve">服务时间及地点（完全响应）</w:t>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付款条件（完全响应）</w:t>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912"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916"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2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1060"/>
        <w:ind w:firstLine="0"/>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供应商名称：</w:t>
      </w:r>
      <w:r>
        <w:rPr>
          <w:rFonts w:hint="eastAsia" w:ascii="仿宋" w:hAnsi="仿宋" w:eastAsia="仿宋" w:cs="仿宋"/>
          <w:szCs w:val="21"/>
          <w:u w:val="single"/>
        </w:rPr>
        <w:t xml:space="preserve">（加盖CA电子公章）</w:t>
      </w:r>
      <w:r/>
    </w:p>
    <w:p>
      <w:pPr>
        <w:rPr>
          <w:rFonts w:hint="eastAsia" w:ascii="仿宋" w:hAnsi="仿宋" w:eastAsia="仿宋" w:cs="仿宋"/>
          <w:sz w:val="24"/>
          <w:szCs w:val="24"/>
        </w:rPr>
      </w:pPr>
      <w:r>
        <w:rPr>
          <w:rFonts w:hint="eastAsia" w:ascii="仿宋" w:hAnsi="仿宋" w:eastAsia="仿宋" w:cs="仿宋"/>
          <w:sz w:val="24"/>
          <w:szCs w:val="24"/>
        </w:rPr>
        <w:t xml:space="preserve">注： 行数不够，可自行添加。</w:t>
      </w:r>
      <w:bookmarkEnd w:id="181"/>
      <w:bookmarkEnd w:id="182"/>
      <w:r/>
    </w:p>
    <w:p>
      <w:pPr>
        <w:spacing w:line="480" w:lineRule="auto"/>
        <w:rPr>
          <w:rFonts w:hint="eastAsia" w:ascii="仿宋" w:hAnsi="仿宋" w:eastAsia="仿宋" w:cs="仿宋"/>
          <w:sz w:val="24"/>
          <w:szCs w:val="21"/>
        </w:rPr>
      </w:pPr>
      <w:r>
        <w:rPr>
          <w:rFonts w:hint="eastAsia" w:ascii="仿宋" w:hAnsi="仿宋" w:eastAsia="仿宋" w:cs="仿宋"/>
          <w:sz w:val="24"/>
          <w:szCs w:val="21"/>
        </w:rPr>
      </w:r>
      <w:r/>
    </w:p>
    <w:p>
      <w:pPr>
        <w:spacing w:line="480" w:lineRule="auto"/>
        <w:rPr>
          <w:rFonts w:hint="eastAsia" w:ascii="仿宋" w:hAnsi="仿宋" w:eastAsia="仿宋" w:cs="仿宋"/>
          <w:sz w:val="30"/>
          <w:szCs w:val="21"/>
        </w:rPr>
      </w:pPr>
      <w:r>
        <w:rPr>
          <w:rFonts w:hint="eastAsia" w:ascii="仿宋" w:hAnsi="仿宋" w:eastAsia="仿宋" w:cs="仿宋"/>
          <w:sz w:val="30"/>
          <w:szCs w:val="21"/>
        </w:rPr>
      </w:r>
      <w:r/>
    </w:p>
    <w:p>
      <w:pPr>
        <w:rPr>
          <w:rFonts w:hint="eastAsia" w:ascii="仿宋" w:hAnsi="仿宋" w:eastAsia="仿宋" w:cs="仿宋"/>
          <w:sz w:val="24"/>
          <w:szCs w:val="21"/>
        </w:rPr>
      </w:pPr>
      <w:r/>
      <w:bookmarkStart w:id="334" w:name="_Hlt26955066"/>
      <w:r/>
      <w:bookmarkEnd w:id="334"/>
      <w:r/>
      <w:bookmarkStart w:id="335" w:name="_Hlt26671374"/>
      <w:r/>
      <w:bookmarkEnd w:id="335"/>
      <w:r/>
      <w:bookmarkStart w:id="336" w:name="_Hlt26609389"/>
      <w:r/>
      <w:bookmarkEnd w:id="336"/>
      <w:r/>
      <w:bookmarkStart w:id="337" w:name="_Toc462564146"/>
      <w:r/>
      <w:bookmarkEnd w:id="337"/>
      <w:r/>
      <w:r/>
    </w:p>
    <w:p>
      <w:pPr>
        <w:jc w:val="center"/>
        <w:rPr>
          <w:rFonts w:hint="eastAsia" w:ascii="仿宋" w:hAnsi="仿宋" w:eastAsia="仿宋" w:cs="仿宋"/>
          <w:b/>
          <w:sz w:val="32"/>
          <w:szCs w:val="32"/>
        </w:rPr>
      </w:pPr>
      <w:r/>
      <w:bookmarkStart w:id="338" w:name="_格式2__法定代表人授权书"/>
      <w:r/>
      <w:bookmarkEnd w:id="338"/>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邮编：</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sectPr>
      <w:headerReference w:type="default" r:id="rId9"/>
      <w:footerReference w:type="default" r:id="rId11"/>
      <w:footerReference w:type="even" r:id="rId12"/>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1"/>
                            <w:rPr>
                              <w:rStyle w:val="1046"/>
                              <w:rFonts w:hint="eastAsia" w:ascii="宋体" w:hAnsi="宋体"/>
                            </w:rPr>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45</w:t>
                          </w:r>
                          <w:r>
                            <w:rPr>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1"/>
                      <w:rPr>
                        <w:rStyle w:val="1046"/>
                        <w:rFonts w:hint="eastAsia" w:ascii="宋体" w:hAnsi="宋体"/>
                      </w:rPr>
                    </w:pPr>
                    <w:r>
                      <w:rPr>
                        <w:rFonts w:ascii="宋体" w:hAnsi="宋体"/>
                      </w:rPr>
                      <w:fldChar w:fldCharType="begin"/>
                    </w:r>
                    <w:r>
                      <w:rPr>
                        <w:rStyle w:val="1046"/>
                        <w:rFonts w:ascii="宋体" w:hAnsi="宋体"/>
                      </w:rPr>
                      <w:instrText xml:space="preserve">PAGE  </w:instrText>
                    </w:r>
                    <w:r>
                      <w:rPr>
                        <w:rFonts w:ascii="宋体" w:hAnsi="宋体"/>
                      </w:rPr>
                      <w:fldChar w:fldCharType="separate"/>
                    </w:r>
                    <w:r>
                      <w:rPr>
                        <w:rStyle w:val="1046"/>
                        <w:rFonts w:ascii="宋体" w:hAnsi="宋体"/>
                      </w:rPr>
                      <w:t xml:space="preserve">45</w:t>
                    </w:r>
                    <w:r>
                      <w:rPr>
                        <w:rFonts w:ascii="宋体" w:hAnsi="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1</w:t>
    </w:r>
    <w:r>
      <w:fldChar w:fldCharType="end"/>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6"/>
      <w:isLgl w:val="false"/>
      <w:suff w:val="nothing"/>
      <w:lvlText w:val=""/>
      <w:lvlJc w:val="left"/>
      <w:pPr>
        <w:ind w:left="0" w:firstLine="0"/>
      </w:pPr>
      <w:rPr>
        <w:rFonts w:hint="eastAsia"/>
      </w:rPr>
    </w:lvl>
    <w:lvl w:ilvl="8">
      <w:start w:val="1"/>
      <w:numFmt w:val="decimal"/>
      <w:pStyle w:val="98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bullet"/>
      <w:pStyle w:val="77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upperLetter"/>
      <w:pStyle w:val="10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9"/>
  </w:num>
  <w:num w:numId="2">
    <w:abstractNumId w:val="6"/>
  </w:num>
  <w:num w:numId="3">
    <w:abstractNumId w:val="24"/>
  </w:num>
  <w:num w:numId="4">
    <w:abstractNumId w:val="5"/>
  </w:num>
  <w:num w:numId="5">
    <w:abstractNumId w:val="21"/>
  </w:num>
  <w:num w:numId="6">
    <w:abstractNumId w:val="19"/>
  </w:num>
  <w:num w:numId="7">
    <w:abstractNumId w:val="0"/>
  </w:num>
  <w:num w:numId="8">
    <w:abstractNumId w:val="32"/>
  </w:num>
  <w:num w:numId="9">
    <w:abstractNumId w:val="14"/>
  </w:num>
  <w:num w:numId="10">
    <w:abstractNumId w:val="29"/>
  </w:num>
  <w:num w:numId="11">
    <w:abstractNumId w:val="17"/>
  </w:num>
  <w:num w:numId="12">
    <w:abstractNumId w:val="12"/>
  </w:num>
  <w:num w:numId="13">
    <w:abstractNumId w:val="26"/>
  </w:num>
  <w:num w:numId="14">
    <w:abstractNumId w:val="33"/>
  </w:num>
  <w:num w:numId="15">
    <w:abstractNumId w:val="11"/>
  </w:num>
  <w:num w:numId="16">
    <w:abstractNumId w:val="18"/>
  </w:num>
  <w:num w:numId="17">
    <w:abstractNumId w:val="28"/>
  </w:num>
  <w:num w:numId="18">
    <w:abstractNumId w:val="31"/>
  </w:num>
  <w:num w:numId="19">
    <w:abstractNumId w:val="13"/>
  </w:num>
  <w:num w:numId="20">
    <w:abstractNumId w:val="30"/>
  </w:num>
  <w:num w:numId="21">
    <w:abstractNumId w:val="22"/>
  </w:num>
  <w:num w:numId="22">
    <w:abstractNumId w:val="15"/>
  </w:num>
  <w:num w:numId="23">
    <w:abstractNumId w:val="7"/>
  </w:num>
  <w:num w:numId="24">
    <w:abstractNumId w:val="25"/>
  </w:num>
  <w:num w:numId="25">
    <w:abstractNumId w:val="20"/>
  </w:num>
  <w:num w:numId="26">
    <w:abstractNumId w:val="4"/>
  </w:num>
  <w:num w:numId="27">
    <w:abstractNumId w:val="23"/>
  </w:num>
  <w:num w:numId="28">
    <w:abstractNumId w:val="1"/>
  </w:num>
  <w:num w:numId="29">
    <w:abstractNumId w:val="8"/>
  </w:num>
  <w:num w:numId="30">
    <w:abstractNumId w:val="3"/>
  </w:num>
  <w:num w:numId="31">
    <w:abstractNumId w:val="16"/>
  </w:num>
  <w:num w:numId="32">
    <w:abstractNumId w:val="27"/>
  </w:num>
  <w:num w:numId="33">
    <w:abstractNumId w:val="10"/>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2" w:default="1">
    <w:name w:val="Normal"/>
    <w:next w:val="766"/>
    <w:uiPriority w:val="0"/>
    <w:qFormat/>
    <w:pPr>
      <w:jc w:val="both"/>
      <w:widowControl w:val="off"/>
    </w:pPr>
    <w:rPr>
      <w:rFonts w:ascii="Times New Roman" w:hAnsi="Times New Roman" w:eastAsia="宋体" w:cs="Times New Roman"/>
      <w:sz w:val="21"/>
      <w:szCs w:val="22"/>
      <w:lang w:val="en-US" w:eastAsia="zh-CN" w:bidi="ar-SA"/>
    </w:rPr>
  </w:style>
  <w:style w:type="paragraph" w:styleId="763">
    <w:name w:val="Heading 1"/>
    <w:basedOn w:val="762"/>
    <w:next w:val="762"/>
    <w:link w:val="854"/>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55"/>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56"/>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57"/>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58"/>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59"/>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60"/>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61"/>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link w:val="8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Normal Indent"/>
    <w:basedOn w:val="762"/>
    <w:next w:val="762"/>
    <w:uiPriority w:val="0"/>
    <w:qFormat/>
    <w:pPr>
      <w:ind w:left="720"/>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List Bullet"/>
    <w:basedOn w:val="762"/>
    <w:next w:val="762"/>
    <w:uiPriority w:val="99"/>
    <w:semiHidden/>
    <w:unhideWhenUsed/>
    <w:qFormat/>
    <w:pPr>
      <w:numPr>
        <w:ilvl w:val="0"/>
        <w:numId w:val="1"/>
      </w:numPr>
    </w:pPr>
  </w:style>
  <w:style w:type="paragraph" w:styleId="778">
    <w:name w:val="annotation text"/>
    <w:basedOn w:val="762"/>
    <w:link w:val="1107"/>
    <w:uiPriority w:val="99"/>
    <w:unhideWhenUsed/>
    <w:qFormat/>
    <w:pPr>
      <w:jc w:val="left"/>
    </w:pPr>
  </w:style>
  <w:style w:type="paragraph" w:styleId="779">
    <w:name w:val="Body Text"/>
    <w:basedOn w:val="762"/>
    <w:next w:val="762"/>
    <w:uiPriority w:val="1"/>
    <w:qFormat/>
    <w:rPr>
      <w:sz w:val="24"/>
      <w:szCs w:val="24"/>
    </w:rPr>
  </w:style>
  <w:style w:type="paragraph" w:styleId="780">
    <w:name w:val="toc 5"/>
    <w:basedOn w:val="762"/>
    <w:next w:val="762"/>
    <w:uiPriority w:val="39"/>
    <w:unhideWhenUsed/>
    <w:qFormat/>
    <w:pPr>
      <w:ind w:left="1134"/>
      <w:spacing w:after="57"/>
    </w:pPr>
  </w:style>
  <w:style w:type="paragraph" w:styleId="781">
    <w:name w:val="toc 3"/>
    <w:basedOn w:val="762"/>
    <w:next w:val="762"/>
    <w:uiPriority w:val="39"/>
    <w:unhideWhenUsed/>
    <w:qFormat/>
    <w:pPr>
      <w:ind w:left="567"/>
      <w:spacing w:after="57"/>
    </w:pPr>
  </w:style>
  <w:style w:type="paragraph" w:styleId="782">
    <w:name w:val="Plain Text"/>
    <w:basedOn w:val="762"/>
    <w:uiPriority w:val="0"/>
    <w:qFormat/>
    <w:rPr>
      <w:rFonts w:ascii="宋体" w:hAnsi="Courier New"/>
    </w:rPr>
  </w:style>
  <w:style w:type="paragraph" w:styleId="783">
    <w:name w:val="toc 8"/>
    <w:basedOn w:val="762"/>
    <w:next w:val="762"/>
    <w:uiPriority w:val="39"/>
    <w:unhideWhenUsed/>
    <w:qFormat/>
    <w:pPr>
      <w:ind w:left="1984"/>
      <w:spacing w:after="57"/>
    </w:pPr>
  </w:style>
  <w:style w:type="paragraph" w:styleId="784">
    <w:name w:val="endnote text"/>
    <w:basedOn w:val="762"/>
    <w:link w:val="981"/>
    <w:uiPriority w:val="99"/>
    <w:semiHidden/>
    <w:unhideWhenUsed/>
    <w:qFormat/>
    <w:rPr>
      <w:sz w:val="20"/>
    </w:rPr>
  </w:style>
  <w:style w:type="paragraph" w:styleId="785">
    <w:name w:val="Balloon Text"/>
    <w:basedOn w:val="762"/>
    <w:link w:val="1098"/>
    <w:uiPriority w:val="99"/>
    <w:semiHidden/>
    <w:unhideWhenUsed/>
    <w:qFormat/>
    <w:rPr>
      <w:sz w:val="18"/>
      <w:szCs w:val="18"/>
    </w:rPr>
  </w:style>
  <w:style w:type="paragraph" w:styleId="786">
    <w:name w:val="Footer"/>
    <w:basedOn w:val="762"/>
    <w:link w:val="873"/>
    <w:uiPriority w:val="99"/>
    <w:unhideWhenUsed/>
    <w:qFormat/>
    <w:pPr>
      <w:tabs>
        <w:tab w:val="center" w:pos="7143" w:leader="none"/>
        <w:tab w:val="right" w:pos="14287" w:leader="none"/>
      </w:tabs>
    </w:pPr>
  </w:style>
  <w:style w:type="paragraph" w:styleId="787">
    <w:name w:val="Header"/>
    <w:basedOn w:val="762"/>
    <w:link w:val="871"/>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spacing w:after="57"/>
    </w:pPr>
  </w:style>
  <w:style w:type="paragraph" w:styleId="790">
    <w:name w:val="Subtitle"/>
    <w:basedOn w:val="762"/>
    <w:next w:val="762"/>
    <w:link w:val="866"/>
    <w:uiPriority w:val="11"/>
    <w:qFormat/>
    <w:pPr>
      <w:spacing w:before="200" w:after="200"/>
    </w:pPr>
    <w:rPr>
      <w:sz w:val="24"/>
      <w:szCs w:val="24"/>
    </w:rPr>
  </w:style>
  <w:style w:type="paragraph" w:styleId="791">
    <w:name w:val="footnote text"/>
    <w:basedOn w:val="762"/>
    <w:link w:val="980"/>
    <w:uiPriority w:val="99"/>
    <w:semiHidden/>
    <w:unhideWhenUsed/>
    <w:qFormat/>
    <w:pPr>
      <w:spacing w:after="40"/>
    </w:pPr>
    <w:rPr>
      <w:sz w:val="18"/>
    </w:rPr>
  </w:style>
  <w:style w:type="paragraph" w:styleId="792">
    <w:name w:val="toc 6"/>
    <w:basedOn w:val="762"/>
    <w:next w:val="762"/>
    <w:uiPriority w:val="39"/>
    <w:unhideWhenUsed/>
    <w:qFormat/>
    <w:pPr>
      <w:ind w:left="1417"/>
      <w:spacing w:after="57"/>
    </w:pPr>
  </w:style>
  <w:style w:type="paragraph" w:styleId="793">
    <w:name w:val="table of figures"/>
    <w:basedOn w:val="762"/>
    <w:next w:val="762"/>
    <w:uiPriority w:val="99"/>
    <w:unhideWhenUsed/>
    <w:qFormat/>
  </w:style>
  <w:style w:type="paragraph" w:styleId="794">
    <w:name w:val="toc 2"/>
    <w:basedOn w:val="762"/>
    <w:next w:val="762"/>
    <w:uiPriority w:val="39"/>
    <w:unhideWhenUsed/>
    <w:qFormat/>
    <w:pPr>
      <w:ind w:left="283"/>
      <w:spacing w:after="57"/>
    </w:pPr>
  </w:style>
  <w:style w:type="paragraph" w:styleId="795">
    <w:name w:val="toc 9"/>
    <w:basedOn w:val="762"/>
    <w:next w:val="762"/>
    <w:uiPriority w:val="39"/>
    <w:unhideWhenUsed/>
    <w:qFormat/>
    <w:pPr>
      <w:ind w:left="2268"/>
      <w:spacing w:after="57"/>
    </w:pPr>
  </w:style>
  <w:style w:type="paragraph" w:styleId="796">
    <w:name w:val="Title"/>
    <w:basedOn w:val="762"/>
    <w:next w:val="762"/>
    <w:link w:val="865"/>
    <w:uiPriority w:val="10"/>
    <w:qFormat/>
    <w:pPr>
      <w:contextualSpacing/>
      <w:spacing w:before="300" w:after="200"/>
    </w:pPr>
    <w:rPr>
      <w:sz w:val="48"/>
      <w:szCs w:val="48"/>
    </w:rPr>
  </w:style>
  <w:style w:type="paragraph" w:styleId="797">
    <w:name w:val="annotation subject"/>
    <w:basedOn w:val="778"/>
    <w:next w:val="778"/>
    <w:link w:val="1108"/>
    <w:uiPriority w:val="99"/>
    <w:semiHidden/>
    <w:unhideWhenUsed/>
    <w:qFormat/>
    <w:rPr>
      <w:b/>
      <w:bCs/>
    </w:rPr>
  </w:style>
  <w:style w:type="paragraph" w:styleId="798">
    <w:name w:val="Body Text First Indent"/>
    <w:basedOn w:val="779"/>
    <w:uiPriority w:val="99"/>
    <w:unhideWhenUsed/>
    <w:qFormat/>
    <w:pPr>
      <w:ind w:firstLine="420"/>
      <w:spacing w:after="120"/>
    </w:pPr>
    <w:rPr>
      <w:rFonts w:asciiTheme="minorHAnsi" w:hAnsiTheme="minorHAnsi" w:eastAsiaTheme="minorEastAsia" w:cstheme="minorBidi"/>
      <w:sz w:val="21"/>
      <w:szCs w:val="22"/>
    </w:rPr>
  </w:style>
  <w:style w:type="table" w:styleId="799">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basedOn w:val="772"/>
    <w:uiPriority w:val="99"/>
    <w:semiHidden/>
    <w:unhideWhenUsed/>
    <w:qFormat/>
    <w:rPr>
      <w:sz w:val="21"/>
      <w:szCs w:val="21"/>
    </w:rPr>
  </w:style>
  <w:style w:type="character" w:styleId="803">
    <w:name w:val="footnote reference"/>
    <w:uiPriority w:val="99"/>
    <w:unhideWhenUsed/>
    <w:qFormat/>
    <w:rPr>
      <w:vertAlign w:val="superscript"/>
    </w:rPr>
  </w:style>
  <w:style w:type="table" w:styleId="804"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7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7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7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7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basedOn w:val="77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清单表 7 彩色1"/>
    <w:basedOn w:val="77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3" w:customStyle="1">
    <w:name w:val="TOC 标题1"/>
    <w:uiPriority w:val="39"/>
    <w:unhideWhenUsed/>
    <w:qFormat/>
    <w:rPr>
      <w:rFonts w:ascii="Times New Roman" w:hAnsi="Times New Roman" w:eastAsia="宋体" w:cs="Times New Roman"/>
      <w:lang w:val="en-US" w:eastAsia="zh-CN" w:bidi="ar-SA"/>
    </w:rPr>
  </w:style>
  <w:style w:type="paragraph" w:styleId="824" w:customStyle="1">
    <w:name w:val="TOC 标题112"/>
    <w:uiPriority w:val="39"/>
    <w:unhideWhenUsed/>
    <w:qFormat/>
    <w:rPr>
      <w:rFonts w:ascii="Times New Roman" w:hAnsi="Times New Roman" w:eastAsia="宋体" w:cs="Times New Roman"/>
      <w:lang w:val="en-US" w:eastAsia="zh-CN" w:bidi="ar-SA"/>
    </w:rPr>
  </w:style>
  <w:style w:type="paragraph" w:styleId="825" w:customStyle="1">
    <w:name w:val="标题 41"/>
    <w:basedOn w:val="762"/>
    <w:next w:val="826"/>
    <w:link w:val="845"/>
    <w:uiPriority w:val="0"/>
    <w:qFormat/>
    <w:pPr>
      <w:keepLines/>
      <w:keepNext/>
      <w:spacing w:before="280" w:after="290" w:line="376" w:lineRule="auto"/>
      <w:outlineLvl w:val="3"/>
    </w:pPr>
    <w:rPr>
      <w:rFonts w:ascii="Arial" w:hAnsi="Arial" w:eastAsia="黑体" w:cs="Arial"/>
      <w:b/>
      <w:bCs/>
      <w:sz w:val="28"/>
      <w:szCs w:val="28"/>
    </w:rPr>
  </w:style>
  <w:style w:type="paragraph" w:styleId="826" w:customStyle="1">
    <w:name w:val="正文缩进1"/>
    <w:basedOn w:val="762"/>
    <w:link w:val="990"/>
    <w:uiPriority w:val="0"/>
    <w:qFormat/>
    <w:pPr>
      <w:ind w:firstLine="420"/>
    </w:pPr>
    <w:rPr>
      <w:szCs w:val="21"/>
    </w:rPr>
  </w:style>
  <w:style w:type="character" w:styleId="827" w:customStyle="1">
    <w:name w:val="Heading 1 Char"/>
    <w:basedOn w:val="772"/>
    <w:uiPriority w:val="9"/>
    <w:qFormat/>
    <w:rPr>
      <w:rFonts w:ascii="Arial" w:hAnsi="Arial" w:eastAsia="Arial" w:cs="Arial"/>
      <w:sz w:val="40"/>
      <w:szCs w:val="40"/>
    </w:rPr>
  </w:style>
  <w:style w:type="character" w:styleId="828" w:customStyle="1">
    <w:name w:val="Heading 2 Char"/>
    <w:basedOn w:val="772"/>
    <w:uiPriority w:val="9"/>
    <w:qFormat/>
    <w:rPr>
      <w:rFonts w:ascii="Arial" w:hAnsi="Arial" w:eastAsia="Arial" w:cs="Arial"/>
      <w:sz w:val="34"/>
    </w:rPr>
  </w:style>
  <w:style w:type="character" w:styleId="829" w:customStyle="1">
    <w:name w:val="Heading 3 Char"/>
    <w:basedOn w:val="772"/>
    <w:uiPriority w:val="9"/>
    <w:qFormat/>
    <w:rPr>
      <w:rFonts w:ascii="Arial" w:hAnsi="Arial" w:eastAsia="Arial" w:cs="Arial"/>
      <w:sz w:val="30"/>
      <w:szCs w:val="30"/>
    </w:rPr>
  </w:style>
  <w:style w:type="character" w:styleId="830" w:customStyle="1">
    <w:name w:val="Heading 4 Char"/>
    <w:basedOn w:val="772"/>
    <w:uiPriority w:val="9"/>
    <w:qFormat/>
    <w:rPr>
      <w:rFonts w:ascii="Arial" w:hAnsi="Arial" w:eastAsia="Arial" w:cs="Arial"/>
      <w:b/>
      <w:bCs/>
      <w:sz w:val="26"/>
      <w:szCs w:val="26"/>
    </w:rPr>
  </w:style>
  <w:style w:type="character" w:styleId="831" w:customStyle="1">
    <w:name w:val="Heading 5 Char"/>
    <w:basedOn w:val="772"/>
    <w:uiPriority w:val="9"/>
    <w:qFormat/>
    <w:rPr>
      <w:rFonts w:ascii="Arial" w:hAnsi="Arial" w:eastAsia="Arial" w:cs="Arial"/>
      <w:b/>
      <w:bCs/>
      <w:sz w:val="24"/>
      <w:szCs w:val="24"/>
    </w:rPr>
  </w:style>
  <w:style w:type="character" w:styleId="832" w:customStyle="1">
    <w:name w:val="Heading 6 Char"/>
    <w:basedOn w:val="772"/>
    <w:uiPriority w:val="9"/>
    <w:qFormat/>
    <w:rPr>
      <w:rFonts w:ascii="Arial" w:hAnsi="Arial" w:eastAsia="Arial" w:cs="Arial"/>
      <w:b/>
      <w:bCs/>
      <w:sz w:val="22"/>
      <w:szCs w:val="22"/>
    </w:rPr>
  </w:style>
  <w:style w:type="character" w:styleId="833" w:customStyle="1">
    <w:name w:val="Heading 7 Char"/>
    <w:basedOn w:val="772"/>
    <w:uiPriority w:val="9"/>
    <w:qFormat/>
    <w:rPr>
      <w:rFonts w:ascii="Arial" w:hAnsi="Arial" w:eastAsia="Arial" w:cs="Arial"/>
      <w:b/>
      <w:bCs/>
      <w:i/>
      <w:iCs/>
      <w:sz w:val="22"/>
      <w:szCs w:val="22"/>
    </w:rPr>
  </w:style>
  <w:style w:type="character" w:styleId="834" w:customStyle="1">
    <w:name w:val="Heading 8 Char"/>
    <w:basedOn w:val="772"/>
    <w:uiPriority w:val="9"/>
    <w:qFormat/>
    <w:rPr>
      <w:rFonts w:ascii="Arial" w:hAnsi="Arial" w:eastAsia="Arial" w:cs="Arial"/>
      <w:i/>
      <w:iCs/>
      <w:sz w:val="22"/>
      <w:szCs w:val="22"/>
    </w:rPr>
  </w:style>
  <w:style w:type="character" w:styleId="835" w:customStyle="1">
    <w:name w:val="Heading 9 Char"/>
    <w:basedOn w:val="772"/>
    <w:uiPriority w:val="9"/>
    <w:qFormat/>
    <w:rPr>
      <w:rFonts w:ascii="Arial" w:hAnsi="Arial" w:eastAsia="Arial" w:cs="Arial"/>
      <w:i/>
      <w:iCs/>
      <w:sz w:val="21"/>
      <w:szCs w:val="21"/>
    </w:rPr>
  </w:style>
  <w:style w:type="character" w:styleId="836" w:customStyle="1">
    <w:name w:val="Title Char"/>
    <w:basedOn w:val="772"/>
    <w:uiPriority w:val="10"/>
    <w:qFormat/>
    <w:rPr>
      <w:sz w:val="48"/>
      <w:szCs w:val="48"/>
    </w:rPr>
  </w:style>
  <w:style w:type="character" w:styleId="837" w:customStyle="1">
    <w:name w:val="Subtitle Char"/>
    <w:basedOn w:val="772"/>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72"/>
    <w:uiPriority w:val="99"/>
    <w:qFormat/>
  </w:style>
  <w:style w:type="character" w:styleId="841" w:customStyle="1">
    <w:name w:val="Caption Char"/>
    <w:uiPriority w:val="99"/>
    <w:qFormat/>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11"/>
    <w:uiPriority w:val="39"/>
    <w:unhideWhenUsed/>
    <w:qFormat/>
    <w:rPr>
      <w:rFonts w:ascii="Times New Roman" w:hAnsi="Times New Roman" w:eastAsia="宋体" w:cs="Times New Roman"/>
      <w:lang w:val="en-US" w:eastAsia="zh-CN" w:bidi="ar-SA"/>
    </w:rPr>
  </w:style>
  <w:style w:type="character" w:styleId="845" w:customStyle="1">
    <w:name w:val="标题 4 Char"/>
    <w:link w:val="825"/>
    <w:uiPriority w:val="0"/>
    <w:qFormat/>
    <w:rPr>
      <w:rFonts w:ascii="Arial" w:hAnsi="Arial" w:eastAsia="黑体" w:cs="Arial"/>
      <w:b/>
      <w:bCs/>
      <w:sz w:val="28"/>
      <w:szCs w:val="28"/>
    </w:rPr>
  </w:style>
  <w:style w:type="character" w:styleId="846" w:customStyle="1">
    <w:name w:val="标题 1 Char"/>
    <w:link w:val="847"/>
    <w:uiPriority w:val="0"/>
    <w:qFormat/>
    <w:rPr>
      <w:rFonts w:ascii="楷体_GB2312" w:hAnsi="Times New Roman" w:eastAsia="楷体_GB2312" w:cs="Times New Roman"/>
      <w:sz w:val="28"/>
      <w:szCs w:val="28"/>
    </w:rPr>
  </w:style>
  <w:style w:type="paragraph" w:styleId="847" w:customStyle="1">
    <w:name w:val="标题 11"/>
    <w:basedOn w:val="762"/>
    <w:next w:val="762"/>
    <w:link w:val="846"/>
    <w:uiPriority w:val="0"/>
    <w:qFormat/>
    <w:pPr>
      <w:jc w:val="center"/>
      <w:keepNext/>
      <w:outlineLvl w:val="0"/>
    </w:pPr>
    <w:rPr>
      <w:rFonts w:ascii="楷体_GB2312" w:eastAsia="楷体_GB2312"/>
      <w:sz w:val="28"/>
      <w:szCs w:val="28"/>
    </w:rPr>
  </w:style>
  <w:style w:type="character" w:styleId="848" w:customStyle="1">
    <w:name w:val="标题 3 Char"/>
    <w:link w:val="849"/>
    <w:uiPriority w:val="0"/>
    <w:qFormat/>
    <w:rPr>
      <w:rFonts w:ascii="Times New Roman" w:hAnsi="Times New Roman" w:eastAsia="宋体" w:cs="Times New Roman"/>
      <w:b/>
      <w:bCs/>
      <w:sz w:val="32"/>
      <w:szCs w:val="32"/>
    </w:rPr>
  </w:style>
  <w:style w:type="paragraph" w:styleId="849" w:customStyle="1">
    <w:name w:val="标题 31"/>
    <w:basedOn w:val="762"/>
    <w:next w:val="826"/>
    <w:link w:val="848"/>
    <w:uiPriority w:val="0"/>
    <w:qFormat/>
    <w:pPr>
      <w:keepLines/>
      <w:keepNext/>
      <w:spacing w:before="260" w:after="260" w:line="416" w:lineRule="auto"/>
      <w:outlineLvl w:val="2"/>
    </w:pPr>
    <w:rPr>
      <w:b/>
      <w:bCs/>
      <w:sz w:val="32"/>
      <w:szCs w:val="32"/>
    </w:rPr>
  </w:style>
  <w:style w:type="character" w:styleId="850" w:customStyle="1">
    <w:name w:val="标题 2 Char"/>
    <w:link w:val="851"/>
    <w:uiPriority w:val="0"/>
    <w:qFormat/>
    <w:rPr>
      <w:rFonts w:ascii="Arial" w:hAnsi="Arial" w:eastAsia="幼圆" w:cs="Arial"/>
      <w:b/>
      <w:bCs/>
      <w:sz w:val="44"/>
      <w:szCs w:val="44"/>
    </w:rPr>
  </w:style>
  <w:style w:type="paragraph" w:styleId="851" w:customStyle="1">
    <w:name w:val="标题 21"/>
    <w:basedOn w:val="762"/>
    <w:next w:val="826"/>
    <w:link w:val="8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2" w:customStyle="1">
    <w:name w:val="首行缩进"/>
    <w:basedOn w:val="762"/>
    <w:uiPriority w:val="0"/>
    <w:qFormat/>
    <w:pPr>
      <w:ind w:firstLine="420"/>
      <w:spacing w:line="360" w:lineRule="auto"/>
    </w:pPr>
    <w:rPr>
      <w:sz w:val="20"/>
    </w:rPr>
  </w:style>
  <w:style w:type="paragraph" w:styleId="853" w:customStyle="1">
    <w:name w:val="索引 41"/>
    <w:basedOn w:val="762"/>
    <w:next w:val="762"/>
    <w:uiPriority w:val="0"/>
    <w:semiHidden/>
    <w:qFormat/>
    <w:pPr>
      <w:ind w:left="1260"/>
    </w:pPr>
    <w:rPr>
      <w:rFonts w:ascii="Calibri" w:hAnsi="Calibri" w:eastAsia="Calibri" w:cs="宋体"/>
      <w:sz w:val="20"/>
      <w:lang w:val="zh-CN"/>
    </w:rPr>
  </w:style>
  <w:style w:type="character" w:styleId="854" w:customStyle="1">
    <w:name w:val="标题 1 字符"/>
    <w:link w:val="763"/>
    <w:uiPriority w:val="9"/>
    <w:qFormat/>
    <w:rPr>
      <w:rFonts w:ascii="Arial" w:hAnsi="Arial" w:eastAsia="Arial" w:cs="Arial"/>
      <w:sz w:val="40"/>
      <w:szCs w:val="40"/>
    </w:rPr>
  </w:style>
  <w:style w:type="character" w:styleId="855" w:customStyle="1">
    <w:name w:val="标题 2 字符"/>
    <w:link w:val="764"/>
    <w:uiPriority w:val="9"/>
    <w:qFormat/>
    <w:rPr>
      <w:rFonts w:ascii="Arial" w:hAnsi="Arial" w:eastAsia="Arial" w:cs="Arial"/>
      <w:sz w:val="34"/>
    </w:rPr>
  </w:style>
  <w:style w:type="character" w:styleId="856" w:customStyle="1">
    <w:name w:val="标题 3 字符"/>
    <w:link w:val="765"/>
    <w:uiPriority w:val="9"/>
    <w:qFormat/>
    <w:rPr>
      <w:rFonts w:ascii="Arial" w:hAnsi="Arial" w:eastAsia="Arial" w:cs="Arial"/>
      <w:sz w:val="30"/>
      <w:szCs w:val="30"/>
    </w:rPr>
  </w:style>
  <w:style w:type="character" w:styleId="857" w:customStyle="1">
    <w:name w:val="标题 4 字符"/>
    <w:link w:val="766"/>
    <w:uiPriority w:val="9"/>
    <w:qFormat/>
    <w:rPr>
      <w:rFonts w:ascii="Arial" w:hAnsi="Arial" w:eastAsia="Arial" w:cs="Arial"/>
      <w:b/>
      <w:bCs/>
      <w:sz w:val="26"/>
      <w:szCs w:val="26"/>
    </w:rPr>
  </w:style>
  <w:style w:type="character" w:styleId="858" w:customStyle="1">
    <w:name w:val="标题 5 字符"/>
    <w:link w:val="767"/>
    <w:uiPriority w:val="9"/>
    <w:qFormat/>
    <w:rPr>
      <w:rFonts w:ascii="Arial" w:hAnsi="Arial" w:eastAsia="Arial" w:cs="Arial"/>
      <w:b/>
      <w:bCs/>
      <w:sz w:val="24"/>
      <w:szCs w:val="24"/>
    </w:rPr>
  </w:style>
  <w:style w:type="character" w:styleId="859" w:customStyle="1">
    <w:name w:val="标题 6 字符"/>
    <w:link w:val="768"/>
    <w:uiPriority w:val="9"/>
    <w:qFormat/>
    <w:rPr>
      <w:rFonts w:ascii="Arial" w:hAnsi="Arial" w:eastAsia="Arial" w:cs="Arial"/>
      <w:b/>
      <w:bCs/>
      <w:sz w:val="22"/>
      <w:szCs w:val="22"/>
    </w:rPr>
  </w:style>
  <w:style w:type="character" w:styleId="860" w:customStyle="1">
    <w:name w:val="标题 7 字符"/>
    <w:link w:val="769"/>
    <w:uiPriority w:val="9"/>
    <w:qFormat/>
    <w:rPr>
      <w:rFonts w:ascii="Arial" w:hAnsi="Arial" w:eastAsia="Arial" w:cs="Arial"/>
      <w:b/>
      <w:bCs/>
      <w:i/>
      <w:iCs/>
      <w:sz w:val="22"/>
      <w:szCs w:val="22"/>
    </w:rPr>
  </w:style>
  <w:style w:type="character" w:styleId="861" w:customStyle="1">
    <w:name w:val="标题 8 字符"/>
    <w:link w:val="770"/>
    <w:uiPriority w:val="9"/>
    <w:qFormat/>
    <w:rPr>
      <w:rFonts w:ascii="Arial" w:hAnsi="Arial" w:eastAsia="Arial" w:cs="Arial"/>
      <w:i/>
      <w:iCs/>
      <w:sz w:val="22"/>
      <w:szCs w:val="22"/>
    </w:rPr>
  </w:style>
  <w:style w:type="character" w:styleId="862" w:customStyle="1">
    <w:name w:val="标题 9 字符"/>
    <w:link w:val="771"/>
    <w:uiPriority w:val="9"/>
    <w:qFormat/>
    <w:rPr>
      <w:rFonts w:ascii="Arial" w:hAnsi="Arial" w:eastAsia="Arial" w:cs="Arial"/>
      <w:i/>
      <w:iCs/>
      <w:sz w:val="21"/>
      <w:szCs w:val="21"/>
    </w:rPr>
  </w:style>
  <w:style w:type="paragraph" w:styleId="863">
    <w:name w:val="List Paragraph"/>
    <w:basedOn w:val="762"/>
    <w:uiPriority w:val="99"/>
    <w:qFormat/>
    <w:pPr>
      <w:contextualSpacing/>
      <w:ind w:left="720"/>
    </w:p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标题 字符"/>
    <w:link w:val="796"/>
    <w:uiPriority w:val="10"/>
    <w:qFormat/>
    <w:rPr>
      <w:sz w:val="48"/>
      <w:szCs w:val="48"/>
    </w:rPr>
  </w:style>
  <w:style w:type="character" w:styleId="866" w:customStyle="1">
    <w:name w:val="副标题 字符"/>
    <w:link w:val="790"/>
    <w:uiPriority w:val="11"/>
    <w:qFormat/>
    <w:rPr>
      <w:sz w:val="24"/>
      <w:szCs w:val="24"/>
    </w:rPr>
  </w:style>
  <w:style w:type="paragraph" w:styleId="867">
    <w:name w:val="Quote"/>
    <w:basedOn w:val="762"/>
    <w:next w:val="762"/>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62"/>
    <w:next w:val="762"/>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眉 字符"/>
    <w:link w:val="787"/>
    <w:uiPriority w:val="99"/>
    <w:qFormat/>
  </w:style>
  <w:style w:type="character" w:styleId="872" w:customStyle="1">
    <w:name w:val="Footer Char"/>
    <w:uiPriority w:val="99"/>
    <w:qFormat/>
  </w:style>
  <w:style w:type="character" w:styleId="873" w:customStyle="1">
    <w:name w:val="页脚 字符"/>
    <w:link w:val="786"/>
    <w:uiPriority w:val="99"/>
    <w:qFormat/>
  </w:style>
  <w:style w:type="table" w:styleId="8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791"/>
    <w:uiPriority w:val="99"/>
    <w:qFormat/>
    <w:rPr>
      <w:sz w:val="18"/>
    </w:rPr>
  </w:style>
  <w:style w:type="character" w:styleId="981" w:customStyle="1">
    <w:name w:val="尾注文本 字符"/>
    <w:link w:val="784"/>
    <w:uiPriority w:val="99"/>
    <w:qFormat/>
    <w:rPr>
      <w:sz w:val="20"/>
    </w:rPr>
  </w:style>
  <w:style w:type="paragraph" w:styleId="982" w:customStyle="1">
    <w:name w:val="TOC 标题11"/>
    <w:uiPriority w:val="39"/>
    <w:unhideWhenUsed/>
    <w:qFormat/>
    <w:rPr>
      <w:rFonts w:ascii="Times New Roman" w:hAnsi="Times New Roman" w:eastAsia="宋体" w:cs="Times New Roman"/>
      <w:lang w:val="en-US" w:eastAsia="zh-CN" w:bidi="ar-SA"/>
    </w:rPr>
  </w:style>
  <w:style w:type="paragraph" w:styleId="983" w:customStyle="1">
    <w:name w:val="标题 51"/>
    <w:basedOn w:val="762"/>
    <w:next w:val="826"/>
    <w:link w:val="991"/>
    <w:uiPriority w:val="0"/>
    <w:qFormat/>
    <w:pPr>
      <w:keepNext/>
      <w:outlineLvl w:val="4"/>
    </w:pPr>
    <w:rPr>
      <w:rFonts w:ascii="宋体"/>
      <w:color w:val="000000"/>
      <w:sz w:val="28"/>
      <w:szCs w:val="28"/>
    </w:rPr>
  </w:style>
  <w:style w:type="paragraph" w:styleId="984" w:customStyle="1">
    <w:name w:val="标题 61"/>
    <w:basedOn w:val="762"/>
    <w:next w:val="762"/>
    <w:link w:val="992"/>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85" w:customStyle="1">
    <w:name w:val="标题 71"/>
    <w:basedOn w:val="762"/>
    <w:next w:val="762"/>
    <w:link w:val="993"/>
    <w:uiPriority w:val="0"/>
    <w:qFormat/>
    <w:pPr>
      <w:numPr>
        <w:ilvl w:val="6"/>
        <w:numId w:val="2"/>
      </w:numPr>
      <w:keepLines/>
      <w:keepNext/>
      <w:spacing w:before="240" w:after="64" w:line="320" w:lineRule="auto"/>
      <w:outlineLvl w:val="6"/>
    </w:pPr>
    <w:rPr>
      <w:b/>
      <w:bCs/>
      <w:sz w:val="24"/>
      <w:szCs w:val="24"/>
    </w:rPr>
  </w:style>
  <w:style w:type="paragraph" w:styleId="986" w:customStyle="1">
    <w:name w:val="标题 81"/>
    <w:basedOn w:val="762"/>
    <w:next w:val="762"/>
    <w:link w:val="99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87" w:customStyle="1">
    <w:name w:val="标题 91"/>
    <w:basedOn w:val="762"/>
    <w:next w:val="762"/>
    <w:link w:val="995"/>
    <w:uiPriority w:val="0"/>
    <w:qFormat/>
    <w:pPr>
      <w:numPr>
        <w:ilvl w:val="8"/>
        <w:numId w:val="2"/>
      </w:numPr>
      <w:keepLines/>
      <w:keepNext/>
      <w:spacing w:before="240" w:after="64" w:line="320" w:lineRule="auto"/>
      <w:outlineLvl w:val="8"/>
    </w:pPr>
    <w:rPr>
      <w:rFonts w:ascii="Arial" w:hAnsi="Arial" w:eastAsia="黑体"/>
      <w:szCs w:val="21"/>
    </w:rPr>
  </w:style>
  <w:style w:type="character" w:styleId="988" w:customStyle="1">
    <w:name w:val="默认段落字体1"/>
    <w:uiPriority w:val="1"/>
    <w:unhideWhenUsed/>
    <w:qFormat/>
  </w:style>
  <w:style w:type="table" w:styleId="989" w:customStyle="1">
    <w:name w:val="普通表格1"/>
    <w:uiPriority w:val="99"/>
    <w:unhideWhenUsed/>
    <w:qFormat/>
    <w:tblPr>
      <w:tblCellMar>
        <w:left w:w="0" w:type="dxa"/>
        <w:top w:w="0" w:type="dxa"/>
        <w:right w:w="0" w:type="dxa"/>
        <w:bottom w:w="0" w:type="dxa"/>
      </w:tblCellMar>
    </w:tblPr>
  </w:style>
  <w:style w:type="character" w:styleId="990" w:customStyle="1">
    <w:name w:val="正文缩进 Char"/>
    <w:link w:val="826"/>
    <w:uiPriority w:val="0"/>
    <w:qFormat/>
    <w:rPr>
      <w:szCs w:val="21"/>
    </w:rPr>
  </w:style>
  <w:style w:type="character" w:styleId="991" w:customStyle="1">
    <w:name w:val="标题 5 Char"/>
    <w:link w:val="983"/>
    <w:uiPriority w:val="0"/>
    <w:qFormat/>
    <w:rPr>
      <w:rFonts w:ascii="宋体" w:hAnsi="Times New Roman" w:eastAsia="宋体" w:cs="Times New Roman"/>
      <w:color w:val="000000"/>
      <w:sz w:val="28"/>
      <w:szCs w:val="28"/>
    </w:rPr>
  </w:style>
  <w:style w:type="character" w:styleId="992" w:customStyle="1">
    <w:name w:val="标题 6 Char"/>
    <w:link w:val="984"/>
    <w:uiPriority w:val="0"/>
    <w:qFormat/>
    <w:rPr>
      <w:rFonts w:ascii="Arial" w:hAnsi="Arial" w:eastAsia="黑体" w:cs="Times New Roman"/>
      <w:b/>
      <w:bCs/>
      <w:sz w:val="24"/>
      <w:szCs w:val="24"/>
    </w:rPr>
  </w:style>
  <w:style w:type="character" w:styleId="993" w:customStyle="1">
    <w:name w:val="标题 7 Char"/>
    <w:link w:val="985"/>
    <w:uiPriority w:val="0"/>
    <w:qFormat/>
    <w:rPr>
      <w:rFonts w:ascii="Times New Roman" w:hAnsi="Times New Roman" w:eastAsia="宋体" w:cs="Times New Roman"/>
      <w:b/>
      <w:bCs/>
      <w:sz w:val="24"/>
      <w:szCs w:val="24"/>
    </w:rPr>
  </w:style>
  <w:style w:type="character" w:styleId="994" w:customStyle="1">
    <w:name w:val="标题 8 Char"/>
    <w:link w:val="986"/>
    <w:uiPriority w:val="0"/>
    <w:qFormat/>
    <w:rPr>
      <w:rFonts w:ascii="Arial" w:hAnsi="Arial" w:eastAsia="黑体" w:cs="Times New Roman"/>
      <w:sz w:val="24"/>
      <w:szCs w:val="24"/>
    </w:rPr>
  </w:style>
  <w:style w:type="character" w:styleId="995" w:customStyle="1">
    <w:name w:val="标题 9 Char"/>
    <w:link w:val="987"/>
    <w:uiPriority w:val="0"/>
    <w:qFormat/>
    <w:rPr>
      <w:rFonts w:ascii="Arial" w:hAnsi="Arial" w:eastAsia="黑体" w:cs="Times New Roman"/>
      <w:szCs w:val="21"/>
    </w:rPr>
  </w:style>
  <w:style w:type="paragraph" w:styleId="996" w:customStyle="1">
    <w:name w:val="列表 31"/>
    <w:basedOn w:val="762"/>
    <w:uiPriority w:val="0"/>
    <w:qFormat/>
    <w:pPr>
      <w:ind w:left="100" w:hanging="200"/>
    </w:pPr>
    <w:rPr>
      <w:szCs w:val="21"/>
    </w:rPr>
  </w:style>
  <w:style w:type="paragraph" w:styleId="997" w:customStyle="1">
    <w:name w:val="目录 71"/>
    <w:basedOn w:val="762"/>
    <w:next w:val="762"/>
    <w:uiPriority w:val="0"/>
    <w:semiHidden/>
    <w:qFormat/>
    <w:pPr>
      <w:ind w:left="1260"/>
      <w:jc w:val="left"/>
    </w:pPr>
    <w:rPr>
      <w:szCs w:val="21"/>
    </w:rPr>
  </w:style>
  <w:style w:type="paragraph" w:styleId="998" w:customStyle="1">
    <w:name w:val="文档结构图1"/>
    <w:basedOn w:val="762"/>
    <w:link w:val="999"/>
    <w:uiPriority w:val="0"/>
    <w:semiHidden/>
    <w:qFormat/>
    <w:pPr>
      <w:shd w:val="clear" w:color="auto" w:fill="000080"/>
    </w:pPr>
    <w:rPr>
      <w:szCs w:val="21"/>
    </w:rPr>
  </w:style>
  <w:style w:type="character" w:styleId="999" w:customStyle="1">
    <w:name w:val="文档结构图 Char"/>
    <w:link w:val="998"/>
    <w:uiPriority w:val="0"/>
    <w:semiHidden/>
    <w:qFormat/>
    <w:rPr>
      <w:rFonts w:ascii="Times New Roman" w:hAnsi="Times New Roman" w:eastAsia="宋体" w:cs="Times New Roman"/>
      <w:szCs w:val="21"/>
      <w:shd w:val="clear" w:color="auto" w:fill="000080"/>
    </w:rPr>
  </w:style>
  <w:style w:type="paragraph" w:styleId="1000" w:customStyle="1">
    <w:name w:val="批注文字1"/>
    <w:basedOn w:val="762"/>
    <w:link w:val="1001"/>
    <w:uiPriority w:val="0"/>
    <w:unhideWhenUsed/>
    <w:qFormat/>
    <w:pPr>
      <w:jc w:val="left"/>
    </w:pPr>
  </w:style>
  <w:style w:type="character" w:styleId="1001" w:customStyle="1">
    <w:name w:val="批注文字 Char"/>
    <w:basedOn w:val="988"/>
    <w:link w:val="1000"/>
    <w:uiPriority w:val="99"/>
    <w:semiHidden/>
    <w:qFormat/>
  </w:style>
  <w:style w:type="paragraph" w:styleId="1002" w:customStyle="1">
    <w:name w:val="正文文本 31"/>
    <w:basedOn w:val="762"/>
    <w:link w:val="1003"/>
    <w:uiPriority w:val="0"/>
    <w:qFormat/>
    <w:rPr>
      <w:rFonts w:ascii="仿宋_GB2312" w:hAnsi="Arial" w:eastAsia="仿宋_GB2312"/>
      <w:sz w:val="32"/>
      <w:szCs w:val="32"/>
    </w:rPr>
  </w:style>
  <w:style w:type="character" w:styleId="1003" w:customStyle="1">
    <w:name w:val="正文文本 3 Char"/>
    <w:link w:val="1002"/>
    <w:uiPriority w:val="0"/>
    <w:qFormat/>
    <w:rPr>
      <w:rFonts w:ascii="仿宋_GB2312" w:hAnsi="Arial" w:eastAsia="仿宋_GB2312" w:cs="Times New Roman"/>
      <w:sz w:val="32"/>
      <w:szCs w:val="32"/>
    </w:rPr>
  </w:style>
  <w:style w:type="paragraph" w:styleId="1004" w:customStyle="1">
    <w:name w:val="正文文本11"/>
    <w:basedOn w:val="762"/>
    <w:link w:val="1005"/>
    <w:uiPriority w:val="0"/>
    <w:qFormat/>
    <w:rPr>
      <w:rFonts w:ascii="楷体_GB2312" w:hAnsi="Arial" w:eastAsia="楷体_GB2312"/>
      <w:sz w:val="28"/>
      <w:szCs w:val="28"/>
    </w:rPr>
  </w:style>
  <w:style w:type="character" w:styleId="1005" w:customStyle="1">
    <w:name w:val="正文文本 Char"/>
    <w:link w:val="1004"/>
    <w:uiPriority w:val="0"/>
    <w:qFormat/>
    <w:rPr>
      <w:rFonts w:ascii="楷体_GB2312" w:hAnsi="Arial" w:eastAsia="楷体_GB2312" w:cs="Times New Roman"/>
      <w:sz w:val="28"/>
      <w:szCs w:val="28"/>
    </w:rPr>
  </w:style>
  <w:style w:type="paragraph" w:styleId="1006" w:customStyle="1">
    <w:name w:val="正文文本缩进1"/>
    <w:basedOn w:val="762"/>
    <w:link w:val="1007"/>
    <w:uiPriority w:val="0"/>
    <w:unhideWhenUsed/>
    <w:qFormat/>
    <w:pPr>
      <w:ind w:left="420"/>
      <w:spacing w:after="120"/>
    </w:pPr>
  </w:style>
  <w:style w:type="character" w:styleId="1007" w:customStyle="1">
    <w:name w:val="正文文本缩进 Char"/>
    <w:basedOn w:val="988"/>
    <w:link w:val="1006"/>
    <w:uiPriority w:val="99"/>
    <w:semiHidden/>
    <w:qFormat/>
  </w:style>
  <w:style w:type="paragraph" w:styleId="1008" w:customStyle="1">
    <w:name w:val="列表 21"/>
    <w:basedOn w:val="762"/>
    <w:uiPriority w:val="0"/>
    <w:qFormat/>
    <w:pPr>
      <w:ind w:left="100" w:hanging="200"/>
    </w:pPr>
    <w:rPr>
      <w:szCs w:val="21"/>
    </w:rPr>
  </w:style>
  <w:style w:type="paragraph" w:styleId="1009" w:customStyle="1">
    <w:name w:val="索引 42"/>
    <w:basedOn w:val="762"/>
    <w:next w:val="762"/>
    <w:uiPriority w:val="0"/>
    <w:semiHidden/>
    <w:qFormat/>
    <w:pPr>
      <w:ind w:left="1260"/>
    </w:pPr>
    <w:rPr>
      <w:rFonts w:ascii="Calibri" w:hAnsi="Calibri" w:eastAsia="Calibri" w:cs="宋体"/>
      <w:sz w:val="20"/>
      <w:lang w:val="zh-CN"/>
    </w:rPr>
  </w:style>
  <w:style w:type="paragraph" w:styleId="1010" w:customStyle="1">
    <w:name w:val="目录 51"/>
    <w:basedOn w:val="762"/>
    <w:next w:val="762"/>
    <w:uiPriority w:val="0"/>
    <w:semiHidden/>
    <w:qFormat/>
    <w:pPr>
      <w:ind w:left="840"/>
      <w:jc w:val="left"/>
    </w:pPr>
    <w:rPr>
      <w:szCs w:val="21"/>
    </w:rPr>
  </w:style>
  <w:style w:type="paragraph" w:styleId="1011" w:customStyle="1">
    <w:name w:val="目录 31"/>
    <w:basedOn w:val="762"/>
    <w:next w:val="762"/>
    <w:uiPriority w:val="0"/>
    <w:semiHidden/>
    <w:qFormat/>
    <w:pPr>
      <w:ind w:left="420"/>
      <w:jc w:val="left"/>
    </w:pPr>
    <w:rPr>
      <w:i/>
      <w:iCs/>
      <w:szCs w:val="24"/>
    </w:rPr>
  </w:style>
  <w:style w:type="paragraph" w:styleId="1012" w:customStyle="1">
    <w:name w:val="纯文本1"/>
    <w:basedOn w:val="762"/>
    <w:link w:val="1013"/>
    <w:uiPriority w:val="0"/>
    <w:qFormat/>
    <w:rPr>
      <w:rFonts w:ascii="宋体" w:hAnsi="Courier New" w:cs="Courier New"/>
      <w:szCs w:val="21"/>
    </w:rPr>
  </w:style>
  <w:style w:type="character" w:styleId="1013" w:customStyle="1">
    <w:name w:val="纯文本 Char"/>
    <w:link w:val="1012"/>
    <w:uiPriority w:val="0"/>
    <w:qFormat/>
    <w:rPr>
      <w:rFonts w:ascii="宋体" w:hAnsi="Courier New" w:eastAsia="宋体" w:cs="Courier New"/>
      <w:szCs w:val="21"/>
    </w:rPr>
  </w:style>
  <w:style w:type="paragraph" w:styleId="1014" w:customStyle="1">
    <w:name w:val="目录 81"/>
    <w:basedOn w:val="762"/>
    <w:next w:val="762"/>
    <w:uiPriority w:val="0"/>
    <w:semiHidden/>
    <w:qFormat/>
    <w:pPr>
      <w:ind w:left="1470"/>
      <w:jc w:val="left"/>
    </w:pPr>
    <w:rPr>
      <w:szCs w:val="21"/>
    </w:rPr>
  </w:style>
  <w:style w:type="paragraph" w:styleId="1015" w:customStyle="1">
    <w:name w:val="日期1"/>
    <w:basedOn w:val="762"/>
    <w:next w:val="762"/>
    <w:link w:val="1016"/>
    <w:uiPriority w:val="0"/>
    <w:qFormat/>
    <w:rPr>
      <w:sz w:val="24"/>
      <w:szCs w:val="24"/>
    </w:rPr>
  </w:style>
  <w:style w:type="character" w:styleId="1016" w:customStyle="1">
    <w:name w:val="日期 Char"/>
    <w:link w:val="1015"/>
    <w:uiPriority w:val="0"/>
    <w:qFormat/>
    <w:rPr>
      <w:rFonts w:ascii="Times New Roman" w:hAnsi="Times New Roman" w:eastAsia="宋体" w:cs="Times New Roman"/>
      <w:sz w:val="24"/>
      <w:szCs w:val="24"/>
    </w:rPr>
  </w:style>
  <w:style w:type="paragraph" w:styleId="1017" w:customStyle="1">
    <w:name w:val="正文文本缩进 21"/>
    <w:basedOn w:val="762"/>
    <w:link w:val="1018"/>
    <w:uiPriority w:val="0"/>
    <w:qFormat/>
    <w:pPr>
      <w:ind w:left="630" w:firstLine="645"/>
    </w:pPr>
    <w:rPr>
      <w:rFonts w:ascii="Arial" w:hAnsi="Arial" w:eastAsia="仿宋_GB2312" w:cs="Arial"/>
      <w:sz w:val="32"/>
      <w:szCs w:val="32"/>
    </w:rPr>
  </w:style>
  <w:style w:type="character" w:styleId="1018" w:customStyle="1">
    <w:name w:val="正文文本缩进 2 Char"/>
    <w:link w:val="1017"/>
    <w:uiPriority w:val="0"/>
    <w:qFormat/>
    <w:rPr>
      <w:rFonts w:ascii="Arial" w:hAnsi="Arial" w:eastAsia="仿宋_GB2312" w:cs="Arial"/>
      <w:sz w:val="32"/>
      <w:szCs w:val="32"/>
    </w:rPr>
  </w:style>
  <w:style w:type="paragraph" w:styleId="1019" w:customStyle="1">
    <w:name w:val="批注框文本1"/>
    <w:basedOn w:val="762"/>
    <w:link w:val="1020"/>
    <w:uiPriority w:val="0"/>
    <w:semiHidden/>
    <w:qFormat/>
    <w:rPr>
      <w:sz w:val="18"/>
      <w:szCs w:val="18"/>
    </w:rPr>
  </w:style>
  <w:style w:type="character" w:styleId="1020" w:customStyle="1">
    <w:name w:val="批注框文本 Char"/>
    <w:link w:val="1019"/>
    <w:uiPriority w:val="0"/>
    <w:semiHidden/>
    <w:qFormat/>
    <w:rPr>
      <w:rFonts w:ascii="Times New Roman" w:hAnsi="Times New Roman" w:eastAsia="宋体" w:cs="Times New Roman"/>
      <w:sz w:val="18"/>
      <w:szCs w:val="18"/>
    </w:rPr>
  </w:style>
  <w:style w:type="paragraph" w:styleId="1021" w:customStyle="1">
    <w:name w:val="页脚1"/>
    <w:basedOn w:val="762"/>
    <w:link w:val="1022"/>
    <w:uiPriority w:val="0"/>
    <w:qFormat/>
    <w:pPr>
      <w:jc w:val="left"/>
      <w:tabs>
        <w:tab w:val="center" w:pos="4153" w:leader="none"/>
        <w:tab w:val="right" w:pos="8306" w:leader="none"/>
      </w:tabs>
    </w:pPr>
    <w:rPr>
      <w:sz w:val="18"/>
      <w:szCs w:val="18"/>
    </w:rPr>
  </w:style>
  <w:style w:type="character" w:styleId="1022" w:customStyle="1">
    <w:name w:val="页脚 Char"/>
    <w:link w:val="1021"/>
    <w:uiPriority w:val="0"/>
    <w:qFormat/>
    <w:rPr>
      <w:rFonts w:ascii="Times New Roman" w:hAnsi="Times New Roman" w:eastAsia="宋体" w:cs="Times New Roman"/>
      <w:sz w:val="18"/>
      <w:szCs w:val="18"/>
    </w:rPr>
  </w:style>
  <w:style w:type="paragraph" w:styleId="1023" w:customStyle="1">
    <w:name w:val="页眉1"/>
    <w:basedOn w:val="762"/>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Char"/>
    <w:link w:val="1023"/>
    <w:uiPriority w:val="0"/>
    <w:qFormat/>
    <w:rPr>
      <w:rFonts w:ascii="Times New Roman" w:hAnsi="Times New Roman" w:eastAsia="宋体" w:cs="Times New Roman"/>
      <w:sz w:val="18"/>
      <w:szCs w:val="18"/>
    </w:rPr>
  </w:style>
  <w:style w:type="paragraph" w:styleId="1025" w:customStyle="1">
    <w:name w:val="目录 11"/>
    <w:basedOn w:val="762"/>
    <w:next w:val="762"/>
    <w:uiPriority w:val="0"/>
    <w:semiHidden/>
    <w:qFormat/>
    <w:pPr>
      <w:jc w:val="left"/>
      <w:spacing w:before="120" w:after="120" w:line="400" w:lineRule="exact"/>
      <w:tabs>
        <w:tab w:val="right" w:pos="8720" w:leader="dot"/>
      </w:tabs>
    </w:pPr>
    <w:rPr>
      <w:rFonts w:ascii="宋体" w:hAnsi="宋体"/>
      <w:caps/>
      <w:sz w:val="24"/>
      <w:szCs w:val="24"/>
    </w:rPr>
  </w:style>
  <w:style w:type="paragraph" w:styleId="1026" w:customStyle="1">
    <w:name w:val="目录 41"/>
    <w:basedOn w:val="762"/>
    <w:next w:val="762"/>
    <w:uiPriority w:val="0"/>
    <w:semiHidden/>
    <w:qFormat/>
    <w:pPr>
      <w:ind w:left="630"/>
      <w:jc w:val="left"/>
    </w:pPr>
    <w:rPr>
      <w:szCs w:val="21"/>
    </w:rPr>
  </w:style>
  <w:style w:type="paragraph" w:styleId="1027" w:customStyle="1">
    <w:name w:val="列表1"/>
    <w:basedOn w:val="762"/>
    <w:uiPriority w:val="0"/>
    <w:qFormat/>
    <w:pPr>
      <w:ind w:left="200" w:hanging="200"/>
    </w:pPr>
    <w:rPr>
      <w:szCs w:val="21"/>
    </w:rPr>
  </w:style>
  <w:style w:type="paragraph" w:styleId="1028" w:customStyle="1">
    <w:name w:val="目录 61"/>
    <w:basedOn w:val="762"/>
    <w:next w:val="762"/>
    <w:uiPriority w:val="0"/>
    <w:semiHidden/>
    <w:qFormat/>
    <w:pPr>
      <w:ind w:left="1050"/>
      <w:jc w:val="left"/>
    </w:pPr>
    <w:rPr>
      <w:szCs w:val="21"/>
    </w:rPr>
  </w:style>
  <w:style w:type="paragraph" w:styleId="1029" w:customStyle="1">
    <w:name w:val="正文文本缩进 31"/>
    <w:basedOn w:val="762"/>
    <w:link w:val="1030"/>
    <w:uiPriority w:val="0"/>
    <w:qFormat/>
    <w:pPr>
      <w:ind w:left="645" w:firstLine="645"/>
    </w:pPr>
    <w:rPr>
      <w:rFonts w:ascii="Arial" w:hAnsi="Arial" w:eastAsia="仿宋_GB2312" w:cs="Arial"/>
      <w:color w:val="ffff00"/>
      <w:sz w:val="32"/>
      <w:szCs w:val="32"/>
    </w:rPr>
  </w:style>
  <w:style w:type="character" w:styleId="1030" w:customStyle="1">
    <w:name w:val="正文文本缩进 3 Char"/>
    <w:link w:val="1029"/>
    <w:uiPriority w:val="0"/>
    <w:qFormat/>
    <w:rPr>
      <w:rFonts w:ascii="Arial" w:hAnsi="Arial" w:eastAsia="仿宋_GB2312" w:cs="Arial"/>
      <w:color w:val="ffff00"/>
      <w:sz w:val="32"/>
      <w:szCs w:val="32"/>
    </w:rPr>
  </w:style>
  <w:style w:type="paragraph" w:styleId="1031" w:customStyle="1">
    <w:name w:val="图表目录1"/>
    <w:basedOn w:val="762"/>
    <w:next w:val="762"/>
    <w:uiPriority w:val="0"/>
    <w:semiHidden/>
    <w:qFormat/>
    <w:pPr>
      <w:ind w:left="840" w:hanging="420"/>
    </w:pPr>
    <w:rPr>
      <w:szCs w:val="21"/>
    </w:rPr>
  </w:style>
  <w:style w:type="paragraph" w:styleId="1032" w:customStyle="1">
    <w:name w:val="目录 21"/>
    <w:basedOn w:val="762"/>
    <w:next w:val="762"/>
    <w:uiPriority w:val="0"/>
    <w:semiHidden/>
    <w:qFormat/>
    <w:pPr>
      <w:ind w:left="210"/>
      <w:jc w:val="left"/>
    </w:pPr>
    <w:rPr>
      <w:smallCaps/>
      <w:szCs w:val="24"/>
    </w:rPr>
  </w:style>
  <w:style w:type="paragraph" w:styleId="1033" w:customStyle="1">
    <w:name w:val="目录 91"/>
    <w:basedOn w:val="762"/>
    <w:next w:val="762"/>
    <w:uiPriority w:val="0"/>
    <w:semiHidden/>
    <w:qFormat/>
    <w:pPr>
      <w:ind w:left="1680"/>
      <w:jc w:val="left"/>
    </w:pPr>
    <w:rPr>
      <w:szCs w:val="21"/>
    </w:rPr>
  </w:style>
  <w:style w:type="paragraph" w:styleId="1034" w:customStyle="1">
    <w:name w:val="正文文本 21"/>
    <w:basedOn w:val="762"/>
    <w:link w:val="1035"/>
    <w:uiPriority w:val="0"/>
    <w:qFormat/>
    <w:pPr>
      <w:jc w:val="center"/>
      <w:widowControl/>
    </w:pPr>
    <w:rPr>
      <w:rFonts w:ascii="楷体_GB2312" w:eastAsia="楷体_GB2312"/>
      <w:sz w:val="28"/>
      <w:szCs w:val="28"/>
    </w:rPr>
  </w:style>
  <w:style w:type="character" w:styleId="1035" w:customStyle="1">
    <w:name w:val="正文文本 2 Char"/>
    <w:link w:val="1034"/>
    <w:uiPriority w:val="0"/>
    <w:qFormat/>
    <w:rPr>
      <w:rFonts w:ascii="楷体_GB2312" w:hAnsi="Times New Roman" w:eastAsia="楷体_GB2312" w:cs="Times New Roman"/>
      <w:sz w:val="28"/>
      <w:szCs w:val="28"/>
    </w:rPr>
  </w:style>
  <w:style w:type="paragraph" w:styleId="1036" w:customStyle="1">
    <w:name w:val="普通(网站)1"/>
    <w:basedOn w:val="762"/>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62"/>
    <w:next w:val="762"/>
    <w:uiPriority w:val="0"/>
    <w:semiHidden/>
    <w:qFormat/>
    <w:pPr>
      <w:spacing w:line="240" w:lineRule="atLeast"/>
    </w:pPr>
    <w:rPr>
      <w:b/>
      <w:bCs/>
      <w:szCs w:val="21"/>
    </w:rPr>
  </w:style>
  <w:style w:type="paragraph" w:styleId="1038" w:customStyle="1">
    <w:name w:val="批注主题1"/>
    <w:basedOn w:val="1000"/>
    <w:next w:val="1000"/>
    <w:link w:val="1039"/>
    <w:uiPriority w:val="0"/>
    <w:semiHidden/>
    <w:qFormat/>
    <w:rPr>
      <w:b/>
      <w:bCs/>
      <w:szCs w:val="21"/>
    </w:rPr>
  </w:style>
  <w:style w:type="character" w:styleId="1039" w:customStyle="1">
    <w:name w:val="批注主题 Char"/>
    <w:link w:val="1038"/>
    <w:uiPriority w:val="0"/>
    <w:semiHidden/>
    <w:qFormat/>
    <w:rPr>
      <w:rFonts w:ascii="Times New Roman" w:hAnsi="Times New Roman" w:eastAsia="宋体" w:cs="Times New Roman"/>
      <w:b/>
      <w:bCs/>
      <w:szCs w:val="21"/>
    </w:rPr>
  </w:style>
  <w:style w:type="paragraph" w:styleId="1040" w:customStyle="1">
    <w:name w:val="正文首行缩进1"/>
    <w:basedOn w:val="762"/>
    <w:link w:val="1041"/>
    <w:uiPriority w:val="0"/>
    <w:qFormat/>
    <w:pPr>
      <w:ind w:firstLine="200"/>
      <w:spacing w:line="360" w:lineRule="auto"/>
    </w:pPr>
    <w:rPr>
      <w:rFonts w:ascii="仿宋_GB2312" w:eastAsia="仿宋_GB2312"/>
      <w:sz w:val="30"/>
      <w:szCs w:val="30"/>
    </w:rPr>
  </w:style>
  <w:style w:type="character" w:styleId="1041" w:customStyle="1">
    <w:name w:val="正文首行缩进 Char"/>
    <w:link w:val="1040"/>
    <w:uiPriority w:val="0"/>
    <w:qFormat/>
    <w:rPr>
      <w:rFonts w:ascii="仿宋_GB2312" w:hAnsi="Times New Roman" w:eastAsia="仿宋_GB2312" w:cs="Times New Roman"/>
      <w:sz w:val="30"/>
      <w:szCs w:val="30"/>
    </w:rPr>
  </w:style>
  <w:style w:type="paragraph" w:styleId="1042" w:customStyle="1">
    <w:name w:val="正文首行缩进 21"/>
    <w:basedOn w:val="1006"/>
    <w:link w:val="1043"/>
    <w:uiPriority w:val="0"/>
    <w:qFormat/>
    <w:pPr>
      <w:ind w:left="0" w:firstLine="420"/>
      <w:spacing w:after="0" w:line="360" w:lineRule="auto"/>
    </w:pPr>
    <w:rPr>
      <w:rFonts w:ascii="宋体" w:hAnsi="宋体"/>
      <w:szCs w:val="20"/>
    </w:rPr>
  </w:style>
  <w:style w:type="character" w:styleId="1043" w:customStyle="1">
    <w:name w:val="正文首行缩进 2 Char"/>
    <w:link w:val="1042"/>
    <w:uiPriority w:val="0"/>
    <w:qFormat/>
    <w:rPr>
      <w:rFonts w:ascii="宋体" w:hAnsi="宋体" w:eastAsia="宋体" w:cs="Times New Roman"/>
      <w:szCs w:val="20"/>
    </w:rPr>
  </w:style>
  <w:style w:type="table" w:styleId="1044" w:customStyle="1">
    <w:name w:val="网格型1"/>
    <w:basedOn w:val="989"/>
    <w:uiPriority w:val="0"/>
    <w:qFormat/>
    <w:pPr>
      <w:jc w:val="both"/>
      <w:widowControl w:val="off"/>
    </w:pPr>
    <w:tblPr/>
  </w:style>
  <w:style w:type="character" w:styleId="1045" w:customStyle="1">
    <w:name w:val="要点1"/>
    <w:uiPriority w:val="0"/>
    <w:qFormat/>
    <w:rPr>
      <w:b/>
      <w:bCs/>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超链接1"/>
    <w:uiPriority w:val="0"/>
    <w:qFormat/>
    <w:rPr>
      <w:color w:val="0000ff"/>
      <w:u w:val="single"/>
    </w:rPr>
  </w:style>
  <w:style w:type="character" w:styleId="1049" w:customStyle="1">
    <w:name w:val="批注引用1"/>
    <w:uiPriority w:val="0"/>
    <w:semiHidden/>
    <w:qFormat/>
    <w:rPr>
      <w:sz w:val="21"/>
      <w:szCs w:val="21"/>
    </w:rPr>
  </w:style>
  <w:style w:type="character" w:styleId="1050" w:customStyle="1">
    <w:name w:val="font5 Char"/>
    <w:uiPriority w:val="0"/>
    <w:qFormat/>
    <w:rPr>
      <w:rFonts w:ascii="宋体" w:hAnsi="宋体" w:eastAsia="宋体"/>
      <w:sz w:val="28"/>
      <w:szCs w:val="28"/>
      <w:lang w:val="en-US" w:eastAsia="zh-CN" w:bidi="ar-SA"/>
    </w:rPr>
  </w:style>
  <w:style w:type="character" w:styleId="1051" w:customStyle="1">
    <w:name w:val="二级目录 Char"/>
    <w:link w:val="1052"/>
    <w:uiPriority w:val="0"/>
    <w:qFormat/>
    <w:rPr>
      <w:b/>
      <w:sz w:val="30"/>
      <w:szCs w:val="28"/>
    </w:rPr>
  </w:style>
  <w:style w:type="paragraph" w:styleId="1052" w:customStyle="1">
    <w:name w:val="二级目录"/>
    <w:next w:val="762"/>
    <w:link w:val="105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3" w:customStyle="1">
    <w:name w:val="列出段落 Char"/>
    <w:link w:val="1054"/>
    <w:uiPriority w:val="0"/>
    <w:qFormat/>
    <w:rPr>
      <w:rFonts w:ascii="Calibri" w:hAnsi="Calibri"/>
      <w:sz w:val="24"/>
      <w:szCs w:val="24"/>
      <w:lang w:eastAsia="en-US" w:bidi="en-US"/>
    </w:rPr>
  </w:style>
  <w:style w:type="paragraph" w:styleId="1054" w:customStyle="1">
    <w:name w:val="列出段落1"/>
    <w:basedOn w:val="762"/>
    <w:link w:val="1053"/>
    <w:uiPriority w:val="0"/>
    <w:qFormat/>
    <w:pPr>
      <w:contextualSpacing/>
      <w:ind w:left="720"/>
      <w:jc w:val="left"/>
      <w:widowControl/>
    </w:pPr>
    <w:rPr>
      <w:rFonts w:ascii="Calibri" w:hAnsi="Calibri"/>
      <w:sz w:val="24"/>
      <w:szCs w:val="24"/>
      <w:lang w:eastAsia="en-US" w:bidi="en-US"/>
    </w:rPr>
  </w:style>
  <w:style w:type="paragraph" w:styleId="1055" w:customStyle="1">
    <w:name w:val="Body Text(ch)"/>
    <w:basedOn w:val="762"/>
    <w:next w:val="1004"/>
    <w:uiPriority w:val="0"/>
    <w:qFormat/>
    <w:pPr>
      <w:spacing w:after="120"/>
    </w:pPr>
    <w:rPr>
      <w:rFonts w:ascii="宋体" w:hAnsi="Arial"/>
      <w:bCs/>
      <w:iCs/>
      <w:szCs w:val="24"/>
    </w:rPr>
  </w:style>
  <w:style w:type="paragraph" w:styleId="1056" w:customStyle="1">
    <w:name w:val="xl27"/>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8" w:customStyle="1">
    <w:name w:val="Char"/>
    <w:basedOn w:val="762"/>
    <w:uiPriority w:val="0"/>
    <w:qFormat/>
    <w:pPr>
      <w:ind w:firstLine="200"/>
      <w:tabs>
        <w:tab w:val="left" w:pos="360" w:leader="none"/>
      </w:tabs>
    </w:pPr>
    <w:rPr>
      <w:sz w:val="28"/>
      <w:szCs w:val="30"/>
    </w:rPr>
  </w:style>
  <w:style w:type="paragraph" w:styleId="1059" w:customStyle="1">
    <w:name w:val="Char1"/>
    <w:basedOn w:val="998"/>
    <w:uiPriority w:val="0"/>
    <w:qFormat/>
    <w:rPr>
      <w:rFonts w:ascii="Tahoma" w:hAnsi="Tahoma"/>
      <w:sz w:val="24"/>
      <w:szCs w:val="24"/>
    </w:rPr>
  </w:style>
  <w:style w:type="paragraph" w:styleId="1060"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61" w:customStyle="1">
    <w:name w:val="table_lines"/>
    <w:basedOn w:val="762"/>
    <w:uiPriority w:val="0"/>
    <w:qFormat/>
    <w:pPr>
      <w:jc w:val="left"/>
      <w:widowControl/>
    </w:pPr>
    <w:rPr>
      <w:sz w:val="20"/>
      <w:szCs w:val="20"/>
      <w:lang w:val="de-DE" w:eastAsia="de-DE"/>
    </w:rPr>
  </w:style>
  <w:style w:type="paragraph" w:styleId="1062"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63" w:customStyle="1">
    <w:name w:val="font7"/>
    <w:basedOn w:val="762"/>
    <w:uiPriority w:val="0"/>
    <w:qFormat/>
    <w:pPr>
      <w:jc w:val="left"/>
      <w:spacing w:before="100" w:beforeAutospacing="1" w:after="100" w:afterAutospacing="1"/>
      <w:widowControl/>
    </w:pPr>
    <w:rPr>
      <w:rFonts w:hint="eastAsia" w:ascii="宋体" w:hAnsi="宋体"/>
      <w:sz w:val="18"/>
      <w:szCs w:val="18"/>
    </w:rPr>
  </w:style>
  <w:style w:type="paragraph" w:styleId="1064" w:customStyle="1">
    <w:name w:val="Char Char Char Char"/>
    <w:basedOn w:val="998"/>
    <w:uiPriority w:val="0"/>
    <w:qFormat/>
    <w:pPr>
      <w:spacing w:line="360" w:lineRule="auto"/>
    </w:pPr>
    <w:rPr>
      <w:rFonts w:ascii="Tahoma" w:hAnsi="Tahoma"/>
      <w:sz w:val="24"/>
      <w:szCs w:val="24"/>
    </w:rPr>
  </w:style>
  <w:style w:type="paragraph" w:styleId="1065" w:customStyle="1">
    <w:name w:val="列出段落2"/>
    <w:basedOn w:val="762"/>
    <w:link w:val="1101"/>
    <w:uiPriority w:val="34"/>
    <w:qFormat/>
    <w:pPr>
      <w:contextualSpacing/>
      <w:ind w:left="720"/>
      <w:jc w:val="left"/>
      <w:widowControl/>
    </w:pPr>
    <w:rPr>
      <w:rFonts w:ascii="Calibri" w:hAnsi="Calibri"/>
      <w:sz w:val="24"/>
      <w:szCs w:val="24"/>
      <w:lang w:eastAsia="en-US" w:bidi="en-US"/>
    </w:rPr>
  </w:style>
  <w:style w:type="paragraph" w:styleId="1066" w:customStyle="1">
    <w:name w:val="4"/>
    <w:basedOn w:val="762"/>
    <w:next w:val="1029"/>
    <w:uiPriority w:val="0"/>
    <w:qFormat/>
    <w:pPr>
      <w:ind w:firstLine="420"/>
      <w:spacing w:line="360" w:lineRule="auto"/>
    </w:pPr>
    <w:rPr>
      <w:color w:val="ff0000"/>
      <w:sz w:val="24"/>
      <w:szCs w:val="24"/>
    </w:rPr>
  </w:style>
  <w:style w:type="paragraph" w:styleId="1067" w:customStyle="1">
    <w:name w:val="普通 (Web)"/>
    <w:basedOn w:val="762"/>
    <w:uiPriority w:val="0"/>
    <w:qFormat/>
    <w:pPr>
      <w:jc w:val="left"/>
      <w:spacing w:before="100" w:beforeAutospacing="1" w:after="100" w:afterAutospacing="1"/>
      <w:widowControl/>
    </w:pPr>
    <w:rPr>
      <w:rFonts w:ascii="宋体" w:hAnsi="宋体"/>
      <w:sz w:val="24"/>
      <w:szCs w:val="24"/>
    </w:rPr>
  </w:style>
  <w:style w:type="paragraph" w:styleId="1068" w:customStyle="1">
    <w:name w:val="Char Char Char Char Char Char Char Char Char Char"/>
    <w:basedOn w:val="762"/>
    <w:uiPriority w:val="0"/>
    <w:qFormat/>
    <w:pPr>
      <w:spacing w:line="360" w:lineRule="auto"/>
    </w:pPr>
    <w:rPr>
      <w:sz w:val="24"/>
      <w:szCs w:val="20"/>
    </w:rPr>
  </w:style>
  <w:style w:type="paragraph" w:styleId="1069" w:customStyle="1">
    <w:name w:val="样式1"/>
    <w:basedOn w:val="762"/>
    <w:uiPriority w:val="0"/>
    <w:qFormat/>
    <w:pPr>
      <w:numPr>
        <w:ilvl w:val="0"/>
        <w:numId w:val="4"/>
      </w:numPr>
    </w:pPr>
    <w:rPr>
      <w:rFonts w:ascii="宋体" w:hAnsi="宋体"/>
      <w:szCs w:val="21"/>
    </w:rPr>
  </w:style>
  <w:style w:type="paragraph" w:styleId="1070" w:customStyle="1">
    <w:name w:val="font6"/>
    <w:basedOn w:val="762"/>
    <w:uiPriority w:val="0"/>
    <w:qFormat/>
    <w:pPr>
      <w:jc w:val="left"/>
      <w:spacing w:before="100" w:beforeAutospacing="1" w:after="100" w:afterAutospacing="1"/>
      <w:widowControl/>
    </w:pPr>
    <w:rPr>
      <w:rFonts w:hint="eastAsia" w:ascii="宋体" w:hAnsi="宋体"/>
      <w:sz w:val="28"/>
      <w:szCs w:val="28"/>
      <w:u w:val="single"/>
    </w:rPr>
  </w:style>
  <w:style w:type="paragraph" w:styleId="1071" w:customStyle="1">
    <w:name w:val="xl25"/>
    <w:basedOn w:val="7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customStyle="1">
    <w:name w:val="图标"/>
    <w:basedOn w:val="762"/>
    <w:next w:val="7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3" w:customStyle="1">
    <w:name w:val="标题3"/>
    <w:basedOn w:val="762"/>
    <w:next w:val="762"/>
    <w:uiPriority w:val="0"/>
    <w:qFormat/>
    <w:pPr>
      <w:ind w:firstLine="624"/>
      <w:spacing w:line="590" w:lineRule="atLeast"/>
    </w:pPr>
    <w:rPr>
      <w:rFonts w:ascii="方正黑体_GBK" w:eastAsia="方正黑体_GBK"/>
      <w:sz w:val="32"/>
      <w:szCs w:val="32"/>
    </w:rPr>
  </w:style>
  <w:style w:type="paragraph" w:styleId="1074" w:customStyle="1">
    <w:name w:val="xl24"/>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9"/>
    <w:basedOn w:val="7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customStyle="1">
    <w:name w:val="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077"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8" w:customStyle="1">
    <w:name w:val="Char 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079" w:customStyle="1">
    <w:name w:val="xl30"/>
    <w:basedOn w:val="762"/>
    <w:uiPriority w:val="0"/>
    <w:qFormat/>
    <w:pPr>
      <w:jc w:val="center"/>
      <w:spacing w:before="100" w:beforeAutospacing="1" w:after="100" w:afterAutospacing="1"/>
      <w:widowControl/>
    </w:pPr>
    <w:rPr>
      <w:rFonts w:ascii="宋体" w:hAnsi="宋体"/>
      <w:b/>
      <w:bCs/>
      <w:sz w:val="36"/>
      <w:szCs w:val="36"/>
    </w:rPr>
  </w:style>
  <w:style w:type="paragraph" w:styleId="1080" w:customStyle="1">
    <w:name w:val="Char Char Char Char1"/>
    <w:basedOn w:val="998"/>
    <w:uiPriority w:val="0"/>
    <w:qFormat/>
    <w:pPr>
      <w:spacing w:line="360" w:lineRule="auto"/>
    </w:pPr>
    <w:rPr>
      <w:rFonts w:ascii="Tahoma" w:hAnsi="Tahoma"/>
      <w:sz w:val="24"/>
      <w:szCs w:val="24"/>
    </w:rPr>
  </w:style>
  <w:style w:type="paragraph" w:styleId="1081" w:customStyle="1">
    <w:name w:val="table_1stline"/>
    <w:basedOn w:val="762"/>
    <w:uiPriority w:val="0"/>
    <w:qFormat/>
    <w:pPr>
      <w:jc w:val="left"/>
      <w:spacing w:before="120"/>
      <w:widowControl/>
    </w:pPr>
    <w:rPr>
      <w:bCs/>
      <w:sz w:val="20"/>
      <w:szCs w:val="20"/>
      <w:lang w:val="de-DE" w:eastAsia="de-DE"/>
    </w:rPr>
  </w:style>
  <w:style w:type="paragraph" w:styleId="1082" w:customStyle="1">
    <w:name w:val="font5"/>
    <w:basedOn w:val="762"/>
    <w:uiPriority w:val="0"/>
    <w:qFormat/>
    <w:pPr>
      <w:jc w:val="left"/>
      <w:spacing w:before="100" w:beforeAutospacing="1" w:after="100" w:afterAutospacing="1"/>
      <w:widowControl/>
    </w:pPr>
    <w:rPr>
      <w:rFonts w:hint="eastAsia" w:ascii="宋体" w:hAnsi="宋体"/>
      <w:sz w:val="28"/>
      <w:szCs w:val="28"/>
    </w:rPr>
  </w:style>
  <w:style w:type="paragraph" w:styleId="1083" w:customStyle="1">
    <w:name w:val="标题1"/>
    <w:basedOn w:val="762"/>
    <w:next w:val="7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4" w:customStyle="1">
    <w:name w:val="修订1"/>
    <w:uiPriority w:val="99"/>
    <w:semiHidden/>
    <w:qFormat/>
    <w:rPr>
      <w:rFonts w:ascii="Times New Roman" w:hAnsi="Times New Roman" w:eastAsia="宋体" w:cs="Times New Roman"/>
      <w:sz w:val="21"/>
      <w:szCs w:val="21"/>
      <w:lang w:val="en-US" w:eastAsia="zh-CN" w:bidi="ar-SA"/>
    </w:rPr>
  </w:style>
  <w:style w:type="paragraph" w:styleId="108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86" w:customStyle="1">
    <w:name w:val="Table Normal"/>
    <w:uiPriority w:val="0"/>
    <w:qFormat/>
    <w:tblPr>
      <w:tblCellMar>
        <w:left w:w="0" w:type="dxa"/>
        <w:top w:w="0" w:type="dxa"/>
        <w:right w:w="0" w:type="dxa"/>
        <w:bottom w:w="0" w:type="dxa"/>
      </w:tblCellMar>
    </w:tblPr>
  </w:style>
  <w:style w:type="paragraph" w:styleId="1087" w:customStyle="1">
    <w:name w:val="正文文本 211"/>
    <w:basedOn w:val="762"/>
    <w:uiPriority w:val="99"/>
    <w:qFormat/>
    <w:pPr>
      <w:jc w:val="center"/>
    </w:pPr>
    <w:rPr>
      <w:b/>
      <w:bCs/>
      <w:sz w:val="20"/>
      <w:szCs w:val="20"/>
    </w:rPr>
  </w:style>
  <w:style w:type="paragraph" w:styleId="1088" w:customStyle="1">
    <w:name w:val="正文文本1"/>
    <w:basedOn w:val="762"/>
    <w:next w:val="762"/>
    <w:uiPriority w:val="0"/>
    <w:semiHidden/>
    <w:qFormat/>
    <w:rPr>
      <w:rFonts w:ascii="Arial" w:hAnsi="Arial" w:eastAsia="Arial" w:cs="Arial"/>
      <w:szCs w:val="21"/>
      <w:lang w:eastAsia="en-US"/>
    </w:rPr>
  </w:style>
  <w:style w:type="paragraph" w:styleId="1089" w:customStyle="1">
    <w:name w:val="正文文本12"/>
    <w:basedOn w:val="762"/>
    <w:uiPriority w:val="1"/>
    <w:qFormat/>
    <w:pPr>
      <w:ind w:left="120"/>
    </w:pPr>
    <w:rPr>
      <w:rFonts w:ascii="宋体" w:hAnsi="宋体" w:cs="宋体"/>
      <w:szCs w:val="21"/>
      <w:lang w:val="zh-CN" w:bidi="zh-CN"/>
    </w:rPr>
  </w:style>
  <w:style w:type="paragraph" w:styleId="1090" w:customStyle="1">
    <w:name w:val="Table Paragraph"/>
    <w:basedOn w:val="762"/>
    <w:uiPriority w:val="1"/>
    <w:qFormat/>
  </w:style>
  <w:style w:type="paragraph" w:styleId="1091" w:customStyle="1">
    <w:name w:val="正文文本缩进11"/>
    <w:basedOn w:val="762"/>
    <w:uiPriority w:val="99"/>
    <w:qFormat/>
    <w:pPr>
      <w:ind w:left="420"/>
      <w:spacing w:after="120"/>
    </w:pPr>
    <w:rPr>
      <w:sz w:val="24"/>
    </w:rPr>
  </w:style>
  <w:style w:type="paragraph" w:styleId="1092" w:customStyle="1">
    <w:name w:val="Table Text"/>
    <w:basedOn w:val="762"/>
    <w:uiPriority w:val="0"/>
    <w:semiHidden/>
    <w:qFormat/>
    <w:rPr>
      <w:rFonts w:ascii="宋体" w:hAnsi="宋体" w:cs="宋体"/>
    </w:rPr>
  </w:style>
  <w:style w:type="paragraph" w:styleId="1093" w:customStyle="1">
    <w:name w:val="列表段落1"/>
    <w:basedOn w:val="762"/>
    <w:uiPriority w:val="99"/>
    <w:qFormat/>
    <w:pPr>
      <w:ind w:firstLine="420"/>
    </w:pPr>
  </w:style>
  <w:style w:type="paragraph" w:styleId="1094" w:customStyle="1">
    <w:name w:val="WPSOffice手动目录 1"/>
    <w:uiPriority w:val="0"/>
    <w:qFormat/>
    <w:rPr>
      <w:rFonts w:ascii="Times New Roman" w:hAnsi="Times New Roman" w:eastAsia="宋体" w:cs="Times New Roman"/>
      <w:lang w:val="en-US" w:eastAsia="zh-CN" w:bidi="ar-SA"/>
    </w:rPr>
  </w:style>
  <w:style w:type="paragraph" w:styleId="1095" w:customStyle="1">
    <w:name w:val="Body text|1"/>
    <w:basedOn w:val="762"/>
    <w:uiPriority w:val="0"/>
    <w:qFormat/>
    <w:pPr>
      <w:ind w:firstLine="400"/>
      <w:spacing w:line="382" w:lineRule="auto"/>
    </w:pPr>
    <w:rPr>
      <w:rFonts w:ascii="宋体" w:hAnsi="宋体" w:cs="宋体"/>
      <w:sz w:val="30"/>
      <w:szCs w:val="30"/>
      <w:lang w:val="zh-TW" w:eastAsia="zh-TW" w:bidi="zh-TW"/>
    </w:rPr>
  </w:style>
  <w:style w:type="character" w:styleId="1096" w:customStyle="1">
    <w:name w:val="fontstyle01"/>
    <w:uiPriority w:val="0"/>
    <w:qFormat/>
    <w:rPr>
      <w:rFonts w:hint="eastAsia" w:ascii="宋体" w:hAnsi="宋体" w:eastAsia="宋体"/>
      <w:color w:val="000000"/>
      <w:sz w:val="18"/>
      <w:szCs w:val="18"/>
    </w:rPr>
  </w:style>
  <w:style w:type="character" w:styleId="1097" w:customStyle="1">
    <w:name w:val="fontstyle21"/>
    <w:uiPriority w:val="0"/>
    <w:qFormat/>
    <w:rPr>
      <w:rFonts w:hint="default" w:ascii="Calibri" w:hAnsi="Calibri" w:cs="Calibri"/>
      <w:color w:val="000000"/>
      <w:sz w:val="28"/>
      <w:szCs w:val="28"/>
    </w:rPr>
  </w:style>
  <w:style w:type="character" w:styleId="1098" w:customStyle="1">
    <w:name w:val="批注框文本 字符"/>
    <w:basedOn w:val="772"/>
    <w:link w:val="785"/>
    <w:uiPriority w:val="99"/>
    <w:semiHidden/>
    <w:qFormat/>
    <w:rPr>
      <w:sz w:val="18"/>
      <w:szCs w:val="18"/>
    </w:rPr>
  </w:style>
  <w:style w:type="character" w:styleId="1099" w:customStyle="1">
    <w:name w:val="NormalCharacter"/>
    <w:uiPriority w:val="0"/>
    <w:qFormat/>
  </w:style>
  <w:style w:type="paragraph" w:styleId="1100"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01" w:customStyle="1">
    <w:name w:val="列表段落 字符"/>
    <w:link w:val="1065"/>
    <w:uiPriority w:val="34"/>
    <w:qFormat/>
    <w:rPr>
      <w:rFonts w:ascii="Calibri" w:hAnsi="Calibri"/>
      <w:sz w:val="24"/>
      <w:szCs w:val="24"/>
      <w:lang w:eastAsia="en-US" w:bidi="en-US"/>
    </w:rPr>
  </w:style>
  <w:style w:type="paragraph" w:styleId="1102" w:customStyle="1">
    <w:name w:val="List Paragraph1"/>
    <w:basedOn w:val="762"/>
    <w:uiPriority w:val="0"/>
    <w:qFormat/>
    <w:pPr>
      <w:ind w:firstLine="420"/>
    </w:pPr>
    <w:rPr>
      <w:rFonts w:ascii="Calibri" w:hAnsi="Calibri"/>
      <w:szCs w:val="21"/>
    </w:rPr>
  </w:style>
  <w:style w:type="character" w:styleId="1103" w:customStyle="1">
    <w:name w:val="font41"/>
    <w:basedOn w:val="772"/>
    <w:uiPriority w:val="0"/>
    <w:qFormat/>
    <w:rPr>
      <w:rFonts w:ascii="Calibri" w:hAnsi="Calibri" w:cs="Calibri"/>
      <w:color w:val="000000"/>
      <w:sz w:val="21"/>
      <w:szCs w:val="21"/>
      <w:u w:val="none"/>
    </w:rPr>
  </w:style>
  <w:style w:type="character" w:styleId="1104" w:customStyle="1">
    <w:name w:val="font21"/>
    <w:basedOn w:val="772"/>
    <w:uiPriority w:val="0"/>
    <w:qFormat/>
    <w:rPr>
      <w:rFonts w:hint="eastAsia" w:ascii="宋体" w:hAnsi="宋体" w:eastAsia="宋体" w:cs="宋体"/>
      <w:color w:val="000000"/>
      <w:sz w:val="21"/>
      <w:szCs w:val="21"/>
      <w:u w:val="none"/>
    </w:rPr>
  </w:style>
  <w:style w:type="paragraph" w:styleId="1105" w:customStyle="1">
    <w:name w:val="Default"/>
    <w:next w:val="762"/>
    <w:uiPriority w:val="0"/>
    <w:qFormat/>
    <w:pPr>
      <w:widowControl w:val="off"/>
    </w:pPr>
    <w:rPr>
      <w:rFonts w:ascii="宋体" w:hAnsi="Times New Roman" w:eastAsia="宋体" w:cs="宋体"/>
      <w:color w:val="000000"/>
      <w:sz w:val="24"/>
      <w:szCs w:val="24"/>
      <w:lang w:val="en-US" w:eastAsia="zh-CN" w:bidi="ar-SA"/>
    </w:rPr>
  </w:style>
  <w:style w:type="paragraph" w:styleId="1106"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1107" w:customStyle="1">
    <w:name w:val="批注文字 字符"/>
    <w:basedOn w:val="772"/>
    <w:link w:val="778"/>
    <w:uiPriority w:val="99"/>
    <w:qFormat/>
    <w:rPr>
      <w:sz w:val="21"/>
      <w:szCs w:val="22"/>
    </w:rPr>
  </w:style>
  <w:style w:type="character" w:styleId="1108" w:customStyle="1">
    <w:name w:val="批注主题 字符"/>
    <w:basedOn w:val="1107"/>
    <w:link w:val="797"/>
    <w:uiPriority w:val="99"/>
    <w:semiHidden/>
    <w:qFormat/>
    <w:rPr>
      <w:b/>
      <w:bCs/>
      <w:sz w:val="21"/>
      <w:szCs w:val="22"/>
    </w:rPr>
  </w:style>
  <w:style w:type="numbering" w:styleId="116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C39050-98A7-4FAD-823E-C3B3AAAFF72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295</cp:revision>
  <dcterms:created xsi:type="dcterms:W3CDTF">2025-07-11T03:26:00Z</dcterms:created>
  <dcterms:modified xsi:type="dcterms:W3CDTF">2026-04-28T07:21:21Z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7B21986E5E6F4C5AB59D02D21FF99A14_13</vt:lpwstr>
  </property>
  <property fmtid="{D5CDD505-2E9C-101B-9397-08002B2CF9AE}" pid="4" name="KSOTemplateDocerSaveRecord">
    <vt:lpwstr>eyJoZGlkIjoiNWYwNjkyZTgyZDMyOTgzZjRiMWJmMzdkMzU3ZjViMmMiLCJ1c2VySWQiOiIxNDA5Mzk3Mjg4In0=</vt:lpwstr>
  </property>
</Properties>
</file>