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6"/>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6"/>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6"/>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936"/>
        <w:ind w:firstLine="64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36"/>
        <w:ind w:firstLine="723"/>
        <w:jc w:val="center"/>
        <w:widowControl w:val="off"/>
        <w:rPr>
          <w:rFonts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紫金山实验室矢量网络分析仪采购项目</w:t>
      </w:r>
      <w:r/>
    </w:p>
    <w:p>
      <w:pPr>
        <w:pStyle w:val="936"/>
        <w:ind w:firstLine="723"/>
        <w:jc w:val="center"/>
        <w:widowControl w:val="off"/>
        <w:rPr>
          <w:rFonts w:ascii="Times New Roman" w:hAnsi="Times New Roman" w:eastAsia="黑体" w:cs="Times New Roman"/>
          <w:color w:val="000000" w:themeColor="text1"/>
          <w:sz w:val="36"/>
          <w:szCs w:val="36"/>
          <w:highlight w:val="none"/>
          <w14:textFill>
            <w14:solidFill>
              <w14:schemeClr w14:val="tx1"/>
            </w14:solidFill>
          </w14:textFill>
        </w:rPr>
      </w:pPr>
      <w:r>
        <w:rPr>
          <w:rFonts w:cs="Times New Roman" w:asciiTheme="minorEastAsia" w:hAnsiTheme="minorEastAsia" w:eastAsiaTheme="minorEastAsia"/>
          <w:b/>
          <w:color w:val="000000" w:themeColor="text1"/>
          <w:sz w:val="36"/>
          <w:szCs w:val="36"/>
          <w:highlight w:val="none"/>
          <w14:textFill>
            <w14:solidFill>
              <w14:schemeClr w14:val="tx1"/>
            </w14:solidFill>
          </w14:textFill>
        </w:rPr>
        <w:t xml:space="preserve">项目编号：</w:t>
      </w:r>
      <w:bookmarkStart w:id="88" w:name="_GoBack"/>
      <w:r>
        <w:rPr>
          <w:rFonts w:hint="eastAsia" w:cs="Times New Roman" w:asciiTheme="minorEastAsia" w:hAnsiTheme="minorEastAsia" w:eastAsiaTheme="minorEastAsia"/>
          <w:b/>
          <w:color w:val="000000" w:themeColor="text1"/>
          <w:sz w:val="36"/>
          <w:szCs w:val="36"/>
          <w:highlight w:val="none"/>
          <w14:textFill>
            <w14:solidFill>
              <w14:schemeClr w14:val="tx1"/>
            </w14:solidFill>
          </w14:textFill>
        </w:rPr>
        <w:t xml:space="preserve">JSZC-320100-ZTZB-G2026-0018（内部编号PML-ZH-ZB-20260</w:t>
      </w:r>
      <w:r>
        <w:rPr>
          <w:rFonts w:hint="eastAsia" w:cs="Times New Roman" w:asciiTheme="minorEastAsia" w:hAnsiTheme="minorEastAsia" w:eastAsiaTheme="minorEastAsia"/>
          <w:b/>
          <w:color w:val="000000" w:themeColor="text1"/>
          <w:sz w:val="36"/>
          <w:szCs w:val="36"/>
          <w:highlight w:val="none"/>
          <w:lang w:val="en-US" w:eastAsia="zh-CN"/>
          <w14:textFill>
            <w14:solidFill>
              <w14:schemeClr w14:val="tx1"/>
            </w14:solidFill>
          </w14:textFill>
        </w:rPr>
        <w:t xml:space="preserve">15</w:t>
      </w:r>
      <w:r>
        <w:rPr>
          <w:rFonts w:hint="eastAsia" w:cs="Times New Roman" w:asciiTheme="minorEastAsia" w:hAnsiTheme="minorEastAsia" w:eastAsiaTheme="minorEastAsia"/>
          <w:b/>
          <w:color w:val="000000" w:themeColor="text1"/>
          <w:sz w:val="36"/>
          <w:szCs w:val="36"/>
          <w:highlight w:val="none"/>
          <w14:textFill>
            <w14:solidFill>
              <w14:schemeClr w14:val="tx1"/>
            </w14:solidFill>
          </w14:textFill>
        </w:rPr>
        <w:t xml:space="preserve">）</w:t>
      </w:r>
      <w:bookmarkEnd w:id="88"/>
      <w:r/>
      <w:r/>
    </w:p>
    <w:p>
      <w:pPr>
        <w:pStyle w:val="9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6"/>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36"/>
        <w:ind w:firstLine="60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936"/>
        <w:ind w:firstLine="60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936"/>
        <w:ind w:firstLine="600"/>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lang w:val="en-US" w:eastAsia="zh-CN"/>
          <w14:textFill>
            <w14:solidFill>
              <w14:schemeClr w14:val="tx1"/>
            </w14:solidFill>
          </w14:textFill>
        </w:rPr>
        <w:t xml:space="preserve">4</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ind w:firstLine="720"/>
        <w:jc w:val="center"/>
        <w:spacing w:before="312" w:after="312" w:line="360" w:lineRule="auto"/>
        <w:rPr>
          <w:rFonts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909"/>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920"/>
              <w:rFonts w:hint="eastAsia" w:ascii="黑体" w:hAnsi="黑体" w:cs="黑体"/>
              <w:color w:val="000000" w:themeColor="text1"/>
              <w:lang w:val="zh-TW" w:eastAsia="zh-TW"/>
              <w14:textFill>
                <w14:solidFill>
                  <w14:schemeClr w14:val="tx1"/>
                </w14:solidFill>
              </w14:textFill>
            </w:rPr>
            <w:t xml:space="preserve">第一章</w:t>
          </w:r>
          <w:r>
            <w:rPr>
              <w:rStyle w:val="920"/>
              <w:rFonts w:ascii="黑体" w:hAnsi="黑体" w:cs="黑体"/>
              <w:color w:val="000000" w:themeColor="text1"/>
              <w:lang w:val="zh-TW" w:eastAsia="zh-TW"/>
              <w14:textFill>
                <w14:solidFill>
                  <w14:schemeClr w14:val="tx1"/>
                </w14:solidFill>
              </w14:textFill>
            </w:rPr>
            <w:t xml:space="preserve">  </w:t>
          </w:r>
          <w:r>
            <w:rPr>
              <w:rStyle w:val="920"/>
              <w:rFonts w:hint="eastAsia" w:ascii="黑体" w:hAnsi="黑体" w:cs="黑体"/>
              <w:color w:val="000000" w:themeColor="text1"/>
              <w:lang w:val="zh-TW"/>
              <w14:textFill>
                <w14:solidFill>
                  <w14:schemeClr w14:val="tx1"/>
                </w14:solidFill>
              </w14:textFill>
            </w:rPr>
            <w:t xml:space="preserve">招标</w:t>
          </w:r>
          <w:r>
            <w:rPr>
              <w:rStyle w:val="920"/>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920"/>
              <w:rFonts w:hint="eastAsia" w:ascii="黑体" w:hAnsi="黑体" w:cs="黑体"/>
              <w:color w:val="000000" w:themeColor="text1"/>
              <w:lang w:val="zh-TW" w:eastAsia="zh-TW"/>
              <w14:textFill>
                <w14:solidFill>
                  <w14:schemeClr w14:val="tx1"/>
                </w14:solidFill>
              </w14:textFill>
            </w:rPr>
            <w:t xml:space="preserve">第二章</w:t>
          </w:r>
          <w:r>
            <w:rPr>
              <w:rStyle w:val="920"/>
              <w:rFonts w:ascii="黑体" w:hAnsi="黑体" w:cs="黑体"/>
              <w:color w:val="000000" w:themeColor="text1"/>
              <w:lang w:val="zh-TW" w:eastAsia="zh-TW"/>
              <w14:textFill>
                <w14:solidFill>
                  <w14:schemeClr w14:val="tx1"/>
                </w14:solidFill>
              </w14:textFill>
            </w:rPr>
            <w:t xml:space="preserve">  </w:t>
          </w:r>
          <w:r>
            <w:rPr>
              <w:rStyle w:val="920"/>
              <w:rFonts w:hint="eastAsia" w:ascii="黑体" w:hAnsi="黑体" w:cs="黑体"/>
              <w:color w:val="000000" w:themeColor="text1"/>
              <w:lang w:val="zh-TW"/>
              <w14:textFill>
                <w14:solidFill>
                  <w14:schemeClr w14:val="tx1"/>
                </w14:solidFill>
              </w14:textFill>
            </w:rPr>
            <w:t xml:space="preserve">投标人</w:t>
          </w:r>
          <w:r>
            <w:rPr>
              <w:rStyle w:val="920"/>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920"/>
              <w:rFonts w:hint="eastAsia" w:ascii="黑体" w:hAnsi="黑体" w:cs="黑体"/>
              <w:color w:val="000000" w:themeColor="text1"/>
              <w:lang w:val="zh-TW" w:eastAsia="zh-TW"/>
              <w14:textFill>
                <w14:solidFill>
                  <w14:schemeClr w14:val="tx1"/>
                </w14:solidFill>
              </w14:textFill>
            </w:rPr>
            <w:t xml:space="preserve">第</w:t>
          </w:r>
          <w:r>
            <w:rPr>
              <w:rStyle w:val="920"/>
              <w:rFonts w:hint="eastAsia" w:ascii="黑体" w:hAnsi="黑体" w:cs="黑体"/>
              <w:color w:val="000000" w:themeColor="text1"/>
              <w:lang w:val="zh-TW"/>
              <w14:textFill>
                <w14:solidFill>
                  <w14:schemeClr w14:val="tx1"/>
                </w14:solidFill>
              </w14:textFill>
            </w:rPr>
            <w:t xml:space="preserve">三</w:t>
          </w:r>
          <w:r>
            <w:rPr>
              <w:rStyle w:val="920"/>
              <w:rFonts w:hint="eastAsia" w:ascii="黑体" w:hAnsi="黑体" w:cs="黑体"/>
              <w:color w:val="000000" w:themeColor="text1"/>
              <w:lang w:val="zh-TW" w:eastAsia="zh-TW"/>
              <w14:textFill>
                <w14:solidFill>
                  <w14:schemeClr w14:val="tx1"/>
                </w14:solidFill>
              </w14:textFill>
            </w:rPr>
            <w:t xml:space="preserve">章</w:t>
          </w:r>
          <w:r>
            <w:rPr>
              <w:rStyle w:val="920"/>
              <w:rFonts w:ascii="黑体" w:hAnsi="黑体" w:cs="黑体"/>
              <w:color w:val="000000" w:themeColor="text1"/>
              <w:lang w:val="zh-TW" w:eastAsia="zh-TW"/>
              <w14:textFill>
                <w14:solidFill>
                  <w14:schemeClr w14:val="tx1"/>
                </w14:solidFill>
              </w14:textFill>
            </w:rPr>
            <w:t xml:space="preserve">  </w:t>
          </w:r>
          <w:r>
            <w:rPr>
              <w:rStyle w:val="920"/>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920"/>
              <w:rFonts w:hint="eastAsia" w:ascii="黑体" w:hAnsi="黑体" w:cs="黑体"/>
              <w:color w:val="000000" w:themeColor="text1"/>
              <w:lang w:val="zh-TW" w:eastAsia="zh-TW"/>
              <w14:textFill>
                <w14:solidFill>
                  <w14:schemeClr w14:val="tx1"/>
                </w14:solidFill>
              </w14:textFill>
            </w:rPr>
            <w:t xml:space="preserve">第</w:t>
          </w:r>
          <w:r>
            <w:rPr>
              <w:rStyle w:val="920"/>
              <w:rFonts w:hint="eastAsia" w:ascii="黑体" w:hAnsi="黑体" w:cs="黑体"/>
              <w:color w:val="000000" w:themeColor="text1"/>
              <w:lang w:val="zh-TW"/>
              <w14:textFill>
                <w14:solidFill>
                  <w14:schemeClr w14:val="tx1"/>
                </w14:solidFill>
              </w14:textFill>
            </w:rPr>
            <w:t xml:space="preserve">四</w:t>
          </w:r>
          <w:r>
            <w:rPr>
              <w:rStyle w:val="920"/>
              <w:rFonts w:hint="eastAsia" w:ascii="黑体" w:hAnsi="黑体" w:cs="黑体"/>
              <w:color w:val="000000" w:themeColor="text1"/>
              <w:lang w:val="zh-TW" w:eastAsia="zh-TW"/>
              <w14:textFill>
                <w14:solidFill>
                  <w14:schemeClr w14:val="tx1"/>
                </w14:solidFill>
              </w14:textFill>
            </w:rPr>
            <w:t xml:space="preserve">章</w:t>
          </w:r>
          <w:r>
            <w:rPr>
              <w:rStyle w:val="920"/>
              <w:rFonts w:ascii="黑体" w:hAnsi="黑体" w:cs="黑体"/>
              <w:color w:val="000000" w:themeColor="text1"/>
              <w:lang w:val="zh-TW" w:eastAsia="zh-TW"/>
              <w14:textFill>
                <w14:solidFill>
                  <w14:schemeClr w14:val="tx1"/>
                </w14:solidFill>
              </w14:textFill>
            </w:rPr>
            <w:t xml:space="preserve">  </w:t>
          </w:r>
          <w:r>
            <w:rPr>
              <w:rStyle w:val="920"/>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920"/>
              <w:rFonts w:hint="eastAsia" w:ascii="黑体" w:hAnsi="黑体" w:cs="黑体"/>
              <w:color w:val="000000" w:themeColor="text1"/>
              <w:lang w:val="zh-TW" w:eastAsia="zh-TW"/>
              <w14:textFill>
                <w14:solidFill>
                  <w14:schemeClr w14:val="tx1"/>
                </w14:solidFill>
              </w14:textFill>
            </w:rPr>
            <w:t xml:space="preserve">第</w:t>
          </w:r>
          <w:r>
            <w:rPr>
              <w:rStyle w:val="920"/>
              <w:rFonts w:hint="eastAsia" w:ascii="黑体" w:hAnsi="黑体" w:cs="黑体"/>
              <w:color w:val="000000" w:themeColor="text1"/>
              <w:lang w:val="zh-TW"/>
              <w14:textFill>
                <w14:solidFill>
                  <w14:schemeClr w14:val="tx1"/>
                </w14:solidFill>
              </w14:textFill>
            </w:rPr>
            <w:t xml:space="preserve">五</w:t>
          </w:r>
          <w:r>
            <w:rPr>
              <w:rStyle w:val="920"/>
              <w:rFonts w:hint="eastAsia" w:ascii="黑体" w:hAnsi="黑体" w:cs="黑体"/>
              <w:color w:val="000000" w:themeColor="text1"/>
              <w:lang w:val="zh-TW" w:eastAsia="zh-TW"/>
              <w14:textFill>
                <w14:solidFill>
                  <w14:schemeClr w14:val="tx1"/>
                </w14:solidFill>
              </w14:textFill>
            </w:rPr>
            <w:t xml:space="preserve">章</w:t>
          </w:r>
          <w:r>
            <w:rPr>
              <w:rStyle w:val="920"/>
              <w:rFonts w:ascii="黑体" w:hAnsi="黑体" w:cs="黑体"/>
              <w:color w:val="000000" w:themeColor="text1"/>
              <w:lang w:val="zh-TW" w:eastAsia="zh-TW"/>
              <w14:textFill>
                <w14:solidFill>
                  <w14:schemeClr w14:val="tx1"/>
                </w14:solidFill>
              </w14:textFill>
            </w:rPr>
            <w:t xml:space="preserve">  </w:t>
          </w:r>
          <w:r>
            <w:rPr>
              <w:rStyle w:val="920"/>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920"/>
              <w:rFonts w:hint="eastAsia" w:ascii="黑体" w:hAnsi="黑体" w:cs="黑体"/>
              <w:color w:val="000000" w:themeColor="text1"/>
              <w:lang w:val="zh-TW" w:eastAsia="zh-TW"/>
              <w14:textFill>
                <w14:solidFill>
                  <w14:schemeClr w14:val="tx1"/>
                </w14:solidFill>
              </w14:textFill>
            </w:rPr>
            <w:t xml:space="preserve">第</w:t>
          </w:r>
          <w:r>
            <w:rPr>
              <w:rStyle w:val="920"/>
              <w:rFonts w:hint="eastAsia" w:ascii="黑体" w:hAnsi="黑体" w:cs="黑体"/>
              <w:color w:val="000000" w:themeColor="text1"/>
              <w:lang w:val="zh-TW"/>
              <w14:textFill>
                <w14:solidFill>
                  <w14:schemeClr w14:val="tx1"/>
                </w14:solidFill>
              </w14:textFill>
            </w:rPr>
            <w:t xml:space="preserve">六</w:t>
          </w:r>
          <w:r>
            <w:rPr>
              <w:rStyle w:val="920"/>
              <w:rFonts w:hint="eastAsia" w:ascii="黑体" w:hAnsi="黑体" w:cs="黑体"/>
              <w:color w:val="000000" w:themeColor="text1"/>
              <w:lang w:val="zh-TW" w:eastAsia="zh-TW"/>
              <w14:textFill>
                <w14:solidFill>
                  <w14:schemeClr w14:val="tx1"/>
                </w14:solidFill>
              </w14:textFill>
            </w:rPr>
            <w:t xml:space="preserve">章</w:t>
          </w:r>
          <w:r>
            <w:rPr>
              <w:rStyle w:val="920"/>
              <w:rFonts w:ascii="黑体" w:hAnsi="黑体" w:cs="黑体"/>
              <w:color w:val="000000" w:themeColor="text1"/>
              <w:lang w:val="zh-TW" w:eastAsia="zh-TW"/>
              <w14:textFill>
                <w14:solidFill>
                  <w14:schemeClr w14:val="tx1"/>
                </w14:solidFill>
              </w14:textFill>
            </w:rPr>
            <w:t xml:space="preserve">  </w:t>
          </w:r>
          <w:r>
            <w:rPr>
              <w:rStyle w:val="920"/>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3"/>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920"/>
              <w:rFonts w:eastAsia="黑体"/>
              <w:color w:val="000000" w:themeColor="text1"/>
              <w14:textFill>
                <w14:solidFill>
                  <w14:schemeClr w14:val="tx1"/>
                </w14:solidFill>
              </w14:textFill>
            </w:rPr>
            <w:t xml:space="preserve">6.1 </w:t>
          </w:r>
          <w:r>
            <w:rPr>
              <w:rStyle w:val="920"/>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3"/>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920"/>
              <w:rFonts w:eastAsia="黑体"/>
              <w:color w:val="000000" w:themeColor="text1"/>
              <w14:textFill>
                <w14:solidFill>
                  <w14:schemeClr w14:val="tx1"/>
                </w14:solidFill>
              </w14:textFill>
            </w:rPr>
            <w:t xml:space="preserve">6.2 </w:t>
          </w:r>
          <w:r>
            <w:rPr>
              <w:rStyle w:val="920"/>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3"/>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920"/>
              <w:rFonts w:eastAsia="黑体"/>
              <w:color w:val="000000" w:themeColor="text1"/>
              <w14:textFill>
                <w14:solidFill>
                  <w14:schemeClr w14:val="tx1"/>
                </w14:solidFill>
              </w14:textFill>
            </w:rPr>
            <w:t xml:space="preserve">6.3 </w:t>
          </w:r>
          <w:r>
            <w:rPr>
              <w:rStyle w:val="920"/>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3"/>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920"/>
              <w:rFonts w:eastAsia="黑体"/>
              <w:color w:val="000000" w:themeColor="text1"/>
              <w14:textFill>
                <w14:solidFill>
                  <w14:schemeClr w14:val="tx1"/>
                </w14:solidFill>
              </w14:textFill>
            </w:rPr>
            <w:t xml:space="preserve">6.4 </w:t>
          </w:r>
          <w:r>
            <w:rPr>
              <w:rStyle w:val="920"/>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3"/>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920"/>
              <w:rFonts w:eastAsia="黑体"/>
              <w:color w:val="000000" w:themeColor="text1"/>
              <w14:textFill>
                <w14:solidFill>
                  <w14:schemeClr w14:val="tx1"/>
                </w14:solidFill>
              </w14:textFill>
            </w:rPr>
            <w:t xml:space="preserve">6.5 </w:t>
          </w:r>
          <w:r>
            <w:rPr>
              <w:rStyle w:val="920"/>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3"/>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920"/>
              <w:rFonts w:eastAsia="黑体"/>
              <w:color w:val="000000" w:themeColor="text1"/>
              <w14:textFill>
                <w14:solidFill>
                  <w14:schemeClr w14:val="tx1"/>
                </w14:solidFill>
              </w14:textFill>
            </w:rPr>
            <w:t xml:space="preserve">6.6 </w:t>
          </w:r>
          <w:r>
            <w:rPr>
              <w:rStyle w:val="920"/>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3"/>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920"/>
              <w:rFonts w:eastAsia="黑体"/>
              <w:color w:val="000000" w:themeColor="text1"/>
              <w14:textFill>
                <w14:solidFill>
                  <w14:schemeClr w14:val="tx1"/>
                </w14:solidFill>
              </w14:textFill>
            </w:rPr>
            <w:t xml:space="preserve">6.7 </w:t>
          </w:r>
          <w:r>
            <w:rPr>
              <w:rStyle w:val="920"/>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3"/>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920"/>
              <w:rFonts w:eastAsia="黑体"/>
              <w:color w:val="000000" w:themeColor="text1"/>
              <w14:textFill>
                <w14:solidFill>
                  <w14:schemeClr w14:val="tx1"/>
                </w14:solidFill>
              </w14:textFill>
            </w:rPr>
            <w:t xml:space="preserve">6.8 </w:t>
          </w:r>
          <w:r>
            <w:rPr>
              <w:rStyle w:val="920"/>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3"/>
            <w:ind w:firstLine="44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920"/>
              <w:rFonts w:eastAsia="黑体"/>
              <w:color w:val="000000" w:themeColor="text1"/>
              <w14:textFill>
                <w14:solidFill>
                  <w14:schemeClr w14:val="tx1"/>
                </w14:solidFill>
              </w14:textFill>
            </w:rPr>
            <w:t xml:space="preserve">6.9 </w:t>
          </w:r>
          <w:r>
            <w:rPr>
              <w:rStyle w:val="920"/>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9"/>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3"/>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ind w:firstLine="720"/>
        <w:jc w:val="center"/>
        <w:spacing w:before="312" w:after="312" w:line="360" w:lineRule="auto"/>
        <w:rPr>
          <w:sz w:val="28"/>
          <w:szCs w:val="28"/>
        </w:rPr>
        <w:outlineLvl w:val="0"/>
      </w:pPr>
      <w:r/>
      <w:bookmarkStart w:id="1" w:name="_Toc415494523"/>
      <w:r/>
      <w:bookmarkStart w:id="2" w:name="_Toc"/>
      <w:r/>
      <w:bookmarkStart w:id="3" w:name="_Toc448069940"/>
      <w:r/>
      <w:bookmarkStart w:id="4" w:name="_Toc11859485"/>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890"/>
        <w:ind w:firstLine="560"/>
        <w:spacing w:line="360" w:lineRule="exact"/>
        <w:rPr>
          <w:rFonts w:ascii="黑体" w:hAnsi="黑体" w:cs="宋体"/>
          <w:b w:val="0"/>
          <w:sz w:val="28"/>
          <w:szCs w:val="28"/>
        </w:rPr>
      </w:pPr>
      <w:r/>
      <w:bookmarkStart w:id="5" w:name="_Toc28359002"/>
      <w:r/>
      <w:bookmarkStart w:id="6" w:name="_Toc28359079"/>
      <w:r/>
      <w:bookmarkStart w:id="7" w:name="_Toc35393621"/>
      <w:r/>
      <w:bookmarkStart w:id="8" w:name="_Toc35393790"/>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ascii="仿宋" w:hAnsi="仿宋" w:eastAsia="仿宋"/>
          <w:sz w:val="28"/>
          <w:szCs w:val="28"/>
        </w:rPr>
      </w:pPr>
      <w:r>
        <w:rPr>
          <w:rFonts w:hint="eastAsia" w:ascii="仿宋" w:hAnsi="仿宋" w:eastAsia="仿宋"/>
          <w:sz w:val="28"/>
          <w:szCs w:val="28"/>
          <w:highlight w:val="none"/>
        </w:rPr>
        <w:t xml:space="preserve">项目编号：JSZC-3</w:t>
      </w:r>
      <w:r>
        <w:rPr>
          <w:rFonts w:hint="eastAsia" w:ascii="仿宋" w:hAnsi="仿宋" w:eastAsia="仿宋"/>
          <w:sz w:val="28"/>
          <w:szCs w:val="28"/>
        </w:rPr>
        <w:t xml:space="preserve">20100-ZTZB-G2026-0018（内部编号PML-ZH-ZB-2026015）</w:t>
      </w:r>
      <w:r/>
    </w:p>
    <w:p>
      <w:pPr>
        <w:ind w:left="1959" w:hanging="1400"/>
        <w:spacing w:line="400" w:lineRule="exact"/>
        <w:rPr>
          <w:rFonts w:ascii="仿宋" w:hAnsi="仿宋" w:eastAsia="仿宋"/>
          <w:sz w:val="28"/>
          <w:szCs w:val="28"/>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紫金山实验室</w:t>
      </w:r>
      <w:bookmarkStart w:id="11" w:name="OLE_LINK5"/>
      <w:r/>
      <w:bookmarkStart w:id="12" w:name="OLE_LINK10"/>
      <w:r>
        <w:rPr>
          <w:rFonts w:hint="eastAsia" w:ascii="仿宋" w:hAnsi="仿宋" w:eastAsia="仿宋"/>
          <w:sz w:val="28"/>
          <w:szCs w:val="28"/>
        </w:rPr>
        <w:t xml:space="preserve">矢量网络分析仪</w:t>
      </w:r>
      <w:bookmarkEnd w:id="11"/>
      <w:r/>
      <w:bookmarkEnd w:id="12"/>
      <w:r>
        <w:rPr>
          <w:rFonts w:hint="eastAsia" w:ascii="仿宋" w:hAnsi="仿宋" w:eastAsia="仿宋"/>
          <w:sz w:val="28"/>
          <w:szCs w:val="28"/>
        </w:rPr>
        <w:t xml:space="preserve">采购项目</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预算金额：</w:t>
      </w:r>
      <w:bookmarkStart w:id="13" w:name="OLE_LINK6"/>
      <w:r>
        <w:rPr>
          <w:rFonts w:hint="eastAsia" w:ascii="仿宋" w:hAnsi="仿宋" w:eastAsia="仿宋"/>
          <w:sz w:val="28"/>
          <w:szCs w:val="28"/>
        </w:rPr>
        <w:t xml:space="preserve">200万元人民币</w:t>
      </w:r>
      <w:bookmarkEnd w:id="13"/>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最高限价：</w:t>
      </w:r>
      <w:r>
        <w:rPr>
          <w:rFonts w:hint="eastAsia" w:ascii="仿宋" w:hAnsi="仿宋" w:eastAsia="仿宋"/>
          <w:sz w:val="28"/>
          <w:szCs w:val="28"/>
          <w:lang w:val="en-US" w:eastAsia="zh-CN"/>
        </w:rPr>
        <w:t xml:space="preserve">160</w:t>
      </w:r>
      <w:r>
        <w:rPr>
          <w:rFonts w:hint="eastAsia" w:ascii="仿宋" w:hAnsi="仿宋" w:eastAsia="仿宋"/>
          <w:sz w:val="28"/>
          <w:szCs w:val="28"/>
        </w:rPr>
        <w:t xml:space="preserve">万</w:t>
      </w:r>
      <w:r>
        <w:rPr>
          <w:rFonts w:hint="eastAsia" w:ascii="仿宋" w:hAnsi="仿宋" w:eastAsia="仿宋" w:cs="仿宋"/>
          <w:color w:val="000000"/>
          <w:sz w:val="28"/>
        </w:rPr>
        <w:t xml:space="preserve">元人民币</w:t>
      </w:r>
      <w:r/>
    </w:p>
    <w:p>
      <w:pPr>
        <w:ind w:firstLine="560"/>
        <w:spacing w:line="400" w:lineRule="exact"/>
        <w:rPr>
          <w:rFonts w:ascii="仿宋" w:hAnsi="仿宋" w:eastAsia="仿宋"/>
          <w:sz w:val="28"/>
          <w:szCs w:val="28"/>
          <w:lang w:bidi="ar"/>
        </w:rPr>
      </w:pPr>
      <w:r>
        <w:rPr>
          <w:rFonts w:hint="eastAsia" w:ascii="仿宋" w:hAnsi="仿宋" w:eastAsia="仿宋"/>
          <w:sz w:val="28"/>
          <w:szCs w:val="28"/>
        </w:rPr>
        <w:t xml:space="preserve">采购需求：</w:t>
      </w:r>
      <w:r/>
    </w:p>
    <w:tbl>
      <w:tblPr>
        <w:tblStyle w:val="995"/>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74"/>
        <w:gridCol w:w="1986"/>
        <w:gridCol w:w="653"/>
        <w:gridCol w:w="606"/>
        <w:gridCol w:w="993"/>
        <w:gridCol w:w="1106"/>
        <w:gridCol w:w="1041"/>
        <w:gridCol w:w="1021"/>
        <w:gridCol w:w="819"/>
      </w:tblGrid>
      <w:tr>
        <w:trPr>
          <w:trHeight w:val="470"/>
        </w:trPr>
        <w:tc>
          <w:tcPr>
            <w:tcBorders>
              <w:top w:val="single" w:color="000000" w:sz="2" w:space="0"/>
              <w:bottom w:val="single" w:color="000000" w:sz="2" w:space="0"/>
            </w:tcBorders>
            <w:tcW w:w="326"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序号</w:t>
            </w:r>
            <w:r/>
          </w:p>
        </w:tc>
        <w:tc>
          <w:tcPr>
            <w:tcBorders>
              <w:top w:val="single" w:color="000000" w:sz="2" w:space="0"/>
              <w:bottom w:val="single" w:color="000000" w:sz="2" w:space="0"/>
            </w:tcBorders>
            <w:tcW w:w="11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名称</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数量</w:t>
            </w:r>
            <w:r/>
          </w:p>
        </w:tc>
        <w:tc>
          <w:tcPr>
            <w:tcBorders>
              <w:top w:val="single" w:color="000000" w:sz="2" w:space="0"/>
              <w:bottom w:val="single" w:color="000000" w:sz="2" w:space="0"/>
            </w:tcBorders>
            <w:tcW w:w="34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单位</w:t>
            </w:r>
            <w:r/>
          </w:p>
        </w:tc>
        <w:tc>
          <w:tcPr>
            <w:tcBorders>
              <w:top w:val="single" w:color="000000" w:sz="2" w:space="0"/>
              <w:bottom w:val="single" w:color="000000" w:sz="2" w:space="0"/>
            </w:tcBorders>
            <w:tcW w:w="56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
                <w:sz w:val="24"/>
                <w:szCs w:val="24"/>
                <w:lang w:eastAsia="en-US"/>
              </w:rPr>
              <w:t xml:space="preserve">单价报价上限</w:t>
            </w:r>
            <w:r>
              <w:rPr>
                <w:rFonts w:hint="eastAsia" w:ascii="宋体" w:hAnsi="宋体" w:eastAsia="宋体" w:cs="宋体"/>
                <w:bCs/>
                <w:sz w:val="24"/>
                <w:szCs w:val="24"/>
                <w:lang w:eastAsia="en-US"/>
              </w:rPr>
              <w:t xml:space="preserve">（元）</w:t>
            </w:r>
            <w:r/>
          </w:p>
        </w:tc>
        <w:tc>
          <w:tcPr>
            <w:tcBorders>
              <w:top w:val="single" w:color="000000" w:sz="2" w:space="0"/>
              <w:bottom w:val="single" w:color="000000" w:sz="2" w:space="0"/>
            </w:tcBorders>
            <w:tcW w:w="6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产品类型</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所属行业类型</w:t>
            </w:r>
            <w:r/>
          </w:p>
        </w:tc>
        <w:tc>
          <w:tcPr>
            <w:tcBorders>
              <w:top w:val="single" w:color="000000" w:sz="2" w:space="0"/>
              <w:bottom w:val="single" w:color="000000" w:sz="2" w:space="0"/>
              <w:right w:val="single" w:color="auto" w:sz="4" w:space="0"/>
            </w:tcBorders>
            <w:tcW w:w="58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产品属性</w:t>
            </w:r>
            <w:r/>
          </w:p>
        </w:tc>
        <w:tc>
          <w:tcPr>
            <w:tcBorders>
              <w:top w:val="single" w:color="000000" w:sz="2" w:space="0"/>
              <w:left w:val="single" w:color="auto" w:sz="4" w:space="0"/>
              <w:bottom w:val="single" w:color="000000" w:sz="2" w:space="0"/>
            </w:tcBorders>
            <w:tcW w:w="46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备注</w:t>
            </w:r>
            <w:r/>
          </w:p>
        </w:tc>
      </w:tr>
      <w:tr>
        <w:trPr>
          <w:trHeight w:val="414"/>
        </w:trPr>
        <w:tc>
          <w:tcPr>
            <w:tcBorders>
              <w:top w:val="single" w:color="000000" w:sz="2" w:space="0"/>
              <w:bottom w:val="single" w:color="000000" w:sz="2" w:space="0"/>
            </w:tcBorders>
            <w:tcW w:w="326"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000000" w:sz="2" w:space="0"/>
              <w:bottom w:val="single" w:color="000000" w:sz="2" w:space="0"/>
            </w:tcBorders>
            <w:tcW w:w="1128" w:type="pct"/>
            <w:vAlign w:val="center"/>
            <w:textDirection w:val="lrTb"/>
            <w:noWrap w:val="false"/>
          </w:tcPr>
          <w:p>
            <w:pPr>
              <w:jc w:val="center"/>
              <w:spacing w:line="264" w:lineRule="auto"/>
              <w:rPr>
                <w:rFonts w:hint="default" w:ascii="宋体" w:hAnsi="宋体" w:eastAsia="宋体" w:cs="宋体"/>
                <w:bCs/>
                <w:color w:val="0000ff"/>
                <w:sz w:val="24"/>
                <w:szCs w:val="24"/>
                <w:lang w:eastAsia="en-US"/>
              </w:rPr>
            </w:pPr>
            <w:r>
              <w:rPr>
                <w:rFonts w:hint="eastAsia" w:ascii="宋体" w:hAnsi="宋体" w:cs="宋体"/>
                <w:sz w:val="24"/>
                <w:szCs w:val="24"/>
                <w:lang w:eastAsia="en-US"/>
              </w:rPr>
              <w:t xml:space="preserve">矢量网络分析仪</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000000" w:sz="2" w:space="0"/>
              <w:bottom w:val="single" w:color="000000" w:sz="2" w:space="0"/>
            </w:tcBorders>
            <w:tcW w:w="34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台</w:t>
            </w:r>
            <w:r/>
          </w:p>
        </w:tc>
        <w:tc>
          <w:tcPr>
            <w:tcBorders>
              <w:top w:val="single" w:color="000000" w:sz="2" w:space="0"/>
            </w:tcBorders>
            <w:tcW w:w="56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1600000</w:t>
            </w:r>
            <w:r/>
          </w:p>
        </w:tc>
        <w:tc>
          <w:tcPr>
            <w:tcBorders>
              <w:top w:val="single" w:color="000000" w:sz="2" w:space="0"/>
              <w:bottom w:val="single" w:color="000000" w:sz="2" w:space="0"/>
            </w:tcBorders>
            <w:tcW w:w="6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核心产品</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工业</w:t>
            </w:r>
            <w:r/>
          </w:p>
        </w:tc>
        <w:tc>
          <w:tcPr>
            <w:tcBorders>
              <w:top w:val="single" w:color="000000" w:sz="2" w:space="0"/>
              <w:bottom w:val="single" w:color="000000" w:sz="2" w:space="0"/>
              <w:right w:val="single" w:color="auto" w:sz="4" w:space="0"/>
            </w:tcBorders>
            <w:tcW w:w="58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货物</w:t>
            </w:r>
            <w:r/>
          </w:p>
        </w:tc>
        <w:tc>
          <w:tcPr>
            <w:tcBorders>
              <w:top w:val="single" w:color="000000" w:sz="2" w:space="0"/>
              <w:left w:val="single" w:color="auto" w:sz="4" w:space="0"/>
              <w:bottom w:val="single" w:color="000000" w:sz="2" w:space="0"/>
            </w:tcBorders>
            <w:tcW w:w="46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default" w:ascii="宋体" w:hAnsi="宋体" w:eastAsia="宋体" w:cs="宋体"/>
                <w:bCs/>
                <w:sz w:val="24"/>
                <w:szCs w:val="24"/>
                <w:lang w:eastAsia="en-US"/>
              </w:rPr>
            </w:r>
            <w:r/>
          </w:p>
        </w:tc>
      </w:tr>
    </w:tbl>
    <w:p>
      <w:pPr>
        <w:ind w:firstLine="560"/>
        <w:spacing w:line="400" w:lineRule="exact"/>
        <w:rPr>
          <w:rFonts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所属行业：工业。</w:t>
      </w:r>
      <w:r/>
    </w:p>
    <w:p>
      <w:pPr>
        <w:pStyle w:val="890"/>
        <w:ind w:firstLine="560"/>
        <w:spacing w:line="360" w:lineRule="exact"/>
        <w:rPr>
          <w:rFonts w:ascii="仿宋" w:hAnsi="仿宋" w:eastAsia="仿宋"/>
          <w:sz w:val="28"/>
          <w:szCs w:val="28"/>
        </w:rPr>
      </w:pPr>
      <w:r/>
      <w:bookmarkStart w:id="14" w:name="_Toc35393622"/>
      <w:r/>
      <w:bookmarkStart w:id="15" w:name="_Toc28359003"/>
      <w:r/>
      <w:bookmarkStart w:id="16" w:name="_Toc35393791"/>
      <w:r/>
      <w:bookmarkStart w:id="17" w:name="_Toc28359080"/>
      <w:r>
        <w:rPr>
          <w:rFonts w:hint="eastAsia" w:ascii="黑体" w:hAnsi="黑体" w:cs="宋体"/>
          <w:b w:val="0"/>
          <w:sz w:val="28"/>
          <w:szCs w:val="28"/>
        </w:rPr>
        <w:t xml:space="preserve">二、申请人的资格要求：</w:t>
      </w:r>
      <w:bookmarkEnd w:id="14"/>
      <w:r/>
      <w:bookmarkEnd w:id="15"/>
      <w:r/>
      <w:bookmarkEnd w:id="16"/>
      <w:r/>
      <w:bookmarkEnd w:id="17"/>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1.2投标人需提供2024年度或最新一年度的财务状况报告（成立不满一年不需提供）；</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1.6投标人须提供在“信用中国”（www.creditchina.gov.cn）查询的、自本采购公告发布之日至投标截止前的信用记录的截图（截图须加盖投标人CA公章）；</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1.7投标人如使用进口产品投标，须持有所投进口产品制造商的有效授权（提供有效证明材料并加盖投标人CA公章）；</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1.8拒绝下述投标人参加本次采购活动：</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1.9政府采购信用承诺</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采购人或政府采购代理机构作出信用承诺。投标人应尽早做好承诺工作，点击‘南京公共采购信息网’首页 （https://njg</w:t>
      </w:r>
      <w:r>
        <w:rPr>
          <w:rFonts w:hint="eastAsia" w:ascii="仿宋" w:hAnsi="仿宋" w:eastAsia="仿宋"/>
          <w:sz w:val="28"/>
          <w:szCs w:val="28"/>
        </w:rPr>
        <w:t xml:space="preserve">c.jfh.com/）‘南京市政府采购投标人诚信档案’系统链接打开系统页面（http://180.101.238.212:8280/hodeframe2018_cxda/index.action;jsessionid=769BA9C8E1729422E7173B991C8EC1E5）登录（未注册的投标人应先点击‘投标人注册点这里’并按 要求完成注册），然后在“信用记录”模块页面点击“信用记录打印”下载本单位《南京市政府采购投标人信用记录表暨信用承诺书》，由法人签字并盖单位投标人CA公章，随响应文件一并递交。</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w:t>
      </w:r>
      <w:r>
        <w:rPr>
          <w:rFonts w:hint="eastAsia" w:ascii="仿宋" w:hAnsi="仿宋" w:eastAsia="仿宋"/>
          <w:sz w:val="28"/>
          <w:szCs w:val="28"/>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ascii="仿宋" w:hAnsi="仿宋" w:eastAsia="仿宋"/>
          <w:sz w:val="28"/>
          <w:szCs w:val="28"/>
        </w:rPr>
      </w:pPr>
      <w:r/>
      <w:bookmarkStart w:id="18" w:name="_Toc28359081"/>
      <w:r/>
      <w:bookmarkStart w:id="19" w:name="_Toc28359004"/>
      <w:r>
        <w:rPr>
          <w:rFonts w:hint="eastAsia" w:ascii="仿宋" w:hAnsi="仿宋" w:eastAsia="仿宋"/>
          <w:sz w:val="28"/>
          <w:szCs w:val="28"/>
        </w:rPr>
        <w:t xml:space="preserve">2.落实政府采购政策需满足的资格要求：</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本项目按照以下第(4)种方式落实政府采购促进中小企业发展的要求：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（1）本项目整体专门面向中小企业采购货物。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（2）本项目整体专门面向小微企业采购货物。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（3）本项目通过以下第（/） 种方式预留部分采购份额采购中小企业货物：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（4）本项目为非预留份额的采购项目或采购包，执行价格扣除优惠政策，具体详见评标办法与标准。</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890"/>
        <w:ind w:firstLine="560"/>
        <w:spacing w:line="360" w:lineRule="exact"/>
        <w:rPr>
          <w:rFonts w:ascii="黑体" w:hAnsi="黑体" w:cs="宋体"/>
          <w:b w:val="0"/>
          <w:sz w:val="28"/>
          <w:szCs w:val="28"/>
        </w:rPr>
      </w:pPr>
      <w:r/>
      <w:bookmarkStart w:id="20" w:name="_Toc35393623"/>
      <w:r/>
      <w:bookmarkStart w:id="21" w:name="_Toc35393792"/>
      <w:r>
        <w:rPr>
          <w:rFonts w:hint="eastAsia" w:ascii="黑体" w:hAnsi="黑体" w:cs="宋体"/>
          <w:b w:val="0"/>
          <w:sz w:val="28"/>
          <w:szCs w:val="28"/>
        </w:rPr>
        <w:t xml:space="preserve">三、获取招标文件</w:t>
      </w:r>
      <w:bookmarkEnd w:id="18"/>
      <w:r/>
      <w:bookmarkEnd w:id="19"/>
      <w:r/>
      <w:bookmarkEnd w:id="20"/>
      <w:r/>
      <w:bookmarkEnd w:id="21"/>
      <w:r/>
      <w:r/>
    </w:p>
    <w:p>
      <w:pPr>
        <w:ind w:firstLine="560"/>
        <w:spacing w:line="360" w:lineRule="exact"/>
        <w:rPr>
          <w:rFonts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60"/>
        <w:spacing w:line="360" w:lineRule="exact"/>
        <w:rPr>
          <w:rFonts w:ascii="仿宋" w:hAnsi="仿宋" w:eastAsia="仿宋" w:cs="宋体"/>
          <w:sz w:val="28"/>
          <w:szCs w:val="28"/>
        </w:rPr>
      </w:pPr>
      <w:r>
        <w:rPr>
          <w:rFonts w:hint="eastAsia" w:ascii="仿宋" w:hAnsi="仿宋" w:eastAsia="仿宋" w:cs="宋体"/>
          <w:sz w:val="28"/>
          <w:szCs w:val="28"/>
        </w:rPr>
        <w:t xml:space="preserve">地点：江苏政府采购网</w:t>
      </w:r>
      <w:r/>
    </w:p>
    <w:p>
      <w:pPr>
        <w:ind w:firstLine="560"/>
        <w:spacing w:line="360" w:lineRule="exact"/>
        <w:rPr>
          <w:rFonts w:ascii="仿宋" w:hAnsi="仿宋" w:eastAsia="仿宋" w:cs="宋体"/>
          <w:sz w:val="28"/>
          <w:szCs w:val="28"/>
          <w:u w:val="single"/>
        </w:rPr>
      </w:pPr>
      <w:r>
        <w:rPr>
          <w:rFonts w:hint="eastAsia" w:ascii="仿宋" w:hAnsi="仿宋" w:eastAsia="仿宋" w:cs="宋体"/>
          <w:sz w:val="28"/>
          <w:szCs w:val="28"/>
        </w:rPr>
        <w:t xml:space="preserve">方式：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90"/>
        <w:ind w:firstLine="560"/>
        <w:spacing w:line="360" w:lineRule="exact"/>
        <w:rPr>
          <w:rFonts w:ascii="黑体" w:hAnsi="黑体" w:cs="宋体"/>
          <w:b w:val="0"/>
          <w:sz w:val="28"/>
          <w:szCs w:val="28"/>
        </w:rPr>
      </w:pPr>
      <w:r/>
      <w:bookmarkStart w:id="22" w:name="_Toc28359082"/>
      <w:r/>
      <w:bookmarkStart w:id="23" w:name="_Toc28359005"/>
      <w:r/>
      <w:bookmarkStart w:id="24" w:name="_Toc35393624"/>
      <w:r/>
      <w:bookmarkStart w:id="25" w:name="_Toc35393793"/>
      <w:r>
        <w:rPr>
          <w:rFonts w:hint="eastAsia" w:ascii="黑体" w:hAnsi="黑体" w:cs="宋体"/>
          <w:b w:val="0"/>
          <w:sz w:val="28"/>
          <w:szCs w:val="28"/>
        </w:rPr>
        <w:t xml:space="preserve">四、提交投标文件</w:t>
      </w:r>
      <w:bookmarkEnd w:id="22"/>
      <w:r/>
      <w:bookmarkEnd w:id="23"/>
      <w:r>
        <w:rPr>
          <w:rFonts w:hint="eastAsia" w:ascii="黑体" w:hAnsi="黑体" w:cs="宋体"/>
          <w:b w:val="0"/>
          <w:sz w:val="28"/>
          <w:szCs w:val="28"/>
        </w:rPr>
        <w:t xml:space="preserve">截止时间、开标时间和地点</w:t>
      </w:r>
      <w:bookmarkEnd w:id="24"/>
      <w:r/>
      <w:bookmarkEnd w:id="25"/>
      <w:r/>
      <w:r/>
    </w:p>
    <w:p>
      <w:pPr>
        <w:ind w:firstLine="560"/>
        <w:spacing w:line="360" w:lineRule="exact"/>
        <w:rPr>
          <w:rFonts w:ascii="仿宋" w:hAnsi="仿宋" w:eastAsia="仿宋"/>
          <w:bCs/>
          <w:sz w:val="28"/>
          <w:szCs w:val="28"/>
          <w:u w:val="single"/>
        </w:rPr>
      </w:pPr>
      <w:r>
        <w:rPr>
          <w:rFonts w:hint="eastAsia" w:ascii="仿宋" w:hAnsi="仿宋" w:eastAsia="仿宋"/>
          <w:bCs/>
          <w:sz w:val="28"/>
          <w:szCs w:val="28"/>
          <w:highlight w:val="none"/>
          <w:u w:val="single"/>
        </w:rPr>
        <w:t xml:space="preserve"> 2026年</w:t>
      </w:r>
      <w:r>
        <w:rPr>
          <w:rFonts w:hint="eastAsia" w:ascii="仿宋" w:hAnsi="仿宋" w:eastAsia="仿宋"/>
          <w:bCs/>
          <w:sz w:val="28"/>
          <w:szCs w:val="28"/>
          <w:highlight w:val="none"/>
          <w:u w:val="single"/>
          <w:lang w:val="en-US" w:eastAsia="zh-CN"/>
        </w:rPr>
        <w:t xml:space="preserve">4</w:t>
      </w:r>
      <w:r>
        <w:rPr>
          <w:rFonts w:hint="eastAsia" w:ascii="仿宋" w:hAnsi="仿宋" w:eastAsia="仿宋"/>
          <w:bCs/>
          <w:sz w:val="28"/>
          <w:szCs w:val="28"/>
          <w:highlight w:val="none"/>
          <w:u w:val="single"/>
        </w:rPr>
        <w:t xml:space="preserve">月</w:t>
      </w:r>
      <w:r>
        <w:rPr>
          <w:rFonts w:hint="eastAsia" w:ascii="仿宋" w:hAnsi="仿宋" w:eastAsia="仿宋"/>
          <w:bCs/>
          <w:sz w:val="28"/>
          <w:szCs w:val="28"/>
          <w:highlight w:val="none"/>
          <w:u w:val="single"/>
          <w:lang w:val="en-US" w:eastAsia="zh-CN"/>
        </w:rPr>
        <w:t xml:space="preserve">29</w:t>
      </w:r>
      <w:r>
        <w:rPr>
          <w:rFonts w:hint="eastAsia" w:ascii="仿宋" w:hAnsi="仿宋" w:eastAsia="仿宋"/>
          <w:bCs/>
          <w:sz w:val="28"/>
          <w:szCs w:val="28"/>
          <w:highlight w:val="none"/>
          <w:u w:val="single"/>
        </w:rPr>
        <w:t xml:space="preserve">日下午</w:t>
      </w:r>
      <w:r>
        <w:rPr>
          <w:rFonts w:hint="eastAsia" w:ascii="仿宋" w:hAnsi="仿宋" w:eastAsia="仿宋"/>
          <w:bCs/>
          <w:sz w:val="28"/>
          <w:szCs w:val="28"/>
          <w:highlight w:val="none"/>
          <w:u w:val="single"/>
          <w:lang w:val="en-US" w:eastAsia="zh-CN"/>
        </w:rPr>
        <w:t xml:space="preserve">15</w:t>
      </w:r>
      <w:r>
        <w:rPr>
          <w:rFonts w:hint="eastAsia" w:ascii="仿宋" w:hAnsi="仿宋" w:eastAsia="仿宋"/>
          <w:bCs/>
          <w:sz w:val="28"/>
          <w:szCs w:val="28"/>
          <w:highlight w:val="none"/>
          <w:u w:val="single"/>
        </w:rPr>
        <w:t xml:space="preserve">点</w:t>
      </w:r>
      <w:r>
        <w:rPr>
          <w:rFonts w:hint="eastAsia" w:ascii="仿宋" w:hAnsi="仿宋" w:eastAsia="仿宋"/>
          <w:bCs/>
          <w:sz w:val="28"/>
          <w:szCs w:val="28"/>
          <w:highlight w:val="none"/>
          <w:u w:val="single"/>
          <w:lang w:val="en-US" w:eastAsia="zh-CN"/>
        </w:rPr>
        <w:t xml:space="preserve">0</w:t>
      </w:r>
      <w:r>
        <w:rPr>
          <w:rFonts w:hint="eastAsia" w:ascii="仿宋" w:hAnsi="仿宋" w:eastAsia="仿宋"/>
          <w:bCs/>
          <w:sz w:val="28"/>
          <w:szCs w:val="28"/>
          <w:highlight w:val="none"/>
          <w:u w:val="single"/>
        </w:rPr>
        <w:t xml:space="preserve">0分</w:t>
      </w:r>
      <w:r>
        <w:rPr>
          <w:rFonts w:hint="eastAsia" w:ascii="仿宋" w:hAnsi="仿宋" w:eastAsia="仿宋"/>
          <w:bCs/>
          <w:sz w:val="28"/>
          <w:szCs w:val="28"/>
          <w:highlight w:val="none"/>
        </w:rPr>
        <w:t xml:space="preserve">（</w:t>
      </w:r>
      <w:r>
        <w:rPr>
          <w:rFonts w:hint="eastAsia" w:ascii="仿宋" w:hAnsi="仿宋" w:eastAsia="仿宋"/>
          <w:bCs/>
          <w:sz w:val="28"/>
          <w:szCs w:val="28"/>
        </w:rPr>
        <w:t xml:space="preserve">北京时间）</w:t>
      </w:r>
      <w:r/>
    </w:p>
    <w:p>
      <w:pPr>
        <w:ind w:firstLine="560"/>
        <w:spacing w:line="360" w:lineRule="exact"/>
        <w:rPr>
          <w:rFonts w:ascii="仿宋" w:hAnsi="仿宋" w:eastAsia="仿宋"/>
          <w:bCs/>
          <w:sz w:val="28"/>
          <w:szCs w:val="28"/>
          <w:u w:val="single"/>
        </w:rPr>
      </w:pPr>
      <w:r>
        <w:rPr>
          <w:rFonts w:hint="eastAsia" w:ascii="仿宋" w:hAnsi="仿宋" w:eastAsia="仿宋"/>
          <w:sz w:val="28"/>
          <w:szCs w:val="28"/>
        </w:rPr>
        <w:t xml:space="preserve">地点：苏采云开标大厅</w:t>
      </w:r>
      <w:r/>
    </w:p>
    <w:p>
      <w:pPr>
        <w:pStyle w:val="890"/>
        <w:ind w:firstLine="560"/>
        <w:spacing w:line="360" w:lineRule="exact"/>
        <w:rPr>
          <w:rFonts w:ascii="黑体" w:hAnsi="黑体" w:cs="宋体"/>
          <w:b w:val="0"/>
          <w:sz w:val="28"/>
          <w:szCs w:val="28"/>
        </w:rPr>
      </w:pPr>
      <w:r/>
      <w:bookmarkStart w:id="26" w:name="_Toc28359084"/>
      <w:r/>
      <w:bookmarkStart w:id="27" w:name="_Toc28359007"/>
      <w:r/>
      <w:bookmarkStart w:id="28" w:name="_Toc35393625"/>
      <w:r/>
      <w:bookmarkStart w:id="29" w:name="_Toc35393794"/>
      <w:r>
        <w:rPr>
          <w:rFonts w:hint="eastAsia" w:ascii="黑体" w:hAnsi="黑体" w:cs="宋体"/>
          <w:b w:val="0"/>
          <w:sz w:val="28"/>
          <w:szCs w:val="28"/>
        </w:rPr>
        <w:t xml:space="preserve">五、公告期限</w:t>
      </w:r>
      <w:bookmarkEnd w:id="26"/>
      <w:r/>
      <w:bookmarkEnd w:id="27"/>
      <w:r/>
      <w:bookmarkEnd w:id="28"/>
      <w:r/>
      <w:bookmarkEnd w:id="29"/>
      <w:r/>
      <w:r/>
    </w:p>
    <w:p>
      <w:pPr>
        <w:ind w:firstLine="560"/>
        <w:spacing w:line="36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bookmarkStart w:id="30" w:name="_Toc35393795"/>
      <w:r/>
      <w:bookmarkStart w:id="31" w:name="_Toc35393626"/>
      <w:r/>
      <w:r/>
    </w:p>
    <w:p>
      <w:pPr>
        <w:pStyle w:val="890"/>
        <w:ind w:firstLine="560"/>
        <w:spacing w:line="360" w:lineRule="exact"/>
        <w:rPr>
          <w:rFonts w:ascii="黑体" w:hAnsi="黑体" w:cs="宋体"/>
          <w:b w:val="0"/>
          <w:sz w:val="28"/>
          <w:szCs w:val="28"/>
        </w:rPr>
      </w:pPr>
      <w:r>
        <w:rPr>
          <w:rFonts w:hint="eastAsia" w:ascii="黑体" w:hAnsi="黑体" w:cs="宋体"/>
          <w:b w:val="0"/>
          <w:sz w:val="28"/>
          <w:szCs w:val="28"/>
        </w:rPr>
        <w:t xml:space="preserve">六、其他补充事宜</w:t>
      </w:r>
      <w:bookmarkEnd w:id="30"/>
      <w:r/>
      <w:bookmarkEnd w:id="31"/>
      <w:r/>
      <w:r/>
    </w:p>
    <w:p>
      <w:pPr>
        <w:ind w:firstLine="560"/>
        <w:spacing w:line="400" w:lineRule="exact"/>
        <w:rPr>
          <w:rFonts w:ascii="仿宋" w:hAnsi="仿宋" w:eastAsia="仿宋" w:cs="宋体"/>
          <w:sz w:val="28"/>
          <w:szCs w:val="28"/>
          <w:highlight w:val="none"/>
          <w:u w:val="single"/>
        </w:rPr>
      </w:pPr>
      <w:r/>
      <w:bookmarkStart w:id="32" w:name="_Toc35393796"/>
      <w:r/>
      <w:bookmarkStart w:id="33" w:name="_Toc28359085"/>
      <w:r/>
      <w:bookmarkStart w:id="34" w:name="_Toc35393627"/>
      <w:r/>
      <w:bookmarkStart w:id="35" w:name="_Toc28359008"/>
      <w:r>
        <w:rPr>
          <w:rFonts w:hint="eastAsia" w:ascii="仿宋" w:hAnsi="仿宋" w:eastAsia="仿宋" w:cs="宋体"/>
          <w:sz w:val="28"/>
          <w:szCs w:val="28"/>
        </w:rPr>
        <w:t xml:space="preserve">1.报名时间：</w:t>
      </w:r>
      <w:r>
        <w:rPr>
          <w:rFonts w:hint="eastAsia" w:ascii="仿宋" w:hAnsi="仿宋" w:eastAsia="仿宋" w:cs="宋体"/>
          <w:sz w:val="28"/>
          <w:szCs w:val="28"/>
          <w:highlight w:val="none"/>
        </w:rPr>
        <w:t xml:space="preserve">时间：</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4</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9</w:t>
      </w:r>
      <w:r>
        <w:rPr>
          <w:rFonts w:hint="eastAsia" w:ascii="仿宋" w:hAnsi="仿宋" w:eastAsia="仿宋" w:cs="宋体"/>
          <w:sz w:val="28"/>
          <w:szCs w:val="28"/>
          <w:highlight w:val="none"/>
          <w:u w:val="single"/>
        </w:rPr>
        <w:t xml:space="preserve">日</w:t>
      </w:r>
      <w:r>
        <w:rPr>
          <w:rFonts w:hint="eastAsia" w:ascii="仿宋" w:hAnsi="仿宋" w:eastAsia="仿宋" w:cs="宋体"/>
          <w:sz w:val="28"/>
          <w:szCs w:val="28"/>
          <w:highlight w:val="none"/>
        </w:rPr>
        <w:t xml:space="preserve">至</w:t>
      </w:r>
      <w:r>
        <w:rPr>
          <w:rFonts w:hint="eastAsia" w:ascii="仿宋" w:hAnsi="仿宋" w:eastAsia="仿宋" w:cs="宋体"/>
          <w:sz w:val="28"/>
          <w:szCs w:val="28"/>
          <w:highlight w:val="none"/>
          <w:u w:val="single"/>
        </w:rPr>
        <w:t xml:space="preserve">2026年</w:t>
      </w:r>
      <w:r>
        <w:rPr>
          <w:rFonts w:hint="eastAsia" w:ascii="仿宋" w:hAnsi="仿宋" w:eastAsia="仿宋" w:cs="宋体"/>
          <w:sz w:val="28"/>
          <w:szCs w:val="28"/>
          <w:highlight w:val="none"/>
          <w:u w:val="single"/>
          <w:lang w:val="en-US" w:eastAsia="zh-CN"/>
        </w:rPr>
        <w:t xml:space="preserve">4</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10</w:t>
      </w:r>
      <w:r>
        <w:rPr>
          <w:rFonts w:hint="eastAsia" w:ascii="仿宋" w:hAnsi="仿宋" w:eastAsia="仿宋" w:cs="宋体"/>
          <w:sz w:val="28"/>
          <w:szCs w:val="28"/>
          <w:highlight w:val="none"/>
          <w:u w:val="single"/>
        </w:rPr>
        <w:t xml:space="preserve">日</w:t>
      </w:r>
      <w:r/>
    </w:p>
    <w:p>
      <w:pPr>
        <w:ind w:firstLine="560"/>
        <w:spacing w:line="400" w:lineRule="exact"/>
        <w:rPr>
          <w:rFonts w:ascii="仿宋" w:hAnsi="仿宋" w:eastAsia="仿宋" w:cs="宋体"/>
          <w:sz w:val="28"/>
          <w:szCs w:val="28"/>
        </w:rPr>
      </w:pPr>
      <w:r>
        <w:rPr>
          <w:rFonts w:hint="eastAsia" w:ascii="仿宋" w:hAnsi="仿宋" w:eastAsia="仿宋" w:cs="宋体"/>
          <w:sz w:val="28"/>
          <w:szCs w:val="28"/>
          <w:highlight w:val="none"/>
        </w:rPr>
        <w:t xml:space="preserve">2.</w:t>
      </w:r>
      <w:r>
        <w:rPr>
          <w:rFonts w:ascii="仿宋" w:hAnsi="仿宋" w:eastAsia="仿宋" w:cs="宋体"/>
          <w:sz w:val="28"/>
          <w:szCs w:val="28"/>
          <w:highlight w:val="none"/>
        </w:rPr>
        <w:t xml:space="preserve">有关本次采购的事项若存在变动或修改，敬请及时关注“</w:t>
      </w:r>
      <w:r>
        <w:rPr>
          <w:rFonts w:hint="eastAsia" w:ascii="仿宋" w:hAnsi="仿宋" w:eastAsia="仿宋" w:cs="宋体"/>
          <w:sz w:val="28"/>
          <w:szCs w:val="28"/>
          <w:highlight w:val="none"/>
        </w:rPr>
        <w:t xml:space="preserve">江</w:t>
      </w:r>
      <w:r>
        <w:rPr>
          <w:rFonts w:hint="eastAsia" w:ascii="仿宋" w:hAnsi="仿宋" w:eastAsia="仿宋" w:cs="宋体"/>
          <w:sz w:val="28"/>
          <w:szCs w:val="28"/>
        </w:rPr>
        <w:t xml:space="preserve">苏政府采购网</w:t>
      </w:r>
      <w:r>
        <w:rPr>
          <w:rFonts w:ascii="仿宋" w:hAnsi="仿宋" w:eastAsia="仿宋" w:cs="宋体"/>
          <w:sz w:val="28"/>
          <w:szCs w:val="28"/>
        </w:rPr>
        <w:t xml:space="preserve">”发布的信息。</w:t>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r/>
    </w:p>
    <w:p>
      <w:pPr>
        <w:ind w:firstLine="560"/>
        <w:spacing w:line="400" w:lineRule="exact"/>
        <w:rPr>
          <w:rFonts w:eastAsia="仿宋"/>
          <w:sz w:val="28"/>
          <w:szCs w:val="28"/>
        </w:rPr>
      </w:pPr>
      <w:r>
        <w:rPr>
          <w:rFonts w:hint="eastAsia" w:ascii="仿宋" w:hAnsi="仿宋" w:eastAsia="仿宋" w:cs="宋体"/>
          <w:sz w:val="28"/>
          <w:szCs w:val="28"/>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890"/>
        <w:ind w:firstLine="560"/>
        <w:spacing w:line="360" w:lineRule="exact"/>
        <w:rPr>
          <w:rFonts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2"/>
      <w:r/>
      <w:bookmarkEnd w:id="33"/>
      <w:r/>
      <w:bookmarkEnd w:id="34"/>
      <w:r/>
      <w:bookmarkEnd w:id="35"/>
      <w:r/>
      <w:r/>
    </w:p>
    <w:p>
      <w:pPr>
        <w:ind w:firstLine="560"/>
        <w:spacing w:line="400" w:lineRule="exact"/>
        <w:widowControl/>
        <w:rPr>
          <w:rFonts w:ascii="仿宋_GB2312" w:eastAsia="仿宋_GB2312"/>
          <w:sz w:val="28"/>
          <w:szCs w:val="28"/>
        </w:rPr>
      </w:pPr>
      <w:r>
        <w:rPr>
          <w:rFonts w:hint="eastAsia" w:ascii="仿宋" w:hAnsi="仿宋" w:eastAsia="仿宋" w:cs="宋体"/>
          <w:sz w:val="28"/>
          <w:szCs w:val="28"/>
        </w:rPr>
        <w:t xml:space="preserve">1.采购人信息</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陈工（025-57917082）   </w:t>
      </w:r>
      <w:bookmarkStart w:id="36" w:name="_Toc28359086"/>
      <w:r/>
      <w:bookmarkStart w:id="37" w:name="_Toc28359009"/>
      <w:r>
        <w:rPr>
          <w:rFonts w:hint="eastAsia" w:ascii="仿宋" w:hAnsi="仿宋" w:eastAsia="仿宋"/>
          <w:sz w:val="28"/>
          <w:szCs w:val="28"/>
          <w:u w:val="single"/>
        </w:rPr>
        <w:t xml:space="preserve">  </w:t>
      </w:r>
      <w:r/>
    </w:p>
    <w:p>
      <w:pPr>
        <w:ind w:firstLine="560"/>
        <w:spacing w:line="400" w:lineRule="exact"/>
        <w:rPr>
          <w:rFonts w:ascii="仿宋" w:hAnsi="仿宋" w:eastAsia="仿宋"/>
          <w:sz w:val="28"/>
          <w:szCs w:val="28"/>
        </w:rPr>
      </w:pPr>
      <w:r>
        <w:rPr>
          <w:rFonts w:hint="eastAsia" w:ascii="仿宋" w:hAnsi="仿宋" w:eastAsia="仿宋" w:cs="宋体"/>
          <w:sz w:val="28"/>
          <w:szCs w:val="28"/>
        </w:rPr>
        <w:t xml:space="preserve">2.采购代理机构信息</w:t>
      </w:r>
      <w:bookmarkEnd w:id="36"/>
      <w:r/>
      <w:bookmarkEnd w:id="37"/>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ascii="仿宋" w:hAnsi="仿宋" w:eastAsia="仿宋"/>
          <w:sz w:val="28"/>
          <w:szCs w:val="28"/>
        </w:rPr>
      </w:pPr>
      <w:r>
        <w:rPr>
          <w:rFonts w:hint="eastAsia" w:ascii="仿宋" w:hAnsi="仿宋" w:eastAsia="仿宋"/>
          <w:sz w:val="28"/>
          <w:szCs w:val="28"/>
        </w:rPr>
        <w:t xml:space="preserve">联系方式：</w:t>
      </w:r>
      <w:bookmarkStart w:id="38" w:name="_Toc28359010"/>
      <w:r/>
      <w:bookmarkStart w:id="39" w:name="_Toc28359087"/>
      <w:r>
        <w:rPr>
          <w:rFonts w:hint="eastAsia" w:ascii="仿宋" w:hAnsi="仿宋" w:eastAsia="仿宋"/>
          <w:sz w:val="28"/>
          <w:szCs w:val="28"/>
          <w:u w:val="single"/>
        </w:rPr>
        <w:t xml:space="preserve"> 陈沭、郑春雅、</w:t>
      </w:r>
      <w:bookmarkEnd w:id="38"/>
      <w:r/>
      <w:bookmarkEnd w:id="39"/>
      <w:r>
        <w:rPr>
          <w:rFonts w:hint="eastAsia" w:ascii="仿宋" w:hAnsi="仿宋" w:eastAsia="仿宋"/>
          <w:sz w:val="28"/>
          <w:szCs w:val="28"/>
          <w:u w:val="single"/>
        </w:rPr>
        <w:t xml:space="preserve">李谦、徐磊、胡洋、夏宜宁、朱晓琦、周明珠</w:t>
      </w:r>
      <w:r/>
    </w:p>
    <w:p>
      <w:pPr>
        <w:ind w:firstLine="560"/>
        <w:spacing w:line="400" w:lineRule="exact"/>
        <w:rPr>
          <w:rFonts w:ascii="仿宋" w:hAnsi="仿宋" w:eastAsia="仿宋" w:cs="宋体"/>
          <w:sz w:val="28"/>
          <w:szCs w:val="28"/>
        </w:rPr>
      </w:pPr>
      <w:r/>
      <w:bookmarkStart w:id="40" w:name="_Toc35393788"/>
      <w:r/>
      <w:bookmarkStart w:id="41" w:name="_Toc35393619"/>
      <w:r/>
      <w:bookmarkStart w:id="42" w:name="_Toc28359000"/>
      <w:r/>
      <w:bookmarkStart w:id="43" w:name="_Toc28359077"/>
      <w:r>
        <w:rPr>
          <w:rFonts w:hint="eastAsia" w:ascii="仿宋" w:hAnsi="仿宋" w:eastAsia="仿宋" w:cs="宋体"/>
          <w:sz w:val="28"/>
          <w:szCs w:val="28"/>
        </w:rPr>
        <w:t xml:space="preserve">3.项目联系方式</w:t>
      </w:r>
      <w:bookmarkEnd w:id="40"/>
      <w:r/>
      <w:bookmarkEnd w:id="41"/>
      <w:r/>
      <w:bookmarkEnd w:id="42"/>
      <w:r/>
      <w:bookmarkEnd w:id="43"/>
      <w:r/>
      <w:r/>
    </w:p>
    <w:p>
      <w:pPr>
        <w:ind w:firstLine="560"/>
        <w:spacing w:line="400" w:lineRule="exact"/>
        <w:rPr>
          <w:rFonts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4" w:name="_Toc415494524"/>
      <w:r/>
      <w:bookmarkStart w:id="45" w:name="_Toc11859486"/>
      <w:r/>
      <w:bookmarkStart w:id="46" w:name="_Toc448069941"/>
      <w:r/>
      <w:bookmarkStart w:id="47" w:name="_Toc1"/>
      <w:r/>
      <w:r/>
    </w:p>
    <w:p>
      <w:pPr>
        <w:ind w:firstLine="720"/>
        <w:jc w:val="left"/>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4"/>
      <w:r/>
      <w:bookmarkEnd w:id="45"/>
      <w:r/>
      <w:bookmarkEnd w:id="46"/>
      <w:r/>
      <w:bookmarkEnd w:id="47"/>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14:textFill>
            <w14:solidFill>
              <w14:schemeClr w14:val="tx1"/>
            </w14:solidFill>
          </w14:textFill>
        </w:rPr>
        <w:t xml:space="preserve">采购人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1.1</w:t>
      </w:r>
      <w:r>
        <w:rPr>
          <w:rFonts w:ascii="Times New Roman" w:hAnsi="Times New Roman" w:cs="Times New Roman"/>
          <w:color w:val="000000" w:themeColor="text1"/>
          <w:sz w:val="24"/>
          <w:szCs w:val="24"/>
          <w14:textFill>
            <w14:solidFill>
              <w14:schemeClr w14:val="tx1"/>
            </w14:solidFill>
          </w14:textFill>
        </w:rPr>
        <w:t xml:space="preserve">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w:t>
      </w:r>
      <w:r>
        <w:rPr>
          <w:rFonts w:hint="eastAsia" w:ascii="Times New Roman" w:hAnsi="Times New Roman" w:cs="Times New Roman"/>
          <w:color w:val="000000" w:themeColor="text1"/>
          <w:sz w:val="24"/>
          <w:szCs w:val="24"/>
          <w14:textFill>
            <w14:solidFill>
              <w14:schemeClr w14:val="tx1"/>
            </w14:solidFill>
          </w14:textFill>
        </w:rPr>
        <w:t xml:space="preserve">的50</w:t>
      </w:r>
      <w:r>
        <w:rPr>
          <w:rFonts w:ascii="Times New Roman" w:hAnsi="Times New Roman" w:cs="Times New Roman"/>
          <w:color w:val="000000" w:themeColor="text1"/>
          <w:sz w:val="24"/>
          <w:szCs w:val="24"/>
          <w14:textFill>
            <w14:solidFill>
              <w14:schemeClr w14:val="tx1"/>
            </w14:solidFill>
          </w14:textFill>
        </w:rPr>
        <w:t xml:space="preserve">%（优惠率）收取。</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任何要求对采购文件进行澄清的投标人，均应在投标截止期前十日前以书面形式通知采购人。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8.l在投标截止日期前，无论何种原因，采购人均可主动或在解答投标人提出的澄清问题时对采购文件进行修改。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9.1投标人提供的投标文件以及投标人与采购人就有关投标的所有来往通知、函件和文件均使用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（4）法定代表人的身份证复印件；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（5）授权代表的身份证复印件（开标现场查验原件）；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（3）报价采取总承包方式，包括所投产品、安装调试、服务、运输、税金及其它有关的为完成本项目发生的所有费用，采购文件中另有规定的除外。国产</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投标有效期为采购人规定的开标之日后九十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天内有效。如果采购人在有效期之内，可向投标人提出延长投标有效期的要求。要求与答复均应采用书面形式。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投标人可以拒绝采购人的这一要求而放弃投标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14.l投标文件一式</w:t>
      </w:r>
      <w:r>
        <w:rPr>
          <w:rFonts w:hint="eastAsia" w:ascii="Times New Roman" w:hAnsi="Times New Roman" w:cs="Times New Roman"/>
          <w:color w:val="000000" w:themeColor="text1"/>
          <w:sz w:val="24"/>
          <w:szCs w:val="24"/>
          <w14:textFill>
            <w14:solidFill>
              <w14:schemeClr w14:val="tx1"/>
            </w14:solidFill>
          </w14:textFill>
        </w:rPr>
        <w:t xml:space="preserve">伍</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正本壹份，副本</w:t>
      </w:r>
      <w:r>
        <w:rPr>
          <w:rFonts w:hint="eastAsia" w:ascii="Times New Roman" w:hAnsi="Times New Roman" w:cs="Times New Roman"/>
          <w:color w:val="000000" w:themeColor="text1"/>
          <w:sz w:val="24"/>
          <w:szCs w:val="24"/>
          <w14:textFill>
            <w14:solidFill>
              <w14:schemeClr w14:val="tx1"/>
            </w14:solidFill>
          </w14:textFill>
        </w:rPr>
        <w:t xml:space="preserve">肆</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。一旦正本和副本不符，以正本为准。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14.2投标文件中法定代表人或其授权代表签字。授权代表须将法人代表人以书面形式出具法人代表授权书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14.3除投标人对错处做必要修改时，投标文件不得行间插字、涂改或增删。如有修改错漏处，必须由投标文件签署人签字并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未按要求密封和加写标记，采购人对误投或过早启封概不负责。对由此造成提前开封的投标文件，采购人将予以拒绝，作无效投标处理。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采购人收到投标文件的时间不得迟于采购公告中规定的截止时间。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19.l采购人将在采购文件中规定的时间和地址组织公开开标。投标人法人代表或授权代表须携本人身份证原件参加，如有必要可以让投标人有一定时间的陈述，或接收评标工作组成员的提问后退场。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请投标人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签字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）投标文件含有采购人不能接受的附加条件的；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24.1评标工作组首先对所有合格投标人按评标办法进行打分，根据综合得分，由高到低排列，向采购人推荐中标候选人。</w:t>
      </w:r>
      <w:r>
        <w:rPr>
          <w:rFonts w:ascii="Times New Roman" w:hAnsi="Times New Roman" w:cs="Times New Roman"/>
          <w:bCs/>
          <w:color w:val="000000" w:themeColor="text1"/>
          <w:sz w:val="24"/>
          <w:szCs w:val="24"/>
          <w14:textFill>
            <w14:solidFill>
              <w14:schemeClr w14:val="tx1"/>
            </w14:solidFill>
          </w14:textFill>
        </w:rPr>
        <w:t xml:space="preserve">采购人应根据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（2）与评审专家、采购人或者其他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（3）向评审专家、采购人行贿或者提供其它不正当利益的；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25.5采购人将在收到投标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26.l中标结果质疑期满后，采购人将向中标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26.3中标通知书将是合同的一个组成部分。对采购人和中标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均具有法律效力。中标通知书发出后，采购人改变中标结果的，或者中标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line="360" w:lineRule="auto"/>
        <w:rPr>
          <w:rFonts w:ascii="黑体" w:hAnsi="黑体" w:eastAsia="黑体" w:cs="黑体"/>
          <w:color w:val="000000" w:themeColor="text1"/>
          <w:sz w:val="36"/>
          <w:szCs w:val="36"/>
          <w:lang w:val="zh-TW"/>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28.2采购结束后，采购人若由于各种客观原因，必须对采购项目所牵涉的服务进行适当的减少时，在双方协商一致的前提下，可以按照中标时价格水平做相应的调减，并据此签订补充合同。</w:t>
      </w:r>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spacing w:before="312" w:after="312" w:line="360" w:lineRule="auto"/>
        <w:rPr>
          <w:rFonts w:ascii="黑体" w:hAnsi="黑体" w:eastAsia="黑体" w:cs="黑体"/>
          <w:color w:val="000000" w:themeColor="text1"/>
          <w:sz w:val="36"/>
          <w:szCs w:val="36"/>
          <w:lang w:val="zh-TW"/>
          <w14:textFill>
            <w14:solidFill>
              <w14:schemeClr w14:val="tx1"/>
            </w14:solidFill>
          </w14:textFill>
        </w:rPr>
        <w:outlineLvl w:val="0"/>
      </w:pPr>
      <w:r/>
      <w:bookmarkStart w:id="48"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48"/>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本章节不接受负偏离。如投标人提交的“商务条款响应及偏离表”未填写实质性内容，则视为已接受此章的所有要求。</w:t>
      </w:r>
      <w:r/>
    </w:p>
    <w:p>
      <w:pPr>
        <w:rPr>
          <w:rFonts w:ascii="宋体" w:hAnsi="宋体" w:eastAsia="宋体" w:cs="宋体"/>
          <w:sz w:val="44"/>
          <w:szCs w:val="44"/>
        </w:rPr>
      </w:pPr>
      <w:r>
        <w:rPr>
          <w:rFonts w:ascii="Calibri" w:hAnsi="Calibri" w:eastAsia="宋体" w:cs="Times New Roman"/>
          <w:color w:val="000000"/>
        </w:rPr>
        <mc:AlternateContent>
          <mc:Choice Requires="wpg">
            <w:drawing>
              <wp:inline xmlns:wp="http://schemas.openxmlformats.org/drawingml/2006/wordprocessingDrawing" distT="0" distB="0" distL="0" distR="0">
                <wp:extent cx="1200150" cy="476250"/>
                <wp:effectExtent l="0" t="0" r="0" b="0"/>
                <wp:docPr id="1" name="图片 1"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xulp\AppData\Local\Microsoft\Windows\INetCache\Content.Word\LOGO修改.jpg"/>
                        <pic:cNvPicPr>
                          <a:picLocks noChangeAspect="1"/>
                        </pic:cNvPicPr>
                        <pic:nvPr/>
                      </pic:nvPicPr>
                      <pic:blipFill>
                        <a:blip r:embed="rId17"/>
                        <a:srcRect l="0" t="0" r="3724" b="0"/>
                        <a:stretch/>
                      </pic:blipFill>
                      <pic:spPr bwMode="auto">
                        <a:xfrm>
                          <a:off x="0" y="0"/>
                          <a:ext cx="12001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5pt;mso-wrap-distance-left:0.0pt;mso-wrap-distance-top:0.0pt;mso-wrap-distance-right:0.0pt;mso-wrap-distance-bottom:0.0pt;" stroked="f">
                <v:path textboxrect="0,0,0,0"/>
                <v:imagedata r:id="rId17" o:title=""/>
              </v:shape>
            </w:pict>
          </mc:Fallback>
        </mc:AlternateContent>
      </w:r>
      <w:r/>
    </w:p>
    <w:p>
      <w:pPr>
        <w:ind w:firstLine="880"/>
        <w:jc w:val="right"/>
        <w:spacing w:line="360" w:lineRule="auto"/>
        <w:rPr>
          <w:rFonts w:ascii="方正仿宋_GBK" w:hAnsi="方正仿宋_GBK" w:eastAsia="方正仿宋_GBK" w:cs="方正仿宋_GBK"/>
        </w:rPr>
      </w:pPr>
      <w:r>
        <w:rPr>
          <w:rFonts w:hint="eastAsia" w:ascii="宋体" w:hAnsi="宋体" w:eastAsia="宋体" w:cs="宋体"/>
          <w:sz w:val="44"/>
          <w:szCs w:val="44"/>
          <w:lang w:bidi="ar"/>
        </w:rPr>
        <w:t xml:space="preserve">      </w:t>
      </w:r>
      <w:r>
        <w:rPr>
          <w:rFonts w:hint="eastAsia" w:ascii="宋体" w:hAnsi="宋体" w:eastAsia="宋体" w:cs="宋体"/>
          <w:sz w:val="44"/>
          <w:szCs w:val="44"/>
          <w:lang w:bidi="ar"/>
        </w:rPr>
        <w:tab/>
      </w:r>
      <w:r>
        <w:rPr>
          <w:rFonts w:ascii="Times New Roman" w:hAnsi="Times New Roman" w:eastAsia="宋体" w:cs="Times New Roman"/>
          <w:sz w:val="22"/>
          <w:szCs w:val="24"/>
          <w:lang w:bidi="ar"/>
        </w:rPr>
        <w:tab/>
      </w:r>
      <w:r>
        <w:rPr>
          <w:rFonts w:hint="eastAsia" w:ascii="方正仿宋_GBK" w:hAnsi="宋体" w:eastAsia="方正仿宋_GBK" w:cs="方正仿宋_GBK"/>
          <w:b/>
          <w:bCs/>
          <w:sz w:val="32"/>
          <w:szCs w:val="28"/>
          <w:lang w:bidi="ar"/>
        </w:rPr>
        <w:t xml:space="preserve">协议编号：【</w:t>
      </w:r>
      <w:r>
        <w:rPr>
          <w:rFonts w:hint="eastAsia" w:ascii="方正仿宋_GBK" w:hAnsi="宋体" w:eastAsia="方正仿宋_GBK" w:cs="方正仿宋_GBK"/>
          <w:b/>
          <w:bCs/>
          <w:color w:val="000000"/>
          <w:sz w:val="32"/>
          <w:szCs w:val="28"/>
          <w:lang w:bidi="ar"/>
        </w:rPr>
        <w:t xml:space="preserve">2026A**00**</w:t>
      </w:r>
      <w:r>
        <w:rPr>
          <w:rFonts w:hint="eastAsia" w:ascii="方正仿宋_GBK" w:hAnsi="宋体" w:eastAsia="方正仿宋_GBK" w:cs="方正仿宋_GBK"/>
          <w:b/>
          <w:bCs/>
          <w:sz w:val="32"/>
          <w:szCs w:val="28"/>
          <w:lang w:bidi="ar"/>
        </w:rPr>
        <w:t xml:space="preserve">】</w:t>
      </w:r>
      <w:r/>
    </w:p>
    <w:p>
      <w:pPr>
        <w:ind w:firstLine="880"/>
        <w:jc w:val="left"/>
        <w:tabs>
          <w:tab w:val="left" w:pos="7064" w:leader="none"/>
        </w:tabs>
        <w:rPr>
          <w:rFonts w:ascii="宋体" w:hAnsi="宋体" w:eastAsia="宋体" w:cs="宋体"/>
          <w:sz w:val="44"/>
          <w:szCs w:val="44"/>
        </w:rPr>
      </w:pPr>
      <w:r>
        <w:rPr>
          <w:rFonts w:ascii="宋体" w:hAnsi="宋体" w:eastAsia="宋体" w:cs="宋体"/>
          <w:sz w:val="44"/>
          <w:szCs w:val="44"/>
        </w:rPr>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货</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ind w:firstLine="1040"/>
        <w:jc w:val="center"/>
        <w:rPr>
          <w:rFonts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ind w:firstLine="1040"/>
        <w:jc w:val="center"/>
        <w:rPr>
          <w:rFonts w:ascii="宋体" w:hAnsi="宋体" w:eastAsia="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ind w:firstLine="560"/>
        <w:rPr>
          <w:rFonts w:ascii="宋体" w:hAnsi="宋体" w:eastAsia="宋体" w:cs="宋体"/>
          <w:color w:val="000000"/>
          <w:sz w:val="28"/>
          <w:szCs w:val="28"/>
        </w:rPr>
      </w:pPr>
      <w:r>
        <w:rPr>
          <w:rFonts w:ascii="宋体" w:hAnsi="宋体" w:eastAsia="宋体" w:cs="宋体"/>
          <w:color w:val="000000"/>
          <w:sz w:val="28"/>
          <w:szCs w:val="28"/>
        </w:rPr>
      </w:r>
      <w:r/>
    </w:p>
    <w:p>
      <w:pPr>
        <w:ind w:firstLine="1120"/>
        <w:rPr>
          <w:rFonts w:ascii="宋体" w:hAnsi="宋体" w:eastAsia="宋体" w:cs="宋体"/>
          <w:color w:val="000000"/>
          <w:sz w:val="28"/>
          <w:szCs w:val="28"/>
        </w:rPr>
      </w:pPr>
      <w:r>
        <w:rPr>
          <w:rFonts w:ascii="宋体" w:hAnsi="宋体" w:eastAsia="宋体" w:cs="宋体"/>
          <w:color w:val="000000"/>
          <w:sz w:val="28"/>
          <w:szCs w:val="28"/>
        </w:rPr>
      </w:r>
      <w:r/>
    </w:p>
    <w:p>
      <w:pPr>
        <w:ind w:left="1399" w:hanging="840"/>
        <w:jc w:val="both"/>
        <w:rPr>
          <w:rFonts w:hint="eastAsia" w:ascii="宋体" w:hAnsi="宋体" w:eastAsia="宋体" w:cs="宋体"/>
          <w:color w:val="000000"/>
          <w:sz w:val="28"/>
          <w:szCs w:val="28"/>
          <w:u w:val="single"/>
          <w:lang w:val="en-US" w:eastAsia="zh-CN"/>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u w:val="single"/>
          <w:lang w:val="en-US" w:eastAsia="zh-CN" w:bidi="ar"/>
        </w:rPr>
        <w:t xml:space="preserve"> </w:t>
      </w:r>
      <w:r>
        <w:rPr>
          <w:rFonts w:hint="eastAsia" w:ascii="宋体" w:hAnsi="宋体" w:eastAsia="宋体" w:cs="宋体"/>
          <w:color w:val="000000"/>
          <w:sz w:val="28"/>
          <w:szCs w:val="28"/>
          <w:u w:val="single"/>
          <w:lang w:bidi="ar"/>
        </w:rPr>
        <w:t xml:space="preserve">紫金山实验室矢量网络分析仪采购项目</w:t>
      </w:r>
      <w:r>
        <w:rPr>
          <w:rFonts w:hint="eastAsia" w:ascii="宋体" w:hAnsi="宋体" w:eastAsia="宋体" w:cs="宋体"/>
          <w:color w:val="000000"/>
          <w:sz w:val="28"/>
          <w:szCs w:val="28"/>
          <w:u w:val="single"/>
          <w:lang w:val="en-US" w:eastAsia="zh-CN" w:bidi="ar"/>
        </w:rPr>
        <w:t xml:space="preserve"> </w:t>
      </w:r>
      <w:r/>
    </w:p>
    <w:p>
      <w:pPr>
        <w:ind w:firstLine="560"/>
        <w:rPr>
          <w:rFonts w:ascii="宋体" w:hAnsi="宋体" w:eastAsia="宋体" w:cs="宋体"/>
          <w:color w:val="000000"/>
          <w:sz w:val="28"/>
          <w:szCs w:val="28"/>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ind w:firstLine="560"/>
        <w:rPr>
          <w:rFonts w:ascii="宋体" w:hAnsi="宋体" w:eastAsia="宋体" w:cs="宋体"/>
          <w:color w:val="000000"/>
          <w:szCs w:val="21"/>
          <w:lang w:val="zh-CN"/>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（投标人）</w:t>
      </w:r>
      <w:r/>
    </w:p>
    <w:p>
      <w:pPr>
        <w:jc w:val="left"/>
        <w:rPr>
          <w:rFonts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br w:type="page" w:clear="all"/>
      </w:r>
      <w:r/>
    </w:p>
    <w:p>
      <w:pPr>
        <w:ind w:firstLine="480"/>
        <w:jc w:val="left"/>
        <w:spacing w:line="540" w:lineRule="exact"/>
        <w:rPr>
          <w:rFonts w:ascii="宋体" w:hAnsi="宋体" w:eastAsia="宋体" w:cs="宋体"/>
          <w:color w:val="000000"/>
        </w:rPr>
      </w:pPr>
      <w:r>
        <w:rPr>
          <w:rFonts w:hint="eastAsia" w:ascii="宋体" w:hAnsi="宋体" w:eastAsia="宋体" w:cs="宋体"/>
          <w:color w:val="000000"/>
          <w:sz w:val="24"/>
          <w:szCs w:val="24"/>
          <w:lang w:val="zh-CN" w:bidi="ar"/>
        </w:rPr>
        <w:t xml:space="preserve">根据《中华人民共和国政府采购法》、《中华人民共和国民法典》等法律法规的规定，甲乙双方按照招标结果签订本合同。</w:t>
      </w:r>
      <w:r/>
    </w:p>
    <w:p>
      <w:pPr>
        <w:ind w:firstLine="482"/>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第一条 合同标的</w:t>
      </w:r>
      <w:r>
        <w:rPr>
          <w:rFonts w:hint="eastAsia" w:ascii="宋体" w:hAnsi="宋体" w:eastAsia="宋体" w:cs="宋体"/>
          <w:color w:val="000000"/>
          <w:sz w:val="24"/>
          <w:szCs w:val="24"/>
          <w:lang w:val="zh-CN" w:bidi="ar"/>
        </w:rPr>
        <w:t xml:space="preserve">  </w:t>
      </w:r>
      <w:r/>
    </w:p>
    <w:p>
      <w:pPr>
        <w:ind w:firstLine="480"/>
        <w:spacing w:line="540" w:lineRule="exact"/>
        <w:rPr>
          <w:rFonts w:ascii="宋体" w:hAnsi="宋体" w:eastAsia="宋体" w:cs="宋体"/>
          <w:color w:val="000000"/>
          <w:lang w:val="zh-CN"/>
        </w:rPr>
      </w:pPr>
      <w:r>
        <w:rPr>
          <w:rFonts w:ascii="宋体" w:hAnsi="宋体" w:eastAsia="宋体" w:cs="宋体"/>
          <w:color w:val="000000"/>
          <w:lang w:val="zh-CN"/>
        </w:rPr>
      </w:r>
      <w:r/>
    </w:p>
    <w:p>
      <w:pPr>
        <w:ind w:firstLine="480"/>
        <w:spacing w:line="540" w:lineRule="exact"/>
        <w:rPr>
          <w:rFonts w:ascii="宋体" w:hAnsi="宋体" w:eastAsia="宋体" w:cs="宋体"/>
          <w:color w:val="000000"/>
          <w:lang w:val="zh-CN"/>
        </w:rPr>
      </w:pPr>
      <w:r>
        <w:rPr>
          <w:rFonts w:ascii="宋体" w:hAnsi="宋体" w:eastAsia="宋体" w:cs="宋体"/>
          <w:color w:val="000000"/>
          <w:lang w:val="zh-CN"/>
        </w:rPr>
      </w:r>
      <w:r/>
    </w:p>
    <w:p>
      <w:pPr>
        <w:ind w:firstLine="482"/>
        <w:jc w:val="left"/>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第二条 合同总价款</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本合同项下货物总价为</w:t>
      </w:r>
      <w:r>
        <w:rPr>
          <w:rFonts w:hint="eastAsia" w:ascii="宋体" w:hAnsi="宋体" w:eastAsia="宋体" w:cs="宋体"/>
          <w:sz w:val="24"/>
          <w:szCs w:val="24"/>
          <w:lang w:bidi="ar"/>
        </w:rPr>
        <w:t xml:space="preserve">人民币</w:t>
      </w:r>
      <w:r>
        <w:rPr>
          <w:rFonts w:hint="eastAsia" w:ascii="宋体" w:hAnsi="宋体" w:eastAsia="宋体" w:cs="宋体"/>
          <w:sz w:val="24"/>
          <w:szCs w:val="24"/>
          <w:u w:val="single"/>
          <w:lang w:bidi="ar"/>
        </w:rPr>
        <w:t xml:space="preserve">         元</w:t>
      </w:r>
      <w:r>
        <w:rPr>
          <w:rFonts w:hint="eastAsia" w:ascii="宋体" w:hAnsi="宋体" w:eastAsia="宋体" w:cs="宋体"/>
          <w:sz w:val="24"/>
          <w:szCs w:val="24"/>
          <w:lang w:bidi="ar"/>
        </w:rPr>
        <w:t xml:space="preserve">（大写）（¥   元）</w:t>
      </w:r>
      <w:r>
        <w:rPr>
          <w:rFonts w:hint="eastAsia" w:ascii="宋体" w:hAnsi="宋体" w:eastAsia="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ascii="宋体" w:hAnsi="宋体" w:eastAsia="宋体" w:cs="宋体"/>
          <w:b/>
          <w:color w:val="000000"/>
        </w:rPr>
      </w:pPr>
      <w:r>
        <w:rPr>
          <w:rFonts w:hint="eastAsia" w:ascii="宋体" w:hAnsi="宋体" w:eastAsia="宋体" w:cs="宋体"/>
          <w:color w:val="000000"/>
          <w:sz w:val="24"/>
          <w:szCs w:val="24"/>
          <w:lang w:val="zh-CN" w:bidi="ar"/>
        </w:rPr>
        <w:t xml:space="preserve">本合同总价款是</w:t>
      </w:r>
      <w:r>
        <w:rPr>
          <w:rFonts w:hint="eastAsia" w:ascii="宋体" w:hAnsi="宋体" w:eastAsia="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4"/>
          <w:szCs w:val="24"/>
          <w:lang w:bidi="ar"/>
        </w:rPr>
        <w:t xml:space="preserve">，以</w:t>
      </w:r>
      <w:r>
        <w:rPr>
          <w:rFonts w:hint="eastAsia" w:ascii="宋体" w:hAnsi="宋体" w:eastAsia="宋体" w:cs="宋体"/>
          <w:color w:val="000000"/>
          <w:sz w:val="24"/>
          <w:szCs w:val="24"/>
          <w:lang w:bidi="ar"/>
        </w:rPr>
        <w:t xml:space="preserve">及投标人认为需要的其他费用等</w:t>
      </w:r>
      <w:r>
        <w:rPr>
          <w:rFonts w:hint="eastAsia" w:ascii="宋体" w:hAnsi="宋体" w:eastAsia="宋体" w:cs="宋体"/>
          <w:color w:val="000000"/>
          <w:sz w:val="24"/>
          <w:szCs w:val="24"/>
          <w:lang w:val="zh-CN" w:bidi="ar"/>
        </w:rPr>
        <w:t xml:space="preserve">。</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本合同总价款还包含乙方应当提供的伴随服务/售后服务费用。</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本合同执行期间合同总价款不变。</w:t>
      </w:r>
      <w:r/>
    </w:p>
    <w:p>
      <w:pPr>
        <w:ind w:firstLine="472"/>
        <w:spacing w:line="540" w:lineRule="exact"/>
        <w:rPr>
          <w:rFonts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第三条 组成本合同的有关文件</w:t>
      </w:r>
      <w:r/>
    </w:p>
    <w:p>
      <w:pPr>
        <w:ind w:firstLine="470"/>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下列关于紫金山实验室</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标的招标文件或本次采购活动方式相适应的文件及有关附件是本合同不可分割的组成部分，与本合同具有同等法律效力，这些文件包括但不限于：</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（1）乙方提供的响应文件和报价表；（2）函件；</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（3）分项报价表；              （4）项目实施方案与服务说明；</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（5）偏离表及说明；            （6）服务承诺；</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（7）中标通知书；              （8）甲乙双方商定的其他文件等。</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第四条 权利保证</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第五条 质量保证</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乙方所提供的货物的技术规格应与招投标文件规定的技术规格及所附的“技术偏离表”相一致；若技术性能无特殊说明，按国家有关部门颁布的标准及规范为准。</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第六条 包装要求</w:t>
      </w:r>
      <w:r/>
    </w:p>
    <w:p>
      <w:pPr>
        <w:ind w:firstLine="480"/>
        <w:jc w:val="left"/>
        <w:spacing w:line="540" w:lineRule="exact"/>
        <w:rPr>
          <w:rFonts w:ascii="宋体" w:hAnsi="宋体" w:eastAsia="宋体" w:cs="宋体"/>
          <w:color w:val="000000"/>
          <w:lang w:val="zh-CN"/>
        </w:rPr>
      </w:pPr>
      <w:r/>
      <w:bookmarkStart w:id="49" w:name="_Hlk81813376"/>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每一包装单元内应附详细的装箱单和质量合格凭证。</w:t>
      </w:r>
      <w:bookmarkEnd w:id="49"/>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第七条 交货和验收</w:t>
      </w:r>
      <w:r/>
    </w:p>
    <w:p>
      <w:pPr>
        <w:ind w:firstLine="480"/>
        <w:jc w:val="left"/>
        <w:spacing w:line="540" w:lineRule="exact"/>
        <w:rPr>
          <w:rFonts w:ascii="宋体" w:hAnsi="宋体" w:eastAsia="宋体" w:cs="宋体"/>
          <w:color w:val="000000"/>
          <w:u w:val="single"/>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乙方应当在</w:t>
      </w:r>
      <w:r>
        <w:rPr>
          <w:rFonts w:hint="eastAsia" w:ascii="宋体" w:hAnsi="宋体" w:eastAsia="宋体" w:cs="宋体"/>
          <w:b/>
          <w:color w:val="000000"/>
          <w:sz w:val="24"/>
          <w:szCs w:val="24"/>
          <w:lang w:val="zh-CN" w:bidi="ar"/>
        </w:rPr>
        <w:t xml:space="preserve">合同签订后</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天内</w:t>
      </w:r>
      <w:r>
        <w:rPr>
          <w:rFonts w:hint="eastAsia" w:ascii="宋体" w:hAnsi="宋体" w:eastAsia="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乙方交付的货物应当完全符合本合同、招标文件和响应文件所规定的货物、数量和规格要求。乙方提供的货物不符合招标文件、响应文件和合同规定的，甲方有权拒收货物，由此引起的风险，由乙方承担。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货物的到货验收包括：型号、规格、数量、外观质量、及货物包装是否完好。到货验收不影响乙方对于货物承担质量保证责任。货物在经甲方验收合格前，其毁损、灭失等风险由乙方承担。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货物和系统调试验收的标准：按行业通行标准、厂方出厂标准和乙方投标文件的承诺（详见合同附件载明的标准，并不低于国家相关标准）。</w:t>
      </w:r>
      <w:r/>
    </w:p>
    <w:p>
      <w:pPr>
        <w:ind w:firstLine="482"/>
        <w:jc w:val="left"/>
        <w:spacing w:line="540" w:lineRule="exact"/>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第八条 售后服务</w:t>
      </w:r>
      <w:r/>
    </w:p>
    <w:p>
      <w:pPr>
        <w:ind w:firstLine="480"/>
        <w:jc w:val="left"/>
        <w:spacing w:line="540" w:lineRule="exact"/>
        <w:tabs>
          <w:tab w:val="left" w:pos="1620" w:leader="none"/>
        </w:tabs>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乙方应按照国家有关法律法规规章和以及合同所附的“服务承诺”提供服务。</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除前款规定外，乙方还应提供下列服务：</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（1）货物的现场安装、调试和/或启动监督；</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（2）就货物的安装、启动、运行及维护等对甲方人员进行免费培训。</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售后服务的承诺，双方作如下约定：</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3.1 乙方应为甲方提供免费培训服务，并指派专人负责与甲方联系售后服务事宜。</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3.2 所购货物按乙方投标承诺</w:t>
      </w:r>
      <w:r>
        <w:rPr>
          <w:rFonts w:hint="eastAsia" w:ascii="宋体" w:hAnsi="宋体" w:eastAsia="宋体" w:cs="宋体"/>
          <w:color w:val="000000"/>
          <w:sz w:val="24"/>
          <w:szCs w:val="24"/>
          <w:lang w:bidi="ar"/>
        </w:rPr>
        <w:t xml:space="preserve">自货物交付验收合格之日起</w:t>
      </w:r>
      <w:r>
        <w:rPr>
          <w:rFonts w:hint="eastAsia" w:ascii="宋体" w:hAnsi="宋体" w:eastAsia="宋体" w:cs="宋体"/>
          <w:color w:val="000000"/>
          <w:sz w:val="24"/>
          <w:szCs w:val="24"/>
          <w:lang w:val="zh-CN" w:bidi="ar"/>
        </w:rPr>
        <w:t xml:space="preserve">提供</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年</w:t>
      </w:r>
      <w:r>
        <w:rPr>
          <w:rFonts w:hint="eastAsia" w:ascii="宋体" w:hAnsi="宋体" w:eastAsia="宋体" w:cs="宋体"/>
          <w:color w:val="000000"/>
          <w:sz w:val="24"/>
          <w:szCs w:val="24"/>
          <w:lang w:val="zh-CN" w:bidi="ar"/>
        </w:rPr>
        <w:t xml:space="preserve">免费质保服务，该费用计入总价。</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3.4 货物故障报修的响应时间按乙方投标响应文件承诺执行。</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3.7 保修期后的货物维护由双方协商再定。</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eastAsia="宋体" w:cs="宋体"/>
          <w:color w:val="000000"/>
          <w:sz w:val="24"/>
          <w:szCs w:val="24"/>
          <w:lang w:bidi="ar"/>
        </w:rPr>
        <w:t xml:space="preserve">或乙方另行支付甲方</w:t>
      </w:r>
      <w:r>
        <w:rPr>
          <w:rFonts w:hint="eastAsia" w:ascii="宋体" w:hAnsi="宋体" w:eastAsia="宋体" w:cs="宋体"/>
          <w:color w:val="000000"/>
          <w:sz w:val="24"/>
          <w:szCs w:val="24"/>
          <w:lang w:val="zh-CN" w:bidi="ar"/>
        </w:rPr>
        <w:t xml:space="preserve">。</w:t>
      </w:r>
      <w:r/>
    </w:p>
    <w:p>
      <w:pPr>
        <w:ind w:firstLine="482"/>
        <w:jc w:val="left"/>
        <w:spacing w:line="540" w:lineRule="exact"/>
        <w:rPr>
          <w:rFonts w:ascii="宋体" w:hAnsi="宋体" w:eastAsia="宋体" w:cs="宋体"/>
          <w:b/>
          <w:bCs/>
          <w:i/>
          <w:iCs/>
          <w:color w:val="000000"/>
          <w:lang w:val="zh-CN"/>
        </w:rPr>
      </w:pPr>
      <w:r>
        <w:rPr>
          <w:rFonts w:hint="eastAsia" w:ascii="宋体" w:hAnsi="宋体" w:eastAsia="宋体" w:cs="宋体"/>
          <w:b/>
          <w:bCs/>
          <w:color w:val="000000"/>
          <w:sz w:val="24"/>
          <w:szCs w:val="24"/>
          <w:lang w:val="zh-CN" w:bidi="ar"/>
        </w:rPr>
        <w:t xml:space="preserve">第九条 合同款支付</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本合同项下所有款项均以人民币支付。</w:t>
      </w:r>
      <w:r/>
    </w:p>
    <w:p>
      <w:pPr>
        <w:ind w:firstLine="480"/>
        <w:jc w:val="left"/>
        <w:spacing w:line="540" w:lineRule="exact"/>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本合同项下的采购资金由甲方自行支付，在甲方支付验收批次款前，乙方先行向甲方开具全额增值税发票，否则甲方有权迟延支付相应款项且不影响乙方履行本合同项下的义务。</w:t>
      </w:r>
      <w:r/>
    </w:p>
    <w:p>
      <w:pPr>
        <w:ind w:firstLine="482"/>
        <w:jc w:val="left"/>
        <w:spacing w:line="540" w:lineRule="exact"/>
        <w:rPr>
          <w:rFonts w:ascii="宋体" w:hAnsi="宋体" w:eastAsia="宋体" w:cs="宋体"/>
          <w:b/>
          <w:color w:val="000000"/>
        </w:rPr>
      </w:pPr>
      <w:r>
        <w:rPr>
          <w:rFonts w:ascii="宋体" w:hAnsi="宋体" w:eastAsia="宋体" w:cs="宋体"/>
          <w:b/>
          <w:color w:val="000000"/>
          <w:sz w:val="24"/>
          <w:szCs w:val="24"/>
          <w:lang w:bidi="ar"/>
        </w:rPr>
        <w:t xml:space="preserve">3.</w:t>
      </w:r>
      <w:r>
        <w:rPr>
          <w:rFonts w:hint="eastAsia" w:ascii="宋体" w:hAnsi="宋体" w:eastAsia="宋体" w:cs="宋体"/>
          <w:b/>
          <w:color w:val="000000"/>
          <w:sz w:val="24"/>
          <w:szCs w:val="24"/>
          <w:lang w:val="zh-CN" w:bidi="ar"/>
        </w:rPr>
        <w:t xml:space="preserve">付款方式：</w:t>
      </w:r>
      <w:r/>
    </w:p>
    <w:p>
      <w:pPr>
        <w:ind w:firstLine="480"/>
        <w:jc w:val="left"/>
        <w:spacing w:line="540" w:lineRule="exact"/>
        <w:rPr>
          <w:rFonts w:ascii="宋体" w:hAnsi="宋体" w:eastAsia="宋体" w:cs="宋体"/>
          <w:sz w:val="24"/>
          <w:szCs w:val="24"/>
          <w:lang w:bidi="ar"/>
        </w:rPr>
      </w:pPr>
      <w:r>
        <w:rPr>
          <w:rFonts w:hint="eastAsia" w:ascii="宋体" w:hAnsi="宋体" w:eastAsia="宋体" w:cs="宋体"/>
          <w:color w:val="000000"/>
          <w:sz w:val="24"/>
          <w:szCs w:val="24"/>
          <w:lang w:bidi="ar"/>
        </w:rPr>
        <w:t xml:space="preserve">甲乙双方签订合同生效后，货到验收合格后，乙方先行开具全额增值税专用发票，甲方收到发票等材料后支付合同总</w:t>
      </w:r>
      <w:r>
        <w:rPr>
          <w:rFonts w:hint="eastAsia" w:ascii="宋体" w:hAnsi="宋体" w:eastAsia="宋体" w:cs="宋体"/>
          <w:color w:val="000000"/>
          <w:sz w:val="24"/>
          <w:szCs w:val="24"/>
          <w:highlight w:val="none"/>
          <w:lang w:bidi="ar"/>
        </w:rPr>
        <w:t xml:space="preserve">额的95%；正常运行半年后支付剩余尾款。</w:t>
      </w:r>
      <w:r/>
    </w:p>
    <w:p>
      <w:pPr>
        <w:ind w:firstLine="482"/>
        <w:jc w:val="left"/>
        <w:spacing w:line="540" w:lineRule="exact"/>
        <w:rPr>
          <w:rFonts w:ascii="宋体" w:hAnsi="宋体" w:eastAsia="宋体" w:cs="宋体"/>
          <w:b/>
          <w:color w:val="000000"/>
          <w:lang w:val="zh-CN"/>
        </w:rPr>
      </w:pPr>
      <w:r>
        <w:rPr>
          <w:rFonts w:hint="eastAsia" w:ascii="宋体" w:hAnsi="宋体" w:eastAsia="宋体" w:cs="宋体"/>
          <w:b/>
          <w:color w:val="000000"/>
          <w:sz w:val="24"/>
          <w:szCs w:val="24"/>
          <w:lang w:bidi="ar"/>
        </w:rPr>
        <w:t xml:space="preserve">4.</w:t>
      </w:r>
      <w:r>
        <w:rPr>
          <w:rFonts w:hint="eastAsia" w:ascii="宋体" w:hAnsi="宋体" w:eastAsia="宋体" w:cs="宋体"/>
          <w:b/>
          <w:color w:val="000000"/>
          <w:sz w:val="24"/>
          <w:szCs w:val="24"/>
          <w:lang w:val="zh-CN" w:bidi="ar"/>
        </w:rPr>
        <w:t xml:space="preserve">甲方开票信息：</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单位名称：紫金山实验室</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纳税人识别号：12320100MB19771475</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开户银行：中国建设银行股份有限公司南京九龙湖支行</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银行账号：32050159604400000585</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联行号：105301001090</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单位地址：南京市江宁区秣周东路9号</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单位电话：025-52091570</w:t>
      </w:r>
      <w:r/>
    </w:p>
    <w:p>
      <w:pPr>
        <w:ind w:firstLine="482"/>
        <w:jc w:val="left"/>
        <w:spacing w:line="540" w:lineRule="exact"/>
        <w:rPr>
          <w:rFonts w:ascii="宋体" w:hAnsi="宋体" w:eastAsia="宋体" w:cs="宋体"/>
          <w:b/>
          <w:color w:val="000000"/>
          <w:lang w:val="zh-CN"/>
        </w:rPr>
      </w:pPr>
      <w:r>
        <w:rPr>
          <w:rFonts w:hint="eastAsia" w:ascii="宋体" w:hAnsi="宋体" w:eastAsia="宋体" w:cs="宋体"/>
          <w:b/>
          <w:color w:val="000000"/>
          <w:sz w:val="24"/>
          <w:szCs w:val="24"/>
          <w:lang w:bidi="ar"/>
        </w:rPr>
        <w:t xml:space="preserve">5.</w:t>
      </w:r>
      <w:r>
        <w:rPr>
          <w:rFonts w:hint="eastAsia" w:ascii="宋体" w:hAnsi="宋体" w:eastAsia="宋体" w:cs="宋体"/>
          <w:b/>
          <w:color w:val="000000"/>
          <w:sz w:val="24"/>
          <w:szCs w:val="24"/>
          <w:lang w:val="zh-CN" w:bidi="ar"/>
        </w:rPr>
        <w:t xml:space="preserve">乙方账户信息：</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开户名： </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开户行：</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账  号：</w:t>
      </w:r>
      <w:r/>
    </w:p>
    <w:p>
      <w:pPr>
        <w:ind w:firstLine="480"/>
        <w:spacing w:line="540" w:lineRule="exact"/>
        <w:rPr>
          <w:rFonts w:ascii="宋体" w:hAnsi="宋体" w:eastAsia="宋体" w:cs="宋体"/>
        </w:rPr>
      </w:pPr>
      <w:r>
        <w:rPr>
          <w:rFonts w:hint="eastAsia" w:ascii="宋体" w:hAnsi="宋体" w:eastAsia="宋体" w:cs="宋体"/>
          <w:sz w:val="24"/>
          <w:szCs w:val="24"/>
          <w:lang w:bidi="ar"/>
        </w:rPr>
        <w:t xml:space="preserve">税  号：</w:t>
      </w:r>
      <w:r/>
    </w:p>
    <w:p>
      <w:pPr>
        <w:pStyle w:val="912"/>
        <w:contextualSpacing/>
        <w:ind w:left="451" w:hanging="241"/>
        <w:jc w:val="both"/>
        <w:spacing w:before="0" w:beforeAutospacing="0" w:after="0" w:afterAutospacing="0" w:line="540" w:lineRule="exact"/>
        <w:widowControl w:val="off"/>
        <w:rPr>
          <w:b/>
          <w:bCs/>
          <w:color w:val="000000"/>
          <w:lang w:val="zh-CN"/>
        </w:rPr>
      </w:pPr>
      <w:r>
        <w:rPr>
          <w:b/>
          <w:bCs/>
          <w:color w:val="000000"/>
          <w:lang w:val="zh-CN" w:bidi="ar"/>
        </w:rPr>
        <w:t xml:space="preserve">第十条 违约责任</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甲方无正当理由拒收货物、拒付货物款的，甲方向乙方偿付合同总价的5%违约金。</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甲方未按合同规定的期限向乙方支付货款的，每逾期1天甲方向乙方按照同期贷款市场报价利率标准支付滞纳金，但累计滞纳金总额不超过欠款总额的5%。</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如乙方不能交付货物、完成安装调试的，甲方有权要求乙方支付合同总价5%的违约金。</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val="zh-CN"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val="zh-CN" w:bidi="ar"/>
        </w:rPr>
        <w:t xml:space="preserve">乙方未按本合同的规定和“服务承诺”提供售后服务的，应按合同总价款的10%向甲方承担违约责任。</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zh-CN"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zh-CN" w:bidi="ar"/>
        </w:rPr>
        <w:t xml:space="preserve">乙方投标属虚假承诺，或经权威部门监测提供的货物不能满足招投标文件要求，或是由于乙方的过错造成合同无法继续履行的，乙方应向甲方支付不少于合同总价30%赔偿金。</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一</w:t>
      </w:r>
      <w:r>
        <w:rPr>
          <w:rFonts w:hint="eastAsia" w:ascii="宋体" w:hAnsi="宋体" w:eastAsia="宋体" w:cs="宋体"/>
          <w:b/>
          <w:bCs/>
          <w:color w:val="000000"/>
          <w:sz w:val="24"/>
          <w:szCs w:val="24"/>
          <w:lang w:val="zh-CN" w:bidi="ar"/>
        </w:rPr>
        <w:t xml:space="preserve">条 合同的变更和终止</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除《政府采购法》第49条以及第50条第二款规定的情形外，本合同一经签订，甲乙双方不得擅自变更、中止或终止合同。</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二</w:t>
      </w:r>
      <w:r>
        <w:rPr>
          <w:rFonts w:hint="eastAsia" w:ascii="宋体" w:hAnsi="宋体" w:eastAsia="宋体" w:cs="宋体"/>
          <w:b/>
          <w:bCs/>
          <w:color w:val="000000"/>
          <w:sz w:val="24"/>
          <w:szCs w:val="24"/>
          <w:lang w:val="zh-CN" w:bidi="ar"/>
        </w:rPr>
        <w:t xml:space="preserve">条 合同的转让</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乙方不得部分或全部转让其应履行的合同义务或其享有的合同权利。</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三</w:t>
      </w:r>
      <w:r>
        <w:rPr>
          <w:rFonts w:hint="eastAsia" w:ascii="宋体" w:hAnsi="宋体" w:eastAsia="宋体" w:cs="宋体"/>
          <w:b/>
          <w:bCs/>
          <w:color w:val="000000"/>
          <w:sz w:val="24"/>
          <w:szCs w:val="24"/>
          <w:lang w:val="zh-CN" w:bidi="ar"/>
        </w:rPr>
        <w:t xml:space="preserve">条 争议的解决</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因货物的质量问题发生争议的，一方可邀请国家认可的质量检测机构对货物质量进行鉴定。货物符合标准的，鉴定费由甲方承担；货物不符合质量标准的，鉴定费由乙方承担。</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因履行本合同引起的或与本合同有关的争议，甲、乙双方应首先通过友好协商解决，如果协商不能解决争议，则向甲方所在地有管辖权的人民法院提起诉讼解决争议。</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在诉讼或仲裁期间，本合同应继续履行。</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四</w:t>
      </w:r>
      <w:r>
        <w:rPr>
          <w:rFonts w:hint="eastAsia" w:ascii="宋体" w:hAnsi="宋体" w:eastAsia="宋体" w:cs="宋体"/>
          <w:b/>
          <w:bCs/>
          <w:color w:val="000000"/>
          <w:sz w:val="24"/>
          <w:szCs w:val="24"/>
          <w:lang w:val="zh-CN" w:bidi="ar"/>
        </w:rPr>
        <w:t xml:space="preserve">条 诚实信用 </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乙方应诚实信用，严格按照招投标文件要求和投标承诺履行合同，不向甲方进行商业贿赂或者提供不正当利益。</w:t>
      </w:r>
      <w:r/>
    </w:p>
    <w:p>
      <w:pPr>
        <w:ind w:firstLine="482"/>
        <w:jc w:val="left"/>
        <w:spacing w:line="540" w:lineRule="exact"/>
        <w:widowControl/>
        <w:rPr>
          <w:rFonts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五</w:t>
      </w:r>
      <w:r>
        <w:rPr>
          <w:rFonts w:hint="eastAsia" w:ascii="宋体" w:hAnsi="宋体" w:eastAsia="宋体" w:cs="宋体"/>
          <w:b/>
          <w:bCs/>
          <w:color w:val="000000"/>
          <w:sz w:val="24"/>
          <w:szCs w:val="24"/>
          <w:lang w:val="zh-CN" w:bidi="ar"/>
        </w:rPr>
        <w:t xml:space="preserve">条 合同生效及其他</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本合同自双方盖章之日起生效。</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本合同一式</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份，甲方执肆份，乙方执</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份，招标公司执壹份，具有同等法律效力。</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本合同应按照中华人民共和国大陆地区现行有效的法律进行解释。</w:t>
      </w:r>
      <w:r/>
    </w:p>
    <w:p>
      <w:pPr>
        <w:ind w:firstLine="480"/>
        <w:jc w:val="left"/>
        <w:spacing w:line="540" w:lineRule="exact"/>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（以下无正文）</w:t>
      </w:r>
      <w:r/>
    </w:p>
    <w:p>
      <w:pPr>
        <w:ind w:firstLine="480"/>
        <w:jc w:val="left"/>
        <w:spacing w:line="540" w:lineRule="exact"/>
        <w:widowControl/>
        <w:rPr>
          <w:rFonts w:ascii="宋体" w:hAnsi="宋体" w:eastAsia="宋体" w:cs="宋体"/>
          <w:color w:val="000000"/>
          <w:lang w:val="zh-CN"/>
        </w:rPr>
      </w:pPr>
      <w:r>
        <w:rPr>
          <w:rFonts w:ascii="宋体" w:hAnsi="宋体" w:eastAsia="宋体" w:cs="宋体"/>
          <w:color w:val="000000"/>
          <w:lang w:val="zh-CN"/>
        </w:rPr>
      </w:r>
      <w:r/>
    </w:p>
    <w:p>
      <w:pPr>
        <w:jc w:val="left"/>
        <w:widowControl/>
        <w:rPr>
          <w:rFonts w:ascii="宋体" w:hAnsi="宋体" w:eastAsia="宋体" w:cs="宋体"/>
          <w:color w:val="000000"/>
          <w:lang w:val="zh-CN"/>
        </w:rPr>
      </w:pPr>
      <w:r>
        <w:rPr>
          <w:rFonts w:hint="eastAsia" w:ascii="宋体" w:hAnsi="宋体" w:eastAsia="宋体" w:cs="宋体"/>
          <w:color w:val="000000"/>
          <w:sz w:val="24"/>
          <w:szCs w:val="24"/>
          <w:lang w:val="zh-CN" w:bidi="ar"/>
        </w:rPr>
        <w:br w:type="page" w:clear="all"/>
      </w:r>
      <w:r/>
    </w:p>
    <w:p>
      <w:pPr>
        <w:jc w:val="center"/>
        <w:spacing w:line="480" w:lineRule="auto"/>
        <w:widowControl/>
        <w:rPr>
          <w:rFonts w:ascii="宋体" w:hAnsi="宋体" w:eastAsia="宋体" w:cs="宋体"/>
          <w:color w:val="000000"/>
          <w:lang w:val="zh-CN"/>
        </w:rPr>
      </w:pPr>
      <w:r>
        <w:rPr>
          <w:rFonts w:hint="eastAsia" w:ascii="宋体" w:hAnsi="宋体" w:eastAsia="宋体" w:cs="宋体"/>
          <w:color w:val="000000"/>
          <w:sz w:val="24"/>
          <w:szCs w:val="24"/>
          <w:lang w:val="zh-CN" w:bidi="ar"/>
        </w:rPr>
        <w:t xml:space="preserve">（本页系编号    《货物采购合同》签署页，无正文）</w:t>
      </w:r>
      <w:r/>
    </w:p>
    <w:tbl>
      <w:tblPr>
        <w:tblStyle w:val="8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01"/>
        <w:gridCol w:w="4502"/>
      </w:tblGrid>
      <w:tr>
        <w:trPr/>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eastAsia="宋体" w:cs="宋体"/>
              </w:rPr>
            </w:pPr>
            <w:r>
              <w:rPr>
                <w:rFonts w:hint="eastAsia" w:ascii="宋体" w:hAnsi="宋体" w:eastAsia="宋体" w:cs="宋体"/>
                <w:sz w:val="24"/>
                <w:szCs w:val="24"/>
                <w:lang w:bidi="ar"/>
              </w:rPr>
              <w:t xml:space="preserve">甲    方：紫金山实验室   </w:t>
            </w:r>
            <w:r/>
          </w:p>
          <w:p>
            <w:pPr>
              <w:rPr>
                <w:rFonts w:ascii="宋体" w:hAnsi="宋体" w:eastAsia="宋体" w:cs="宋体"/>
              </w:rPr>
            </w:pPr>
            <w:r>
              <w:rPr>
                <w:rFonts w:hint="eastAsia" w:ascii="宋体" w:hAnsi="宋体" w:eastAsia="宋体" w:cs="宋体"/>
                <w:sz w:val="24"/>
                <w:szCs w:val="24"/>
                <w:lang w:bidi="ar"/>
              </w:rPr>
              <w:t xml:space="preserve">（盖章）</w:t>
            </w:r>
            <w:r/>
          </w:p>
          <w:p>
            <w:pPr>
              <w:rPr>
                <w:rFonts w:ascii="宋体" w:hAnsi="宋体" w:eastAsia="宋体" w:cs="宋体"/>
              </w:rPr>
            </w:pPr>
            <w:r>
              <w:rPr>
                <w:rFonts w:hint="eastAsia" w:ascii="宋体" w:hAnsi="宋体" w:eastAsia="宋体" w:cs="宋体"/>
                <w:sz w:val="24"/>
                <w:szCs w:val="24"/>
                <w:lang w:bidi="ar"/>
              </w:rPr>
              <w:t xml:space="preserve">法人代表:尤肖虎</w:t>
            </w:r>
            <w:r/>
          </w:p>
          <w:p>
            <w:pPr>
              <w:rPr>
                <w:rFonts w:ascii="宋体" w:hAnsi="宋体" w:eastAsia="宋体" w:cs="宋体"/>
              </w:rPr>
            </w:pPr>
            <w:r>
              <w:rPr>
                <w:rFonts w:hint="eastAsia" w:ascii="宋体" w:hAnsi="宋体" w:eastAsia="宋体" w:cs="宋体"/>
                <w:sz w:val="24"/>
                <w:szCs w:val="24"/>
                <w:lang w:bidi="ar"/>
              </w:rPr>
              <w:t xml:space="preserve">地址:南京市江宁区秣周东路9号</w:t>
            </w:r>
            <w:r/>
          </w:p>
          <w:p>
            <w:pPr>
              <w:rPr>
                <w:rFonts w:ascii="宋体" w:hAnsi="宋体" w:eastAsia="宋体" w:cs="宋体"/>
              </w:rPr>
            </w:pPr>
            <w:r>
              <w:rPr>
                <w:rFonts w:hint="eastAsia" w:ascii="宋体" w:hAnsi="宋体" w:eastAsia="宋体" w:cs="宋体"/>
                <w:sz w:val="24"/>
                <w:szCs w:val="24"/>
                <w:lang w:bidi="ar"/>
              </w:rPr>
              <w:t xml:space="preserve">邮编:         </w:t>
            </w:r>
            <w:r/>
          </w:p>
          <w:p>
            <w:pPr>
              <w:rPr>
                <w:rFonts w:ascii="宋体" w:hAnsi="宋体" w:eastAsia="宋体" w:cs="宋体"/>
              </w:rPr>
            </w:pPr>
            <w:r>
              <w:rPr>
                <w:rFonts w:hint="eastAsia" w:ascii="宋体" w:hAnsi="宋体" w:eastAsia="宋体" w:cs="宋体"/>
                <w:sz w:val="24"/>
                <w:szCs w:val="24"/>
                <w:lang w:bidi="ar"/>
              </w:rPr>
              <w:t xml:space="preserve">电话:</w:t>
            </w:r>
            <w:r/>
          </w:p>
          <w:p>
            <w:pPr>
              <w:rPr>
                <w:rFonts w:ascii="宋体" w:hAnsi="宋体" w:eastAsia="宋体" w:cs="宋体"/>
              </w:rPr>
            </w:pPr>
            <w:r>
              <w:rPr>
                <w:rFonts w:hint="eastAsia" w:ascii="宋体" w:hAnsi="宋体" w:eastAsia="宋体" w:cs="宋体"/>
                <w:sz w:val="24"/>
                <w:szCs w:val="24"/>
                <w:lang w:bidi="ar"/>
              </w:rPr>
              <w:t xml:space="preserve">授权代表（签字）:</w:t>
            </w:r>
            <w:r/>
          </w:p>
          <w:p>
            <w:pPr>
              <w:rPr>
                <w:rFonts w:ascii="宋体" w:hAnsi="宋体" w:eastAsia="宋体" w:cs="宋体"/>
              </w:rPr>
            </w:pPr>
            <w:r>
              <w:rPr>
                <w:rFonts w:hint="eastAsia" w:ascii="宋体" w:hAnsi="宋体" w:eastAsia="宋体" w:cs="宋体"/>
                <w:sz w:val="24"/>
                <w:szCs w:val="24"/>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ascii="宋体" w:hAnsi="宋体" w:eastAsia="宋体" w:cs="宋体"/>
              </w:rPr>
            </w:pPr>
            <w:r>
              <w:rPr>
                <w:rFonts w:hint="eastAsia" w:ascii="宋体" w:hAnsi="宋体" w:eastAsia="宋体" w:cs="宋体"/>
                <w:sz w:val="24"/>
                <w:szCs w:val="24"/>
                <w:lang w:bidi="ar"/>
              </w:rPr>
              <w:t xml:space="preserve">乙    方：   </w:t>
            </w:r>
            <w:r/>
          </w:p>
          <w:p>
            <w:pPr>
              <w:rPr>
                <w:rFonts w:ascii="宋体" w:hAnsi="宋体" w:eastAsia="宋体" w:cs="宋体"/>
              </w:rPr>
            </w:pPr>
            <w:r>
              <w:rPr>
                <w:rFonts w:hint="eastAsia" w:ascii="宋体" w:hAnsi="宋体" w:eastAsia="宋体" w:cs="宋体"/>
                <w:sz w:val="24"/>
                <w:szCs w:val="24"/>
                <w:lang w:bidi="ar"/>
              </w:rPr>
              <w:t xml:space="preserve">（盖章）</w:t>
            </w:r>
            <w:r/>
          </w:p>
          <w:p>
            <w:pPr>
              <w:rPr>
                <w:rFonts w:ascii="宋体" w:hAnsi="宋体" w:eastAsia="宋体" w:cs="宋体"/>
              </w:rPr>
            </w:pPr>
            <w:r>
              <w:rPr>
                <w:rFonts w:hint="eastAsia" w:ascii="宋体" w:hAnsi="宋体" w:eastAsia="宋体" w:cs="宋体"/>
                <w:sz w:val="24"/>
                <w:szCs w:val="24"/>
                <w:lang w:bidi="ar"/>
              </w:rPr>
              <w:t xml:space="preserve">法人代表:</w:t>
            </w:r>
            <w:r/>
          </w:p>
          <w:p>
            <w:pPr>
              <w:rPr>
                <w:rFonts w:ascii="宋体" w:hAnsi="宋体" w:eastAsia="宋体" w:cs="宋体"/>
              </w:rPr>
            </w:pPr>
            <w:r>
              <w:rPr>
                <w:rFonts w:hint="eastAsia" w:ascii="宋体" w:hAnsi="宋体" w:eastAsia="宋体" w:cs="宋体"/>
                <w:sz w:val="24"/>
                <w:szCs w:val="24"/>
                <w:lang w:bidi="ar"/>
              </w:rPr>
              <w:t xml:space="preserve">地址:</w:t>
            </w:r>
            <w:r/>
          </w:p>
          <w:p>
            <w:pPr>
              <w:rPr>
                <w:rFonts w:ascii="宋体" w:hAnsi="宋体" w:eastAsia="宋体" w:cs="宋体"/>
              </w:rPr>
            </w:pPr>
            <w:r>
              <w:rPr>
                <w:rFonts w:ascii="宋体" w:hAnsi="宋体" w:eastAsia="宋体" w:cs="宋体"/>
              </w:rPr>
            </w:r>
            <w:r/>
          </w:p>
          <w:p>
            <w:pPr>
              <w:rPr>
                <w:rFonts w:ascii="宋体" w:hAnsi="宋体" w:eastAsia="宋体" w:cs="宋体"/>
              </w:rPr>
            </w:pPr>
            <w:r>
              <w:rPr>
                <w:rFonts w:hint="eastAsia" w:ascii="宋体" w:hAnsi="宋体" w:eastAsia="宋体" w:cs="宋体"/>
                <w:sz w:val="24"/>
                <w:szCs w:val="24"/>
                <w:lang w:bidi="ar"/>
              </w:rPr>
              <w:t xml:space="preserve">邮编:</w:t>
            </w:r>
            <w:r/>
          </w:p>
          <w:p>
            <w:pPr>
              <w:rPr>
                <w:rFonts w:ascii="宋体" w:hAnsi="宋体" w:eastAsia="宋体" w:cs="宋体"/>
              </w:rPr>
            </w:pPr>
            <w:r>
              <w:rPr>
                <w:rFonts w:hint="eastAsia" w:ascii="宋体" w:hAnsi="宋体" w:eastAsia="宋体" w:cs="宋体"/>
                <w:sz w:val="24"/>
                <w:szCs w:val="24"/>
                <w:lang w:bidi="ar"/>
              </w:rPr>
              <w:t xml:space="preserve">电话:</w:t>
            </w:r>
            <w:r/>
          </w:p>
          <w:p>
            <w:pPr>
              <w:rPr>
                <w:rFonts w:ascii="宋体" w:hAnsi="宋体" w:eastAsia="宋体" w:cs="宋体"/>
              </w:rPr>
            </w:pPr>
            <w:r>
              <w:rPr>
                <w:rFonts w:hint="eastAsia" w:ascii="宋体" w:hAnsi="宋体" w:eastAsia="宋体" w:cs="宋体"/>
                <w:sz w:val="24"/>
                <w:szCs w:val="24"/>
                <w:lang w:bidi="ar"/>
              </w:rPr>
              <w:t xml:space="preserve">授权代表（签字）：</w:t>
            </w:r>
            <w:r/>
          </w:p>
          <w:p>
            <w:pPr>
              <w:rPr>
                <w:rFonts w:ascii="宋体" w:hAnsi="宋体" w:eastAsia="宋体" w:cs="宋体"/>
              </w:rPr>
            </w:pPr>
            <w:r>
              <w:rPr>
                <w:rFonts w:hint="eastAsia" w:ascii="宋体" w:hAnsi="宋体" w:eastAsia="宋体" w:cs="宋体"/>
                <w:sz w:val="24"/>
                <w:szCs w:val="24"/>
                <w:lang w:bidi="ar"/>
              </w:rPr>
              <w:t xml:space="preserve">签订日期：     年   月  日</w:t>
            </w:r>
            <w:r/>
          </w:p>
        </w:tc>
      </w:tr>
    </w:tbl>
    <w:p>
      <w:pPr>
        <w:jc w:val="left"/>
        <w:widowControl/>
        <w:rPr>
          <w:rFonts w:cs="宋体" w:asciiTheme="minorEastAsia" w:hAnsiTheme="minorEastAsia"/>
          <w:color w:val="000000" w:themeColor="text1"/>
          <w:sz w:val="24"/>
          <w:szCs w:val="24"/>
          <w:lang w:val="zh-CN"/>
          <w14:textFill>
            <w14:solidFill>
              <w14:schemeClr w14:val="tx1"/>
            </w14:solidFill>
          </w14:textFill>
        </w:rPr>
      </w:pPr>
      <w:r/>
      <w:bookmarkStart w:id="50" w:name="_Toc11859488"/>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contextualSpacing/>
        <w:ind w:firstLine="480"/>
        <w:spacing w:line="540" w:lineRule="exact"/>
        <w:widowControl/>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15"/>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15"/>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15"/>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pStyle w:val="915"/>
        <w:ind w:firstLine="480"/>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cs="宋体" w:asciiTheme="minorEastAsia" w:hAnsiTheme="minorEastAsia"/>
          <w:color w:val="000000" w:themeColor="text1"/>
          <w:sz w:val="24"/>
          <w:szCs w:val="24"/>
          <w:lang w:val="zh-CN"/>
          <w14:textFill>
            <w14:solidFill>
              <w14:schemeClr w14:val="tx1"/>
            </w14:solidFill>
          </w14:textFill>
        </w:rPr>
      </w:r>
      <w:r/>
    </w:p>
    <w:p>
      <w:pPr>
        <w:rPr>
          <w:rFonts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2"/>
        </w:numPr>
        <w:ind w:firstLine="720"/>
        <w:jc w:val="center"/>
        <w:keepLines/>
        <w:keepNext/>
        <w:spacing w:line="360" w:lineRule="auto"/>
        <w:rPr>
          <w:rFonts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50"/>
      <w:r/>
      <w:bookmarkStart w:id="51" w:name="_Toc11859489"/>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eastAsia="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（一）项目背景</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为完成射频与天线测试，以及微波射频系统中关键器件性能测试，需采购矢量网络分析仪，用来进行信号产生、信号接收和信号处理。</w:t>
      </w:r>
      <w:r/>
    </w:p>
    <w:p>
      <w:pPr>
        <w:ind w:firstLine="480"/>
        <w:spacing w:line="264" w:lineRule="auto"/>
        <w:rPr>
          <w:rFonts w:ascii="宋体" w:hAnsi="宋体" w:eastAsia="宋体" w:cs="宋体"/>
          <w:bCs/>
          <w:sz w:val="24"/>
          <w:szCs w:val="24"/>
        </w:rPr>
      </w:pPr>
      <w:r>
        <w:rPr>
          <w:rFonts w:hint="eastAsia" w:ascii="宋体" w:hAnsi="宋体" w:eastAsia="宋体" w:cs="宋体"/>
          <w:bCs/>
          <w:sz w:val="24"/>
          <w:szCs w:val="24"/>
        </w:rPr>
        <w:t xml:space="preserve">（二）项目建设遵循标准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遵循国家、行业及地方现行的规范和标准。</w:t>
      </w:r>
      <w:r/>
    </w:p>
    <w:p>
      <w:pPr>
        <w:ind w:firstLine="480"/>
        <w:spacing w:line="264" w:lineRule="auto"/>
        <w:rPr>
          <w:rFonts w:ascii="宋体" w:hAnsi="宋体" w:eastAsia="宋体" w:cs="宋体"/>
          <w:bCs/>
          <w:sz w:val="24"/>
          <w:szCs w:val="24"/>
        </w:rPr>
      </w:pPr>
      <w:r>
        <w:rPr>
          <w:rFonts w:hint="eastAsia" w:ascii="黑体" w:hAnsi="黑体" w:eastAsia="黑体" w:cs="黑体"/>
          <w:color w:val="000000"/>
          <w:sz w:val="24"/>
          <w:szCs w:val="24"/>
        </w:rPr>
        <w:t xml:space="preserve">三、产品清单</w:t>
      </w:r>
      <w:r/>
    </w:p>
    <w:tbl>
      <w:tblPr>
        <w:tblStyle w:val="995"/>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73"/>
        <w:gridCol w:w="1986"/>
        <w:gridCol w:w="653"/>
        <w:gridCol w:w="606"/>
        <w:gridCol w:w="993"/>
        <w:gridCol w:w="1106"/>
        <w:gridCol w:w="1041"/>
        <w:gridCol w:w="1021"/>
        <w:gridCol w:w="819"/>
      </w:tblGrid>
      <w:tr>
        <w:trPr>
          <w:trHeight w:val="470"/>
        </w:trPr>
        <w:tc>
          <w:tcPr>
            <w:tcBorders>
              <w:top w:val="single" w:color="000000" w:sz="2" w:space="0"/>
              <w:bottom w:val="single" w:color="000000" w:sz="2" w:space="0"/>
            </w:tcBorders>
            <w:tcW w:w="326"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序号</w:t>
            </w:r>
            <w:r/>
          </w:p>
        </w:tc>
        <w:tc>
          <w:tcPr>
            <w:tcBorders>
              <w:top w:val="single" w:color="000000" w:sz="2" w:space="0"/>
              <w:bottom w:val="single" w:color="000000" w:sz="2" w:space="0"/>
            </w:tcBorders>
            <w:tcW w:w="11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名称</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数量</w:t>
            </w:r>
            <w:r/>
          </w:p>
        </w:tc>
        <w:tc>
          <w:tcPr>
            <w:tcBorders>
              <w:top w:val="single" w:color="000000" w:sz="2" w:space="0"/>
              <w:bottom w:val="single" w:color="000000" w:sz="2" w:space="0"/>
            </w:tcBorders>
            <w:tcW w:w="34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单位</w:t>
            </w:r>
            <w:r/>
          </w:p>
        </w:tc>
        <w:tc>
          <w:tcPr>
            <w:tcBorders>
              <w:top w:val="single" w:color="000000" w:sz="2" w:space="0"/>
              <w:bottom w:val="single" w:color="000000" w:sz="2" w:space="0"/>
            </w:tcBorders>
            <w:tcW w:w="56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
                <w:sz w:val="24"/>
                <w:szCs w:val="24"/>
                <w:lang w:eastAsia="en-US"/>
              </w:rPr>
              <w:t xml:space="preserve">单价报价上限</w:t>
            </w:r>
            <w:r>
              <w:rPr>
                <w:rFonts w:hint="eastAsia" w:ascii="宋体" w:hAnsi="宋体" w:eastAsia="宋体" w:cs="宋体"/>
                <w:bCs/>
                <w:sz w:val="24"/>
                <w:szCs w:val="24"/>
                <w:lang w:eastAsia="en-US"/>
              </w:rPr>
              <w:t xml:space="preserve">（元）</w:t>
            </w:r>
            <w:r/>
          </w:p>
        </w:tc>
        <w:tc>
          <w:tcPr>
            <w:tcBorders>
              <w:top w:val="single" w:color="000000" w:sz="2" w:space="0"/>
              <w:bottom w:val="single" w:color="000000" w:sz="2" w:space="0"/>
            </w:tcBorders>
            <w:tcW w:w="6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产品类型</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所属行业类型</w:t>
            </w:r>
            <w:r/>
          </w:p>
        </w:tc>
        <w:tc>
          <w:tcPr>
            <w:tcBorders>
              <w:top w:val="single" w:color="000000" w:sz="2" w:space="0"/>
              <w:bottom w:val="single" w:color="000000" w:sz="2" w:space="0"/>
              <w:right w:val="single" w:color="auto" w:sz="4" w:space="0"/>
            </w:tcBorders>
            <w:tcW w:w="58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产品属性</w:t>
            </w:r>
            <w:r/>
          </w:p>
        </w:tc>
        <w:tc>
          <w:tcPr>
            <w:tcBorders>
              <w:top w:val="single" w:color="000000" w:sz="2" w:space="0"/>
              <w:left w:val="single" w:color="auto" w:sz="4" w:space="0"/>
              <w:bottom w:val="single" w:color="000000" w:sz="2" w:space="0"/>
            </w:tcBorders>
            <w:tcW w:w="46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备注</w:t>
            </w:r>
            <w:r/>
          </w:p>
        </w:tc>
      </w:tr>
      <w:tr>
        <w:trPr>
          <w:trHeight w:val="414"/>
        </w:trPr>
        <w:tc>
          <w:tcPr>
            <w:tcBorders>
              <w:top w:val="single" w:color="000000" w:sz="2" w:space="0"/>
              <w:bottom w:val="single" w:color="000000" w:sz="2" w:space="0"/>
            </w:tcBorders>
            <w:tcW w:w="326"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000000" w:sz="2" w:space="0"/>
              <w:bottom w:val="single" w:color="000000" w:sz="2" w:space="0"/>
            </w:tcBorders>
            <w:tcW w:w="1128" w:type="pct"/>
            <w:vAlign w:val="center"/>
            <w:textDirection w:val="lrTb"/>
            <w:noWrap w:val="false"/>
          </w:tcPr>
          <w:p>
            <w:pPr>
              <w:jc w:val="center"/>
              <w:spacing w:line="264" w:lineRule="auto"/>
              <w:rPr>
                <w:rFonts w:hint="default" w:ascii="宋体" w:hAnsi="宋体" w:eastAsia="宋体" w:cs="宋体"/>
                <w:bCs/>
                <w:color w:val="0000ff"/>
                <w:sz w:val="24"/>
                <w:szCs w:val="24"/>
                <w:lang w:eastAsia="en-US"/>
              </w:rPr>
            </w:pPr>
            <w:r>
              <w:rPr>
                <w:rFonts w:hint="eastAsia" w:ascii="宋体" w:hAnsi="宋体" w:cs="宋体"/>
                <w:sz w:val="24"/>
                <w:szCs w:val="24"/>
                <w:lang w:eastAsia="en-US"/>
              </w:rPr>
              <w:t xml:space="preserve">矢量网络</w:t>
            </w:r>
            <w:r>
              <w:rPr>
                <w:rFonts w:hint="default" w:ascii="宋体" w:hAnsi="宋体" w:cs="宋体"/>
                <w:sz w:val="24"/>
                <w:szCs w:val="24"/>
                <w:lang w:eastAsia="en-US"/>
              </w:rPr>
              <w:t xml:space="preserve">分析仪</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000000" w:sz="2" w:space="0"/>
              <w:bottom w:val="single" w:color="000000" w:sz="2" w:space="0"/>
            </w:tcBorders>
            <w:tcW w:w="34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台</w:t>
            </w:r>
            <w:r/>
          </w:p>
        </w:tc>
        <w:tc>
          <w:tcPr>
            <w:tcBorders>
              <w:top w:val="single" w:color="000000" w:sz="2" w:space="0"/>
            </w:tcBorders>
            <w:tcW w:w="564"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2000000</w:t>
            </w:r>
            <w:r/>
          </w:p>
        </w:tc>
        <w:tc>
          <w:tcPr>
            <w:tcBorders>
              <w:top w:val="single" w:color="000000" w:sz="2" w:space="0"/>
              <w:bottom w:val="single" w:color="000000" w:sz="2" w:space="0"/>
            </w:tcBorders>
            <w:tcW w:w="628"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核心产品</w:t>
            </w:r>
            <w:r/>
          </w:p>
        </w:tc>
        <w:tc>
          <w:tcPr>
            <w:tcBorders>
              <w:top w:val="single" w:color="000000" w:sz="2" w:space="0"/>
              <w:bottom w:val="single" w:color="000000" w:sz="2" w:space="0"/>
            </w:tcBorders>
            <w:tcW w:w="591"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工业</w:t>
            </w:r>
            <w:r/>
          </w:p>
        </w:tc>
        <w:tc>
          <w:tcPr>
            <w:tcBorders>
              <w:top w:val="single" w:color="000000" w:sz="2" w:space="0"/>
              <w:bottom w:val="single" w:color="000000" w:sz="2" w:space="0"/>
              <w:right w:val="single" w:color="auto" w:sz="4" w:space="0"/>
            </w:tcBorders>
            <w:tcW w:w="580"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eastAsia" w:ascii="宋体" w:hAnsi="宋体" w:eastAsia="宋体" w:cs="宋体"/>
                <w:bCs/>
                <w:sz w:val="24"/>
                <w:szCs w:val="24"/>
                <w:lang w:eastAsia="en-US"/>
              </w:rPr>
              <w:t xml:space="preserve">货物</w:t>
            </w:r>
            <w:r/>
          </w:p>
        </w:tc>
        <w:tc>
          <w:tcPr>
            <w:tcBorders>
              <w:top w:val="single" w:color="000000" w:sz="2" w:space="0"/>
              <w:left w:val="single" w:color="auto" w:sz="4" w:space="0"/>
              <w:bottom w:val="single" w:color="000000" w:sz="2" w:space="0"/>
            </w:tcBorders>
            <w:tcW w:w="465" w:type="pct"/>
            <w:vAlign w:val="center"/>
            <w:textDirection w:val="lrTb"/>
            <w:noWrap w:val="false"/>
          </w:tcPr>
          <w:p>
            <w:pPr>
              <w:jc w:val="center"/>
              <w:spacing w:line="264" w:lineRule="auto"/>
              <w:rPr>
                <w:rFonts w:hint="default" w:ascii="宋体" w:hAnsi="宋体" w:eastAsia="宋体" w:cs="宋体"/>
                <w:bCs/>
                <w:sz w:val="24"/>
                <w:szCs w:val="24"/>
                <w:lang w:eastAsia="en-US"/>
              </w:rPr>
            </w:pPr>
            <w:r>
              <w:rPr>
                <w:rFonts w:hint="default" w:ascii="宋体" w:hAnsi="宋体" w:eastAsia="宋体" w:cs="宋体"/>
                <w:bCs/>
                <w:sz w:val="24"/>
                <w:szCs w:val="24"/>
                <w:lang w:eastAsia="en-US"/>
              </w:rPr>
            </w:r>
            <w:r/>
          </w:p>
        </w:tc>
      </w:tr>
    </w:tbl>
    <w:p>
      <w:pPr>
        <w:ind w:firstLine="480"/>
        <w:spacing w:line="264" w:lineRule="auto"/>
        <w:rPr>
          <w:rFonts w:ascii="宋体" w:hAnsi="宋体" w:eastAsia="宋体" w:cs="宋体"/>
          <w:b/>
          <w:sz w:val="24"/>
          <w:szCs w:val="24"/>
        </w:rPr>
      </w:pPr>
      <w:r>
        <w:rPr>
          <w:rFonts w:hint="eastAsia" w:ascii="黑体" w:hAnsi="黑体" w:eastAsia="黑体" w:cs="黑体"/>
          <w:color w:val="000000"/>
          <w:sz w:val="24"/>
          <w:szCs w:val="24"/>
        </w:rPr>
        <w:t xml:space="preserve">四、拟采购标的需要满足的技术、商务要求（</w:t>
      </w:r>
      <w:r>
        <w:rPr>
          <w:rFonts w:hint="eastAsia" w:ascii="宋体" w:hAnsi="宋体" w:cs="宋体"/>
          <w:sz w:val="24"/>
          <w:szCs w:val="24"/>
        </w:rPr>
        <w:t xml:space="preserve">★、▲项须提供产品彩页、白皮书或截图证明材料</w:t>
      </w:r>
      <w:r>
        <w:rPr>
          <w:rFonts w:hint="eastAsia" w:ascii="黑体" w:hAnsi="黑体" w:eastAsia="黑体" w:cs="黑体"/>
          <w:color w:val="000000"/>
          <w:sz w:val="24"/>
          <w:szCs w:val="24"/>
        </w:rPr>
        <w:t xml:space="preserve">）</w:t>
      </w:r>
      <w:r/>
    </w:p>
    <w:p>
      <w:pPr>
        <w:ind w:firstLine="480"/>
        <w:spacing w:line="264" w:lineRule="auto"/>
        <w:rPr>
          <w:rFonts w:ascii="宋体" w:hAnsi="宋体" w:eastAsia="宋体" w:cs="宋体"/>
          <w:bCs/>
          <w:sz w:val="24"/>
          <w:szCs w:val="24"/>
        </w:rPr>
      </w:pPr>
      <w:r>
        <w:rPr>
          <w:rFonts w:hint="eastAsia" w:ascii="宋体" w:hAnsi="宋体" w:eastAsia="宋体" w:cs="宋体"/>
          <w:bCs/>
          <w:sz w:val="24"/>
          <w:szCs w:val="24"/>
        </w:rPr>
        <w:t xml:space="preserve">（一）技术要求</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1.</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★频率范围：截止频率≥50GHz，支持高频扩展</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2.</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★端口数：≥4</w:t>
      </w:r>
      <w:r/>
    </w:p>
    <w:p>
      <w:pPr>
        <w:ind w:firstLine="480"/>
        <w:spacing w:line="360" w:lineRule="auto"/>
        <w:rPr>
          <w:rFonts w:ascii="Times New Roman" w:hAnsi="Times New Roman" w:eastAsia="宋体" w:cs="宋体"/>
          <w:sz w:val="24"/>
          <w:szCs w:val="24"/>
        </w:rPr>
      </w:pPr>
      <w:r>
        <w:rPr>
          <w:rFonts w:ascii="Times New Roman" w:hAnsi="Times New Roman" w:eastAsia="宋体" w:cs="宋体"/>
          <w:sz w:val="24"/>
          <w:szCs w:val="24"/>
        </w:rPr>
        <w:t xml:space="preserve">3.</w:t>
      </w:r>
      <w:r>
        <w:rPr>
          <w:rFonts w:ascii="Times New Roman" w:hAnsi="Times New Roman" w:eastAsia="宋体" w:cs="宋体"/>
          <w:sz w:val="24"/>
          <w:szCs w:val="24"/>
        </w:rPr>
        <w:tab/>
      </w:r>
      <w:r>
        <w:rPr>
          <w:rFonts w:hint="eastAsia" w:ascii="Times New Roman" w:hAnsi="Times New Roman" w:eastAsia="宋体" w:cs="宋体"/>
          <w:sz w:val="24"/>
          <w:szCs w:val="24"/>
        </w:rPr>
        <w:t xml:space="preserve">端口间串扰（校准后）：≤</w:t>
      </w:r>
      <w:r>
        <w:rPr>
          <w:rFonts w:ascii="Times New Roman" w:hAnsi="Times New Roman" w:eastAsia="宋体" w:cs="宋体"/>
          <w:sz w:val="24"/>
          <w:szCs w:val="24"/>
        </w:rPr>
        <w:t xml:space="preserve">-80dB</w:t>
      </w:r>
      <w:r>
        <w:rPr>
          <w:rFonts w:hint="eastAsia" w:ascii="Times New Roman" w:hAnsi="Times New Roman" w:eastAsia="宋体" w:cs="宋体"/>
          <w:sz w:val="24"/>
          <w:szCs w:val="24"/>
        </w:rPr>
        <w:t xml:space="preserve"> @500MH</w:t>
      </w:r>
      <w:r>
        <w:rPr>
          <w:rFonts w:ascii="Times New Roman" w:hAnsi="Times New Roman" w:eastAsia="宋体" w:cs="宋体"/>
          <w:sz w:val="24"/>
          <w:szCs w:val="24"/>
        </w:rPr>
        <w:t xml:space="preserve">z</w:t>
      </w:r>
      <w:r>
        <w:rPr>
          <w:rFonts w:hint="eastAsia" w:ascii="Times New Roman" w:hAnsi="Times New Roman" w:eastAsia="宋体" w:cs="宋体"/>
          <w:sz w:val="24"/>
          <w:szCs w:val="24"/>
        </w:rPr>
        <w:t xml:space="preserve">；≤</w:t>
      </w:r>
      <w:r>
        <w:rPr>
          <w:rFonts w:ascii="Times New Roman" w:hAnsi="Times New Roman" w:eastAsia="宋体" w:cs="宋体"/>
          <w:sz w:val="24"/>
          <w:szCs w:val="24"/>
        </w:rPr>
        <w:t xml:space="preserve">-120dB</w:t>
      </w:r>
      <w:r>
        <w:rPr>
          <w:rFonts w:hint="eastAsia" w:ascii="Times New Roman" w:hAnsi="Times New Roman" w:eastAsia="宋体" w:cs="宋体"/>
          <w:sz w:val="24"/>
          <w:szCs w:val="24"/>
        </w:rPr>
        <w:t xml:space="preserve"> @40GH</w:t>
      </w:r>
      <w:r>
        <w:rPr>
          <w:rFonts w:ascii="Times New Roman" w:hAnsi="Times New Roman" w:eastAsia="宋体" w:cs="宋体"/>
          <w:sz w:val="24"/>
          <w:szCs w:val="24"/>
        </w:rPr>
        <w:t xml:space="preserve">z</w:t>
      </w:r>
      <w:r>
        <w:rPr>
          <w:rFonts w:hint="eastAsia" w:ascii="Times New Roman" w:hAnsi="Times New Roman" w:eastAsia="宋体" w:cs="宋体"/>
          <w:sz w:val="24"/>
          <w:szCs w:val="24"/>
        </w:rPr>
        <w:t xml:space="preserve">；≤</w:t>
      </w:r>
      <w:r>
        <w:rPr>
          <w:rFonts w:ascii="Times New Roman" w:hAnsi="Times New Roman" w:eastAsia="宋体" w:cs="宋体"/>
          <w:sz w:val="24"/>
          <w:szCs w:val="24"/>
        </w:rPr>
        <w:t xml:space="preserve">-100dB</w:t>
      </w:r>
      <w:r>
        <w:rPr>
          <w:rFonts w:hint="eastAsia" w:ascii="Times New Roman" w:hAnsi="Times New Roman" w:eastAsia="宋体" w:cs="宋体"/>
          <w:sz w:val="24"/>
          <w:szCs w:val="24"/>
        </w:rPr>
        <w:t xml:space="preserve"> @50GH</w:t>
      </w:r>
      <w:r>
        <w:rPr>
          <w:rFonts w:ascii="Times New Roman" w:hAnsi="Times New Roman" w:eastAsia="宋体" w:cs="宋体"/>
          <w:sz w:val="24"/>
          <w:szCs w:val="24"/>
        </w:rPr>
        <w:t xml:space="preserve">z</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4.</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▲动态范围（10Hz IFBW，spec）：≥135dB @10GHz；≥123dB @40GHz；≥114dB @50GHz</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5.</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▲测试端口噪声电平：≤-114dBm @10GHz；≤-108dBm @40GHz；≤-109dBm @50GHz</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6.</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未校准时方向性：≥15dB @50GHz；</w:t>
      </w:r>
      <w:r/>
    </w:p>
    <w:p>
      <w:pPr>
        <w:ind w:firstLine="480"/>
        <w:spacing w:line="360" w:lineRule="auto"/>
        <w:rPr>
          <w:rFonts w:ascii="Times New Roman" w:hAnsi="Times New Roman" w:eastAsia="宋体" w:cs="宋体"/>
          <w:sz w:val="24"/>
          <w:szCs w:val="24"/>
        </w:rPr>
      </w:pPr>
      <w:r>
        <w:rPr>
          <w:rFonts w:ascii="Times New Roman" w:hAnsi="Times New Roman" w:eastAsia="宋体" w:cs="宋体"/>
          <w:sz w:val="24"/>
          <w:szCs w:val="24"/>
        </w:rPr>
        <w:t xml:space="preserve">7.</w:t>
      </w:r>
      <w:r>
        <w:rPr>
          <w:rFonts w:ascii="Times New Roman" w:hAnsi="Times New Roman" w:eastAsia="宋体" w:cs="宋体"/>
          <w:sz w:val="24"/>
          <w:szCs w:val="24"/>
        </w:rPr>
        <w:tab/>
      </w:r>
      <w:r>
        <w:rPr>
          <w:rFonts w:hint="eastAsia" w:ascii="Times New Roman" w:hAnsi="Times New Roman" w:eastAsia="宋体" w:cs="宋体"/>
          <w:sz w:val="24"/>
          <w:szCs w:val="24"/>
        </w:rPr>
        <w:t xml:space="preserve">校准后有效方向性：≥</w:t>
      </w:r>
      <w:r>
        <w:rPr>
          <w:rFonts w:ascii="Times New Roman" w:hAnsi="Times New Roman" w:eastAsia="宋体" w:cs="宋体"/>
          <w:sz w:val="24"/>
          <w:szCs w:val="24"/>
        </w:rPr>
        <w:t xml:space="preserve">35dB @50GHz</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8.</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▲测试端口最大输出功率：≥13dBm (≥20dBm典型值) @10GHz，≥9dBm (≥14dBm典型值) @40GHz</w:t>
      </w:r>
      <w:r/>
    </w:p>
    <w:p>
      <w:pPr>
        <w:ind w:firstLine="480"/>
        <w:spacing w:line="360" w:lineRule="auto"/>
        <w:rPr>
          <w:rFonts w:ascii="Times New Roman" w:hAnsi="Times New Roman" w:eastAsia="宋体" w:cs="宋体"/>
          <w:sz w:val="24"/>
          <w:szCs w:val="24"/>
        </w:rPr>
      </w:pPr>
      <w:r>
        <w:rPr>
          <w:rFonts w:ascii="Times New Roman" w:hAnsi="Times New Roman" w:eastAsia="宋体" w:cs="宋体"/>
          <w:sz w:val="24"/>
          <w:szCs w:val="24"/>
        </w:rPr>
        <w:t xml:space="preserve">9.</w:t>
      </w:r>
      <w:r>
        <w:rPr>
          <w:rFonts w:ascii="Times New Roman" w:hAnsi="Times New Roman" w:eastAsia="宋体" w:cs="宋体"/>
          <w:sz w:val="24"/>
          <w:szCs w:val="24"/>
        </w:rPr>
        <w:tab/>
      </w:r>
      <w:r>
        <w:rPr>
          <w:rFonts w:hint="eastAsia" w:ascii="Times New Roman" w:hAnsi="Times New Roman" w:eastAsia="宋体" w:cs="宋体"/>
          <w:sz w:val="24"/>
          <w:szCs w:val="24"/>
        </w:rPr>
        <w:t xml:space="preserve">校准后源匹配、负载匹配：≤-30dBm</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10.</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轨迹噪声幅度（1 kHz IFBW，spec）：≤0.003 dB rms @1-20GHz；≤0.004 dB rms @50GHz</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11.</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轨迹噪声相位（1 kHz IFBW，spec）：≤0.02 deg rms @1-20GHz；≤0.03 deg rms @50GHz</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12.</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接口类型：2.4 mm（male），50</w:t>
      </w:r>
      <w:r>
        <w:rPr>
          <w:rFonts w:hint="eastAsia" w:ascii="Times New Roman" w:hAnsi="Times New Roman" w:eastAsia="宋体" w:cs="Times New Roman"/>
          <w:sz w:val="24"/>
          <w:szCs w:val="24"/>
        </w:rPr>
        <w:t xml:space="preserve">Ω</w:t>
      </w:r>
      <w:r>
        <w:rPr>
          <w:rFonts w:hint="eastAsia" w:ascii="Times New Roman" w:hAnsi="Times New Roman" w:eastAsia="宋体" w:cs="宋体"/>
          <w:sz w:val="24"/>
          <w:szCs w:val="24"/>
        </w:rPr>
        <w:t xml:space="preserve">阻抗，支持与标准测试电缆适配</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13.</w:t>
      </w:r>
      <w:r>
        <w:rPr>
          <w:rFonts w:ascii="Times New Roman" w:hAnsi="Times New Roman" w:eastAsia="宋体" w:cs="宋体"/>
          <w:sz w:val="24"/>
          <w:szCs w:val="24"/>
        </w:rPr>
        <w:tab/>
      </w:r>
      <w:r>
        <w:rPr>
          <w:rFonts w:hint="eastAsia" w:ascii="Times New Roman" w:hAnsi="Times New Roman" w:eastAsia="宋体" w:cs="宋体"/>
          <w:sz w:val="24"/>
          <w:szCs w:val="24"/>
        </w:rPr>
        <w:t xml:space="preserve">具备USB、GPIB、LAN等通信接口，支持远程控制与数据同步传输</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14.</w:t>
      </w:r>
      <w:r>
        <w:rPr>
          <w:rFonts w:ascii="Times New Roman" w:hAnsi="Times New Roman" w:eastAsia="宋体" w:cs="宋体"/>
          <w:sz w:val="24"/>
          <w:szCs w:val="24"/>
        </w:rPr>
        <w:tab/>
      </w:r>
      <w:r>
        <w:rPr>
          <w:rFonts w:hint="eastAsia" w:ascii="Times New Roman" w:hAnsi="Times New Roman" w:eastAsia="宋体" w:cs="宋体"/>
          <w:sz w:val="24"/>
          <w:szCs w:val="24"/>
        </w:rPr>
        <w:t xml:space="preserve">支持外部IF输入/输出，可接外部混频器、信号放大器等扩展设备，扩展测试链路灵活</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15.</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▲温度稳定性：幅度漂移≤0.01dB/°C @10GHz；相位漂移≤0.2deg/°C @10GHz</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16.</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▲相位噪声（100kHz）：≤-122dBc/Hz @10GHz</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17.</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外部中频IF输入最大损坏幅度：≥+23 dBm</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18.</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测试端口0.1dB压缩点：≥12dBm @10GHz；≥12dBm @40GHz</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19.</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最大中频带宽：≥15MHz</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20.</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显示屏幕：≥12寸</w:t>
      </w:r>
      <w:r/>
    </w:p>
    <w:p>
      <w:pPr>
        <w:ind w:firstLine="480"/>
        <w:spacing w:line="360" w:lineRule="auto"/>
        <w:rPr>
          <w:rFonts w:ascii="Times New Roman" w:hAnsi="Times New Roman" w:eastAsia="宋体" w:cs="宋体"/>
          <w:sz w:val="24"/>
          <w:szCs w:val="24"/>
        </w:rPr>
      </w:pPr>
      <w:r>
        <w:rPr>
          <w:rFonts w:hint="eastAsia" w:ascii="Times New Roman" w:hAnsi="Times New Roman" w:eastAsia="宋体" w:cs="宋体"/>
          <w:sz w:val="24"/>
          <w:szCs w:val="24"/>
        </w:rPr>
        <w:t xml:space="preserve">21.</w:t>
      </w:r>
      <w:r>
        <w:rPr>
          <w:rFonts w:hint="eastAsia" w:ascii="Times New Roman" w:hAnsi="Times New Roman" w:eastAsia="宋体" w:cs="宋体"/>
          <w:sz w:val="24"/>
          <w:szCs w:val="24"/>
        </w:rPr>
        <w:tab/>
      </w:r>
      <w:r>
        <w:rPr>
          <w:rFonts w:hint="eastAsia" w:ascii="Times New Roman" w:hAnsi="Times New Roman" w:eastAsia="宋体" w:cs="宋体"/>
          <w:sz w:val="24"/>
          <w:szCs w:val="24"/>
        </w:rPr>
        <w:t xml:space="preserve">设备能耗：≤580W</w:t>
      </w:r>
      <w:r/>
    </w:p>
    <w:p>
      <w:pPr>
        <w:ind w:firstLine="480"/>
        <w:spacing w:line="360" w:lineRule="auto"/>
        <w:rPr>
          <w:rFonts w:ascii="宋体" w:hAnsi="宋体" w:eastAsia="宋体" w:cs="宋体"/>
          <w:sz w:val="24"/>
          <w:szCs w:val="24"/>
        </w:rPr>
      </w:pPr>
      <w:r>
        <w:rPr>
          <w:rFonts w:hint="eastAsia" w:ascii="Times New Roman" w:hAnsi="Times New Roman" w:eastAsia="宋体" w:cs="宋体"/>
          <w:sz w:val="24"/>
          <w:szCs w:val="24"/>
        </w:rPr>
        <w:t xml:space="preserve">22.</w:t>
      </w:r>
      <w:r>
        <w:rPr>
          <w:rFonts w:hint="eastAsia" w:ascii="Times New Roman" w:hAnsi="Times New Roman" w:eastAsia="宋体" w:cs="宋体"/>
          <w:sz w:val="24"/>
          <w:szCs w:val="24"/>
        </w:rPr>
        <w:tab/>
      </w:r>
      <w:r>
        <w:rPr>
          <w:rFonts w:hint="eastAsia" w:ascii="宋体" w:hAnsi="宋体" w:eastAsia="宋体" w:cs="宋体"/>
          <w:sz w:val="24"/>
          <w:szCs w:val="24"/>
        </w:rPr>
        <w:t xml:space="preserve">★投标人所投产品的生产商对所投产品具备完全知识产权，且为全新设备。提供承诺函。设备中如有第三方软件，需提供授权说明。</w:t>
      </w:r>
      <w:r/>
    </w:p>
    <w:p>
      <w:pPr>
        <w:ind w:firstLine="480"/>
        <w:spacing w:line="264" w:lineRule="auto"/>
        <w:rPr>
          <w:rFonts w:ascii="宋体" w:hAnsi="宋体" w:eastAsia="宋体" w:cs="宋体"/>
          <w:bCs/>
          <w:sz w:val="24"/>
          <w:szCs w:val="24"/>
        </w:rPr>
      </w:pPr>
      <w:r>
        <w:rPr>
          <w:rFonts w:hint="eastAsia" w:ascii="宋体" w:hAnsi="宋体" w:eastAsia="宋体" w:cs="宋体"/>
          <w:sz w:val="24"/>
          <w:szCs w:val="24"/>
        </w:rPr>
        <w:t xml:space="preserve">★</w:t>
      </w:r>
      <w:r>
        <w:rPr>
          <w:rFonts w:hint="eastAsia" w:ascii="宋体" w:hAnsi="宋体" w:eastAsia="宋体" w:cs="宋体"/>
          <w:bCs/>
          <w:sz w:val="24"/>
          <w:szCs w:val="24"/>
        </w:rPr>
        <w:t xml:space="preserve">（二）商务要求</w:t>
      </w:r>
      <w:r/>
    </w:p>
    <w:p>
      <w:pPr>
        <w:ind w:firstLine="480"/>
        <w:spacing w:line="36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1.实施要求</w:t>
      </w:r>
      <w:r/>
    </w:p>
    <w:p>
      <w:pPr>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（1）总体要求</w:t>
      </w:r>
      <w:r/>
    </w:p>
    <w:p>
      <w:pPr>
        <w:pStyle w:val="915"/>
        <w:ind w:left="0" w:firstLine="480"/>
        <w:spacing w:after="0" w:line="360" w:lineRule="exact"/>
        <w:rPr>
          <w:rFonts w:ascii="宋体" w:hAnsi="宋体" w:cs="宋体"/>
          <w:sz w:val="24"/>
          <w:szCs w:val="24"/>
        </w:rPr>
      </w:pPr>
      <w:r>
        <w:rPr>
          <w:rFonts w:hint="eastAsia" w:ascii="宋体" w:hAnsi="宋体" w:cs="宋体"/>
          <w:sz w:val="24"/>
          <w:szCs w:val="24"/>
        </w:rPr>
        <w:t xml:space="preserve">投标人完成本项目需具备相应的项目保障能力及售后响应能力。投标人的投标文件中应提出明确的需求理解、总体技术方案、项目实施方案、维保服务方案、培训方案等保证采购人正常使用操作投标人所投产品需明确的相应内容。</w:t>
      </w:r>
      <w:r/>
    </w:p>
    <w:p>
      <w:pPr>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（2）报价要求</w:t>
      </w:r>
      <w:r/>
    </w:p>
    <w:p>
      <w:pPr>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报价应包含设备采购费、运输费、装卸费、安装调试费、培训费用、税费以及其他一切完成项目所需的费用，为全包价。​</w:t>
      </w:r>
      <w:r/>
    </w:p>
    <w:p>
      <w:pPr>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供应商需提供详细的报价清单，分别列出各项费用明细，包括型号、规格、数量、单价、总价等内容，报价单需加盖公章。​</w:t>
      </w:r>
      <w:r/>
    </w:p>
    <w:p>
      <w:pPr>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（3）质量要求</w:t>
      </w:r>
      <w:r/>
    </w:p>
    <w:p>
      <w:pPr>
        <w:ind w:firstLine="480"/>
        <w:spacing w:line="360" w:lineRule="exact"/>
        <w:tabs>
          <w:tab w:val="left" w:pos="0" w:leader="none"/>
          <w:tab w:val="left" w:pos="567" w:leader="none"/>
        </w:tabs>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投标方需说明质量控制措施，确保系统稳定可靠。</w:t>
      </w:r>
      <w:r/>
    </w:p>
    <w:p>
      <w:pPr>
        <w:ind w:firstLine="480"/>
        <w:spacing w:line="36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（4）验收要求</w:t>
      </w:r>
      <w:r/>
    </w:p>
    <w:p>
      <w:pPr>
        <w:ind w:firstLine="480"/>
        <w:spacing w:line="360" w:lineRule="exact"/>
        <w:tabs>
          <w:tab w:val="left" w:pos="0" w:leader="none"/>
          <w:tab w:val="left" w:pos="567" w:leader="none"/>
        </w:tabs>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1）交货方式：按照采购人指定时间、地点现场交货，并派人安装调试直到可正常使用，其所有费用包含在供应商报价总价中。</w:t>
      </w:r>
      <w:r/>
    </w:p>
    <w:p>
      <w:pPr>
        <w:ind w:firstLine="480"/>
        <w:spacing w:line="360" w:lineRule="exact"/>
        <w:tabs>
          <w:tab w:val="left" w:pos="0" w:leader="none"/>
          <w:tab w:val="left" w:pos="567" w:leader="none"/>
        </w:tabs>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2）货物到达现场后，由买方组织验收。货物以及配件的验收，应在货物到达现场30日内完成。</w:t>
      </w:r>
      <w:r/>
    </w:p>
    <w:p>
      <w:pPr>
        <w:ind w:firstLine="480"/>
        <w:spacing w:line="360" w:lineRule="exact"/>
        <w:rPr>
          <w:rFonts w:ascii="宋体" w:hAnsi="宋体" w:eastAsia="宋体" w:cs="宋体"/>
          <w:b/>
          <w:color w:val="000000"/>
          <w:sz w:val="24"/>
          <w:szCs w:val="24"/>
        </w:rPr>
      </w:pPr>
      <w:r/>
      <w:bookmarkStart w:id="52" w:name="_Toc18576328"/>
      <w:r>
        <w:rPr>
          <w:rFonts w:hint="eastAsia" w:ascii="宋体" w:hAnsi="宋体" w:eastAsia="宋体" w:cs="宋体"/>
          <w:color w:val="000000"/>
          <w:sz w:val="24"/>
          <w:szCs w:val="24"/>
          <w:shd w:val="clear" w:color="auto" w:fill="ffffff"/>
        </w:rPr>
        <w:t xml:space="preserve">3）供应商在交付验收时应随货同步提供详细的操作手册和产品说明书</w:t>
      </w:r>
      <w:bookmarkEnd w:id="52"/>
      <w:r>
        <w:rPr>
          <w:rFonts w:hint="eastAsia" w:ascii="宋体" w:hAnsi="宋体" w:eastAsia="宋体" w:cs="宋体"/>
          <w:color w:val="000000"/>
          <w:sz w:val="24"/>
          <w:szCs w:val="24"/>
          <w:shd w:val="clear" w:color="auto" w:fill="ffffff"/>
        </w:rPr>
        <w:t xml:space="preserve">。</w:t>
      </w:r>
      <w:r/>
    </w:p>
    <w:p>
      <w:pPr>
        <w:ind w:firstLine="480"/>
        <w:spacing w:line="36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（5）维保要求</w:t>
      </w:r>
      <w:r/>
    </w:p>
    <w:p>
      <w:pPr>
        <w:ind w:firstLine="480"/>
        <w:spacing w:line="360" w:lineRule="exact"/>
        <w:tabs>
          <w:tab w:val="left" w:pos="0" w:leader="none"/>
          <w:tab w:val="left" w:pos="567" w:leader="none"/>
        </w:tabs>
        <w:rPr>
          <w:rFonts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1）质保服务：提供</w:t>
      </w:r>
      <w:r>
        <w:rPr>
          <w:rFonts w:ascii="宋体" w:hAnsi="宋体" w:eastAsia="宋体" w:cs="宋体"/>
          <w:color w:val="000000"/>
          <w:sz w:val="24"/>
          <w:szCs w:val="24"/>
          <w:highlight w:val="none"/>
          <w:shd w:val="clear" w:color="auto" w:fill="ffffff"/>
        </w:rPr>
        <w:t xml:space="preserve">3</w:t>
      </w:r>
      <w:r>
        <w:rPr>
          <w:rFonts w:hint="eastAsia" w:ascii="宋体" w:hAnsi="宋体" w:eastAsia="宋体" w:cs="宋体"/>
          <w:color w:val="000000"/>
          <w:sz w:val="24"/>
          <w:szCs w:val="24"/>
          <w:highlight w:val="none"/>
          <w:shd w:val="clear" w:color="auto" w:fill="ffffff"/>
        </w:rPr>
        <w:t xml:space="preserve">年原厂质保服务。</w:t>
      </w:r>
      <w:r/>
    </w:p>
    <w:p>
      <w:pPr>
        <w:ind w:firstLine="480"/>
        <w:spacing w:line="360" w:lineRule="exact"/>
        <w:tabs>
          <w:tab w:val="left" w:pos="0" w:leader="none"/>
          <w:tab w:val="left" w:pos="567" w:leader="none"/>
        </w:tabs>
        <w:rPr>
          <w:rFonts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2）响应时间：在质保期内，采购人故障报修后，供应商应1小时内响应，4小时内派专业人士到达现场，8小时修复，如不能修复，应免费在故障报修后的48小时内提供相应备机并免费安装到位，可正常使用。</w:t>
      </w:r>
      <w:r/>
    </w:p>
    <w:p>
      <w:pPr>
        <w:ind w:firstLine="480"/>
        <w:spacing w:line="360" w:lineRule="exact"/>
        <w:widowControl/>
        <w:tabs>
          <w:tab w:val="left" w:pos="0" w:leader="none"/>
          <w:tab w:val="left" w:pos="567" w:leader="none"/>
        </w:tabs>
        <w:rPr>
          <w:rFonts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ffffff"/>
        </w:rPr>
        <w:t xml:space="preserve">3）质保期后，供应商对维修事项承诺按成本价收取配件费用，免收工时费。</w:t>
      </w:r>
      <w:r/>
    </w:p>
    <w:p>
      <w:pPr>
        <w:numPr>
          <w:ilvl w:val="0"/>
          <w:numId w:val="3"/>
        </w:numPr>
        <w:ind w:firstLine="480"/>
        <w:spacing w:line="36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付款条件</w:t>
      </w:r>
      <w:r/>
    </w:p>
    <w:p>
      <w:pPr>
        <w:ind w:firstLine="480"/>
        <w:spacing w:line="360" w:lineRule="exact"/>
        <w:widowControl/>
        <w:tabs>
          <w:tab w:val="left" w:pos="0" w:leader="none"/>
          <w:tab w:val="left" w:pos="567" w:leader="none"/>
        </w:tabs>
        <w:rPr>
          <w:rFonts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签订合同生效后，货到验收合格后，中标人先行开具全额增值税专用发票，采购人在收到发票等材料后支付合同总额的95%；正常运行半年后支付剩余尾款。</w:t>
      </w:r>
      <w:r/>
    </w:p>
    <w:p>
      <w:pPr>
        <w:ind w:firstLine="480"/>
        <w:spacing w:line="360" w:lineRule="exact"/>
        <w:rPr>
          <w:rFonts w:ascii="宋体" w:hAnsi="宋体" w:eastAsia="宋体" w:cs="宋体"/>
          <w:sz w:val="24"/>
          <w:szCs w:val="24"/>
          <w:highlight w:val="none"/>
        </w:rPr>
      </w:pPr>
      <w:r>
        <w:rPr>
          <w:rFonts w:ascii="宋体" w:hAnsi="宋体" w:eastAsia="宋体" w:cs="宋体"/>
          <w:sz w:val="24"/>
          <w:szCs w:val="24"/>
          <w:highlight w:val="none"/>
        </w:rPr>
        <w:t xml:space="preserve">3.交付时间及地点</w:t>
      </w:r>
      <w:r/>
    </w:p>
    <w:p>
      <w:pPr>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（1）交付时间：合同签订后</w:t>
      </w:r>
      <w:r>
        <w:rPr>
          <w:rFonts w:ascii="宋体" w:hAnsi="宋体" w:eastAsia="宋体" w:cs="宋体"/>
          <w:sz w:val="24"/>
          <w:szCs w:val="24"/>
        </w:rPr>
        <w:t xml:space="preserve">90</w:t>
      </w:r>
      <w:r>
        <w:rPr>
          <w:rFonts w:hint="eastAsia" w:ascii="宋体" w:hAnsi="宋体" w:eastAsia="宋体" w:cs="宋体"/>
          <w:sz w:val="24"/>
          <w:szCs w:val="24"/>
        </w:rPr>
        <w:t xml:space="preserve">天内交付。</w:t>
      </w:r>
      <w:r/>
    </w:p>
    <w:p>
      <w:pPr>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（2）交付地点：采购人指定地点。</w:t>
      </w:r>
      <w:r/>
    </w:p>
    <w:p>
      <w:pPr>
        <w:ind w:firstLine="480"/>
        <w:spacing w:line="360" w:lineRule="exact"/>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免税办理要求</w:t>
      </w:r>
      <w:r/>
    </w:p>
    <w:p>
      <w:pPr>
        <w:ind w:firstLine="480"/>
        <w:spacing w:line="360" w:lineRule="exact"/>
        <w:rPr>
          <w:rFonts w:ascii="宋体" w:hAnsi="宋体" w:eastAsia="宋体" w:cs="宋体"/>
          <w:sz w:val="24"/>
          <w:szCs w:val="24"/>
        </w:rPr>
      </w:pPr>
      <w:r>
        <w:rPr>
          <w:rFonts w:ascii="宋体" w:hAnsi="宋体" w:eastAsia="宋体" w:cs="宋体"/>
          <w:sz w:val="24"/>
          <w:szCs w:val="24"/>
        </w:rPr>
        <w:t xml:space="preserve">（1）若中标产品为进口产品，中标人</w:t>
      </w:r>
      <w:bookmarkStart w:id="53" w:name="OLE_LINK8"/>
      <w:r/>
      <w:bookmarkStart w:id="54" w:name="OLE_LINK9"/>
      <w:r>
        <w:rPr>
          <w:rFonts w:hint="eastAsia" w:ascii="宋体" w:hAnsi="宋体" w:eastAsia="宋体" w:cs="宋体"/>
          <w:sz w:val="24"/>
          <w:szCs w:val="24"/>
        </w:rPr>
        <w:t xml:space="preserve">须</w:t>
      </w:r>
      <w:r>
        <w:rPr>
          <w:rFonts w:ascii="宋体" w:hAnsi="宋体" w:eastAsia="宋体" w:cs="宋体"/>
          <w:sz w:val="24"/>
          <w:szCs w:val="24"/>
        </w:rPr>
        <w:t xml:space="preserve">负责委托外贸代理公司</w:t>
      </w:r>
      <w:r>
        <w:rPr>
          <w:rFonts w:hint="eastAsia" w:ascii="宋体" w:hAnsi="宋体" w:eastAsia="宋体" w:cs="宋体"/>
          <w:sz w:val="24"/>
          <w:szCs w:val="24"/>
        </w:rPr>
        <w:t xml:space="preserve">为</w:t>
      </w:r>
      <w:bookmarkEnd w:id="53"/>
      <w:r/>
      <w:bookmarkEnd w:id="54"/>
      <w:r>
        <w:rPr>
          <w:rFonts w:hint="eastAsia" w:ascii="宋体" w:hAnsi="宋体" w:eastAsia="宋体" w:cs="宋体"/>
          <w:sz w:val="24"/>
          <w:szCs w:val="24"/>
        </w:rPr>
        <w:t xml:space="preserve">采购人</w:t>
      </w:r>
      <w:r>
        <w:rPr>
          <w:rFonts w:ascii="宋体" w:hAnsi="宋体" w:eastAsia="宋体" w:cs="宋体"/>
          <w:sz w:val="24"/>
          <w:szCs w:val="24"/>
        </w:rPr>
        <w:t xml:space="preserve">办理</w:t>
      </w:r>
      <w:r>
        <w:rPr>
          <w:rFonts w:hint="eastAsia" w:ascii="宋体" w:hAnsi="宋体" w:eastAsia="宋体" w:cs="宋体"/>
          <w:sz w:val="24"/>
          <w:szCs w:val="24"/>
        </w:rPr>
        <w:t xml:space="preserve">有关货物减免税申请手续</w:t>
      </w:r>
      <w:r>
        <w:rPr>
          <w:rFonts w:ascii="宋体" w:hAnsi="宋体" w:eastAsia="宋体" w:cs="宋体"/>
          <w:sz w:val="24"/>
          <w:szCs w:val="24"/>
        </w:rPr>
        <w:t xml:space="preserve">，</w:t>
      </w:r>
      <w:bookmarkStart w:id="55" w:name="OLE_LINK7"/>
      <w:r>
        <w:rPr>
          <w:rFonts w:ascii="宋体" w:hAnsi="宋体" w:eastAsia="宋体" w:cs="宋体"/>
          <w:sz w:val="24"/>
          <w:szCs w:val="24"/>
        </w:rPr>
        <w:t xml:space="preserve">并承担全部相关办理费用。</w:t>
      </w:r>
      <w:bookmarkEnd w:id="55"/>
      <w:r/>
      <w:r/>
    </w:p>
    <w:p>
      <w:pPr>
        <w:ind w:firstLine="480"/>
        <w:spacing w:line="360" w:lineRule="exact"/>
        <w:rPr>
          <w:rFonts w:ascii="宋体" w:hAnsi="宋体" w:eastAsia="宋体" w:cs="宋体"/>
          <w:sz w:val="24"/>
          <w:szCs w:val="24"/>
        </w:rPr>
      </w:pPr>
      <w:r>
        <w:rPr>
          <w:rFonts w:ascii="宋体" w:hAnsi="宋体" w:eastAsia="宋体" w:cs="宋体"/>
          <w:sz w:val="24"/>
          <w:szCs w:val="24"/>
        </w:rPr>
        <w:t xml:space="preserve">（2）若</w:t>
      </w:r>
      <w:r>
        <w:rPr>
          <w:rFonts w:hint="eastAsia" w:ascii="宋体" w:hAnsi="宋体" w:eastAsia="宋体" w:cs="宋体"/>
          <w:sz w:val="24"/>
          <w:szCs w:val="24"/>
        </w:rPr>
        <w:t xml:space="preserve">采购人</w:t>
      </w:r>
      <w:r>
        <w:rPr>
          <w:rFonts w:ascii="宋体" w:hAnsi="宋体" w:eastAsia="宋体" w:cs="宋体"/>
          <w:sz w:val="24"/>
          <w:szCs w:val="24"/>
        </w:rPr>
        <w:t xml:space="preserve">因相关政策等原因在办理免税</w:t>
      </w:r>
      <w:r>
        <w:rPr>
          <w:rFonts w:hint="eastAsia" w:ascii="宋体" w:hAnsi="宋体" w:eastAsia="宋体" w:cs="宋体"/>
          <w:sz w:val="24"/>
          <w:szCs w:val="24"/>
        </w:rPr>
        <w:t xml:space="preserve">申请</w:t>
      </w:r>
      <w:r>
        <w:rPr>
          <w:rFonts w:ascii="宋体" w:hAnsi="宋体" w:eastAsia="宋体" w:cs="宋体"/>
          <w:sz w:val="24"/>
          <w:szCs w:val="24"/>
        </w:rPr>
        <w:t xml:space="preserve">手续前暂未取得</w:t>
      </w:r>
      <w:r>
        <w:rPr>
          <w:rFonts w:hint="eastAsia" w:ascii="宋体" w:hAnsi="宋体" w:eastAsia="宋体" w:cs="宋体"/>
          <w:sz w:val="24"/>
          <w:szCs w:val="24"/>
        </w:rPr>
        <w:t xml:space="preserve">减</w:t>
      </w:r>
      <w:r>
        <w:rPr>
          <w:rFonts w:ascii="宋体" w:hAnsi="宋体" w:eastAsia="宋体" w:cs="宋体"/>
          <w:sz w:val="24"/>
          <w:szCs w:val="24"/>
        </w:rPr>
        <w:t xml:space="preserve">免税资格，</w:t>
      </w:r>
      <w:r>
        <w:rPr>
          <w:rFonts w:hint="eastAsia" w:ascii="宋体" w:hAnsi="宋体" w:eastAsia="宋体" w:cs="宋体"/>
          <w:sz w:val="24"/>
          <w:szCs w:val="24"/>
        </w:rPr>
        <w:t xml:space="preserve">中标人须</w:t>
      </w:r>
      <w:r>
        <w:rPr>
          <w:rFonts w:ascii="宋体" w:hAnsi="宋体" w:eastAsia="宋体" w:cs="宋体"/>
          <w:sz w:val="24"/>
          <w:szCs w:val="24"/>
        </w:rPr>
        <w:t xml:space="preserve">负责</w:t>
      </w:r>
      <w:bookmarkStart w:id="56" w:name="OLE_LINK4"/>
      <w:r>
        <w:rPr>
          <w:rFonts w:ascii="宋体" w:hAnsi="宋体" w:eastAsia="宋体" w:cs="宋体"/>
          <w:sz w:val="24"/>
          <w:szCs w:val="24"/>
        </w:rPr>
        <w:t xml:space="preserve">委托</w:t>
      </w:r>
      <w:bookmarkStart w:id="57" w:name="OLE_LINK2"/>
      <w:r/>
      <w:bookmarkStart w:id="58" w:name="OLE_LINK1"/>
      <w:r>
        <w:rPr>
          <w:rFonts w:ascii="宋体" w:hAnsi="宋体" w:eastAsia="宋体" w:cs="宋体"/>
          <w:sz w:val="24"/>
          <w:szCs w:val="24"/>
        </w:rPr>
        <w:t xml:space="preserve">外贸代理公司</w:t>
      </w:r>
      <w:bookmarkEnd w:id="56"/>
      <w:r/>
      <w:bookmarkEnd w:id="57"/>
      <w:r/>
      <w:bookmarkEnd w:id="58"/>
      <w:r>
        <w:rPr>
          <w:rFonts w:hint="eastAsia" w:ascii="宋体" w:hAnsi="宋体" w:eastAsia="宋体" w:cs="宋体"/>
          <w:sz w:val="24"/>
          <w:szCs w:val="24"/>
        </w:rPr>
        <w:t xml:space="preserve">为采购人办理有关货物凭税款担保先予放行手续、申请解除税款担保手续，</w:t>
      </w:r>
      <w:r>
        <w:rPr>
          <w:rFonts w:ascii="宋体" w:hAnsi="宋体" w:eastAsia="宋体" w:cs="宋体"/>
          <w:sz w:val="24"/>
          <w:szCs w:val="24"/>
        </w:rPr>
        <w:t xml:space="preserve">并承担全部相关办理费用</w:t>
      </w:r>
      <w:r>
        <w:rPr>
          <w:rFonts w:hint="eastAsia" w:ascii="宋体" w:hAnsi="宋体" w:eastAsia="宋体" w:cs="宋体"/>
          <w:sz w:val="24"/>
          <w:szCs w:val="24"/>
        </w:rPr>
        <w:t xml:space="preserve">。在办理税款担保申请手续前，采购人按外贸代理公司测算的关税、进出口环节增值税、加征特别关税等进口环节税费的预估金额支付预付款。中标人委托的外贸代理公司收到采购人预付款及齐全资料后，须在7日内向海关递交资料办理货物凭税款担保先予放行手续。在取得海关制发的《准予办理担保通知书》后，中标人委托的外贸代理公司在货物进关时向海关代为缴纳进口环节税款担保金。</w:t>
      </w:r>
      <w:r>
        <w:rPr>
          <w:rFonts w:ascii="宋体" w:hAnsi="宋体" w:eastAsia="宋体" w:cs="宋体"/>
          <w:sz w:val="24"/>
          <w:szCs w:val="24"/>
        </w:rPr>
        <w:t xml:space="preserve">待</w:t>
      </w:r>
      <w:r>
        <w:rPr>
          <w:rFonts w:hint="eastAsia" w:ascii="宋体" w:hAnsi="宋体" w:eastAsia="宋体" w:cs="宋体"/>
          <w:sz w:val="24"/>
          <w:szCs w:val="24"/>
        </w:rPr>
        <w:t xml:space="preserve">采购人</w:t>
      </w:r>
      <w:r>
        <w:rPr>
          <w:rFonts w:ascii="宋体" w:hAnsi="宋体" w:eastAsia="宋体" w:cs="宋体"/>
          <w:sz w:val="24"/>
          <w:szCs w:val="24"/>
        </w:rPr>
        <w:t xml:space="preserve">取得免税资格后，外贸代理公司</w:t>
      </w:r>
      <w:r>
        <w:rPr>
          <w:rFonts w:hint="eastAsia" w:ascii="宋体" w:hAnsi="宋体" w:eastAsia="宋体" w:cs="宋体"/>
          <w:sz w:val="24"/>
          <w:szCs w:val="24"/>
        </w:rPr>
        <w:t xml:space="preserve">须在收到海关或其他相关职能部门退还的税款担保金后7日内将采购人支付的全部预付款退还给采购人。</w:t>
      </w:r>
      <w:r/>
    </w:p>
    <w:p>
      <w:pPr>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3）中标人按第2条约定委托外贸代理公司办理有关货物凭税款担保先予放行手续、申请解除税款担保等相关手续的，且已经代为缴纳进口环节税款担保金的，但采购人因相关政策等原因未取得减免税资格海关不予办理税款担保解除手续，不予退还税款担保金的，由采购人承担进口环节的相关税款，双方按实结算，采购人预付款超出应付税款总额的，</w:t>
      </w:r>
      <w:r>
        <w:rPr>
          <w:rFonts w:ascii="宋体" w:hAnsi="宋体" w:eastAsia="宋体" w:cs="宋体"/>
          <w:sz w:val="24"/>
          <w:szCs w:val="24"/>
        </w:rPr>
        <w:t xml:space="preserve">外贸代理公司</w:t>
      </w:r>
      <w:r>
        <w:rPr>
          <w:rFonts w:hint="eastAsia" w:ascii="宋体" w:hAnsi="宋体" w:eastAsia="宋体" w:cs="宋体"/>
          <w:sz w:val="24"/>
          <w:szCs w:val="24"/>
        </w:rPr>
        <w:t xml:space="preserve">须在结算之日起3日内退还多余款项；反之由采购人补足。</w:t>
      </w:r>
      <w:r/>
    </w:p>
    <w:p>
      <w:pPr>
        <w:ind w:firstLine="482"/>
        <w:spacing w:line="360" w:lineRule="exact"/>
        <w:rPr>
          <w:rFonts w:ascii="宋体" w:hAnsi="宋体" w:eastAsia="宋体" w:cs="宋体"/>
          <w:b/>
          <w:bCs/>
          <w:sz w:val="24"/>
          <w:szCs w:val="24"/>
        </w:rPr>
      </w:pPr>
      <w:r>
        <w:rPr>
          <w:rFonts w:hint="eastAsia" w:ascii="宋体" w:hAnsi="宋体" w:eastAsia="宋体" w:cs="宋体"/>
          <w:b/>
          <w:bCs/>
          <w:sz w:val="24"/>
          <w:szCs w:val="24"/>
        </w:rPr>
        <w:t xml:space="preserve">投标人提供免税办理承诺函，并承诺承担过程中的全部办理费用（税款担保金除外）。</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ind w:firstLine="720"/>
        <w:jc w:val="center"/>
        <w:spacing w:line="360" w:lineRule="exact"/>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51"/>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9" w:name="_Toc49090575"/>
      <w:r/>
      <w:bookmarkStart w:id="60" w:name="_Toc120614281"/>
      <w:r/>
      <w:bookmarkStart w:id="61" w:name="_Toc26554093"/>
      <w:r>
        <w:rPr>
          <w:rFonts w:ascii="Times New Roman" w:hAnsi="Times New Roman" w:cs="Times New Roman"/>
          <w:b/>
          <w:color w:val="000000" w:themeColor="text1"/>
          <w:sz w:val="24"/>
          <w:szCs w:val="24"/>
          <w14:textFill>
            <w14:solidFill>
              <w14:schemeClr w14:val="tx1"/>
            </w14:solidFill>
          </w14:textFill>
        </w:rPr>
        <w:t xml:space="preserve">一、评标方法与定标原则</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 xml:space="preserve">招标</w:t>
      </w:r>
      <w:r>
        <w:rPr>
          <w:rFonts w:ascii="Times New Roman" w:hAnsi="Times New Roman" w:cs="Times New Roman"/>
          <w:bCs/>
          <w:color w:val="000000" w:themeColor="text1"/>
          <w:sz w:val="24"/>
          <w:szCs w:val="24"/>
          <w14:textFill>
            <w14:solidFill>
              <w14:schemeClr w14:val="tx1"/>
            </w14:solidFill>
          </w14:textFill>
        </w:rPr>
        <w:t xml:space="preserve">文件要求的投标文件进行评价和比较，评标采用综合评分法。对未中标人，将不作任何解释。</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采用综合评分法的，按评审后得分由高到低顺序排列。得分相同的，按投标报价由低到高顺序排列。得分且投标报价相同的，按技术指标优劣顺序排列。</w:t>
      </w:r>
      <w:r/>
    </w:p>
    <w:p>
      <w:pPr>
        <w:numPr>
          <w:ilvl w:val="0"/>
          <w:numId w:val="4"/>
        </w:num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评标标准</w:t>
      </w:r>
      <w:bookmarkEnd w:id="59"/>
      <w:r/>
      <w:bookmarkEnd w:id="60"/>
      <w:r/>
      <w:bookmarkEnd w:id="61"/>
      <w:r/>
      <w:r/>
    </w:p>
    <w:tbl>
      <w:tblPr>
        <w:tblStyle w:val="893"/>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566"/>
        <w:gridCol w:w="1566"/>
        <w:gridCol w:w="1184"/>
        <w:gridCol w:w="5501"/>
      </w:tblGrid>
      <w:tr>
        <w:trPr>
          <w:trHeight w:val="228"/>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spacing w:line="360" w:lineRule="exact"/>
              <w:rPr>
                <w:rFonts w:ascii="宋体" w:hAnsi="宋体" w:eastAsia="宋体" w:cs="宋体"/>
                <w:b/>
                <w:szCs w:val="21"/>
              </w:rPr>
            </w:pPr>
            <w:r>
              <w:rPr>
                <w:rFonts w:hint="eastAsia" w:ascii="宋体" w:hAnsi="宋体" w:eastAsia="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888" w:type="pct"/>
            <w:vAlign w:val="center"/>
            <w:textDirection w:val="lrTb"/>
            <w:noWrap w:val="false"/>
          </w:tcPr>
          <w:p>
            <w:pPr>
              <w:jc w:val="center"/>
              <w:spacing w:line="360" w:lineRule="exact"/>
              <w:rPr>
                <w:rFonts w:ascii="宋体" w:hAnsi="宋体" w:eastAsia="宋体" w:cs="宋体"/>
                <w:b/>
                <w:szCs w:val="21"/>
              </w:rPr>
            </w:pPr>
            <w:r>
              <w:rPr>
                <w:rFonts w:hint="eastAsia" w:ascii="宋体" w:hAnsi="宋体" w:eastAsia="宋体" w:cs="宋体"/>
                <w:b/>
                <w:szCs w:val="21"/>
              </w:rPr>
              <w:t xml:space="preserve">项目</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ascii="宋体" w:hAnsi="宋体" w:eastAsia="宋体" w:cs="宋体"/>
                <w:b/>
                <w:szCs w:val="21"/>
              </w:rPr>
            </w:pPr>
            <w:r>
              <w:rPr>
                <w:rFonts w:hint="eastAsia" w:ascii="宋体" w:hAnsi="宋体" w:eastAsia="宋体" w:cs="宋体"/>
                <w:b/>
                <w:szCs w:val="21"/>
              </w:rPr>
              <w:t xml:space="preserve">分数（分）</w:t>
            </w:r>
            <w:r/>
          </w:p>
        </w:tc>
        <w:tc>
          <w:tcPr>
            <w:tcBorders>
              <w:top w:val="single" w:color="000000" w:sz="4" w:space="0"/>
              <w:left w:val="single" w:color="000000" w:sz="4" w:space="0"/>
              <w:bottom w:val="single" w:color="000000" w:sz="4" w:space="0"/>
              <w:right w:val="single" w:color="000000" w:sz="4" w:space="0"/>
            </w:tcBorders>
            <w:tcW w:w="3118" w:type="pct"/>
            <w:vAlign w:val="center"/>
            <w:textDirection w:val="lrTb"/>
            <w:noWrap w:val="false"/>
          </w:tcPr>
          <w:p>
            <w:pPr>
              <w:jc w:val="center"/>
              <w:spacing w:line="360" w:lineRule="exact"/>
              <w:rPr>
                <w:rFonts w:ascii="宋体" w:hAnsi="宋体" w:eastAsia="宋体" w:cs="宋体"/>
                <w:b/>
                <w:szCs w:val="21"/>
              </w:rPr>
            </w:pPr>
            <w:r>
              <w:rPr>
                <w:rFonts w:hint="eastAsia" w:ascii="宋体" w:hAnsi="宋体" w:eastAsia="宋体" w:cs="宋体"/>
                <w:b/>
                <w:szCs w:val="21"/>
              </w:rPr>
              <w:t xml:space="preserve">评审标准</w:t>
            </w:r>
            <w:r/>
          </w:p>
        </w:tc>
      </w:tr>
      <w:tr>
        <w:trPr>
          <w:trHeight w:val="1211"/>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888"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价格</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40</w:t>
            </w:r>
            <w:r/>
          </w:p>
        </w:tc>
        <w:tc>
          <w:tcPr>
            <w:tcBorders>
              <w:top w:val="single" w:color="000000" w:sz="4" w:space="0"/>
              <w:left w:val="single" w:color="000000" w:sz="4" w:space="0"/>
              <w:right w:val="single" w:color="000000" w:sz="4" w:space="0"/>
            </w:tcBorders>
            <w:tcW w:w="3118" w:type="pct"/>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以进入详细评审的各供应商评审价的最低值为</w:t>
            </w:r>
            <w:r>
              <w:rPr>
                <w:rFonts w:ascii="宋体" w:hAnsi="宋体" w:eastAsia="宋体" w:cs="宋体"/>
                <w:szCs w:val="21"/>
              </w:rPr>
              <w:t xml:space="preserve">A</w:t>
            </w:r>
            <w:r>
              <w:rPr>
                <w:rFonts w:hint="eastAsia" w:ascii="宋体" w:hAnsi="宋体" w:eastAsia="宋体" w:cs="宋体"/>
                <w:szCs w:val="21"/>
              </w:rPr>
              <w:t xml:space="preserve">值，</w:t>
            </w:r>
            <w:r>
              <w:rPr>
                <w:rFonts w:ascii="宋体" w:hAnsi="宋体" w:eastAsia="宋体" w:cs="宋体"/>
                <w:szCs w:val="21"/>
              </w:rPr>
              <w:t xml:space="preserve">A</w:t>
            </w:r>
            <w:r>
              <w:rPr>
                <w:rFonts w:hint="eastAsia" w:ascii="宋体" w:hAnsi="宋体" w:eastAsia="宋体" w:cs="宋体"/>
                <w:szCs w:val="21"/>
              </w:rPr>
              <w:t xml:space="preserve">值为价格分的满分，即4</w:t>
            </w:r>
            <w:r>
              <w:rPr>
                <w:rFonts w:ascii="宋体" w:hAnsi="宋体" w:eastAsia="宋体" w:cs="宋体"/>
                <w:szCs w:val="21"/>
              </w:rPr>
              <w:t xml:space="preserve">0</w:t>
            </w:r>
            <w:r>
              <w:rPr>
                <w:rFonts w:hint="eastAsia" w:ascii="宋体" w:hAnsi="宋体" w:eastAsia="宋体" w:cs="宋体"/>
                <w:szCs w:val="21"/>
              </w:rPr>
              <w:t xml:space="preserve">分。其他供应商的价格分统一按照以下公式计算：供应商评审价得分</w:t>
            </w:r>
            <w:r>
              <w:rPr>
                <w:rFonts w:ascii="宋体" w:hAnsi="宋体" w:eastAsia="宋体" w:cs="宋体"/>
                <w:szCs w:val="21"/>
              </w:rPr>
              <w:t xml:space="preserve">=</w:t>
            </w:r>
            <w:r>
              <w:rPr>
                <w:rFonts w:hint="eastAsia" w:ascii="宋体" w:hAnsi="宋体" w:eastAsia="宋体" w:cs="宋体"/>
                <w:szCs w:val="21"/>
              </w:rPr>
              <w:t xml:space="preserve">（</w:t>
            </w:r>
            <w:r>
              <w:rPr>
                <w:rFonts w:ascii="宋体" w:hAnsi="宋体" w:eastAsia="宋体" w:cs="宋体"/>
                <w:szCs w:val="21"/>
              </w:rPr>
              <w:t xml:space="preserve">A</w:t>
            </w:r>
            <w:r>
              <w:rPr>
                <w:rFonts w:hint="eastAsia" w:ascii="宋体" w:hAnsi="宋体" w:eastAsia="宋体" w:cs="宋体"/>
                <w:szCs w:val="21"/>
              </w:rPr>
              <w:t xml:space="preserve">／该供应商评审价）× 4</w:t>
            </w:r>
            <w:r>
              <w:rPr>
                <w:rFonts w:ascii="宋体" w:hAnsi="宋体" w:eastAsia="宋体" w:cs="宋体"/>
                <w:szCs w:val="21"/>
              </w:rPr>
              <w:t xml:space="preserve">0</w:t>
            </w:r>
            <w:r>
              <w:rPr>
                <w:rFonts w:hint="eastAsia" w:ascii="宋体" w:hAnsi="宋体" w:eastAsia="宋体" w:cs="宋体"/>
                <w:szCs w:val="21"/>
              </w:rPr>
              <w:t xml:space="preserve">。</w:t>
            </w:r>
            <w:r/>
          </w:p>
          <w:p>
            <w:pPr>
              <w:spacing w:line="400" w:lineRule="exact"/>
              <w:rPr>
                <w:rFonts w:hint="eastAsia" w:ascii="宋体" w:hAnsi="宋体" w:eastAsia="宋体" w:cs="宋体"/>
                <w:szCs w:val="21"/>
              </w:rPr>
            </w:pPr>
            <w:r>
              <w:rPr>
                <w:rFonts w:hint="eastAsia" w:ascii="宋体" w:hAnsi="宋体" w:eastAsia="宋体" w:cs="宋体"/>
                <w:szCs w:val="21"/>
              </w:rPr>
              <w:t xml:space="preserve">政府采购评审中出现下列情形之一的，评审委员会应当启动异常低价响应审查程序：</w:t>
            </w:r>
            <w:r/>
          </w:p>
          <w:p>
            <w:pPr>
              <w:spacing w:line="400" w:lineRule="exact"/>
              <w:rPr>
                <w:rFonts w:hint="eastAsia" w:ascii="宋体" w:hAnsi="宋体" w:eastAsia="宋体" w:cs="宋体"/>
                <w:szCs w:val="21"/>
              </w:rPr>
            </w:pPr>
            <w:r>
              <w:rPr>
                <w:rFonts w:hint="eastAsia" w:ascii="宋体" w:hAnsi="宋体" w:eastAsia="宋体" w:cs="宋体"/>
                <w:szCs w:val="21"/>
              </w:rPr>
              <w:t xml:space="preserve">（1）响应报价低于全部通过符合性审查供应商响应报价平均值50%的，即响应报价&lt;全部通过符合性审查供应商响应报价平均值×50%； （2）响应报价低于通过符合性审查的次低报价供应商响应报价50%的，即响应报价&lt;通过符合性审查的次低报价供应商响应报价×50%； （3）响应报价低于采购项目最高限价45%的，即响应报价&lt;采购项目最高限价×45%；</w:t>
            </w:r>
            <w:r/>
          </w:p>
          <w:p>
            <w:pPr>
              <w:spacing w:line="360" w:lineRule="exact"/>
              <w:rPr>
                <w:rFonts w:hint="eastAsia" w:ascii="宋体" w:hAnsi="宋体" w:eastAsia="宋体" w:cs="宋体"/>
                <w:szCs w:val="21"/>
              </w:rPr>
            </w:pPr>
            <w:r>
              <w:rPr>
                <w:rFonts w:hint="eastAsia" w:ascii="宋体" w:hAnsi="宋体" w:eastAsia="宋体" w:cs="宋体"/>
                <w:szCs w:val="21"/>
              </w:rPr>
              <w:t xml:space="preserve">（4）评审委员会基于专业判断，认为供应商报价过低，有可能影响产品质量或者不能诚信履约的其他情形。</w:t>
            </w:r>
            <w:r/>
          </w:p>
        </w:tc>
      </w:tr>
      <w:tr>
        <w:trPr>
          <w:trHeight w:val="1752"/>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888"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类似项目业绩</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6</w:t>
            </w:r>
            <w:r/>
          </w:p>
        </w:tc>
        <w:tc>
          <w:tcPr>
            <w:tcBorders>
              <w:top w:val="single" w:color="000000" w:sz="4" w:space="0"/>
              <w:left w:val="single" w:color="000000" w:sz="4" w:space="0"/>
              <w:right w:val="single" w:color="000000" w:sz="4" w:space="0"/>
            </w:tcBorders>
            <w:tcW w:w="3118" w:type="pct"/>
            <w:vAlign w:val="center"/>
            <w:textDirection w:val="lrTb"/>
            <w:noWrap w:val="false"/>
          </w:tcPr>
          <w:p>
            <w:pPr>
              <w:spacing w:line="360" w:lineRule="exact"/>
              <w:rPr>
                <w:rFonts w:ascii="宋体" w:hAnsi="宋体" w:eastAsia="宋体" w:cs="宋体"/>
                <w:szCs w:val="21"/>
              </w:rPr>
            </w:pPr>
            <w:r>
              <w:rPr>
                <w:rFonts w:hint="eastAsia" w:ascii="宋体" w:hAnsi="宋体" w:eastAsia="宋体" w:cs="宋体"/>
                <w:szCs w:val="21"/>
              </w:rPr>
              <w:t xml:space="preserve">自2</w:t>
            </w:r>
            <w:r>
              <w:rPr>
                <w:rFonts w:ascii="宋体" w:hAnsi="宋体" w:eastAsia="宋体" w:cs="宋体"/>
                <w:szCs w:val="21"/>
              </w:rPr>
              <w:t xml:space="preserve">021</w:t>
            </w:r>
            <w:r>
              <w:rPr>
                <w:rFonts w:hint="eastAsia" w:ascii="宋体" w:hAnsi="宋体" w:eastAsia="宋体" w:cs="宋体"/>
                <w:szCs w:val="21"/>
              </w:rPr>
              <w:t xml:space="preserve">年1月1日以来，提供供应商完成过的同类项目业绩合同，每提供一个得2分，最多6分。需提供体现合同主要内容的清晰复印件并加盖投标人</w:t>
            </w:r>
            <w:r>
              <w:rPr>
                <w:rFonts w:hint="eastAsia" w:ascii="宋体" w:hAnsi="宋体" w:eastAsia="宋体" w:cs="宋体"/>
                <w:szCs w:val="21"/>
                <w:lang w:val="en-US" w:eastAsia="zh-CN"/>
              </w:rPr>
              <w:t xml:space="preserve">CA</w:t>
            </w:r>
            <w:r>
              <w:rPr>
                <w:rFonts w:hint="eastAsia" w:ascii="宋体" w:hAnsi="宋体" w:eastAsia="宋体" w:cs="宋体"/>
                <w:szCs w:val="21"/>
              </w:rPr>
              <w:t xml:space="preserve">公章（至少包含封面、首页、合同标的及主要服务内容及其他主要条款、金额页、签字盖章页等），或结算单等其他证明文件，未提供或关键页不全、不清晰的，不得分。</w:t>
            </w:r>
            <w:r/>
          </w:p>
        </w:tc>
      </w:tr>
      <w:tr>
        <w:trPr>
          <w:trHeight w:val="1823"/>
        </w:trPr>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3</w:t>
            </w:r>
            <w:r/>
          </w:p>
        </w:tc>
        <w:tc>
          <w:tcPr>
            <w:tcBorders>
              <w:top w:val="single" w:color="000000" w:sz="4" w:space="0"/>
              <w:left w:val="single" w:color="auto" w:sz="4" w:space="0"/>
              <w:bottom w:val="single" w:color="000000" w:sz="4" w:space="0"/>
              <w:right w:val="single" w:color="000000" w:sz="4" w:space="0"/>
            </w:tcBorders>
            <w:tcW w:w="888"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技术参数响应</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46</w:t>
            </w:r>
            <w:r/>
          </w:p>
        </w:tc>
        <w:tc>
          <w:tcPr>
            <w:tcBorders>
              <w:top w:val="single" w:color="000000" w:sz="4" w:space="0"/>
              <w:left w:val="single" w:color="000000" w:sz="4" w:space="0"/>
              <w:bottom w:val="single" w:color="000000" w:sz="4" w:space="0"/>
              <w:right w:val="single" w:color="000000" w:sz="4" w:space="0"/>
            </w:tcBorders>
            <w:tcW w:w="3118" w:type="pct"/>
            <w:vAlign w:val="center"/>
            <w:textDirection w:val="lrTb"/>
            <w:noWrap w:val="false"/>
          </w:tcPr>
          <w:p>
            <w:pPr>
              <w:spacing w:line="360" w:lineRule="exact"/>
              <w:rPr>
                <w:rFonts w:ascii="宋体" w:hAnsi="宋体" w:eastAsia="宋体" w:cs="宋体"/>
                <w:szCs w:val="21"/>
              </w:rPr>
            </w:pPr>
            <w:r>
              <w:rPr>
                <w:rFonts w:hint="eastAsia" w:ascii="宋体" w:hAnsi="宋体" w:eastAsia="宋体" w:cs="宋体"/>
                <w:szCs w:val="21"/>
              </w:rPr>
              <w:t xml:space="preserve">供应商投标产品对采购文件具体需求的响应程度：</w:t>
            </w:r>
            <w:r/>
          </w:p>
          <w:p>
            <w:pPr>
              <w:spacing w:line="360" w:lineRule="exact"/>
              <w:rPr>
                <w:rFonts w:ascii="宋体" w:hAnsi="宋体" w:eastAsia="宋体" w:cs="宋体"/>
                <w:szCs w:val="21"/>
              </w:rPr>
            </w:pPr>
            <w:r>
              <w:rPr>
                <w:rFonts w:hint="eastAsia" w:ascii="宋体" w:hAnsi="宋体" w:eastAsia="宋体" w:cs="宋体"/>
                <w:szCs w:val="21"/>
              </w:rPr>
              <w:t xml:space="preserve">本文件第四章项目需求“第四章 项目需求 四、拟采购标的需要满足的技术、商务要求 （一）技术要求”中，供应商全部满足得46分。标</w:t>
            </w:r>
            <w:bookmarkStart w:id="62" w:name="_Hlk38533143"/>
            <w:r>
              <w:rPr>
                <w:rFonts w:hint="eastAsia" w:ascii="宋体" w:hAnsi="宋体" w:eastAsia="宋体" w:cs="宋体"/>
                <w:szCs w:val="21"/>
              </w:rPr>
              <w:t xml:space="preserve">★</w:t>
            </w:r>
            <w:bookmarkEnd w:id="62"/>
            <w:r>
              <w:rPr>
                <w:rFonts w:hint="eastAsia" w:ascii="宋体" w:hAnsi="宋体" w:eastAsia="宋体" w:cs="宋体"/>
                <w:szCs w:val="21"/>
              </w:rPr>
              <w:t xml:space="preserve">号指标（共3项）为必须满足项，如有负偏离按无效投标处理；标▲号指标（共5项），如有负偏离每项扣5分；其他标记（共14项）项，如有负偏离每项扣1.5分。</w:t>
            </w:r>
            <w:r/>
          </w:p>
          <w:p>
            <w:pPr>
              <w:spacing w:line="360" w:lineRule="exact"/>
              <w:rPr>
                <w:rFonts w:ascii="宋体" w:hAnsi="宋体" w:eastAsia="宋体" w:cs="宋体"/>
                <w:szCs w:val="21"/>
              </w:rPr>
            </w:pPr>
            <w:r>
              <w:rPr>
                <w:rFonts w:hint="eastAsia" w:ascii="宋体" w:hAnsi="宋体" w:eastAsia="宋体" w:cs="宋体"/>
                <w:szCs w:val="21"/>
              </w:rPr>
              <w:t xml:space="preserve">注：供应商需按项目需求中的技术参数要求逐项如实填写所投产品参数并提供相应彩页等证明材料，复制招标文件参数而又无相关资料证实的，评标委员会有权做否决或负偏离处理。</w:t>
            </w:r>
            <w:r/>
          </w:p>
        </w:tc>
      </w:tr>
      <w:tr>
        <w:trPr>
          <w:trHeight w:val="675"/>
        </w:trPr>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4</w:t>
            </w:r>
            <w:r/>
          </w:p>
        </w:tc>
        <w:tc>
          <w:tcPr>
            <w:tcBorders>
              <w:top w:val="single" w:color="000000" w:sz="4" w:space="0"/>
              <w:left w:val="single" w:color="auto" w:sz="4" w:space="0"/>
              <w:bottom w:val="single" w:color="000000" w:sz="4" w:space="0"/>
              <w:right w:val="single" w:color="000000" w:sz="4" w:space="0"/>
            </w:tcBorders>
            <w:tcW w:w="888"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质保期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3118" w:type="pct"/>
            <w:vAlign w:val="center"/>
            <w:textDirection w:val="lrTb"/>
            <w:noWrap w:val="false"/>
          </w:tcPr>
          <w:p>
            <w:pPr>
              <w:spacing w:line="360" w:lineRule="exact"/>
              <w:rPr>
                <w:rFonts w:ascii="宋体" w:hAnsi="宋体" w:eastAsia="宋体" w:cs="宋体"/>
                <w:szCs w:val="21"/>
              </w:rPr>
            </w:pPr>
            <w:r>
              <w:rPr>
                <w:rFonts w:hint="eastAsia" w:ascii="宋体" w:hAnsi="宋体" w:eastAsia="宋体" w:cs="宋体"/>
                <w:szCs w:val="21"/>
                <w:highlight w:val="none"/>
              </w:rPr>
              <w:t xml:space="preserve">在满足原厂免费质保</w:t>
            </w:r>
            <w:r>
              <w:rPr>
                <w:rFonts w:ascii="宋体" w:hAnsi="宋体" w:eastAsia="宋体" w:cs="宋体"/>
                <w:szCs w:val="21"/>
                <w:highlight w:val="none"/>
              </w:rPr>
              <w:t xml:space="preserve">3</w:t>
            </w:r>
            <w:r>
              <w:rPr>
                <w:rFonts w:hint="eastAsia" w:ascii="宋体" w:hAnsi="宋体" w:eastAsia="宋体" w:cs="宋体"/>
                <w:szCs w:val="21"/>
                <w:highlight w:val="none"/>
              </w:rPr>
              <w:t xml:space="preserve">年的基础上，承诺每增加</w:t>
            </w:r>
            <w:r>
              <w:rPr>
                <w:rFonts w:ascii="宋体" w:hAnsi="宋体" w:eastAsia="宋体" w:cs="宋体"/>
                <w:szCs w:val="21"/>
                <w:highlight w:val="none"/>
              </w:rPr>
              <w:t xml:space="preserve">1年，得1.5</w:t>
            </w:r>
            <w:r>
              <w:rPr>
                <w:rFonts w:hint="eastAsia" w:ascii="宋体" w:hAnsi="宋体" w:eastAsia="宋体" w:cs="宋体"/>
                <w:szCs w:val="21"/>
                <w:highlight w:val="none"/>
              </w:rPr>
              <w:t xml:space="preserve">分，最多得</w:t>
            </w:r>
            <w:r>
              <w:rPr>
                <w:rFonts w:ascii="宋体" w:hAnsi="宋体" w:eastAsia="宋体" w:cs="宋体"/>
                <w:szCs w:val="21"/>
                <w:highlight w:val="none"/>
              </w:rPr>
              <w:t xml:space="preserve"> 3 分。</w:t>
            </w:r>
            <w:r>
              <w:rPr>
                <w:rFonts w:hint="eastAsia" w:ascii="宋体" w:hAnsi="宋体" w:eastAsia="宋体" w:cs="宋体"/>
                <w:szCs w:val="21"/>
                <w:highlight w:val="none"/>
              </w:rPr>
              <w:t xml:space="preserve">提供书面承诺函并加盖</w:t>
            </w:r>
            <w:r>
              <w:rPr>
                <w:rFonts w:hint="eastAsia" w:ascii="宋体" w:hAnsi="宋体" w:eastAsia="宋体" w:cs="宋体"/>
                <w:szCs w:val="21"/>
                <w:highlight w:val="none"/>
                <w:lang w:val="en-US" w:eastAsia="zh-CN"/>
              </w:rPr>
              <w:t xml:space="preserve">CA</w:t>
            </w:r>
            <w:r>
              <w:rPr>
                <w:rFonts w:hint="eastAsia" w:ascii="宋体" w:hAnsi="宋体" w:eastAsia="宋体" w:cs="宋体"/>
                <w:szCs w:val="21"/>
                <w:highlight w:val="none"/>
              </w:rPr>
              <w:t xml:space="preserve">公章，格式自拟。未提供承诺函者不得分。</w:t>
            </w:r>
            <w:r/>
          </w:p>
        </w:tc>
      </w:tr>
      <w:tr>
        <w:trPr>
          <w:trHeight w:val="675"/>
        </w:trPr>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5</w:t>
            </w:r>
            <w:r/>
          </w:p>
        </w:tc>
        <w:tc>
          <w:tcPr>
            <w:tcBorders>
              <w:top w:val="single" w:color="000000" w:sz="4" w:space="0"/>
              <w:left w:val="single" w:color="auto" w:sz="4" w:space="0"/>
              <w:bottom w:val="single" w:color="000000" w:sz="4" w:space="0"/>
              <w:right w:val="single" w:color="000000" w:sz="4" w:space="0"/>
            </w:tcBorders>
            <w:tcW w:w="888"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供货期</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3118" w:type="pct"/>
            <w:vAlign w:val="center"/>
            <w:textDirection w:val="lrTb"/>
            <w:noWrap w:val="false"/>
          </w:tcPr>
          <w:p>
            <w:pPr>
              <w:spacing w:line="360" w:lineRule="exact"/>
              <w:rPr>
                <w:rFonts w:ascii="宋体" w:hAnsi="宋体" w:eastAsia="宋体" w:cs="宋体"/>
                <w:szCs w:val="21"/>
              </w:rPr>
            </w:pPr>
            <w:r>
              <w:rPr>
                <w:rFonts w:hint="eastAsia" w:ascii="宋体" w:hAnsi="宋体" w:eastAsia="宋体" w:cs="宋体"/>
                <w:szCs w:val="21"/>
              </w:rPr>
              <w:t xml:space="preserve">供货期满足采购人需求即签订合同后</w:t>
            </w:r>
            <w:r>
              <w:rPr>
                <w:rFonts w:ascii="宋体" w:hAnsi="宋体" w:eastAsia="宋体" w:cs="宋体"/>
                <w:szCs w:val="21"/>
              </w:rPr>
              <w:t xml:space="preserve">90</w:t>
            </w:r>
            <w:r>
              <w:rPr>
                <w:rFonts w:hint="eastAsia" w:ascii="宋体" w:hAnsi="宋体" w:eastAsia="宋体" w:cs="宋体"/>
                <w:szCs w:val="21"/>
              </w:rPr>
              <w:t xml:space="preserve">天供货，在此基础上承诺每提前</w:t>
            </w:r>
            <w:r>
              <w:rPr>
                <w:rFonts w:ascii="宋体" w:hAnsi="宋体" w:eastAsia="宋体" w:cs="宋体"/>
                <w:szCs w:val="21"/>
              </w:rPr>
              <w:t xml:space="preserve">10</w:t>
            </w:r>
            <w:r>
              <w:rPr>
                <w:rFonts w:hint="eastAsia" w:ascii="宋体" w:hAnsi="宋体" w:eastAsia="宋体" w:cs="宋体"/>
                <w:szCs w:val="21"/>
              </w:rPr>
              <w:t xml:space="preserve">天，得1分，最多得</w:t>
            </w:r>
            <w:r>
              <w:rPr>
                <w:rFonts w:ascii="宋体" w:hAnsi="宋体" w:eastAsia="宋体" w:cs="宋体"/>
                <w:szCs w:val="21"/>
              </w:rPr>
              <w:t xml:space="preserve">2</w:t>
            </w:r>
            <w:r>
              <w:rPr>
                <w:rFonts w:hint="eastAsia" w:ascii="宋体" w:hAnsi="宋体" w:eastAsia="宋体" w:cs="宋体"/>
                <w:szCs w:val="21"/>
              </w:rPr>
              <w:t xml:space="preserve">分。提供书面承诺函并加盖</w:t>
            </w:r>
            <w:r>
              <w:rPr>
                <w:rFonts w:hint="eastAsia" w:ascii="宋体" w:hAnsi="宋体" w:eastAsia="宋体" w:cs="宋体"/>
                <w:szCs w:val="21"/>
                <w:lang w:val="en-US" w:eastAsia="zh-CN"/>
              </w:rPr>
              <w:t xml:space="preserve">CA</w:t>
            </w:r>
            <w:r>
              <w:rPr>
                <w:rFonts w:hint="eastAsia" w:ascii="宋体" w:hAnsi="宋体" w:eastAsia="宋体" w:cs="宋体"/>
                <w:szCs w:val="21"/>
              </w:rPr>
              <w:t xml:space="preserve">公章，格式自拟。未提供承诺函者不得分。</w:t>
            </w:r>
            <w:r/>
          </w:p>
        </w:tc>
      </w:tr>
      <w:tr>
        <w:trPr>
          <w:trHeight w:val="659"/>
        </w:trPr>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6</w:t>
            </w:r>
            <w:r/>
          </w:p>
        </w:tc>
        <w:tc>
          <w:tcPr>
            <w:tcBorders>
              <w:top w:val="single" w:color="000000" w:sz="4" w:space="0"/>
              <w:left w:val="single" w:color="auto" w:sz="4" w:space="0"/>
              <w:bottom w:val="single" w:color="000000" w:sz="4" w:space="0"/>
              <w:right w:val="single" w:color="000000" w:sz="4" w:space="0"/>
            </w:tcBorders>
            <w:tcW w:w="888"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售后服务</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3118" w:type="pct"/>
            <w:vAlign w:val="center"/>
            <w:textDirection w:val="lrTb"/>
            <w:noWrap w:val="false"/>
          </w:tcPr>
          <w:p>
            <w:pPr>
              <w:spacing w:line="360" w:lineRule="exact"/>
              <w:rPr>
                <w:rFonts w:ascii="宋体" w:hAnsi="宋体" w:eastAsia="宋体" w:cs="宋体"/>
                <w:szCs w:val="21"/>
              </w:rPr>
            </w:pPr>
            <w:r>
              <w:rPr>
                <w:rFonts w:hint="eastAsia" w:ascii="宋体" w:hAnsi="宋体" w:eastAsia="宋体" w:cs="宋体"/>
                <w:szCs w:val="21"/>
              </w:rPr>
              <w:t xml:space="preserve">各供应商应提供详细的售后服务方案、服务体系、服务范围以及故障解决方案、响应时间、应急处理方案与措施、专业技术人员保障、售后服务电话等。根据所提供的方案内容予以打分：</w:t>
            </w:r>
            <w:r/>
          </w:p>
          <w:p>
            <w:pPr>
              <w:spacing w:line="360" w:lineRule="exact"/>
              <w:rPr>
                <w:rFonts w:ascii="宋体" w:hAnsi="宋体" w:eastAsia="宋体" w:cs="宋体"/>
                <w:szCs w:val="21"/>
              </w:rPr>
            </w:pPr>
            <w:r>
              <w:rPr>
                <w:rFonts w:hint="eastAsia" w:ascii="宋体" w:hAnsi="宋体" w:eastAsia="宋体" w:cs="宋体"/>
                <w:szCs w:val="21"/>
              </w:rPr>
              <w:t xml:space="preserve">（1）内容科学合理、完整、切实可行的得3分；</w:t>
            </w:r>
            <w:r/>
          </w:p>
          <w:p>
            <w:pPr>
              <w:spacing w:line="360" w:lineRule="exact"/>
              <w:rPr>
                <w:rFonts w:ascii="宋体" w:hAnsi="宋体" w:eastAsia="宋体" w:cs="宋体"/>
                <w:szCs w:val="21"/>
              </w:rPr>
            </w:pPr>
            <w:r>
              <w:rPr>
                <w:rFonts w:hint="eastAsia" w:ascii="宋体" w:hAnsi="宋体" w:eastAsia="宋体" w:cs="宋体"/>
                <w:szCs w:val="21"/>
              </w:rPr>
              <w:t xml:space="preserve">（2）内容不完整或者内容完整但科学合理及可行性欠缺的得2分；</w:t>
            </w:r>
            <w:r/>
          </w:p>
          <w:p>
            <w:pPr>
              <w:spacing w:line="360" w:lineRule="exact"/>
              <w:rPr>
                <w:rFonts w:ascii="宋体" w:hAnsi="宋体" w:eastAsia="宋体" w:cs="宋体"/>
                <w:szCs w:val="21"/>
              </w:rPr>
            </w:pPr>
            <w:r>
              <w:rPr>
                <w:rFonts w:hint="eastAsia" w:ascii="宋体" w:hAnsi="宋体" w:eastAsia="宋体" w:cs="宋体"/>
                <w:szCs w:val="21"/>
              </w:rPr>
              <w:t xml:space="preserve">（3）内容不完整且科学合理及可行性欠缺的得1分；</w:t>
            </w:r>
            <w:r/>
          </w:p>
          <w:p>
            <w:pPr>
              <w:spacing w:line="360" w:lineRule="exact"/>
              <w:rPr>
                <w:rFonts w:ascii="宋体" w:hAnsi="宋体" w:eastAsia="宋体" w:cs="宋体"/>
                <w:szCs w:val="21"/>
              </w:rPr>
            </w:pPr>
            <w:r>
              <w:rPr>
                <w:rFonts w:hint="eastAsia" w:ascii="宋体" w:hAnsi="宋体" w:eastAsia="宋体" w:cs="宋体"/>
                <w:szCs w:val="21"/>
              </w:rPr>
              <w:t xml:space="preserve">其他或未提供的不得分。</w:t>
            </w:r>
            <w:r/>
          </w:p>
        </w:tc>
      </w:tr>
      <w:tr>
        <w:trPr>
          <w:trHeight w:val="484"/>
        </w:trPr>
        <w:tc>
          <w:tcPr>
            <w:gridSpan w:val="2"/>
            <w:tcBorders>
              <w:top w:val="single" w:color="auto" w:sz="4" w:space="0"/>
              <w:left w:val="single" w:color="auto" w:sz="4" w:space="0"/>
              <w:bottom w:val="single" w:color="auto" w:sz="4" w:space="0"/>
              <w:right w:val="single" w:color="000000" w:sz="4" w:space="0"/>
            </w:tcBorders>
            <w:tcW w:w="1209"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总分</w:t>
            </w:r>
            <w:r/>
          </w:p>
        </w:tc>
        <w:tc>
          <w:tcPr>
            <w:gridSpan w:val="2"/>
            <w:tcBorders>
              <w:top w:val="single" w:color="000000" w:sz="4" w:space="0"/>
              <w:left w:val="single" w:color="000000" w:sz="4" w:space="0"/>
              <w:bottom w:val="single" w:color="000000" w:sz="4" w:space="0"/>
              <w:right w:val="single" w:color="000000" w:sz="4" w:space="0"/>
            </w:tcBorders>
            <w:tcW w:w="3790" w:type="pct"/>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100</w:t>
            </w:r>
            <w:r/>
          </w:p>
        </w:tc>
      </w:tr>
    </w:tbl>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720"/>
        <w:jc w:val="left"/>
        <w:widowControl/>
        <w:rPr>
          <w:rFonts w:ascii="黑体" w:hAnsi="黑体" w:eastAsia="黑体" w:cs="黑体"/>
          <w:color w:val="000000" w:themeColor="text1"/>
          <w:sz w:val="36"/>
          <w:szCs w:val="36"/>
          <w:lang w:val="zh-TW"/>
          <w14:textFill>
            <w14:solidFill>
              <w14:schemeClr w14:val="tx1"/>
            </w14:solidFill>
          </w14:textFill>
        </w:rPr>
      </w:pPr>
      <w:r/>
      <w:bookmarkStart w:id="63"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ind w:firstLine="720"/>
        <w:jc w:val="center"/>
        <w:widowControl/>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63"/>
      <w:r/>
      <w:r/>
    </w:p>
    <w:p>
      <w:pPr>
        <w:pStyle w:val="936"/>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6"/>
        <w:ind w:firstLine="168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36"/>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936"/>
        <w:ind w:firstLine="64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36"/>
        <w:ind w:firstLine="72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紫金山实验室矢量网络分析仪采购项目</w:t>
      </w:r>
      <w:r/>
    </w:p>
    <w:p>
      <w:pPr>
        <w:pStyle w:val="936"/>
        <w:ind w:firstLine="72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highlight w:val="none"/>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highlight w:val="none"/>
          <w14:textFill>
            <w14:solidFill>
              <w14:schemeClr w14:val="tx1"/>
            </w14:solidFill>
          </w14:textFill>
        </w:rPr>
        <w:t xml:space="preserve">JSZ</w:t>
      </w:r>
      <w:r>
        <w:rPr>
          <w:rFonts w:hint="eastAsia" w:ascii="Times New Roman" w:hAnsi="Times New Roman" w:eastAsia="黑体" w:cs="Times New Roman"/>
          <w:color w:val="000000" w:themeColor="text1"/>
          <w:sz w:val="36"/>
          <w:szCs w:val="36"/>
          <w14:textFill>
            <w14:solidFill>
              <w14:schemeClr w14:val="tx1"/>
            </w14:solidFill>
          </w14:textFill>
        </w:rPr>
        <w:t xml:space="preserve">C-320100-ZTZB-G2026-0018（内部编号PML-ZH-ZB-2026015）</w:t>
      </w:r>
      <w:r/>
    </w:p>
    <w:p>
      <w:pPr>
        <w:ind w:firstLine="562"/>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2"/>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2"/>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2"/>
        <w:jc w:val="center"/>
        <w:spacing w:line="360" w:lineRule="auto"/>
        <w:rPr>
          <w:rFonts w:ascii="黑体" w:hAnsi="黑体" w:eastAsia="黑体" w:cs="仿宋_GB2312"/>
          <w:b/>
          <w:bCs/>
          <w:color w:val="000000" w:themeColor="text1"/>
          <w:sz w:val="28"/>
          <w:szCs w:val="28"/>
          <w14:textFill>
            <w14:solidFill>
              <w14:schemeClr w14:val="tx1"/>
            </w14:solidFill>
          </w14:textFill>
        </w:rPr>
      </w:pPr>
      <w:r>
        <w:rPr>
          <w:rFonts w:ascii="黑体" w:hAnsi="黑体" w:eastAsia="黑体" w:cs="仿宋_GB2312"/>
          <w:b/>
          <w:bCs/>
          <w:color w:val="000000" w:themeColor="text1"/>
          <w:sz w:val="28"/>
          <w:szCs w:val="28"/>
          <w14:textFill>
            <w14:solidFill>
              <w14:schemeClr w14:val="tx1"/>
            </w14:solidFill>
          </w14:textFill>
        </w:rPr>
      </w:r>
      <w:r/>
    </w:p>
    <w:p>
      <w:pPr>
        <w:ind w:firstLine="560"/>
        <w:jc w:val="center"/>
        <w:spacing w:line="360" w:lineRule="auto"/>
        <w:rPr>
          <w:rFonts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ind w:firstLine="560"/>
        <w:jc w:val="center"/>
        <w:spacing w:line="360" w:lineRule="auto"/>
        <w:rPr>
          <w:rFonts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ind w:firstLine="560"/>
        <w:jc w:val="center"/>
        <w:spacing w:line="360" w:lineRule="auto"/>
        <w:rPr>
          <w:rFonts w:ascii="黑体" w:hAnsi="黑体" w:eastAsia="黑体" w:cs="仿宋_GB2312"/>
          <w:color w:val="000000" w:themeColor="text1"/>
          <w:sz w:val="28"/>
          <w:szCs w:val="28"/>
          <w:u w:val="single"/>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ind w:firstLine="560"/>
        <w:jc w:val="center"/>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r>
      <w:r/>
    </w:p>
    <w:p>
      <w:pPr>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br w:type="page" w:clear="all"/>
      </w:r>
      <w:r/>
    </w:p>
    <w:p>
      <w:pPr>
        <w:ind w:firstLine="560"/>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投标人全称（加盖投标人CA公章）：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893"/>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是否响应（填是或者否）</w:t>
            </w:r>
            <w:r/>
          </w:p>
        </w:tc>
        <w:tc>
          <w:tcPr>
            <w:tcW w:w="17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ind w:firstLine="482"/>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ind w:firstLine="482"/>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ind w:firstLine="562"/>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ind w:firstLine="482"/>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82"/>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ind w:firstLine="720"/>
        <w:jc w:val="center"/>
        <w:spacing w:before="312" w:after="312" w:line="360" w:lineRule="auto"/>
        <w:rPr>
          <w:rFonts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ind w:firstLine="560"/>
        <w:spacing w:line="360" w:lineRule="auto"/>
        <w:rPr>
          <w:rFonts w:ascii="宋体" w:hAnsi="宋体" w:eastAsia="宋体" w:cs="Arial Unicode MS"/>
          <w:color w:val="000000" w:themeColor="text1"/>
          <w:sz w:val="28"/>
          <w:szCs w:val="28"/>
          <w14:textFill>
            <w14:solidFill>
              <w14:schemeClr w14:val="tx1"/>
            </w14:solidFill>
          </w14:textFill>
        </w:rPr>
      </w:pPr>
      <w:r>
        <w:rPr>
          <w:rFonts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4" w:name="_Toc448069988"/>
      <w:r/>
      <w:bookmarkStart w:id="65" w:name="_Toc415494574"/>
      <w:r/>
      <w:bookmarkStart w:id="66" w:name="_Toc50"/>
      <w:r/>
      <w:bookmarkStart w:id="67"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64"/>
      <w:r/>
      <w:bookmarkEnd w:id="65"/>
      <w:r/>
      <w:bookmarkEnd w:id="66"/>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67"/>
      <w:r/>
      <w:r/>
    </w:p>
    <w:p>
      <w:pPr>
        <w:ind w:firstLine="560"/>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9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9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紫金山实验室矢量网络分析仪采购项目</w:t>
      </w:r>
      <w:r>
        <w:rPr>
          <w:rFonts w:hint="eastAsia" w:ascii="Times New Roman" w:hAnsi="Times New Roman" w:cs="Times New Roman"/>
          <w:color w:val="000000" w:themeColor="text1"/>
          <w:szCs w:val="21"/>
          <w:highlight w:val="none"/>
          <w:u w:val="single"/>
          <w14:textFill>
            <w14:solidFill>
              <w14:schemeClr w14:val="tx1"/>
            </w14:solidFill>
          </w14:textFill>
        </w:rPr>
        <w:t xml:space="preserve">（</w:t>
      </w:r>
      <w:r>
        <w:rPr>
          <w:rFonts w:ascii="Times New Roman" w:hAnsi="Times New Roman" w:cs="Times New Roman"/>
          <w:color w:val="000000" w:themeColor="text1"/>
          <w:szCs w:val="21"/>
          <w:highlight w:val="none"/>
          <w:u w:val="single"/>
          <w14:textFill>
            <w14:solidFill>
              <w14:schemeClr w14:val="tx1"/>
            </w14:solidFill>
          </w14:textFill>
        </w:rPr>
        <w:t xml:space="preserve">项目编号</w:t>
      </w:r>
      <w:r>
        <w:rPr>
          <w:rFonts w:hint="eastAsia" w:ascii="Times New Roman" w:hAnsi="Times New Roman" w:cs="Times New Roman"/>
          <w:color w:val="000000" w:themeColor="text1"/>
          <w:szCs w:val="21"/>
          <w:highlight w:val="none"/>
          <w:u w:val="single"/>
          <w14:textFill>
            <w14:solidFill>
              <w14:schemeClr w14:val="tx1"/>
            </w14:solidFill>
          </w14:textFill>
        </w:rPr>
        <w:t xml:space="preserve">：</w:t>
      </w:r>
      <w:r>
        <w:rPr>
          <w:rFonts w:hint="eastAsia" w:ascii="Times New Roman" w:hAnsi="Times New Roman" w:cs="Times New Roman"/>
          <w:color w:val="000000" w:themeColor="text1"/>
          <w:szCs w:val="21"/>
          <w:u w:val="single"/>
          <w14:textFill>
            <w14:solidFill>
              <w14:schemeClr w14:val="tx1"/>
            </w14:solidFill>
          </w14:textFill>
        </w:rPr>
        <w:t xml:space="preserve">JSZC-320100-ZTZB-G2026-0018（内部编号PML-ZH-ZB-2026015））</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9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9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9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9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9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9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936"/>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9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9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9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9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9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9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9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9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 </w:t>
      </w:r>
      <w:r/>
    </w:p>
    <w:p>
      <w:pPr>
        <w:pStyle w:val="936"/>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right"/>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8" w:name="_Toc448069992"/>
      <w:r/>
      <w:bookmarkStart w:id="69" w:name="_Toc415494579"/>
      <w:r/>
      <w:bookmarkStart w:id="70" w:name="_Toc11859492"/>
      <w:r/>
      <w:bookmarkStart w:id="71" w:name="_Toc415494575"/>
      <w:r/>
      <w:bookmarkStart w:id="72" w:name="_Toc51"/>
      <w:r/>
      <w:bookmarkStart w:id="73" w:name="_Toc452541709"/>
      <w:r/>
      <w:bookmarkStart w:id="74" w:name="_Toc448069989"/>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68"/>
      <w:r/>
      <w:bookmarkEnd w:id="69"/>
      <w:r/>
      <w:bookmarkEnd w:id="70"/>
      <w:r/>
      <w:r/>
    </w:p>
    <w:p>
      <w:pPr>
        <w:ind w:firstLine="560"/>
        <w:jc w:val="center"/>
        <w:spacing w:line="360" w:lineRule="auto"/>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14:textFill>
            <w14:solidFill>
              <w14:schemeClr w14:val="tx1"/>
            </w14:solidFill>
          </w14:textFill>
        </w:rPr>
        <w:t xml:space="preserve">紫金山实验室矢量网络分析仪采购项目</w:t>
      </w:r>
      <w:r/>
    </w:p>
    <w:p>
      <w:pPr>
        <w:ind w:firstLine="480"/>
        <w:spacing w:line="360" w:lineRule="auto"/>
        <w:rPr>
          <w:rFonts w:hint="eastAsia"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项目编号：</w:t>
      </w:r>
      <w:r>
        <w:rPr>
          <w:rFonts w:hint="eastAsia" w:ascii="Times New Roman" w:hAnsi="Times New Roman" w:cs="Times New Roman"/>
          <w:color w:val="000000" w:themeColor="text1"/>
          <w:sz w:val="24"/>
          <w:szCs w:val="24"/>
          <w:highlight w:val="none"/>
          <w14:textFill>
            <w14:solidFill>
              <w14:schemeClr w14:val="tx1"/>
            </w14:solidFill>
          </w14:textFill>
        </w:rPr>
        <w:t xml:space="preserve">JS</w:t>
      </w:r>
      <w:r>
        <w:rPr>
          <w:rFonts w:hint="eastAsia" w:ascii="Times New Roman" w:hAnsi="Times New Roman" w:cs="Times New Roman"/>
          <w:color w:val="000000" w:themeColor="text1"/>
          <w:sz w:val="24"/>
          <w:szCs w:val="24"/>
          <w14:textFill>
            <w14:solidFill>
              <w14:schemeClr w14:val="tx1"/>
            </w14:solidFill>
          </w14:textFill>
        </w:rPr>
        <w:t xml:space="preserve">ZC-320100-ZTZB-G2026-0018（内部编号PML-ZH-ZB-2026015）</w:t>
      </w:r>
      <w:r/>
    </w:p>
    <w:tbl>
      <w:tblPr>
        <w:tblStyle w:val="893"/>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6"/>
        <w:gridCol w:w="6327"/>
      </w:tblGrid>
      <w:tr>
        <w:trPr>
          <w:cantSplit/>
          <w:jc w:val="center"/>
          <w:trHeight w:val="859"/>
        </w:trPr>
        <w:tc>
          <w:tcPr>
            <w:tcW w:w="1394" w:type="pct"/>
            <w:vAlign w:val="center"/>
            <w:textDirection w:val="lrTb"/>
            <w:noWrap w:val="false"/>
          </w:tcPr>
          <w:p>
            <w:pPr>
              <w:pStyle w:val="900"/>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900"/>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900"/>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936"/>
              <w:ind w:firstLine="0"/>
              <w:spacing w:before="0" w:after="0"/>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127"/>
        </w:trPr>
        <w:tc>
          <w:tcPr>
            <w:tcW w:w="1394" w:type="pct"/>
            <w:vAlign w:val="center"/>
            <w:textDirection w:val="lrTb"/>
            <w:noWrap w:val="false"/>
          </w:tcPr>
          <w:p>
            <w:pPr>
              <w:pStyle w:val="900"/>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品牌型号</w:t>
            </w:r>
            <w:r/>
          </w:p>
        </w:tc>
        <w:tc>
          <w:tcPr>
            <w:tcW w:w="3605" w:type="pct"/>
            <w:vAlign w:val="center"/>
            <w:textDirection w:val="lrTb"/>
            <w:noWrap w:val="false"/>
          </w:tcPr>
          <w:p>
            <w:pPr>
              <w:pStyle w:val="936"/>
              <w:spacing w:before="0" w:after="0"/>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25"/>
        </w:trPr>
        <w:tc>
          <w:tcPr>
            <w:tcW w:w="1394" w:type="pct"/>
            <w:vAlign w:val="center"/>
            <w:textDirection w:val="lrTb"/>
            <w:noWrap w:val="false"/>
          </w:tcPr>
          <w:p>
            <w:pPr>
              <w:pStyle w:val="900"/>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供货期（天）</w:t>
            </w:r>
            <w:r/>
          </w:p>
        </w:tc>
        <w:tc>
          <w:tcPr>
            <w:tcW w:w="3605" w:type="pct"/>
            <w:vAlign w:val="center"/>
            <w:textDirection w:val="lrTb"/>
            <w:noWrap w:val="false"/>
          </w:tcPr>
          <w:p>
            <w:pPr>
              <w:pStyle w:val="936"/>
              <w:spacing w:before="0" w:after="0"/>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62"/>
        </w:trPr>
        <w:tc>
          <w:tcPr>
            <w:tcW w:w="1394" w:type="pct"/>
            <w:vAlign w:val="center"/>
            <w:textDirection w:val="lrTb"/>
            <w:noWrap w:val="false"/>
          </w:tcPr>
          <w:p>
            <w:pPr>
              <w:pStyle w:val="900"/>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质保期（年）</w:t>
            </w:r>
            <w:r/>
          </w:p>
        </w:tc>
        <w:tc>
          <w:tcPr>
            <w:tcW w:w="3605" w:type="pct"/>
            <w:vAlign w:val="center"/>
            <w:textDirection w:val="lrTb"/>
            <w:noWrap w:val="false"/>
          </w:tcPr>
          <w:p>
            <w:pPr>
              <w:pStyle w:val="936"/>
              <w:spacing w:before="0" w:after="0"/>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1070"/>
        </w:trPr>
        <w:tc>
          <w:tcPr>
            <w:tcW w:w="1394" w:type="pct"/>
            <w:vAlign w:val="center"/>
            <w:textDirection w:val="lrTb"/>
            <w:noWrap w:val="false"/>
          </w:tcPr>
          <w:p>
            <w:pPr>
              <w:pStyle w:val="900"/>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900"/>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80"/>
        <w:spacing w:line="44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填写说明：</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1.投标一览表必须加盖投标单位投标人CA公章，并单独装在小信封内于投标截止时间前与投标文件一起递交。</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ind w:firstLine="480"/>
        <w:spacing w:line="360" w:lineRule="exact"/>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3.投标货物为国产货物的，单价和总价采用人民币含税报价。</w:t>
      </w:r>
      <w:r/>
    </w:p>
    <w:p>
      <w:pPr>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投标货物为进口货物的，单价和总价采用人民币免税报价。</w:t>
      </w:r>
      <w:r/>
    </w:p>
    <w:p>
      <w:pPr>
        <w:ind w:firstLine="480"/>
        <w:rPr>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jc w:val="left"/>
        <w:spacing w:line="36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p>
    <w:p>
      <w:pPr>
        <w:ind w:firstLine="560"/>
        <w:jc w:val="center"/>
        <w:spacing w:line="360" w:lineRule="auto"/>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14:textFill>
            <w14:solidFill>
              <w14:schemeClr w14:val="tx1"/>
            </w14:solidFill>
          </w14:textFill>
        </w:rPr>
        <w:t xml:space="preserve">）</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投标人全称（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                       </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项目名称：</w:t>
      </w:r>
      <w:r>
        <w:rPr>
          <w:rFonts w:hint="eastAsia" w:ascii="Times New Roman" w:hAnsi="Times New Roman" w:cs="Times New Roman"/>
          <w:color w:val="000000" w:themeColor="text1"/>
          <w:szCs w:val="21"/>
          <w:u w:val="single"/>
          <w14:textFill>
            <w14:solidFill>
              <w14:schemeClr w14:val="tx1"/>
            </w14:solidFill>
          </w14:textFill>
        </w:rPr>
        <w:t xml:space="preserve"> 紫金山实验室矢量网络分析仪采购项目 </w:t>
      </w:r>
      <w:r/>
    </w:p>
    <w:tbl>
      <w:tblPr>
        <w:tblStyle w:val="893"/>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65"/>
        <w:gridCol w:w="1265"/>
        <w:gridCol w:w="1264"/>
        <w:gridCol w:w="716"/>
        <w:gridCol w:w="547"/>
        <w:gridCol w:w="781"/>
        <w:gridCol w:w="781"/>
        <w:gridCol w:w="781"/>
        <w:gridCol w:w="781"/>
        <w:gridCol w:w="821"/>
      </w:tblGrid>
      <w:tr>
        <w:trPr>
          <w:cantSplit/>
          <w:jc w:val="center"/>
          <w:trHeight w:val="59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货物名称</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规格型号</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配置参数</w:t>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生产厂家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单价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税率</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总价</w:t>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备注</w:t>
            </w:r>
            <w:r/>
          </w:p>
        </w:tc>
      </w:tr>
      <w:tr>
        <w:trPr>
          <w:cantSplit/>
          <w:jc w:val="center"/>
          <w:trHeight w:val="570"/>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30"/>
        </w:trPr>
        <w:tc>
          <w:tcPr>
            <w:gridSpan w:val="4"/>
            <w:tcBorders>
              <w:top w:val="single" w:color="auto" w:sz="4" w:space="0"/>
              <w:left w:val="single" w:color="auto" w:sz="4" w:space="0"/>
              <w:bottom w:val="single" w:color="auto" w:sz="4" w:space="0"/>
              <w:right w:val="single" w:color="auto" w:sz="4" w:space="0"/>
            </w:tcBorders>
            <w:tcW w:w="250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合计</w:t>
            </w:r>
            <w:r/>
          </w:p>
        </w:tc>
        <w:tc>
          <w:tcPr>
            <w:gridSpan w:val="6"/>
            <w:tcBorders>
              <w:top w:val="single" w:color="auto" w:sz="4" w:space="0"/>
              <w:left w:val="single" w:color="auto" w:sz="4" w:space="0"/>
              <w:bottom w:val="single" w:color="auto" w:sz="4" w:space="0"/>
              <w:right w:val="single" w:color="auto" w:sz="4" w:space="0"/>
            </w:tcBorders>
            <w:tcW w:w="2495" w:type="pct"/>
            <w:vAlign w:val="center"/>
            <w:textDirection w:val="lrTb"/>
            <w:noWrap w:val="false"/>
          </w:tcPr>
          <w:p>
            <w:pP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大写（小写）</w:t>
            </w:r>
            <w:r/>
          </w:p>
        </w:tc>
      </w:tr>
      <w:tr>
        <w:trPr>
          <w:cantSplit/>
          <w:jc w:val="center"/>
          <w:trHeight w:val="530"/>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本采购包中提供的符合本国产品标准的产品成本之和占该采购包提供的全部产品成本之和的比例为***%。</w:t>
            </w:r>
            <w:r/>
          </w:p>
        </w:tc>
      </w:tr>
    </w:tbl>
    <w:p>
      <w:pPr>
        <w:spacing w:line="360" w:lineRule="auto"/>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righ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法定代表人（授权代表）签字：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firstLine="6195"/>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注：</w:t>
      </w:r>
      <w:r/>
    </w:p>
    <w:p>
      <w:pPr>
        <w:ind w:firstLine="42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2.“投标分项报价表”中“投标总报价”数额应当与“开标一览表”中“投标总报价”数额一致。</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75" w:name="_Toc11859493"/>
      <w:r/>
      <w:bookmarkStart w:id="76" w:name="_Toc415494580"/>
      <w:r/>
      <w:bookmarkStart w:id="77" w:name="_Toc55"/>
      <w:r/>
      <w:bookmarkStart w:id="78" w:name="_Toc448069993"/>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75"/>
      <w:r/>
      <w:bookmarkEnd w:id="76"/>
      <w:r/>
      <w:bookmarkEnd w:id="77"/>
      <w:r/>
      <w:bookmarkEnd w:id="78"/>
      <w:r/>
      <w:r/>
    </w:p>
    <w:p>
      <w:pPr>
        <w:ind w:firstLine="560"/>
        <w:jc w:val="center"/>
        <w:spacing w:line="360" w:lineRule="auto"/>
        <w:rPr>
          <w:rFonts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0"/>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0"/>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ind w:firstLine="482"/>
        <w:spacing w:line="360" w:lineRule="auto"/>
        <w:rPr>
          <w:rFonts w:ascii="宋体" w:hAnsi="宋体" w:eastAsia="宋体" w:cs="宋体"/>
          <w:b/>
          <w:bCs/>
          <w:color w:val="000000" w:themeColor="text1"/>
          <w:szCs w:val="21"/>
          <w:u w:val="single"/>
          <w:lang w:val="zh-TW"/>
          <w14:textFill>
            <w14:solidFill>
              <w14:schemeClr w14:val="tx1"/>
            </w14:solidFill>
          </w14:textFill>
        </w:rPr>
      </w:pPr>
      <w:r>
        <w:rPr>
          <w:rFonts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ascii="宋体" w:hAnsi="宋体" w:eastAsia="PMingLiU" w:cs="宋体"/>
          <w:color w:val="000000" w:themeColor="text1"/>
          <w:szCs w:val="21"/>
          <w:lang w:val="zh-TW"/>
          <w14:textFill>
            <w14:solidFill>
              <w14:schemeClr w14:val="tx1"/>
            </w14:solidFill>
          </w14:textFill>
        </w:rPr>
      </w:pPr>
      <w:r>
        <w:rPr>
          <w:rFonts w:ascii="宋体" w:hAnsi="宋体" w:eastAsia="PMingLiU" w:cs="宋体"/>
          <w:color w:val="000000" w:themeColor="text1"/>
          <w:szCs w:val="21"/>
          <w:lang w:val="zh-TW"/>
          <w14:textFill>
            <w14:solidFill>
              <w14:schemeClr w14:val="tx1"/>
            </w14:solidFill>
          </w14:textFill>
        </w:rPr>
      </w:r>
      <w:r/>
    </w:p>
    <w:p>
      <w:pPr>
        <w:ind w:right="420" w:firstLine="482"/>
        <w:spacing w:line="360" w:lineRule="auto"/>
        <w:rPr>
          <w:rFonts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0"/>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身份证复印件（需同时提供正面及背面）</w:t>
      </w:r>
      <w:r/>
    </w:p>
    <w:tbl>
      <w:tblPr>
        <w:tblStyle w:val="893"/>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firstLine="480"/>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0"/>
        <w:spacing w:line="360" w:lineRule="auto"/>
        <w:rPr>
          <w:rFonts w:ascii="宋体" w:hAnsi="宋体" w:eastAsia="PMingLiU" w:cs="宋体"/>
          <w:color w:val="000000" w:themeColor="text1"/>
          <w:sz w:val="24"/>
          <w:szCs w:val="24"/>
          <w14:textFill>
            <w14:solidFill>
              <w14:schemeClr w14:val="tx1"/>
            </w14:solidFill>
          </w14:textFill>
        </w:rPr>
      </w:pPr>
      <w:r>
        <w:rPr>
          <w:rFonts w:ascii="宋体" w:hAnsi="宋体" w:eastAsia="PMingLiU" w:cs="宋体"/>
          <w:color w:val="000000" w:themeColor="text1"/>
          <w:sz w:val="24"/>
          <w:szCs w:val="24"/>
          <w14:textFill>
            <w14:solidFill>
              <w14:schemeClr w14:val="tx1"/>
            </w14:solidFill>
          </w14:textFill>
        </w:rPr>
      </w:r>
      <w:r/>
    </w:p>
    <w:p>
      <w:pPr>
        <w:ind w:firstLine="480"/>
        <w:spacing w:line="360" w:lineRule="auto"/>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附：委托代理人身份证复印件（需同时提供正面及背面）</w:t>
      </w:r>
      <w:r/>
    </w:p>
    <w:tbl>
      <w:tblPr>
        <w:tblStyle w:val="893"/>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ind w:right="420"/>
        <w:spacing w:line="360" w:lineRule="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9" w:name="_Toc56"/>
      <w:r/>
      <w:bookmarkStart w:id="80" w:name="_Toc448069994"/>
      <w:r/>
      <w:bookmarkStart w:id="81" w:name="_Toc11859494"/>
      <w:r/>
      <w:bookmarkStart w:id="82" w:name="_Toc415494581"/>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79"/>
      <w:r/>
      <w:bookmarkEnd w:id="80"/>
      <w:r/>
      <w:bookmarkEnd w:id="81"/>
      <w:r/>
      <w:bookmarkEnd w:id="82"/>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CA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非联合体投标声明</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文件9 投标人如使用进口产品投标，须持有所投进口产品制造商的有效授权（提供有效证明材料并加盖投标人公章）。</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ind w:firstLine="560"/>
        <w:jc w:val="center"/>
        <w:spacing w:before="156" w:after="156" w:line="360" w:lineRule="auto"/>
        <w:rPr>
          <w:rFonts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8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ind w:firstLine="560"/>
        <w:jc w:val="center"/>
        <w:spacing w:before="156" w:after="156" w:line="360" w:lineRule="auto"/>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83"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83"/>
      <w:r/>
      <w:r/>
    </w:p>
    <w:p>
      <w:pPr>
        <w:ind w:firstLine="560"/>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紫金山实验室矢量网络分析仪采购项目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93"/>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38"/>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938"/>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38"/>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938"/>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938"/>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938"/>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938"/>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938"/>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r/>
    </w:p>
    <w:p>
      <w:pPr>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84" w:name="_Toc11859496"/>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84"/>
      <w:r/>
      <w:r/>
    </w:p>
    <w:p>
      <w:pPr>
        <w:ind w:firstLine="560"/>
        <w:jc w:val="center"/>
        <w:spacing w:before="156" w:after="156" w:line="360" w:lineRule="auto"/>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紫金山实验室矢量网络分析仪采购项目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93"/>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938"/>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38"/>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85"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85"/>
      <w:r/>
      <w:bookmarkStart w:id="86"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86"/>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包括</w:t>
      </w:r>
      <w:r>
        <w:rPr>
          <w:rFonts w:ascii="Times New Roman" w:hAnsi="Times New Roman" w:eastAsia="宋体" w:cs="Times New Roman"/>
          <w:color w:val="000000" w:themeColor="text1"/>
          <w:sz w:val="24"/>
          <w:szCs w:val="24"/>
          <w14:textFill>
            <w14:solidFill>
              <w14:schemeClr w14:val="tx1"/>
            </w14:solidFill>
          </w14:textFill>
        </w:rPr>
        <w:t xml:space="preserve">但不限于如下内容：</w:t>
      </w:r>
      <w:r/>
    </w:p>
    <w:p>
      <w:pPr>
        <w:pStyle w:val="915"/>
        <w:numPr>
          <w:ilvl w:val="255"/>
          <w:numId w:val="0"/>
        </w:numPr>
        <w:ind w:firstLine="480"/>
        <w:rPr>
          <w:rFonts w:ascii="宋体" w:hAnsi="宋体" w:cs="宋体"/>
          <w:color w:val="000000"/>
          <w:sz w:val="24"/>
        </w:rPr>
      </w:pPr>
      <w:r>
        <w:rPr>
          <w:rFonts w:hint="eastAsia" w:ascii="宋体" w:hAnsi="宋体" w:cs="宋体"/>
          <w:color w:val="000000"/>
          <w:sz w:val="24"/>
        </w:rPr>
        <w:t xml:space="preserve">售后服务方案</w:t>
      </w:r>
      <w:r/>
    </w:p>
    <w:p>
      <w:pPr>
        <w:pStyle w:val="915"/>
        <w:numPr>
          <w:ilvl w:val="255"/>
          <w:numId w:val="0"/>
        </w:num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915"/>
        <w:numPr>
          <w:ilvl w:val="255"/>
          <w:numId w:val="0"/>
        </w:numPr>
        <w:ind w:firstLine="420"/>
      </w:p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915"/>
        <w:numPr>
          <w:ilvl w:val="255"/>
          <w:numId w:val="0"/>
        </w:num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87"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87"/>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2"/>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900"/>
        <w:ind w:right="103" w:firstLine="48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900"/>
        <w:ind w:right="103" w:firstLine="48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pStyle w:val="912"/>
        <w:ind w:right="14" w:firstLine="562"/>
        <w:jc w:val="center"/>
        <w:spacing w:before="0" w:beforeAutospacing="0" w:after="120" w:afterAutospacing="0" w:line="460" w:lineRule="exact"/>
        <w:widowControl w:val="off"/>
      </w:pPr>
      <w:r>
        <w:rPr>
          <w:b/>
          <w:sz w:val="28"/>
          <w:szCs w:val="28"/>
          <w:lang w:bidi="ar"/>
        </w:rPr>
        <w:t xml:space="preserve">中小企业声明函（货物）</w:t>
      </w:r>
      <w:r/>
    </w:p>
    <w:p>
      <w:pPr>
        <w:pStyle w:val="912"/>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912"/>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12"/>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912"/>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w:t>
      </w:r>
      <w:r/>
    </w:p>
    <w:p>
      <w:pPr>
        <w:pStyle w:val="912"/>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以上企业，不属于大企业的分支机构，不存在控股股东为大企业的情形，也不存在与大企业的负责人为同一人的情形。</w:t>
      </w:r>
      <w:r/>
    </w:p>
    <w:p>
      <w:pPr>
        <w:pStyle w:val="912"/>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本企业对上述声明内容的真实性负责。如有虚假，将依法承担相应责任。</w:t>
      </w:r>
      <w:r/>
    </w:p>
    <w:p>
      <w:pPr>
        <w:pStyle w:val="912"/>
        <w:ind w:right="208" w:firstLine="460"/>
        <w:jc w:val="both"/>
        <w:spacing w:before="0" w:beforeAutospacing="0" w:after="120" w:afterAutospacing="0" w:line="360" w:lineRule="auto"/>
        <w:widowControl w:val="off"/>
        <w:tabs>
          <w:tab w:val="left" w:pos="2429" w:leader="none"/>
          <w:tab w:val="left" w:pos="3656" w:leader="none"/>
        </w:tabs>
        <w:rPr>
          <w:spacing w:val="-5"/>
        </w:rPr>
      </w:pPr>
      <w:r>
        <w:rPr>
          <w:spacing w:val="-5"/>
        </w:rPr>
      </w:r>
      <w:r/>
    </w:p>
    <w:p>
      <w:pPr>
        <w:pStyle w:val="912"/>
        <w:ind w:right="208" w:firstLine="5520"/>
        <w:jc w:val="both"/>
        <w:spacing w:before="0" w:beforeAutospacing="0" w:after="120" w:afterAutospacing="0" w:line="360" w:lineRule="auto"/>
        <w:widowControl w:val="off"/>
        <w:tabs>
          <w:tab w:val="left" w:pos="2429" w:leader="none"/>
          <w:tab w:val="left" w:pos="3656" w:leader="none"/>
        </w:tabs>
        <w:rPr>
          <w:spacing w:val="-5"/>
        </w:rPr>
      </w:pPr>
      <w:r>
        <w:rPr>
          <w:spacing w:val="-5"/>
          <w:lang w:bidi="ar"/>
        </w:rPr>
        <w:t xml:space="preserve">企业名称（盖章）：</w:t>
      </w:r>
      <w:r/>
    </w:p>
    <w:p>
      <w:pPr>
        <w:ind w:firstLine="5980"/>
        <w:jc w:val="left"/>
        <w:widowControl/>
      </w:pPr>
      <w:r>
        <w:rPr>
          <w:rFonts w:hint="eastAsia" w:ascii="宋体" w:hAnsi="宋体" w:eastAsia="宋体" w:cs="Times New Roman"/>
          <w:spacing w:val="-5"/>
          <w:sz w:val="24"/>
          <w:szCs w:val="24"/>
          <w:lang w:bidi="ar"/>
        </w:rPr>
        <w:t xml:space="preserve">日期：</w:t>
      </w:r>
      <w:r/>
    </w:p>
    <w:p>
      <w:pPr>
        <w:pStyle w:val="900"/>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00"/>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00"/>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900"/>
        <w:ind w:left="4111" w:right="437" w:firstLine="480"/>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560"/>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900"/>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900"/>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900"/>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900"/>
        <w:ind w:left="4111" w:right="437" w:firstLine="480"/>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900"/>
        <w:ind w:left="4111" w:right="437" w:firstLine="480"/>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900"/>
        <w:ind w:right="14" w:firstLine="560"/>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0"/>
        <w:ind w:right="14" w:firstLine="560"/>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0"/>
        <w:ind w:right="14" w:firstLine="560"/>
        <w:jc w:val="center"/>
        <w:spacing w:line="460" w:lineRule="exact"/>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ind w:firstLine="482"/>
        <w:jc w:val="left"/>
        <w:rPr>
          <w:rFonts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br w:type="page" w:clear="all"/>
      </w:r>
      <w:r/>
    </w:p>
    <w:p>
      <w:pPr>
        <w:ind w:firstLine="482"/>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912"/>
        <w:ind w:firstLine="48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12"/>
        <w:ind w:firstLine="48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2"/>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919"/>
          <w:rFonts w:hint="eastAsia" w:ascii="方正魏碑_GBK" w:hAnsi="方正魏碑_GBK" w:eastAsia="方正魏碑_GBK" w:cs="方正魏碑_GBK"/>
          <w:u w:val="single"/>
          <w:shd w:val="clear" w:color="auto" w:fill="ffffff"/>
        </w:rPr>
        <w:t xml:space="preserve">（产品名称1）</w:t>
      </w:r>
      <w:r>
        <w:rPr>
          <w:rStyle w:val="919"/>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19"/>
          <w:rFonts w:hint="eastAsia" w:ascii="方正魏碑_GBK" w:hAnsi="方正魏碑_GBK" w:eastAsia="方正魏碑_GBK" w:cs="方正魏碑_GBK"/>
          <w:u w:val="single"/>
          <w:shd w:val="clear" w:color="auto" w:fill="ffffff"/>
        </w:rPr>
        <w:t xml:space="preserve">（厂名）</w:t>
      </w:r>
      <w:r>
        <w:rPr>
          <w:rStyle w:val="919"/>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19"/>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19"/>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19"/>
          <w:rFonts w:hint="eastAsia" w:ascii="方正魏碑_GBK" w:hAnsi="方正魏碑_GBK" w:eastAsia="方正魏碑_GBK" w:cs="方正魏碑_GBK"/>
          <w:u w:val="single"/>
          <w:shd w:val="clear" w:color="auto" w:fill="ffffff"/>
        </w:rPr>
        <w:t xml:space="preserve">（规定</w:t>
      </w:r>
      <w:r>
        <w:rPr>
          <w:rStyle w:val="919"/>
          <w:rFonts w:ascii="方正魏碑_GBK" w:hAnsi="方正魏碑_GBK" w:eastAsia="方正魏碑_GBK" w:cs="方正魏碑_GBK"/>
          <w:u w:val="single"/>
          <w:shd w:val="clear" w:color="auto" w:fill="ffffff"/>
        </w:rPr>
        <w:t xml:space="preserve">比例</w:t>
      </w:r>
      <w:r>
        <w:rPr>
          <w:rStyle w:val="919"/>
          <w:rFonts w:hint="eastAsia" w:ascii="方正魏碑_GBK" w:hAnsi="方正魏碑_GBK" w:eastAsia="方正魏碑_GBK" w:cs="方正魏碑_GBK"/>
          <w:u w:val="single"/>
          <w:shd w:val="clear" w:color="auto" w:fill="ffffff"/>
        </w:rPr>
        <w:t xml:space="preserve">）</w:t>
      </w:r>
      <w:r>
        <w:rPr>
          <w:rStyle w:val="919"/>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19"/>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9"/>
          <w:rFonts w:hint="eastAsia" w:ascii="方正魏碑_GBK" w:hAnsi="方正魏碑_GBK" w:eastAsia="方正魏碑_GBK" w:cs="方正魏碑_GBK"/>
          <w:u w:val="single"/>
          <w:shd w:val="clear" w:color="auto" w:fill="ffffff"/>
        </w:rPr>
        <w:t xml:space="preserve">（关键</w:t>
      </w:r>
      <w:r>
        <w:rPr>
          <w:rStyle w:val="919"/>
          <w:rFonts w:ascii="方正魏碑_GBK" w:hAnsi="方正魏碑_GBK" w:eastAsia="方正魏碑_GBK" w:cs="方正魏碑_GBK"/>
          <w:u w:val="single"/>
          <w:shd w:val="clear" w:color="auto" w:fill="ffffff"/>
        </w:rPr>
        <w:t xml:space="preserve">组件</w:t>
      </w:r>
      <w:r>
        <w:rPr>
          <w:rStyle w:val="919"/>
          <w:rFonts w:hint="eastAsia" w:ascii="方正魏碑_GBK" w:hAnsi="方正魏碑_GBK" w:eastAsia="方正魏碑_GBK" w:cs="方正魏碑_GBK"/>
          <w:u w:val="single"/>
          <w:shd w:val="clear" w:color="auto" w:fill="ffffff"/>
        </w:rPr>
        <w:t xml:space="preserve">）</w:t>
      </w:r>
      <w:r>
        <w:rPr>
          <w:rStyle w:val="919"/>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19"/>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9"/>
          <w:rFonts w:hint="eastAsia" w:ascii="方正魏碑_GBK" w:hAnsi="方正魏碑_GBK" w:eastAsia="方正魏碑_GBK" w:cs="方正魏碑_GBK"/>
          <w:u w:val="single"/>
          <w:shd w:val="clear" w:color="auto" w:fill="ffffff"/>
        </w:rPr>
        <w:t xml:space="preserve">（关键工序）</w:t>
      </w:r>
      <w:r>
        <w:rPr>
          <w:rStyle w:val="919"/>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12"/>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919"/>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19"/>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19"/>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19"/>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19"/>
          <w:rFonts w:hint="eastAsia" w:ascii="方正魏碑_GBK" w:hAnsi="方正魏碑_GBK" w:eastAsia="方正魏碑_GBK" w:cs="方正魏碑_GBK"/>
          <w:u w:val="single"/>
          <w:shd w:val="clear" w:color="auto" w:fill="ffffff"/>
        </w:rPr>
        <w:t xml:space="preserve">（规定</w:t>
      </w:r>
      <w:r>
        <w:rPr>
          <w:rStyle w:val="919"/>
          <w:rFonts w:ascii="方正魏碑_GBK" w:hAnsi="方正魏碑_GBK" w:eastAsia="方正魏碑_GBK" w:cs="方正魏碑_GBK"/>
          <w:u w:val="single"/>
          <w:shd w:val="clear" w:color="auto" w:fill="ffffff"/>
        </w:rPr>
        <w:t xml:space="preserve">比例</w:t>
      </w:r>
      <w:r>
        <w:rPr>
          <w:rStyle w:val="919"/>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19"/>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19"/>
          <w:rFonts w:hint="eastAsia" w:ascii="方正魏碑_GBK" w:hAnsi="方正魏碑_GBK" w:eastAsia="方正魏碑_GBK" w:cs="方正魏碑_GBK"/>
          <w:u w:val="single"/>
          <w:shd w:val="clear" w:color="auto" w:fill="ffffff"/>
        </w:rPr>
        <w:t xml:space="preserve">（关键</w:t>
      </w:r>
      <w:r>
        <w:rPr>
          <w:rStyle w:val="919"/>
          <w:rFonts w:ascii="方正魏碑_GBK" w:hAnsi="方正魏碑_GBK" w:eastAsia="方正魏碑_GBK" w:cs="方正魏碑_GBK"/>
          <w:u w:val="single"/>
          <w:shd w:val="clear" w:color="auto" w:fill="ffffff"/>
        </w:rPr>
        <w:t xml:space="preserve">组件</w:t>
      </w:r>
      <w:r>
        <w:rPr>
          <w:rStyle w:val="919"/>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19"/>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19"/>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912"/>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12"/>
        <w:ind w:firstLine="48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12"/>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12"/>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12"/>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12"/>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12"/>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12"/>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12"/>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12"/>
        <w:ind w:firstLine="440"/>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12"/>
        <w:ind w:firstLine="44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12"/>
        <w:ind w:firstLine="440"/>
        <w:spacing w:before="30" w:beforeAutospacing="0" w:after="30" w:afterAutospacing="0" w:line="0" w:lineRule="atLeast"/>
        <w:rPr>
          <w:rFonts w:ascii="Times New Roman" w:hAnsi="Times New Roman" w:cs="Times New Roman"/>
        </w:rPr>
      </w:pPr>
      <w:r>
        <w:rPr>
          <w:rFonts w:hint="eastAsia" w:ascii="方正魏碑_GBK" w:hAnsi="方正魏碑_GBK" w:eastAsia="方正魏碑_GBK" w:cs="方正魏碑_GBK"/>
          <w:sz w:val="22"/>
          <w:shd w:val="clear" w:color="auto" w:fill="ffffff"/>
        </w:rPr>
        <w:t xml:space="preserve">6.用斜线划除的地方无需填写。</w:t>
      </w:r>
      <w:r/>
    </w:p>
    <w:p>
      <w:pPr>
        <w:pStyle w:val="90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71"/>
      <w:r/>
      <w:bookmarkEnd w:id="72"/>
      <w:r/>
      <w:bookmarkEnd w:id="73"/>
      <w:r/>
      <w:bookmarkEnd w:id="74"/>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headerReference w:type="default" r:id="rId12"/>
      <w:footerReference w:type="default" r:id="rId14"/>
      <w:footnotePr/>
      <w:endnotePr/>
      <w:type w:val="nextPage"/>
      <w:pgSz w:w="11906" w:h="16838" w:orient="portrait"/>
      <w:pgMar w:top="1418" w:right="1418" w:bottom="1474" w:left="1701" w:header="794" w:footer="1020"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方正仿宋_GBK">
    <w:panose1 w:val="020B0503020202020204"/>
  </w:font>
  <w:font w:name="仿宋_GB2312">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仿宋">
    <w:panose1 w:val="0201060906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420"/>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36</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pPr>
    <w:r>
      <w:rPr>
        <w:rFonts w:hint="eastAsia"/>
        <w:sz w:val="21"/>
        <w:szCs w:val="21"/>
      </w:rPr>
      <w:t xml:space="preserve">紫金山实验室</w:t>
    </w:r>
    <w:r>
      <w:rPr>
        <w:rFonts w:hint="eastAsia"/>
        <w:sz w:val="21"/>
        <w:szCs w:val="21"/>
        <w:lang w:eastAsia="zh-CN"/>
      </w:rPr>
      <w:t xml:space="preserve">矢量网络分析仪</w:t>
    </w:r>
    <w:r>
      <w:rPr>
        <w:rFonts w:hint="eastAsia"/>
        <w:sz w:val="21"/>
        <w:szCs w:val="21"/>
      </w:rPr>
      <w:t xml:space="preserve">采购项目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rPr>
        <w:rFonts w:ascii="Times New Roman" w:hAnsi="Times New Roman" w:cs="Times New Roman"/>
        <w:sz w:val="21"/>
        <w:szCs w:val="21"/>
      </w:rPr>
      <w:pBdr>
        <w:bottom w:val="none" w:color="auto" w:sz="0" w:space="1"/>
      </w:pBdr>
    </w:pPr>
    <w:r>
      <w:rPr>
        <w:rFonts w:ascii="Times New Roman" w:hAnsi="Times New Roman" w:cs="Times New Roman"/>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pBdr>
        <w:bottom w:val="single" w:color="auto" w:sz="4" w:space="0"/>
      </w:pBdr>
    </w:pPr>
    <w:r>
      <w:rPr>
        <w:rFonts w:hint="eastAsia"/>
      </w:rPr>
      <w:t xml:space="preserve">紫金山实验室矢量网络分析仪采购项目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891"/>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892"/>
    <w:link w:val="889"/>
    <w:uiPriority w:val="9"/>
    <w:rPr>
      <w:rFonts w:ascii="Arial" w:hAnsi="Arial" w:eastAsia="Arial" w:cs="Arial"/>
      <w:sz w:val="40"/>
      <w:szCs w:val="40"/>
    </w:rPr>
  </w:style>
  <w:style w:type="character" w:styleId="723">
    <w:name w:val="Heading 2 Char"/>
    <w:basedOn w:val="892"/>
    <w:link w:val="890"/>
    <w:uiPriority w:val="9"/>
    <w:rPr>
      <w:rFonts w:ascii="Arial" w:hAnsi="Arial" w:eastAsia="Arial" w:cs="Arial"/>
      <w:sz w:val="34"/>
    </w:rPr>
  </w:style>
  <w:style w:type="character" w:styleId="724">
    <w:name w:val="Heading 3 Char"/>
    <w:basedOn w:val="892"/>
    <w:link w:val="891"/>
    <w:uiPriority w:val="9"/>
    <w:rPr>
      <w:rFonts w:ascii="Arial" w:hAnsi="Arial" w:eastAsia="Arial" w:cs="Arial"/>
      <w:sz w:val="30"/>
      <w:szCs w:val="30"/>
    </w:rPr>
  </w:style>
  <w:style w:type="paragraph" w:styleId="725">
    <w:name w:val="Heading 4"/>
    <w:basedOn w:val="888"/>
    <w:next w:val="888"/>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basedOn w:val="892"/>
    <w:link w:val="725"/>
    <w:uiPriority w:val="9"/>
    <w:rPr>
      <w:rFonts w:ascii="Arial" w:hAnsi="Arial" w:eastAsia="Arial" w:cs="Arial"/>
      <w:b/>
      <w:bCs/>
      <w:sz w:val="26"/>
      <w:szCs w:val="26"/>
    </w:rPr>
  </w:style>
  <w:style w:type="paragraph" w:styleId="727">
    <w:name w:val="Heading 5"/>
    <w:basedOn w:val="888"/>
    <w:next w:val="888"/>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basedOn w:val="892"/>
    <w:link w:val="727"/>
    <w:uiPriority w:val="9"/>
    <w:rPr>
      <w:rFonts w:ascii="Arial" w:hAnsi="Arial" w:eastAsia="Arial" w:cs="Arial"/>
      <w:b/>
      <w:bCs/>
      <w:sz w:val="24"/>
      <w:szCs w:val="24"/>
    </w:rPr>
  </w:style>
  <w:style w:type="paragraph" w:styleId="729">
    <w:name w:val="Heading 6"/>
    <w:basedOn w:val="888"/>
    <w:next w:val="888"/>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basedOn w:val="892"/>
    <w:link w:val="729"/>
    <w:uiPriority w:val="9"/>
    <w:rPr>
      <w:rFonts w:ascii="Arial" w:hAnsi="Arial" w:eastAsia="Arial" w:cs="Arial"/>
      <w:b/>
      <w:bCs/>
      <w:sz w:val="22"/>
      <w:szCs w:val="22"/>
    </w:rPr>
  </w:style>
  <w:style w:type="paragraph" w:styleId="731">
    <w:name w:val="Heading 7"/>
    <w:basedOn w:val="888"/>
    <w:next w:val="888"/>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basedOn w:val="892"/>
    <w:link w:val="731"/>
    <w:uiPriority w:val="9"/>
    <w:rPr>
      <w:rFonts w:ascii="Arial" w:hAnsi="Arial" w:eastAsia="Arial" w:cs="Arial"/>
      <w:b/>
      <w:bCs/>
      <w:i/>
      <w:iCs/>
      <w:sz w:val="22"/>
      <w:szCs w:val="22"/>
    </w:rPr>
  </w:style>
  <w:style w:type="paragraph" w:styleId="733">
    <w:name w:val="Heading 8"/>
    <w:basedOn w:val="888"/>
    <w:next w:val="888"/>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basedOn w:val="892"/>
    <w:link w:val="733"/>
    <w:uiPriority w:val="9"/>
    <w:rPr>
      <w:rFonts w:ascii="Arial" w:hAnsi="Arial" w:eastAsia="Arial" w:cs="Arial"/>
      <w:i/>
      <w:iCs/>
      <w:sz w:val="22"/>
      <w:szCs w:val="22"/>
    </w:rPr>
  </w:style>
  <w:style w:type="paragraph" w:styleId="735">
    <w:name w:val="Heading 9"/>
    <w:basedOn w:val="888"/>
    <w:next w:val="888"/>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basedOn w:val="892"/>
    <w:link w:val="735"/>
    <w:uiPriority w:val="9"/>
    <w:rPr>
      <w:rFonts w:ascii="Arial" w:hAnsi="Arial" w:eastAsia="Arial" w:cs="Arial"/>
      <w:i/>
      <w:iCs/>
      <w:sz w:val="21"/>
      <w:szCs w:val="21"/>
    </w:rPr>
  </w:style>
  <w:style w:type="paragraph" w:styleId="737">
    <w:name w:val="No Spacing"/>
    <w:uiPriority w:val="1"/>
    <w:qFormat/>
    <w:pPr>
      <w:spacing w:before="0" w:after="0" w:line="240" w:lineRule="auto"/>
    </w:pPr>
  </w:style>
  <w:style w:type="character" w:styleId="738">
    <w:name w:val="Title Char"/>
    <w:basedOn w:val="892"/>
    <w:link w:val="913"/>
    <w:uiPriority w:val="10"/>
    <w:rPr>
      <w:sz w:val="48"/>
      <w:szCs w:val="48"/>
    </w:rPr>
  </w:style>
  <w:style w:type="paragraph" w:styleId="739">
    <w:name w:val="Subtitle"/>
    <w:basedOn w:val="888"/>
    <w:next w:val="888"/>
    <w:link w:val="740"/>
    <w:uiPriority w:val="11"/>
    <w:qFormat/>
    <w:pPr>
      <w:spacing w:before="200" w:after="200"/>
    </w:pPr>
    <w:rPr>
      <w:sz w:val="24"/>
      <w:szCs w:val="24"/>
    </w:rPr>
  </w:style>
  <w:style w:type="character" w:styleId="740">
    <w:name w:val="Subtitle Char"/>
    <w:basedOn w:val="892"/>
    <w:link w:val="739"/>
    <w:uiPriority w:val="11"/>
    <w:rPr>
      <w:sz w:val="24"/>
      <w:szCs w:val="24"/>
    </w:rPr>
  </w:style>
  <w:style w:type="paragraph" w:styleId="741">
    <w:name w:val="Quote"/>
    <w:basedOn w:val="888"/>
    <w:next w:val="888"/>
    <w:link w:val="742"/>
    <w:uiPriority w:val="29"/>
    <w:qFormat/>
    <w:pPr>
      <w:ind w:left="720" w:right="720"/>
    </w:pPr>
    <w:rPr>
      <w:i/>
    </w:rPr>
  </w:style>
  <w:style w:type="character" w:styleId="742">
    <w:name w:val="Quote Char"/>
    <w:link w:val="741"/>
    <w:uiPriority w:val="29"/>
    <w:rPr>
      <w:i/>
    </w:rPr>
  </w:style>
  <w:style w:type="paragraph" w:styleId="743">
    <w:name w:val="Intense Quote"/>
    <w:basedOn w:val="888"/>
    <w:next w:val="888"/>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character" w:styleId="745">
    <w:name w:val="Header Char"/>
    <w:basedOn w:val="892"/>
    <w:link w:val="908"/>
    <w:uiPriority w:val="99"/>
  </w:style>
  <w:style w:type="character" w:styleId="746">
    <w:name w:val="Footer Char"/>
    <w:basedOn w:val="892"/>
    <w:link w:val="907"/>
    <w:uiPriority w:val="99"/>
  </w:style>
  <w:style w:type="paragraph" w:styleId="747">
    <w:name w:val="Caption"/>
    <w:basedOn w:val="888"/>
    <w:next w:val="888"/>
    <w:uiPriority w:val="35"/>
    <w:semiHidden/>
    <w:unhideWhenUsed/>
    <w:qFormat/>
    <w:pPr>
      <w:spacing w:line="276" w:lineRule="auto"/>
    </w:pPr>
    <w:rPr>
      <w:b/>
      <w:bCs/>
      <w:color w:val="4f81bd" w:themeColor="accent1"/>
      <w:sz w:val="18"/>
      <w:szCs w:val="18"/>
    </w:rPr>
  </w:style>
  <w:style w:type="character" w:styleId="748">
    <w:name w:val="Caption Char"/>
    <w:basedOn w:val="747"/>
    <w:link w:val="907"/>
    <w:uiPriority w:val="99"/>
  </w:style>
  <w:style w:type="table" w:styleId="749">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5">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6">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7">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8">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9">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0">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7">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0">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1">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2">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3">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4">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5">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7">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8">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9">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0">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1">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2">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1">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2">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3">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4">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5">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6">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8">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9">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0">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1">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2">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3">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5">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6">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7">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8">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9">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0">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2">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3">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4">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5">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6">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7">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4">
    <w:name w:val="footnote text"/>
    <w:basedOn w:val="888"/>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basedOn w:val="892"/>
    <w:uiPriority w:val="99"/>
    <w:unhideWhenUsed/>
    <w:rPr>
      <w:vertAlign w:val="superscript"/>
    </w:rPr>
  </w:style>
  <w:style w:type="paragraph" w:styleId="877">
    <w:name w:val="endnote text"/>
    <w:basedOn w:val="888"/>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basedOn w:val="892"/>
    <w:uiPriority w:val="99"/>
    <w:semiHidden/>
    <w:unhideWhenUsed/>
    <w:rPr>
      <w:vertAlign w:val="superscript"/>
    </w:r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89">
    <w:name w:val="Heading 1"/>
    <w:basedOn w:val="888"/>
    <w:next w:val="888"/>
    <w:link w:val="954"/>
    <w:uiPriority w:val="9"/>
    <w:qFormat/>
    <w:pPr>
      <w:keepLines/>
      <w:keepNext/>
      <w:spacing w:before="340" w:after="330" w:line="578" w:lineRule="auto"/>
      <w:outlineLvl w:val="0"/>
    </w:pPr>
    <w:rPr>
      <w:b/>
      <w:bCs/>
      <w:sz w:val="44"/>
      <w:szCs w:val="44"/>
    </w:rPr>
  </w:style>
  <w:style w:type="paragraph" w:styleId="890">
    <w:name w:val="Heading 2"/>
    <w:basedOn w:val="888"/>
    <w:next w:val="888"/>
    <w:link w:val="1004"/>
    <w:uiPriority w:val="0"/>
    <w:qFormat/>
    <w:pPr>
      <w:keepLines/>
      <w:keepNext/>
      <w:spacing w:before="260" w:after="260" w:line="415" w:lineRule="auto"/>
      <w:outlineLvl w:val="1"/>
    </w:pPr>
    <w:rPr>
      <w:rFonts w:ascii="Arial" w:hAnsi="Arial" w:eastAsia="黑体" w:cs="Arial"/>
      <w:b/>
      <w:bCs/>
      <w:sz w:val="32"/>
      <w:szCs w:val="32"/>
    </w:rPr>
  </w:style>
  <w:style w:type="paragraph" w:styleId="891">
    <w:name w:val="Heading 3"/>
    <w:basedOn w:val="888"/>
    <w:next w:val="888"/>
    <w:link w:val="953"/>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List Number 2"/>
    <w:basedOn w:val="888"/>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895">
    <w:name w:val="Normal Indent"/>
    <w:basedOn w:val="888"/>
    <w:uiPriority w:val="0"/>
    <w:qFormat/>
    <w:pPr>
      <w:ind w:firstLine="420"/>
    </w:pPr>
    <w:rPr>
      <w:rFonts w:ascii="Times New Roman" w:hAnsi="Times New Roman" w:eastAsia="宋体" w:cs="Times New Roman"/>
      <w:szCs w:val="20"/>
    </w:rPr>
  </w:style>
  <w:style w:type="paragraph" w:styleId="896">
    <w:name w:val="Document Map"/>
    <w:basedOn w:val="888"/>
    <w:link w:val="990"/>
    <w:uiPriority w:val="99"/>
    <w:semiHidden/>
    <w:unhideWhenUsed/>
    <w:qFormat/>
    <w:pPr>
      <w:shd w:val="clear" w:color="auto" w:fill="000080"/>
    </w:pPr>
  </w:style>
  <w:style w:type="paragraph" w:styleId="897">
    <w:name w:val="annotation text"/>
    <w:basedOn w:val="888"/>
    <w:link w:val="957"/>
    <w:uiPriority w:val="99"/>
    <w:qFormat/>
    <w:pPr>
      <w:jc w:val="left"/>
    </w:pPr>
    <w:rPr>
      <w:rFonts w:ascii="Times New Roman" w:hAnsi="Times New Roman" w:eastAsia="宋体" w:cs="Times New Roman"/>
      <w:szCs w:val="20"/>
    </w:rPr>
  </w:style>
  <w:style w:type="paragraph" w:styleId="898">
    <w:name w:val="Body Text 3"/>
    <w:basedOn w:val="888"/>
    <w:link w:val="934"/>
    <w:uiPriority w:val="0"/>
    <w:qFormat/>
    <w:pPr>
      <w:spacing w:after="120"/>
    </w:pPr>
    <w:rPr>
      <w:rFonts w:ascii="Times New Roman" w:hAnsi="Times New Roman" w:eastAsia="宋体" w:cs="Times New Roman"/>
      <w:sz w:val="16"/>
      <w:szCs w:val="16"/>
    </w:rPr>
  </w:style>
  <w:style w:type="paragraph" w:styleId="899">
    <w:name w:val="List Bullet 3"/>
    <w:basedOn w:val="888"/>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900">
    <w:name w:val="Body Text"/>
    <w:basedOn w:val="888"/>
    <w:link w:val="937"/>
    <w:uiPriority w:val="99"/>
    <w:unhideWhenUsed/>
    <w:qFormat/>
    <w:pPr>
      <w:spacing w:after="120"/>
    </w:pPr>
  </w:style>
  <w:style w:type="paragraph" w:styleId="901">
    <w:name w:val="Body Text Indent"/>
    <w:basedOn w:val="888"/>
    <w:link w:val="927"/>
    <w:uiPriority w:val="0"/>
    <w:qFormat/>
    <w:pPr>
      <w:ind w:left="900"/>
      <w:spacing w:after="120" w:line="360" w:lineRule="atLeast"/>
    </w:pPr>
    <w:rPr>
      <w:rFonts w:ascii="楷体_GB2312" w:hAnsi="Times New Roman" w:eastAsia="楷体_GB2312" w:cs="Times New Roman"/>
      <w:sz w:val="28"/>
      <w:szCs w:val="20"/>
    </w:rPr>
  </w:style>
  <w:style w:type="paragraph" w:styleId="902">
    <w:name w:val="index 4"/>
    <w:basedOn w:val="888"/>
    <w:next w:val="888"/>
    <w:uiPriority w:val="99"/>
    <w:semiHidden/>
    <w:unhideWhenUsed/>
    <w:qFormat/>
    <w:pPr>
      <w:ind w:left="600"/>
    </w:pPr>
  </w:style>
  <w:style w:type="paragraph" w:styleId="903">
    <w:name w:val="toc 3"/>
    <w:basedOn w:val="888"/>
    <w:next w:val="888"/>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904">
    <w:name w:val="Plain Text"/>
    <w:basedOn w:val="888"/>
    <w:link w:val="930"/>
    <w:uiPriority w:val="99"/>
    <w:qFormat/>
    <w:rPr>
      <w:rFonts w:ascii="宋体" w:hAnsi="Courier New" w:eastAsia="宋体" w:cs="Times New Roman"/>
      <w:szCs w:val="20"/>
    </w:rPr>
  </w:style>
  <w:style w:type="paragraph" w:styleId="905">
    <w:name w:val="Date"/>
    <w:basedOn w:val="888"/>
    <w:next w:val="888"/>
    <w:link w:val="932"/>
    <w:uiPriority w:val="99"/>
    <w:unhideWhenUsed/>
    <w:qFormat/>
    <w:pPr>
      <w:ind w:left="100"/>
    </w:pPr>
  </w:style>
  <w:style w:type="paragraph" w:styleId="906">
    <w:name w:val="Balloon Text"/>
    <w:basedOn w:val="888"/>
    <w:link w:val="931"/>
    <w:uiPriority w:val="99"/>
    <w:unhideWhenUsed/>
    <w:qFormat/>
    <w:rPr>
      <w:sz w:val="18"/>
      <w:szCs w:val="18"/>
    </w:rPr>
  </w:style>
  <w:style w:type="paragraph" w:styleId="907">
    <w:name w:val="Footer"/>
    <w:basedOn w:val="888"/>
    <w:link w:val="923"/>
    <w:uiPriority w:val="99"/>
    <w:unhideWhenUsed/>
    <w:qFormat/>
    <w:pPr>
      <w:jc w:val="left"/>
      <w:tabs>
        <w:tab w:val="center" w:pos="4153" w:leader="none"/>
        <w:tab w:val="right" w:pos="8306" w:leader="none"/>
      </w:tabs>
    </w:pPr>
    <w:rPr>
      <w:sz w:val="18"/>
      <w:szCs w:val="18"/>
    </w:rPr>
  </w:style>
  <w:style w:type="paragraph" w:styleId="908">
    <w:name w:val="Header"/>
    <w:basedOn w:val="888"/>
    <w:link w:val="9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9">
    <w:name w:val="toc 1"/>
    <w:basedOn w:val="888"/>
    <w:next w:val="888"/>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910">
    <w:name w:val="toc 2"/>
    <w:basedOn w:val="888"/>
    <w:next w:val="888"/>
    <w:uiPriority w:val="39"/>
    <w:unhideWhenUsed/>
    <w:qFormat/>
    <w:pPr>
      <w:ind w:left="221"/>
      <w:jc w:val="left"/>
      <w:spacing w:line="360" w:lineRule="auto"/>
      <w:widowControl/>
    </w:pPr>
    <w:rPr>
      <w:rFonts w:ascii="Times New Roman" w:hAnsi="Times New Roman" w:eastAsia="宋体" w:cs="Times New Roman"/>
      <w:sz w:val="22"/>
    </w:rPr>
  </w:style>
  <w:style w:type="paragraph" w:styleId="911">
    <w:name w:val="HTML Preformatted"/>
    <w:basedOn w:val="888"/>
    <w:link w:val="963"/>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912">
    <w:name w:val="Normal (Web)"/>
    <w:basedOn w:val="88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13">
    <w:name w:val="Title"/>
    <w:basedOn w:val="888"/>
    <w:link w:val="991"/>
    <w:uiPriority w:val="10"/>
    <w:qFormat/>
    <w:pPr>
      <w:jc w:val="center"/>
      <w:spacing w:before="240" w:after="60"/>
      <w:outlineLvl w:val="0"/>
    </w:pPr>
    <w:rPr>
      <w:rFonts w:ascii="Arial" w:hAnsi="Arial"/>
      <w:b/>
      <w:sz w:val="32"/>
    </w:rPr>
  </w:style>
  <w:style w:type="paragraph" w:styleId="914">
    <w:name w:val="annotation subject"/>
    <w:basedOn w:val="897"/>
    <w:next w:val="897"/>
    <w:link w:val="941"/>
    <w:uiPriority w:val="99"/>
    <w:unhideWhenUsed/>
    <w:qFormat/>
    <w:rPr>
      <w:rFonts w:asciiTheme="minorHAnsi" w:hAnsiTheme="minorHAnsi" w:eastAsiaTheme="minorEastAsia" w:cstheme="minorBidi"/>
      <w:b/>
      <w:bCs/>
      <w:szCs w:val="22"/>
    </w:rPr>
  </w:style>
  <w:style w:type="paragraph" w:styleId="915">
    <w:name w:val="Body Text First Indent 2"/>
    <w:basedOn w:val="888"/>
    <w:next w:val="888"/>
    <w:uiPriority w:val="99"/>
    <w:qFormat/>
    <w:pPr>
      <w:ind w:left="420" w:firstLine="420"/>
      <w:spacing w:after="120"/>
    </w:pPr>
    <w:rPr>
      <w:rFonts w:ascii="Times New Roman" w:hAnsi="Times New Roman" w:eastAsia="宋体" w:cs="Times New Roman"/>
      <w:szCs w:val="21"/>
    </w:rPr>
  </w:style>
  <w:style w:type="table" w:styleId="916">
    <w:name w:val="Table Grid"/>
    <w:basedOn w:val="893"/>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917">
    <w:name w:val="Strong"/>
    <w:uiPriority w:val="22"/>
    <w:qFormat/>
    <w:rPr>
      <w:b/>
      <w:bCs/>
    </w:rPr>
  </w:style>
  <w:style w:type="character" w:styleId="918">
    <w:name w:val="FollowedHyperlink"/>
    <w:basedOn w:val="892"/>
    <w:uiPriority w:val="99"/>
    <w:unhideWhenUsed/>
    <w:qFormat/>
    <w:rPr>
      <w:color w:val="333333"/>
      <w:u w:val="none"/>
    </w:rPr>
  </w:style>
  <w:style w:type="character" w:styleId="919">
    <w:name w:val="Emphasis"/>
    <w:basedOn w:val="892"/>
    <w:uiPriority w:val="20"/>
    <w:qFormat/>
  </w:style>
  <w:style w:type="character" w:styleId="920">
    <w:name w:val="Hyperlink"/>
    <w:basedOn w:val="892"/>
    <w:uiPriority w:val="99"/>
    <w:unhideWhenUsed/>
    <w:qFormat/>
    <w:rPr>
      <w:color w:val="0563c1" w:themeColor="hyperlink"/>
      <w:u w:val="single"/>
      <w14:textFill>
        <w14:solidFill>
          <w14:schemeClr w14:val="hlink"/>
        </w14:solidFill>
      </w14:textFill>
    </w:rPr>
  </w:style>
  <w:style w:type="character" w:styleId="921">
    <w:name w:val="annotation reference"/>
    <w:basedOn w:val="892"/>
    <w:uiPriority w:val="99"/>
    <w:qFormat/>
    <w:rPr>
      <w:sz w:val="21"/>
      <w:szCs w:val="21"/>
    </w:rPr>
  </w:style>
  <w:style w:type="character" w:styleId="922" w:customStyle="1">
    <w:name w:val="页眉 字符"/>
    <w:basedOn w:val="892"/>
    <w:link w:val="908"/>
    <w:uiPriority w:val="99"/>
    <w:qFormat/>
    <w:rPr>
      <w:sz w:val="18"/>
      <w:szCs w:val="18"/>
    </w:rPr>
  </w:style>
  <w:style w:type="character" w:styleId="923" w:customStyle="1">
    <w:name w:val="页脚 字符"/>
    <w:basedOn w:val="892"/>
    <w:link w:val="907"/>
    <w:uiPriority w:val="99"/>
    <w:qFormat/>
    <w:rPr>
      <w:sz w:val="18"/>
      <w:szCs w:val="18"/>
    </w:rPr>
  </w:style>
  <w:style w:type="character" w:styleId="924" w:customStyle="1">
    <w:name w:val="标题 1 Char"/>
    <w:basedOn w:val="892"/>
    <w:uiPriority w:val="9"/>
    <w:qFormat/>
    <w:rPr>
      <w:b/>
      <w:bCs/>
      <w:sz w:val="44"/>
      <w:szCs w:val="44"/>
    </w:rPr>
  </w:style>
  <w:style w:type="paragraph" w:styleId="925" w:customStyle="1">
    <w:name w:val="TOC 标题1"/>
    <w:basedOn w:val="889"/>
    <w:next w:val="888"/>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26" w:customStyle="1">
    <w:name w:val="列出段落1"/>
    <w:basedOn w:val="888"/>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27" w:customStyle="1">
    <w:name w:val="正文文本缩进 字符"/>
    <w:basedOn w:val="892"/>
    <w:link w:val="901"/>
    <w:uiPriority w:val="0"/>
    <w:qFormat/>
    <w:rPr>
      <w:rFonts w:ascii="楷体_GB2312" w:hAnsi="Times New Roman" w:eastAsia="楷体_GB2312" w:cs="Times New Roman"/>
      <w:sz w:val="28"/>
      <w:szCs w:val="20"/>
    </w:rPr>
  </w:style>
  <w:style w:type="paragraph" w:styleId="928" w:customStyle="1">
    <w:name w:val="蓝色显示"/>
    <w:basedOn w:val="888"/>
    <w:link w:val="929"/>
    <w:uiPriority w:val="0"/>
    <w:qFormat/>
    <w:pPr>
      <w:spacing w:before="340" w:after="330" w:line="400" w:lineRule="exact"/>
    </w:pPr>
    <w:rPr>
      <w:rFonts w:ascii="Times New Roman" w:hAnsi="Times New Roman" w:eastAsia="宋体" w:cs="Times New Roman"/>
      <w:b/>
      <w:color w:val="0070c0"/>
      <w:szCs w:val="24"/>
    </w:rPr>
  </w:style>
  <w:style w:type="character" w:styleId="929" w:customStyle="1">
    <w:name w:val="蓝色显示 Char"/>
    <w:link w:val="928"/>
    <w:uiPriority w:val="0"/>
    <w:qFormat/>
    <w:rPr>
      <w:rFonts w:ascii="Times New Roman" w:hAnsi="Times New Roman" w:eastAsia="宋体" w:cs="Times New Roman"/>
      <w:b/>
      <w:color w:val="0070c0"/>
      <w:szCs w:val="24"/>
    </w:rPr>
  </w:style>
  <w:style w:type="character" w:styleId="930" w:customStyle="1">
    <w:name w:val="纯文本 字符"/>
    <w:basedOn w:val="892"/>
    <w:link w:val="904"/>
    <w:uiPriority w:val="0"/>
    <w:qFormat/>
    <w:rPr>
      <w:rFonts w:ascii="宋体" w:hAnsi="Courier New" w:eastAsia="宋体" w:cs="Times New Roman"/>
      <w:szCs w:val="20"/>
    </w:rPr>
  </w:style>
  <w:style w:type="character" w:styleId="931" w:customStyle="1">
    <w:name w:val="批注框文本 字符"/>
    <w:basedOn w:val="892"/>
    <w:link w:val="906"/>
    <w:uiPriority w:val="99"/>
    <w:semiHidden/>
    <w:qFormat/>
    <w:rPr>
      <w:sz w:val="18"/>
      <w:szCs w:val="18"/>
    </w:rPr>
  </w:style>
  <w:style w:type="character" w:styleId="932" w:customStyle="1">
    <w:name w:val="日期 字符"/>
    <w:basedOn w:val="892"/>
    <w:link w:val="905"/>
    <w:uiPriority w:val="99"/>
    <w:semiHidden/>
    <w:qFormat/>
  </w:style>
  <w:style w:type="character" w:styleId="933" w:customStyle="1">
    <w:name w:val="批注文字 Char"/>
    <w:basedOn w:val="892"/>
    <w:uiPriority w:val="99"/>
    <w:qFormat/>
    <w:rPr>
      <w:rFonts w:ascii="Times New Roman" w:hAnsi="Times New Roman" w:eastAsia="宋体" w:cs="Times New Roman"/>
      <w:szCs w:val="20"/>
    </w:rPr>
  </w:style>
  <w:style w:type="character" w:styleId="934" w:customStyle="1">
    <w:name w:val="正文文本 3 字符"/>
    <w:basedOn w:val="892"/>
    <w:link w:val="898"/>
    <w:uiPriority w:val="0"/>
    <w:qFormat/>
    <w:rPr>
      <w:rFonts w:ascii="Times New Roman" w:hAnsi="Times New Roman" w:eastAsia="宋体" w:cs="Times New Roman"/>
      <w:sz w:val="16"/>
      <w:szCs w:val="16"/>
    </w:rPr>
  </w:style>
  <w:style w:type="paragraph" w:styleId="935" w:customStyle="1">
    <w:name w:val="正文00"/>
    <w:basedOn w:val="888"/>
    <w:uiPriority w:val="0"/>
    <w:qFormat/>
    <w:pPr>
      <w:ind w:firstLine="200"/>
      <w:spacing w:line="360" w:lineRule="auto"/>
    </w:pPr>
    <w:rPr>
      <w:rFonts w:ascii="Times New Roman" w:hAnsi="Times New Roman" w:eastAsia="宋体" w:cs="Times New Roman"/>
      <w:sz w:val="24"/>
      <w:szCs w:val="21"/>
    </w:rPr>
  </w:style>
  <w:style w:type="paragraph" w:styleId="936" w:customStyle="1">
    <w:name w:val="普通正文"/>
    <w:basedOn w:val="888"/>
    <w:uiPriority w:val="0"/>
    <w:qFormat/>
    <w:pPr>
      <w:ind w:firstLine="480"/>
      <w:jc w:val="left"/>
      <w:spacing w:before="120" w:after="120" w:line="360" w:lineRule="auto"/>
      <w:widowControl/>
    </w:pPr>
    <w:rPr>
      <w:rFonts w:ascii="Arial" w:hAnsi="Arial" w:eastAsia="宋体" w:cs="宋体"/>
      <w:sz w:val="24"/>
      <w:szCs w:val="24"/>
    </w:rPr>
  </w:style>
  <w:style w:type="character" w:styleId="937" w:customStyle="1">
    <w:name w:val="正文文本 字符"/>
    <w:basedOn w:val="892"/>
    <w:link w:val="900"/>
    <w:uiPriority w:val="0"/>
    <w:qFormat/>
  </w:style>
  <w:style w:type="paragraph" w:styleId="938" w:customStyle="1">
    <w:name w:val="Default"/>
    <w:uiPriority w:val="0"/>
    <w:qFormat/>
    <w:rPr>
      <w:rFonts w:ascii="宋体" w:hAnsi="Times New Roman" w:eastAsia="宋体" w:cs="宋体"/>
      <w:color w:val="000000"/>
      <w:sz w:val="24"/>
      <w:szCs w:val="24"/>
      <w:lang w:val="en-US" w:eastAsia="zh-CN" w:bidi="ar-SA"/>
    </w:rPr>
  </w:style>
  <w:style w:type="paragraph" w:styleId="939" w:customStyle="1">
    <w:name w:val="Table Paragraph"/>
    <w:basedOn w:val="888"/>
    <w:uiPriority w:val="1"/>
    <w:qFormat/>
    <w:pPr>
      <w:jc w:val="left"/>
    </w:pPr>
    <w:rPr>
      <w:rFonts w:ascii="Times New Roman" w:hAnsi="Times New Roman" w:eastAsia="宋体" w:cs="Times New Roman"/>
      <w:sz w:val="24"/>
      <w:szCs w:val="24"/>
    </w:rPr>
  </w:style>
  <w:style w:type="paragraph" w:styleId="940" w:customStyle="1">
    <w:name w:val="_Style 20"/>
    <w:basedOn w:val="888"/>
    <w:next w:val="926"/>
    <w:uiPriority w:val="34"/>
    <w:qFormat/>
    <w:pPr>
      <w:ind w:firstLine="420"/>
    </w:pPr>
    <w:rPr>
      <w:rFonts w:ascii="Times New Roman" w:hAnsi="Times New Roman" w:eastAsia="宋体" w:cs="Times New Roman"/>
      <w:szCs w:val="21"/>
    </w:rPr>
  </w:style>
  <w:style w:type="character" w:styleId="941" w:customStyle="1">
    <w:name w:val="批注主题 字符"/>
    <w:basedOn w:val="933"/>
    <w:link w:val="914"/>
    <w:uiPriority w:val="99"/>
    <w:semiHidden/>
    <w:qFormat/>
    <w:rPr>
      <w:rFonts w:ascii="Times New Roman" w:hAnsi="Times New Roman" w:eastAsia="宋体" w:cs="Times New Roman"/>
      <w:b/>
      <w:bCs/>
      <w:sz w:val="21"/>
      <w:szCs w:val="22"/>
    </w:rPr>
  </w:style>
  <w:style w:type="paragraph" w:styleId="942" w:customStyle="1">
    <w:name w:val="_Style 6"/>
    <w:basedOn w:val="888"/>
    <w:uiPriority w:val="34"/>
    <w:qFormat/>
    <w:pPr>
      <w:ind w:firstLine="420"/>
      <w:widowControl/>
    </w:pPr>
    <w:rPr>
      <w:rFonts w:ascii="Calibri" w:hAnsi="Calibri"/>
      <w:sz w:val="34"/>
      <w:szCs w:val="21"/>
    </w:rPr>
  </w:style>
  <w:style w:type="paragraph" w:styleId="943" w:customStyle="1">
    <w:name w:val="列出段落11"/>
    <w:basedOn w:val="888"/>
    <w:uiPriority w:val="99"/>
    <w:qFormat/>
    <w:pPr>
      <w:contextualSpacing/>
      <w:ind w:left="720"/>
    </w:pPr>
    <w:rPr>
      <w:rFonts w:ascii="黑体" w:hAnsi="黑体" w:eastAsia="Arial" w:cs="黑体"/>
      <w:szCs w:val="21"/>
    </w:rPr>
  </w:style>
  <w:style w:type="character" w:styleId="944" w:customStyle="1">
    <w:name w:val="bsharetext"/>
    <w:basedOn w:val="892"/>
    <w:uiPriority w:val="0"/>
    <w:qFormat/>
  </w:style>
  <w:style w:type="character" w:styleId="945" w:customStyle="1">
    <w:name w:val="active2"/>
    <w:basedOn w:val="892"/>
    <w:uiPriority w:val="0"/>
    <w:qFormat/>
    <w:rPr>
      <w:shd w:val="clear" w:color="auto" w:fill="0162b1"/>
    </w:rPr>
  </w:style>
  <w:style w:type="character" w:styleId="946" w:customStyle="1">
    <w:name w:val="add3"/>
    <w:basedOn w:val="892"/>
    <w:uiPriority w:val="0"/>
    <w:qFormat/>
  </w:style>
  <w:style w:type="paragraph" w:styleId="947">
    <w:name w:val="List Paragraph"/>
    <w:basedOn w:val="888"/>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48" w:customStyle="1">
    <w:name w:val="fontstyle01"/>
    <w:uiPriority w:val="0"/>
    <w:qFormat/>
    <w:rPr>
      <w:rFonts w:hint="eastAsia" w:ascii="宋体" w:hAnsi="宋体" w:eastAsia="宋体"/>
      <w:color w:val="000000"/>
      <w:sz w:val="24"/>
      <w:szCs w:val="24"/>
    </w:rPr>
  </w:style>
  <w:style w:type="character" w:styleId="949" w:customStyle="1">
    <w:name w:val="fontstyle21"/>
    <w:uiPriority w:val="0"/>
    <w:qFormat/>
    <w:rPr>
      <w:rFonts w:hint="default" w:ascii="Times New Roman" w:hAnsi="Times New Roman" w:cs="Times New Roman"/>
      <w:color w:val="000000"/>
      <w:sz w:val="24"/>
      <w:szCs w:val="24"/>
    </w:rPr>
  </w:style>
  <w:style w:type="paragraph" w:styleId="950"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951" w:customStyle="1">
    <w:name w:val="表格中文字（dbapp）"/>
    <w:basedOn w:val="888"/>
    <w:uiPriority w:val="0"/>
    <w:qFormat/>
    <w:pPr>
      <w:jc w:val="left"/>
      <w:spacing w:before="20" w:after="20"/>
    </w:pPr>
    <w:rPr>
      <w:rFonts w:ascii="方正兰亭黑简体" w:hAnsi="方正兰亭黑简体" w:eastAsia="方正兰亭黑简体"/>
      <w:szCs w:val="21"/>
    </w:rPr>
  </w:style>
  <w:style w:type="paragraph" w:styleId="952" w:customStyle="1">
    <w:name w:val="msolistparagraph"/>
    <w:basedOn w:val="888"/>
    <w:uiPriority w:val="0"/>
    <w:qFormat/>
    <w:pPr>
      <w:ind w:firstLine="420"/>
    </w:pPr>
    <w:rPr>
      <w:rFonts w:ascii="Calibri" w:hAnsi="Calibri" w:eastAsia="宋体" w:cs="Times New Roman"/>
    </w:rPr>
  </w:style>
  <w:style w:type="character" w:styleId="953" w:customStyle="1">
    <w:name w:val="标题 3 字符1"/>
    <w:basedOn w:val="892"/>
    <w:link w:val="891"/>
    <w:uiPriority w:val="0"/>
    <w:qFormat/>
    <w:rPr>
      <w:b/>
      <w:bCs/>
      <w:sz w:val="32"/>
      <w:szCs w:val="32"/>
    </w:rPr>
  </w:style>
  <w:style w:type="character" w:styleId="954" w:customStyle="1">
    <w:name w:val="标题 1 字符1"/>
    <w:basedOn w:val="892"/>
    <w:link w:val="889"/>
    <w:uiPriority w:val="0"/>
    <w:qFormat/>
    <w:rPr>
      <w:b/>
      <w:bCs/>
      <w:sz w:val="32"/>
      <w:szCs w:val="44"/>
    </w:rPr>
  </w:style>
  <w:style w:type="character" w:styleId="955" w:customStyle="1">
    <w:name w:val="标题 2 字符1"/>
    <w:basedOn w:val="892"/>
    <w:uiPriority w:val="0"/>
    <w:qFormat/>
    <w:rPr>
      <w:rFonts w:hint="default" w:ascii="Cambria" w:hAnsi="Cambria" w:eastAsia="Cambria" w:cs="Cambria"/>
      <w:b/>
      <w:bCs/>
      <w:sz w:val="32"/>
      <w:szCs w:val="32"/>
    </w:rPr>
  </w:style>
  <w:style w:type="character" w:styleId="956" w:customStyle="1">
    <w:name w:val="批注文字 字符1"/>
    <w:basedOn w:val="892"/>
    <w:uiPriority w:val="0"/>
    <w:qFormat/>
    <w:rPr>
      <w:sz w:val="21"/>
      <w:szCs w:val="24"/>
    </w:rPr>
  </w:style>
  <w:style w:type="character" w:styleId="957" w:customStyle="1">
    <w:name w:val="批注文字 字符"/>
    <w:basedOn w:val="892"/>
    <w:link w:val="897"/>
    <w:uiPriority w:val="99"/>
    <w:qFormat/>
    <w:rPr>
      <w:sz w:val="21"/>
      <w:szCs w:val="24"/>
    </w:rPr>
  </w:style>
  <w:style w:type="paragraph" w:styleId="958"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59"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960"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961"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962"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963" w:customStyle="1">
    <w:name w:val="HTML 预设格式 字符"/>
    <w:basedOn w:val="892"/>
    <w:link w:val="911"/>
    <w:uiPriority w:val="0"/>
    <w:qFormat/>
    <w:rPr>
      <w:rFonts w:hint="eastAsia" w:ascii="宋体" w:hAnsi="宋体" w:eastAsia="宋体" w:cs="宋体"/>
      <w:sz w:val="24"/>
      <w:szCs w:val="24"/>
    </w:rPr>
  </w:style>
  <w:style w:type="paragraph" w:styleId="964"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965"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966"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967"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968"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969"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970" w:customStyle="1">
    <w:name w:val="_正文段落 Char Char"/>
    <w:basedOn w:val="892"/>
    <w:uiPriority w:val="0"/>
    <w:qFormat/>
    <w:rPr>
      <w:sz w:val="24"/>
      <w:szCs w:val="24"/>
    </w:rPr>
  </w:style>
  <w:style w:type="paragraph" w:styleId="971" w:customStyle="1">
    <w:name w:val="正文段落样式"/>
    <w:basedOn w:val="888"/>
    <w:link w:val="973"/>
    <w:uiPriority w:val="0"/>
    <w:qFormat/>
    <w:pPr>
      <w:ind w:firstLine="420"/>
      <w:jc w:val="left"/>
      <w:spacing w:line="360" w:lineRule="auto"/>
    </w:pPr>
    <w:rPr>
      <w:rFonts w:hint="eastAsia" w:ascii="等线" w:hAnsi="等线" w:eastAsia="等线" w:cs="Times New Roman"/>
      <w:sz w:val="24"/>
      <w:szCs w:val="21"/>
    </w:rPr>
  </w:style>
  <w:style w:type="character" w:styleId="972" w:customStyle="1">
    <w:name w:val="列表段落 字符"/>
    <w:basedOn w:val="892"/>
    <w:uiPriority w:val="0"/>
    <w:qFormat/>
    <w:rPr>
      <w:rFonts w:hint="eastAsia" w:ascii="Arial Unicode MS" w:hAnsi="Arial Unicode MS" w:eastAsia="等线" w:cs="Arial Unicode MS"/>
      <w:color w:val="000000"/>
      <w:lang w:eastAsia="en-US"/>
    </w:rPr>
  </w:style>
  <w:style w:type="character" w:styleId="973" w:customStyle="1">
    <w:name w:val="正文段落样式 Char"/>
    <w:basedOn w:val="892"/>
    <w:link w:val="971"/>
    <w:uiPriority w:val="0"/>
    <w:qFormat/>
    <w:rPr>
      <w:rFonts w:hint="eastAsia" w:ascii="等线" w:hAnsi="等线" w:eastAsia="等线" w:cs="Times New Roman"/>
      <w:sz w:val="24"/>
      <w:szCs w:val="21"/>
    </w:rPr>
  </w:style>
  <w:style w:type="paragraph" w:styleId="974"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975"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976" w:customStyle="1">
    <w:name w:val="标题 6 字符"/>
    <w:basedOn w:val="892"/>
    <w:uiPriority w:val="0"/>
    <w:qFormat/>
    <w:rPr>
      <w:rFonts w:ascii="Arial" w:hAnsi="Arial" w:eastAsia="黑体" w:cs="Times New Roman"/>
      <w:sz w:val="22"/>
      <w:szCs w:val="20"/>
    </w:rPr>
  </w:style>
  <w:style w:type="character" w:styleId="977" w:customStyle="1">
    <w:name w:val="文档正文 Char"/>
    <w:basedOn w:val="892"/>
    <w:uiPriority w:val="0"/>
    <w:qFormat/>
    <w:rPr>
      <w:rFonts w:hint="default" w:ascii="Times New Roman" w:hAnsi="Times New Roman" w:eastAsia="宋体" w:cs="Times New Roman"/>
      <w:sz w:val="22"/>
      <w:szCs w:val="20"/>
    </w:rPr>
  </w:style>
  <w:style w:type="character" w:styleId="978" w:customStyle="1">
    <w:name w:val="标题 5 字符"/>
    <w:basedOn w:val="892"/>
    <w:uiPriority w:val="0"/>
    <w:qFormat/>
    <w:rPr>
      <w:rFonts w:hint="default" w:ascii="Times New Roman" w:hAnsi="Times New Roman" w:eastAsia="宋体" w:cs="Times New Roman"/>
      <w:sz w:val="28"/>
      <w:szCs w:val="20"/>
    </w:rPr>
  </w:style>
  <w:style w:type="character" w:styleId="979" w:customStyle="1">
    <w:name w:val="正文(首行缩进) Char"/>
    <w:basedOn w:val="892"/>
    <w:link w:val="980"/>
    <w:uiPriority w:val="0"/>
    <w:qFormat/>
    <w:rPr>
      <w:rFonts w:hint="default" w:ascii="Times New Roman" w:hAnsi="Times New Roman" w:eastAsia="宋体" w:cs="Times New Roman"/>
      <w:sz w:val="24"/>
      <w:szCs w:val="24"/>
    </w:rPr>
  </w:style>
  <w:style w:type="paragraph" w:styleId="980" w:customStyle="1">
    <w:name w:val="正文(首行缩进)"/>
    <w:basedOn w:val="888"/>
    <w:next w:val="888"/>
    <w:link w:val="979"/>
    <w:uiPriority w:val="0"/>
    <w:qFormat/>
    <w:pPr>
      <w:ind w:firstLine="480"/>
      <w:spacing w:line="360" w:lineRule="auto"/>
    </w:pPr>
    <w:rPr>
      <w:rFonts w:ascii="Times New Roman" w:hAnsi="Times New Roman" w:eastAsia="宋体" w:cs="Times New Roman"/>
      <w:sz w:val="24"/>
      <w:szCs w:val="24"/>
    </w:rPr>
  </w:style>
  <w:style w:type="character" w:styleId="981" w:customStyle="1">
    <w:name w:val="标题 4 字符"/>
    <w:basedOn w:val="892"/>
    <w:uiPriority w:val="0"/>
    <w:qFormat/>
    <w:rPr>
      <w:rFonts w:hint="eastAsia" w:ascii="宋体" w:hAnsi="宋体" w:eastAsia="宋体" w:cs="Times New Roman"/>
      <w:b/>
      <w:sz w:val="24"/>
      <w:szCs w:val="24"/>
    </w:rPr>
  </w:style>
  <w:style w:type="paragraph" w:styleId="982" w:customStyle="1">
    <w:name w:val="表格内容"/>
    <w:basedOn w:val="888"/>
    <w:uiPriority w:val="0"/>
    <w:qFormat/>
    <w:pPr>
      <w:ind w:left="420"/>
      <w:spacing w:before="156" w:after="156" w:line="300" w:lineRule="auto"/>
    </w:pPr>
    <w:rPr>
      <w:rFonts w:ascii="Times New Roman" w:hAnsi="Times New Roman" w:eastAsia="宋体" w:cs="Times New Roman"/>
      <w:sz w:val="18"/>
      <w:szCs w:val="24"/>
    </w:rPr>
  </w:style>
  <w:style w:type="character" w:styleId="983" w:customStyle="1">
    <w:name w:val="标题 3 字符"/>
    <w:basedOn w:val="892"/>
    <w:uiPriority w:val="0"/>
    <w:qFormat/>
    <w:rPr>
      <w:rFonts w:hint="eastAsia" w:ascii="宋体" w:hAnsi="宋体" w:eastAsia="宋体" w:cs="Times New Roman"/>
      <w:b/>
      <w:bCs/>
      <w:sz w:val="24"/>
      <w:szCs w:val="24"/>
    </w:rPr>
  </w:style>
  <w:style w:type="character" w:styleId="984" w:customStyle="1">
    <w:name w:val="标题 1 字符"/>
    <w:basedOn w:val="892"/>
    <w:uiPriority w:val="0"/>
    <w:qFormat/>
    <w:rPr>
      <w:rFonts w:hint="eastAsia" w:ascii="宋体" w:hAnsi="宋体" w:eastAsia="宋体" w:cs="Times New Roman"/>
      <w:b/>
      <w:bCs/>
      <w:sz w:val="36"/>
      <w:szCs w:val="36"/>
    </w:rPr>
  </w:style>
  <w:style w:type="character" w:styleId="985" w:customStyle="1">
    <w:name w:val="标题 9 字符"/>
    <w:basedOn w:val="892"/>
    <w:uiPriority w:val="0"/>
    <w:qFormat/>
    <w:rPr>
      <w:rFonts w:hint="default" w:ascii="Arial" w:hAnsi="Arial" w:eastAsia="黑体" w:cs="Times New Roman"/>
      <w:sz w:val="22"/>
      <w:szCs w:val="20"/>
    </w:rPr>
  </w:style>
  <w:style w:type="character" w:styleId="986" w:customStyle="1">
    <w:name w:val="标题 8 字符"/>
    <w:basedOn w:val="892"/>
    <w:uiPriority w:val="0"/>
    <w:qFormat/>
    <w:rPr>
      <w:rFonts w:hint="default" w:ascii="Arial" w:hAnsi="Arial" w:eastAsia="黑体" w:cs="Times New Roman"/>
      <w:sz w:val="22"/>
      <w:szCs w:val="20"/>
    </w:rPr>
  </w:style>
  <w:style w:type="character" w:styleId="987" w:customStyle="1">
    <w:name w:val="[正文行首缩进] Char"/>
    <w:basedOn w:val="892"/>
    <w:link w:val="988"/>
    <w:uiPriority w:val="0"/>
    <w:qFormat/>
    <w:rPr>
      <w:rFonts w:hint="eastAsia" w:ascii="宋体" w:hAnsi="宋体" w:eastAsia="宋体" w:cs="宋体"/>
      <w:color w:val="000000"/>
      <w:sz w:val="24"/>
      <w:szCs w:val="24"/>
    </w:rPr>
  </w:style>
  <w:style w:type="paragraph" w:styleId="988" w:customStyle="1">
    <w:name w:val="[正文行首缩进]"/>
    <w:basedOn w:val="888"/>
    <w:link w:val="987"/>
    <w:uiPriority w:val="0"/>
    <w:qFormat/>
    <w:pPr>
      <w:jc w:val="center"/>
      <w:spacing w:line="360" w:lineRule="auto"/>
    </w:pPr>
    <w:rPr>
      <w:rFonts w:hint="eastAsia" w:ascii="宋体" w:hAnsi="等线" w:eastAsia="等线" w:cs="Times New Roman"/>
      <w:color w:val="000000"/>
      <w:sz w:val="24"/>
      <w:szCs w:val="24"/>
    </w:rPr>
  </w:style>
  <w:style w:type="character" w:styleId="989" w:customStyle="1">
    <w:name w:val="正文缩进 字符"/>
    <w:basedOn w:val="892"/>
    <w:uiPriority w:val="0"/>
    <w:qFormat/>
    <w:rPr>
      <w:sz w:val="24"/>
    </w:rPr>
  </w:style>
  <w:style w:type="character" w:styleId="990" w:customStyle="1">
    <w:name w:val="文档结构图 字符"/>
    <w:basedOn w:val="892"/>
    <w:link w:val="896"/>
    <w:uiPriority w:val="0"/>
    <w:qFormat/>
    <w:rPr>
      <w:rFonts w:hint="eastAsia" w:ascii="Microsoft YaHei UI" w:hAnsi="Microsoft YaHei UI" w:eastAsia="Microsoft YaHei UI" w:cs="Microsoft YaHei UI"/>
      <w:sz w:val="18"/>
      <w:szCs w:val="18"/>
    </w:rPr>
  </w:style>
  <w:style w:type="character" w:styleId="991" w:customStyle="1">
    <w:name w:val="标题 字符"/>
    <w:basedOn w:val="892"/>
    <w:link w:val="913"/>
    <w:uiPriority w:val="0"/>
    <w:qFormat/>
    <w:rPr>
      <w:rFonts w:ascii="等线 Light" w:hAnsi="等线 Light" w:eastAsia="等线 Light" w:cs="Times New Roman"/>
      <w:b/>
      <w:bCs/>
      <w:sz w:val="32"/>
      <w:szCs w:val="32"/>
    </w:rPr>
  </w:style>
  <w:style w:type="character" w:styleId="992" w:customStyle="1">
    <w:name w:val="标题 2 字符"/>
    <w:basedOn w:val="892"/>
    <w:uiPriority w:val="0"/>
    <w:qFormat/>
    <w:rPr>
      <w:rFonts w:hint="eastAsia" w:ascii="宋体" w:hAnsi="宋体" w:eastAsia="宋体" w:cs="Times New Roman"/>
      <w:b/>
      <w:bCs/>
      <w:sz w:val="28"/>
      <w:szCs w:val="32"/>
    </w:rPr>
  </w:style>
  <w:style w:type="character" w:styleId="993" w:customStyle="1">
    <w:name w:val="标题 7 字符"/>
    <w:basedOn w:val="892"/>
    <w:uiPriority w:val="0"/>
    <w:qFormat/>
    <w:rPr>
      <w:rFonts w:hint="default" w:ascii="Times New Roman" w:hAnsi="Times New Roman" w:eastAsia="宋体" w:cs="Times New Roman"/>
      <w:b/>
      <w:sz w:val="22"/>
      <w:szCs w:val="20"/>
    </w:rPr>
  </w:style>
  <w:style w:type="paragraph" w:styleId="994" w:customStyle="1">
    <w:name w:val="表格标题"/>
    <w:basedOn w:val="888"/>
    <w:uiPriority w:val="0"/>
    <w:qFormat/>
    <w:pPr>
      <w:jc w:val="center"/>
      <w:spacing w:before="62" w:after="62" w:line="360" w:lineRule="auto"/>
    </w:pPr>
    <w:rPr>
      <w:rFonts w:hint="eastAsia" w:ascii="宋体" w:hAnsi="宋体" w:eastAsia="宋体" w:cs="Times New Roman"/>
      <w:b/>
      <w:bCs/>
      <w:szCs w:val="20"/>
    </w:rPr>
  </w:style>
  <w:style w:type="table" w:styleId="995" w:customStyle="1">
    <w:name w:val="Table Normal"/>
    <w:basedOn w:val="893"/>
    <w:uiPriority w:val="0"/>
    <w:semiHidden/>
    <w:qFormat/>
    <w:pPr>
      <w:widowControl w:val="off"/>
    </w:pPr>
    <w:rPr>
      <w:rFonts w:hint="eastAsia"/>
      <w:sz w:val="22"/>
      <w:szCs w:val="22"/>
      <w:lang w:eastAsia="en-US"/>
    </w:rPr>
    <w:tblPr>
      <w:tblCellMar>
        <w:left w:w="0" w:type="dxa"/>
        <w:right w:w="0" w:type="dxa"/>
      </w:tblCellMar>
    </w:tblPr>
  </w:style>
  <w:style w:type="paragraph" w:styleId="996"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997" w:customStyle="1">
    <w:name w:val="正文文本首行缩进 字符"/>
    <w:uiPriority w:val="0"/>
    <w:qFormat/>
    <w:rPr>
      <w:rFonts w:hint="default" w:ascii="Calibri" w:hAnsi="Calibri" w:eastAsia="宋体" w:cs="Times New Roman"/>
      <w:sz w:val="21"/>
      <w:szCs w:val="22"/>
    </w:rPr>
  </w:style>
  <w:style w:type="paragraph" w:styleId="998" w:customStyle="1">
    <w:name w:val="表正文"/>
    <w:basedOn w:val="888"/>
    <w:uiPriority w:val="0"/>
    <w:qFormat/>
    <w:rPr>
      <w:rFonts w:hint="eastAsia" w:ascii="等线" w:hAnsi="等线" w:eastAsia="宋体" w:cs="Times New Roman"/>
      <w:sz w:val="18"/>
    </w:rPr>
  </w:style>
  <w:style w:type="paragraph" w:styleId="999"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1000" w:customStyle="1">
    <w:name w:val="列出段落 Char"/>
    <w:basedOn w:val="892"/>
    <w:uiPriority w:val="0"/>
    <w:qFormat/>
    <w:rPr>
      <w:rFonts w:hint="eastAsia" w:ascii="Arial Unicode MS" w:hAnsi="Arial Unicode MS" w:eastAsia="Arial Unicode MS" w:cs="Arial Unicode MS"/>
      <w:color w:val="000000"/>
      <w:sz w:val="20"/>
      <w:szCs w:val="20"/>
      <w:lang w:eastAsia="en-US"/>
    </w:rPr>
  </w:style>
  <w:style w:type="character" w:styleId="1001" w:customStyle="1">
    <w:name w:val="标题 2 字符2"/>
    <w:basedOn w:val="892"/>
    <w:uiPriority w:val="0"/>
    <w:qFormat/>
    <w:rPr>
      <w:rFonts w:hint="default" w:ascii="Arial" w:hAnsi="Arial" w:eastAsia="黑体" w:cs="Arial"/>
      <w:b/>
      <w:bCs/>
      <w:sz w:val="32"/>
      <w:szCs w:val="32"/>
    </w:rPr>
  </w:style>
  <w:style w:type="paragraph" w:styleId="1002"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1003"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1004" w:customStyle="1">
    <w:name w:val="标题 2 字符3"/>
    <w:basedOn w:val="892"/>
    <w:link w:val="890"/>
    <w:uiPriority w:val="0"/>
    <w:qFormat/>
    <w:rPr>
      <w:rFonts w:hint="default" w:ascii="Arial" w:hAnsi="Arial" w:eastAsia="黑体" w:cs="Arial"/>
      <w:b/>
      <w:bCs/>
      <w:sz w:val="32"/>
      <w:szCs w:val="32"/>
    </w:rPr>
  </w:style>
  <w:style w:type="character" w:styleId="1005" w:customStyle="1">
    <w:name w:val="列出段落 Char1"/>
    <w:basedOn w:val="892"/>
    <w:uiPriority w:val="0"/>
    <w:qFormat/>
    <w:rPr>
      <w:rFonts w:hint="eastAsia" w:ascii="Arial Unicode MS" w:hAnsi="Arial Unicode MS" w:eastAsia="Arial Unicode MS" w:cs="Arial Unicode MS"/>
      <w:color w:val="000000"/>
      <w:sz w:val="20"/>
      <w:szCs w:val="20"/>
      <w:lang w:eastAsia="en-US"/>
    </w:rPr>
  </w:style>
  <w:style w:type="paragraph" w:styleId="1006"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1007"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1008" w:customStyle="1">
    <w:name w:val="Table Text"/>
    <w:basedOn w:val="888"/>
    <w:hidden/>
    <w:uiPriority w:val="0"/>
    <w:qFormat/>
    <w:pPr>
      <w:jc w:val="left"/>
      <w:widowControl/>
    </w:pPr>
    <w:rPr>
      <w:rFonts w:hint="eastAsia" w:ascii="宋体" w:hAnsi="宋体" w:eastAsia="宋体" w:cs="Times New Roman"/>
      <w:color w:val="000000"/>
      <w:szCs w:val="21"/>
    </w:rPr>
  </w:style>
  <w:style w:type="paragraph" w:styleId="1009"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1010"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1011" w:customStyle="1">
    <w:name w:val="纯文本 字符1"/>
    <w:basedOn w:val="892"/>
    <w:uiPriority w:val="0"/>
    <w:qFormat/>
    <w:rPr>
      <w:rFonts w:hint="eastAsia" w:ascii="宋体" w:hAnsi="Courier New" w:eastAsia="宋体" w:cs="Courier New"/>
      <w:szCs w:val="24"/>
    </w:rPr>
  </w:style>
  <w:style w:type="paragraph" w:styleId="1012"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1013" w:customStyle="1">
    <w:name w:val="段"/>
    <w:basedOn w:val="888"/>
    <w:next w:val="888"/>
    <w:uiPriority w:val="0"/>
    <w:qFormat/>
    <w:pPr>
      <w:ind w:firstLine="200"/>
      <w:spacing w:line="360" w:lineRule="auto"/>
      <w:widowControl/>
    </w:pPr>
    <w:rPr>
      <w:rFonts w:hint="eastAsia" w:ascii="宋体" w:hAnsi="Times New Roman" w:eastAsia="宋体" w:cs="Times New Roman"/>
      <w:sz w:val="24"/>
    </w:rPr>
  </w:style>
  <w:style w:type="paragraph" w:styleId="1014"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1015"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1016"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1017"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1018" w:customStyle="1">
    <w:name w:val="正文文本首行缩进 2 字符"/>
    <w:uiPriority w:val="0"/>
    <w:qFormat/>
    <w:rPr>
      <w:sz w:val="21"/>
      <w:szCs w:val="24"/>
    </w:rPr>
  </w:style>
  <w:style w:type="paragraph" w:styleId="1019" w:customStyle="1">
    <w:name w:val="qq正文"/>
    <w:basedOn w:val="888"/>
    <w:uiPriority w:val="0"/>
    <w:qFormat/>
    <w:pPr>
      <w:ind w:firstLine="200"/>
      <w:spacing w:line="360" w:lineRule="auto"/>
    </w:pPr>
    <w:rPr>
      <w:rFonts w:ascii="Times New Roman" w:hAnsi="Times New Roman" w:eastAsia="宋体" w:cs="Times New Roman"/>
      <w:sz w:val="24"/>
      <w:szCs w:val="24"/>
    </w:rPr>
  </w:style>
  <w:style w:type="paragraph" w:styleId="1020"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1021"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1022"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1023"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1024" w:customStyle="1">
    <w:name w:val="修订31"/>
    <w:hidden/>
    <w:uiPriority w:val="99"/>
    <w:unhideWhenUsed/>
    <w:qFormat/>
    <w:rPr>
      <w:rFonts w:asciiTheme="minorHAnsi" w:hAnsiTheme="minorHAnsi" w:eastAsiaTheme="minorEastAsia" w:cstheme="minorBidi"/>
      <w:sz w:val="21"/>
      <w:szCs w:val="22"/>
      <w:lang w:val="en-US" w:eastAsia="zh-CN" w:bidi="ar-SA"/>
    </w:rPr>
  </w:style>
  <w:style w:type="table" w:styleId="1025" w:customStyle="1">
    <w:name w:val="网格型18"/>
    <w:uiPriority w:val="59"/>
    <w:qFormat/>
    <w:rPr>
      <w:rFonts w:ascii="Arial" w:hAnsi="Arial"/>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026" w:customStyle="1">
    <w:name w:val="修订32"/>
    <w:hidden/>
    <w:uiPriority w:val="99"/>
    <w:unhideWhenUsed/>
    <w:qFormat/>
    <w:rPr>
      <w:rFonts w:asciiTheme="minorHAnsi" w:hAnsiTheme="minorHAnsi" w:eastAsiaTheme="minorEastAsia" w:cstheme="minorBidi"/>
      <w:sz w:val="21"/>
      <w:szCs w:val="22"/>
      <w:lang w:val="en-US" w:eastAsia="zh-CN" w:bidi="ar-SA"/>
    </w:rPr>
  </w:style>
  <w:style w:type="paragraph" w:styleId="1027" w:customStyle="1">
    <w:name w:val="Revision"/>
    <w:hidden/>
    <w:uiPriority w:val="99"/>
    <w:semiHidden/>
    <w:qFormat/>
    <w:rPr>
      <w:rFonts w:asciiTheme="minorHAnsi" w:hAnsiTheme="minorHAnsi" w:eastAsiaTheme="minorEastAsia" w:cstheme="minorBidi"/>
      <w:sz w:val="21"/>
      <w:szCs w:val="22"/>
      <w:lang w:val="en-US" w:eastAsia="zh-CN" w:bidi="ar-SA"/>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C7812BE-1917-472C-BEB4-D98279C7AFA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90</cp:revision>
  <dcterms:created xsi:type="dcterms:W3CDTF">2026-01-19T02:09:00Z</dcterms:created>
  <dcterms:modified xsi:type="dcterms:W3CDTF">2026-04-07T03:14:36Z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086998F8BC944306B5518EC724AD70CB_13</vt:lpwstr>
  </property>
  <property fmtid="{D5CDD505-2E9C-101B-9397-08002B2CF9AE}" pid="4" name="KSOTemplateDocerSaveRecord">
    <vt:lpwstr>eyJoZGlkIjoiNTE3ODBhODAwYWZlYmM2Zjk2MjA5ZjdiYTk1Y2U0OTQiLCJ1c2VySWQiOiI5NTc1NDY5NDYifQ==</vt:lpwstr>
  </property>
</Properties>
</file>