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2"/>
        </w:rPr>
        <w:t xml:space="preserve">南京鼓楼医院</w:t>
      </w:r>
      <w:r>
        <w:rPr>
          <w:rFonts w:ascii="Times New Roman" w:hAnsi="Times New Roman" w:eastAsia="Times New Roman" w:cs="Times New Roman"/>
          <w:b/>
          <w:color w:val="000000"/>
          <w:sz w:val="32"/>
        </w:rPr>
        <w:t xml:space="preserve">HIS</w:t>
      </w:r>
      <w:r>
        <w:rPr>
          <w:rFonts w:ascii="SimSun" w:hAnsi="SimSun" w:eastAsia="SimSun" w:cs="SimSun"/>
          <w:b/>
          <w:color w:val="000000"/>
          <w:sz w:val="32"/>
        </w:rPr>
        <w:t xml:space="preserve">收费升级改造项目 </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rPr>
          <w:rFonts w:ascii="Times New Roman" w:hAnsi="Times New Roman" w:eastAsia="Times New Roman" w:cs="Times New Roman"/>
          <w:b/>
          <w:color w:val="000000"/>
          <w:sz w:val="30"/>
        </w:rPr>
        <w:t xml:space="preserve">JSZC-320100-JZCG-G2026-0087</w:t>
      </w:r>
      <w:r>
        <w:rPr>
          <w:rFonts w:ascii="SimSun" w:hAnsi="SimSun" w:eastAsia="SimSun" w:cs="SimSun"/>
          <w:b/>
          <w:color w:val="000000"/>
          <w:sz w:val="32"/>
        </w:rPr>
        <w:t xml:space="preserve"> </w:t>
      </w: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南京市公共资源交易中心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5</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0" w:after="0" w:line="113"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r/>
    </w:p>
    <w:p>
      <w:pPr>
        <w:ind w:left="0" w:right="0" w:firstLine="0"/>
        <w:jc w:val="center"/>
        <w:spacing w:before="0" w:after="0" w:line="113" w:lineRule="atLeast"/>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r/>
    </w:p>
    <w:p>
      <w:pPr>
        <w:ind w:left="0" w:right="0" w:firstLine="0"/>
        <w:jc w:val="center"/>
        <w:spacing w:before="0" w:after="0" w:line="113" w:lineRule="atLeast"/>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r>
      <w:r>
        <w:rPr>
          <w:rFonts w:ascii="SimHei" w:hAnsi="SimHei" w:eastAsia="SimHei" w:cs="SimHei"/>
          <w:b/>
          <w:color w:val="000000"/>
          <w:sz w:val="44"/>
          <w:highlight w:val="none"/>
        </w:rPr>
      </w:r>
      <w:r/>
    </w:p>
    <w:p>
      <w:pPr>
        <w:shd w:val="nil"/>
        <w:rPr>
          <w:rFonts w:ascii="SimHei" w:hAnsi="SimHei" w:eastAsia="SimHei" w:cs="SimHei"/>
          <w:b/>
          <w:bCs/>
          <w:color w:val="000000"/>
          <w:sz w:val="44"/>
          <w:szCs w:val="44"/>
          <w:highlight w:val="none"/>
        </w:rPr>
      </w:pPr>
      <w:r>
        <w:rPr>
          <w:rFonts w:ascii="SimHei" w:hAnsi="SimHei" w:eastAsia="SimHei" w:cs="SimHei"/>
          <w:b/>
          <w:color w:val="000000"/>
          <w:sz w:val="44"/>
          <w:highlight w:val="none"/>
        </w:rPr>
        <w:br w:type="page" w:clear="all"/>
      </w:r>
      <w:r>
        <w:rPr>
          <w:rFonts w:ascii="SimHei" w:hAnsi="SimHei" w:eastAsia="SimHei" w:cs="SimHei"/>
          <w:b/>
          <w:color w:val="000000"/>
          <w:sz w:val="44"/>
          <w:highlight w:val="none"/>
        </w:rPr>
      </w:r>
    </w:p>
    <w:p>
      <w:pPr>
        <w:ind w:left="0" w:right="0" w:firstLine="0"/>
        <w:jc w:val="center"/>
        <w:spacing w:before="0" w:after="0" w:line="113" w:lineRule="atLeast"/>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5"/>
        </w:numPr>
        <w:jc w:val="center"/>
        <w:spacing w:before="0" w:after="0" w:line="22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2</w:t>
      </w:r>
      <w:r/>
    </w:p>
    <w:p>
      <w:pPr>
        <w:numPr>
          <w:ilvl w:val="0"/>
          <w:numId w:val="5"/>
        </w:numPr>
        <w:jc w:val="center"/>
        <w:spacing w:before="0" w:after="0" w:line="22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4</w:t>
      </w:r>
      <w:r/>
    </w:p>
    <w:p>
      <w:pPr>
        <w:numPr>
          <w:ilvl w:val="0"/>
          <w:numId w:val="5"/>
        </w:numPr>
        <w:jc w:val="center"/>
        <w:spacing w:before="0" w:after="0" w:line="22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合同文本……………………………………14</w:t>
      </w:r>
      <w:r/>
    </w:p>
    <w:p>
      <w:pPr>
        <w:numPr>
          <w:ilvl w:val="0"/>
          <w:numId w:val="5"/>
        </w:numPr>
        <w:jc w:val="center"/>
        <w:spacing w:before="0" w:after="0" w:line="22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采购需求……………………………………17</w:t>
      </w:r>
      <w:r/>
    </w:p>
    <w:p>
      <w:pPr>
        <w:numPr>
          <w:ilvl w:val="0"/>
          <w:numId w:val="5"/>
        </w:numPr>
        <w:jc w:val="center"/>
        <w:spacing w:before="0" w:after="0" w:line="22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评标方法与评标标准………………………22</w:t>
      </w:r>
      <w:r/>
    </w:p>
    <w:p>
      <w:pPr>
        <w:numPr>
          <w:ilvl w:val="0"/>
          <w:numId w:val="5"/>
        </w:numPr>
        <w:jc w:val="center"/>
        <w:spacing w:before="0" w:after="0" w:line="22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投标文件格式………………………………24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74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sz w:val="21"/>
        </w:rPr>
      </w:r>
      <w:r/>
    </w:p>
    <w:p>
      <w:pPr>
        <w:shd w:val="nil"/>
      </w:pPr>
      <w:r>
        <w:rPr>
          <w:rFonts w:ascii="Arial" w:hAnsi="Arial" w:eastAsia="Arial" w:cs="Arial"/>
          <w:color w:val="000000"/>
          <w:sz w:val="36"/>
          <w:highlight w:val="none"/>
        </w:rPr>
        <w:br w:type="page" w:clear="all"/>
      </w:r>
      <w:r>
        <w:rPr>
          <w:rFonts w:ascii="Arial" w:hAnsi="Arial" w:eastAsia="Arial" w:cs="Arial"/>
          <w:color w:val="000000"/>
          <w:sz w:val="36"/>
          <w:highlight w:val="none"/>
        </w:rP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受南京鼓楼医院委托，南京市公共资源交易中心（以下简称“交易中心”）就HIS收费升级改造项目进行公开招标采购，欢迎符合条件的供应商投标。</w:t>
      </w:r>
      <w:r/>
    </w:p>
    <w:p>
      <w:pPr>
        <w:pStyle w:val="847"/>
        <w:ind w:left="0" w:right="0" w:firstLine="465"/>
        <w:jc w:val="both"/>
        <w:spacing w:before="145" w:after="145"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1.项目编号：JSZC-320100-JZCG-G2026-0087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2.项目名称：南京鼓楼医院HIS收费升级改造项目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3.预算金额：58万元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4.最高限价：50万元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5.采购需求（简介）：对现有HIS收费系统在医保政策动态适配、费用合规风控、多场景结算效率等方面全流程优化升级。（详细内容见本招标文件第四章）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6.合同履行期限：90天（系统开发及验收时间为合同签订后90天内）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8.本项目不接受进口产品投标。</w:t>
      </w:r>
      <w:r/>
    </w:p>
    <w:p>
      <w:pPr>
        <w:pStyle w:val="847"/>
        <w:ind w:left="0" w:right="0" w:firstLine="465"/>
        <w:jc w:val="both"/>
        <w:spacing w:before="145" w:after="145"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1.1供应商信用承诺函（格式见第六章）。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（二）本项目的特定资格要求：无</w:t>
      </w:r>
      <w:r/>
    </w:p>
    <w:p>
      <w:pPr>
        <w:pStyle w:val="847"/>
        <w:ind w:left="0" w:right="0" w:firstLine="465"/>
        <w:jc w:val="both"/>
        <w:spacing w:before="145" w:after="145"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2.方式：在“江苏政府采购网”免费下载。</w:t>
      </w:r>
      <w:r/>
    </w:p>
    <w:p>
      <w:pPr>
        <w:pStyle w:val="847"/>
        <w:ind w:left="0" w:right="0" w:firstLine="465"/>
        <w:jc w:val="both"/>
        <w:spacing w:before="145" w:after="145"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themeColor="text1"/>
          <w:sz w:val="24"/>
        </w:rPr>
        <w:t xml:space="preserve">：</w:t>
      </w:r>
      <w:r>
        <w:rPr>
          <w:rFonts w:ascii="SimSun" w:hAnsi="SimSun" w:eastAsia="SimSun" w:cs="SimSun"/>
          <w:color w:val="000000" w:themeColor="text1"/>
          <w:sz w:val="24"/>
        </w:rPr>
        <w:t xml:space="preserve">2026年6月3日14时00分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pStyle w:val="847"/>
        <w:ind w:left="0" w:right="0" w:firstLine="465"/>
        <w:jc w:val="both"/>
        <w:spacing w:before="145" w:after="145"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公告期限为自本公告发布之日起5个工作日。</w:t>
      </w:r>
      <w:r/>
    </w:p>
    <w:p>
      <w:pPr>
        <w:pStyle w:val="847"/>
        <w:ind w:left="0" w:right="0" w:firstLine="465"/>
        <w:jc w:val="both"/>
        <w:spacing w:before="145" w:after="145"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2.本项目不组织勘察及答疑，供应商如对采购需求有疑问，请咨询采购单位联系人。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4.有关本次招标的事项若存在变动或修改，请及时关注“江苏政府采购网”（www.ccgp-jiangsu.gov.cn）更正公告。</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采购人《质疑函》收件人：黄老师，收件地址：南京市玄武区双龙巷5号4楼410（南京鼓楼医院医用物资采购中心），联系电话：025-83105006。</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交易中心《质疑函》收件人：南京市公共资源交易中心政府集中采购处，收件地址：南京市江东中路265号南京市公共资源交易中心北门，联系电话：025-68505926。</w:t>
      </w:r>
      <w:r/>
    </w:p>
    <w:p>
      <w:pPr>
        <w:pStyle w:val="847"/>
        <w:ind w:left="0" w:right="0" w:firstLine="465"/>
        <w:jc w:val="both"/>
        <w:spacing w:before="145" w:after="145"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名称：南京鼓楼医院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地址：南京市鼓楼区中山路321号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联系人：黄老师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联系电话：025-83105006</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2.交易中心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地址：南京市建邺区江东中路265号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联系人：杨先生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联系电话：025-68505993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第二章投标人须知</w:t>
      </w:r>
      <w:r/>
    </w:p>
    <w:p>
      <w:pPr>
        <w:pStyle w:val="847"/>
        <w:ind w:left="0" w:right="0" w:firstLine="465"/>
        <w:jc w:val="both"/>
        <w:spacing w:before="145" w:after="145"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一、总则</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1.招标方式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本次招标采取公开招标方式，本文件仅适用于招标公告中所述项目。</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2.合格的投标人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满足招标公告对供应商资格要求的规定。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满足招标文件规定的实质性要求和条件。</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4.投标费用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投标人应自行承担所有与参加投标有关的费用，无论投标过程中的做法和结果如何，交易中心在任何情况下均无义务和责任承担这些费用。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本次招标交易中心和采购人不收取标书工本费与中标服务费。</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投标人一旦参加本项目采购活动，即被认为接受了本文件的规定和约束。</w:t>
      </w:r>
      <w:r/>
    </w:p>
    <w:p>
      <w:pPr>
        <w:pStyle w:val="847"/>
        <w:ind w:left="0" w:right="0" w:firstLine="465"/>
        <w:jc w:val="both"/>
        <w:spacing w:before="145" w:after="145"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二、招标文件</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6.招标文件构成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投标人应仔细检查招标文件是否齐全，如有缺漏请立即与交易中心联系。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7.招标文件的澄清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任何要求对招标文件进行澄清的投标人，应在投标截止期十日前按招标公告中的通信地址，以书面形式通知交易中心。</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8.招标文件的修改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交易中心有权按照法定的要求推迟投标截止日期和开标日期，并在原公告媒体发布更正公告。</w:t>
      </w:r>
      <w:r/>
    </w:p>
    <w:p>
      <w:pPr>
        <w:pStyle w:val="847"/>
        <w:ind w:left="0" w:right="0" w:firstLine="465"/>
        <w:jc w:val="both"/>
        <w:spacing w:before="145" w:after="145"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9.投标文件的语言及度量衡单位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投标人提交的投标文件以及投标人与交易中心就有关投标的所有来往通知、函件和文件均应使用简体中文。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10.投标文件构成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11.证明投标人及投标标的符合招标文件规定的文件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12.投标分项报价表（如有）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投标文件中的单价和总价无特殊规定的采用人民币报价，以元为单位标注。招标文件另有规定的按规定执行。</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14.投标函和开标一览表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对于采用货币报价的项目，开标一览表中的投标总报价应与投标分项报价表中的投标总报价一致，如不一致评标时以开标一览表中价格为准。</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16.投标有效期的延长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847"/>
        <w:ind w:left="0" w:right="0" w:firstLine="465"/>
        <w:jc w:val="both"/>
        <w:spacing w:before="145" w:after="145"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四、投标文件的递交</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17.投标文件的递交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投标人应充分考虑网络环境、网络带宽等因素可能对投标产生的影响，如因投标人自身原因造成的电子投标文件上传不成功的，按照本招标文件第二章第25.1条规定作无效投标处理。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交易中心可以按照规定，通过修改招标文件酌情延长投标截止时间，在此情况下，投标人的所有权利和义务均以延长后新的截止时间为准。</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18.投标文件的拒收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投标截止时间后上传的任何投标文件将被拒绝。</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19.投标文件的撤回和修改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pStyle w:val="847"/>
        <w:ind w:left="0" w:right="0" w:firstLine="465"/>
        <w:jc w:val="both"/>
        <w:spacing w:before="145" w:after="145"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20.开标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交易中心在招标公告中规定的时间和地点组织公开开标。投标人按照《操作手册》规定参加开标活动，并在苏采云系统规定的时间内对投标文件进行解密。苏采云系统公布各投标人名称和投标价格。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21.评标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评标由依法组建的评标委员会（以下简称“评委会”）进行。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评委会由采购人代表和有关方面专家组成，人员构成符合政府采购有关规定。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22.评标过程的保密与公正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凡是与审查、澄清、评价和比较投标的有关资料以及授标建议等，采购人、评委、交易中心均不得向投标人或与评标无关的其他人员透露。</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交易中心和评委会不向未中标的投标人解释未中标原因，也不公布评标过程中的相关细节。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23.投标文件的澄清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24.投标文件的审查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未通过资格审查或符合性审查的投标人，交易中心将通过苏采云系统告知其具体原因，评标结束后不再接受有关询问。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 投标人在开、评标全过程中应保持通讯畅通，及时登录苏采云系统查阅、答复相关信息，并安排专人与交易中心及评委会联系。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 异常低价审查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24.7.1评标过程中出现下列情形之一的，评委会应当启动异常低价审查程序：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（1）投标报价低于全部通过符合性审查供应商投标报价平均值</w:t>
      </w:r>
      <w:r>
        <w:rPr>
          <w:rFonts w:ascii="SimSun" w:hAnsi="SimSun" w:eastAsia="SimSun" w:cs="SimSun"/>
          <w:color w:val="000000"/>
          <w:sz w:val="24"/>
          <w:u w:val="single"/>
        </w:rPr>
        <w:t xml:space="preserve">65%</w:t>
      </w:r>
      <w:r>
        <w:rPr>
          <w:rFonts w:ascii="SimSun" w:hAnsi="SimSun" w:eastAsia="SimSun" w:cs="SimSun"/>
          <w:color w:val="000000"/>
          <w:sz w:val="24"/>
        </w:rPr>
        <w:t xml:space="preserve">的，即投标报价&lt;全部通过符合性审查供应商投标报价平均值×</w:t>
      </w:r>
      <w:r>
        <w:rPr>
          <w:rFonts w:ascii="SimSun" w:hAnsi="SimSun" w:eastAsia="SimSun" w:cs="SimSun"/>
          <w:color w:val="000000"/>
          <w:sz w:val="24"/>
          <w:u w:val="single"/>
        </w:rPr>
        <w:t xml:space="preserve">65%</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（2）投标报价低于通过符合性审查的次低报价供应商投标报价</w:t>
      </w:r>
      <w:r>
        <w:rPr>
          <w:rFonts w:ascii="SimSun" w:hAnsi="SimSun" w:eastAsia="SimSun" w:cs="SimSun"/>
          <w:color w:val="000000"/>
          <w:sz w:val="24"/>
          <w:u w:val="single"/>
        </w:rPr>
        <w:t xml:space="preserve">65%</w:t>
      </w:r>
      <w:r>
        <w:rPr>
          <w:rFonts w:ascii="SimSun" w:hAnsi="SimSun" w:eastAsia="SimSun" w:cs="SimSun"/>
          <w:color w:val="000000"/>
          <w:sz w:val="24"/>
        </w:rPr>
        <w:t xml:space="preserve">的，即投标报价&lt;通过符合性审查的次低报价供应商投标报价×</w:t>
      </w:r>
      <w:r>
        <w:rPr>
          <w:rFonts w:ascii="SimSun" w:hAnsi="SimSun" w:eastAsia="SimSun" w:cs="SimSun"/>
          <w:color w:val="000000"/>
          <w:sz w:val="24"/>
          <w:u w:val="single"/>
        </w:rPr>
        <w:t xml:space="preserve">65%</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w:t>
      </w:r>
      <w:r>
        <w:rPr>
          <w:rFonts w:ascii="SimSun" w:hAnsi="SimSun" w:eastAsia="SimSun" w:cs="SimSun"/>
          <w:color w:val="000000"/>
          <w:sz w:val="24"/>
          <w:u w:val="single"/>
        </w:rPr>
        <w:t xml:space="preserve">65%</w:t>
      </w:r>
      <w:r>
        <w:rPr>
          <w:rFonts w:ascii="SimSun" w:hAnsi="SimSun" w:eastAsia="SimSun" w:cs="SimSun"/>
          <w:color w:val="000000"/>
          <w:sz w:val="24"/>
        </w:rPr>
        <w:t xml:space="preserve">的，即投标报价&lt;采购项目最高限价×</w:t>
      </w:r>
      <w:r>
        <w:rPr>
          <w:rFonts w:ascii="SimSun" w:hAnsi="SimSun" w:eastAsia="SimSun" w:cs="SimSun"/>
          <w:color w:val="000000"/>
          <w:sz w:val="24"/>
          <w:u w:val="single"/>
        </w:rPr>
        <w:t xml:space="preserve">65%；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（4）评委会基于专业判断，认为供应商报价过低，有可能影响产品质量或者不能诚信履约的其他情形。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25.无效投标和废标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投标人不具备招标文件中规定资格要求。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投标人的报价超过了采购预算或最高限价或单价上限。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不符合招标文件中实质性要求和条件的（</w:t>
      </w:r>
      <w:r>
        <w:rPr>
          <w:rFonts w:ascii="SimSun" w:hAnsi="SimSun" w:eastAsia="SimSun" w:cs="SimSun"/>
          <w:b/>
          <w:color w:val="000000"/>
          <w:sz w:val="24"/>
        </w:rPr>
        <w:t xml:space="preserve">本文件中斜体且有下划线部分，或者打“★”内容为实质性要求和条件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评委会按照本招标文件规定对投标人进行异常低价审查后，认为投标人不能证明其报价合理性的。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符合资格条件的供应商或者对招标文件作实质响应的供应商不足三家。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25.4 如出现25.2.1或25.3情形，招标活动失败，评审委员会应对招标文件是否存在不合理条款进行论证，并在评审报告中写明论证意见。</w:t>
      </w:r>
      <w:r/>
    </w:p>
    <w:p>
      <w:pPr>
        <w:pStyle w:val="847"/>
        <w:ind w:left="0" w:right="0" w:firstLine="465"/>
        <w:jc w:val="both"/>
        <w:spacing w:before="145" w:after="145"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26.确定中标单位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按第二种方式确定中标人的，交易中心自评审结束之日起两个工作日内将评审报告送达采购人，采购人自收到评审报告之日起五个工作日内，在评审报告推荐的中标候选人中按顺序确定中标人。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交易中心将在“江苏政府采购网”发布中标公告，公告期限为1个工作日。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向评审专家、采购人或交易中心工作人员行贿或者提供其他不正当利益。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与其他供应商、评审专家、采购人或交易中心工作人员恶意串通。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属于本文件规定的无效投标情形，但在评标过程中未被评委会发现。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27.中标通知书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中标结果确定后，交易中心将向中标人发出《中标通知书》。中标人可在中标结果公告届满之日起三十日内,登录苏采云系统下载。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pStyle w:val="847"/>
        <w:ind w:left="0" w:right="0" w:firstLine="465"/>
        <w:jc w:val="both"/>
        <w:spacing w:before="145" w:after="145"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七、授予合同</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中标人应当在《中标通知书》发出之日起三十日内，按照招标文件确定的事项与采购人签订政府采购合同。采购人于合同签订后2个工作日内通过苏采云系统进行公示。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29.标的物的追加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中标供应商可通过南京市公共资源交易平台网站“小企业融资平台”，选择相应的金融机构办理融资贷款。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847"/>
        <w:ind w:left="0" w:right="0" w:firstLine="465"/>
        <w:jc w:val="both"/>
        <w:spacing w:before="145" w:after="145"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32.供应商认为采购文件、采购过程和采购结果使自己的权益受到损害的，可以在知道或应知其权益受到损害之日起七个工作日内，按照第34条、第35条之规定以书面形式向采购人或交易中心提出质疑。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33.供应商应当在法定质疑期内一次性提出针对同一采购程序环节的质疑。供应商如在法定期限内对同一采购程序环节提出多次质疑的，交易中心或采购人将只对供应商第一次质疑作出答复。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34.供应商提出质疑应提交《质疑函》原件,且尽可能通过邮寄方式送达，交易中心和采购人不接受无运单的快件。《质疑函》应按照本招标文件中《质疑函范本》的格式和内容填写。</w:t>
      </w:r>
      <w:r>
        <w:rPr>
          <w:rFonts w:ascii="SimSun" w:hAnsi="SimSun" w:eastAsia="SimSun" w:cs="SimSun"/>
          <w:b/>
          <w:color w:val="000000"/>
          <w:sz w:val="24"/>
        </w:rPr>
        <w:t xml:space="preserve">授权代表负责质疑事宜的，《质疑函》附件中应提交由质疑供应商法定代表人或主要负责人签署的《授权委托书》。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供应商如组成联合体参加采购活动，《质疑函范本》中要求加盖公章之处，联合体各方均须按要求加盖公章。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rPr>
          <w:rFonts w:ascii="SimSun" w:hAnsi="SimSun" w:eastAsia="SimSun" w:cs="SimSun"/>
          <w:b/>
          <w:color w:val="000000"/>
          <w:sz w:val="24"/>
        </w:rPr>
        <w:t xml:space="preserve">供应商根据质疑事项向相应的质疑答复主体提出质疑，具体详见采购文件第一章。由采购人负责答复的质疑，采购人将《质疑函》《质疑答复函》抄送交易中心。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属于第33条规定的对同一采购程序环节提出的多次质疑；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法律法规规定的其他不予受理情形。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7"/>
        <w:ind w:left="0" w:right="0" w:firstLine="465"/>
        <w:jc w:val="both"/>
        <w:spacing w:before="145" w:after="145"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pStyle w:val="848"/>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本项目服务由中小企业承接的，投标供应商享受中小企业扶持政策。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pStyle w:val="848"/>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39.节能环保产品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848"/>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40.绿色采购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48"/>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41.创新产品采购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42.网络产品、市场准入类产品采购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47"/>
        <w:ind w:left="0" w:right="0" w:firstLine="422"/>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43.实施本国产品标准及相关政策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43.2本国产品应当符合以下条件：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（2）在中国境内生产的组件成本占比达到规定比例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（3）特定产品的关键组件、关键工序符合相关要求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43.3本国产品标准的适用范围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43.4对本国产品的支持政策</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本项目如既有本国产品又有非本国产品参与竞争，依法对本国产品给予价格评审优惠，具体详见第五章。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43.5政策执行要求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（1）产品在中国境内生产的组件成本核算规则。产品在中国境内生产的组件成本，按照《中国境内生产的组件成本核算基本规则》计算，详见</w:t>
      </w:r>
      <w:r>
        <w:rPr>
          <w:rFonts w:ascii="SimSun" w:hAnsi="SimSun" w:eastAsia="SimSun" w:cs="SimSun"/>
          <w:color w:val="333333"/>
          <w:sz w:val="24"/>
          <w:highlight w:val="white"/>
        </w:rPr>
        <w:t xml:space="preserve">《国务院办公厅关于在政府采购中实施本国产品标准及相关政策的通知》（国办发〔2025〕34号）规定。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（2）有关证明文件。</w:t>
      </w:r>
      <w:r>
        <w:rPr>
          <w:rFonts w:ascii="SimSun" w:hAnsi="SimSun" w:eastAsia="SimSun" w:cs="SimSun"/>
          <w:b/>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48"/>
        <w:ind w:left="0" w:right="0" w:firstLine="42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44.数据交易说明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数据交易标的包括数据产品、数据服务、数据工具。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数据产品是指用于交易的数据和数据衍生产品，包括但不限于数据集、数据分析报告、数据可视化产品、数据指数、API 数据、加密数据等。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数据服务是指提供数据收集、存储、使用、加工、传输等服务，包括但不限于数据采集和预处理服务、数据建模、分析处理服务、数据可视化服务、数据安全服务等。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数据工具是指可实现数据服务的软硬件工具，包括但不限于数据存储和管理工具、数据采集工具、数据清洗工具、数据分析工具、数据可视化工具、数据安全工具等。</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第三章合同文本</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以下为本项目的合同条款，合同双方不得对招标、投标文件内容作实质性修改。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南京市政府采购合同（服务）</w:t>
      </w:r>
      <w:r/>
    </w:p>
    <w:p>
      <w:pPr>
        <w:ind w:left="0" w:right="0" w:firstLine="0"/>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0"/>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甲、乙双方根据南京市公共资源交易中心组织的</w:t>
      </w:r>
      <w:r>
        <w:rPr>
          <w:rFonts w:ascii="Times New Roman" w:hAnsi="Times New Roman" w:eastAsia="Times New Roman" w:cs="Times New Roman"/>
          <w:color w:val="000000"/>
          <w:sz w:val="24"/>
        </w:rPr>
        <w:t xml:space="preserve">____________________</w:t>
      </w:r>
      <w:r>
        <w:rPr>
          <w:rFonts w:ascii="SimSun" w:hAnsi="SimSun" w:eastAsia="SimSun" w:cs="SimSun"/>
          <w:color w:val="000000"/>
          <w:sz w:val="24"/>
        </w:rPr>
        <w:t xml:space="preserve">项目公开招标结果，签署本合同。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一、合同内容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标的质量：按招标文件及投标文件执行。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标的数量（规模）：按招标文件及投标文件执行。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履行时间（期限）：按招标文件及投标文件执行。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履行地点：甲方指定地点。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履行方式：按招标文件及投标文件执行。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包装方式：按招标文件及投标文件执行。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二、合同金额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本合同金额为：人民币____________________元，（大写：_____________________）。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三、技术资料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乙方应按招标文件规定的时间向甲方提供服务（包含与服务相关的货物）的有关技术资料。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四、知识产权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五、产权担保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乙方保证所交付的服务（包含与服务相关的货物）的所有权完全属于乙方且无任何抵押、查封等产权瑕疵。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签订合同时，乙方按照合同金额10%缴纳履约保证金。合同履行结束后，甲方按以下约定退还：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退还时间及条件：验收合格且合同履行期结束后5个工作日内。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 退还方式：扣除违约费用后一次性无息退还。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 不予退还的情形：合同约定的交付期内未履约完成、验收不合格、整改不到位等情形。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七、合同转包或分包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乙方不得将合同标的转包给他人履行。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除招标文件接受分包并经甲方同意，乙方可按分包意向协议分包情况外，乙方不得将合同标的分包给他人履行。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乙方如有转包或未经甲方同意的分包行为，甲方有权终止合同。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八、合同款项支付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合同款项的支付方式及时间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合同签订且服务团队人员到位后，甲方支付合同总价款的30%作为预付款。</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系统开发完成并验收合格后，甲方支付合同总价款的70%。</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 满足合同约定支付条件的，甲方收到乙方发票后10个工作日内，将资金支付到合同约定的乙方账户。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根据《保障中小企业款项支付条例》规定，甲方未按合同约定支付款项的，乙方可以向有关部门投诉。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九、税费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本合同执行中的相关税费均由乙方负担。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十、项目验收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如有必要，甲方可邀请参加本项目投标的其他供应商或第三方专业机构及专家参与验收，相关意见将作为验收结论的参考。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十一、违约责任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甲方无正当理由拒绝接受乙方提供服务的，应向乙方偿付拒绝接受服务合同总额</w:t>
      </w:r>
      <w:r>
        <w:rPr>
          <w:rFonts w:ascii="SimSun" w:hAnsi="SimSun" w:eastAsia="SimSun" w:cs="SimSun"/>
          <w:color w:val="000000"/>
          <w:sz w:val="24"/>
          <w:u w:val="single"/>
        </w:rPr>
        <w:t xml:space="preserve">5%   </w:t>
      </w:r>
      <w:r>
        <w:rPr>
          <w:rFonts w:ascii="SimSun" w:hAnsi="SimSun" w:eastAsia="SimSun" w:cs="SimSun"/>
          <w:color w:val="000000"/>
          <w:sz w:val="24"/>
        </w:rPr>
        <w:t xml:space="preserve">的违约金。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甲方无故逾期验收和办理支付手续的，应按逾期付款总额每日</w:t>
      </w:r>
      <w:r>
        <w:rPr>
          <w:rFonts w:ascii="SimSun" w:hAnsi="SimSun" w:eastAsia="SimSun" w:cs="SimSun"/>
          <w:color w:val="000000"/>
          <w:sz w:val="24"/>
          <w:u w:val="single"/>
        </w:rPr>
        <w:t xml:space="preserve">5‰</w:t>
      </w:r>
      <w:r>
        <w:rPr>
          <w:rFonts w:ascii="SimSun" w:hAnsi="SimSun" w:eastAsia="SimSun" w:cs="SimSun"/>
          <w:color w:val="000000"/>
          <w:sz w:val="24"/>
        </w:rPr>
        <w:t xml:space="preserve">向乙方支付违约金，但违约金最高不得超过合同总价的</w:t>
      </w:r>
      <w:r>
        <w:rPr>
          <w:rFonts w:ascii="SimSun" w:hAnsi="SimSun" w:eastAsia="SimSun" w:cs="SimSun"/>
          <w:color w:val="000000"/>
          <w:sz w:val="24"/>
          <w:u w:val="single"/>
        </w:rPr>
        <w:t xml:space="preserve">5</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乙方逾期提供服务的，应按逾期提供服务合同总额每日</w:t>
      </w:r>
      <w:r>
        <w:rPr>
          <w:rFonts w:ascii="SimSun" w:hAnsi="SimSun" w:eastAsia="SimSun" w:cs="SimSun"/>
          <w:color w:val="000000"/>
          <w:sz w:val="24"/>
          <w:u w:val="single"/>
        </w:rPr>
        <w:t xml:space="preserve">5‰</w:t>
      </w:r>
      <w:r>
        <w:rPr>
          <w:rFonts w:ascii="SimSun" w:hAnsi="SimSun" w:eastAsia="SimSun" w:cs="SimSun"/>
          <w:color w:val="000000"/>
          <w:sz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ascii="SimSun" w:hAnsi="SimSun" w:eastAsia="SimSun" w:cs="SimSun"/>
          <w:color w:val="000000"/>
          <w:sz w:val="24"/>
          <w:u w:val="single"/>
        </w:rPr>
        <w:t xml:space="preserve">5%</w:t>
      </w:r>
      <w:r>
        <w:rPr>
          <w:rFonts w:ascii="SimSun" w:hAnsi="SimSun" w:eastAsia="SimSun" w:cs="SimSun"/>
          <w:color w:val="000000"/>
          <w:sz w:val="24"/>
        </w:rPr>
        <w:t xml:space="preserve">的违约金。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乙方所提供服务的标准不符合合同规定及招标文件规定标准的，甲方有权拒绝接受服务，并可单方面解除合同。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十二、不可抗力事件处理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在合同有效期内，任何一方因不可抗力事件导致不能履行合同，则合同履行期可延长，其延长期与不可抗力影响期相同。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十三、解决争议的方法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双方在签订、履行合同中所发生的一切争议，应通过友好协商解决。如协商不成的由甲方住所地人民法院管辖。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十四、合同生效及其它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本合同经双方加盖单位公章后生效。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本合同未尽事宜，遵照《中华人民共和国民法典》《中华人民共和国政府采购法》有关条文执行。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本合同正本一式两份，具有同等法律效力，甲方、乙方各执一份。</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p>
      <w:pPr>
        <w:ind w:left="0" w:right="0" w:firstLine="480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《*******合同》补充协议（合同附件）</w:t>
      </w:r>
      <w:r/>
    </w:p>
    <w:p>
      <w:pPr>
        <w:ind w:left="0" w:right="0" w:firstLine="84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如遇招标文件及合同未约定事项，双方可友好协商签订补充协议。</w:t>
      </w:r>
      <w:r/>
    </w:p>
    <w:p>
      <w:pPr>
        <w:ind w:left="0" w:right="0" w:firstLine="84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第四章采购需求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一、项目属性：</w:t>
      </w:r>
      <w:r>
        <w:rPr>
          <w:rFonts w:ascii="SimSun" w:hAnsi="SimSun" w:eastAsia="SimSun" w:cs="SimSun"/>
          <w:color w:val="000000"/>
          <w:sz w:val="24"/>
        </w:rPr>
        <w:t xml:space="preserve">服务类项目。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二、项目概况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围绕医院HIS收费系统全流程优化升级展开，聚焦医保结算效率、费用风控合规、业务流程精简、患者服务体验四大核心目标，通过编码对照库建设、智能模块开发、业务流程优化、渠道功能拓展等改造工作，解决现有收费系统结算报错率高、办理耗时久、费用管控弱、业务适配性不足等问题，全面提升医院收费管理规范化、智能化、高效化水平，支撑医院医保结算、入院出院、门诊住院全业务高效运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（二）项目建设遵循标准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《公立医院高质量发展评价指标（试行）》</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《医院智慧服务分级评估标准体系（试行）》</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《医院智慧管理分级评估标准体系（试行）》</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《江苏省异地就医结算平台接口规范V3.0》</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《医疗卫生机构网络安全管理办法》</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《医院信息互联互通标准化成熟度测评方案（2020年版）》</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《国家医疗保障局关于积极推进“互联网+”医疗服务医保支付工作的指导意见》</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以上标准及规范如有更新，按更新后的内容执行。</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三、项目清单</w:t>
      </w:r>
      <w:r/>
    </w:p>
    <w:tbl>
      <w:tblPr>
        <w:tblStyle w:val="8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3"/>
        <w:gridCol w:w="1263"/>
        <w:gridCol w:w="702"/>
        <w:gridCol w:w="667"/>
        <w:gridCol w:w="980"/>
        <w:gridCol w:w="991"/>
        <w:gridCol w:w="1233"/>
        <w:gridCol w:w="1019"/>
        <w:gridCol w:w="1051"/>
        <w:gridCol w:w="937"/>
      </w:tblGrid>
      <w:tr>
        <w:trPr>
          <w:trHeight w:val="4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6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0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产品类型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9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单价上限</w:t>
            </w:r>
            <w:r/>
          </w:p>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3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所属行业</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数据交易类型（如有）</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3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政府强制采购节能产品（如有）</w:t>
            </w:r>
            <w:r/>
          </w:p>
        </w:tc>
      </w:tr>
      <w:tr>
        <w:trPr>
          <w:trHeight w:val="5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6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HIS收费升级改造项目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02"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主要产品</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9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3"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1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3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四、拟采购标的需要满足的技术、商务要求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▲1.搭建国家码-中心码-院内码预对照库，优化医保结算匹配</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HIS系统搭建中心码、国家码预对照库，整合药品、诊疗项目等编码，建立“国家码-中心码-院内码”映射关系，支持编码自动更新与人工校验。将预对照库与医保结算模块对接，结算时系统自动调取库内编码匹配，替代人工操作。若遇编码异常即时预警并提示解决方案，减少结算报错率，缩短患者结算等待时间，提升医保结算准确性与效率。</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▲2.建设出院结账费用智能化风险模块，强化费用合规管理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搭建出院结账费用智能风控模块，依据医保政策、医院收费标准，预设伙食费（如单日上限、住院天数匹配）、床位费（如房型对应标准、违规叠加计费）等项目的合规规则。结算时系统自动提取费用数据，与预设规则实时比对，若发现超标准收费、重复计费等违规情况，立即弹窗预警，清晰标注违规类型与原因。工作人员可依据预警信息快速复核调整，同时模块记录违规数据，为后续优化收费规则、加强风险管控提供数据支撑，提升费用管理合规性与准确性。</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3.优化医保电子码，读卡全业务，缩减收费办理时长</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医保电子码、读卡业务进行整体优化，在HIS收费模块整合双渠道识别功能，支持扫码设备快速读取电子码、读卡器自动识别实体卡信息，无需切换操作界面。优化数据传输链路，减少信息校验环节，实现医保身份认证与费用核算同步启动。同时增设异常处理机制，若遇读卡失败或电子码识别异常，系统自动提示排查方案，避免反复操作。通过流程简化与故障快速应对，显著缩减收费环节耗时，提升整体收费效率。</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▲4.新增自费转医保及差额退款功能，优化患者费用结算体验</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HIS系统新增自费转医保功能模块，支持医护人员录入患者医保备案信息，系统自动比对自费费用与医保报销范围，筛选可医保结算项目。同时开发差额退款功能，计算自费金额与医保报销金额的差额后，生成退款申请单，关联患者支付账户信息。模块还将记录业务全流程数据，便于追溯核查，保障资金安全，提升患者费用转换与退款体验。</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▲5.开发门诊退费智能审核模块，实现手工退费前置与患者分流</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在HIS系统开发门诊退费智能审核模块，预设退费合规规则，自动校验费用类型、金额等信息，合规退费直接通过。将手工退费流程前置，需人工审核的退费申请，提前收集材料并预核验。</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6.合并多样化入院途径，缩减入院办理时间</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患者提交入院申请后，系统自动同步病历、检查报告等信息至住院管理模块，无需重复录入。窗口工作人员可通过统一界面快速核验信息、办理入院登记，减少多途径切换操作耗时。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7.建设强退费用智能审核模块，降低违规退费风险</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HIS系统搭建强退费用智能审核模块，预设费用类型、退费金额阈值、退费时限、诊疗关联性等合规审核规则。工作人员发起强退费用申请时，系统自动提取费用数据与规则比对，符合规则的快速自动审批；存在超限额、超时限、违规退费等异常情况，自动标注问题并推送至人工复核岗位。模块全程记录强退费用审核轨迹，支持追溯查询，在减少人工干预的同时，严控违规退费风险，提升强退审核效率与规范性。</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▲8.适配门诊特殊病、生育等特殊医疗类别，拓展自助及线上缴费渠道</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优化HIS系统缴费逻辑，适配门诊特殊病、生育等特殊医疗类别收费规则，开发专属自助缴费功能，自助机端可自动读取患者就诊信息，关联特殊病种费用。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9.配合医院预住院流程改造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医院预住院管理流程要求，完成HIS系统对应功能适配与改造，支撑预住院患者信息登记、费用归集、医保关联、结算衔接等全流程业务。实现预住院与正式住院数据无缝对接，费用、信息同步流转，避免重复录入与结算脱节，保障预住院流程高效落地。</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10.优化HIS划价功能，适配门诊特殊病全业务上线</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级HIS划价模块，新增门诊特殊病划价勾选功能，工作人员划价时可直接勾选门特标识，系统自动匹配门特收费、医保结算规则。完成划价功能与门诊特殊病挂号、结算、报销、缴费等全流程功能适配，支撑门诊特殊病全业务顺利上线运行。</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w:t>
      </w:r>
      <w:r>
        <w:rPr>
          <w:rFonts w:ascii="SimSun" w:hAnsi="SimSun" w:eastAsia="SimSun" w:cs="SimSun"/>
          <w:color w:val="000000"/>
          <w:sz w:val="24"/>
        </w:rPr>
        <w:t xml:space="preserve">（二）商务要求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（2）供应商的任何错漏、优惠、竞争性报价不得作为减轻责任、减少服务、增加收费、降低服务质量的理由。</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（3）供应商报价除包含招标文件中列明的项目外还应包括保障服务正常运行应当具有的物资和服务，对服务正常运行应当具有的物资和服务理解不一致的以采购单位理解为准。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①供应商提供的系统能够根据采购人实际需求与医院各院区所有信息系统、集成平台做对接及集成（对接人：冷工 联系电话：025-83106666转60080）：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w:t>
      </w:r>
      <w:r>
        <w:rPr>
          <w:rFonts w:ascii="SimSun" w:hAnsi="SimSun" w:eastAsia="SimSun" w:cs="SimSun"/>
          <w:color w:val="000000"/>
          <w:sz w:val="24"/>
        </w:rPr>
        <w:t xml:space="preserve">需求；供应商提供的系统可根据采购人实际需求部署同一法人单位不同院区。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②本章中所列技术要求为医院项目初步需求，具体需求以国家最新政策标准为准。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（4）培训要求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供应商提供针对性培训计划，覆盖各岗位用户，内容含系统操作、维护及常见问题处理。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供应商提供纸质及电子版培训资料，组织考核，确保用户熟练使用，提交培训记录及考核报告。</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（5）维保要求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维保期：供应商应确保本次采购所有项目的安全稳定的运行，并提供1年维保服务（自验收报告签字确认日起，开始进入维保期，相关费用包含在本次报价中）。维保期内，本合同项目所有技术和服务发生任何非人为故障，由供应商负责系统恢复。</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维保期内，对采购人提出的合理服务要求，供应商必须及时进行电话、邮件及远程网络支持，并在2小时内到场服务，一般故障恢复时间为4个小时，严重故障恢复时间为24小时内，并提供及时有效的解决方案。如不到场，采购人有权自行处理，相关费用由供应商负责。</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③供应商须提供定期回访服务，对采购人提出的合理优化建议应提供升级服务。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④所有的服务方式均为供应商上门保修，即由供应商派员到系统使用现场进行故障恢复，由此产生的一切费用均由供应商承担。</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⑤本采购项目出保后每年的维护费不超过合同总金额的5%。</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⑥质保期内供应商提供的系统软件升级，保证采购人使用最新版本软件。质保期满后软件版本内终身升级。</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（6）人员要求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①项目经理：1人，具有至少5年信息化项目管理工作经验，项目开发期间须驻场服务，不得兼任其他岗位。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②技术负责人1人，具有至少3年信息化项目技术管理工作经验，项目开发期间须驻场服务，不得兼任其他岗位。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③开发实施人员：不少于1人，具有信息化工作经验，项目开发期间须1人驻场服务。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④运维服务人员：不少于1人，须驻场服务，具有信息化工作经验。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⑤项目组所有人员必须为供应商正式工作人员，不得兼任其他项目工作，未经采购人同意，人员不得更换。</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（7）知识产权及保密要求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①采购人拥有本系统包括永久使用权和修改权在内的一切权利；拥有本系统产生的所有数据的所有权。供应商应当在验收后10日内，将本项目产生的全部软件源代码交付采购人。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③供应商须按照与采购人签订的《信息安全保密承诺书》的约定严格履行各项保密义务。</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④采购人与供应商都拥有本项目定制开发部分的知识产权。交付项应包括但不限于如下内容：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满足采购人需求的、完整的、可最终良好运行的系统。</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系统运行、管理、维护相关的各项技术文件和管理规范。应包括：系统实施计划、系统需求调研报告、系统上线测试报告、试运行报告、验收报告、系统操作手册等技术及项目管理文档。</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提供项目的最终版本部署包及产品永久授权。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（8）建设成果要求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供应商在项目建设的各个阶段及时提交建设成果，主要包括但不限于以下内容：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①项目启动阶段：项目实施方案。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②业务需求分析阶段：需求调研方案、需求分析说明书。</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③系统设计、开发阶段：需求规格说明书、概要设计说明书、详细设计说明书、数据库设计说明书、系统接口说明书。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④系统实施阶段：系统上线部署方案、软件安装说明书、软件使用说明书、系统安装光盘、系统培训方案、系统培训手册。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⑤项目验收阶段：测试报告、项目验收方案、系统运行报告、项目验收报告。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⑥运行维护阶段：系统维护方案、系统维护手册、系统运行维护记录。</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（9）信创适配要求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项目涉及的软件、硬件产品满足信创要求。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（10）网络安全等级保护测评要求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供应商配合采购人，做好系统通过等保测评相关准备工作。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（11）网络安全和数据安全要求，外包网络安全管理要求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符合网络安全和密码应用要求，符合国家安全可靠应用政策规定。</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3.付款条件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以合同文本内容为准。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4.交付时间及地点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（1）交付时间：合同签订后90天内完成系统开发和整体交付工作。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（2）交付地点：采购人指定地点。</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5.履约保证金</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以合同文本内容为准。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招标文件评标方法与评标标准中涉及的相关证明材料，应在投标文件中提供，并由评审委员会在评审现场予以确认，否则无法得到相应分值。供应商在签订合同向采购人提供上述相关证明材料原件核验。</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 </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36"/>
        </w:rPr>
        <w:t xml:space="preserve">第五章评标方法与评标标准</w:t>
      </w:r>
      <w:r>
        <w:rPr>
          <w:rFonts w:ascii="Times New Roman" w:hAnsi="Times New Roman" w:eastAsia="Times New Roman" w:cs="Times New Roman"/>
          <w:sz w:val="21"/>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一、评标方法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评标结果按评审后得分由高到低顺序排列。得分相同的，按投标报价由低到高顺序排列。得分且投标报价相同的，按“评标标准-2.技术项”得分由高到低顺序排列。在投标文件满足招标文件全部实质性要求的供应商中，按照评审得分由高到低选取3名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二、小微企业价格扣除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1.本项目服务全部由小微企业承接的，对报价给予20%的扣除，用扣除后的价格参与评审。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四、评标标准</w:t>
      </w:r>
      <w:r/>
    </w:p>
    <w:tbl>
      <w:tblPr>
        <w:tblStyle w:val="8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
        <w:gridCol w:w="1145"/>
        <w:gridCol w:w="6141"/>
        <w:gridCol w:w="629"/>
        <w:gridCol w:w="875"/>
      </w:tblGrid>
      <w:tr>
        <w:trPr>
          <w:trHeight w:val="47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5"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1"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29"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5"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2"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1.价</w:t>
            </w:r>
            <w:r>
              <w:rPr>
                <w:rFonts w:ascii="SimSun" w:hAnsi="SimSun" w:eastAsia="SimSun" w:cs="SimSun"/>
                <w:b/>
                <w:color w:val="000000"/>
                <w:spacing w:val="-2"/>
                <w:sz w:val="21"/>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采用低价优先法计算，即满足招标文件要求且投标价格最低的投标报价为评标基准价，其价格分为满分。其他投标人的价格分统一按照下列公式计算：投标报价得分=(</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价格分值（小数点保留两位）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114"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2.技术</w:t>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产品技术参数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产品技术参数全部满足招标要求的得满分，打★指标为必须满足项，如有负偏离将作为无效投标，打▲指标为重要指标，有1项负偏离扣3分，其余指标有1项负偏离扣2.4分。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总体技术方案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根据本项目采购需求编制方案，内容包含：</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总体架构和性能设计；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技术路线和业务逻辑流程设计；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用户界面和应用功能设计；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系统部署和安全防护设计。以上每项内容逐项评分：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方案</w:t>
            </w:r>
            <w:r>
              <w:rPr>
                <w:rFonts w:ascii="SimSun" w:hAnsi="SimSun" w:eastAsia="SimSun" w:cs="SimSun"/>
                <w:color w:val="000000"/>
                <w:sz w:val="21"/>
              </w:rPr>
              <w:t xml:space="preserve">设计架构清晰、覆盖主要功能、技术先进可行，且</w:t>
            </w:r>
            <w:r>
              <w:rPr>
                <w:rFonts w:ascii="Times New Roman" w:hAnsi="Times New Roman" w:eastAsia="Times New Roman" w:cs="Times New Roman"/>
                <w:color w:val="000000"/>
                <w:sz w:val="21"/>
              </w:rPr>
              <w:t xml:space="preserve">专门针对本项目，</w:t>
            </w:r>
            <w:r>
              <w:rPr>
                <w:rFonts w:ascii="SimSun" w:hAnsi="SimSun" w:eastAsia="SimSun" w:cs="SimSun"/>
                <w:color w:val="000000"/>
                <w:sz w:val="21"/>
              </w:rPr>
              <w:t xml:space="preserve">契合</w:t>
            </w:r>
            <w:r>
              <w:rPr>
                <w:rFonts w:ascii="Times New Roman" w:hAnsi="Times New Roman" w:eastAsia="Times New Roman" w:cs="Times New Roman"/>
                <w:color w:val="000000"/>
                <w:sz w:val="21"/>
              </w:rPr>
              <w:t xml:space="preserve">采购需求视为符合；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方案内容属于通用类，非专门针对本项目，部分</w:t>
            </w:r>
            <w:r>
              <w:rPr>
                <w:rFonts w:ascii="SimSun" w:hAnsi="SimSun" w:eastAsia="SimSun" w:cs="SimSun"/>
                <w:color w:val="000000"/>
                <w:sz w:val="21"/>
              </w:rPr>
              <w:t xml:space="preserve">契合采购需求</w:t>
            </w:r>
            <w:r>
              <w:rPr>
                <w:rFonts w:ascii="Times New Roman" w:hAnsi="Times New Roman" w:eastAsia="Times New Roman" w:cs="Times New Roman"/>
                <w:color w:val="000000"/>
                <w:sz w:val="21"/>
              </w:rPr>
              <w:t xml:space="preserve">视为部分符合；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方案内容非专门针对本项目</w:t>
            </w:r>
            <w:r>
              <w:rPr>
                <w:rFonts w:ascii="SimSun" w:hAnsi="SimSun" w:eastAsia="SimSun" w:cs="SimSun"/>
                <w:color w:val="000000"/>
                <w:sz w:val="21"/>
              </w:rPr>
              <w:t xml:space="preserve">，脱离</w:t>
            </w:r>
            <w:r>
              <w:rPr>
                <w:rFonts w:ascii="Times New Roman" w:hAnsi="Times New Roman" w:eastAsia="Times New Roman" w:cs="Times New Roman"/>
                <w:color w:val="000000"/>
                <w:sz w:val="21"/>
              </w:rPr>
              <w:t xml:space="preserve">采购需求视为不符合。</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上述每项内容</w:t>
            </w:r>
            <w:r>
              <w:rPr>
                <w:rFonts w:ascii="Times New Roman" w:hAnsi="Times New Roman" w:eastAsia="Times New Roman" w:cs="Times New Roman"/>
                <w:color w:val="000000"/>
                <w:sz w:val="21"/>
              </w:rPr>
              <w:t xml:space="preserve">符合得2分；部分符合得1分；不符合或不提供不得分</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主观分</w:t>
            </w:r>
            <w:r/>
          </w:p>
        </w:tc>
      </w:tr>
      <w:tr>
        <w:trPr>
          <w:trHeight w:val="3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根据本项目采购需求编制方案，内容包含：</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实施流程；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实施进度安排；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保障措施；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验收措施。以上每项内容逐项评分：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方案内容</w:t>
            </w:r>
            <w:r>
              <w:rPr>
                <w:rFonts w:ascii="SimSun" w:hAnsi="SimSun" w:eastAsia="SimSun" w:cs="SimSun"/>
                <w:color w:val="000000"/>
                <w:sz w:val="21"/>
              </w:rPr>
              <w:t xml:space="preserve">考虑全面、措施有效、可行性强，且</w:t>
            </w:r>
            <w:r>
              <w:rPr>
                <w:rFonts w:ascii="Times New Roman" w:hAnsi="Times New Roman" w:eastAsia="Times New Roman" w:cs="Times New Roman"/>
                <w:color w:val="000000"/>
                <w:sz w:val="21"/>
              </w:rPr>
              <w:t xml:space="preserve">专门针对本项目，</w:t>
            </w:r>
            <w:r>
              <w:rPr>
                <w:rFonts w:ascii="SimSun" w:hAnsi="SimSun" w:eastAsia="SimSun" w:cs="SimSun"/>
                <w:color w:val="000000"/>
                <w:sz w:val="21"/>
              </w:rPr>
              <w:t xml:space="preserve">契合</w:t>
            </w:r>
            <w:r>
              <w:rPr>
                <w:rFonts w:ascii="Times New Roman" w:hAnsi="Times New Roman" w:eastAsia="Times New Roman" w:cs="Times New Roman"/>
                <w:color w:val="000000"/>
                <w:sz w:val="21"/>
              </w:rPr>
              <w:t xml:space="preserve">采购需求视为符合；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方案内容属于通用类，非专门针对本项目，部分</w:t>
            </w:r>
            <w:r>
              <w:rPr>
                <w:rFonts w:ascii="SimSun" w:hAnsi="SimSun" w:eastAsia="SimSun" w:cs="SimSun"/>
                <w:color w:val="000000"/>
                <w:sz w:val="21"/>
              </w:rPr>
              <w:t xml:space="preserve">契合采购需求</w:t>
            </w:r>
            <w:r>
              <w:rPr>
                <w:rFonts w:ascii="Times New Roman" w:hAnsi="Times New Roman" w:eastAsia="Times New Roman" w:cs="Times New Roman"/>
                <w:color w:val="000000"/>
                <w:sz w:val="21"/>
              </w:rPr>
              <w:t xml:space="preserve">视为部分符合；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方案内容非专门针对本项目</w:t>
            </w:r>
            <w:r>
              <w:rPr>
                <w:rFonts w:ascii="SimSun" w:hAnsi="SimSun" w:eastAsia="SimSun" w:cs="SimSun"/>
                <w:color w:val="000000"/>
                <w:sz w:val="21"/>
              </w:rPr>
              <w:t xml:space="preserve">，脱离</w:t>
            </w:r>
            <w:r>
              <w:rPr>
                <w:rFonts w:ascii="Times New Roman" w:hAnsi="Times New Roman" w:eastAsia="Times New Roman" w:cs="Times New Roman"/>
                <w:color w:val="000000"/>
                <w:sz w:val="21"/>
              </w:rPr>
              <w:t xml:space="preserve">采购需求视为不符合。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上述每项内容</w:t>
            </w:r>
            <w:r>
              <w:rPr>
                <w:rFonts w:ascii="Times New Roman" w:hAnsi="Times New Roman" w:eastAsia="Times New Roman" w:cs="Times New Roman"/>
                <w:color w:val="000000"/>
                <w:sz w:val="21"/>
              </w:rPr>
              <w:t xml:space="preserve">符合得2分；部分符合得1分；不符合或不提供不得分。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主观分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3.服务</w:t>
            </w:r>
            <w:r/>
          </w:p>
        </w:tc>
      </w:tr>
      <w:tr>
        <w:trPr>
          <w:trHeight w:val="1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根据本项目采购需求编制方案，内容包含：</w:t>
            </w:r>
            <w:r/>
          </w:p>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1.培训计划；</w:t>
            </w:r>
            <w:r/>
          </w:p>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2.培训内容；</w:t>
            </w:r>
            <w:r/>
          </w:p>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3.师资力量；</w:t>
            </w:r>
            <w:r/>
          </w:p>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4.培训效果评估。以上每项内容逐项评分：</w:t>
            </w:r>
            <w:r/>
          </w:p>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方案内容考虑全面、措施有效、可行性强，且专门针对本项目，契合采购需求视为符合；</w:t>
            </w:r>
            <w:r/>
          </w:p>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方案内容属于通用类，非专门针对本项目，部分契合采购需求视为部分符合；</w:t>
            </w:r>
            <w:r/>
          </w:p>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方案内容非专门针对本项目，脱离采购需求视为不符合。</w:t>
            </w:r>
            <w:r/>
          </w:p>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上述每项内容符合得2分；部分符合得1分；不符合或不提供不得分。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本地化服务能力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投标人具有本地化服务能力的得2分。（提供承诺书或有效证明材料）</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年维保服务基础上，每增加</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4.业绩</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4.1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投标人业绩</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投标人提供2023年1月1日（含）以来类似项目业绩（至少包含HIS改造或智慧医疗或医保服务改造等相关内容），每提供1个得3分。（时间以合同签订时间为准，提供有效合同，合同页须清晰可见相应内容）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5.履约能力</w:t>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5.1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（1）项目经理能力：</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具有高级信息系统项目管理师证书，得3分。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（2）技术负责人能力：</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具有高级系统架构设计师证书，得3分。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（提供上述人员证书，投标人为其缴纳的2026年1月以来任意一个月的社保证明材料，缺一不可）</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5.2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项目实施团队能力（不含项目经理和技术负责人）：</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团队成员具有中级系统集成项目管理工程师证书，得2分。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（提供团队成员证书，投标人为其缴纳的2026年1月以来任意一个月的社保证明材料，缺一不可）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5.3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投标人具有本项目相关的软件著作权证书，包括“门诊特殊病种结算”“医保智能结算”“医疗费用智能审核”等，每提供1个证书得2分，最多得6分。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（所提供证书“软件名称”与评分细则规定不同时，应提供符合上述要求的内容（功能）说明及关键信息，否则不予认可。）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85" w:type="dxa"/>
            <w:vAlign w:val="center"/>
            <w:textDirection w:val="lrTb"/>
            <w:noWrap w:val="false"/>
          </w:tcPr>
          <w:p>
            <w:pPr>
              <w:ind w:left="172" w:right="0" w:firstLine="0"/>
              <w:jc w:val="center"/>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0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highlight w:val="none"/>
        </w:rPr>
      </w:r>
      <w:r>
        <w:rPr>
          <w:rFonts w:ascii="Arial" w:hAnsi="Arial" w:eastAsia="Arial" w:cs="Arial"/>
          <w:color w:val="000000"/>
          <w:sz w:val="36"/>
          <w:highlight w:val="none"/>
        </w:rPr>
      </w:r>
      <w:r/>
    </w:p>
    <w:p>
      <w:pPr>
        <w:ind w:left="0" w:right="0" w:firstLine="0"/>
        <w:jc w:val="center"/>
        <w:spacing w:before="0" w:after="0"/>
        <w:rPr>
          <w:rFonts w:ascii="Arial" w:hAnsi="Arial" w:eastAsia="Arial" w:cs="Arial"/>
          <w:color w:val="000000"/>
          <w:sz w:val="36"/>
          <w:szCs w:val="36"/>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六、投标分项报价表（如有）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十一、联合体协议（如有）</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十二、分包承诺书（如有）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南京市公共资源交易中心：</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(六)我公司（单位）已知晓：单位负责人为同一人或者存在直接控股、管理关系的不同供应商，不得参加同一合同项下的政府采购活动。</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(七)未参加此项目的整体设计、规范编制或者项目管理、监理、检测等服务。</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如果我公司（单位）中标，将在中标结果公示后七个工作日内向采购人提供下列材料核验：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我公司（单位）对上述承诺内容的真实性、合法性、有效性负责，如有虚假，将依法承担相应责任。</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Hei" w:hAnsi="SimHei" w:eastAsia="SimHei" w:cs="SimHei"/>
          <w:color w:val="000000"/>
          <w:sz w:val="32"/>
        </w:rPr>
        <w:t xml:space="preserve">四、投标函</w:t>
      </w:r>
      <w:r>
        <w:rPr>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致：南京市公共资源交易中心</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7.我方为¨大型企业 ¨中型企业 ¨小型企业 ¨微型企业（在对应¨内打“√”）</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8.我方为：¨民营企业 ¨非民营企业 ¨其他（在对应¨内打“√”）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开标一览表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8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六、投标分项报价表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投标分项报价表</w:t>
      </w:r>
      <w:r/>
    </w:p>
    <w:tbl>
      <w:tblPr>
        <w:tblStyle w:val="8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7"/>
        <w:gridCol w:w="1661"/>
        <w:gridCol w:w="1362"/>
        <w:gridCol w:w="784"/>
        <w:gridCol w:w="784"/>
        <w:gridCol w:w="1297"/>
        <w:gridCol w:w="1537"/>
      </w:tblGrid>
      <w:tr>
        <w:trPr>
          <w:trHeight w:val="4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4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3.供应商所报产品须与“第四章-项目清单”中的产品一一对应，如有缺项、漏项或者超出单价上限的，视为无效投标。“项目清单”中分项仅为一项的，此表无需提供。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七、技术要求响应及偏离表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技术要求响应及偏离表</w:t>
      </w:r>
      <w:r/>
    </w:p>
    <w:tbl>
      <w:tblPr>
        <w:tblStyle w:val="8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8"/>
        <w:gridCol w:w="2771"/>
        <w:gridCol w:w="2683"/>
        <w:gridCol w:w="31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1.供应商须对招标文件技术要求中的实质性要求（斜体下划线内容或打“★”内容）及其他要求做出明确响应，否则视为无效投标。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商务要求响应及偏离表</w:t>
      </w:r>
      <w:r/>
    </w:p>
    <w:tbl>
      <w:tblPr>
        <w:tblStyle w:val="8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0"/>
        <w:gridCol w:w="2685"/>
        <w:gridCol w:w="2680"/>
        <w:gridCol w:w="319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1.供应商须对招标文件商务要求中的实质性要求（斜体下划线内容或打“★”内容）做出明确响应，否则视为无效投标。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中小企业声明函（服务）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备注：1.从业人员、营业收入、资产总额填报上一年度数据，无上一年度数据的新成立企业可不填报。2.在所属企业类型前的¨内打“</w:t>
      </w:r>
      <w:r>
        <w:rPr>
          <w:rFonts w:ascii="Arial" w:hAnsi="Arial" w:eastAsia="Arial" w:cs="Arial"/>
          <w:color w:val="000000"/>
          <w:sz w:val="24"/>
        </w:rPr>
        <w:t xml:space="preserve">√</w:t>
      </w:r>
      <w:r>
        <w:rPr>
          <w:rFonts w:ascii="SimSun" w:hAnsi="SimSun" w:eastAsia="SimSun" w:cs="SimSun"/>
          <w:color w:val="000000"/>
          <w:sz w:val="24"/>
        </w:rPr>
        <w:t xml:space="preserve">”。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rPr>
          <w:rFonts w:ascii="SimHei" w:hAnsi="SimHei" w:eastAsia="SimHei" w:cs="SimHei"/>
          <w:color w:val="000000"/>
          <w:sz w:val="32"/>
        </w:rPr>
        <w:t xml:space="preserve">十一、联合体协议</w:t>
      </w:r>
      <w:r>
        <w:rPr>
          <w:rFonts w:ascii="Times New Roman" w:hAnsi="Times New Roman" w:eastAsia="Times New Roman" w:cs="Times New Roma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（供应商名称）为牵头单位。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（企业全称）为¨小型、微型企业 ¨残疾人福利性单位 ¨监狱企业，且我们约定该单位所承担的合同金额将占本项目合同总金额的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十二、分包承诺书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分包承诺书</w:t>
      </w:r>
      <w:r/>
    </w:p>
    <w:p>
      <w:pPr>
        <w:ind w:left="0" w:right="0" w:firstLine="264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8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如我公司中标（成交）</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（项目名称）项目，拟将项目中的</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建设内容，分包给具有相应资质的供应商实施，并在签订合同时提供分包意向协议。</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四、质疑事项相关请求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  字(签章)：                                 公  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相关说明：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1.供应商提出质疑，应提交《质疑函》和必要的证明材料。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由授权代表负责质疑事宜的，《质疑函》附件中应提交由质疑供应商法定代表人或主要负责人签署的《授权委托书》。</w:t>
      </w:r>
      <w:r>
        <w:rPr>
          <w:rFonts w:ascii="SimSun" w:hAnsi="SimSun" w:eastAsia="SimSun" w:cs="SimSun"/>
          <w:color w:val="000000"/>
          <w:sz w:val="24"/>
        </w:rPr>
        <w:t xml:space="preserve">3.质疑供应商针对项目的某一采购包进行质疑的，《质疑函》中应明确采购包号。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7.质疑供应商为联合体的，则《质疑函》中要求加盖公章之处，联合体各方均须按要求加盖公章。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90"/>
        <w:rFonts w:ascii="宋体" w:hAnsi="宋体"/>
      </w:rPr>
      <w:framePr w:wrap="around" w:vAnchor="text" w:hAnchor="margin" w:xAlign="center" w:y="1"/>
    </w:pPr>
    <w:r>
      <w:rPr>
        <w:rFonts w:ascii="宋体" w:hAnsi="宋体"/>
      </w:rPr>
      <w:fldChar w:fldCharType="begin"/>
    </w:r>
    <w:r>
      <w:rPr>
        <w:rStyle w:val="890"/>
        <w:rFonts w:ascii="宋体" w:hAnsi="宋体"/>
      </w:rPr>
      <w:instrText xml:space="preserve">PAGE  </w:instrText>
    </w:r>
    <w:r>
      <w:rPr>
        <w:rFonts w:ascii="宋体" w:hAnsi="宋体"/>
      </w:rPr>
      <w:fldChar w:fldCharType="separate"/>
    </w:r>
    <w:r>
      <w:rPr>
        <w:rStyle w:val="890"/>
        <w:rFonts w:ascii="宋体" w:hAnsi="宋体"/>
      </w:rPr>
      <w:t xml:space="preserve">３５</w:t>
    </w:r>
    <w:r>
      <w:rPr>
        <w:rFonts w:ascii="宋体" w:hAnsi="宋体"/>
      </w:rPr>
      <w:fldChar w:fldCharType="end"/>
    </w:r>
    <w:r/>
  </w:p>
  <w:p>
    <w:pPr>
      <w:pStyle w:val="87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90"/>
      </w:rPr>
      <w:framePr w:wrap="around" w:vAnchor="text" w:hAnchor="margin" w:xAlign="center" w:y="1"/>
    </w:pPr>
    <w:r>
      <w:fldChar w:fldCharType="begin"/>
    </w:r>
    <w:r>
      <w:rPr>
        <w:rStyle w:val="890"/>
      </w:rPr>
      <w:instrText xml:space="preserve">PAGE  </w:instrText>
    </w:r>
    <w:r>
      <w:fldChar w:fldCharType="separate"/>
    </w:r>
    <w:r>
      <w:rPr>
        <w:rStyle w:val="890"/>
      </w:rPr>
      <w:t xml:space="preserve">1</w:t>
    </w:r>
    <w:r>
      <w:fldChar w:fldCharType="end"/>
    </w:r>
    <w:r/>
  </w:p>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9"/>
      <w:isLgl w:val="false"/>
      <w:suff w:val="nothing"/>
      <w:lvlText w:val=""/>
      <w:lvlJc w:val="left"/>
      <w:pPr>
        <w:ind w:left="0" w:firstLine="0"/>
      </w:pPr>
      <w:rPr>
        <w:rFonts w:hint="eastAsia"/>
      </w:rPr>
    </w:lvl>
    <w:lvl w:ilvl="6">
      <w:start w:val="1"/>
      <w:numFmt w:val="none"/>
      <w:pStyle w:val="850"/>
      <w:isLgl w:val="false"/>
      <w:suff w:val="nothing"/>
      <w:lvlText w:val=""/>
      <w:lvlJc w:val="left"/>
      <w:pPr>
        <w:ind w:left="0" w:firstLine="0"/>
      </w:pPr>
      <w:rPr>
        <w:rFonts w:hint="eastAsia"/>
      </w:rPr>
    </w:lvl>
    <w:lvl w:ilvl="7">
      <w:start w:val="1"/>
      <w:numFmt w:val="none"/>
      <w:pStyle w:val="851"/>
      <w:isLgl w:val="false"/>
      <w:suff w:val="nothing"/>
      <w:lvlText w:val=""/>
      <w:lvlJc w:val="left"/>
      <w:pPr>
        <w:ind w:left="0" w:firstLine="0"/>
      </w:pPr>
      <w:rPr>
        <w:rFonts w:hint="eastAsia"/>
      </w:rPr>
    </w:lvl>
    <w:lvl w:ilvl="8">
      <w:start w:val="1"/>
      <w:numFmt w:val="none"/>
      <w:pStyle w:val="852"/>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53"/>
    <w:link w:val="844"/>
    <w:uiPriority w:val="9"/>
    <w:rPr>
      <w:rFonts w:ascii="Arial" w:hAnsi="Arial" w:eastAsia="Arial" w:cs="Arial"/>
      <w:sz w:val="40"/>
      <w:szCs w:val="40"/>
    </w:rPr>
  </w:style>
  <w:style w:type="character" w:styleId="691">
    <w:name w:val="Heading 2 Char"/>
    <w:basedOn w:val="853"/>
    <w:link w:val="845"/>
    <w:uiPriority w:val="9"/>
    <w:rPr>
      <w:rFonts w:ascii="Arial" w:hAnsi="Arial" w:eastAsia="Arial" w:cs="Arial"/>
      <w:sz w:val="34"/>
    </w:rPr>
  </w:style>
  <w:style w:type="character" w:styleId="692">
    <w:name w:val="Heading 3 Char"/>
    <w:basedOn w:val="853"/>
    <w:link w:val="846"/>
    <w:uiPriority w:val="9"/>
    <w:rPr>
      <w:rFonts w:ascii="Arial" w:hAnsi="Arial" w:eastAsia="Arial" w:cs="Arial"/>
      <w:sz w:val="30"/>
      <w:szCs w:val="30"/>
    </w:rPr>
  </w:style>
  <w:style w:type="character" w:styleId="693">
    <w:name w:val="Heading 4 Char"/>
    <w:basedOn w:val="853"/>
    <w:link w:val="847"/>
    <w:uiPriority w:val="9"/>
    <w:rPr>
      <w:rFonts w:ascii="Arial" w:hAnsi="Arial" w:eastAsia="Arial" w:cs="Arial"/>
      <w:b/>
      <w:bCs/>
      <w:sz w:val="26"/>
      <w:szCs w:val="26"/>
    </w:rPr>
  </w:style>
  <w:style w:type="character" w:styleId="694">
    <w:name w:val="Heading 5 Char"/>
    <w:basedOn w:val="853"/>
    <w:link w:val="848"/>
    <w:uiPriority w:val="9"/>
    <w:rPr>
      <w:rFonts w:ascii="Arial" w:hAnsi="Arial" w:eastAsia="Arial" w:cs="Arial"/>
      <w:b/>
      <w:bCs/>
      <w:sz w:val="24"/>
      <w:szCs w:val="24"/>
    </w:rPr>
  </w:style>
  <w:style w:type="character" w:styleId="695">
    <w:name w:val="Heading 6 Char"/>
    <w:basedOn w:val="853"/>
    <w:link w:val="849"/>
    <w:uiPriority w:val="9"/>
    <w:rPr>
      <w:rFonts w:ascii="Arial" w:hAnsi="Arial" w:eastAsia="Arial" w:cs="Arial"/>
      <w:b/>
      <w:bCs/>
      <w:sz w:val="22"/>
      <w:szCs w:val="22"/>
    </w:rPr>
  </w:style>
  <w:style w:type="character" w:styleId="696">
    <w:name w:val="Heading 7 Char"/>
    <w:basedOn w:val="853"/>
    <w:link w:val="850"/>
    <w:uiPriority w:val="9"/>
    <w:rPr>
      <w:rFonts w:ascii="Arial" w:hAnsi="Arial" w:eastAsia="Arial" w:cs="Arial"/>
      <w:b/>
      <w:bCs/>
      <w:i/>
      <w:iCs/>
      <w:sz w:val="22"/>
      <w:szCs w:val="22"/>
    </w:rPr>
  </w:style>
  <w:style w:type="character" w:styleId="697">
    <w:name w:val="Heading 8 Char"/>
    <w:basedOn w:val="853"/>
    <w:link w:val="851"/>
    <w:uiPriority w:val="9"/>
    <w:rPr>
      <w:rFonts w:ascii="Arial" w:hAnsi="Arial" w:eastAsia="Arial" w:cs="Arial"/>
      <w:i/>
      <w:iCs/>
      <w:sz w:val="22"/>
      <w:szCs w:val="22"/>
    </w:rPr>
  </w:style>
  <w:style w:type="character" w:styleId="698">
    <w:name w:val="Heading 9 Char"/>
    <w:basedOn w:val="853"/>
    <w:link w:val="852"/>
    <w:uiPriority w:val="9"/>
    <w:rPr>
      <w:rFonts w:ascii="Arial" w:hAnsi="Arial" w:eastAsia="Arial" w:cs="Arial"/>
      <w:i/>
      <w:iCs/>
      <w:sz w:val="21"/>
      <w:szCs w:val="21"/>
    </w:rPr>
  </w:style>
  <w:style w:type="paragraph" w:styleId="699">
    <w:name w:val="Title"/>
    <w:basedOn w:val="843"/>
    <w:next w:val="843"/>
    <w:link w:val="700"/>
    <w:uiPriority w:val="10"/>
    <w:qFormat/>
    <w:pPr>
      <w:contextualSpacing/>
      <w:spacing w:before="300" w:after="200"/>
    </w:pPr>
    <w:rPr>
      <w:sz w:val="48"/>
      <w:szCs w:val="48"/>
    </w:rPr>
  </w:style>
  <w:style w:type="character" w:styleId="700">
    <w:name w:val="Title Char"/>
    <w:basedOn w:val="853"/>
    <w:link w:val="699"/>
    <w:uiPriority w:val="10"/>
    <w:rPr>
      <w:sz w:val="48"/>
      <w:szCs w:val="48"/>
    </w:rPr>
  </w:style>
  <w:style w:type="paragraph" w:styleId="701">
    <w:name w:val="Subtitle"/>
    <w:basedOn w:val="843"/>
    <w:next w:val="843"/>
    <w:link w:val="702"/>
    <w:uiPriority w:val="11"/>
    <w:qFormat/>
    <w:pPr>
      <w:spacing w:before="200" w:after="200"/>
    </w:pPr>
    <w:rPr>
      <w:sz w:val="24"/>
      <w:szCs w:val="24"/>
    </w:rPr>
  </w:style>
  <w:style w:type="character" w:styleId="702">
    <w:name w:val="Subtitle Char"/>
    <w:basedOn w:val="853"/>
    <w:link w:val="701"/>
    <w:uiPriority w:val="11"/>
    <w:rPr>
      <w:sz w:val="24"/>
      <w:szCs w:val="24"/>
    </w:rPr>
  </w:style>
  <w:style w:type="paragraph" w:styleId="703">
    <w:name w:val="Quote"/>
    <w:basedOn w:val="843"/>
    <w:next w:val="843"/>
    <w:link w:val="704"/>
    <w:uiPriority w:val="29"/>
    <w:qFormat/>
    <w:pPr>
      <w:ind w:left="720" w:right="720"/>
    </w:pPr>
    <w:rPr>
      <w:i/>
    </w:rPr>
  </w:style>
  <w:style w:type="character" w:styleId="704">
    <w:name w:val="Quote Char"/>
    <w:link w:val="703"/>
    <w:uiPriority w:val="29"/>
    <w:rPr>
      <w:i/>
    </w:rPr>
  </w:style>
  <w:style w:type="paragraph" w:styleId="705">
    <w:name w:val="Intense Quote"/>
    <w:basedOn w:val="843"/>
    <w:next w:val="843"/>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character" w:styleId="707">
    <w:name w:val="Header Char"/>
    <w:basedOn w:val="853"/>
    <w:link w:val="874"/>
    <w:uiPriority w:val="99"/>
  </w:style>
  <w:style w:type="character" w:styleId="708">
    <w:name w:val="Footer Char"/>
    <w:basedOn w:val="853"/>
    <w:link w:val="873"/>
    <w:uiPriority w:val="99"/>
  </w:style>
  <w:style w:type="paragraph" w:styleId="709">
    <w:name w:val="Caption"/>
    <w:basedOn w:val="843"/>
    <w:next w:val="843"/>
    <w:uiPriority w:val="35"/>
    <w:semiHidden/>
    <w:unhideWhenUsed/>
    <w:qFormat/>
    <w:pPr>
      <w:spacing w:line="276" w:lineRule="auto"/>
    </w:pPr>
    <w:rPr>
      <w:b/>
      <w:bCs/>
      <w:color w:val="4f81bd" w:themeColor="accent1"/>
      <w:sz w:val="18"/>
      <w:szCs w:val="18"/>
    </w:rPr>
  </w:style>
  <w:style w:type="character" w:styleId="710">
    <w:name w:val="Caption Char"/>
    <w:basedOn w:val="709"/>
    <w:link w:val="873"/>
    <w:uiPriority w:val="99"/>
  </w:style>
  <w:style w:type="table" w:styleId="711">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6">
    <w:name w:val="footnote text"/>
    <w:basedOn w:val="84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3"/>
    <w:uiPriority w:val="99"/>
    <w:unhideWhenUsed/>
    <w:rPr>
      <w:vertAlign w:val="superscript"/>
    </w:rPr>
  </w:style>
  <w:style w:type="paragraph" w:styleId="839">
    <w:name w:val="endnote text"/>
    <w:basedOn w:val="84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3"/>
    <w:uiPriority w:val="99"/>
    <w:semiHidden/>
    <w:unhideWhenUsed/>
    <w:rPr>
      <w:vertAlign w:val="superscript"/>
    </w:rPr>
  </w:style>
  <w:style w:type="paragraph" w:styleId="842">
    <w:name w:val="TOC Heading"/>
    <w:uiPriority w:val="39"/>
    <w:unhideWhenUsed/>
  </w:style>
  <w:style w:type="paragraph" w:styleId="843" w:default="1">
    <w:name w:val="Normal"/>
    <w:next w:val="855"/>
    <w:uiPriority w:val="0"/>
    <w:qFormat/>
    <w:pPr>
      <w:jc w:val="both"/>
      <w:widowControl w:val="off"/>
    </w:pPr>
    <w:rPr>
      <w:rFonts w:ascii="Times New Roman" w:hAnsi="Times New Roman" w:eastAsia="宋体" w:cs="Times New Roman"/>
      <w:sz w:val="21"/>
      <w:szCs w:val="21"/>
      <w:lang w:val="en-US" w:eastAsia="zh-CN" w:bidi="ar-SA"/>
    </w:rPr>
  </w:style>
  <w:style w:type="paragraph" w:styleId="844">
    <w:name w:val="Heading 1"/>
    <w:basedOn w:val="843"/>
    <w:next w:val="843"/>
    <w:link w:val="897"/>
    <w:uiPriority w:val="0"/>
    <w:qFormat/>
    <w:pPr>
      <w:jc w:val="center"/>
      <w:keepNext/>
      <w:outlineLvl w:val="0"/>
    </w:pPr>
    <w:rPr>
      <w:rFonts w:ascii="楷体_GB2312" w:eastAsia="楷体_GB2312"/>
      <w:sz w:val="28"/>
      <w:szCs w:val="28"/>
    </w:rPr>
  </w:style>
  <w:style w:type="paragraph" w:styleId="845">
    <w:name w:val="Heading 2"/>
    <w:basedOn w:val="843"/>
    <w:next w:val="858"/>
    <w:link w:val="8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6">
    <w:name w:val="Heading 3"/>
    <w:basedOn w:val="843"/>
    <w:next w:val="858"/>
    <w:link w:val="900"/>
    <w:uiPriority w:val="0"/>
    <w:qFormat/>
    <w:pPr>
      <w:keepLines/>
      <w:keepNext/>
      <w:spacing w:before="260" w:after="260" w:line="416" w:lineRule="auto"/>
      <w:outlineLvl w:val="2"/>
    </w:pPr>
    <w:rPr>
      <w:b/>
      <w:bCs/>
      <w:sz w:val="32"/>
      <w:szCs w:val="32"/>
    </w:rPr>
  </w:style>
  <w:style w:type="paragraph" w:styleId="847">
    <w:name w:val="Heading 4"/>
    <w:basedOn w:val="843"/>
    <w:next w:val="858"/>
    <w:link w:val="901"/>
    <w:uiPriority w:val="0"/>
    <w:qFormat/>
    <w:pPr>
      <w:keepLines/>
      <w:keepNext/>
      <w:spacing w:before="280" w:after="290" w:line="376" w:lineRule="auto"/>
      <w:outlineLvl w:val="3"/>
    </w:pPr>
    <w:rPr>
      <w:rFonts w:ascii="Arial" w:hAnsi="Arial" w:eastAsia="黑体" w:cs="Arial"/>
      <w:b/>
      <w:bCs/>
      <w:sz w:val="28"/>
      <w:szCs w:val="28"/>
    </w:rPr>
  </w:style>
  <w:style w:type="paragraph" w:styleId="848">
    <w:name w:val="Heading 5"/>
    <w:basedOn w:val="843"/>
    <w:next w:val="858"/>
    <w:link w:val="902"/>
    <w:uiPriority w:val="0"/>
    <w:qFormat/>
    <w:pPr>
      <w:keepNext/>
      <w:outlineLvl w:val="4"/>
    </w:pPr>
    <w:rPr>
      <w:rFonts w:ascii="宋体"/>
      <w:color w:val="000000"/>
      <w:sz w:val="28"/>
      <w:szCs w:val="28"/>
    </w:rPr>
  </w:style>
  <w:style w:type="paragraph" w:styleId="849">
    <w:name w:val="Heading 6"/>
    <w:basedOn w:val="843"/>
    <w:next w:val="843"/>
    <w:link w:val="90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0">
    <w:name w:val="Heading 7"/>
    <w:basedOn w:val="843"/>
    <w:next w:val="843"/>
    <w:link w:val="904"/>
    <w:uiPriority w:val="0"/>
    <w:qFormat/>
    <w:pPr>
      <w:numPr>
        <w:ilvl w:val="6"/>
        <w:numId w:val="1"/>
      </w:numPr>
      <w:keepLines/>
      <w:keepNext/>
      <w:spacing w:before="240" w:after="64" w:line="320" w:lineRule="auto"/>
      <w:outlineLvl w:val="6"/>
    </w:pPr>
    <w:rPr>
      <w:b/>
      <w:bCs/>
      <w:sz w:val="24"/>
      <w:szCs w:val="24"/>
    </w:rPr>
  </w:style>
  <w:style w:type="paragraph" w:styleId="851">
    <w:name w:val="Heading 8"/>
    <w:basedOn w:val="843"/>
    <w:next w:val="843"/>
    <w:link w:val="90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2">
    <w:name w:val="Heading 9"/>
    <w:basedOn w:val="843"/>
    <w:next w:val="843"/>
    <w:link w:val="906"/>
    <w:uiPriority w:val="0"/>
    <w:qFormat/>
    <w:pPr>
      <w:numPr>
        <w:ilvl w:val="8"/>
        <w:numId w:val="1"/>
      </w:numPr>
      <w:keepLines/>
      <w:keepNext/>
      <w:spacing w:before="240" w:after="64" w:line="320" w:lineRule="auto"/>
      <w:outlineLvl w:val="8"/>
    </w:pPr>
    <w:rPr>
      <w:rFonts w:ascii="Arial" w:hAnsi="Arial" w:eastAsia="黑体"/>
    </w:rPr>
  </w:style>
  <w:style w:type="character" w:styleId="853" w:default="1">
    <w:name w:val="Default Paragraph Font"/>
    <w:uiPriority w:val="1"/>
    <w:unhideWhenUsed/>
    <w:qFormat/>
  </w:style>
  <w:style w:type="table" w:styleId="854" w:default="1">
    <w:name w:val="Normal Table"/>
    <w:uiPriority w:val="99"/>
    <w:unhideWhenUsed/>
    <w:qFormat/>
    <w:tblPr>
      <w:tblCellMar>
        <w:left w:w="108" w:type="dxa"/>
        <w:top w:w="0" w:type="dxa"/>
        <w:right w:w="108" w:type="dxa"/>
        <w:bottom w:w="0" w:type="dxa"/>
      </w:tblCellMar>
    </w:tblPr>
  </w:style>
  <w:style w:type="paragraph" w:styleId="855">
    <w:name w:val="Body Text First Indent 2"/>
    <w:basedOn w:val="856"/>
    <w:next w:val="843"/>
    <w:link w:val="896"/>
    <w:uiPriority w:val="0"/>
    <w:qFormat/>
    <w:pPr>
      <w:ind w:firstLine="420"/>
      <w:spacing w:line="360" w:lineRule="auto"/>
    </w:pPr>
    <w:rPr>
      <w:rFonts w:ascii="宋体" w:hAnsi="宋体" w:eastAsia="宋体"/>
      <w:sz w:val="21"/>
      <w:szCs w:val="20"/>
    </w:rPr>
  </w:style>
  <w:style w:type="paragraph" w:styleId="856">
    <w:name w:val="Body Text Indent"/>
    <w:basedOn w:val="843"/>
    <w:next w:val="857"/>
    <w:link w:val="895"/>
    <w:uiPriority w:val="0"/>
    <w:qFormat/>
    <w:pPr>
      <w:ind w:firstLine="645"/>
    </w:pPr>
    <w:rPr>
      <w:rFonts w:ascii="楷体_GB2312" w:eastAsia="楷体_GB2312"/>
      <w:sz w:val="32"/>
      <w:szCs w:val="32"/>
    </w:rPr>
  </w:style>
  <w:style w:type="paragraph" w:styleId="857">
    <w:name w:val="envelope return"/>
    <w:basedOn w:val="843"/>
    <w:uiPriority w:val="0"/>
    <w:qFormat/>
    <w:rPr>
      <w:rFonts w:ascii="Arial" w:hAnsi="Arial" w:eastAsia="宋体" w:cs="宋体"/>
    </w:rPr>
  </w:style>
  <w:style w:type="paragraph" w:styleId="858">
    <w:name w:val="Normal Indent"/>
    <w:basedOn w:val="843"/>
    <w:link w:val="899"/>
    <w:uiPriority w:val="0"/>
    <w:qFormat/>
    <w:pPr>
      <w:ind w:firstLine="420"/>
    </w:pPr>
  </w:style>
  <w:style w:type="paragraph" w:styleId="859">
    <w:name w:val="List 3"/>
    <w:basedOn w:val="843"/>
    <w:uiPriority w:val="0"/>
    <w:qFormat/>
    <w:pPr>
      <w:ind w:left="100" w:hanging="200"/>
    </w:pPr>
  </w:style>
  <w:style w:type="paragraph" w:styleId="860">
    <w:name w:val="toc 7"/>
    <w:basedOn w:val="843"/>
    <w:next w:val="843"/>
    <w:uiPriority w:val="0"/>
    <w:semiHidden/>
    <w:qFormat/>
    <w:pPr>
      <w:ind w:left="1260"/>
      <w:jc w:val="left"/>
    </w:pPr>
  </w:style>
  <w:style w:type="paragraph" w:styleId="861">
    <w:name w:val="Document Map"/>
    <w:basedOn w:val="843"/>
    <w:link w:val="907"/>
    <w:uiPriority w:val="0"/>
    <w:semiHidden/>
    <w:qFormat/>
    <w:pPr>
      <w:shd w:val="clear" w:color="auto" w:fill="000080"/>
    </w:pPr>
  </w:style>
  <w:style w:type="paragraph" w:styleId="862">
    <w:name w:val="annotation text"/>
    <w:basedOn w:val="843"/>
    <w:link w:val="908"/>
    <w:uiPriority w:val="0"/>
    <w:semiHidden/>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863">
    <w:name w:val="Body Text 3"/>
    <w:basedOn w:val="843"/>
    <w:link w:val="909"/>
    <w:uiPriority w:val="0"/>
    <w:qFormat/>
    <w:rPr>
      <w:rFonts w:ascii="仿宋_GB2312" w:hAnsi="Arial" w:eastAsia="仿宋_GB2312"/>
      <w:sz w:val="32"/>
      <w:szCs w:val="32"/>
    </w:rPr>
  </w:style>
  <w:style w:type="paragraph" w:styleId="864">
    <w:name w:val="Body Text"/>
    <w:basedOn w:val="843"/>
    <w:link w:val="910"/>
    <w:uiPriority w:val="0"/>
    <w:qFormat/>
    <w:rPr>
      <w:rFonts w:ascii="楷体_GB2312" w:hAnsi="Arial" w:eastAsia="楷体_GB2312"/>
      <w:sz w:val="28"/>
      <w:szCs w:val="28"/>
    </w:rPr>
  </w:style>
  <w:style w:type="paragraph" w:styleId="865">
    <w:name w:val="List 2"/>
    <w:basedOn w:val="843"/>
    <w:uiPriority w:val="0"/>
    <w:qFormat/>
    <w:pPr>
      <w:ind w:left="100" w:hanging="200"/>
    </w:pPr>
  </w:style>
  <w:style w:type="paragraph" w:styleId="866">
    <w:name w:val="toc 5"/>
    <w:basedOn w:val="843"/>
    <w:next w:val="843"/>
    <w:uiPriority w:val="0"/>
    <w:semiHidden/>
    <w:qFormat/>
    <w:pPr>
      <w:ind w:left="840"/>
      <w:jc w:val="left"/>
    </w:pPr>
  </w:style>
  <w:style w:type="paragraph" w:styleId="867">
    <w:name w:val="toc 3"/>
    <w:basedOn w:val="843"/>
    <w:next w:val="843"/>
    <w:uiPriority w:val="0"/>
    <w:semiHidden/>
    <w:qFormat/>
    <w:pPr>
      <w:ind w:left="420"/>
      <w:jc w:val="left"/>
    </w:pPr>
    <w:rPr>
      <w:i/>
      <w:iCs/>
      <w:szCs w:val="24"/>
    </w:rPr>
  </w:style>
  <w:style w:type="paragraph" w:styleId="868">
    <w:name w:val="Plain Text"/>
    <w:basedOn w:val="843"/>
    <w:link w:val="911"/>
    <w:uiPriority w:val="0"/>
    <w:qFormat/>
    <w:rPr>
      <w:rFonts w:ascii="宋体" w:hAnsi="Courier New" w:cs="Courier New"/>
    </w:rPr>
  </w:style>
  <w:style w:type="paragraph" w:styleId="869">
    <w:name w:val="toc 8"/>
    <w:basedOn w:val="843"/>
    <w:next w:val="843"/>
    <w:uiPriority w:val="0"/>
    <w:semiHidden/>
    <w:qFormat/>
    <w:pPr>
      <w:ind w:left="1470"/>
      <w:jc w:val="left"/>
    </w:pPr>
  </w:style>
  <w:style w:type="paragraph" w:styleId="870">
    <w:name w:val="Date"/>
    <w:basedOn w:val="843"/>
    <w:next w:val="843"/>
    <w:link w:val="912"/>
    <w:uiPriority w:val="0"/>
    <w:qFormat/>
    <w:rPr>
      <w:sz w:val="24"/>
      <w:szCs w:val="24"/>
    </w:rPr>
  </w:style>
  <w:style w:type="paragraph" w:styleId="871">
    <w:name w:val="Body Text Indent 2"/>
    <w:basedOn w:val="843"/>
    <w:link w:val="913"/>
    <w:uiPriority w:val="0"/>
    <w:qFormat/>
    <w:pPr>
      <w:ind w:left="630" w:firstLine="645"/>
    </w:pPr>
    <w:rPr>
      <w:rFonts w:ascii="Arial" w:hAnsi="Arial" w:eastAsia="仿宋_GB2312" w:cs="Arial"/>
      <w:sz w:val="32"/>
      <w:szCs w:val="32"/>
    </w:rPr>
  </w:style>
  <w:style w:type="paragraph" w:styleId="872">
    <w:name w:val="Balloon Text"/>
    <w:basedOn w:val="843"/>
    <w:link w:val="914"/>
    <w:uiPriority w:val="0"/>
    <w:semiHidden/>
    <w:qFormat/>
    <w:rPr>
      <w:sz w:val="18"/>
      <w:szCs w:val="18"/>
    </w:rPr>
  </w:style>
  <w:style w:type="paragraph" w:styleId="873">
    <w:name w:val="Footer"/>
    <w:basedOn w:val="843"/>
    <w:link w:val="915"/>
    <w:uiPriority w:val="0"/>
    <w:qFormat/>
    <w:pPr>
      <w:jc w:val="left"/>
      <w:tabs>
        <w:tab w:val="center" w:pos="4153" w:leader="none"/>
        <w:tab w:val="right" w:pos="8306" w:leader="none"/>
      </w:tabs>
    </w:pPr>
    <w:rPr>
      <w:sz w:val="18"/>
      <w:szCs w:val="18"/>
    </w:rPr>
  </w:style>
  <w:style w:type="paragraph" w:styleId="874">
    <w:name w:val="Header"/>
    <w:basedOn w:val="843"/>
    <w:link w:val="916"/>
    <w:uiPriority w:val="0"/>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43"/>
    <w:next w:val="843"/>
    <w:uiPriority w:val="0"/>
    <w:semiHidden/>
    <w:qFormat/>
    <w:pPr>
      <w:jc w:val="left"/>
      <w:spacing w:before="120" w:after="120" w:line="400" w:lineRule="exact"/>
      <w:tabs>
        <w:tab w:val="right" w:pos="8720" w:leader="dot"/>
      </w:tabs>
    </w:pPr>
    <w:rPr>
      <w:rFonts w:ascii="宋体" w:hAnsi="宋体"/>
      <w:caps/>
      <w:sz w:val="24"/>
      <w:szCs w:val="24"/>
    </w:rPr>
  </w:style>
  <w:style w:type="paragraph" w:styleId="876">
    <w:name w:val="toc 4"/>
    <w:basedOn w:val="843"/>
    <w:next w:val="843"/>
    <w:uiPriority w:val="0"/>
    <w:semiHidden/>
    <w:qFormat/>
    <w:pPr>
      <w:ind w:left="630"/>
      <w:jc w:val="left"/>
    </w:pPr>
  </w:style>
  <w:style w:type="paragraph" w:styleId="877">
    <w:name w:val="List"/>
    <w:basedOn w:val="843"/>
    <w:uiPriority w:val="0"/>
    <w:qFormat/>
    <w:pPr>
      <w:ind w:left="200" w:hanging="200"/>
    </w:pPr>
  </w:style>
  <w:style w:type="paragraph" w:styleId="878">
    <w:name w:val="toc 6"/>
    <w:basedOn w:val="843"/>
    <w:next w:val="843"/>
    <w:uiPriority w:val="0"/>
    <w:semiHidden/>
    <w:qFormat/>
    <w:pPr>
      <w:ind w:left="1050"/>
      <w:jc w:val="left"/>
    </w:pPr>
  </w:style>
  <w:style w:type="paragraph" w:styleId="879">
    <w:name w:val="Body Text Indent 3"/>
    <w:basedOn w:val="843"/>
    <w:link w:val="917"/>
    <w:uiPriority w:val="0"/>
    <w:qFormat/>
    <w:pPr>
      <w:ind w:left="645" w:firstLine="645"/>
    </w:pPr>
    <w:rPr>
      <w:rFonts w:ascii="Arial" w:hAnsi="Arial" w:eastAsia="仿宋_GB2312" w:cs="Arial"/>
      <w:color w:val="ffff00"/>
      <w:sz w:val="32"/>
      <w:szCs w:val="32"/>
    </w:rPr>
  </w:style>
  <w:style w:type="paragraph" w:styleId="880">
    <w:name w:val="table of figures"/>
    <w:basedOn w:val="843"/>
    <w:next w:val="843"/>
    <w:uiPriority w:val="0"/>
    <w:semiHidden/>
    <w:qFormat/>
    <w:pPr>
      <w:ind w:left="840" w:hanging="420"/>
    </w:pPr>
  </w:style>
  <w:style w:type="paragraph" w:styleId="881">
    <w:name w:val="toc 2"/>
    <w:basedOn w:val="843"/>
    <w:next w:val="843"/>
    <w:uiPriority w:val="0"/>
    <w:semiHidden/>
    <w:qFormat/>
    <w:pPr>
      <w:ind w:left="210"/>
      <w:jc w:val="left"/>
    </w:pPr>
    <w:rPr>
      <w:smallCaps/>
      <w:szCs w:val="24"/>
    </w:rPr>
  </w:style>
  <w:style w:type="paragraph" w:styleId="882">
    <w:name w:val="toc 9"/>
    <w:basedOn w:val="843"/>
    <w:next w:val="843"/>
    <w:uiPriority w:val="0"/>
    <w:semiHidden/>
    <w:qFormat/>
    <w:pPr>
      <w:ind w:left="1680"/>
      <w:jc w:val="left"/>
    </w:pPr>
  </w:style>
  <w:style w:type="paragraph" w:styleId="883">
    <w:name w:val="Body Text 2"/>
    <w:basedOn w:val="843"/>
    <w:link w:val="918"/>
    <w:uiPriority w:val="0"/>
    <w:qFormat/>
    <w:pPr>
      <w:jc w:val="center"/>
      <w:widowControl/>
    </w:pPr>
    <w:rPr>
      <w:rFonts w:ascii="楷体_GB2312" w:eastAsia="楷体_GB2312"/>
      <w:sz w:val="28"/>
      <w:szCs w:val="28"/>
    </w:rPr>
  </w:style>
  <w:style w:type="paragraph" w:styleId="884">
    <w:name w:val="Normal (Web)"/>
    <w:basedOn w:val="843"/>
    <w:uiPriority w:val="99"/>
    <w:qFormat/>
    <w:pPr>
      <w:jc w:val="left"/>
      <w:spacing w:before="100" w:beforeAutospacing="1" w:after="100" w:afterAutospacing="1"/>
      <w:widowControl/>
    </w:pPr>
    <w:rPr>
      <w:rFonts w:ascii="宋体" w:hAnsi="宋体" w:cs="宋体"/>
      <w:sz w:val="24"/>
      <w:szCs w:val="24"/>
    </w:rPr>
  </w:style>
  <w:style w:type="paragraph" w:styleId="885">
    <w:name w:val="index 1"/>
    <w:basedOn w:val="843"/>
    <w:next w:val="843"/>
    <w:uiPriority w:val="0"/>
    <w:semiHidden/>
    <w:qFormat/>
    <w:pPr>
      <w:spacing w:line="240" w:lineRule="atLeast"/>
    </w:pPr>
    <w:rPr>
      <w:b/>
      <w:bCs/>
    </w:rPr>
  </w:style>
  <w:style w:type="paragraph" w:styleId="886">
    <w:name w:val="annotation subject"/>
    <w:basedOn w:val="862"/>
    <w:next w:val="862"/>
    <w:link w:val="919"/>
    <w:uiPriority w:val="0"/>
    <w:semiHidden/>
    <w:qFormat/>
    <w:rPr>
      <w:b/>
      <w:bCs/>
    </w:rPr>
  </w:style>
  <w:style w:type="paragraph" w:styleId="887">
    <w:name w:val="Body Text First Indent"/>
    <w:basedOn w:val="843"/>
    <w:link w:val="920"/>
    <w:uiPriority w:val="0"/>
    <w:qFormat/>
    <w:pPr>
      <w:ind w:firstLine="200"/>
      <w:spacing w:line="360" w:lineRule="auto"/>
    </w:pPr>
    <w:rPr>
      <w:rFonts w:ascii="仿宋_GB2312" w:eastAsia="仿宋_GB2312"/>
      <w:sz w:val="30"/>
      <w:szCs w:val="30"/>
    </w:rPr>
  </w:style>
  <w:style w:type="table" w:styleId="888">
    <w:name w:val="Table Grid"/>
    <w:basedOn w:val="85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uiPriority w:val="0"/>
    <w:qFormat/>
    <w:rPr>
      <w:b/>
      <w:bCs/>
    </w:rPr>
  </w:style>
  <w:style w:type="character" w:styleId="890">
    <w:name w:val="page number"/>
    <w:uiPriority w:val="0"/>
    <w:qFormat/>
  </w:style>
  <w:style w:type="character" w:styleId="891">
    <w:name w:val="FollowedHyperlink"/>
    <w:uiPriority w:val="0"/>
    <w:qFormat/>
    <w:rPr>
      <w:color w:val="800080"/>
      <w:u w:val="single"/>
    </w:rPr>
  </w:style>
  <w:style w:type="character" w:styleId="892">
    <w:name w:val="Emphasis"/>
    <w:uiPriority w:val="0"/>
    <w:qFormat/>
    <w:rPr>
      <w:i/>
    </w:rPr>
  </w:style>
  <w:style w:type="character" w:styleId="893">
    <w:name w:val="Hyperlink"/>
    <w:uiPriority w:val="0"/>
    <w:qFormat/>
    <w:rPr>
      <w:color w:val="0000ff"/>
      <w:u w:val="single"/>
    </w:rPr>
  </w:style>
  <w:style w:type="character" w:styleId="894">
    <w:name w:val="annotation reference"/>
    <w:uiPriority w:val="0"/>
    <w:semiHidden/>
    <w:qFormat/>
    <w:rPr>
      <w:sz w:val="21"/>
      <w:szCs w:val="21"/>
    </w:rPr>
  </w:style>
  <w:style w:type="character" w:styleId="895" w:customStyle="1">
    <w:name w:val="正文文本缩进 Char"/>
    <w:link w:val="856"/>
    <w:uiPriority w:val="0"/>
    <w:qFormat/>
    <w:rPr>
      <w:rFonts w:ascii="楷体_GB2312" w:hAnsi="Times New Roman" w:eastAsia="楷体_GB2312" w:cs="Times New Roman"/>
      <w:sz w:val="32"/>
      <w:szCs w:val="32"/>
    </w:rPr>
  </w:style>
  <w:style w:type="character" w:styleId="896" w:customStyle="1">
    <w:name w:val="正文首行缩进 2 Char"/>
    <w:link w:val="855"/>
    <w:uiPriority w:val="0"/>
    <w:qFormat/>
    <w:rPr>
      <w:rFonts w:ascii="宋体" w:hAnsi="宋体" w:eastAsia="宋体" w:cs="Times New Roman"/>
      <w:sz w:val="32"/>
      <w:szCs w:val="20"/>
    </w:rPr>
  </w:style>
  <w:style w:type="character" w:styleId="897" w:customStyle="1">
    <w:name w:val="标题 1 Char"/>
    <w:link w:val="844"/>
    <w:uiPriority w:val="0"/>
    <w:qFormat/>
    <w:rPr>
      <w:rFonts w:ascii="楷体_GB2312" w:hAnsi="Times New Roman" w:eastAsia="楷体_GB2312" w:cs="Times New Roman"/>
      <w:sz w:val="28"/>
      <w:szCs w:val="28"/>
    </w:rPr>
  </w:style>
  <w:style w:type="character" w:styleId="898" w:customStyle="1">
    <w:name w:val="标题 2 Char"/>
    <w:link w:val="845"/>
    <w:uiPriority w:val="0"/>
    <w:qFormat/>
    <w:rPr>
      <w:rFonts w:ascii="Arial" w:hAnsi="Arial" w:eastAsia="幼圆" w:cs="Arial"/>
      <w:b/>
      <w:bCs/>
      <w:sz w:val="44"/>
      <w:szCs w:val="44"/>
    </w:rPr>
  </w:style>
  <w:style w:type="character" w:styleId="899" w:customStyle="1">
    <w:name w:val="正文缩进 Char"/>
    <w:link w:val="858"/>
    <w:uiPriority w:val="0"/>
    <w:qFormat/>
    <w:rPr>
      <w:rFonts w:ascii="Times New Roman" w:hAnsi="Times New Roman" w:eastAsia="宋体" w:cs="Times New Roman"/>
      <w:szCs w:val="21"/>
    </w:rPr>
  </w:style>
  <w:style w:type="character" w:styleId="900" w:customStyle="1">
    <w:name w:val="标题 3 Char"/>
    <w:link w:val="846"/>
    <w:uiPriority w:val="0"/>
    <w:qFormat/>
    <w:rPr>
      <w:rFonts w:ascii="Times New Roman" w:hAnsi="Times New Roman" w:eastAsia="宋体" w:cs="Times New Roman"/>
      <w:b/>
      <w:bCs/>
      <w:sz w:val="32"/>
      <w:szCs w:val="32"/>
    </w:rPr>
  </w:style>
  <w:style w:type="character" w:styleId="901" w:customStyle="1">
    <w:name w:val="标题 4 Char"/>
    <w:link w:val="847"/>
    <w:uiPriority w:val="0"/>
    <w:qFormat/>
    <w:rPr>
      <w:rFonts w:ascii="Arial" w:hAnsi="Arial" w:eastAsia="黑体" w:cs="Arial"/>
      <w:b/>
      <w:bCs/>
      <w:sz w:val="28"/>
      <w:szCs w:val="28"/>
    </w:rPr>
  </w:style>
  <w:style w:type="character" w:styleId="902" w:customStyle="1">
    <w:name w:val="标题 5 Char"/>
    <w:link w:val="848"/>
    <w:uiPriority w:val="0"/>
    <w:qFormat/>
    <w:rPr>
      <w:rFonts w:ascii="宋体" w:hAnsi="Times New Roman" w:eastAsia="宋体" w:cs="Times New Roman"/>
      <w:color w:val="000000"/>
      <w:sz w:val="28"/>
      <w:szCs w:val="28"/>
    </w:rPr>
  </w:style>
  <w:style w:type="character" w:styleId="903" w:customStyle="1">
    <w:name w:val="标题 6 Char"/>
    <w:link w:val="849"/>
    <w:uiPriority w:val="0"/>
    <w:qFormat/>
    <w:rPr>
      <w:rFonts w:ascii="Arial" w:hAnsi="Arial" w:eastAsia="黑体" w:cs="Times New Roman"/>
      <w:b/>
      <w:bCs/>
      <w:sz w:val="24"/>
      <w:szCs w:val="24"/>
    </w:rPr>
  </w:style>
  <w:style w:type="character" w:styleId="904" w:customStyle="1">
    <w:name w:val="标题 7 Char"/>
    <w:link w:val="850"/>
    <w:uiPriority w:val="0"/>
    <w:qFormat/>
    <w:rPr>
      <w:rFonts w:ascii="Times New Roman" w:hAnsi="Times New Roman" w:eastAsia="宋体" w:cs="Times New Roman"/>
      <w:b/>
      <w:bCs/>
      <w:sz w:val="24"/>
      <w:szCs w:val="24"/>
    </w:rPr>
  </w:style>
  <w:style w:type="character" w:styleId="905" w:customStyle="1">
    <w:name w:val="标题 8 Char"/>
    <w:link w:val="851"/>
    <w:uiPriority w:val="0"/>
    <w:qFormat/>
    <w:rPr>
      <w:rFonts w:ascii="Arial" w:hAnsi="Arial" w:eastAsia="黑体" w:cs="Times New Roman"/>
      <w:sz w:val="24"/>
      <w:szCs w:val="24"/>
    </w:rPr>
  </w:style>
  <w:style w:type="character" w:styleId="906" w:customStyle="1">
    <w:name w:val="标题 9 Char"/>
    <w:link w:val="852"/>
    <w:uiPriority w:val="0"/>
    <w:qFormat/>
    <w:rPr>
      <w:rFonts w:ascii="Arial" w:hAnsi="Arial" w:eastAsia="黑体" w:cs="Times New Roman"/>
      <w:szCs w:val="21"/>
    </w:rPr>
  </w:style>
  <w:style w:type="character" w:styleId="907" w:customStyle="1">
    <w:name w:val="文档结构图 Char"/>
    <w:link w:val="861"/>
    <w:uiPriority w:val="0"/>
    <w:semiHidden/>
    <w:qFormat/>
    <w:rPr>
      <w:rFonts w:ascii="Times New Roman" w:hAnsi="Times New Roman" w:eastAsia="宋体" w:cs="Times New Roman"/>
      <w:szCs w:val="21"/>
      <w:shd w:val="clear" w:color="auto" w:fill="000080"/>
    </w:rPr>
  </w:style>
  <w:style w:type="character" w:styleId="908" w:customStyle="1">
    <w:name w:val="批注文字 Char"/>
    <w:link w:val="862"/>
    <w:uiPriority w:val="0"/>
    <w:semiHidden/>
    <w:qFormat/>
    <w:rPr>
      <w:rFonts w:ascii="Times New Roman" w:hAnsi="Times New Roman" w:eastAsia="宋体" w:cs="Times New Roman"/>
      <w:szCs w:val="21"/>
    </w:rPr>
  </w:style>
  <w:style w:type="character" w:styleId="909" w:customStyle="1">
    <w:name w:val="正文文本 3 Char"/>
    <w:link w:val="863"/>
    <w:uiPriority w:val="0"/>
    <w:qFormat/>
    <w:rPr>
      <w:rFonts w:ascii="仿宋_GB2312" w:hAnsi="Arial" w:eastAsia="仿宋_GB2312" w:cs="Times New Roman"/>
      <w:sz w:val="32"/>
      <w:szCs w:val="32"/>
    </w:rPr>
  </w:style>
  <w:style w:type="character" w:styleId="910" w:customStyle="1">
    <w:name w:val="正文文本 Char"/>
    <w:link w:val="864"/>
    <w:uiPriority w:val="0"/>
    <w:qFormat/>
    <w:rPr>
      <w:rFonts w:ascii="楷体_GB2312" w:hAnsi="Arial" w:eastAsia="楷体_GB2312" w:cs="Times New Roman"/>
      <w:sz w:val="28"/>
      <w:szCs w:val="28"/>
    </w:rPr>
  </w:style>
  <w:style w:type="character" w:styleId="911" w:customStyle="1">
    <w:name w:val="纯文本 Char"/>
    <w:link w:val="868"/>
    <w:uiPriority w:val="0"/>
    <w:qFormat/>
    <w:rPr>
      <w:rFonts w:ascii="宋体" w:hAnsi="Courier New" w:eastAsia="宋体" w:cs="Courier New"/>
      <w:szCs w:val="21"/>
    </w:rPr>
  </w:style>
  <w:style w:type="character" w:styleId="912" w:customStyle="1">
    <w:name w:val="日期 Char"/>
    <w:link w:val="870"/>
    <w:uiPriority w:val="0"/>
    <w:qFormat/>
    <w:rPr>
      <w:rFonts w:ascii="Times New Roman" w:hAnsi="Times New Roman" w:eastAsia="宋体" w:cs="Times New Roman"/>
      <w:sz w:val="24"/>
      <w:szCs w:val="24"/>
    </w:rPr>
  </w:style>
  <w:style w:type="character" w:styleId="913" w:customStyle="1">
    <w:name w:val="正文文本缩进 2 Char"/>
    <w:link w:val="871"/>
    <w:uiPriority w:val="0"/>
    <w:qFormat/>
    <w:rPr>
      <w:rFonts w:ascii="Arial" w:hAnsi="Arial" w:eastAsia="仿宋_GB2312" w:cs="Arial"/>
      <w:sz w:val="32"/>
      <w:szCs w:val="32"/>
    </w:rPr>
  </w:style>
  <w:style w:type="character" w:styleId="914" w:customStyle="1">
    <w:name w:val="批注框文本 Char"/>
    <w:link w:val="872"/>
    <w:uiPriority w:val="0"/>
    <w:semiHidden/>
    <w:qFormat/>
    <w:rPr>
      <w:rFonts w:ascii="Times New Roman" w:hAnsi="Times New Roman" w:eastAsia="宋体" w:cs="Times New Roman"/>
      <w:sz w:val="18"/>
      <w:szCs w:val="18"/>
    </w:rPr>
  </w:style>
  <w:style w:type="character" w:styleId="915" w:customStyle="1">
    <w:name w:val="页脚 Char"/>
    <w:link w:val="873"/>
    <w:uiPriority w:val="0"/>
    <w:qFormat/>
    <w:rPr>
      <w:rFonts w:ascii="Times New Roman" w:hAnsi="Times New Roman" w:eastAsia="宋体" w:cs="Times New Roman"/>
      <w:sz w:val="18"/>
      <w:szCs w:val="18"/>
    </w:rPr>
  </w:style>
  <w:style w:type="character" w:styleId="916" w:customStyle="1">
    <w:name w:val="页眉 Char"/>
    <w:link w:val="874"/>
    <w:uiPriority w:val="0"/>
    <w:qFormat/>
    <w:rPr>
      <w:rFonts w:ascii="Times New Roman" w:hAnsi="Times New Roman" w:eastAsia="宋体" w:cs="Times New Roman"/>
      <w:sz w:val="18"/>
      <w:szCs w:val="18"/>
    </w:rPr>
  </w:style>
  <w:style w:type="character" w:styleId="917" w:customStyle="1">
    <w:name w:val="正文文本缩进 3 Char"/>
    <w:link w:val="879"/>
    <w:uiPriority w:val="0"/>
    <w:qFormat/>
    <w:rPr>
      <w:rFonts w:ascii="Arial" w:hAnsi="Arial" w:eastAsia="仿宋_GB2312" w:cs="Arial"/>
      <w:color w:val="ffff00"/>
      <w:sz w:val="32"/>
      <w:szCs w:val="32"/>
    </w:rPr>
  </w:style>
  <w:style w:type="character" w:styleId="918" w:customStyle="1">
    <w:name w:val="正文文本 2 Char"/>
    <w:link w:val="883"/>
    <w:uiPriority w:val="0"/>
    <w:qFormat/>
    <w:rPr>
      <w:rFonts w:ascii="楷体_GB2312" w:hAnsi="Times New Roman" w:eastAsia="楷体_GB2312" w:cs="Times New Roman"/>
      <w:sz w:val="28"/>
      <w:szCs w:val="28"/>
    </w:rPr>
  </w:style>
  <w:style w:type="character" w:styleId="919" w:customStyle="1">
    <w:name w:val="批注主题 Char"/>
    <w:link w:val="886"/>
    <w:uiPriority w:val="0"/>
    <w:semiHidden/>
    <w:qFormat/>
    <w:rPr>
      <w:rFonts w:ascii="Times New Roman" w:hAnsi="Times New Roman" w:eastAsia="宋体" w:cs="Times New Roman"/>
      <w:b/>
      <w:bCs/>
      <w:szCs w:val="21"/>
    </w:rPr>
  </w:style>
  <w:style w:type="character" w:styleId="920" w:customStyle="1">
    <w:name w:val="正文首行缩进 Char"/>
    <w:link w:val="887"/>
    <w:uiPriority w:val="0"/>
    <w:qFormat/>
    <w:rPr>
      <w:rFonts w:ascii="仿宋_GB2312" w:hAnsi="Times New Roman" w:eastAsia="仿宋_GB2312" w:cs="Times New Roman"/>
      <w:sz w:val="30"/>
      <w:szCs w:val="30"/>
    </w:rPr>
  </w:style>
  <w:style w:type="paragraph" w:styleId="921" w:customStyle="1">
    <w:name w:val="索引 41"/>
    <w:basedOn w:val="843"/>
    <w:next w:val="843"/>
    <w:uiPriority w:val="0"/>
    <w:semiHidden/>
    <w:qFormat/>
    <w:pPr>
      <w:ind w:left="1260"/>
    </w:pPr>
    <w:rPr>
      <w:rFonts w:ascii="Calibri" w:hAnsi="Calibri" w:eastAsia="Calibri" w:cs="宋体"/>
      <w:sz w:val="20"/>
      <w:lang w:val="zh-CN"/>
    </w:rPr>
  </w:style>
  <w:style w:type="paragraph" w:styleId="922" w:customStyle="1">
    <w:name w:val="正文首行缩进 21"/>
    <w:basedOn w:val="923"/>
    <w:next w:val="843"/>
    <w:uiPriority w:val="0"/>
    <w:qFormat/>
    <w:pPr>
      <w:ind w:firstLine="420"/>
      <w:spacing w:line="360" w:lineRule="auto"/>
    </w:pPr>
    <w:rPr>
      <w:rFonts w:ascii="宋体" w:hAnsi="宋体" w:eastAsia="宋体"/>
      <w:sz w:val="21"/>
      <w:szCs w:val="20"/>
    </w:rPr>
  </w:style>
  <w:style w:type="paragraph" w:styleId="923" w:customStyle="1">
    <w:name w:val="正文文本缩进11"/>
    <w:basedOn w:val="843"/>
    <w:next w:val="924"/>
    <w:uiPriority w:val="0"/>
    <w:qFormat/>
    <w:pPr>
      <w:ind w:firstLine="645"/>
    </w:pPr>
    <w:rPr>
      <w:rFonts w:ascii="楷体_GB2312" w:eastAsia="楷体_GB2312"/>
      <w:sz w:val="32"/>
      <w:szCs w:val="32"/>
    </w:rPr>
  </w:style>
  <w:style w:type="paragraph" w:styleId="924" w:customStyle="1">
    <w:name w:val="寄信人地址1"/>
    <w:basedOn w:val="843"/>
    <w:uiPriority w:val="0"/>
    <w:qFormat/>
    <w:rPr>
      <w:rFonts w:ascii="Arial" w:hAnsi="Arial" w:eastAsia="宋体" w:cs="宋体"/>
    </w:rPr>
  </w:style>
  <w:style w:type="paragraph" w:styleId="925" w:customStyle="1">
    <w:name w:val="标题 41"/>
    <w:basedOn w:val="843"/>
    <w:next w:val="926"/>
    <w:uiPriority w:val="0"/>
    <w:qFormat/>
    <w:pPr>
      <w:keepLines/>
      <w:keepNext/>
      <w:spacing w:before="280" w:after="290" w:line="376" w:lineRule="auto"/>
      <w:outlineLvl w:val="3"/>
    </w:pPr>
    <w:rPr>
      <w:rFonts w:ascii="Arial" w:hAnsi="Arial" w:eastAsia="黑体" w:cs="Arial"/>
      <w:b/>
      <w:bCs/>
      <w:sz w:val="28"/>
      <w:szCs w:val="28"/>
    </w:rPr>
  </w:style>
  <w:style w:type="paragraph" w:styleId="926" w:customStyle="1">
    <w:name w:val="正文缩进1"/>
    <w:basedOn w:val="843"/>
    <w:uiPriority w:val="0"/>
    <w:qFormat/>
    <w:pPr>
      <w:ind w:firstLine="420"/>
    </w:pPr>
  </w:style>
  <w:style w:type="paragraph" w:styleId="927" w:customStyle="1">
    <w:name w:val="正文文本12"/>
    <w:basedOn w:val="843"/>
    <w:uiPriority w:val="1"/>
    <w:qFormat/>
    <w:pPr>
      <w:ind w:left="120"/>
    </w:pPr>
    <w:rPr>
      <w:rFonts w:ascii="宋体" w:hAnsi="宋体" w:eastAsia="宋体" w:cs="宋体"/>
      <w:sz w:val="21"/>
      <w:szCs w:val="21"/>
      <w:lang w:val="zh-CN" w:eastAsia="zh-CN" w:bidi="zh-CN"/>
    </w:rPr>
  </w:style>
  <w:style w:type="character" w:styleId="928" w:customStyle="1">
    <w:name w:val="font5 Char"/>
    <w:uiPriority w:val="0"/>
    <w:qFormat/>
    <w:rPr>
      <w:rFonts w:ascii="宋体" w:hAnsi="宋体" w:eastAsia="宋体"/>
      <w:sz w:val="28"/>
      <w:szCs w:val="28"/>
      <w:lang w:val="en-US" w:eastAsia="zh-CN" w:bidi="ar-SA"/>
    </w:rPr>
  </w:style>
  <w:style w:type="character" w:styleId="929" w:customStyle="1">
    <w:name w:val="二级目录 Char"/>
    <w:link w:val="930"/>
    <w:uiPriority w:val="0"/>
    <w:qFormat/>
    <w:rPr>
      <w:b/>
      <w:sz w:val="30"/>
      <w:szCs w:val="28"/>
    </w:rPr>
  </w:style>
  <w:style w:type="paragraph" w:styleId="930" w:customStyle="1">
    <w:name w:val="二级目录"/>
    <w:next w:val="843"/>
    <w:link w:val="929"/>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31" w:customStyle="1">
    <w:name w:val="列出段落 Char"/>
    <w:link w:val="932"/>
    <w:uiPriority w:val="0"/>
    <w:qFormat/>
    <w:rPr>
      <w:rFonts w:ascii="Calibri" w:hAnsi="Calibri"/>
      <w:sz w:val="24"/>
      <w:szCs w:val="24"/>
      <w:lang w:eastAsia="en-US" w:bidi="en-US"/>
    </w:rPr>
  </w:style>
  <w:style w:type="paragraph" w:styleId="932" w:customStyle="1">
    <w:name w:val="列出段落1"/>
    <w:basedOn w:val="843"/>
    <w:link w:val="931"/>
    <w:uiPriority w:val="0"/>
    <w:qFormat/>
    <w:pPr>
      <w:contextualSpacing/>
      <w:ind w:left="720"/>
      <w:jc w:val="left"/>
      <w:widowControl/>
    </w:pPr>
    <w:rPr>
      <w:rFonts w:ascii="Calibri" w:hAnsi="Calibri" w:eastAsia="宋体" w:cs="Times New Roman"/>
      <w:sz w:val="24"/>
      <w:szCs w:val="24"/>
      <w:lang w:eastAsia="en-US" w:bidi="en-US"/>
    </w:rPr>
  </w:style>
  <w:style w:type="paragraph" w:styleId="933" w:customStyle="1">
    <w:name w:val="Body Text(ch)"/>
    <w:basedOn w:val="843"/>
    <w:next w:val="864"/>
    <w:uiPriority w:val="0"/>
    <w:qFormat/>
    <w:pPr>
      <w:spacing w:after="120"/>
    </w:pPr>
    <w:rPr>
      <w:rFonts w:ascii="宋体" w:hAnsi="Arial"/>
      <w:bCs/>
      <w:iCs/>
      <w:szCs w:val="24"/>
    </w:rPr>
  </w:style>
  <w:style w:type="paragraph" w:styleId="934" w:customStyle="1">
    <w:name w:val="xl27"/>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5" w:customStyle="1">
    <w:name w:val="xl26"/>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6" w:customStyle="1">
    <w:name w:val="Char"/>
    <w:basedOn w:val="843"/>
    <w:uiPriority w:val="0"/>
    <w:qFormat/>
    <w:pPr>
      <w:ind w:firstLine="200"/>
      <w:tabs>
        <w:tab w:val="left" w:pos="360" w:leader="none"/>
      </w:tabs>
    </w:pPr>
    <w:rPr>
      <w:sz w:val="28"/>
      <w:szCs w:val="30"/>
    </w:rPr>
  </w:style>
  <w:style w:type="paragraph" w:styleId="937" w:customStyle="1">
    <w:name w:val=" Char"/>
    <w:basedOn w:val="861"/>
    <w:uiPriority w:val="0"/>
    <w:qFormat/>
    <w:rPr>
      <w:rFonts w:ascii="Tahoma" w:hAnsi="Tahoma"/>
      <w:sz w:val="24"/>
      <w:szCs w:val="24"/>
    </w:rPr>
  </w:style>
  <w:style w:type="paragraph" w:styleId="938" w:customStyle="1">
    <w:name w:val="普通正文"/>
    <w:basedOn w:val="843"/>
    <w:uiPriority w:val="0"/>
    <w:qFormat/>
    <w:pPr>
      <w:ind w:firstLine="480"/>
      <w:jc w:val="left"/>
      <w:spacing w:before="120" w:after="120" w:line="360" w:lineRule="auto"/>
    </w:pPr>
    <w:rPr>
      <w:rFonts w:ascii="Arial" w:hAnsi="Arial"/>
      <w:sz w:val="24"/>
      <w:szCs w:val="24"/>
    </w:rPr>
  </w:style>
  <w:style w:type="paragraph" w:styleId="939" w:customStyle="1">
    <w:name w:val="table_lines"/>
    <w:basedOn w:val="843"/>
    <w:uiPriority w:val="0"/>
    <w:qFormat/>
    <w:pPr>
      <w:jc w:val="left"/>
      <w:widowControl/>
    </w:pPr>
    <w:rPr>
      <w:sz w:val="20"/>
      <w:szCs w:val="20"/>
      <w:lang w:val="de-DE" w:eastAsia="de-DE"/>
    </w:rPr>
  </w:style>
  <w:style w:type="paragraph" w:styleId="94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41" w:customStyle="1">
    <w:name w:val="font7"/>
    <w:basedOn w:val="843"/>
    <w:uiPriority w:val="0"/>
    <w:qFormat/>
    <w:pPr>
      <w:jc w:val="left"/>
      <w:spacing w:before="100" w:beforeAutospacing="1" w:after="100" w:afterAutospacing="1"/>
      <w:widowControl/>
    </w:pPr>
    <w:rPr>
      <w:rFonts w:hint="eastAsia" w:ascii="宋体" w:hAnsi="宋体"/>
      <w:sz w:val="18"/>
      <w:szCs w:val="18"/>
    </w:rPr>
  </w:style>
  <w:style w:type="paragraph" w:styleId="942" w:customStyle="1">
    <w:name w:val=" Char Char Char Char"/>
    <w:basedOn w:val="861"/>
    <w:uiPriority w:val="0"/>
    <w:qFormat/>
    <w:pPr>
      <w:spacing w:line="360" w:lineRule="auto"/>
    </w:pPr>
    <w:rPr>
      <w:rFonts w:ascii="Tahoma" w:hAnsi="Tahoma"/>
      <w:sz w:val="24"/>
      <w:szCs w:val="24"/>
    </w:rPr>
  </w:style>
  <w:style w:type="paragraph" w:styleId="943">
    <w:name w:val="List Paragraph"/>
    <w:basedOn w:val="843"/>
    <w:uiPriority w:val="0"/>
    <w:qFormat/>
    <w:pPr>
      <w:contextualSpacing/>
      <w:ind w:left="720"/>
      <w:jc w:val="left"/>
      <w:widowControl/>
    </w:pPr>
    <w:rPr>
      <w:rFonts w:ascii="Calibri" w:hAnsi="Calibri"/>
      <w:sz w:val="24"/>
      <w:szCs w:val="24"/>
      <w:lang w:eastAsia="en-US" w:bidi="en-US"/>
    </w:rPr>
  </w:style>
  <w:style w:type="paragraph" w:styleId="944" w:customStyle="1">
    <w:name w:val="4"/>
    <w:basedOn w:val="843"/>
    <w:next w:val="879"/>
    <w:uiPriority w:val="0"/>
    <w:qFormat/>
    <w:pPr>
      <w:ind w:firstLine="420"/>
      <w:spacing w:line="360" w:lineRule="auto"/>
    </w:pPr>
    <w:rPr>
      <w:color w:val="ff0000"/>
      <w:sz w:val="24"/>
      <w:szCs w:val="24"/>
    </w:rPr>
  </w:style>
  <w:style w:type="paragraph" w:styleId="945" w:customStyle="1">
    <w:name w:val="普通 (Web)"/>
    <w:basedOn w:val="843"/>
    <w:uiPriority w:val="0"/>
    <w:qFormat/>
    <w:pPr>
      <w:jc w:val="left"/>
      <w:spacing w:before="100" w:beforeAutospacing="1" w:after="100" w:afterAutospacing="1"/>
      <w:widowControl/>
    </w:pPr>
    <w:rPr>
      <w:rFonts w:ascii="宋体" w:hAnsi="宋体"/>
      <w:sz w:val="24"/>
      <w:szCs w:val="24"/>
    </w:rPr>
  </w:style>
  <w:style w:type="paragraph" w:styleId="946" w:customStyle="1">
    <w:name w:val=" Char Char Char Char Char Char Char Char Char Char"/>
    <w:basedOn w:val="843"/>
    <w:uiPriority w:val="0"/>
    <w:qFormat/>
    <w:pPr>
      <w:spacing w:line="360" w:lineRule="auto"/>
    </w:pPr>
    <w:rPr>
      <w:sz w:val="24"/>
      <w:szCs w:val="20"/>
    </w:rPr>
  </w:style>
  <w:style w:type="paragraph" w:styleId="947" w:customStyle="1">
    <w:name w:val="样式1"/>
    <w:basedOn w:val="843"/>
    <w:uiPriority w:val="0"/>
    <w:qFormat/>
    <w:pPr>
      <w:numPr>
        <w:ilvl w:val="0"/>
        <w:numId w:val="3"/>
      </w:numPr>
    </w:pPr>
    <w:rPr>
      <w:rFonts w:ascii="宋体" w:hAnsi="宋体"/>
    </w:rPr>
  </w:style>
  <w:style w:type="paragraph" w:styleId="948" w:customStyle="1">
    <w:name w:val="font6"/>
    <w:basedOn w:val="843"/>
    <w:uiPriority w:val="0"/>
    <w:qFormat/>
    <w:pPr>
      <w:jc w:val="left"/>
      <w:spacing w:before="100" w:beforeAutospacing="1" w:after="100" w:afterAutospacing="1"/>
      <w:widowControl/>
    </w:pPr>
    <w:rPr>
      <w:rFonts w:hint="eastAsia" w:ascii="宋体" w:hAnsi="宋体"/>
      <w:sz w:val="28"/>
      <w:szCs w:val="28"/>
      <w:u w:val="single"/>
    </w:rPr>
  </w:style>
  <w:style w:type="paragraph" w:styleId="949" w:customStyle="1">
    <w:name w:val="xl25"/>
    <w:basedOn w:val="84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0" w:customStyle="1">
    <w:name w:val="图标"/>
    <w:basedOn w:val="843"/>
    <w:next w:val="84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1" w:customStyle="1">
    <w:name w:val="标题3"/>
    <w:basedOn w:val="843"/>
    <w:next w:val="843"/>
    <w:uiPriority w:val="0"/>
    <w:qFormat/>
    <w:pPr>
      <w:ind w:firstLine="624"/>
      <w:spacing w:line="590" w:lineRule="atLeast"/>
    </w:pPr>
    <w:rPr>
      <w:rFonts w:ascii="方正黑体_GBK" w:eastAsia="方正黑体_GBK"/>
      <w:sz w:val="32"/>
      <w:szCs w:val="32"/>
    </w:rPr>
  </w:style>
  <w:style w:type="paragraph" w:styleId="952" w:customStyle="1">
    <w:name w:val="xl24"/>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3" w:customStyle="1">
    <w:name w:val="xl29"/>
    <w:basedOn w:val="843"/>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4" w:customStyle="1">
    <w:name w:val="Char Char Char Char Char Char Char Char"/>
    <w:basedOn w:val="843"/>
    <w:uiPriority w:val="0"/>
    <w:qFormat/>
    <w:pPr>
      <w:jc w:val="left"/>
      <w:spacing w:after="160" w:line="240" w:lineRule="exact"/>
      <w:widowControl/>
    </w:pPr>
    <w:rPr>
      <w:rFonts w:ascii="Verdana" w:hAnsi="Verdana"/>
      <w:sz w:val="20"/>
      <w:szCs w:val="20"/>
      <w:lang w:eastAsia="en-US"/>
    </w:rPr>
  </w:style>
  <w:style w:type="paragraph" w:styleId="955" w:customStyle="1">
    <w:name w:val="xl28"/>
    <w:basedOn w:val="84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6" w:customStyle="1">
    <w:name w:val=" Char Char Char Char Char Char Char Char"/>
    <w:basedOn w:val="843"/>
    <w:uiPriority w:val="0"/>
    <w:qFormat/>
    <w:pPr>
      <w:jc w:val="left"/>
      <w:spacing w:after="160" w:line="240" w:lineRule="exact"/>
      <w:widowControl/>
    </w:pPr>
    <w:rPr>
      <w:rFonts w:ascii="Verdana" w:hAnsi="Verdana"/>
      <w:sz w:val="20"/>
      <w:szCs w:val="20"/>
      <w:lang w:eastAsia="en-US"/>
    </w:rPr>
  </w:style>
  <w:style w:type="paragraph" w:styleId="957" w:customStyle="1">
    <w:name w:val="xl30"/>
    <w:basedOn w:val="843"/>
    <w:uiPriority w:val="0"/>
    <w:qFormat/>
    <w:pPr>
      <w:jc w:val="center"/>
      <w:spacing w:before="100" w:beforeAutospacing="1" w:after="100" w:afterAutospacing="1"/>
      <w:widowControl/>
    </w:pPr>
    <w:rPr>
      <w:rFonts w:ascii="宋体" w:hAnsi="宋体"/>
      <w:b/>
      <w:bCs/>
      <w:sz w:val="36"/>
      <w:szCs w:val="36"/>
    </w:rPr>
  </w:style>
  <w:style w:type="paragraph" w:styleId="958" w:customStyle="1">
    <w:name w:val="Char Char Char Char"/>
    <w:basedOn w:val="861"/>
    <w:uiPriority w:val="0"/>
    <w:qFormat/>
    <w:pPr>
      <w:spacing w:line="360" w:lineRule="auto"/>
    </w:pPr>
    <w:rPr>
      <w:rFonts w:ascii="Tahoma" w:hAnsi="Tahoma"/>
      <w:sz w:val="24"/>
      <w:szCs w:val="24"/>
    </w:rPr>
  </w:style>
  <w:style w:type="paragraph" w:styleId="959" w:customStyle="1">
    <w:name w:val="table_1stline"/>
    <w:basedOn w:val="843"/>
    <w:uiPriority w:val="0"/>
    <w:qFormat/>
    <w:pPr>
      <w:jc w:val="left"/>
      <w:spacing w:before="120"/>
      <w:widowControl/>
    </w:pPr>
    <w:rPr>
      <w:bCs/>
      <w:sz w:val="20"/>
      <w:szCs w:val="20"/>
      <w:lang w:val="de-DE" w:eastAsia="de-DE"/>
    </w:rPr>
  </w:style>
  <w:style w:type="paragraph" w:styleId="960" w:customStyle="1">
    <w:name w:val="font5"/>
    <w:basedOn w:val="843"/>
    <w:uiPriority w:val="0"/>
    <w:qFormat/>
    <w:pPr>
      <w:jc w:val="left"/>
      <w:spacing w:before="100" w:beforeAutospacing="1" w:after="100" w:afterAutospacing="1"/>
      <w:widowControl/>
    </w:pPr>
    <w:rPr>
      <w:rFonts w:hint="eastAsia" w:ascii="宋体" w:hAnsi="宋体"/>
      <w:sz w:val="28"/>
      <w:szCs w:val="28"/>
    </w:rPr>
  </w:style>
  <w:style w:type="paragraph" w:styleId="961" w:customStyle="1">
    <w:name w:val="标题1"/>
    <w:basedOn w:val="843"/>
    <w:next w:val="84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2" w:customStyle="1">
    <w:name w:val="_Style 119"/>
    <w:uiPriority w:val="99"/>
    <w:semiHidden/>
    <w:qFormat/>
    <w:rPr>
      <w:rFonts w:ascii="Times New Roman" w:hAnsi="Times New Roman" w:eastAsia="宋体" w:cs="Times New Roman"/>
      <w:sz w:val="21"/>
      <w:szCs w:val="21"/>
      <w:lang w:val="en-US" w:eastAsia="zh-CN" w:bidi="ar-SA"/>
    </w:rPr>
  </w:style>
  <w:style w:type="paragraph" w:styleId="96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4" w:customStyle="1">
    <w:name w:val="正文文本 211"/>
    <w:basedOn w:val="843"/>
    <w:uiPriority w:val="99"/>
    <w:qFormat/>
    <w:pPr>
      <w:jc w:val="center"/>
    </w:pPr>
    <w:rPr>
      <w:b/>
      <w:bCs/>
      <w:sz w:val="20"/>
      <w:szCs w:val="20"/>
    </w:rPr>
  </w:style>
  <w:style w:type="table" w:styleId="965" w:customStyle="1">
    <w:name w:val="Table Normal"/>
    <w:uiPriority w:val="0"/>
    <w:qFormat/>
    <w:tblPr>
      <w:tblCellMar>
        <w:left w:w="0" w:type="dxa"/>
        <w:top w:w="0" w:type="dxa"/>
        <w:right w:w="0" w:type="dxa"/>
        <w:bottom w:w="0" w:type="dxa"/>
      </w:tblCellMar>
    </w:tblPr>
  </w:style>
  <w:style w:type="paragraph" w:styleId="966" w:customStyle="1">
    <w:name w:val="正文文本1"/>
    <w:basedOn w:val="843"/>
    <w:next w:val="843"/>
    <w:uiPriority w:val="0"/>
    <w:semiHidden/>
    <w:qFormat/>
    <w:rPr>
      <w:rFonts w:ascii="Arial" w:hAnsi="Arial" w:eastAsia="Arial" w:cs="Arial"/>
      <w:sz w:val="21"/>
      <w:szCs w:val="21"/>
      <w:lang w:val="en-US" w:eastAsia="en-US" w:bidi="ar-SA"/>
    </w:rPr>
  </w:style>
  <w:style w:type="paragraph" w:styleId="967" w:customStyle="1">
    <w:name w:val="纯文本1"/>
    <w:basedOn w:val="843"/>
    <w:uiPriority w:val="0"/>
    <w:qFormat/>
    <w:rPr>
      <w:rFonts w:ascii="宋体" w:hAnsi="Courier New" w:cs="Courier New"/>
    </w:rPr>
  </w:style>
  <w:style w:type="table" w:styleId="968" w:customStyle="1">
    <w:name w:val="网格型1"/>
    <w:basedOn w:val="969"/>
    <w:uiPriority w:val="0"/>
    <w:qFormat/>
    <w:pPr>
      <w:jc w:val="both"/>
      <w:widowControl w:val="off"/>
    </w:pPr>
    <w:tblPr/>
  </w:style>
  <w:style w:type="table" w:styleId="969" w:customStyle="1">
    <w:name w:val="普通表格1"/>
    <w:uiPriority w:val="99"/>
    <w:unhideWhenUsed/>
    <w:qFormat/>
    <w:tblPr/>
  </w:style>
  <w:style w:type="character" w:styleId="970" w:customStyle="1">
    <w:name w:val="15"/>
    <w:basedOn w:val="853"/>
    <w:uiPriority w:val="0"/>
    <w:qFormat/>
    <w:rPr>
      <w:rFonts w:hint="default" w:ascii="Times New Roman" w:hAnsi="Times New Roman" w:cs="Times New Roman"/>
    </w:rPr>
  </w:style>
  <w:style w:type="paragraph" w:styleId="971" w:customStyle="1">
    <w:name w:val="正文首行缩进 211"/>
    <w:basedOn w:val="923"/>
    <w:next w:val="843"/>
    <w:uiPriority w:val="0"/>
    <w:qFormat/>
    <w:pPr>
      <w:ind w:left="0" w:firstLine="420"/>
      <w:spacing w:after="0" w:line="360" w:lineRule="auto"/>
    </w:pPr>
    <w:rPr>
      <w:rFonts w:ascii="宋体" w:hAnsi="宋体" w:eastAsia="宋体" w:cs="Times New Roman"/>
      <w:szCs w:val="20"/>
    </w:r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杨浩</cp:lastModifiedBy>
  <cp:revision>3</cp:revision>
  <dcterms:created xsi:type="dcterms:W3CDTF">2023-03-16T02:16:00Z</dcterms:created>
  <dcterms:modified xsi:type="dcterms:W3CDTF">2026-05-12T09:03:09Z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E20B97C8BEF54268AAF311C49137FF72</vt:lpwstr>
  </property>
</Properties>
</file>