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9458">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4B1C0AE5">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57FA63DC">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2F2D2FD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0354E7A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7F3E3DD0">
      <w:pPr>
        <w:pStyle w:val="6"/>
        <w:spacing w:before="8"/>
        <w:rPr>
          <w:rFonts w:hint="eastAsia" w:ascii="华文仿宋" w:hAnsi="华文仿宋" w:eastAsia="华文仿宋" w:cs="仿宋"/>
          <w:color w:val="000000" w:themeColor="text1"/>
          <w:sz w:val="23"/>
          <w:highlight w:val="none"/>
          <w14:textFill>
            <w14:solidFill>
              <w14:schemeClr w14:val="tx1"/>
            </w14:solidFill>
          </w14:textFill>
        </w:rPr>
      </w:pPr>
    </w:p>
    <w:p w14:paraId="6C4C440C">
      <w:pPr>
        <w:spacing w:line="1058" w:lineRule="exact"/>
        <w:ind w:left="10"/>
        <w:jc w:val="center"/>
        <w:rPr>
          <w:rFonts w:hint="eastAsia" w:ascii="华文仿宋" w:hAnsi="华文仿宋" w:eastAsia="华文仿宋" w:cs="仿宋"/>
          <w:color w:val="000000" w:themeColor="text1"/>
          <w:sz w:val="84"/>
          <w:highlight w:val="none"/>
          <w14:textFill>
            <w14:solidFill>
              <w14:schemeClr w14:val="tx1"/>
            </w14:solidFill>
          </w14:textFill>
        </w:rPr>
      </w:pPr>
      <w:r>
        <w:rPr>
          <w:rFonts w:hint="eastAsia" w:ascii="华文仿宋" w:hAnsi="华文仿宋" w:eastAsia="华文仿宋" w:cs="仿宋"/>
          <w:b/>
          <w:bCs/>
          <w:color w:val="000000" w:themeColor="text1"/>
          <w:sz w:val="84"/>
          <w:highlight w:val="none"/>
          <w14:textFill>
            <w14:solidFill>
              <w14:schemeClr w14:val="tx1"/>
            </w14:solidFill>
          </w14:textFill>
        </w:rPr>
        <w:t>竞争性磋商文件</w:t>
      </w:r>
    </w:p>
    <w:p w14:paraId="31CAF06F">
      <w:pPr>
        <w:pStyle w:val="6"/>
        <w:rPr>
          <w:rFonts w:hint="eastAsia" w:ascii="华文仿宋" w:hAnsi="华文仿宋" w:eastAsia="华文仿宋" w:cs="仿宋"/>
          <w:color w:val="000000" w:themeColor="text1"/>
          <w:sz w:val="84"/>
          <w:highlight w:val="none"/>
          <w14:textFill>
            <w14:solidFill>
              <w14:schemeClr w14:val="tx1"/>
            </w14:solidFill>
          </w14:textFill>
        </w:rPr>
      </w:pPr>
    </w:p>
    <w:p w14:paraId="11755973">
      <w:pPr>
        <w:pStyle w:val="6"/>
        <w:spacing w:before="1"/>
        <w:rPr>
          <w:rFonts w:hint="eastAsia" w:ascii="华文仿宋" w:hAnsi="华文仿宋" w:eastAsia="华文仿宋" w:cs="仿宋"/>
          <w:color w:val="000000" w:themeColor="text1"/>
          <w:sz w:val="75"/>
          <w:highlight w:val="none"/>
          <w14:textFill>
            <w14:solidFill>
              <w14:schemeClr w14:val="tx1"/>
            </w14:solidFill>
          </w14:textFill>
        </w:rPr>
      </w:pPr>
    </w:p>
    <w:p w14:paraId="04E99BE7">
      <w:pPr>
        <w:ind w:left="1386"/>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w:t>
      </w:r>
      <w:r>
        <w:rPr>
          <w:rFonts w:hint="eastAsia" w:ascii="华文仿宋" w:hAnsi="华文仿宋" w:eastAsia="华文仿宋" w:cs="仿宋"/>
          <w:color w:val="000000" w:themeColor="text1"/>
          <w:sz w:val="36"/>
          <w:highlight w:val="none"/>
          <w:lang w:eastAsia="zh-CN"/>
          <w14:textFill>
            <w14:solidFill>
              <w14:schemeClr w14:val="tx1"/>
            </w14:solidFill>
          </w14:textFill>
        </w:rPr>
        <w:t>HS202604003</w:t>
      </w:r>
      <w:r>
        <w:rPr>
          <w:rFonts w:hint="eastAsia" w:ascii="华文仿宋" w:hAnsi="华文仿宋" w:eastAsia="华文仿宋" w:cs="仿宋"/>
          <w:color w:val="000000" w:themeColor="text1"/>
          <w:sz w:val="36"/>
          <w:highlight w:val="none"/>
          <w14:textFill>
            <w14:solidFill>
              <w14:schemeClr w14:val="tx1"/>
            </w14:solidFill>
          </w14:textFill>
        </w:rPr>
        <w:t xml:space="preserve"> </w:t>
      </w:r>
    </w:p>
    <w:p w14:paraId="31F31329">
      <w:pPr>
        <w:pStyle w:val="6"/>
        <w:rPr>
          <w:rFonts w:hint="eastAsia" w:ascii="华文仿宋" w:hAnsi="华文仿宋" w:eastAsia="华文仿宋" w:cs="仿宋"/>
          <w:color w:val="000000" w:themeColor="text1"/>
          <w:sz w:val="40"/>
          <w:highlight w:val="none"/>
          <w14:textFill>
            <w14:solidFill>
              <w14:schemeClr w14:val="tx1"/>
            </w14:solidFill>
          </w14:textFill>
        </w:rPr>
      </w:pPr>
    </w:p>
    <w:p w14:paraId="0B851B16">
      <w:pPr>
        <w:spacing w:before="327" w:line="324" w:lineRule="auto"/>
        <w:ind w:left="3260" w:right="312" w:hanging="1860"/>
        <w:rPr>
          <w:rFonts w:hint="eastAsia" w:ascii="华文仿宋" w:hAnsi="华文仿宋" w:eastAsia="华文仿宋" w:cs="仿宋"/>
          <w:color w:val="000000" w:themeColor="text1"/>
          <w:sz w:val="36"/>
          <w:highlight w:val="none"/>
          <w:lang w:eastAsia="zh-CN"/>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w:t>
      </w:r>
      <w:r>
        <w:rPr>
          <w:rFonts w:hint="eastAsia" w:ascii="华文仿宋" w:hAnsi="华文仿宋" w:eastAsia="华文仿宋" w:cs="仿宋"/>
          <w:color w:val="000000" w:themeColor="text1"/>
          <w:sz w:val="36"/>
          <w:highlight w:val="none"/>
          <w:lang w:eastAsia="zh-CN"/>
          <w14:textFill>
            <w14:solidFill>
              <w14:schemeClr w14:val="tx1"/>
            </w14:solidFill>
          </w14:textFill>
        </w:rPr>
        <w:t>湖熟中心小学整体改扩建工程项目(报告厅(含食堂)及风雨操场)结算审计</w:t>
      </w:r>
    </w:p>
    <w:p w14:paraId="62606A4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13823E51">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7AE9EC1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9425ABC">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49872B9B">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21F005B0">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31ECCD8">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2D2388B7">
      <w:pPr>
        <w:pStyle w:val="6"/>
        <w:rPr>
          <w:rFonts w:hint="eastAsia" w:ascii="华文仿宋" w:hAnsi="华文仿宋" w:eastAsia="华文仿宋" w:cs="仿宋"/>
          <w:color w:val="000000" w:themeColor="text1"/>
          <w:sz w:val="36"/>
          <w:highlight w:val="none"/>
          <w14:textFill>
            <w14:solidFill>
              <w14:schemeClr w14:val="tx1"/>
            </w14:solidFill>
          </w14:textFill>
        </w:rPr>
      </w:pPr>
    </w:p>
    <w:p w14:paraId="3D5DDD40">
      <w:pPr>
        <w:pStyle w:val="6"/>
        <w:jc w:val="center"/>
        <w:rPr>
          <w:rFonts w:hint="eastAsia" w:ascii="华文仿宋" w:hAnsi="华文仿宋" w:eastAsia="华文仿宋" w:cs="仿宋"/>
          <w:color w:val="000000" w:themeColor="text1"/>
          <w:sz w:val="44"/>
          <w:szCs w:val="22"/>
          <w:highlight w:val="none"/>
          <w:lang w:val="en-US"/>
          <w14:textFill>
            <w14:solidFill>
              <w14:schemeClr w14:val="tx1"/>
            </w14:solidFill>
          </w14:textFill>
        </w:rPr>
      </w:pPr>
      <w:r>
        <w:rPr>
          <w:rFonts w:hint="eastAsia" w:ascii="华文仿宋" w:hAnsi="华文仿宋" w:eastAsia="华文仿宋" w:cs="仿宋"/>
          <w:color w:val="000000" w:themeColor="text1"/>
          <w:sz w:val="44"/>
          <w:szCs w:val="22"/>
          <w:highlight w:val="none"/>
          <w:lang w:val="en-US"/>
          <w14:textFill>
            <w14:solidFill>
              <w14:schemeClr w14:val="tx1"/>
            </w14:solidFill>
          </w14:textFill>
        </w:rPr>
        <w:t>南京新泽建设项目管理有限公司</w:t>
      </w:r>
    </w:p>
    <w:p w14:paraId="5D73C432">
      <w:pPr>
        <w:pStyle w:val="6"/>
        <w:rPr>
          <w:rFonts w:hint="eastAsia" w:ascii="华文仿宋" w:hAnsi="华文仿宋" w:eastAsia="华文仿宋" w:cs="仿宋"/>
          <w:color w:val="000000" w:themeColor="text1"/>
          <w:sz w:val="44"/>
          <w:highlight w:val="none"/>
          <w14:textFill>
            <w14:solidFill>
              <w14:schemeClr w14:val="tx1"/>
            </w14:solidFill>
          </w14:textFill>
        </w:rPr>
      </w:pPr>
    </w:p>
    <w:p w14:paraId="012331C9">
      <w:pPr>
        <w:pStyle w:val="6"/>
        <w:jc w:val="center"/>
        <w:rPr>
          <w:rFonts w:hint="eastAsia" w:ascii="华文仿宋" w:hAnsi="华文仿宋" w:eastAsia="华文仿宋" w:cs="仿宋"/>
          <w:color w:val="000000" w:themeColor="text1"/>
          <w:sz w:val="36"/>
          <w:highlight w:val="none"/>
          <w:lang w:val="en-US"/>
          <w14:textFill>
            <w14:solidFill>
              <w14:schemeClr w14:val="tx1"/>
            </w14:solidFill>
          </w14:textFill>
        </w:rPr>
      </w:pPr>
      <w:r>
        <w:rPr>
          <w:rFonts w:hint="eastAsia" w:ascii="华文仿宋" w:hAnsi="华文仿宋" w:eastAsia="华文仿宋" w:cs="仿宋"/>
          <w:color w:val="000000" w:themeColor="text1"/>
          <w:sz w:val="44"/>
          <w:highlight w:val="none"/>
          <w14:textFill>
            <w14:solidFill>
              <w14:schemeClr w14:val="tx1"/>
            </w14:solidFill>
          </w14:textFill>
        </w:rPr>
        <w:t>二〇二</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六</w:t>
      </w:r>
      <w:r>
        <w:rPr>
          <w:rFonts w:hint="eastAsia" w:ascii="华文仿宋" w:hAnsi="华文仿宋" w:eastAsia="华文仿宋" w:cs="仿宋"/>
          <w:color w:val="000000" w:themeColor="text1"/>
          <w:sz w:val="44"/>
          <w:highlight w:val="none"/>
          <w14:textFill>
            <w14:solidFill>
              <w14:schemeClr w14:val="tx1"/>
            </w14:solidFill>
          </w14:textFill>
        </w:rPr>
        <w:t>年</w:t>
      </w:r>
      <w:r>
        <w:rPr>
          <w:rFonts w:hint="eastAsia" w:ascii="华文仿宋" w:hAnsi="华文仿宋" w:eastAsia="华文仿宋" w:cs="仿宋"/>
          <w:color w:val="000000" w:themeColor="text1"/>
          <w:sz w:val="44"/>
          <w:highlight w:val="none"/>
          <w:lang w:val="en-US" w:eastAsia="zh-CN"/>
          <w14:textFill>
            <w14:solidFill>
              <w14:schemeClr w14:val="tx1"/>
            </w14:solidFill>
          </w14:textFill>
        </w:rPr>
        <w:t>四</w:t>
      </w:r>
      <w:r>
        <w:rPr>
          <w:rFonts w:hint="eastAsia" w:ascii="华文仿宋" w:hAnsi="华文仿宋" w:eastAsia="华文仿宋" w:cs="仿宋"/>
          <w:color w:val="000000" w:themeColor="text1"/>
          <w:sz w:val="44"/>
          <w:highlight w:val="none"/>
          <w14:textFill>
            <w14:solidFill>
              <w14:schemeClr w14:val="tx1"/>
            </w14:solidFill>
          </w14:textFill>
        </w:rPr>
        <w:t>月</w:t>
      </w:r>
    </w:p>
    <w:p w14:paraId="10062A74">
      <w:pPr>
        <w:pStyle w:val="6"/>
        <w:spacing w:before="4"/>
        <w:rPr>
          <w:rFonts w:hint="eastAsia" w:ascii="华文仿宋" w:hAnsi="华文仿宋" w:eastAsia="华文仿宋" w:cs="仿宋"/>
          <w:color w:val="000000" w:themeColor="text1"/>
          <w:sz w:val="10"/>
          <w:highlight w:val="none"/>
          <w14:textFill>
            <w14:solidFill>
              <w14:schemeClr w14:val="tx1"/>
            </w14:solidFill>
          </w14:textFill>
        </w:rPr>
      </w:pPr>
    </w:p>
    <w:sdt>
      <w:sdtPr>
        <w:rPr>
          <w:rFonts w:ascii="宋体" w:hAnsi="宋体" w:eastAsia="宋体" w:cs="宋体"/>
          <w:sz w:val="21"/>
          <w:szCs w:val="22"/>
          <w:highlight w:val="none"/>
          <w:lang w:val="zh-CN" w:eastAsia="zh-CN" w:bidi="zh-CN"/>
        </w:rPr>
        <w:id w:val="147461715"/>
        <w15:color w:val="DBDBDB"/>
        <w:docPartObj>
          <w:docPartGallery w:val="Table of Contents"/>
          <w:docPartUnique/>
        </w:docPartObj>
      </w:sdtPr>
      <w:sdtEnd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sdtEndPr>
      <w:sdtContent>
        <w:p w14:paraId="13C8C56E">
          <w:pPr>
            <w:spacing w:before="0" w:beforeLines="0" w:after="0" w:afterLines="0" w:line="240" w:lineRule="auto"/>
            <w:ind w:left="0" w:leftChars="0" w:right="0" w:rightChars="0" w:firstLine="0" w:firstLineChars="0"/>
            <w:jc w:val="center"/>
            <w:rPr>
              <w:highlight w:val="none"/>
            </w:rPr>
          </w:pPr>
          <w:bookmarkStart w:id="0" w:name="第一章__竞争性磋商邀请"/>
          <w:bookmarkEnd w:id="0"/>
          <w:r>
            <w:rPr>
              <w:rFonts w:ascii="宋体" w:hAnsi="宋体" w:eastAsia="宋体"/>
              <w:sz w:val="21"/>
              <w:highlight w:val="none"/>
            </w:rPr>
            <w:t>目录</w:t>
          </w:r>
        </w:p>
        <w:p w14:paraId="00DF1659">
          <w:pPr>
            <w:pStyle w:val="10"/>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color w:val="000000" w:themeColor="text1"/>
              <w:highlight w:val="none"/>
              <w14:textFill>
                <w14:solidFill>
                  <w14:schemeClr w14:val="tx1"/>
                </w14:solidFill>
              </w14:textFill>
            </w:rPr>
            <w:instrText xml:space="preserve">TOC \o "1-3" \h \u </w:instrText>
          </w:r>
          <w:r>
            <w:rPr>
              <w:rFonts w:hint="eastAsia" w:ascii="华文仿宋" w:hAnsi="华文仿宋" w:eastAsia="华文仿宋" w:cs="仿宋"/>
              <w:color w:val="000000" w:themeColor="text1"/>
              <w:highlight w:val="none"/>
              <w14:textFill>
                <w14:solidFill>
                  <w14:schemeClr w14:val="tx1"/>
                </w14:solidFill>
              </w14:textFill>
            </w:rPr>
            <w:fldChar w:fldCharType="separate"/>
          </w: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_Toc10599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第一章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竞争性磋商邀请</w:t>
          </w:r>
          <w:r>
            <w:rPr>
              <w:highlight w:val="none"/>
            </w:rPr>
            <w:tab/>
          </w:r>
          <w:r>
            <w:rPr>
              <w:highlight w:val="none"/>
            </w:rPr>
            <w:fldChar w:fldCharType="begin"/>
          </w:r>
          <w:r>
            <w:rPr>
              <w:highlight w:val="none"/>
            </w:rPr>
            <w:instrText xml:space="preserve"> PAGEREF _Toc10599 \h </w:instrText>
          </w:r>
          <w:r>
            <w:rPr>
              <w:highlight w:val="none"/>
            </w:rPr>
            <w:fldChar w:fldCharType="separate"/>
          </w:r>
          <w:r>
            <w:rPr>
              <w:highlight w:val="none"/>
            </w:rPr>
            <w:t>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1CD2EB85">
          <w:pPr>
            <w:pStyle w:val="10"/>
            <w:tabs>
              <w:tab w:val="right" w:pos="2400"/>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_Toc18718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第二章</w:t>
          </w:r>
          <w:r>
            <w:rPr>
              <w:rFonts w:hint="eastAsia" w:ascii="华文仿宋" w:hAnsi="华文仿宋" w:eastAsia="华文仿宋" w:cs="仿宋"/>
              <w:highlight w:val="none"/>
            </w:rPr>
            <w:tab/>
          </w:r>
          <w:r>
            <w:rPr>
              <w:rFonts w:hint="eastAsia" w:ascii="华文仿宋" w:hAnsi="华文仿宋" w:eastAsia="华文仿宋" w:cs="仿宋"/>
              <w:highlight w:val="none"/>
            </w:rPr>
            <w:t>竞争性磋商须知</w:t>
          </w:r>
          <w:r>
            <w:rPr>
              <w:highlight w:val="none"/>
            </w:rPr>
            <w:tab/>
          </w:r>
          <w:r>
            <w:rPr>
              <w:highlight w:val="none"/>
            </w:rPr>
            <w:fldChar w:fldCharType="begin"/>
          </w:r>
          <w:r>
            <w:rPr>
              <w:highlight w:val="none"/>
            </w:rPr>
            <w:instrText xml:space="preserve"> PAGEREF _Toc18718 \h </w:instrText>
          </w:r>
          <w:r>
            <w:rPr>
              <w:highlight w:val="none"/>
            </w:rPr>
            <w:fldChar w:fldCharType="separate"/>
          </w:r>
          <w:r>
            <w:rPr>
              <w:highlight w:val="none"/>
            </w:rPr>
            <w:t>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1B4E44B">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_Toc16574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一、总则</w:t>
          </w:r>
          <w:r>
            <w:rPr>
              <w:highlight w:val="none"/>
            </w:rPr>
            <w:tab/>
          </w:r>
          <w:r>
            <w:rPr>
              <w:highlight w:val="none"/>
            </w:rPr>
            <w:fldChar w:fldCharType="begin"/>
          </w:r>
          <w:r>
            <w:rPr>
              <w:highlight w:val="none"/>
            </w:rPr>
            <w:instrText xml:space="preserve"> PAGEREF _Toc16574 \h </w:instrText>
          </w:r>
          <w:r>
            <w:rPr>
              <w:highlight w:val="none"/>
            </w:rPr>
            <w:fldChar w:fldCharType="separate"/>
          </w:r>
          <w:r>
            <w:rPr>
              <w:highlight w:val="none"/>
            </w:rPr>
            <w:t>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86BB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_Toc19329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二、响应性文件的编制</w:t>
          </w:r>
          <w:r>
            <w:rPr>
              <w:highlight w:val="none"/>
            </w:rPr>
            <w:tab/>
          </w:r>
          <w:r>
            <w:rPr>
              <w:highlight w:val="none"/>
            </w:rPr>
            <w:fldChar w:fldCharType="begin"/>
          </w:r>
          <w:r>
            <w:rPr>
              <w:highlight w:val="none"/>
            </w:rPr>
            <w:instrText xml:space="preserve"> PAGEREF _Toc19329 \h </w:instrText>
          </w:r>
          <w:r>
            <w:rPr>
              <w:highlight w:val="none"/>
            </w:rPr>
            <w:fldChar w:fldCharType="separate"/>
          </w:r>
          <w:r>
            <w:rPr>
              <w:highlight w:val="none"/>
            </w:rPr>
            <w:t>11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19AB1A">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_Toc13442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三、响应性文件递交</w:t>
          </w:r>
          <w:r>
            <w:rPr>
              <w:highlight w:val="none"/>
            </w:rPr>
            <w:tab/>
          </w:r>
          <w:r>
            <w:rPr>
              <w:highlight w:val="none"/>
            </w:rPr>
            <w:fldChar w:fldCharType="begin"/>
          </w:r>
          <w:r>
            <w:rPr>
              <w:highlight w:val="none"/>
            </w:rPr>
            <w:instrText xml:space="preserve"> PAGEREF _Toc13442 \h </w:instrText>
          </w:r>
          <w:r>
            <w:rPr>
              <w:highlight w:val="none"/>
            </w:rPr>
            <w:fldChar w:fldCharType="separate"/>
          </w:r>
          <w:r>
            <w:rPr>
              <w:highlight w:val="none"/>
            </w:rPr>
            <w:t>13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6858B1D">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_Toc784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w:t>
          </w:r>
          <w:r>
            <w:rPr>
              <w:highlight w:val="none"/>
            </w:rPr>
            <w:tab/>
          </w:r>
          <w:r>
            <w:rPr>
              <w:highlight w:val="none"/>
            </w:rPr>
            <w:fldChar w:fldCharType="begin"/>
          </w:r>
          <w:r>
            <w:rPr>
              <w:highlight w:val="none"/>
            </w:rPr>
            <w:instrText xml:space="preserve"> PAGEREF _Toc784 \h </w:instrText>
          </w:r>
          <w:r>
            <w:rPr>
              <w:highlight w:val="none"/>
            </w:rPr>
            <w:fldChar w:fldCharType="separate"/>
          </w:r>
          <w:r>
            <w:rPr>
              <w:highlight w:val="none"/>
            </w:rPr>
            <w:t>14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6FF27FF">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_Toc19047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五、签订合同</w:t>
          </w:r>
          <w:r>
            <w:rPr>
              <w:highlight w:val="none"/>
            </w:rPr>
            <w:tab/>
          </w:r>
          <w:r>
            <w:rPr>
              <w:highlight w:val="none"/>
            </w:rPr>
            <w:fldChar w:fldCharType="begin"/>
          </w:r>
          <w:r>
            <w:rPr>
              <w:highlight w:val="none"/>
            </w:rPr>
            <w:instrText xml:space="preserve"> PAGEREF _Toc19047 \h </w:instrText>
          </w:r>
          <w:r>
            <w:rPr>
              <w:highlight w:val="none"/>
            </w:rPr>
            <w:fldChar w:fldCharType="separate"/>
          </w:r>
          <w:r>
            <w:rPr>
              <w:highlight w:val="none"/>
            </w:rPr>
            <w:t>16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9286ABD">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_Toc11346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六、质疑和投诉</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16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DF9F262">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_Toc11243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第三章 磋商项目需求</w:t>
          </w:r>
          <w:r>
            <w:rPr>
              <w:highlight w:val="none"/>
            </w:rPr>
            <w:tab/>
          </w:r>
          <w:r>
            <w:rPr>
              <w:highlight w:val="none"/>
            </w:rPr>
            <w:fldChar w:fldCharType="begin"/>
          </w:r>
          <w:r>
            <w:rPr>
              <w:highlight w:val="none"/>
            </w:rPr>
            <w:instrText xml:space="preserve"> PAGEREF _Toc11243 \h </w:instrText>
          </w:r>
          <w:r>
            <w:rPr>
              <w:highlight w:val="none"/>
            </w:rPr>
            <w:fldChar w:fldCharType="separate"/>
          </w:r>
          <w:r>
            <w:rPr>
              <w:highlight w:val="none"/>
            </w:rPr>
            <w:t>18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B72A113">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_Toc5503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第四章 评分标准</w:t>
          </w:r>
          <w:r>
            <w:rPr>
              <w:highlight w:val="none"/>
            </w:rPr>
            <w:tab/>
          </w:r>
          <w:r>
            <w:rPr>
              <w:highlight w:val="none"/>
            </w:rPr>
            <w:fldChar w:fldCharType="begin"/>
          </w:r>
          <w:r>
            <w:rPr>
              <w:highlight w:val="none"/>
            </w:rPr>
            <w:instrText xml:space="preserve"> PAGEREF _Toc5503 \h </w:instrText>
          </w:r>
          <w:r>
            <w:rPr>
              <w:highlight w:val="none"/>
            </w:rPr>
            <w:fldChar w:fldCharType="separate"/>
          </w:r>
          <w:r>
            <w:rPr>
              <w:highlight w:val="none"/>
            </w:rPr>
            <w:t>21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7B0CB90E">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_Toc22106 </w:instrText>
          </w:r>
          <w:r>
            <w:rPr>
              <w:rFonts w:hint="eastAsia" w:ascii="华文仿宋" w:hAnsi="华文仿宋" w:eastAsia="华文仿宋" w:cs="仿宋"/>
              <w:highlight w:val="none"/>
            </w:rPr>
            <w:fldChar w:fldCharType="separate"/>
          </w:r>
          <w:r>
            <w:rPr>
              <w:rFonts w:hint="eastAsia" w:ascii="华文仿宋" w:hAnsi="华文仿宋" w:eastAsia="华文仿宋" w:cs="仿宋"/>
              <w:szCs w:val="36"/>
              <w:highlight w:val="none"/>
            </w:rPr>
            <w:t>第五章 采购合同格式</w:t>
          </w:r>
          <w:r>
            <w:rPr>
              <w:highlight w:val="none"/>
            </w:rPr>
            <w:tab/>
          </w:r>
          <w:r>
            <w:rPr>
              <w:highlight w:val="none"/>
            </w:rPr>
            <w:fldChar w:fldCharType="begin"/>
          </w:r>
          <w:r>
            <w:rPr>
              <w:highlight w:val="none"/>
            </w:rPr>
            <w:instrText xml:space="preserve"> PAGEREF _Toc22106 \h </w:instrText>
          </w:r>
          <w:r>
            <w:rPr>
              <w:highlight w:val="none"/>
            </w:rPr>
            <w:fldChar w:fldCharType="separate"/>
          </w:r>
          <w:r>
            <w:rPr>
              <w:highlight w:val="none"/>
            </w:rPr>
            <w:t>24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D59047E">
          <w:pPr>
            <w:pStyle w:val="10"/>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_Toc14069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第六章、竞争性磋商文件格式及附件</w:t>
          </w:r>
          <w:r>
            <w:rPr>
              <w:highlight w:val="none"/>
            </w:rPr>
            <w:tab/>
          </w:r>
          <w:r>
            <w:rPr>
              <w:highlight w:val="none"/>
            </w:rPr>
            <w:fldChar w:fldCharType="begin"/>
          </w:r>
          <w:r>
            <w:rPr>
              <w:highlight w:val="none"/>
            </w:rPr>
            <w:instrText xml:space="preserve"> PAGEREF _Toc14069 \h </w:instrText>
          </w:r>
          <w:r>
            <w:rPr>
              <w:highlight w:val="none"/>
            </w:rPr>
            <w:fldChar w:fldCharType="separate"/>
          </w:r>
          <w:r>
            <w:rPr>
              <w:highlight w:val="none"/>
            </w:rPr>
            <w:t>25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C5B9E00">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_Toc6092 </w:instrText>
          </w:r>
          <w:r>
            <w:rPr>
              <w:rFonts w:hint="eastAsia" w:ascii="华文仿宋" w:hAnsi="华文仿宋" w:eastAsia="华文仿宋" w:cs="仿宋"/>
              <w:highlight w:val="none"/>
            </w:rPr>
            <w:fldChar w:fldCharType="separate"/>
          </w:r>
          <w:r>
            <w:rPr>
              <w:rFonts w:hint="default" w:ascii="华文仿宋" w:hAnsi="华文仿宋" w:eastAsia="华文仿宋" w:cs="仿宋"/>
              <w:highlight w:val="none"/>
            </w:rPr>
            <w:t xml:space="preserve">一、 </w:t>
          </w:r>
          <w:r>
            <w:rPr>
              <w:rFonts w:hint="eastAsia" w:ascii="华文仿宋" w:hAnsi="华文仿宋" w:eastAsia="华文仿宋" w:cs="仿宋"/>
              <w:highlight w:val="none"/>
            </w:rPr>
            <w:t>磋商申请及声明</w:t>
          </w:r>
          <w:r>
            <w:rPr>
              <w:highlight w:val="none"/>
            </w:rPr>
            <w:tab/>
          </w:r>
          <w:r>
            <w:rPr>
              <w:highlight w:val="none"/>
            </w:rPr>
            <w:fldChar w:fldCharType="begin"/>
          </w:r>
          <w:r>
            <w:rPr>
              <w:highlight w:val="none"/>
            </w:rPr>
            <w:instrText xml:space="preserve"> PAGEREF _Toc6092 \h </w:instrText>
          </w:r>
          <w:r>
            <w:rPr>
              <w:highlight w:val="none"/>
            </w:rPr>
            <w:fldChar w:fldCharType="separate"/>
          </w:r>
          <w:r>
            <w:rPr>
              <w:highlight w:val="none"/>
            </w:rPr>
            <w:t>38</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41DBEEE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_Toc26814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二、法定代表人授权委托书</w:t>
          </w:r>
          <w:r>
            <w:rPr>
              <w:highlight w:val="none"/>
            </w:rPr>
            <w:tab/>
          </w:r>
          <w:r>
            <w:rPr>
              <w:highlight w:val="none"/>
            </w:rPr>
            <w:fldChar w:fldCharType="begin"/>
          </w:r>
          <w:r>
            <w:rPr>
              <w:highlight w:val="none"/>
            </w:rPr>
            <w:instrText xml:space="preserve"> PAGEREF _Toc26814 \h </w:instrText>
          </w:r>
          <w:r>
            <w:rPr>
              <w:highlight w:val="none"/>
            </w:rPr>
            <w:fldChar w:fldCharType="separate"/>
          </w:r>
          <w:r>
            <w:rPr>
              <w:highlight w:val="none"/>
            </w:rPr>
            <w:t>39</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43F7A0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_Toc26930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三、磋商报价汇总表</w:t>
          </w:r>
          <w:r>
            <w:rPr>
              <w:highlight w:val="none"/>
            </w:rPr>
            <w:tab/>
          </w:r>
          <w:r>
            <w:rPr>
              <w:highlight w:val="none"/>
            </w:rPr>
            <w:fldChar w:fldCharType="begin"/>
          </w:r>
          <w:r>
            <w:rPr>
              <w:highlight w:val="none"/>
            </w:rPr>
            <w:instrText xml:space="preserve"> PAGEREF _Toc26930 \h </w:instrText>
          </w:r>
          <w:r>
            <w:rPr>
              <w:highlight w:val="none"/>
            </w:rPr>
            <w:fldChar w:fldCharType="separate"/>
          </w:r>
          <w:r>
            <w:rPr>
              <w:highlight w:val="none"/>
            </w:rPr>
            <w:t>40</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A18F8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_Toc25837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四、磋商分项报价表</w:t>
          </w:r>
          <w:r>
            <w:rPr>
              <w:highlight w:val="none"/>
            </w:rPr>
            <w:tab/>
          </w:r>
          <w:r>
            <w:rPr>
              <w:highlight w:val="none"/>
            </w:rPr>
            <w:fldChar w:fldCharType="begin"/>
          </w:r>
          <w:r>
            <w:rPr>
              <w:highlight w:val="none"/>
            </w:rPr>
            <w:instrText xml:space="preserve"> PAGEREF _Toc25837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0BF14D2">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_Toc13740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五</w:t>
          </w:r>
          <w:r>
            <w:rPr>
              <w:rFonts w:hint="eastAsia" w:ascii="华文仿宋" w:hAnsi="华文仿宋" w:eastAsia="华文仿宋" w:cs="仿宋"/>
              <w:highlight w:val="none"/>
            </w:rPr>
            <w:t>、资格证明</w:t>
          </w:r>
          <w:r>
            <w:rPr>
              <w:highlight w:val="none"/>
            </w:rPr>
            <w:tab/>
          </w:r>
          <w:r>
            <w:rPr>
              <w:highlight w:val="none"/>
            </w:rPr>
            <w:fldChar w:fldCharType="begin"/>
          </w:r>
          <w:r>
            <w:rPr>
              <w:highlight w:val="none"/>
            </w:rPr>
            <w:instrText xml:space="preserve"> PAGEREF _Toc13740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355A70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_Toc1548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六</w:t>
          </w:r>
          <w:r>
            <w:rPr>
              <w:rFonts w:hint="eastAsia" w:ascii="华文仿宋" w:hAnsi="华文仿宋" w:eastAsia="华文仿宋" w:cs="仿宋"/>
              <w:highlight w:val="none"/>
            </w:rPr>
            <w:t>、商务条款响应表</w:t>
          </w:r>
          <w:r>
            <w:rPr>
              <w:highlight w:val="none"/>
            </w:rPr>
            <w:tab/>
          </w:r>
          <w:r>
            <w:rPr>
              <w:highlight w:val="none"/>
            </w:rPr>
            <w:fldChar w:fldCharType="begin"/>
          </w:r>
          <w:r>
            <w:rPr>
              <w:highlight w:val="none"/>
            </w:rPr>
            <w:instrText xml:space="preserve"> PAGEREF _Toc1548 \h </w:instrText>
          </w:r>
          <w:r>
            <w:rPr>
              <w:highlight w:val="none"/>
            </w:rPr>
            <w:fldChar w:fldCharType="separate"/>
          </w:r>
          <w:r>
            <w:rPr>
              <w:highlight w:val="none"/>
            </w:rPr>
            <w:t>41</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06ECA899">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_Toc25029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七</w:t>
          </w:r>
          <w:r>
            <w:rPr>
              <w:rFonts w:hint="eastAsia" w:ascii="华文仿宋" w:hAnsi="华文仿宋" w:eastAsia="华文仿宋" w:cs="仿宋"/>
              <w:highlight w:val="none"/>
            </w:rPr>
            <w:t>、项目实施方案</w:t>
          </w:r>
          <w:r>
            <w:rPr>
              <w:highlight w:val="none"/>
            </w:rPr>
            <w:tab/>
          </w:r>
          <w:r>
            <w:rPr>
              <w:highlight w:val="none"/>
            </w:rPr>
            <w:fldChar w:fldCharType="begin"/>
          </w:r>
          <w:r>
            <w:rPr>
              <w:highlight w:val="none"/>
            </w:rPr>
            <w:instrText xml:space="preserve"> PAGEREF _Toc25029 \h </w:instrText>
          </w:r>
          <w:r>
            <w:rPr>
              <w:highlight w:val="none"/>
            </w:rPr>
            <w:fldChar w:fldCharType="separate"/>
          </w:r>
          <w:r>
            <w:rPr>
              <w:highlight w:val="none"/>
            </w:rPr>
            <w:t>42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D227FBC">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_Toc27138 </w:instrText>
          </w:r>
          <w:r>
            <w:rPr>
              <w:rFonts w:hint="eastAsia" w:ascii="华文仿宋" w:hAnsi="华文仿宋" w:eastAsia="华文仿宋" w:cs="仿宋"/>
              <w:highlight w:val="none"/>
            </w:rPr>
            <w:fldChar w:fldCharType="separate"/>
          </w:r>
          <w:r>
            <w:rPr>
              <w:rFonts w:hint="eastAsia" w:ascii="华文仿宋" w:hAnsi="华文仿宋" w:eastAsia="华文仿宋" w:cs="仿宋"/>
              <w:spacing w:val="-2"/>
              <w:highlight w:val="none"/>
              <w:lang w:val="en-US"/>
            </w:rPr>
            <w:t>八</w:t>
          </w:r>
          <w:r>
            <w:rPr>
              <w:rFonts w:hint="eastAsia" w:ascii="华文仿宋" w:hAnsi="华文仿宋" w:eastAsia="华文仿宋" w:cs="仿宋"/>
              <w:spacing w:val="-2"/>
              <w:highlight w:val="none"/>
            </w:rPr>
            <w:t>、</w:t>
          </w:r>
          <w:r>
            <w:rPr>
              <w:rFonts w:hint="eastAsia" w:ascii="华文仿宋" w:hAnsi="华文仿宋" w:eastAsia="华文仿宋" w:cs="仿宋"/>
              <w:spacing w:val="-2"/>
              <w:highlight w:val="none"/>
              <w:lang w:eastAsia="zh-CN"/>
            </w:rPr>
            <w:t>项目组成员一览表</w:t>
          </w:r>
          <w:r>
            <w:rPr>
              <w:highlight w:val="none"/>
            </w:rPr>
            <w:tab/>
          </w:r>
          <w:r>
            <w:rPr>
              <w:highlight w:val="none"/>
            </w:rPr>
            <w:fldChar w:fldCharType="begin"/>
          </w:r>
          <w:r>
            <w:rPr>
              <w:highlight w:val="none"/>
            </w:rPr>
            <w:instrText xml:space="preserve"> PAGEREF _Toc27138 \h </w:instrText>
          </w:r>
          <w:r>
            <w:rPr>
              <w:highlight w:val="none"/>
            </w:rPr>
            <w:fldChar w:fldCharType="separate"/>
          </w:r>
          <w:r>
            <w:rPr>
              <w:highlight w:val="none"/>
            </w:rPr>
            <w:t>42</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66C9D1F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_Toc14657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lang w:val="en-US"/>
            </w:rPr>
            <w:t>九</w:t>
          </w:r>
          <w:r>
            <w:rPr>
              <w:rFonts w:hint="eastAsia" w:ascii="华文仿宋" w:hAnsi="华文仿宋" w:eastAsia="华文仿宋" w:cs="仿宋"/>
              <w:highlight w:val="none"/>
            </w:rPr>
            <w:t>、技术规格偏离表</w:t>
          </w:r>
          <w:r>
            <w:rPr>
              <w:highlight w:val="none"/>
            </w:rPr>
            <w:tab/>
          </w:r>
          <w:r>
            <w:rPr>
              <w:highlight w:val="none"/>
            </w:rPr>
            <w:fldChar w:fldCharType="begin"/>
          </w:r>
          <w:r>
            <w:rPr>
              <w:highlight w:val="none"/>
            </w:rPr>
            <w:instrText xml:space="preserve"> PAGEREF _Toc14657 \h </w:instrText>
          </w:r>
          <w:r>
            <w:rPr>
              <w:highlight w:val="none"/>
            </w:rPr>
            <w:fldChar w:fldCharType="separate"/>
          </w:r>
          <w:r>
            <w:rPr>
              <w:highlight w:val="none"/>
            </w:rPr>
            <w:t>43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7036C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_Toc9491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十、质量保证及服务承诺</w:t>
          </w:r>
          <w:r>
            <w:rPr>
              <w:highlight w:val="none"/>
            </w:rPr>
            <w:tab/>
          </w:r>
          <w:r>
            <w:rPr>
              <w:highlight w:val="none"/>
            </w:rPr>
            <w:fldChar w:fldCharType="begin"/>
          </w:r>
          <w:r>
            <w:rPr>
              <w:highlight w:val="none"/>
            </w:rPr>
            <w:instrText xml:space="preserve"> PAGEREF _Toc9491 \h </w:instrText>
          </w:r>
          <w:r>
            <w:rPr>
              <w:highlight w:val="none"/>
            </w:rPr>
            <w:fldChar w:fldCharType="separate"/>
          </w:r>
          <w:r>
            <w:rPr>
              <w:highlight w:val="none"/>
            </w:rPr>
            <w:t>43</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F288331">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_Toc24734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附件一：具备履行合同所必需的设备和专业技术能力的书面声明</w:t>
          </w:r>
          <w:r>
            <w:rPr>
              <w:highlight w:val="none"/>
            </w:rPr>
            <w:tab/>
          </w:r>
          <w:r>
            <w:rPr>
              <w:highlight w:val="none"/>
            </w:rPr>
            <w:fldChar w:fldCharType="begin"/>
          </w:r>
          <w:r>
            <w:rPr>
              <w:highlight w:val="none"/>
            </w:rPr>
            <w:instrText xml:space="preserve"> PAGEREF _Toc24734 \h </w:instrText>
          </w:r>
          <w:r>
            <w:rPr>
              <w:highlight w:val="none"/>
            </w:rPr>
            <w:fldChar w:fldCharType="separate"/>
          </w:r>
          <w:r>
            <w:rPr>
              <w:highlight w:val="none"/>
            </w:rPr>
            <w:t>44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52E954">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_Toc19942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附件二：无重大违法记录声明格式</w:t>
          </w:r>
          <w:r>
            <w:rPr>
              <w:highlight w:val="none"/>
            </w:rPr>
            <w:tab/>
          </w:r>
          <w:r>
            <w:rPr>
              <w:highlight w:val="none"/>
            </w:rPr>
            <w:fldChar w:fldCharType="begin"/>
          </w:r>
          <w:r>
            <w:rPr>
              <w:highlight w:val="none"/>
            </w:rPr>
            <w:instrText xml:space="preserve"> PAGEREF _Toc19942 \h </w:instrText>
          </w:r>
          <w:r>
            <w:rPr>
              <w:highlight w:val="none"/>
            </w:rPr>
            <w:fldChar w:fldCharType="separate"/>
          </w:r>
          <w:r>
            <w:rPr>
              <w:highlight w:val="none"/>
            </w:rPr>
            <w:t>44</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3CA953B7">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_Toc3973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附件三：中小企业声明函格式、残疾人福利性单位声明函</w:t>
          </w:r>
          <w:r>
            <w:rPr>
              <w:highlight w:val="none"/>
            </w:rPr>
            <w:tab/>
          </w:r>
          <w:r>
            <w:rPr>
              <w:highlight w:val="none"/>
            </w:rPr>
            <w:fldChar w:fldCharType="begin"/>
          </w:r>
          <w:r>
            <w:rPr>
              <w:highlight w:val="none"/>
            </w:rPr>
            <w:instrText xml:space="preserve"> PAGEREF _Toc3973 \h </w:instrText>
          </w:r>
          <w:r>
            <w:rPr>
              <w:highlight w:val="none"/>
            </w:rPr>
            <w:fldChar w:fldCharType="separate"/>
          </w:r>
          <w:r>
            <w:rPr>
              <w:highlight w:val="none"/>
            </w:rPr>
            <w:t>45</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2BA597B6">
          <w:pPr>
            <w:pStyle w:val="11"/>
            <w:tabs>
              <w:tab w:val="right" w:leader="dot" w:pos="10110"/>
            </w:tabs>
            <w:rPr>
              <w:highlight w:val="none"/>
            </w:rPr>
          </w:pPr>
          <w:r>
            <w:rPr>
              <w:rFonts w:hint="eastAsia" w:ascii="华文仿宋" w:hAnsi="华文仿宋" w:eastAsia="华文仿宋" w:cs="仿宋"/>
              <w:color w:val="000000" w:themeColor="text1"/>
              <w:highlight w:val="none"/>
              <w14:textFill>
                <w14:solidFill>
                  <w14:schemeClr w14:val="tx1"/>
                </w14:solidFill>
              </w14:textFill>
            </w:rPr>
            <w:fldChar w:fldCharType="begin"/>
          </w:r>
          <w:r>
            <w:rPr>
              <w:rFonts w:hint="eastAsia" w:ascii="华文仿宋" w:hAnsi="华文仿宋" w:eastAsia="华文仿宋" w:cs="仿宋"/>
              <w:highlight w:val="none"/>
            </w:rPr>
            <w:instrText xml:space="preserve"> HYPERLINK \l _Toc12981 </w:instrText>
          </w:r>
          <w:r>
            <w:rPr>
              <w:rFonts w:hint="eastAsia" w:ascii="华文仿宋" w:hAnsi="华文仿宋" w:eastAsia="华文仿宋" w:cs="仿宋"/>
              <w:highlight w:val="none"/>
            </w:rPr>
            <w:fldChar w:fldCharType="separate"/>
          </w:r>
          <w:r>
            <w:rPr>
              <w:rFonts w:hint="eastAsia" w:ascii="华文仿宋" w:hAnsi="华文仿宋" w:eastAsia="华文仿宋" w:cs="仿宋"/>
              <w:highlight w:val="none"/>
            </w:rPr>
            <w:t>附件四：南京市政府采购供应商信用记录表暨信用承诺书</w:t>
          </w:r>
          <w:r>
            <w:rPr>
              <w:highlight w:val="none"/>
            </w:rPr>
            <w:tab/>
          </w:r>
          <w:r>
            <w:rPr>
              <w:highlight w:val="none"/>
            </w:rPr>
            <w:fldChar w:fldCharType="begin"/>
          </w:r>
          <w:r>
            <w:rPr>
              <w:highlight w:val="none"/>
            </w:rPr>
            <w:instrText xml:space="preserve"> PAGEREF _Toc12981 \h </w:instrText>
          </w:r>
          <w:r>
            <w:rPr>
              <w:highlight w:val="none"/>
            </w:rPr>
            <w:fldChar w:fldCharType="separate"/>
          </w:r>
          <w:r>
            <w:rPr>
              <w:highlight w:val="none"/>
            </w:rPr>
            <w:t>46</w:t>
          </w:r>
          <w:r>
            <w:rPr>
              <w:highlight w:val="none"/>
            </w:rPr>
            <w:fldChar w:fldCharType="end"/>
          </w:r>
          <w:r>
            <w:rPr>
              <w:rFonts w:hint="eastAsia" w:ascii="华文仿宋" w:hAnsi="华文仿宋" w:eastAsia="华文仿宋" w:cs="仿宋"/>
              <w:color w:val="000000" w:themeColor="text1"/>
              <w:highlight w:val="none"/>
              <w14:textFill>
                <w14:solidFill>
                  <w14:schemeClr w14:val="tx1"/>
                </w14:solidFill>
              </w14:textFill>
            </w:rPr>
            <w:fldChar w:fldCharType="end"/>
          </w:r>
        </w:p>
        <w:p w14:paraId="5CCA3A1D">
          <w:pPr>
            <w:rPr>
              <w:rFonts w:hint="eastAsia" w:ascii="华文仿宋" w:hAnsi="华文仿宋" w:eastAsia="华文仿宋" w:cs="仿宋"/>
              <w:color w:val="000000" w:themeColor="text1"/>
              <w:sz w:val="22"/>
              <w:szCs w:val="22"/>
              <w:highlight w:val="none"/>
              <w:lang w:val="zh-CN" w:eastAsia="zh-CN" w:bidi="zh-CN"/>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fldChar w:fldCharType="end"/>
          </w:r>
        </w:p>
      </w:sdtContent>
    </w:sdt>
    <w:p w14:paraId="268DA846">
      <w:pPr>
        <w:pStyle w:val="5"/>
        <w:rPr>
          <w:rFonts w:hint="eastAsia"/>
          <w:highlight w:val="none"/>
        </w:rPr>
        <w:sectPr>
          <w:headerReference r:id="rId3" w:type="default"/>
          <w:footerReference r:id="rId4" w:type="default"/>
          <w:pgSz w:w="11910" w:h="16840"/>
          <w:pgMar w:top="1340" w:right="820" w:bottom="1180" w:left="980" w:header="878" w:footer="1000" w:gutter="0"/>
          <w:pgNumType w:start="1"/>
          <w:cols w:space="720" w:num="1"/>
        </w:sectPr>
      </w:pPr>
    </w:p>
    <w:p w14:paraId="097BDAEF">
      <w:pPr>
        <w:pStyle w:val="2"/>
        <w:tabs>
          <w:tab w:val="left" w:pos="1208"/>
        </w:tabs>
        <w:rPr>
          <w:rFonts w:hint="eastAsia" w:ascii="华文仿宋" w:hAnsi="华文仿宋" w:eastAsia="华文仿宋" w:cs="仿宋"/>
          <w:color w:val="000000" w:themeColor="text1"/>
          <w:highlight w:val="none"/>
          <w14:textFill>
            <w14:solidFill>
              <w14:schemeClr w14:val="tx1"/>
            </w14:solidFill>
          </w14:textFill>
        </w:rPr>
      </w:pPr>
      <w:bookmarkStart w:id="1" w:name="_Toc10599"/>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竞争性磋商邀请</w:t>
      </w:r>
      <w:bookmarkEnd w:id="1"/>
    </w:p>
    <w:p w14:paraId="34A63D5E">
      <w:pPr>
        <w:ind w:left="10"/>
        <w:jc w:val="center"/>
        <w:rPr>
          <w:rFonts w:hint="eastAsia" w:ascii="华文仿宋" w:hAnsi="华文仿宋" w:eastAsia="华文仿宋" w:cs="仿宋"/>
          <w:b/>
          <w:color w:val="000000" w:themeColor="text1"/>
          <w:sz w:val="26"/>
          <w:highlight w:val="none"/>
          <w14:textFill>
            <w14:solidFill>
              <w14:schemeClr w14:val="tx1"/>
            </w14:solidFill>
          </w14:textFill>
        </w:rPr>
      </w:pPr>
      <w:r>
        <w:rPr>
          <w:rFonts w:hint="eastAsia" w:ascii="华文仿宋" w:hAnsi="华文仿宋" w:eastAsia="华文仿宋" w:cs="仿宋"/>
          <w:b/>
          <w:color w:val="000000" w:themeColor="text1"/>
          <w:sz w:val="26"/>
          <w:highlight w:val="none"/>
          <w14:textFill>
            <w14:solidFill>
              <w14:schemeClr w14:val="tx1"/>
            </w14:solidFill>
          </w14:textFill>
        </w:rPr>
        <w:t>编号：</w:t>
      </w:r>
      <w:r>
        <w:rPr>
          <w:rFonts w:hint="eastAsia" w:ascii="华文仿宋" w:hAnsi="华文仿宋" w:eastAsia="华文仿宋" w:cs="仿宋"/>
          <w:b/>
          <w:color w:val="000000" w:themeColor="text1"/>
          <w:sz w:val="26"/>
          <w:highlight w:val="none"/>
          <w:lang w:eastAsia="zh-CN"/>
          <w14:textFill>
            <w14:solidFill>
              <w14:schemeClr w14:val="tx1"/>
            </w14:solidFill>
          </w14:textFill>
        </w:rPr>
        <w:t>HS202604003</w:t>
      </w:r>
      <w:r>
        <w:rPr>
          <w:rFonts w:hint="eastAsia" w:ascii="华文仿宋" w:hAnsi="华文仿宋" w:eastAsia="华文仿宋" w:cs="仿宋"/>
          <w:b/>
          <w:color w:val="000000" w:themeColor="text1"/>
          <w:sz w:val="26"/>
          <w:highlight w:val="none"/>
          <w14:textFill>
            <w14:solidFill>
              <w14:schemeClr w14:val="tx1"/>
            </w14:solidFill>
          </w14:textFill>
        </w:rPr>
        <w:t xml:space="preserve"> </w:t>
      </w:r>
    </w:p>
    <w:p w14:paraId="48A63C30">
      <w:pPr>
        <w:keepNext w:val="0"/>
        <w:keepLines w:val="0"/>
        <w:pageBreakBefore w:val="0"/>
        <w:kinsoku/>
        <w:wordWrap/>
        <w:overflowPunct/>
        <w:topLinePunct w:val="0"/>
        <w:bidi w:val="0"/>
        <w:adjustRightInd/>
        <w:snapToGrid/>
        <w:spacing w:line="25" w:lineRule="atLeast"/>
        <w:textAlignment w:val="auto"/>
        <w:rPr>
          <w:rFonts w:hint="eastAsia" w:ascii="华文仿宋" w:hAnsi="华文仿宋" w:eastAsia="华文仿宋"/>
          <w:b/>
          <w:bCs/>
          <w:sz w:val="28"/>
          <w:szCs w:val="28"/>
          <w:highlight w:val="none"/>
        </w:rPr>
      </w:pPr>
      <w:r>
        <w:rPr>
          <w:rFonts w:hint="eastAsia" w:ascii="华文仿宋" w:hAnsi="华文仿宋" w:eastAsia="华文仿宋"/>
          <w:b/>
          <w:bCs/>
          <w:sz w:val="28"/>
          <w:szCs w:val="28"/>
          <w:highlight w:val="none"/>
        </w:rPr>
        <w:t>项目概况</w:t>
      </w:r>
    </w:p>
    <w:p w14:paraId="750E6F1C">
      <w:pPr>
        <w:keepNext w:val="0"/>
        <w:keepLines w:val="0"/>
        <w:pageBreakBefore w:val="0"/>
        <w:tabs>
          <w:tab w:val="left" w:pos="2640"/>
        </w:tabs>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cs="Times New Roman"/>
          <w:color w:val="0000FF"/>
          <w:sz w:val="28"/>
          <w:szCs w:val="28"/>
          <w:highlight w:val="none"/>
          <w:u w:val="single"/>
          <w:lang w:eastAsia="zh-CN"/>
        </w:rPr>
        <w:t>湖熟中心小学整体改扩建工程项目(报告厅(含食堂)及风雨操场)结算审计</w:t>
      </w:r>
      <w:r>
        <w:rPr>
          <w:rFonts w:hint="eastAsia" w:ascii="华文仿宋" w:hAnsi="华文仿宋" w:eastAsia="华文仿宋"/>
          <w:sz w:val="28"/>
          <w:szCs w:val="28"/>
          <w:highlight w:val="none"/>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2026年5月13日14：00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华文仿宋" w:hAnsi="华文仿宋" w:eastAsia="华文仿宋"/>
          <w:sz w:val="28"/>
          <w:szCs w:val="28"/>
          <w:highlight w:val="none"/>
        </w:rPr>
        <w:t>。</w:t>
      </w:r>
    </w:p>
    <w:p w14:paraId="53240169">
      <w:pPr>
        <w:keepNext w:val="0"/>
        <w:keepLines w:val="0"/>
        <w:pageBreakBefore w:val="0"/>
        <w:kinsoku/>
        <w:wordWrap/>
        <w:overflowPunct/>
        <w:topLinePunct w:val="0"/>
        <w:bidi w:val="0"/>
        <w:adjustRightInd/>
        <w:snapToGrid/>
        <w:spacing w:before="240" w:beforeLines="100" w:line="25" w:lineRule="atLeast"/>
        <w:textAlignment w:val="auto"/>
        <w:outlineLvl w:val="9"/>
        <w:rPr>
          <w:rFonts w:hint="eastAsia" w:ascii="华文仿宋" w:hAnsi="华文仿宋" w:eastAsia="华文仿宋"/>
          <w:bCs w:val="0"/>
          <w:sz w:val="28"/>
          <w:szCs w:val="28"/>
          <w:highlight w:val="none"/>
        </w:rPr>
      </w:pPr>
      <w:bookmarkStart w:id="2" w:name="_Toc28359012"/>
      <w:bookmarkStart w:id="3" w:name="_Toc28359089"/>
      <w:bookmarkStart w:id="4" w:name="_Toc35393798"/>
      <w:bookmarkStart w:id="5" w:name="_Toc35393629"/>
      <w:r>
        <w:rPr>
          <w:rFonts w:hint="eastAsia" w:ascii="华文仿宋" w:hAnsi="华文仿宋" w:eastAsia="华文仿宋"/>
          <w:bCs w:val="0"/>
          <w:sz w:val="28"/>
          <w:szCs w:val="28"/>
          <w:highlight w:val="none"/>
        </w:rPr>
        <w:t>一、项目基本情况</w:t>
      </w:r>
      <w:bookmarkEnd w:id="2"/>
      <w:bookmarkEnd w:id="3"/>
      <w:bookmarkEnd w:id="4"/>
      <w:bookmarkEnd w:id="5"/>
    </w:p>
    <w:p w14:paraId="6EB708D8">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项目编号：</w:t>
      </w:r>
      <w:r>
        <w:rPr>
          <w:rFonts w:hint="eastAsia" w:ascii="华文仿宋" w:hAnsi="华文仿宋" w:eastAsia="华文仿宋"/>
          <w:color w:val="0000FF"/>
          <w:sz w:val="28"/>
          <w:szCs w:val="28"/>
          <w:highlight w:val="none"/>
          <w:lang w:eastAsia="zh-CN"/>
        </w:rPr>
        <w:t>HS202604003</w:t>
      </w:r>
      <w:r>
        <w:rPr>
          <w:rFonts w:hint="eastAsia" w:ascii="华文仿宋" w:hAnsi="华文仿宋" w:eastAsia="华文仿宋"/>
          <w:color w:val="0000FF"/>
          <w:sz w:val="28"/>
          <w:szCs w:val="28"/>
          <w:highlight w:val="none"/>
        </w:rPr>
        <w:t xml:space="preserve"> </w:t>
      </w:r>
    </w:p>
    <w:p w14:paraId="69506429">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项目名称：</w:t>
      </w:r>
      <w:r>
        <w:rPr>
          <w:rFonts w:hint="eastAsia" w:ascii="华文仿宋" w:hAnsi="华文仿宋" w:eastAsia="华文仿宋"/>
          <w:sz w:val="28"/>
          <w:szCs w:val="28"/>
          <w:highlight w:val="none"/>
          <w:lang w:eastAsia="zh-CN"/>
        </w:rPr>
        <w:t>湖熟中心小学整体改扩建工程项目(报告厅(含食堂)及风雨操场)结算审计</w:t>
      </w:r>
    </w:p>
    <w:p w14:paraId="11C9ED90">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采购方式：竞争性磋商</w:t>
      </w:r>
    </w:p>
    <w:p w14:paraId="245E2BC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预算金额：</w:t>
      </w:r>
      <w:r>
        <w:rPr>
          <w:rFonts w:hint="eastAsia" w:ascii="华文仿宋" w:hAnsi="华文仿宋" w:eastAsia="华文仿宋"/>
          <w:color w:val="0000FF"/>
          <w:sz w:val="28"/>
          <w:szCs w:val="28"/>
          <w:highlight w:val="none"/>
          <w:u w:val="single"/>
          <w:lang w:val="en-US" w:eastAsia="zh-CN"/>
        </w:rPr>
        <w:t>39万元</w:t>
      </w:r>
    </w:p>
    <w:p w14:paraId="41994294">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lang w:val="en-US" w:eastAsia="zh-CN"/>
        </w:rPr>
      </w:pPr>
      <w:r>
        <w:rPr>
          <w:rFonts w:hint="eastAsia" w:ascii="华文仿宋" w:hAnsi="华文仿宋" w:eastAsia="华文仿宋"/>
          <w:sz w:val="28"/>
          <w:szCs w:val="28"/>
          <w:highlight w:val="none"/>
        </w:rPr>
        <w:t>最高限价：按照江苏省建设工程造价咨询服务收费标准(苏价服（2014）383号)下浮（优惠率）不少于40%。</w:t>
      </w:r>
    </w:p>
    <w:p w14:paraId="25B7329B">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cs="Times New Roman"/>
          <w:color w:val="0000FF"/>
          <w:sz w:val="28"/>
          <w:szCs w:val="28"/>
          <w:highlight w:val="none"/>
          <w:u w:val="single"/>
          <w:lang w:val="en-US"/>
        </w:rPr>
      </w:pPr>
      <w:r>
        <w:rPr>
          <w:rFonts w:hint="eastAsia" w:ascii="华文仿宋" w:hAnsi="华文仿宋" w:eastAsia="华文仿宋"/>
          <w:sz w:val="28"/>
          <w:szCs w:val="28"/>
          <w:highlight w:val="none"/>
        </w:rPr>
        <w:t>采购需求：</w:t>
      </w:r>
      <w:r>
        <w:rPr>
          <w:rFonts w:hint="eastAsia" w:ascii="华文仿宋" w:hAnsi="华文仿宋" w:eastAsia="华文仿宋" w:cs="Times New Roman"/>
          <w:color w:val="0000FF"/>
          <w:sz w:val="28"/>
          <w:szCs w:val="28"/>
          <w:highlight w:val="none"/>
          <w:u w:val="single"/>
          <w:lang w:eastAsia="zh-CN"/>
        </w:rPr>
        <w:t>湖熟中心小学整体改扩建工程项目(报告厅(含食堂)及风雨操场)结算审计</w:t>
      </w:r>
      <w:r>
        <w:rPr>
          <w:rFonts w:hint="eastAsia" w:ascii="华文仿宋" w:hAnsi="华文仿宋" w:eastAsia="华文仿宋" w:cs="Times New Roman"/>
          <w:color w:val="0000FF"/>
          <w:sz w:val="28"/>
          <w:szCs w:val="28"/>
          <w:highlight w:val="none"/>
          <w:u w:val="single"/>
          <w:lang w:val="en-US"/>
        </w:rPr>
        <w:t>，详见竞争性磋商文件。</w:t>
      </w:r>
    </w:p>
    <w:p w14:paraId="71EA0B61">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default" w:ascii="华文仿宋" w:hAnsi="华文仿宋" w:eastAsia="华文仿宋" w:cs="Times New Roman"/>
          <w:sz w:val="28"/>
          <w:szCs w:val="28"/>
          <w:highlight w:val="none"/>
          <w:lang w:val="en-US" w:eastAsia="zh-CN"/>
        </w:rPr>
      </w:pPr>
      <w:r>
        <w:rPr>
          <w:rFonts w:hint="eastAsia" w:ascii="华文仿宋" w:hAnsi="华文仿宋" w:eastAsia="华文仿宋" w:cs="Times New Roman"/>
          <w:sz w:val="28"/>
          <w:szCs w:val="28"/>
          <w:highlight w:val="none"/>
        </w:rPr>
        <w:t>合同履行期限：</w:t>
      </w:r>
      <w:r>
        <w:rPr>
          <w:rFonts w:hint="eastAsia" w:ascii="华文仿宋" w:hAnsi="华文仿宋" w:eastAsia="华文仿宋" w:cs="Times New Roman"/>
          <w:color w:val="0000FF"/>
          <w:sz w:val="28"/>
          <w:szCs w:val="28"/>
          <w:highlight w:val="none"/>
          <w:u w:val="single"/>
          <w:lang w:val="en-US" w:eastAsia="zh-CN"/>
        </w:rPr>
        <w:t>180日历天</w:t>
      </w:r>
    </w:p>
    <w:p w14:paraId="1B23ACF2">
      <w:pPr>
        <w:keepNext w:val="0"/>
        <w:keepLines w:val="0"/>
        <w:pageBreakBefore w:val="0"/>
        <w:widowControl w:val="0"/>
        <w:kinsoku/>
        <w:wordWrap/>
        <w:overflowPunct/>
        <w:topLinePunct w:val="0"/>
        <w:autoSpaceDE w:val="0"/>
        <w:autoSpaceDN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本项目</w:t>
      </w:r>
      <w:r>
        <w:rPr>
          <w:rFonts w:hint="eastAsia" w:ascii="华文仿宋" w:hAnsi="华文仿宋" w:eastAsia="华文仿宋"/>
          <w:sz w:val="28"/>
          <w:szCs w:val="28"/>
          <w:highlight w:val="none"/>
          <w:lang w:val="en-US"/>
        </w:rPr>
        <w:t>不</w:t>
      </w:r>
      <w:r>
        <w:rPr>
          <w:rFonts w:hint="eastAsia" w:ascii="华文仿宋" w:hAnsi="华文仿宋" w:eastAsia="华文仿宋"/>
          <w:sz w:val="28"/>
          <w:szCs w:val="28"/>
          <w:highlight w:val="none"/>
        </w:rPr>
        <w:t>接受联合体。</w:t>
      </w:r>
    </w:p>
    <w:p w14:paraId="74F951A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6" w:name="_Toc35393630"/>
      <w:bookmarkStart w:id="7" w:name="_Toc28359090"/>
      <w:bookmarkStart w:id="8" w:name="_Toc28359013"/>
      <w:bookmarkStart w:id="9" w:name="_Toc35393799"/>
      <w:r>
        <w:rPr>
          <w:rFonts w:hint="eastAsia" w:ascii="华文仿宋" w:hAnsi="华文仿宋" w:eastAsia="华文仿宋"/>
          <w:bCs w:val="0"/>
          <w:sz w:val="28"/>
          <w:szCs w:val="28"/>
          <w:highlight w:val="none"/>
        </w:rPr>
        <w:t>二、申请人的资格要求</w:t>
      </w:r>
      <w:bookmarkEnd w:id="6"/>
      <w:bookmarkEnd w:id="7"/>
      <w:bookmarkEnd w:id="8"/>
      <w:bookmarkEnd w:id="9"/>
    </w:p>
    <w:p w14:paraId="77402997">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bookmarkStart w:id="10" w:name="_Toc28359091"/>
      <w:bookmarkStart w:id="11" w:name="_Toc28359014"/>
      <w:r>
        <w:rPr>
          <w:rFonts w:hint="eastAsia" w:ascii="华文仿宋" w:hAnsi="华文仿宋" w:eastAsia="华文仿宋"/>
          <w:b/>
          <w:bCs/>
          <w:kern w:val="2"/>
          <w:sz w:val="28"/>
          <w:szCs w:val="28"/>
          <w:highlight w:val="none"/>
          <w:lang w:val="en-US" w:bidi="ar-SA"/>
        </w:rPr>
        <w:t>2.1 应具备规定的条件:</w:t>
      </w:r>
    </w:p>
    <w:p w14:paraId="4600F7AF">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（1）具有独立承担民事责任的能力（提供法人或者其他组织的营业执照，自然人的身份证明，等证明性材料）</w:t>
      </w:r>
    </w:p>
    <w:p w14:paraId="55257ACA">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（2）具有良好的商业信誉和健全的财务会计制度（提供上一年度的财务审计报告或采购公告前近半年内（至少一个月）财务报表）</w:t>
      </w:r>
    </w:p>
    <w:p w14:paraId="0F4196D3">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（3）具有履行合同所必需的设备和专业技术能力（根据项目需求提供履行合同所必需的设备和专业技术能力的证明材料或书面声明）；</w:t>
      </w:r>
    </w:p>
    <w:p w14:paraId="67BAF556">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8168B88">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（5）参加政府采购活动前三年内，在经营活动中没有重大违法记录（提供参加本次政府采购活动前 3 年内在经营活动中没有重大违法记录的书面声明）；</w:t>
      </w:r>
    </w:p>
    <w:p w14:paraId="0F1FF9F5">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（6）法律、行政法规规定的其他条件。</w:t>
      </w:r>
    </w:p>
    <w:p w14:paraId="30C24F62">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b/>
          <w:bCs/>
          <w:kern w:val="2"/>
          <w:sz w:val="28"/>
          <w:szCs w:val="28"/>
          <w:highlight w:val="none"/>
        </w:rPr>
      </w:pPr>
      <w:r>
        <w:rPr>
          <w:rFonts w:hint="eastAsia" w:ascii="华文仿宋" w:hAnsi="华文仿宋" w:eastAsia="华文仿宋"/>
          <w:b/>
          <w:bCs/>
          <w:kern w:val="2"/>
          <w:sz w:val="28"/>
          <w:szCs w:val="28"/>
          <w:highlight w:val="none"/>
        </w:rPr>
        <w:t>2.2采购人根据采购项目的特殊要求规定的特定条件：</w:t>
      </w:r>
    </w:p>
    <w:p w14:paraId="1A12BD57">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eastAsia="zh-CN" w:bidi="ar-SA"/>
        </w:rPr>
      </w:pPr>
      <w:r>
        <w:rPr>
          <w:rFonts w:hint="eastAsia" w:ascii="华文仿宋" w:hAnsi="华文仿宋" w:eastAsia="华文仿宋"/>
          <w:kern w:val="2"/>
          <w:sz w:val="28"/>
          <w:szCs w:val="28"/>
          <w:highlight w:val="none"/>
          <w:lang w:val="en-US" w:eastAsia="zh-CN" w:bidi="ar-SA"/>
        </w:rPr>
        <w:t xml:space="preserve">无； </w:t>
      </w:r>
    </w:p>
    <w:p w14:paraId="6B5B868E">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2.3 拒绝下述供应商参加本次采购活动：</w:t>
      </w:r>
    </w:p>
    <w:p w14:paraId="578FEAD6">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（1）是否接受联合体投标：不接受。</w:t>
      </w:r>
    </w:p>
    <w:p w14:paraId="14414324">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（2）供应商单位负责人为同一人或者存在直接控股、管理关系的不同供应商，不得参加同一合同项下的采购活动。</w:t>
      </w:r>
    </w:p>
    <w:p w14:paraId="568B1818">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（3）凡为采购项目提供整体设计、规范编制或者项目管理、监理、检测等服务的供应商，不得再参加本项目的采购活动。</w:t>
      </w:r>
    </w:p>
    <w:p w14:paraId="6482D1FA">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kern w:val="2"/>
          <w:sz w:val="28"/>
          <w:szCs w:val="28"/>
          <w:highlight w:val="none"/>
          <w:lang w:val="en-US" w:bidi="ar-SA"/>
        </w:rPr>
      </w:pPr>
      <w:r>
        <w:rPr>
          <w:rFonts w:hint="eastAsia" w:ascii="华文仿宋" w:hAnsi="华文仿宋" w:eastAsia="华文仿宋"/>
          <w:kern w:val="2"/>
          <w:sz w:val="28"/>
          <w:szCs w:val="28"/>
          <w:highlight w:val="none"/>
          <w:lang w:val="en-US" w:bidi="ar-SA"/>
        </w:rPr>
        <w:t>（4）供应商被“信用中国”网站、“中国政府采购网”列入失信被执行人、重大税收违法案件当事人名单、政府采购严重违法失信行为记录名单。</w:t>
      </w:r>
    </w:p>
    <w:p w14:paraId="32458C74">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b/>
          <w:bCs/>
          <w:kern w:val="2"/>
          <w:sz w:val="28"/>
          <w:szCs w:val="28"/>
          <w:highlight w:val="none"/>
          <w:lang w:val="en-US" w:bidi="ar-SA"/>
        </w:rPr>
      </w:pPr>
      <w:r>
        <w:rPr>
          <w:rFonts w:hint="eastAsia" w:ascii="华文仿宋" w:hAnsi="华文仿宋" w:eastAsia="华文仿宋"/>
          <w:b/>
          <w:bCs/>
          <w:kern w:val="2"/>
          <w:sz w:val="28"/>
          <w:szCs w:val="28"/>
          <w:highlight w:val="none"/>
          <w:lang w:val="en-US" w:bidi="ar-SA"/>
        </w:rPr>
        <w:t xml:space="preserve">2.4 </w:t>
      </w:r>
      <w:r>
        <w:rPr>
          <w:rFonts w:hint="eastAsia" w:ascii="华文仿宋" w:hAnsi="华文仿宋" w:eastAsia="华文仿宋" w:cs="仿宋"/>
          <w:b/>
          <w:bCs/>
          <w:color w:val="000000" w:themeColor="text1"/>
          <w:sz w:val="28"/>
          <w:szCs w:val="28"/>
          <w:highlight w:val="none"/>
          <w14:textFill>
            <w14:solidFill>
              <w14:schemeClr w14:val="tx1"/>
            </w14:solidFill>
          </w14:textFill>
        </w:rPr>
        <w:t>南京市政府采购供应商信用记录表暨信用承诺书</w:t>
      </w:r>
    </w:p>
    <w:p w14:paraId="6310C48A">
      <w:pPr>
        <w:pStyle w:val="23"/>
        <w:keepNext w:val="0"/>
        <w:keepLines w:val="0"/>
        <w:pageBreakBefore w:val="0"/>
        <w:kinsoku/>
        <w:wordWrap/>
        <w:overflowPunct/>
        <w:topLinePunct w:val="0"/>
        <w:bidi w:val="0"/>
        <w:adjustRightInd/>
        <w:snapToGrid/>
        <w:spacing w:before="0" w:beforeAutospacing="0" w:after="0" w:afterAutospacing="0" w:line="25" w:lineRule="atLeast"/>
        <w:ind w:firstLine="560" w:firstLineChars="200"/>
        <w:textAlignment w:val="auto"/>
        <w:rPr>
          <w:rFonts w:hint="eastAsia" w:ascii="华文仿宋" w:hAnsi="华文仿宋" w:eastAsia="华文仿宋"/>
          <w:color w:val="000000"/>
          <w:sz w:val="28"/>
          <w:szCs w:val="28"/>
          <w:highlight w:val="none"/>
        </w:rPr>
      </w:pPr>
      <w:bookmarkStart w:id="12" w:name="_Toc35393800"/>
      <w:bookmarkStart w:id="13" w:name="_Toc35393631"/>
      <w:r>
        <w:rPr>
          <w:rFonts w:hint="eastAsia" w:ascii="华文仿宋" w:hAnsi="华文仿宋" w:eastAsia="华文仿宋"/>
          <w:color w:val="000000"/>
          <w:sz w:val="28"/>
          <w:szCs w:val="28"/>
          <w:highlight w:val="none"/>
        </w:rPr>
        <w:t>根据《关于在政府采购活动中推行信用承诺制的通知》宁财购通〔2021〕5号规定， 参加南京地区采购活动的供应商，应以书面形式向采购人或采购代理机构作出信用承诺。供应商应尽早做好承诺工作，点击‘南京公共采购信息网’首页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04ABDA0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在资格审查环节，供应商只需提供书面《南京市政府采购供应商信用记录表暨信用承诺书》，即可替代以下证明材料： </w:t>
      </w:r>
    </w:p>
    <w:p w14:paraId="752E30E9">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（1）符合国家相关规定的财务状况报告； </w:t>
      </w:r>
    </w:p>
    <w:p w14:paraId="7ADEB97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（2）依法缴纳税收的证明材料； </w:t>
      </w:r>
    </w:p>
    <w:p w14:paraId="71B9968E">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（3）依法缴纳社会保障资金的证明材料； </w:t>
      </w:r>
    </w:p>
    <w:p w14:paraId="569882B9">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（4）具备履行合同所必需的设备和专业技术能力的证明材料； </w:t>
      </w:r>
    </w:p>
    <w:p w14:paraId="50BA2AF5">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（5）参加采购活动前三年内在经营活动中没有重大违法记录的证明材料； </w:t>
      </w:r>
    </w:p>
    <w:p w14:paraId="1A088614">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（6）未被列入失信被执行人、重大税收违法失信主体、政府采购严重违法失信行为记录名单的证明材料。 </w:t>
      </w:r>
    </w:p>
    <w:p w14:paraId="50BB99E2">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供应商在中标（成交）后，应按采购文件要求，将上述由信用承诺书替代的证明材料提交采购人或采购代理机构核验。经核验无误后，由采购人或采购代理机构发出中标（成交）通知书。 </w:t>
      </w:r>
    </w:p>
    <w:p w14:paraId="5983FA0F">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供应商涉及以下情形的，不适用信用承诺： </w:t>
      </w:r>
    </w:p>
    <w:p w14:paraId="3E2FD446">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（1）供应商被列入严重失信主体名单； </w:t>
      </w:r>
    </w:p>
    <w:p w14:paraId="37C25C3E">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（2）被相关监管部门作出行政处罚且尚在处罚有效期内； </w:t>
      </w:r>
    </w:p>
    <w:p w14:paraId="56E30DB8">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 xml:space="preserve">（3）其他法律、行政法规规定的不适用信用承诺的情形。 </w:t>
      </w:r>
    </w:p>
    <w:p w14:paraId="750FAC03">
      <w:pPr>
        <w:pStyle w:val="23"/>
        <w:keepNext w:val="0"/>
        <w:keepLines w:val="0"/>
        <w:pageBreakBefore w:val="0"/>
        <w:kinsoku/>
        <w:wordWrap/>
        <w:overflowPunct/>
        <w:topLinePunct w:val="0"/>
        <w:bidi w:val="0"/>
        <w:adjustRightInd/>
        <w:snapToGrid/>
        <w:spacing w:before="0" w:beforeAutospacing="0" w:after="0" w:afterAutospacing="0" w:line="25" w:lineRule="atLeast"/>
        <w:textAlignment w:val="auto"/>
        <w:rPr>
          <w:rFonts w:ascii="华文仿宋" w:hAnsi="华文仿宋" w:eastAsia="华文仿宋"/>
          <w:color w:val="000000"/>
          <w:sz w:val="28"/>
          <w:szCs w:val="28"/>
          <w:highlight w:val="none"/>
        </w:rPr>
      </w:pPr>
      <w:r>
        <w:rPr>
          <w:rFonts w:hint="eastAsia" w:ascii="华文仿宋" w:hAnsi="华文仿宋" w:eastAsia="华文仿宋"/>
          <w:color w:val="000000"/>
          <w:sz w:val="28"/>
          <w:szCs w:val="28"/>
          <w:highlight w:val="none"/>
        </w:rPr>
        <w:t>供应商对信用承诺内容的真实性、合法性、有效性负责。如作出虚假信用承诺，视同为“提供虚假材料谋取中标、成交”的违法行为</w:t>
      </w:r>
      <w:r>
        <w:rPr>
          <w:rFonts w:ascii="华文仿宋" w:hAnsi="华文仿宋" w:eastAsia="华文仿宋"/>
          <w:color w:val="000000"/>
          <w:sz w:val="28"/>
          <w:szCs w:val="28"/>
          <w:highlight w:val="none"/>
        </w:rPr>
        <w:t>。</w:t>
      </w:r>
    </w:p>
    <w:p w14:paraId="5A7B9C8E">
      <w:pPr>
        <w:pStyle w:val="12"/>
        <w:keepNext w:val="0"/>
        <w:keepLines w:val="0"/>
        <w:pageBreakBefore w:val="0"/>
        <w:kinsoku/>
        <w:wordWrap/>
        <w:overflowPunct/>
        <w:topLinePunct w:val="0"/>
        <w:bidi w:val="0"/>
        <w:adjustRightInd/>
        <w:snapToGrid/>
        <w:spacing w:before="75" w:beforeAutospacing="0" w:after="75" w:afterAutospacing="0" w:line="25" w:lineRule="atLeast"/>
        <w:textAlignment w:val="auto"/>
        <w:rPr>
          <w:rFonts w:hint="eastAsia" w:ascii="华文仿宋" w:hAnsi="华文仿宋" w:eastAsia="华文仿宋" w:cs="仿宋"/>
          <w:b/>
          <w:bCs/>
          <w:color w:val="000000" w:themeColor="text1"/>
          <w:sz w:val="28"/>
          <w:szCs w:val="28"/>
          <w:highlight w:val="none"/>
          <w14:textFill>
            <w14:solidFill>
              <w14:schemeClr w14:val="tx1"/>
            </w14:solidFill>
          </w14:textFill>
        </w:rPr>
      </w:pPr>
      <w:r>
        <w:rPr>
          <w:rFonts w:hint="eastAsia" w:ascii="华文仿宋" w:hAnsi="华文仿宋" w:eastAsia="华文仿宋" w:cs="仿宋"/>
          <w:b/>
          <w:bCs/>
          <w:color w:val="000000" w:themeColor="text1"/>
          <w:sz w:val="28"/>
          <w:szCs w:val="28"/>
          <w:highlight w:val="none"/>
          <w:lang w:val="en-US" w:eastAsia="zh-CN"/>
          <w14:textFill>
            <w14:solidFill>
              <w14:schemeClr w14:val="tx1"/>
            </w14:solidFill>
          </w14:textFill>
        </w:rPr>
        <w:t>2.5 本项目按照采用以下第（1）种方式落实政府采购促进中小企业发展的要求：</w:t>
      </w:r>
    </w:p>
    <w:p w14:paraId="5C0E9C24">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（1）本项目整体专门面向中小企业采购服务。（供应商应为中小微企业、监狱企业、残疾人福利性单位,提供相应的声明函及其附件（如有附件））</w:t>
      </w:r>
    </w:p>
    <w:p w14:paraId="7AF41D07">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（2）本项目整体专门面向小微企业采购服务。（供应商应为小微企业、监狱企业、残疾人福利性单位）</w:t>
      </w:r>
    </w:p>
    <w:p w14:paraId="0484C5B4">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（3）本项目通过以下第（）种方式预留部分采购份额采购中小企业服务：</w:t>
      </w:r>
    </w:p>
    <w:p w14:paraId="22CEB9FF">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①本项目要求供应商以联合体形式参加，中小企业合同金额应当达到的比例为＿%。</w:t>
      </w:r>
    </w:p>
    <w:p w14:paraId="7F0239D1">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②本项目要求供应商进行合同分包，中小企业合同金额应当达到的比例为＿%。</w:t>
      </w:r>
    </w:p>
    <w:p w14:paraId="3740FC89">
      <w:pPr>
        <w:pStyle w:val="23"/>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华文仿宋" w:hAnsi="华文仿宋" w:eastAsia="华文仿宋"/>
          <w:color w:val="000000"/>
          <w:sz w:val="28"/>
          <w:szCs w:val="28"/>
          <w:highlight w:val="none"/>
        </w:rPr>
      </w:pPr>
      <w:r>
        <w:rPr>
          <w:rFonts w:hint="eastAsia" w:ascii="仿宋" w:hAnsi="仿宋" w:eastAsia="仿宋"/>
          <w:color w:val="000000"/>
          <w:sz w:val="28"/>
          <w:szCs w:val="28"/>
          <w:highlight w:val="none"/>
          <w:lang w:val="en-US" w:eastAsia="zh-CN"/>
        </w:rPr>
        <w:t>（4）本项目为非预留份额的采购项目或采购包，执行价格扣除优惠政策，具体详见评分标准。</w:t>
      </w:r>
    </w:p>
    <w:p w14:paraId="4070B549">
      <w:pPr>
        <w:keepNext w:val="0"/>
        <w:keepLines w:val="0"/>
        <w:pageBreakBefore w:val="0"/>
        <w:kinsoku/>
        <w:wordWrap/>
        <w:overflowPunct/>
        <w:topLinePunct w:val="0"/>
        <w:bidi w:val="0"/>
        <w:adjustRightInd/>
        <w:snapToGrid/>
        <w:spacing w:before="120" w:beforeLines="50"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三、获取采购文件</w:t>
      </w:r>
      <w:bookmarkEnd w:id="10"/>
      <w:bookmarkEnd w:id="11"/>
      <w:bookmarkEnd w:id="12"/>
      <w:bookmarkEnd w:id="13"/>
    </w:p>
    <w:p w14:paraId="0F217204">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rPr>
      </w:pPr>
      <w:bookmarkStart w:id="14" w:name="_Toc35393801"/>
      <w:bookmarkStart w:id="15" w:name="_Toc35393632"/>
      <w:bookmarkStart w:id="16" w:name="_Toc28359092"/>
      <w:bookmarkStart w:id="17" w:name="_Toc28359015"/>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2026年4月28日至2026年5月7日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2C75FAAE">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4350C206">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1）投标申请人的法定代表人持个人有效身份证件复印件加盖公章；</w:t>
      </w:r>
    </w:p>
    <w:p w14:paraId="71682EC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2）法人资格证明原件（须明确写明参与项目的项目名称，格式自拟）；</w:t>
      </w:r>
    </w:p>
    <w:p w14:paraId="769C0D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31F0E42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1）授权的委托代理人持个人有效身份证件复印件加盖公章</w:t>
      </w:r>
    </w:p>
    <w:p w14:paraId="1D79A457">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）授权委托书原件（须明确写明参与项目的项目名称，格式自拟）。</w:t>
      </w:r>
    </w:p>
    <w:p w14:paraId="4F9610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w:t>
      </w: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）邮箱获取</w:t>
      </w:r>
    </w:p>
    <w:p w14:paraId="22514A2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lang w:val="en-US" w:eastAsia="zh-CN"/>
        </w:rPr>
        <w:t>（2.1）、法人资格证明、授权委托书、身份证等要求：</w:t>
      </w:r>
    </w:p>
    <w:p w14:paraId="220C1AF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382DF84A">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47657CD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6DA6D8F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4CC84C29">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671B13B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59A8994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（2.2）</w:t>
      </w:r>
      <w:r>
        <w:rPr>
          <w:rFonts w:hint="eastAsia" w:ascii="华文仿宋" w:hAnsi="华文仿宋" w:eastAsia="华文仿宋"/>
          <w:sz w:val="28"/>
          <w:szCs w:val="28"/>
          <w:highlight w:val="none"/>
          <w:lang w:val="en-US"/>
        </w:rPr>
        <w:t>、《采购文件领取登记表》填写完整并加盖公章的扫描件。（《采购文件领取登记表》见附件）</w:t>
      </w:r>
    </w:p>
    <w:p w14:paraId="10D108B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4F9008A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p>
    <w:p w14:paraId="15E8E44E">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四、响应文件提交</w:t>
      </w:r>
      <w:bookmarkEnd w:id="14"/>
      <w:bookmarkEnd w:id="15"/>
      <w:bookmarkEnd w:id="16"/>
      <w:bookmarkEnd w:id="17"/>
    </w:p>
    <w:p w14:paraId="6078369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rPr>
      </w:pPr>
      <w:r>
        <w:rPr>
          <w:rFonts w:hint="eastAsia" w:ascii="华文仿宋" w:hAnsi="华文仿宋" w:eastAsia="华文仿宋"/>
          <w:sz w:val="28"/>
          <w:szCs w:val="28"/>
          <w:highlight w:val="none"/>
        </w:rPr>
        <w:t>截止时间：</w:t>
      </w:r>
      <w:r>
        <w:rPr>
          <w:rFonts w:hint="eastAsia" w:ascii="华文仿宋" w:hAnsi="华文仿宋" w:eastAsia="华文仿宋"/>
          <w:color w:val="0000FF"/>
          <w:sz w:val="28"/>
          <w:szCs w:val="28"/>
          <w:highlight w:val="none"/>
          <w:u w:val="single"/>
          <w:lang w:val="en-US" w:eastAsia="zh-CN"/>
        </w:rPr>
        <w:t>2026年5月13日14：00</w:t>
      </w:r>
      <w:r>
        <w:rPr>
          <w:rFonts w:hint="eastAsia" w:ascii="华文仿宋" w:hAnsi="华文仿宋" w:eastAsia="华文仿宋"/>
          <w:bCs/>
          <w:sz w:val="28"/>
          <w:szCs w:val="28"/>
          <w:highlight w:val="none"/>
        </w:rPr>
        <w:t>（北京时间）</w:t>
      </w:r>
    </w:p>
    <w:p w14:paraId="20441DBB">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10B5E79C">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18" w:name="_Toc35393802"/>
      <w:bookmarkStart w:id="19" w:name="_Toc35393633"/>
      <w:bookmarkStart w:id="20" w:name="_Toc28359016"/>
      <w:bookmarkStart w:id="21" w:name="_Toc28359093"/>
      <w:r>
        <w:rPr>
          <w:rFonts w:hint="eastAsia" w:ascii="华文仿宋" w:hAnsi="华文仿宋" w:eastAsia="华文仿宋"/>
          <w:bCs w:val="0"/>
          <w:sz w:val="28"/>
          <w:szCs w:val="28"/>
          <w:highlight w:val="none"/>
        </w:rPr>
        <w:t>五、开启</w:t>
      </w:r>
      <w:bookmarkEnd w:id="18"/>
      <w:bookmarkEnd w:id="19"/>
      <w:bookmarkEnd w:id="20"/>
      <w:bookmarkEnd w:id="21"/>
    </w:p>
    <w:p w14:paraId="6656FC5D">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rPr>
      </w:pP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2026年5月13日14：00</w:t>
      </w:r>
      <w:r>
        <w:rPr>
          <w:rFonts w:hint="eastAsia" w:ascii="华文仿宋" w:hAnsi="华文仿宋" w:eastAsia="华文仿宋"/>
          <w:bCs/>
          <w:sz w:val="28"/>
          <w:szCs w:val="28"/>
          <w:highlight w:val="none"/>
        </w:rPr>
        <w:t>（北京时间）</w:t>
      </w:r>
    </w:p>
    <w:p w14:paraId="28A028F4">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bCs/>
          <w:sz w:val="28"/>
          <w:szCs w:val="28"/>
          <w:highlight w:val="none"/>
          <w:u w:val="single"/>
          <w:lang w:val="en-US"/>
        </w:rPr>
      </w:pP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4EDBFFE0">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2" w:name="_Toc28359094"/>
      <w:bookmarkStart w:id="23" w:name="_Toc35393634"/>
      <w:bookmarkStart w:id="24" w:name="_Toc28359017"/>
      <w:bookmarkStart w:id="25" w:name="_Toc35393803"/>
      <w:r>
        <w:rPr>
          <w:rFonts w:hint="eastAsia" w:ascii="华文仿宋" w:hAnsi="华文仿宋" w:eastAsia="华文仿宋"/>
          <w:bCs w:val="0"/>
          <w:sz w:val="28"/>
          <w:szCs w:val="28"/>
          <w:highlight w:val="none"/>
        </w:rPr>
        <w:t>六、公告期限</w:t>
      </w:r>
      <w:bookmarkEnd w:id="22"/>
      <w:bookmarkEnd w:id="23"/>
      <w:bookmarkEnd w:id="24"/>
      <w:bookmarkEnd w:id="25"/>
    </w:p>
    <w:p w14:paraId="3D9797CE">
      <w:pPr>
        <w:keepNext w:val="0"/>
        <w:keepLines w:val="0"/>
        <w:pageBreakBefore w:val="0"/>
        <w:kinsoku/>
        <w:wordWrap/>
        <w:overflowPunct/>
        <w:topLinePunct w:val="0"/>
        <w:bidi w:val="0"/>
        <w:adjustRightInd/>
        <w:snapToGrid/>
        <w:spacing w:line="25" w:lineRule="atLeast"/>
        <w:ind w:firstLine="560" w:firstLineChars="2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自本公告发布之日起</w:t>
      </w:r>
      <w:r>
        <w:rPr>
          <w:rFonts w:hint="eastAsia" w:ascii="华文仿宋" w:hAnsi="华文仿宋" w:eastAsia="华文仿宋"/>
          <w:sz w:val="28"/>
          <w:szCs w:val="28"/>
          <w:highlight w:val="none"/>
          <w:lang w:val="en-US"/>
        </w:rPr>
        <w:t>5</w:t>
      </w:r>
      <w:r>
        <w:rPr>
          <w:rFonts w:hint="eastAsia" w:ascii="华文仿宋" w:hAnsi="华文仿宋" w:eastAsia="华文仿宋"/>
          <w:sz w:val="28"/>
          <w:szCs w:val="28"/>
          <w:highlight w:val="none"/>
        </w:rPr>
        <w:t>个工作日。</w:t>
      </w:r>
    </w:p>
    <w:p w14:paraId="0F5BE7BD">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bookmarkStart w:id="26" w:name="_Toc35393804"/>
      <w:bookmarkStart w:id="27" w:name="_Toc35393635"/>
      <w:r>
        <w:rPr>
          <w:rFonts w:hint="eastAsia" w:ascii="华文仿宋" w:hAnsi="华文仿宋" w:eastAsia="华文仿宋"/>
          <w:bCs w:val="0"/>
          <w:sz w:val="28"/>
          <w:szCs w:val="28"/>
          <w:highlight w:val="none"/>
        </w:rPr>
        <w:t>七、其他补充事宜</w:t>
      </w:r>
      <w:bookmarkEnd w:id="26"/>
      <w:bookmarkEnd w:id="27"/>
    </w:p>
    <w:p w14:paraId="2C0D30F6">
      <w:pPr>
        <w:pStyle w:val="12"/>
        <w:keepNext w:val="0"/>
        <w:keepLines w:val="0"/>
        <w:pageBreakBefore w:val="0"/>
        <w:kinsoku/>
        <w:wordWrap/>
        <w:overflowPunct/>
        <w:topLinePunct w:val="0"/>
        <w:bidi w:val="0"/>
        <w:adjustRightInd/>
        <w:snapToGrid/>
        <w:spacing w:before="75" w:beforeAutospacing="0" w:after="75" w:afterAutospacing="0" w:line="25" w:lineRule="atLeast"/>
        <w:ind w:firstLine="560" w:firstLineChars="200"/>
        <w:textAlignment w:val="auto"/>
        <w:rPr>
          <w:rFonts w:hint="eastAsia" w:ascii="华文仿宋" w:hAnsi="华文仿宋" w:eastAsia="华文仿宋"/>
          <w:kern w:val="2"/>
          <w:sz w:val="28"/>
          <w:szCs w:val="28"/>
          <w:highlight w:val="none"/>
          <w:lang w:val="en-US" w:bidi="ar-SA"/>
        </w:rPr>
      </w:pPr>
      <w:bookmarkStart w:id="28" w:name="_Toc28359018"/>
      <w:bookmarkStart w:id="29" w:name="_Toc35393636"/>
      <w:bookmarkStart w:id="30" w:name="_Toc35393805"/>
      <w:bookmarkStart w:id="31" w:name="_Toc28359095"/>
      <w:r>
        <w:rPr>
          <w:rFonts w:hint="eastAsia" w:ascii="华文仿宋" w:hAnsi="华文仿宋" w:eastAsia="华文仿宋"/>
          <w:kern w:val="2"/>
          <w:sz w:val="28"/>
          <w:szCs w:val="28"/>
          <w:highlight w:val="none"/>
          <w:lang w:val="en-US" w:bidi="ar-SA"/>
        </w:rPr>
        <w:t>采购人不组织踏勘现场，投标人可自行联系采购人。请务必对项目现场和周围环境进行仔细认真地查勘，在随后的采购中，对现场资料和数据所作出的推论、解释和结论及由此造成的后果由供应商负责。</w:t>
      </w:r>
    </w:p>
    <w:p w14:paraId="03841338">
      <w:pPr>
        <w:keepNext w:val="0"/>
        <w:keepLines w:val="0"/>
        <w:pageBreakBefore w:val="0"/>
        <w:kinsoku/>
        <w:wordWrap/>
        <w:overflowPunct/>
        <w:topLinePunct w:val="0"/>
        <w:bidi w:val="0"/>
        <w:adjustRightInd/>
        <w:snapToGrid/>
        <w:spacing w:line="25" w:lineRule="atLeast"/>
        <w:textAlignment w:val="auto"/>
        <w:outlineLvl w:val="9"/>
        <w:rPr>
          <w:rFonts w:hint="eastAsia" w:ascii="华文仿宋" w:hAnsi="华文仿宋" w:eastAsia="华文仿宋"/>
          <w:bCs w:val="0"/>
          <w:sz w:val="28"/>
          <w:szCs w:val="28"/>
          <w:highlight w:val="none"/>
        </w:rPr>
      </w:pPr>
      <w:r>
        <w:rPr>
          <w:rFonts w:hint="eastAsia" w:ascii="华文仿宋" w:hAnsi="华文仿宋" w:eastAsia="华文仿宋"/>
          <w:bCs w:val="0"/>
          <w:sz w:val="28"/>
          <w:szCs w:val="28"/>
          <w:highlight w:val="none"/>
        </w:rPr>
        <w:t>八、凡对本次采购提出询问，请按</w:t>
      </w:r>
      <w:r>
        <w:rPr>
          <w:rFonts w:ascii="华文仿宋" w:hAnsi="华文仿宋" w:eastAsia="华文仿宋"/>
          <w:bCs w:val="0"/>
          <w:sz w:val="28"/>
          <w:szCs w:val="28"/>
          <w:highlight w:val="none"/>
        </w:rPr>
        <w:t>以下方式</w:t>
      </w:r>
      <w:r>
        <w:rPr>
          <w:rFonts w:hint="eastAsia" w:ascii="华文仿宋" w:hAnsi="华文仿宋" w:eastAsia="华文仿宋"/>
          <w:bCs w:val="0"/>
          <w:sz w:val="28"/>
          <w:szCs w:val="28"/>
          <w:highlight w:val="none"/>
        </w:rPr>
        <w:t>联系。</w:t>
      </w:r>
      <w:bookmarkEnd w:id="28"/>
      <w:bookmarkEnd w:id="29"/>
      <w:bookmarkEnd w:id="30"/>
      <w:bookmarkEnd w:id="31"/>
    </w:p>
    <w:p w14:paraId="4E42064B">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2" w:name="_Toc35393806"/>
      <w:bookmarkStart w:id="33" w:name="_Toc28359096"/>
      <w:bookmarkStart w:id="34" w:name="_Toc28359019"/>
      <w:bookmarkStart w:id="35" w:name="_Toc35393637"/>
      <w:r>
        <w:rPr>
          <w:rFonts w:hint="eastAsia" w:ascii="华文仿宋" w:hAnsi="华文仿宋" w:eastAsia="华文仿宋"/>
          <w:b w:val="0"/>
          <w:sz w:val="28"/>
          <w:szCs w:val="28"/>
          <w:highlight w:val="none"/>
        </w:rPr>
        <w:t>1.采购人信息</w:t>
      </w:r>
      <w:bookmarkEnd w:id="32"/>
      <w:bookmarkEnd w:id="33"/>
      <w:bookmarkEnd w:id="34"/>
      <w:bookmarkEnd w:id="35"/>
    </w:p>
    <w:p w14:paraId="0C716E11">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eastAsia="zh-CN"/>
        </w:rPr>
        <w:t>南京市江宁区人民政府湖熟街道办事处</w:t>
      </w:r>
    </w:p>
    <w:p w14:paraId="3E1A1BB6">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lang w:eastAsia="zh-CN"/>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eastAsia="zh-CN"/>
        </w:rPr>
        <w:t>南京市江宁区湖熟街道花园塘21号</w:t>
      </w:r>
    </w:p>
    <w:p w14:paraId="183D5E3E">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lang w:eastAsia="zh-CN"/>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eastAsia="zh-CN"/>
        </w:rPr>
        <w:t>025-52693552</w:t>
      </w:r>
    </w:p>
    <w:p w14:paraId="19D3CF34">
      <w:pPr>
        <w:keepNext w:val="0"/>
        <w:keepLines w:val="0"/>
        <w:pageBreakBefore w:val="0"/>
        <w:kinsoku/>
        <w:wordWrap/>
        <w:overflowPunct/>
        <w:topLinePunct w:val="0"/>
        <w:bidi w:val="0"/>
        <w:adjustRightInd/>
        <w:snapToGrid/>
        <w:spacing w:line="25" w:lineRule="atLeast"/>
        <w:ind w:left="1166" w:leftChars="371" w:hanging="350" w:hangingChars="125"/>
        <w:textAlignment w:val="auto"/>
        <w:rPr>
          <w:rFonts w:hint="eastAsia" w:ascii="华文仿宋" w:hAnsi="华文仿宋" w:eastAsia="华文仿宋"/>
          <w:sz w:val="28"/>
          <w:szCs w:val="28"/>
          <w:highlight w:val="none"/>
          <w:u w:val="single"/>
          <w:lang w:val="en-US" w:eastAsia="zh-CN"/>
        </w:rPr>
      </w:pPr>
      <w:r>
        <w:rPr>
          <w:rFonts w:hint="eastAsia" w:ascii="华文仿宋" w:hAnsi="华文仿宋" w:eastAsia="华文仿宋"/>
          <w:sz w:val="28"/>
          <w:szCs w:val="28"/>
          <w:highlight w:val="none"/>
          <w:lang w:val="en-US"/>
        </w:rPr>
        <w:t>联 系 人：</w:t>
      </w:r>
      <w:r>
        <w:rPr>
          <w:rFonts w:hint="eastAsia" w:ascii="华文仿宋" w:hAnsi="华文仿宋" w:eastAsia="华文仿宋"/>
          <w:sz w:val="28"/>
          <w:szCs w:val="28"/>
          <w:highlight w:val="none"/>
          <w:u w:val="single"/>
          <w:lang w:val="en-US" w:eastAsia="zh-CN"/>
        </w:rPr>
        <w:t>侯工</w:t>
      </w:r>
    </w:p>
    <w:p w14:paraId="3765437C">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36" w:name="_Toc35393638"/>
      <w:bookmarkStart w:id="37" w:name="_Toc28359020"/>
      <w:bookmarkStart w:id="38" w:name="_Toc35393807"/>
      <w:bookmarkStart w:id="39" w:name="_Toc28359097"/>
      <w:r>
        <w:rPr>
          <w:rFonts w:hint="eastAsia" w:ascii="华文仿宋" w:hAnsi="华文仿宋" w:eastAsia="华文仿宋"/>
          <w:b w:val="0"/>
          <w:sz w:val="28"/>
          <w:szCs w:val="28"/>
          <w:highlight w:val="none"/>
        </w:rPr>
        <w:t>2.采购代理机构信息</w:t>
      </w:r>
      <w:bookmarkEnd w:id="36"/>
      <w:bookmarkEnd w:id="37"/>
      <w:bookmarkEnd w:id="38"/>
      <w:bookmarkEnd w:id="39"/>
    </w:p>
    <w:p w14:paraId="2006B9F1">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名    称：</w:t>
      </w:r>
      <w:r>
        <w:rPr>
          <w:rFonts w:hint="eastAsia" w:ascii="华文仿宋" w:hAnsi="华文仿宋" w:eastAsia="华文仿宋"/>
          <w:sz w:val="28"/>
          <w:szCs w:val="28"/>
          <w:highlight w:val="none"/>
          <w:u w:val="single"/>
          <w:lang w:val="en-US"/>
        </w:rPr>
        <w:t>南京新泽建设项目管理有限公司</w:t>
      </w:r>
    </w:p>
    <w:p w14:paraId="7D021497">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rPr>
      </w:pPr>
      <w:r>
        <w:rPr>
          <w:rFonts w:hint="eastAsia" w:ascii="华文仿宋" w:hAnsi="华文仿宋" w:eastAsia="华文仿宋"/>
          <w:sz w:val="28"/>
          <w:szCs w:val="28"/>
          <w:highlight w:val="none"/>
        </w:rPr>
        <w:t>地　　址：</w:t>
      </w:r>
      <w:r>
        <w:rPr>
          <w:rFonts w:hint="eastAsia" w:ascii="华文仿宋" w:hAnsi="华文仿宋" w:eastAsia="华文仿宋"/>
          <w:sz w:val="28"/>
          <w:szCs w:val="28"/>
          <w:highlight w:val="none"/>
          <w:u w:val="single"/>
          <w:lang w:val="en-US"/>
        </w:rPr>
        <w:t>江苏省南京市江宁区通联路7号联东U谷江宁国际企业港三期8栋301</w:t>
      </w:r>
    </w:p>
    <w:p w14:paraId="590F28D8">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u w:val="single"/>
          <w:lang w:val="en-US"/>
        </w:rPr>
      </w:pPr>
      <w:r>
        <w:rPr>
          <w:rFonts w:hint="eastAsia" w:ascii="华文仿宋" w:hAnsi="华文仿宋" w:eastAsia="华文仿宋"/>
          <w:sz w:val="28"/>
          <w:szCs w:val="28"/>
          <w:highlight w:val="none"/>
        </w:rPr>
        <w:t>联系方式：</w:t>
      </w:r>
      <w:r>
        <w:rPr>
          <w:rFonts w:hint="eastAsia" w:ascii="华文仿宋" w:hAnsi="华文仿宋" w:eastAsia="华文仿宋"/>
          <w:sz w:val="28"/>
          <w:szCs w:val="28"/>
          <w:highlight w:val="none"/>
          <w:u w:val="single"/>
          <w:lang w:val="en-US"/>
        </w:rPr>
        <w:t>025-52190939</w:t>
      </w:r>
    </w:p>
    <w:p w14:paraId="0C8F8987">
      <w:pPr>
        <w:keepNext w:val="0"/>
        <w:keepLines w:val="0"/>
        <w:pageBreakBefore w:val="0"/>
        <w:kinsoku/>
        <w:wordWrap/>
        <w:overflowPunct/>
        <w:topLinePunct w:val="0"/>
        <w:bidi w:val="0"/>
        <w:adjustRightInd/>
        <w:snapToGrid/>
        <w:spacing w:line="25" w:lineRule="atLeast"/>
        <w:ind w:firstLine="840" w:firstLineChars="300"/>
        <w:textAlignment w:val="auto"/>
        <w:outlineLvl w:val="9"/>
        <w:rPr>
          <w:rFonts w:hint="eastAsia" w:ascii="华文仿宋" w:hAnsi="华文仿宋" w:eastAsia="华文仿宋"/>
          <w:b w:val="0"/>
          <w:sz w:val="28"/>
          <w:szCs w:val="28"/>
          <w:highlight w:val="none"/>
        </w:rPr>
      </w:pPr>
      <w:bookmarkStart w:id="40" w:name="_Toc35393639"/>
      <w:bookmarkStart w:id="41" w:name="_Toc28359098"/>
      <w:bookmarkStart w:id="42" w:name="_Toc28359021"/>
      <w:bookmarkStart w:id="43" w:name="_Toc35393808"/>
      <w:r>
        <w:rPr>
          <w:rFonts w:hint="eastAsia" w:ascii="华文仿宋" w:hAnsi="华文仿宋" w:eastAsia="华文仿宋"/>
          <w:b w:val="0"/>
          <w:sz w:val="28"/>
          <w:szCs w:val="28"/>
          <w:highlight w:val="none"/>
        </w:rPr>
        <w:t>3.项目联系</w:t>
      </w:r>
      <w:r>
        <w:rPr>
          <w:rFonts w:ascii="华文仿宋" w:hAnsi="华文仿宋" w:eastAsia="华文仿宋"/>
          <w:b w:val="0"/>
          <w:sz w:val="28"/>
          <w:szCs w:val="28"/>
          <w:highlight w:val="none"/>
        </w:rPr>
        <w:t>方式</w:t>
      </w:r>
      <w:bookmarkEnd w:id="40"/>
      <w:bookmarkEnd w:id="41"/>
      <w:bookmarkEnd w:id="42"/>
      <w:bookmarkEnd w:id="43"/>
    </w:p>
    <w:p w14:paraId="7DCF7C48">
      <w:pPr>
        <w:pStyle w:val="7"/>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rPr>
        <w:t>项目联系人：</w:t>
      </w:r>
      <w:r>
        <w:rPr>
          <w:rFonts w:hint="eastAsia" w:ascii="华文仿宋" w:hAnsi="华文仿宋" w:eastAsia="华文仿宋"/>
          <w:sz w:val="28"/>
          <w:szCs w:val="28"/>
          <w:highlight w:val="none"/>
          <w:u w:val="single"/>
          <w:lang w:val="en-US"/>
        </w:rPr>
        <w:t>舒工</w:t>
      </w:r>
    </w:p>
    <w:p w14:paraId="351035AF">
      <w:pPr>
        <w:keepNext w:val="0"/>
        <w:keepLines w:val="0"/>
        <w:pageBreakBefore w:val="0"/>
        <w:kinsoku/>
        <w:wordWrap/>
        <w:overflowPunct/>
        <w:topLinePunct w:val="0"/>
        <w:bidi w:val="0"/>
        <w:adjustRightInd/>
        <w:snapToGrid/>
        <w:spacing w:line="25" w:lineRule="atLeast"/>
        <w:ind w:firstLine="840" w:firstLineChars="300"/>
        <w:textAlignment w:val="auto"/>
        <w:rPr>
          <w:rFonts w:hint="eastAsia" w:ascii="华文仿宋" w:hAnsi="华文仿宋" w:eastAsia="华文仿宋"/>
          <w:highlight w:val="none"/>
        </w:rPr>
      </w:pPr>
      <w:r>
        <w:rPr>
          <w:rFonts w:hint="eastAsia" w:ascii="华文仿宋" w:hAnsi="华文仿宋" w:eastAsia="华文仿宋"/>
          <w:sz w:val="28"/>
          <w:szCs w:val="28"/>
          <w:highlight w:val="none"/>
        </w:rPr>
        <w:t>电　　 话：</w:t>
      </w:r>
      <w:r>
        <w:rPr>
          <w:rFonts w:hint="eastAsia" w:ascii="华文仿宋" w:hAnsi="华文仿宋" w:eastAsia="华文仿宋"/>
          <w:sz w:val="28"/>
          <w:szCs w:val="28"/>
          <w:highlight w:val="none"/>
          <w:u w:val="single"/>
          <w:lang w:val="en-US"/>
        </w:rPr>
        <w:t>025-52190939</w:t>
      </w:r>
    </w:p>
    <w:p w14:paraId="0490D0E7">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bookmarkStart w:id="44" w:name="_Toc18718"/>
    </w:p>
    <w:p w14:paraId="19A0E777">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E5DE597">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F6C108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8D07EC1">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32B0FE6C">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793CF2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3DE6A75C">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18C70DE">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5334DD8">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962349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2A74559E">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F7F208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1D1C17F">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C45CAD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E3A752B">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0E0B96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5225BA45">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512ABBAB">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60ECE8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89D3C29">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609BB274">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7D6471C1">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08E199B7">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0275CED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422B3BB7">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p>
    <w:p w14:paraId="14BB7943">
      <w:pPr>
        <w:pStyle w:val="2"/>
        <w:tabs>
          <w:tab w:val="left" w:pos="1208"/>
        </w:tabs>
        <w:spacing w:before="5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第二章</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竞争性磋商须知</w:t>
      </w:r>
      <w:bookmarkEnd w:id="44"/>
    </w:p>
    <w:p w14:paraId="2A5744AF">
      <w:pPr>
        <w:pStyle w:val="6"/>
        <w:spacing w:before="183" w:line="278" w:lineRule="auto"/>
        <w:ind w:left="323" w:right="312" w:firstLine="42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u w:val="single"/>
          <w14:textFill>
            <w14:solidFill>
              <w14:schemeClr w14:val="tx1"/>
            </w14:solidFill>
          </w14:textFill>
        </w:rPr>
        <w:t>南京新泽建设项目管理有限公司</w:t>
      </w:r>
      <w:r>
        <w:rPr>
          <w:rFonts w:hint="eastAsia" w:ascii="华文仿宋" w:hAnsi="华文仿宋" w:eastAsia="华文仿宋" w:cs="仿宋"/>
          <w:color w:val="000000" w:themeColor="text1"/>
          <w:highlight w:val="none"/>
          <w14:textFill>
            <w14:solidFill>
              <w14:schemeClr w14:val="tx1"/>
            </w14:solidFill>
          </w14:textFill>
        </w:rPr>
        <w:t>（采购代理机构）受</w:t>
      </w:r>
      <w:r>
        <w:rPr>
          <w:rFonts w:hint="eastAsia" w:ascii="华文仿宋" w:hAnsi="华文仿宋" w:eastAsia="华文仿宋" w:cs="仿宋"/>
          <w:color w:val="000000" w:themeColor="text1"/>
          <w:highlight w:val="none"/>
          <w:u w:val="single"/>
          <w:lang w:eastAsia="zh-CN"/>
          <w14:textFill>
            <w14:solidFill>
              <w14:schemeClr w14:val="tx1"/>
            </w14:solidFill>
          </w14:textFill>
        </w:rPr>
        <w:t>南京市江宁区人民政府湖熟街道办事处</w:t>
      </w:r>
      <w:r>
        <w:rPr>
          <w:rFonts w:hint="eastAsia" w:ascii="华文仿宋" w:hAnsi="华文仿宋" w:eastAsia="华文仿宋" w:cs="仿宋"/>
          <w:color w:val="000000" w:themeColor="text1"/>
          <w:highlight w:val="none"/>
          <w14:textFill>
            <w14:solidFill>
              <w14:schemeClr w14:val="tx1"/>
            </w14:solidFill>
          </w14:textFill>
        </w:rPr>
        <w:t>（采购人） 委托，对</w:t>
      </w:r>
      <w:r>
        <w:rPr>
          <w:rFonts w:hint="eastAsia" w:ascii="华文仿宋" w:hAnsi="华文仿宋" w:eastAsia="华文仿宋" w:cs="仿宋"/>
          <w:color w:val="000000" w:themeColor="text1"/>
          <w:highlight w:val="none"/>
          <w:u w:val="single"/>
          <w:lang w:eastAsia="zh-CN"/>
          <w14:textFill>
            <w14:solidFill>
              <w14:schemeClr w14:val="tx1"/>
            </w14:solidFill>
          </w14:textFill>
        </w:rPr>
        <w:t>湖熟中心小学整体改扩建工程项目(报告厅(含食堂)及风雨操场)结算审计</w:t>
      </w:r>
      <w:r>
        <w:rPr>
          <w:rFonts w:hint="eastAsia" w:ascii="华文仿宋" w:hAnsi="华文仿宋" w:eastAsia="华文仿宋" w:cs="仿宋"/>
          <w:color w:val="000000" w:themeColor="text1"/>
          <w:highlight w:val="none"/>
          <w14:textFill>
            <w14:solidFill>
              <w14:schemeClr w14:val="tx1"/>
            </w14:solidFill>
          </w14:textFill>
        </w:rPr>
        <w:t>（项目名称）进行竞争性磋商采购，兹邀请符合条件的供应商参与投标，相关信息如下：</w:t>
      </w:r>
    </w:p>
    <w:tbl>
      <w:tblPr>
        <w:tblStyle w:val="13"/>
        <w:tblpPr w:leftFromText="180" w:rightFromText="180" w:vertAnchor="page" w:horzAnchor="page" w:tblpXSpec="center" w:tblpY="3516"/>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260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90" w:type="dxa"/>
          </w:tcPr>
          <w:p w14:paraId="19522648">
            <w:pPr>
              <w:pStyle w:val="20"/>
              <w:spacing w:before="27" w:line="360" w:lineRule="auto"/>
              <w:ind w:left="114" w:right="104"/>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序号</w:t>
            </w:r>
          </w:p>
        </w:tc>
        <w:tc>
          <w:tcPr>
            <w:tcW w:w="2122" w:type="dxa"/>
            <w:gridSpan w:val="2"/>
          </w:tcPr>
          <w:p w14:paraId="5AEB2B03">
            <w:pPr>
              <w:pStyle w:val="20"/>
              <w:tabs>
                <w:tab w:val="left" w:pos="428"/>
              </w:tabs>
              <w:spacing w:before="27" w:line="360" w:lineRule="auto"/>
              <w:ind w:left="8"/>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项</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目</w:t>
            </w:r>
          </w:p>
        </w:tc>
        <w:tc>
          <w:tcPr>
            <w:tcW w:w="7058" w:type="dxa"/>
            <w:gridSpan w:val="2"/>
          </w:tcPr>
          <w:p w14:paraId="1C3C9267">
            <w:pPr>
              <w:pStyle w:val="20"/>
              <w:tabs>
                <w:tab w:val="left" w:pos="1170"/>
              </w:tabs>
              <w:spacing w:before="27" w:line="360" w:lineRule="auto"/>
              <w:ind w:left="11"/>
              <w:jc w:val="center"/>
              <w:rPr>
                <w:rFonts w:hint="eastAsia" w:ascii="华文仿宋" w:hAnsi="华文仿宋" w:eastAsia="华文仿宋" w:cs="仿宋"/>
                <w:b/>
                <w:sz w:val="21"/>
                <w:highlight w:val="none"/>
              </w:rPr>
            </w:pPr>
            <w:r>
              <w:rPr>
                <w:rFonts w:hint="eastAsia" w:ascii="华文仿宋" w:hAnsi="华文仿宋" w:eastAsia="华文仿宋" w:cs="仿宋"/>
                <w:b/>
                <w:sz w:val="21"/>
                <w:highlight w:val="none"/>
              </w:rPr>
              <w:t>内</w:t>
            </w:r>
            <w:r>
              <w:rPr>
                <w:rFonts w:hint="eastAsia" w:ascii="华文仿宋" w:hAnsi="华文仿宋" w:eastAsia="华文仿宋" w:cs="仿宋"/>
                <w:b/>
                <w:sz w:val="21"/>
                <w:highlight w:val="none"/>
              </w:rPr>
              <w:tab/>
            </w:r>
            <w:r>
              <w:rPr>
                <w:rFonts w:hint="eastAsia" w:ascii="华文仿宋" w:hAnsi="华文仿宋" w:eastAsia="华文仿宋" w:cs="仿宋"/>
                <w:b/>
                <w:sz w:val="21"/>
                <w:highlight w:val="none"/>
              </w:rPr>
              <w:t>容</w:t>
            </w:r>
          </w:p>
        </w:tc>
      </w:tr>
      <w:tr w14:paraId="0C4B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47D3DFF">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1</w:t>
            </w:r>
          </w:p>
        </w:tc>
        <w:tc>
          <w:tcPr>
            <w:tcW w:w="2122" w:type="dxa"/>
            <w:gridSpan w:val="2"/>
            <w:vAlign w:val="center"/>
          </w:tcPr>
          <w:p w14:paraId="387DAEC4">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项目编号</w:t>
            </w:r>
          </w:p>
        </w:tc>
        <w:tc>
          <w:tcPr>
            <w:tcW w:w="7058" w:type="dxa"/>
            <w:gridSpan w:val="2"/>
            <w:vAlign w:val="center"/>
          </w:tcPr>
          <w:p w14:paraId="2BBBB23C">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HS202604003</w:t>
            </w:r>
          </w:p>
        </w:tc>
      </w:tr>
      <w:tr w14:paraId="0173D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227204D">
            <w:pPr>
              <w:pStyle w:val="20"/>
              <w:spacing w:before="21"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2</w:t>
            </w:r>
          </w:p>
        </w:tc>
        <w:tc>
          <w:tcPr>
            <w:tcW w:w="2122" w:type="dxa"/>
            <w:gridSpan w:val="2"/>
            <w:vAlign w:val="center"/>
          </w:tcPr>
          <w:p w14:paraId="36A6BC20">
            <w:pPr>
              <w:pStyle w:val="20"/>
              <w:spacing w:before="21" w:line="360" w:lineRule="auto"/>
              <w:ind w:left="64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项目名称</w:t>
            </w:r>
          </w:p>
        </w:tc>
        <w:tc>
          <w:tcPr>
            <w:tcW w:w="7058" w:type="dxa"/>
            <w:gridSpan w:val="2"/>
            <w:vAlign w:val="center"/>
          </w:tcPr>
          <w:p w14:paraId="7B605AC5">
            <w:pPr>
              <w:pStyle w:val="20"/>
              <w:spacing w:before="21" w:line="360" w:lineRule="auto"/>
              <w:ind w:left="107"/>
              <w:jc w:val="both"/>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eastAsia="zh-CN"/>
              </w:rPr>
              <w:t>湖熟中心小学整体改扩建工程项目(报告厅(含食堂)及风雨操场)结算审计</w:t>
            </w:r>
          </w:p>
        </w:tc>
      </w:tr>
      <w:tr w14:paraId="6351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90" w:type="dxa"/>
          </w:tcPr>
          <w:p w14:paraId="5022301F">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3</w:t>
            </w:r>
          </w:p>
        </w:tc>
        <w:tc>
          <w:tcPr>
            <w:tcW w:w="2122" w:type="dxa"/>
            <w:gridSpan w:val="2"/>
            <w:vAlign w:val="center"/>
          </w:tcPr>
          <w:p w14:paraId="6654A66E">
            <w:pPr>
              <w:pStyle w:val="20"/>
              <w:spacing w:before="20" w:line="360" w:lineRule="auto"/>
              <w:ind w:left="431"/>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w:t>
            </w:r>
          </w:p>
        </w:tc>
        <w:tc>
          <w:tcPr>
            <w:tcW w:w="7058" w:type="dxa"/>
            <w:gridSpan w:val="2"/>
            <w:vAlign w:val="center"/>
          </w:tcPr>
          <w:p w14:paraId="67C48A7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南京新泽建设项目管理有限公司</w:t>
            </w:r>
          </w:p>
        </w:tc>
      </w:tr>
      <w:tr w14:paraId="43B03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71BA0E97">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rPr>
              <w:t>4</w:t>
            </w:r>
          </w:p>
        </w:tc>
        <w:tc>
          <w:tcPr>
            <w:tcW w:w="2122" w:type="dxa"/>
            <w:gridSpan w:val="2"/>
            <w:vAlign w:val="center"/>
          </w:tcPr>
          <w:p w14:paraId="59FD9DF4">
            <w:pPr>
              <w:pStyle w:val="20"/>
              <w:spacing w:before="20" w:line="360" w:lineRule="auto"/>
              <w:ind w:left="220"/>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采购代理机构地址</w:t>
            </w:r>
          </w:p>
        </w:tc>
        <w:tc>
          <w:tcPr>
            <w:tcW w:w="7058" w:type="dxa"/>
            <w:gridSpan w:val="2"/>
            <w:vAlign w:val="center"/>
          </w:tcPr>
          <w:p w14:paraId="705C059A">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BA5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0" w:type="dxa"/>
          </w:tcPr>
          <w:p w14:paraId="04667D42">
            <w:pPr>
              <w:pStyle w:val="20"/>
              <w:spacing w:before="177"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5</w:t>
            </w:r>
          </w:p>
        </w:tc>
        <w:tc>
          <w:tcPr>
            <w:tcW w:w="2122" w:type="dxa"/>
            <w:gridSpan w:val="2"/>
            <w:vAlign w:val="center"/>
          </w:tcPr>
          <w:p w14:paraId="34203F6A">
            <w:pPr>
              <w:pStyle w:val="20"/>
              <w:spacing w:before="177" w:line="360" w:lineRule="auto"/>
              <w:ind w:left="640"/>
              <w:jc w:val="both"/>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rPr>
              <w:t>项目</w:t>
            </w:r>
            <w:r>
              <w:rPr>
                <w:rFonts w:hint="eastAsia" w:ascii="华文仿宋" w:hAnsi="华文仿宋" w:eastAsia="华文仿宋" w:cs="仿宋"/>
                <w:sz w:val="21"/>
                <w:highlight w:val="none"/>
                <w:lang w:val="en-US" w:eastAsia="zh-CN"/>
              </w:rPr>
              <w:t>控制价</w:t>
            </w:r>
          </w:p>
        </w:tc>
        <w:tc>
          <w:tcPr>
            <w:tcW w:w="7058" w:type="dxa"/>
            <w:gridSpan w:val="2"/>
            <w:vAlign w:val="center"/>
          </w:tcPr>
          <w:p w14:paraId="74464849">
            <w:pPr>
              <w:pStyle w:val="20"/>
              <w:spacing w:before="21" w:line="360" w:lineRule="auto"/>
              <w:ind w:left="107"/>
              <w:jc w:val="both"/>
              <w:rPr>
                <w:rFonts w:hint="eastAsia" w:ascii="华文仿宋" w:hAnsi="华文仿宋" w:eastAsia="华文仿宋" w:cs="仿宋"/>
                <w:sz w:val="21"/>
                <w:highlight w:val="none"/>
              </w:rPr>
            </w:pPr>
            <w:r>
              <w:rPr>
                <w:rFonts w:hint="eastAsia" w:ascii="仿宋" w:hAnsi="仿宋" w:eastAsia="仿宋" w:cs="仿宋"/>
                <w:spacing w:val="-8"/>
                <w:sz w:val="21"/>
                <w:highlight w:val="none"/>
                <w:lang w:val="en-US" w:eastAsia="zh-CN"/>
              </w:rPr>
              <w:t>按照江苏省建设工程造价咨询服务收费标准(苏价服（2014）383号)下浮（优惠率）不少于40%。</w:t>
            </w:r>
          </w:p>
        </w:tc>
      </w:tr>
      <w:tr w14:paraId="311D8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tcPr>
          <w:p w14:paraId="3A4FCB3E">
            <w:pPr>
              <w:pStyle w:val="20"/>
              <w:spacing w:before="20" w:line="360" w:lineRule="auto"/>
              <w:ind w:left="6"/>
              <w:jc w:val="center"/>
              <w:rPr>
                <w:rFonts w:hint="eastAsia" w:ascii="华文仿宋" w:hAnsi="华文仿宋" w:eastAsia="华文仿宋" w:cs="仿宋"/>
                <w:sz w:val="21"/>
                <w:highlight w:val="none"/>
              </w:rPr>
            </w:pPr>
            <w:r>
              <w:rPr>
                <w:rFonts w:hint="eastAsia" w:ascii="华文仿宋" w:hAnsi="华文仿宋" w:eastAsia="华文仿宋" w:cs="仿宋"/>
                <w:w w:val="99"/>
                <w:sz w:val="21"/>
                <w:highlight w:val="none"/>
                <w:lang w:val="en-US"/>
              </w:rPr>
              <w:t>6</w:t>
            </w:r>
          </w:p>
        </w:tc>
        <w:tc>
          <w:tcPr>
            <w:tcW w:w="2122" w:type="dxa"/>
            <w:gridSpan w:val="2"/>
            <w:vAlign w:val="center"/>
          </w:tcPr>
          <w:p w14:paraId="60B8C9A7">
            <w:pPr>
              <w:pStyle w:val="20"/>
              <w:spacing w:before="20" w:line="360" w:lineRule="auto"/>
              <w:ind w:left="534"/>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磋商有效期</w:t>
            </w:r>
          </w:p>
        </w:tc>
        <w:tc>
          <w:tcPr>
            <w:tcW w:w="7058" w:type="dxa"/>
            <w:gridSpan w:val="2"/>
            <w:vAlign w:val="center"/>
          </w:tcPr>
          <w:p w14:paraId="6590415F">
            <w:pPr>
              <w:pStyle w:val="20"/>
              <w:spacing w:before="20" w:line="360" w:lineRule="auto"/>
              <w:ind w:left="107"/>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磋商之日起90天</w:t>
            </w:r>
          </w:p>
        </w:tc>
      </w:tr>
      <w:tr w14:paraId="64FA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0" w:type="dxa"/>
            <w:shd w:val="clear" w:color="auto" w:fill="auto"/>
            <w:vAlign w:val="center"/>
          </w:tcPr>
          <w:p w14:paraId="2FA998BB">
            <w:pPr>
              <w:pStyle w:val="20"/>
              <w:spacing w:before="20" w:line="360" w:lineRule="auto"/>
              <w:jc w:val="center"/>
              <w:rPr>
                <w:rFonts w:hint="default" w:ascii="华文仿宋" w:hAnsi="华文仿宋" w:eastAsia="华文仿宋" w:cs="仿宋"/>
                <w:sz w:val="21"/>
                <w:highlight w:val="none"/>
                <w:lang w:val="en-US" w:eastAsia="zh-CN"/>
              </w:rPr>
            </w:pPr>
            <w:r>
              <w:rPr>
                <w:rFonts w:hint="eastAsia" w:ascii="华文仿宋" w:hAnsi="华文仿宋" w:eastAsia="华文仿宋" w:cs="仿宋"/>
                <w:sz w:val="21"/>
                <w:highlight w:val="none"/>
                <w:lang w:val="en-US" w:eastAsia="zh-CN"/>
              </w:rPr>
              <w:t>7</w:t>
            </w:r>
          </w:p>
        </w:tc>
        <w:tc>
          <w:tcPr>
            <w:tcW w:w="2122" w:type="dxa"/>
            <w:gridSpan w:val="2"/>
            <w:shd w:val="clear" w:color="auto" w:fill="auto"/>
            <w:vAlign w:val="center"/>
          </w:tcPr>
          <w:p w14:paraId="3162AE70">
            <w:pPr>
              <w:pStyle w:val="20"/>
              <w:spacing w:before="20" w:line="360" w:lineRule="auto"/>
              <w:jc w:val="center"/>
              <w:rPr>
                <w:rFonts w:hint="eastAsia" w:ascii="华文仿宋" w:hAnsi="华文仿宋" w:eastAsia="华文仿宋" w:cs="仿宋"/>
                <w:sz w:val="21"/>
                <w:highlight w:val="none"/>
                <w:lang w:val="zh-CN" w:eastAsia="zh-CN"/>
              </w:rPr>
            </w:pPr>
            <w:r>
              <w:rPr>
                <w:rFonts w:hint="eastAsia" w:ascii="华文仿宋" w:hAnsi="华文仿宋" w:eastAsia="华文仿宋" w:cs="仿宋"/>
                <w:sz w:val="21"/>
                <w:highlight w:val="none"/>
              </w:rPr>
              <w:t>本项目所属行业</w:t>
            </w:r>
          </w:p>
        </w:tc>
        <w:tc>
          <w:tcPr>
            <w:tcW w:w="7058" w:type="dxa"/>
            <w:gridSpan w:val="2"/>
            <w:shd w:val="clear" w:color="auto" w:fill="auto"/>
            <w:vAlign w:val="center"/>
          </w:tcPr>
          <w:p w14:paraId="2FC4D8F4">
            <w:pPr>
              <w:pStyle w:val="20"/>
              <w:spacing w:before="20" w:line="360" w:lineRule="auto"/>
              <w:ind w:firstLine="210" w:firstLineChars="100"/>
              <w:jc w:val="left"/>
              <w:rPr>
                <w:rFonts w:hint="eastAsia" w:ascii="华文仿宋" w:hAnsi="华文仿宋" w:eastAsia="华文仿宋" w:cs="仿宋"/>
                <w:sz w:val="21"/>
                <w:highlight w:val="none"/>
                <w:lang w:val="en-US" w:eastAsia="zh-CN"/>
              </w:rPr>
            </w:pPr>
            <w:r>
              <w:rPr>
                <w:rFonts w:hint="eastAsia" w:ascii="仿宋" w:hAnsi="仿宋" w:eastAsia="仿宋" w:cs="仿宋"/>
                <w:sz w:val="21"/>
                <w:highlight w:val="none"/>
                <w:lang w:val="en-US" w:eastAsia="zh-CN"/>
              </w:rPr>
              <w:t>其他未列明行业</w:t>
            </w:r>
          </w:p>
        </w:tc>
      </w:tr>
      <w:tr w14:paraId="03E7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690" w:type="dxa"/>
            <w:vMerge w:val="restart"/>
            <w:vAlign w:val="center"/>
          </w:tcPr>
          <w:p w14:paraId="70021B3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8</w:t>
            </w:r>
          </w:p>
        </w:tc>
        <w:tc>
          <w:tcPr>
            <w:tcW w:w="1042" w:type="dxa"/>
            <w:vMerge w:val="restart"/>
            <w:vAlign w:val="center"/>
          </w:tcPr>
          <w:p w14:paraId="5813B4C7">
            <w:pPr>
              <w:pStyle w:val="20"/>
              <w:spacing w:before="167" w:line="360" w:lineRule="auto"/>
              <w:ind w:left="205" w:right="195"/>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响应性文件递交信息</w:t>
            </w:r>
          </w:p>
        </w:tc>
        <w:tc>
          <w:tcPr>
            <w:tcW w:w="1080" w:type="dxa"/>
            <w:vAlign w:val="center"/>
          </w:tcPr>
          <w:p w14:paraId="23BBF246">
            <w:pPr>
              <w:pStyle w:val="20"/>
              <w:spacing w:before="52"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37F1B983">
            <w:pPr>
              <w:pStyle w:val="20"/>
              <w:spacing w:before="52" w:line="360" w:lineRule="auto"/>
              <w:ind w:left="527"/>
              <w:rPr>
                <w:rFonts w:hint="eastAsia" w:ascii="华文仿宋" w:hAnsi="华文仿宋" w:eastAsia="华文仿宋" w:cs="仿宋"/>
                <w:sz w:val="21"/>
                <w:highlight w:val="none"/>
              </w:rPr>
            </w:pPr>
            <w:r>
              <w:rPr>
                <w:rFonts w:hint="eastAsia" w:ascii="华文仿宋" w:hAnsi="华文仿宋" w:eastAsia="华文仿宋" w:cs="仿宋"/>
                <w:color w:val="0000FF"/>
                <w:sz w:val="21"/>
                <w:szCs w:val="21"/>
                <w:highlight w:val="none"/>
                <w:u w:val="single"/>
                <w:lang w:val="en-US" w:eastAsia="zh-CN"/>
              </w:rPr>
              <w:t>2026年5月13日13</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3</w:t>
            </w:r>
            <w:r>
              <w:rPr>
                <w:rFonts w:hint="eastAsia" w:ascii="华文仿宋" w:hAnsi="华文仿宋" w:eastAsia="华文仿宋" w:cs="仿宋"/>
                <w:color w:val="0000FF"/>
                <w:sz w:val="21"/>
                <w:szCs w:val="21"/>
                <w:highlight w:val="none"/>
                <w:u w:val="single"/>
                <w:lang w:val="en-US"/>
              </w:rPr>
              <w:t>0-</w:t>
            </w:r>
            <w:r>
              <w:rPr>
                <w:rFonts w:hint="eastAsia" w:ascii="华文仿宋" w:hAnsi="华文仿宋" w:eastAsia="华文仿宋" w:cs="仿宋"/>
                <w:color w:val="0000FF"/>
                <w:sz w:val="21"/>
                <w:szCs w:val="21"/>
                <w:highlight w:val="none"/>
                <w:u w:val="single"/>
                <w:lang w:val="en-US" w:eastAsia="zh-CN"/>
              </w:rPr>
              <w:t>14</w:t>
            </w:r>
            <w:r>
              <w:rPr>
                <w:rFonts w:hint="eastAsia" w:ascii="华文仿宋" w:hAnsi="华文仿宋" w:eastAsia="华文仿宋" w:cs="仿宋"/>
                <w:color w:val="0000FF"/>
                <w:sz w:val="21"/>
                <w:szCs w:val="21"/>
                <w:highlight w:val="none"/>
                <w:u w:val="single"/>
                <w:lang w:val="en-US"/>
              </w:rPr>
              <w:t>:</w:t>
            </w:r>
            <w:r>
              <w:rPr>
                <w:rFonts w:hint="eastAsia" w:ascii="华文仿宋" w:hAnsi="华文仿宋" w:eastAsia="华文仿宋" w:cs="仿宋"/>
                <w:color w:val="0000FF"/>
                <w:sz w:val="21"/>
                <w:szCs w:val="21"/>
                <w:highlight w:val="none"/>
                <w:u w:val="single"/>
                <w:lang w:val="en-US" w:eastAsia="zh-CN"/>
              </w:rPr>
              <w:t>0</w:t>
            </w:r>
            <w:r>
              <w:rPr>
                <w:rFonts w:hint="eastAsia" w:ascii="华文仿宋" w:hAnsi="华文仿宋" w:eastAsia="华文仿宋" w:cs="仿宋"/>
                <w:color w:val="0000FF"/>
                <w:sz w:val="21"/>
                <w:szCs w:val="21"/>
                <w:highlight w:val="none"/>
                <w:u w:val="single"/>
                <w:lang w:val="en-US"/>
              </w:rPr>
              <w:t>0</w:t>
            </w:r>
          </w:p>
        </w:tc>
      </w:tr>
      <w:tr w14:paraId="78294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7CABB29E">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219DA09D">
            <w:pPr>
              <w:spacing w:line="360" w:lineRule="auto"/>
              <w:rPr>
                <w:rFonts w:hint="eastAsia" w:ascii="华文仿宋" w:hAnsi="华文仿宋" w:eastAsia="华文仿宋" w:cs="仿宋"/>
                <w:sz w:val="2"/>
                <w:szCs w:val="2"/>
                <w:highlight w:val="none"/>
              </w:rPr>
            </w:pPr>
          </w:p>
        </w:tc>
        <w:tc>
          <w:tcPr>
            <w:tcW w:w="1080" w:type="dxa"/>
            <w:vAlign w:val="center"/>
          </w:tcPr>
          <w:p w14:paraId="6046F79A">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01D2BBDD">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2DDB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690" w:type="dxa"/>
            <w:vMerge w:val="continue"/>
          </w:tcPr>
          <w:p w14:paraId="63EE8FA3">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7D8197D2">
            <w:pPr>
              <w:spacing w:line="360" w:lineRule="auto"/>
              <w:rPr>
                <w:rFonts w:hint="eastAsia" w:ascii="华文仿宋" w:hAnsi="华文仿宋" w:eastAsia="华文仿宋" w:cs="仿宋"/>
                <w:sz w:val="2"/>
                <w:szCs w:val="2"/>
                <w:highlight w:val="none"/>
              </w:rPr>
            </w:pPr>
          </w:p>
        </w:tc>
        <w:tc>
          <w:tcPr>
            <w:tcW w:w="1080" w:type="dxa"/>
            <w:vAlign w:val="center"/>
          </w:tcPr>
          <w:p w14:paraId="769D9874">
            <w:pPr>
              <w:pStyle w:val="20"/>
              <w:spacing w:before="70"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响应性文件份数</w:t>
            </w:r>
          </w:p>
        </w:tc>
        <w:tc>
          <w:tcPr>
            <w:tcW w:w="7058" w:type="dxa"/>
            <w:gridSpan w:val="2"/>
          </w:tcPr>
          <w:p w14:paraId="64C2C129">
            <w:pPr>
              <w:pStyle w:val="20"/>
              <w:spacing w:before="2" w:line="360" w:lineRule="auto"/>
              <w:ind w:right="96"/>
              <w:jc w:val="both"/>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3350B02F">
            <w:pPr>
              <w:pStyle w:val="20"/>
              <w:spacing w:before="70"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0FE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690" w:type="dxa"/>
            <w:vMerge w:val="restart"/>
          </w:tcPr>
          <w:p w14:paraId="7F814A89">
            <w:pPr>
              <w:pStyle w:val="20"/>
              <w:spacing w:before="2" w:line="360" w:lineRule="auto"/>
              <w:rPr>
                <w:rFonts w:hint="eastAsia" w:ascii="华文仿宋" w:hAnsi="华文仿宋" w:eastAsia="华文仿宋" w:cs="仿宋"/>
                <w:sz w:val="17"/>
                <w:highlight w:val="none"/>
              </w:rPr>
            </w:pPr>
          </w:p>
          <w:p w14:paraId="199012BB">
            <w:pPr>
              <w:pStyle w:val="20"/>
              <w:spacing w:line="360" w:lineRule="auto"/>
              <w:ind w:left="114" w:right="103"/>
              <w:jc w:val="center"/>
              <w:rPr>
                <w:rFonts w:hint="eastAsia" w:ascii="华文仿宋" w:hAnsi="华文仿宋" w:eastAsia="华文仿宋" w:cs="仿宋"/>
                <w:sz w:val="21"/>
                <w:highlight w:val="none"/>
                <w:lang w:eastAsia="zh-CN"/>
              </w:rPr>
            </w:pPr>
            <w:r>
              <w:rPr>
                <w:rFonts w:hint="eastAsia" w:ascii="华文仿宋" w:hAnsi="华文仿宋" w:eastAsia="华文仿宋" w:cs="仿宋"/>
                <w:sz w:val="21"/>
                <w:highlight w:val="none"/>
                <w:lang w:val="en-US" w:eastAsia="zh-CN"/>
              </w:rPr>
              <w:t>9</w:t>
            </w:r>
          </w:p>
        </w:tc>
        <w:tc>
          <w:tcPr>
            <w:tcW w:w="1042" w:type="dxa"/>
            <w:vMerge w:val="restart"/>
            <w:vAlign w:val="center"/>
          </w:tcPr>
          <w:p w14:paraId="5479E7D7">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磋商</w:t>
            </w:r>
          </w:p>
          <w:p w14:paraId="2CF71F62">
            <w:pPr>
              <w:pStyle w:val="20"/>
              <w:spacing w:before="23" w:line="360" w:lineRule="auto"/>
              <w:ind w:left="414" w:right="142" w:hanging="262"/>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信息</w:t>
            </w:r>
          </w:p>
        </w:tc>
        <w:tc>
          <w:tcPr>
            <w:tcW w:w="1080" w:type="dxa"/>
          </w:tcPr>
          <w:p w14:paraId="1355C40B">
            <w:pPr>
              <w:pStyle w:val="20"/>
              <w:spacing w:before="59"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时间</w:t>
            </w:r>
          </w:p>
        </w:tc>
        <w:tc>
          <w:tcPr>
            <w:tcW w:w="7058" w:type="dxa"/>
            <w:gridSpan w:val="2"/>
          </w:tcPr>
          <w:p w14:paraId="1FF642E0">
            <w:pPr>
              <w:pStyle w:val="20"/>
              <w:spacing w:before="59" w:line="360" w:lineRule="auto"/>
              <w:ind w:left="527"/>
              <w:rPr>
                <w:rFonts w:hint="eastAsia" w:ascii="华文仿宋" w:hAnsi="华文仿宋" w:eastAsia="华文仿宋" w:cs="仿宋"/>
                <w:sz w:val="21"/>
                <w:highlight w:val="none"/>
                <w:lang w:eastAsia="zh-CN"/>
              </w:rPr>
            </w:pPr>
            <w:r>
              <w:rPr>
                <w:rFonts w:hint="eastAsia" w:ascii="华文仿宋" w:hAnsi="华文仿宋" w:eastAsia="华文仿宋" w:cs="仿宋"/>
                <w:color w:val="0000FF"/>
                <w:sz w:val="21"/>
                <w:szCs w:val="21"/>
                <w:highlight w:val="none"/>
                <w:u w:val="single"/>
                <w:lang w:val="en-US" w:eastAsia="zh-CN"/>
              </w:rPr>
              <w:t>2026年5月13日14：00</w:t>
            </w:r>
          </w:p>
        </w:tc>
      </w:tr>
      <w:tr w14:paraId="4F02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690" w:type="dxa"/>
            <w:vMerge w:val="continue"/>
            <w:tcBorders>
              <w:top w:val="nil"/>
            </w:tcBorders>
          </w:tcPr>
          <w:p w14:paraId="04441F8D">
            <w:pPr>
              <w:spacing w:line="360" w:lineRule="auto"/>
              <w:rPr>
                <w:rFonts w:hint="eastAsia" w:ascii="华文仿宋" w:hAnsi="华文仿宋" w:eastAsia="华文仿宋" w:cs="仿宋"/>
                <w:sz w:val="2"/>
                <w:szCs w:val="2"/>
                <w:highlight w:val="none"/>
              </w:rPr>
            </w:pPr>
          </w:p>
        </w:tc>
        <w:tc>
          <w:tcPr>
            <w:tcW w:w="1042" w:type="dxa"/>
            <w:vMerge w:val="continue"/>
            <w:tcBorders>
              <w:top w:val="nil"/>
            </w:tcBorders>
          </w:tcPr>
          <w:p w14:paraId="6A5D50F2">
            <w:pPr>
              <w:spacing w:line="360" w:lineRule="auto"/>
              <w:rPr>
                <w:rFonts w:hint="eastAsia" w:ascii="华文仿宋" w:hAnsi="华文仿宋" w:eastAsia="华文仿宋" w:cs="仿宋"/>
                <w:sz w:val="2"/>
                <w:szCs w:val="2"/>
                <w:highlight w:val="none"/>
              </w:rPr>
            </w:pPr>
          </w:p>
        </w:tc>
        <w:tc>
          <w:tcPr>
            <w:tcW w:w="1080" w:type="dxa"/>
          </w:tcPr>
          <w:p w14:paraId="0C109AA7">
            <w:pPr>
              <w:pStyle w:val="20"/>
              <w:spacing w:before="21" w:line="360" w:lineRule="auto"/>
              <w:ind w:left="204" w:right="196"/>
              <w:jc w:val="center"/>
              <w:rPr>
                <w:rFonts w:hint="eastAsia" w:ascii="华文仿宋" w:hAnsi="华文仿宋" w:eastAsia="华文仿宋" w:cs="仿宋"/>
                <w:sz w:val="21"/>
                <w:highlight w:val="none"/>
              </w:rPr>
            </w:pPr>
            <w:r>
              <w:rPr>
                <w:rFonts w:hint="eastAsia" w:ascii="华文仿宋" w:hAnsi="华文仿宋" w:eastAsia="华文仿宋" w:cs="仿宋"/>
                <w:sz w:val="21"/>
                <w:highlight w:val="none"/>
              </w:rPr>
              <w:t>地点</w:t>
            </w:r>
          </w:p>
        </w:tc>
        <w:tc>
          <w:tcPr>
            <w:tcW w:w="7058" w:type="dxa"/>
            <w:gridSpan w:val="2"/>
          </w:tcPr>
          <w:p w14:paraId="1061A691">
            <w:pPr>
              <w:pStyle w:val="20"/>
              <w:spacing w:before="21" w:line="360" w:lineRule="auto"/>
              <w:ind w:left="107"/>
              <w:rPr>
                <w:rFonts w:hint="eastAsia" w:ascii="华文仿宋" w:hAnsi="华文仿宋" w:eastAsia="华文仿宋" w:cs="仿宋"/>
                <w:sz w:val="21"/>
                <w:highlight w:val="none"/>
              </w:rPr>
            </w:pPr>
            <w:r>
              <w:rPr>
                <w:rFonts w:hint="eastAsia" w:ascii="华文仿宋" w:hAnsi="华文仿宋" w:eastAsia="华文仿宋" w:cs="仿宋"/>
                <w:sz w:val="21"/>
                <w:highlight w:val="none"/>
              </w:rPr>
              <w:t>江苏省南京市江宁区通联路7号联东U谷江宁国际企业港三期8栋301</w:t>
            </w:r>
          </w:p>
        </w:tc>
      </w:tr>
      <w:tr w14:paraId="5D4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690" w:type="dxa"/>
            <w:vMerge w:val="restart"/>
            <w:vAlign w:val="center"/>
          </w:tcPr>
          <w:p w14:paraId="1D6BED2E">
            <w:pPr>
              <w:pStyle w:val="20"/>
              <w:spacing w:line="360" w:lineRule="auto"/>
              <w:ind w:left="114" w:right="103"/>
              <w:jc w:val="center"/>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10</w:t>
            </w:r>
          </w:p>
        </w:tc>
        <w:tc>
          <w:tcPr>
            <w:tcW w:w="1042" w:type="dxa"/>
            <w:vMerge w:val="restart"/>
            <w:vAlign w:val="center"/>
          </w:tcPr>
          <w:p w14:paraId="00C17FCF">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w:t>
            </w:r>
          </w:p>
          <w:p w14:paraId="220EEF20">
            <w:pPr>
              <w:pStyle w:val="20"/>
              <w:spacing w:line="360" w:lineRule="auto"/>
              <w:ind w:left="414" w:right="195" w:hanging="20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事项</w:t>
            </w:r>
          </w:p>
        </w:tc>
        <w:tc>
          <w:tcPr>
            <w:tcW w:w="1080" w:type="dxa"/>
            <w:vMerge w:val="restart"/>
            <w:vAlign w:val="center"/>
          </w:tcPr>
          <w:p w14:paraId="0F1B6741">
            <w:pPr>
              <w:pStyle w:val="20"/>
              <w:spacing w:line="360" w:lineRule="auto"/>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采购单位</w:t>
            </w:r>
          </w:p>
        </w:tc>
        <w:tc>
          <w:tcPr>
            <w:tcW w:w="1645" w:type="dxa"/>
            <w:vAlign w:val="center"/>
          </w:tcPr>
          <w:p w14:paraId="70915224">
            <w:pPr>
              <w:pStyle w:val="20"/>
              <w:spacing w:before="7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4EBFDF6A">
            <w:pPr>
              <w:pStyle w:val="20"/>
              <w:spacing w:before="72"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val="en-US" w:eastAsia="zh-CN"/>
                <w14:textFill>
                  <w14:solidFill>
                    <w14:schemeClr w14:val="tx1"/>
                  </w14:solidFill>
                </w14:textFill>
              </w:rPr>
              <w:t>侯工</w:t>
            </w:r>
          </w:p>
        </w:tc>
      </w:tr>
      <w:tr w14:paraId="04D1B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690" w:type="dxa"/>
            <w:vMerge w:val="continue"/>
            <w:tcBorders>
              <w:top w:val="nil"/>
            </w:tcBorders>
          </w:tcPr>
          <w:p w14:paraId="1D6B27F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48D470AC">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27161AA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6D472887">
            <w:pPr>
              <w:pStyle w:val="20"/>
              <w:spacing w:before="74"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0AD807C4">
            <w:pPr>
              <w:pStyle w:val="20"/>
              <w:spacing w:before="74" w:line="360" w:lineRule="auto"/>
              <w:ind w:left="107"/>
              <w:jc w:val="both"/>
              <w:rPr>
                <w:rFonts w:hint="eastAsia" w:ascii="华文仿宋" w:hAnsi="华文仿宋" w:eastAsia="华文仿宋" w:cs="仿宋"/>
                <w:color w:val="000000" w:themeColor="text1"/>
                <w:sz w:val="21"/>
                <w:highlight w:val="none"/>
                <w:lang w:eastAsia="zh-CN"/>
                <w14:textFill>
                  <w14:solidFill>
                    <w14:schemeClr w14:val="tx1"/>
                  </w14:solidFill>
                </w14:textFill>
              </w:rPr>
            </w:pPr>
            <w:r>
              <w:rPr>
                <w:rFonts w:hint="eastAsia" w:ascii="华文仿宋" w:hAnsi="华文仿宋" w:eastAsia="华文仿宋" w:cs="仿宋"/>
                <w:color w:val="000000" w:themeColor="text1"/>
                <w:sz w:val="21"/>
                <w:highlight w:val="none"/>
                <w:lang w:eastAsia="zh-CN"/>
                <w14:textFill>
                  <w14:solidFill>
                    <w14:schemeClr w14:val="tx1"/>
                  </w14:solidFill>
                </w14:textFill>
              </w:rPr>
              <w:t>025-52693552</w:t>
            </w:r>
          </w:p>
        </w:tc>
      </w:tr>
      <w:tr w14:paraId="52A5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690" w:type="dxa"/>
            <w:vMerge w:val="continue"/>
            <w:tcBorders>
              <w:top w:val="nil"/>
            </w:tcBorders>
          </w:tcPr>
          <w:p w14:paraId="7690F8C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16CD309D">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restart"/>
          </w:tcPr>
          <w:p w14:paraId="079243CD">
            <w:pPr>
              <w:pStyle w:val="20"/>
              <w:spacing w:before="10" w:line="360" w:lineRule="auto"/>
              <w:ind w:left="330" w:right="111" w:hanging="212"/>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采购代理机构</w:t>
            </w:r>
          </w:p>
        </w:tc>
        <w:tc>
          <w:tcPr>
            <w:tcW w:w="1645" w:type="dxa"/>
            <w:vAlign w:val="center"/>
          </w:tcPr>
          <w:p w14:paraId="626A345D">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联系人</w:t>
            </w:r>
          </w:p>
        </w:tc>
        <w:tc>
          <w:tcPr>
            <w:tcW w:w="5413" w:type="dxa"/>
            <w:vAlign w:val="center"/>
          </w:tcPr>
          <w:p w14:paraId="556890D1">
            <w:pPr>
              <w:pStyle w:val="20"/>
              <w:spacing w:before="46"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舒工</w:t>
            </w:r>
          </w:p>
        </w:tc>
      </w:tr>
      <w:tr w14:paraId="0A3D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90" w:type="dxa"/>
            <w:vMerge w:val="continue"/>
            <w:tcBorders>
              <w:top w:val="nil"/>
            </w:tcBorders>
          </w:tcPr>
          <w:p w14:paraId="6CD2060E">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42" w:type="dxa"/>
            <w:vMerge w:val="continue"/>
            <w:tcBorders>
              <w:top w:val="nil"/>
            </w:tcBorders>
          </w:tcPr>
          <w:p w14:paraId="092AA10F">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080" w:type="dxa"/>
            <w:vMerge w:val="continue"/>
            <w:tcBorders>
              <w:top w:val="nil"/>
            </w:tcBorders>
          </w:tcPr>
          <w:p w14:paraId="59315BFA">
            <w:pPr>
              <w:spacing w:line="360" w:lineRule="auto"/>
              <w:rPr>
                <w:rFonts w:hint="eastAsia" w:ascii="华文仿宋" w:hAnsi="华文仿宋" w:eastAsia="华文仿宋" w:cs="仿宋"/>
                <w:color w:val="000000" w:themeColor="text1"/>
                <w:sz w:val="2"/>
                <w:szCs w:val="2"/>
                <w:highlight w:val="none"/>
                <w14:textFill>
                  <w14:solidFill>
                    <w14:schemeClr w14:val="tx1"/>
                  </w14:solidFill>
                </w14:textFill>
              </w:rPr>
            </w:pPr>
          </w:p>
        </w:tc>
        <w:tc>
          <w:tcPr>
            <w:tcW w:w="1645" w:type="dxa"/>
            <w:vAlign w:val="center"/>
          </w:tcPr>
          <w:p w14:paraId="2F084A34">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联系电话</w:t>
            </w:r>
          </w:p>
        </w:tc>
        <w:tc>
          <w:tcPr>
            <w:tcW w:w="5413" w:type="dxa"/>
            <w:vAlign w:val="center"/>
          </w:tcPr>
          <w:p w14:paraId="4749B7C0">
            <w:pPr>
              <w:pStyle w:val="20"/>
              <w:spacing w:before="22" w:line="360" w:lineRule="auto"/>
              <w:ind w:left="10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025-52190939</w:t>
            </w:r>
          </w:p>
        </w:tc>
      </w:tr>
    </w:tbl>
    <w:p w14:paraId="3257CD1F">
      <w:pPr>
        <w:pStyle w:val="17"/>
        <w:rPr>
          <w:rFonts w:hint="eastAsia" w:ascii="华文仿宋" w:hAnsi="华文仿宋" w:eastAsia="华文仿宋"/>
          <w:highlight w:val="none"/>
        </w:rPr>
        <w:sectPr>
          <w:pgSz w:w="11910" w:h="16840"/>
          <w:pgMar w:top="1340" w:right="820" w:bottom="1180" w:left="980" w:header="878" w:footer="1000" w:gutter="0"/>
          <w:cols w:space="720" w:num="1"/>
        </w:sectPr>
      </w:pPr>
    </w:p>
    <w:p w14:paraId="6C4241F3">
      <w:pPr>
        <w:pStyle w:val="3"/>
        <w:spacing w:before="98"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5" w:name="一、总则"/>
      <w:bookmarkEnd w:id="45"/>
      <w:bookmarkStart w:id="46" w:name="_Toc16574"/>
      <w:r>
        <w:rPr>
          <w:rFonts w:hint="eastAsia" w:ascii="华文仿宋" w:hAnsi="华文仿宋" w:eastAsia="华文仿宋" w:cs="仿宋"/>
          <w:color w:val="000000" w:themeColor="text1"/>
          <w:highlight w:val="none"/>
          <w14:textFill>
            <w14:solidFill>
              <w14:schemeClr w14:val="tx1"/>
            </w14:solidFill>
          </w14:textFill>
        </w:rPr>
        <w:t>一、总则</w:t>
      </w:r>
      <w:bookmarkEnd w:id="46"/>
    </w:p>
    <w:p w14:paraId="36CA3AEE">
      <w:pPr>
        <w:pStyle w:val="17"/>
        <w:numPr>
          <w:ilvl w:val="0"/>
          <w:numId w:val="2"/>
        </w:numPr>
        <w:tabs>
          <w:tab w:val="left" w:pos="903"/>
        </w:tabs>
        <w:spacing w:before="122" w:line="360" w:lineRule="auto"/>
        <w:ind w:hanging="16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参照法律</w:t>
      </w:r>
    </w:p>
    <w:p w14:paraId="70805929">
      <w:pPr>
        <w:pStyle w:val="17"/>
        <w:numPr>
          <w:ilvl w:val="1"/>
          <w:numId w:val="2"/>
        </w:numPr>
        <w:tabs>
          <w:tab w:val="left" w:pos="1113"/>
        </w:tabs>
        <w:spacing w:before="43" w:line="360" w:lineRule="auto"/>
        <w:ind w:right="31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《中华人民共和国政府采购法》、《中华人民共和国政府采购法实施条例》、《政府采购竞争性磋商采购方式管理暂行办法》等有关法律、规章和规定等。</w:t>
      </w:r>
    </w:p>
    <w:p w14:paraId="751C3ED0">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w w:val="95"/>
          <w:sz w:val="21"/>
          <w:highlight w:val="none"/>
          <w14:textFill>
            <w14:solidFill>
              <w14:schemeClr w14:val="tx1"/>
            </w14:solidFill>
          </w14:textFill>
        </w:rPr>
        <w:t>2、定义</w:t>
      </w:r>
    </w:p>
    <w:p w14:paraId="3403390E">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“供应商”是指参加磋商竞争，并符合采购文件规定资格条件的法人、其他组织或者自然人。</w:t>
      </w:r>
    </w:p>
    <w:p w14:paraId="5EEC5CBF">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“服务”指本采购文件中所述产品及相关服务。</w:t>
      </w:r>
    </w:p>
    <w:p w14:paraId="6FA5B5D0">
      <w:pPr>
        <w:pStyle w:val="17"/>
        <w:numPr>
          <w:ilvl w:val="1"/>
          <w:numId w:val="3"/>
        </w:numPr>
        <w:tabs>
          <w:tab w:val="left" w:pos="106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“采购人或使用单位”是指使用服务的单位。</w:t>
      </w:r>
    </w:p>
    <w:p w14:paraId="52312D70">
      <w:pPr>
        <w:pStyle w:val="17"/>
        <w:numPr>
          <w:ilvl w:val="0"/>
          <w:numId w:val="4"/>
        </w:numPr>
        <w:tabs>
          <w:tab w:val="left" w:pos="1060"/>
        </w:tabs>
        <w:spacing w:before="43" w:line="360" w:lineRule="auto"/>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政策功能</w:t>
      </w:r>
    </w:p>
    <w:p w14:paraId="5536506C">
      <w:pPr>
        <w:pStyle w:val="17"/>
        <w:numPr>
          <w:ilvl w:val="1"/>
          <w:numId w:val="4"/>
        </w:numPr>
        <w:tabs>
          <w:tab w:val="left" w:pos="1166"/>
        </w:tabs>
        <w:spacing w:before="43" w:line="360" w:lineRule="auto"/>
        <w:ind w:left="1165" w:hanging="423"/>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中小企业、监狱企业、残疾人福利性单位相关政策</w:t>
      </w:r>
    </w:p>
    <w:p w14:paraId="6164850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中小企业划型标准按照《关于印发中小企业划型标准规定的通知（工信部联企业〔2011</w:t>
      </w:r>
      <w:r>
        <w:rPr>
          <w:rFonts w:hint="eastAsia" w:ascii="华文仿宋" w:hAnsi="华文仿宋" w:eastAsia="华文仿宋" w:cs="华文仿宋"/>
          <w:bCs/>
          <w:spacing w:val="-11"/>
          <w:sz w:val="21"/>
          <w:highlight w:val="none"/>
        </w:rPr>
        <w:t>〕</w:t>
      </w:r>
      <w:r>
        <w:rPr>
          <w:rFonts w:hint="eastAsia" w:ascii="华文仿宋" w:hAnsi="华文仿宋" w:eastAsia="华文仿宋" w:cs="华文仿宋"/>
          <w:bCs/>
          <w:sz w:val="21"/>
          <w:highlight w:val="none"/>
        </w:rPr>
        <w:t>300号）》文的相关规定认定。</w:t>
      </w:r>
    </w:p>
    <w:p w14:paraId="1645500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4"/>
          <w:sz w:val="21"/>
          <w:highlight w:val="none"/>
        </w:rPr>
        <w:t>根据《政府采购促进中小企业发展管理办法》的相关规定，本项目对小型和微型企业产品的价格给予扣除，以扣除后的价格作为评审价格。</w:t>
      </w:r>
    </w:p>
    <w:p w14:paraId="5F3D19B1">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根据《财库〔2014〕68号》监狱企业视同小型、微型企业，享受中小企业发展的采购</w:t>
      </w:r>
      <w:r>
        <w:rPr>
          <w:rFonts w:hint="eastAsia" w:ascii="华文仿宋" w:hAnsi="华文仿宋" w:eastAsia="华文仿宋" w:cs="华文仿宋"/>
          <w:bCs/>
          <w:spacing w:val="-7"/>
          <w:w w:val="95"/>
          <w:sz w:val="21"/>
          <w:highlight w:val="none"/>
        </w:rPr>
        <w:t>政策</w:t>
      </w:r>
      <w:r>
        <w:rPr>
          <w:rFonts w:hint="eastAsia" w:ascii="华文仿宋" w:hAnsi="华文仿宋" w:eastAsia="华文仿宋" w:cs="华文仿宋"/>
          <w:bCs/>
          <w:w w:val="95"/>
          <w:sz w:val="21"/>
          <w:highlight w:val="none"/>
        </w:rPr>
        <w:t>（</w:t>
      </w:r>
      <w:r>
        <w:rPr>
          <w:rFonts w:hint="eastAsia" w:ascii="华文仿宋" w:hAnsi="华文仿宋" w:eastAsia="华文仿宋" w:cs="华文仿宋"/>
          <w:bCs/>
          <w:spacing w:val="-3"/>
          <w:w w:val="95"/>
          <w:sz w:val="21"/>
          <w:highlight w:val="none"/>
        </w:rPr>
        <w:t>监狱企业参加采购活动时，应当提供由省级以上监狱管理局、戒毒管理局</w:t>
      </w:r>
      <w:r>
        <w:rPr>
          <w:rFonts w:hint="eastAsia" w:ascii="华文仿宋" w:hAnsi="华文仿宋" w:eastAsia="华文仿宋" w:cs="华文仿宋"/>
          <w:bCs/>
          <w:w w:val="95"/>
          <w:sz w:val="21"/>
          <w:highlight w:val="none"/>
        </w:rPr>
        <w:t xml:space="preserve">（含新疆生产建   </w:t>
      </w:r>
      <w:r>
        <w:rPr>
          <w:rFonts w:hint="eastAsia" w:ascii="华文仿宋" w:hAnsi="华文仿宋" w:eastAsia="华文仿宋" w:cs="华文仿宋"/>
          <w:bCs/>
          <w:sz w:val="21"/>
          <w:highlight w:val="none"/>
        </w:rPr>
        <w:t>设兵团）出具的属于监狱企业的证明文件）。</w:t>
      </w:r>
    </w:p>
    <w:p w14:paraId="0B288DBC">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pacing w:val="-3"/>
          <w:w w:val="95"/>
          <w:sz w:val="21"/>
          <w:highlight w:val="none"/>
        </w:rPr>
        <w:t>根据《财库〔</w:t>
      </w:r>
      <w:r>
        <w:rPr>
          <w:rFonts w:hint="eastAsia" w:ascii="华文仿宋" w:hAnsi="华文仿宋" w:eastAsia="华文仿宋" w:cs="华文仿宋"/>
          <w:bCs/>
          <w:w w:val="95"/>
          <w:sz w:val="21"/>
          <w:highlight w:val="none"/>
        </w:rPr>
        <w:t>2017</w:t>
      </w:r>
      <w:r>
        <w:rPr>
          <w:rFonts w:hint="eastAsia" w:ascii="华文仿宋" w:hAnsi="华文仿宋" w:eastAsia="华文仿宋" w:cs="华文仿宋"/>
          <w:bCs/>
          <w:spacing w:val="-8"/>
          <w:w w:val="95"/>
          <w:sz w:val="21"/>
          <w:highlight w:val="none"/>
        </w:rPr>
        <w:t>〕</w:t>
      </w:r>
      <w:r>
        <w:rPr>
          <w:rFonts w:hint="eastAsia" w:ascii="华文仿宋" w:hAnsi="华文仿宋" w:eastAsia="华文仿宋" w:cs="华文仿宋"/>
          <w:bCs/>
          <w:w w:val="95"/>
          <w:sz w:val="21"/>
          <w:highlight w:val="none"/>
        </w:rPr>
        <w:t>141</w:t>
      </w:r>
      <w:r>
        <w:rPr>
          <w:rFonts w:hint="eastAsia" w:ascii="华文仿宋" w:hAnsi="华文仿宋" w:eastAsia="华文仿宋" w:cs="华文仿宋"/>
          <w:bCs/>
          <w:spacing w:val="-4"/>
          <w:w w:val="95"/>
          <w:sz w:val="21"/>
          <w:highlight w:val="none"/>
        </w:rPr>
        <w:t>号》符合条件的残疾人福利性单位视同小型、微型企业，享受中小</w:t>
      </w:r>
      <w:r>
        <w:rPr>
          <w:rFonts w:hint="eastAsia" w:ascii="华文仿宋" w:hAnsi="华文仿宋" w:eastAsia="华文仿宋" w:cs="华文仿宋"/>
          <w:bCs/>
          <w:spacing w:val="-4"/>
          <w:sz w:val="21"/>
          <w:highlight w:val="none"/>
        </w:rPr>
        <w:t>企业发展的政策。残疾人福利性单位属于小型、微型企业的，不重复享受政策。</w:t>
      </w:r>
    </w:p>
    <w:p w14:paraId="0F829FDE">
      <w:pPr>
        <w:pStyle w:val="17"/>
        <w:numPr>
          <w:ilvl w:val="0"/>
          <w:numId w:val="5"/>
        </w:numPr>
        <w:tabs>
          <w:tab w:val="left" w:pos="1166"/>
        </w:tabs>
        <w:spacing w:before="43" w:line="360" w:lineRule="auto"/>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华文仿宋"/>
          <w:bCs/>
          <w:sz w:val="21"/>
          <w:highlight w:val="none"/>
        </w:rPr>
        <w:t>小型、微型企业提供中型或大型企业制造的货物的，视同为中型或大型企业。</w:t>
      </w:r>
    </w:p>
    <w:p w14:paraId="64A930DB">
      <w:pPr>
        <w:pStyle w:val="6"/>
        <w:spacing w:before="42" w:line="360" w:lineRule="auto"/>
        <w:ind w:left="223" w:right="730" w:firstLine="398" w:firstLineChars="211"/>
        <w:jc w:val="both"/>
        <w:rPr>
          <w:rFonts w:hint="eastAsia" w:ascii="华文仿宋" w:hAnsi="华文仿宋" w:eastAsia="华文仿宋" w:cs="华文仿宋"/>
          <w:bCs/>
          <w:color w:val="000000" w:themeColor="text1"/>
          <w:highlight w:val="none"/>
          <w14:textFill>
            <w14:solidFill>
              <w14:schemeClr w14:val="tx1"/>
            </w14:solidFill>
          </w14:textFill>
        </w:rPr>
      </w:pPr>
      <w:r>
        <w:rPr>
          <w:rFonts w:hint="eastAsia" w:ascii="华文仿宋" w:hAnsi="华文仿宋" w:eastAsia="华文仿宋" w:cs="华文仿宋"/>
          <w:bCs/>
          <w:color w:val="000000" w:themeColor="text1"/>
          <w:spacing w:val="-5"/>
          <w:w w:val="95"/>
          <w:highlight w:val="none"/>
          <w14:textFill>
            <w14:solidFill>
              <w14:schemeClr w14:val="tx1"/>
            </w14:solidFill>
          </w14:textFill>
        </w:rPr>
        <w:t>参加活动的中小企业应当按“关于印发《政府采购促进中小企业发展管理办法》的通知[财库〔2020〕46号]</w:t>
      </w:r>
      <w:r>
        <w:rPr>
          <w:rFonts w:hint="eastAsia" w:ascii="华文仿宋" w:hAnsi="华文仿宋" w:eastAsia="华文仿宋" w:cs="华文仿宋"/>
          <w:bCs/>
          <w:color w:val="000000" w:themeColor="text1"/>
          <w:spacing w:val="-5"/>
          <w:highlight w:val="none"/>
          <w14:textFill>
            <w14:solidFill>
              <w14:schemeClr w14:val="tx1"/>
            </w14:solidFill>
          </w14:textFill>
        </w:rPr>
        <w:t>” 和《财库〔2017〕141号》规定提供《中小企业声明函》和《残疾人福利性单位声明函》。未提供上述资料的报价，其价格不予扣除。</w:t>
      </w:r>
    </w:p>
    <w:p w14:paraId="71221715">
      <w:pPr>
        <w:pStyle w:val="17"/>
        <w:numPr>
          <w:ilvl w:val="1"/>
          <w:numId w:val="4"/>
        </w:numPr>
        <w:tabs>
          <w:tab w:val="left" w:pos="1159"/>
        </w:tabs>
        <w:spacing w:line="360" w:lineRule="auto"/>
        <w:ind w:right="288" w:firstLine="41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强制采购节能产品、信息安全产品，优先采购环境标志产品。节能产品是指列入财政部、国家发展和改革委员会制定的《节能产品政府采购清单》，且经过认定的节能产品；信息安全产品是指列入</w:t>
      </w:r>
      <w:r>
        <w:rPr>
          <w:rFonts w:hint="eastAsia" w:ascii="华文仿宋" w:hAnsi="华文仿宋" w:eastAsia="华文仿宋" w:cs="仿宋"/>
          <w:bCs/>
          <w:color w:val="000000" w:themeColor="text1"/>
          <w:spacing w:val="-8"/>
          <w:sz w:val="21"/>
          <w:highlight w:val="none"/>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0B6B7882">
      <w:pPr>
        <w:pStyle w:val="17"/>
        <w:numPr>
          <w:ilvl w:val="0"/>
          <w:numId w:val="6"/>
        </w:numPr>
        <w:tabs>
          <w:tab w:val="left" w:pos="1270"/>
        </w:tabs>
        <w:spacing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2E5C33B9">
      <w:pPr>
        <w:pStyle w:val="17"/>
        <w:numPr>
          <w:ilvl w:val="0"/>
          <w:numId w:val="6"/>
        </w:numPr>
        <w:tabs>
          <w:tab w:val="left" w:pos="1270"/>
        </w:tabs>
        <w:spacing w:line="360" w:lineRule="auto"/>
        <w:ind w:left="127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sz w:val="21"/>
          <w:highlight w:val="none"/>
          <w14:textFill>
            <w14:solidFill>
              <w14:schemeClr w14:val="tx1"/>
            </w14:solidFill>
          </w14:textFill>
        </w:rPr>
        <w:t>提供的产品属于政府强制采购节能产品的，供应商应当选择《节能产品政府采购清单》中的产</w:t>
      </w:r>
    </w:p>
    <w:p w14:paraId="2C9A5E5E">
      <w:pPr>
        <w:pStyle w:val="6"/>
        <w:spacing w:before="23" w:line="360" w:lineRule="auto"/>
        <w:ind w:left="323"/>
        <w:rPr>
          <w:rFonts w:hint="eastAsia" w:ascii="华文仿宋" w:hAnsi="华文仿宋" w:eastAsia="华文仿宋" w:cs="仿宋"/>
          <w:bCs/>
          <w:color w:val="000000" w:themeColor="text1"/>
          <w:highlight w:val="none"/>
          <w14:textFill>
            <w14:solidFill>
              <w14:schemeClr w14:val="tx1"/>
            </w14:solidFill>
          </w14:textFill>
        </w:rPr>
      </w:pPr>
      <w:r>
        <w:rPr>
          <w:rFonts w:hint="eastAsia" w:ascii="华文仿宋" w:hAnsi="华文仿宋" w:eastAsia="华文仿宋" w:cs="仿宋"/>
          <w:bCs/>
          <w:color w:val="000000" w:themeColor="text1"/>
          <w:highlight w:val="none"/>
          <w14:textFill>
            <w14:solidFill>
              <w14:schemeClr w14:val="tx1"/>
            </w14:solidFill>
          </w14:textFill>
        </w:rPr>
        <w:t>品，并提供有效的节能产品认证证书复印件。</w:t>
      </w:r>
    </w:p>
    <w:p w14:paraId="60F411E2">
      <w:pPr>
        <w:pStyle w:val="17"/>
        <w:numPr>
          <w:ilvl w:val="0"/>
          <w:numId w:val="6"/>
        </w:numPr>
        <w:tabs>
          <w:tab w:val="left" w:pos="1261"/>
        </w:tabs>
        <w:spacing w:before="43" w:line="360" w:lineRule="auto"/>
        <w:ind w:right="312" w:firstLine="412"/>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提供的产品属于环境标志产品的,供应商应当选择《环境标志产品政府采购清单》中的,且经过</w:t>
      </w:r>
      <w:r>
        <w:rPr>
          <w:rFonts w:hint="eastAsia" w:ascii="华文仿宋" w:hAnsi="华文仿宋" w:eastAsia="华文仿宋" w:cs="仿宋"/>
          <w:bCs/>
          <w:color w:val="000000" w:themeColor="text1"/>
          <w:spacing w:val="-3"/>
          <w:sz w:val="21"/>
          <w:highlight w:val="none"/>
          <w14:textFill>
            <w14:solidFill>
              <w14:schemeClr w14:val="tx1"/>
            </w14:solidFill>
          </w14:textFill>
        </w:rPr>
        <w:t>认证的环境标志产品投标,并提供有效的环境标志产品认证证书复印件。</w:t>
      </w:r>
    </w:p>
    <w:p w14:paraId="6C2783B0">
      <w:pPr>
        <w:pStyle w:val="17"/>
        <w:numPr>
          <w:ilvl w:val="1"/>
          <w:numId w:val="4"/>
        </w:numPr>
        <w:tabs>
          <w:tab w:val="left" w:pos="1168"/>
        </w:tabs>
        <w:spacing w:line="360" w:lineRule="auto"/>
        <w:ind w:right="276"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华文仿宋" w:hAnsi="华文仿宋" w:eastAsia="华文仿宋" w:cs="仿宋"/>
          <w:bCs/>
          <w:color w:val="000000" w:themeColor="text1"/>
          <w:spacing w:val="-3"/>
          <w:w w:val="95"/>
          <w:sz w:val="21"/>
          <w:highlight w:val="none"/>
          <w14:textFill>
            <w14:solidFill>
              <w14:schemeClr w14:val="tx1"/>
            </w14:solidFill>
          </w14:textFill>
        </w:rPr>
        <w:t>求，并提供证明材料以保证整体功能的实现，并在方案中加以合理的阐述说明，否则将可能作为无效投</w:t>
      </w:r>
      <w:r>
        <w:rPr>
          <w:rFonts w:hint="eastAsia" w:ascii="华文仿宋" w:hAnsi="华文仿宋" w:eastAsia="华文仿宋" w:cs="仿宋"/>
          <w:bCs/>
          <w:color w:val="000000" w:themeColor="text1"/>
          <w:spacing w:val="-3"/>
          <w:sz w:val="21"/>
          <w:highlight w:val="none"/>
          <w14:textFill>
            <w14:solidFill>
              <w14:schemeClr w14:val="tx1"/>
            </w14:solidFill>
          </w14:textFill>
        </w:rPr>
        <w:t>标处理。</w:t>
      </w:r>
    </w:p>
    <w:p w14:paraId="512C928D">
      <w:pPr>
        <w:pStyle w:val="17"/>
        <w:numPr>
          <w:ilvl w:val="0"/>
          <w:numId w:val="4"/>
        </w:numPr>
        <w:tabs>
          <w:tab w:val="left" w:pos="903"/>
        </w:tabs>
        <w:spacing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参与竞争性磋商供应商资格条件</w:t>
      </w:r>
    </w:p>
    <w:p w14:paraId="625BE406">
      <w:pPr>
        <w:pStyle w:val="6"/>
        <w:spacing w:before="43" w:line="360" w:lineRule="auto"/>
        <w:ind w:firstLine="720" w:firstLineChars="0"/>
        <w:rPr>
          <w:rFonts w:hint="eastAsia" w:ascii="华文仿宋" w:hAnsi="华文仿宋" w:eastAsia="华文仿宋" w:cs="仿宋"/>
          <w:bCs/>
          <w:color w:val="000000" w:themeColor="text1"/>
          <w:spacing w:val="-2"/>
          <w:szCs w:val="22"/>
          <w:highlight w:val="none"/>
          <w14:textFill>
            <w14:solidFill>
              <w14:schemeClr w14:val="tx1"/>
            </w14:solidFill>
          </w14:textFill>
        </w:rPr>
      </w:pPr>
      <w:r>
        <w:rPr>
          <w:rFonts w:hint="eastAsia" w:ascii="华文仿宋" w:hAnsi="华文仿宋" w:eastAsia="华文仿宋" w:cs="仿宋"/>
          <w:color w:val="000000" w:themeColor="text1"/>
          <w:highlight w:val="none"/>
          <w:lang w:val="en-US" w:eastAsia="zh-CN"/>
          <w14:textFill>
            <w14:solidFill>
              <w14:schemeClr w14:val="tx1"/>
            </w14:solidFill>
          </w14:textFill>
        </w:rPr>
        <w:t>详见“</w:t>
      </w:r>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lang w:val="en-US" w:eastAsia="zh-CN"/>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竞争性磋商邀请</w:t>
      </w: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bCs/>
          <w:color w:val="000000" w:themeColor="text1"/>
          <w:spacing w:val="-2"/>
          <w:szCs w:val="22"/>
          <w:highlight w:val="none"/>
          <w14:textFill>
            <w14:solidFill>
              <w14:schemeClr w14:val="tx1"/>
            </w14:solidFill>
          </w14:textFill>
        </w:rPr>
        <w:t>。</w:t>
      </w:r>
    </w:p>
    <w:p w14:paraId="6FE3C56F">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供应商的义务及注意事项</w:t>
      </w:r>
    </w:p>
    <w:p w14:paraId="47BF0B7D">
      <w:pPr>
        <w:pStyle w:val="17"/>
        <w:numPr>
          <w:ilvl w:val="1"/>
          <w:numId w:val="4"/>
        </w:numPr>
        <w:tabs>
          <w:tab w:val="left" w:pos="1060"/>
        </w:tabs>
        <w:spacing w:before="43" w:line="360" w:lineRule="auto"/>
        <w:ind w:left="1060" w:hanging="317"/>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集中现场答疑/勘察：</w:t>
      </w:r>
    </w:p>
    <w:p w14:paraId="430AACEA">
      <w:pPr>
        <w:pStyle w:val="17"/>
        <w:tabs>
          <w:tab w:val="left" w:pos="1060"/>
        </w:tabs>
        <w:spacing w:before="43" w:line="360" w:lineRule="auto"/>
        <w:rPr>
          <w:rFonts w:hint="eastAsia" w:ascii="华文仿宋" w:hAnsi="华文仿宋" w:eastAsia="华文仿宋"/>
          <w:bCs/>
          <w:highlight w:val="none"/>
          <w:lang w:val="en-US"/>
        </w:rPr>
      </w:pPr>
      <w:r>
        <w:rPr>
          <w:rFonts w:hint="eastAsia" w:ascii="华文仿宋" w:hAnsi="华文仿宋" w:eastAsia="华文仿宋" w:cs="仿宋"/>
          <w:color w:val="000000" w:themeColor="text1"/>
          <w:highlight w:val="none"/>
          <w:lang w:val="en-US" w:eastAsia="zh-CN"/>
          <w14:textFill>
            <w14:solidFill>
              <w14:schemeClr w14:val="tx1"/>
            </w14:solidFill>
          </w14:textFill>
        </w:rPr>
        <w:t>详见“</w:t>
      </w:r>
      <w:r>
        <w:rPr>
          <w:rFonts w:hint="eastAsia" w:ascii="华文仿宋" w:hAnsi="华文仿宋" w:eastAsia="华文仿宋" w:cs="仿宋"/>
          <w:color w:val="000000" w:themeColor="text1"/>
          <w:highlight w:val="none"/>
          <w14:textFill>
            <w14:solidFill>
              <w14:schemeClr w14:val="tx1"/>
            </w14:solidFill>
          </w14:textFill>
        </w:rPr>
        <w:t>第一章</w:t>
      </w:r>
      <w:r>
        <w:rPr>
          <w:rFonts w:hint="eastAsia" w:ascii="华文仿宋" w:hAnsi="华文仿宋" w:eastAsia="华文仿宋" w:cs="仿宋"/>
          <w:color w:val="000000" w:themeColor="text1"/>
          <w:highlight w:val="none"/>
          <w:lang w:val="en-US" w:eastAsia="zh-CN"/>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竞争性磋商邀请</w:t>
      </w:r>
      <w:r>
        <w:rPr>
          <w:rFonts w:hint="eastAsia" w:ascii="华文仿宋" w:hAnsi="华文仿宋" w:eastAsia="华文仿宋" w:cs="仿宋"/>
          <w:color w:val="000000" w:themeColor="text1"/>
          <w:highlight w:val="none"/>
          <w:lang w:eastAsia="zh-CN"/>
          <w14:textFill>
            <w14:solidFill>
              <w14:schemeClr w14:val="tx1"/>
            </w14:solidFill>
          </w14:textFill>
        </w:rPr>
        <w:t>”</w:t>
      </w:r>
    </w:p>
    <w:p w14:paraId="3177B9CA">
      <w:pPr>
        <w:pStyle w:val="17"/>
        <w:numPr>
          <w:ilvl w:val="1"/>
          <w:numId w:val="4"/>
        </w:numPr>
        <w:tabs>
          <w:tab w:val="left" w:pos="1111"/>
        </w:tabs>
        <w:spacing w:before="43" w:line="360" w:lineRule="auto"/>
        <w:ind w:left="1110"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义务</w:t>
      </w:r>
    </w:p>
    <w:p w14:paraId="1BCA2AC4">
      <w:pPr>
        <w:pStyle w:val="17"/>
        <w:numPr>
          <w:ilvl w:val="2"/>
          <w:numId w:val="4"/>
        </w:numPr>
        <w:tabs>
          <w:tab w:val="left" w:pos="1216"/>
        </w:tabs>
        <w:spacing w:before="43" w:line="360" w:lineRule="auto"/>
        <w:ind w:right="20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7"/>
          <w:w w:val="95"/>
          <w:sz w:val="21"/>
          <w:highlight w:val="none"/>
          <w14:textFill>
            <w14:solidFill>
              <w14:schemeClr w14:val="tx1"/>
            </w14:solidFill>
          </w14:textFill>
        </w:rPr>
        <w:t>供应商应当认真阅读本磋商文件，完全明了本项目之名称、用途、数量、质量和提供服务时间，</w:t>
      </w:r>
      <w:r>
        <w:rPr>
          <w:rFonts w:hint="eastAsia" w:ascii="华文仿宋" w:hAnsi="华文仿宋" w:eastAsia="华文仿宋" w:cs="仿宋"/>
          <w:bCs/>
          <w:color w:val="000000" w:themeColor="text1"/>
          <w:spacing w:val="-7"/>
          <w:sz w:val="21"/>
          <w:highlight w:val="none"/>
          <w14:textFill>
            <w14:solidFill>
              <w14:schemeClr w14:val="tx1"/>
            </w14:solidFill>
          </w14:textFill>
        </w:rPr>
        <w:t>完全明了应具备的资格条件。</w:t>
      </w:r>
    </w:p>
    <w:p w14:paraId="0DA08569">
      <w:pPr>
        <w:pStyle w:val="17"/>
        <w:numPr>
          <w:ilvl w:val="2"/>
          <w:numId w:val="4"/>
        </w:numPr>
        <w:tabs>
          <w:tab w:val="left" w:pos="1216"/>
        </w:tabs>
        <w:spacing w:before="1"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供应商应当按照磋商文件的要求编制响应性文件。响应性文件应对磋商文件提出的实质性要求</w:t>
      </w:r>
      <w:r>
        <w:rPr>
          <w:rFonts w:hint="eastAsia" w:ascii="华文仿宋" w:hAnsi="华文仿宋" w:eastAsia="华文仿宋" w:cs="仿宋"/>
          <w:bCs/>
          <w:color w:val="000000" w:themeColor="text1"/>
          <w:spacing w:val="-2"/>
          <w:sz w:val="21"/>
          <w:highlight w:val="none"/>
          <w14:textFill>
            <w14:solidFill>
              <w14:schemeClr w14:val="tx1"/>
            </w14:solidFill>
          </w14:textFill>
        </w:rPr>
        <w:t>和条件作出完全响应。</w:t>
      </w:r>
    </w:p>
    <w:p w14:paraId="52B70143">
      <w:pPr>
        <w:pStyle w:val="17"/>
        <w:numPr>
          <w:ilvl w:val="2"/>
          <w:numId w:val="4"/>
        </w:numPr>
        <w:tabs>
          <w:tab w:val="left" w:pos="1216"/>
        </w:tabs>
        <w:spacing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供应商应在磋商截止时间前，将密封的响应性文件送达磋商地点。</w:t>
      </w:r>
    </w:p>
    <w:p w14:paraId="6D622C24">
      <w:pPr>
        <w:pStyle w:val="17"/>
        <w:numPr>
          <w:ilvl w:val="2"/>
          <w:numId w:val="4"/>
        </w:numPr>
        <w:tabs>
          <w:tab w:val="left" w:pos="1216"/>
        </w:tabs>
        <w:spacing w:before="42" w:line="360" w:lineRule="auto"/>
        <w:ind w:right="310"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供应商不得相互串通报价，不得排挤其他供应商的公平竞争，损害采购人或者其他供应商的合法权益。供应商不得与采购人串通磋商，损害国家利益，公众利益或者他人的合法权益。</w:t>
      </w:r>
    </w:p>
    <w:p w14:paraId="03E9EDF6">
      <w:pPr>
        <w:pStyle w:val="17"/>
        <w:numPr>
          <w:ilvl w:val="2"/>
          <w:numId w:val="4"/>
        </w:numPr>
        <w:tabs>
          <w:tab w:val="left" w:pos="1216"/>
        </w:tabs>
        <w:spacing w:line="360" w:lineRule="auto"/>
        <w:ind w:right="307"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sz w:val="21"/>
          <w:highlight w:val="none"/>
          <w14:textFill>
            <w14:solidFill>
              <w14:schemeClr w14:val="tx1"/>
            </w14:solidFill>
          </w14:textFill>
        </w:rPr>
        <w:t>供应商在磋商截止时间前，对所递交的响应性文件可以补充、修改或者撤回，并书面通知代理机构。补充、修改的内容为响应性文件的组成部分。</w:t>
      </w:r>
    </w:p>
    <w:p w14:paraId="7D8F2145">
      <w:pPr>
        <w:pStyle w:val="17"/>
        <w:numPr>
          <w:ilvl w:val="1"/>
          <w:numId w:val="4"/>
        </w:numPr>
        <w:tabs>
          <w:tab w:val="left" w:pos="1104"/>
        </w:tabs>
        <w:spacing w:line="360" w:lineRule="auto"/>
        <w:ind w:left="1103" w:hanging="368"/>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注意事项</w:t>
      </w:r>
    </w:p>
    <w:p w14:paraId="063B3AFF">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本项目采购方式是竞争性磋商，整个项目是一个整体、不可分割。</w:t>
      </w:r>
    </w:p>
    <w:p w14:paraId="6F33280C">
      <w:pPr>
        <w:pStyle w:val="17"/>
        <w:numPr>
          <w:ilvl w:val="2"/>
          <w:numId w:val="4"/>
        </w:numPr>
        <w:tabs>
          <w:tab w:val="left" w:pos="1216"/>
        </w:tabs>
        <w:spacing w:before="43" w:line="360" w:lineRule="auto"/>
        <w:ind w:left="1216"/>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验收标准</w:t>
      </w:r>
    </w:p>
    <w:p w14:paraId="4AE665A3">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磋商文件中明确的标准和技术要求，未明确部分按照国家最新的相关标准；</w:t>
      </w:r>
    </w:p>
    <w:p w14:paraId="1F39CF49">
      <w:pPr>
        <w:pStyle w:val="17"/>
        <w:numPr>
          <w:ilvl w:val="3"/>
          <w:numId w:val="4"/>
        </w:numPr>
        <w:tabs>
          <w:tab w:val="left" w:pos="1375"/>
        </w:tabs>
        <w:spacing w:before="43" w:line="360" w:lineRule="auto"/>
        <w:ind w:left="323"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供应商随响应性文件提供的货物制造国制造及验收的官方标准或货物验收大纲，经采购单位确认后，将作为对货物的验收依据之一；</w:t>
      </w:r>
    </w:p>
    <w:p w14:paraId="07DB8A1F">
      <w:pPr>
        <w:pStyle w:val="17"/>
        <w:numPr>
          <w:ilvl w:val="3"/>
          <w:numId w:val="4"/>
        </w:numPr>
        <w:tabs>
          <w:tab w:val="left" w:pos="1375"/>
        </w:tabs>
        <w:spacing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供应商在澄清响应文件时作出的承诺，经采购单位确认后，将作为对货物的验收依据之一；</w:t>
      </w:r>
    </w:p>
    <w:p w14:paraId="62331EBB">
      <w:pPr>
        <w:pStyle w:val="17"/>
        <w:numPr>
          <w:ilvl w:val="3"/>
          <w:numId w:val="4"/>
        </w:numPr>
        <w:tabs>
          <w:tab w:val="left" w:pos="1375"/>
        </w:tabs>
        <w:spacing w:before="43" w:line="360" w:lineRule="auto"/>
        <w:ind w:hanging="632"/>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项目完毕后，由采购单位组织按国家相关标准进行验收。</w:t>
      </w:r>
    </w:p>
    <w:p w14:paraId="5B8D563B">
      <w:pPr>
        <w:pStyle w:val="17"/>
        <w:numPr>
          <w:ilvl w:val="2"/>
          <w:numId w:val="4"/>
        </w:numPr>
        <w:tabs>
          <w:tab w:val="left" w:pos="1216"/>
        </w:tabs>
        <w:spacing w:before="43" w:line="360" w:lineRule="auto"/>
        <w:ind w:right="307"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 xml:space="preserve">供应商应认真阅读磋商文件中所有的事项、格式、条款和规范等要求，如果没有按照磋商文件   </w:t>
      </w:r>
      <w:r>
        <w:rPr>
          <w:rFonts w:hint="eastAsia" w:ascii="华文仿宋" w:hAnsi="华文仿宋" w:eastAsia="华文仿宋" w:cs="仿宋"/>
          <w:bCs/>
          <w:color w:val="000000" w:themeColor="text1"/>
          <w:spacing w:val="-3"/>
          <w:sz w:val="21"/>
          <w:highlight w:val="none"/>
          <w14:textFill>
            <w14:solidFill>
              <w14:schemeClr w14:val="tx1"/>
            </w14:solidFill>
          </w14:textFill>
        </w:rPr>
        <w:t>要求提交全部资料，或者没有对磋商文件作出实质性响应，相应风险应由供应商承担，包括作无效磋商处理。</w:t>
      </w:r>
    </w:p>
    <w:p w14:paraId="663773A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3"/>
          <w:w w:val="95"/>
          <w:sz w:val="21"/>
          <w:highlight w:val="none"/>
          <w14:textFill>
            <w14:solidFill>
              <w14:schemeClr w14:val="tx1"/>
            </w14:solidFill>
          </w14:textFill>
        </w:rPr>
        <w:t>任何供应商中标，须保证所供货物能通过当地有关职能部门验收，否则采购单位有权拒绝支付</w:t>
      </w:r>
      <w:r>
        <w:rPr>
          <w:rFonts w:hint="eastAsia" w:ascii="华文仿宋" w:hAnsi="华文仿宋" w:eastAsia="华文仿宋" w:cs="仿宋"/>
          <w:bCs/>
          <w:color w:val="000000" w:themeColor="text1"/>
          <w:spacing w:val="-3"/>
          <w:sz w:val="21"/>
          <w:highlight w:val="none"/>
          <w14:textFill>
            <w14:solidFill>
              <w14:schemeClr w14:val="tx1"/>
            </w14:solidFill>
          </w14:textFill>
        </w:rPr>
        <w:t>合同款项。</w:t>
      </w:r>
    </w:p>
    <w:p w14:paraId="1B287B3C">
      <w:pPr>
        <w:pStyle w:val="17"/>
        <w:numPr>
          <w:ilvl w:val="2"/>
          <w:numId w:val="4"/>
        </w:numPr>
        <w:tabs>
          <w:tab w:val="left" w:pos="1216"/>
        </w:tabs>
        <w:spacing w:line="360" w:lineRule="auto"/>
        <w:ind w:right="310" w:firstLine="420"/>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2"/>
          <w:w w:val="95"/>
          <w:sz w:val="21"/>
          <w:highlight w:val="none"/>
          <w14:textFill>
            <w14:solidFill>
              <w14:schemeClr w14:val="tx1"/>
            </w14:solidFill>
          </w14:textFill>
        </w:rPr>
        <w:t>供应商应保证采购人在使用该货物或其任何一部分时不受第三方提出侵犯其专利权、版权、商</w:t>
      </w:r>
      <w:r>
        <w:rPr>
          <w:rFonts w:hint="eastAsia" w:ascii="华文仿宋" w:hAnsi="华文仿宋" w:eastAsia="华文仿宋" w:cs="仿宋"/>
          <w:bCs/>
          <w:color w:val="000000" w:themeColor="text1"/>
          <w:spacing w:val="-2"/>
          <w:sz w:val="21"/>
          <w:highlight w:val="none"/>
          <w14:textFill>
            <w14:solidFill>
              <w14:schemeClr w14:val="tx1"/>
            </w14:solidFill>
          </w14:textFill>
        </w:rPr>
        <w:t>标权或其他权利的起诉。一旦出现侵权，供应商应承担全部责任。</w:t>
      </w:r>
    </w:p>
    <w:p w14:paraId="1C1D6AFF">
      <w:pPr>
        <w:pStyle w:val="17"/>
        <w:numPr>
          <w:ilvl w:val="2"/>
          <w:numId w:val="4"/>
        </w:numPr>
        <w:tabs>
          <w:tab w:val="left" w:pos="1216"/>
        </w:tabs>
        <w:spacing w:line="360" w:lineRule="auto"/>
        <w:ind w:left="1216"/>
        <w:jc w:val="both"/>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z w:val="21"/>
          <w:highlight w:val="none"/>
          <w14:textFill>
            <w14:solidFill>
              <w14:schemeClr w14:val="tx1"/>
            </w14:solidFill>
          </w14:textFill>
        </w:rPr>
        <w:t>本次项目不接受联合体磋商。</w:t>
      </w:r>
    </w:p>
    <w:p w14:paraId="1FBE26AB">
      <w:pPr>
        <w:pStyle w:val="17"/>
        <w:numPr>
          <w:ilvl w:val="0"/>
          <w:numId w:val="4"/>
        </w:numPr>
        <w:tabs>
          <w:tab w:val="left" w:pos="903"/>
        </w:tabs>
        <w:spacing w:before="42"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磋商文件的澄清、修改</w:t>
      </w:r>
    </w:p>
    <w:p w14:paraId="3DD401E3">
      <w:pPr>
        <w:pStyle w:val="17"/>
        <w:numPr>
          <w:ilvl w:val="1"/>
          <w:numId w:val="4"/>
        </w:numPr>
        <w:tabs>
          <w:tab w:val="left" w:pos="1060"/>
        </w:tabs>
        <w:spacing w:before="43"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任何要求对磋商文件进行澄清的供应商，应在磋商文件规定的响应性文件提交</w:t>
      </w:r>
      <w:r>
        <w:rPr>
          <w:rFonts w:hint="eastAsia" w:ascii="华文仿宋" w:hAnsi="华文仿宋" w:eastAsia="华文仿宋" w:cs="仿宋"/>
          <w:color w:val="000000" w:themeColor="text1"/>
          <w:sz w:val="21"/>
          <w:highlight w:val="none"/>
          <w14:textFill>
            <w14:solidFill>
              <w14:schemeClr w14:val="tx1"/>
            </w14:solidFill>
          </w14:textFill>
        </w:rPr>
        <w:t>截止日期五天前按磋商文件中的联系方式以书面形式通知代理机构，代理机构将及时予以答复；在磋商文件公布期间，代理机构可主动对磋商文件进行澄清，磋商文件实质性变动的除外。</w:t>
      </w:r>
    </w:p>
    <w:p w14:paraId="6317CE47">
      <w:pPr>
        <w:pStyle w:val="17"/>
        <w:numPr>
          <w:ilvl w:val="1"/>
          <w:numId w:val="4"/>
        </w:numPr>
        <w:tabs>
          <w:tab w:val="left" w:pos="1060"/>
        </w:tabs>
        <w:spacing w:line="360" w:lineRule="auto"/>
        <w:ind w:right="226"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磋商文件公布期间如有实质性变动的，代理机构将在原磋商采购信息发布媒体上发布变更公告，   </w:t>
      </w:r>
      <w:r>
        <w:rPr>
          <w:rFonts w:hint="eastAsia" w:ascii="华文仿宋" w:hAnsi="华文仿宋" w:eastAsia="华文仿宋" w:cs="仿宋"/>
          <w:color w:val="000000" w:themeColor="text1"/>
          <w:sz w:val="21"/>
          <w:highlight w:val="none"/>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4C604BD1">
      <w:pPr>
        <w:pStyle w:val="17"/>
        <w:numPr>
          <w:ilvl w:val="0"/>
          <w:numId w:val="4"/>
        </w:numPr>
        <w:tabs>
          <w:tab w:val="left" w:pos="903"/>
        </w:tabs>
        <w:spacing w:before="43" w:line="360" w:lineRule="auto"/>
        <w:ind w:left="902" w:hanging="160"/>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磋商有效期</w:t>
      </w:r>
    </w:p>
    <w:p w14:paraId="1669F152">
      <w:pPr>
        <w:pStyle w:val="17"/>
        <w:numPr>
          <w:ilvl w:val="1"/>
          <w:numId w:val="4"/>
        </w:numPr>
        <w:tabs>
          <w:tab w:val="left" w:pos="1060"/>
        </w:tabs>
        <w:spacing w:before="43" w:line="360" w:lineRule="auto"/>
        <w:ind w:left="1060" w:hanging="317"/>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 xml:space="preserve">磋商有效期为磋商文件规定的磋商之日后 </w:t>
      </w:r>
      <w:r>
        <w:rPr>
          <w:rFonts w:hint="eastAsia" w:ascii="华文仿宋" w:hAnsi="华文仿宋" w:eastAsia="华文仿宋" w:cs="仿宋"/>
          <w:color w:val="000000" w:themeColor="text1"/>
          <w:sz w:val="21"/>
          <w:highlight w:val="none"/>
          <w14:textFill>
            <w14:solidFill>
              <w14:schemeClr w14:val="tx1"/>
            </w14:solidFill>
          </w14:textFill>
        </w:rPr>
        <w:t>90</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天。</w:t>
      </w:r>
    </w:p>
    <w:p w14:paraId="558FB139">
      <w:pPr>
        <w:pStyle w:val="17"/>
        <w:numPr>
          <w:ilvl w:val="1"/>
          <w:numId w:val="4"/>
        </w:numPr>
        <w:tabs>
          <w:tab w:val="left" w:pos="1060"/>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7"/>
          <w:w w:val="95"/>
          <w:sz w:val="21"/>
          <w:highlight w:val="none"/>
          <w14:textFill>
            <w14:solidFill>
              <w14:schemeClr w14:val="tx1"/>
            </w14:solidFill>
          </w14:textFill>
        </w:rPr>
        <w:t>在特殊情况下，代理机构于原磋商有效期满之前，可向供应商提出延长磋商有效期的要求。供应</w:t>
      </w:r>
      <w:r>
        <w:rPr>
          <w:rFonts w:hint="eastAsia" w:ascii="华文仿宋" w:hAnsi="华文仿宋" w:eastAsia="华文仿宋" w:cs="仿宋"/>
          <w:color w:val="000000" w:themeColor="text1"/>
          <w:spacing w:val="-7"/>
          <w:sz w:val="21"/>
          <w:highlight w:val="none"/>
          <w14:textFill>
            <w14:solidFill>
              <w14:schemeClr w14:val="tx1"/>
            </w14:solidFill>
          </w14:textFill>
        </w:rPr>
        <w:t>商可以拒绝代理机构的这种要求。同意延长的供应商既不能要求也不允许修改其响应性文件。</w:t>
      </w:r>
    </w:p>
    <w:p w14:paraId="43EAE707">
      <w:pPr>
        <w:pStyle w:val="17"/>
        <w:numPr>
          <w:ilvl w:val="0"/>
          <w:numId w:val="4"/>
        </w:numPr>
        <w:tabs>
          <w:tab w:val="left" w:pos="1058"/>
        </w:tabs>
        <w:spacing w:line="360" w:lineRule="auto"/>
        <w:ind w:left="1057" w:hanging="318"/>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磋商费用</w:t>
      </w:r>
    </w:p>
    <w:p w14:paraId="3F751AF6">
      <w:pPr>
        <w:pStyle w:val="17"/>
        <w:numPr>
          <w:ilvl w:val="1"/>
          <w:numId w:val="4"/>
        </w:numPr>
        <w:tabs>
          <w:tab w:val="left" w:pos="1008"/>
        </w:tabs>
        <w:spacing w:before="43" w:line="360" w:lineRule="auto"/>
        <w:ind w:right="310"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供应商应</w:t>
      </w:r>
      <w:r>
        <w:rPr>
          <w:rFonts w:hint="eastAsia" w:ascii="华文仿宋" w:hAnsi="华文仿宋" w:eastAsia="华文仿宋" w:cs="仿宋"/>
          <w:color w:val="000000" w:themeColor="text1"/>
          <w:spacing w:val="-2"/>
          <w:w w:val="95"/>
          <w:sz w:val="21"/>
          <w:highlight w:val="none"/>
          <w14:textFill>
            <w14:solidFill>
              <w14:schemeClr w14:val="tx1"/>
            </w14:solidFill>
          </w14:textFill>
        </w:rPr>
        <w:t>承担所有与准备和参加磋商有关的费用，代理机构和采购人在任何情况下均无义务和责</w:t>
      </w:r>
      <w:r>
        <w:rPr>
          <w:rFonts w:hint="eastAsia" w:ascii="华文仿宋" w:hAnsi="华文仿宋" w:eastAsia="华文仿宋" w:cs="仿宋"/>
          <w:color w:val="000000" w:themeColor="text1"/>
          <w:spacing w:val="-2"/>
          <w:sz w:val="21"/>
          <w:highlight w:val="none"/>
          <w14:textFill>
            <w14:solidFill>
              <w14:schemeClr w14:val="tx1"/>
            </w14:solidFill>
          </w14:textFill>
        </w:rPr>
        <w:t>任承担这些费用。</w:t>
      </w:r>
    </w:p>
    <w:p w14:paraId="38D56999">
      <w:pPr>
        <w:pStyle w:val="17"/>
        <w:numPr>
          <w:ilvl w:val="1"/>
          <w:numId w:val="4"/>
        </w:numPr>
        <w:tabs>
          <w:tab w:val="left" w:pos="1065"/>
        </w:tabs>
        <w:spacing w:before="76" w:line="360" w:lineRule="auto"/>
        <w:ind w:right="274" w:firstLine="420"/>
        <w:rPr>
          <w:rFonts w:hint="eastAsia" w:ascii="华文仿宋" w:hAnsi="华文仿宋" w:eastAsia="华文仿宋" w:cs="仿宋"/>
          <w:bCs/>
          <w:color w:val="000000" w:themeColor="text1"/>
          <w:sz w:val="21"/>
          <w:highlight w:val="none"/>
          <w14:textFill>
            <w14:solidFill>
              <w14:schemeClr w14:val="tx1"/>
            </w14:solidFill>
          </w14:textFill>
        </w:rPr>
      </w:pPr>
      <w:r>
        <w:rPr>
          <w:rFonts w:hint="eastAsia" w:ascii="华文仿宋" w:hAnsi="华文仿宋" w:eastAsia="华文仿宋" w:cs="仿宋"/>
          <w:bCs/>
          <w:color w:val="000000" w:themeColor="text1"/>
          <w:spacing w:val="4"/>
          <w:w w:val="95"/>
          <w:sz w:val="21"/>
          <w:highlight w:val="none"/>
          <w:lang w:val="en-US"/>
          <w14:textFill>
            <w14:solidFill>
              <w14:schemeClr w14:val="tx1"/>
            </w14:solidFill>
          </w14:textFill>
        </w:rPr>
        <w:t xml:space="preserve"> 本次招标代理服务费由成交供应商支付，按招标代理服务收费管理办法计价格[2002]1980号收费标准的60%执行/采购包，清单咨询服务收费按照江苏省物价局、江苏省住房和城乡建设厅的苏价服[2014]383号文件的60%执行/采购包（如有）。合计费用不足4000元的，按4000元收取；无论是否将该费用在报价中列明，均视为已含在总价中</w:t>
      </w:r>
      <w:r>
        <w:rPr>
          <w:rFonts w:hint="eastAsia" w:ascii="华文仿宋" w:hAnsi="华文仿宋" w:eastAsia="华文仿宋" w:cs="华文仿宋"/>
          <w:bCs/>
          <w:sz w:val="21"/>
          <w:highlight w:val="none"/>
        </w:rPr>
        <w:t>。</w:t>
      </w:r>
    </w:p>
    <w:p w14:paraId="3D8D6841">
      <w:pPr>
        <w:pStyle w:val="3"/>
        <w:spacing w:before="122"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47" w:name="二、响应性文件的编制"/>
      <w:bookmarkEnd w:id="47"/>
      <w:bookmarkStart w:id="48" w:name="_Toc19329"/>
      <w:r>
        <w:rPr>
          <w:rFonts w:hint="eastAsia" w:ascii="华文仿宋" w:hAnsi="华文仿宋" w:eastAsia="华文仿宋" w:cs="仿宋"/>
          <w:color w:val="000000" w:themeColor="text1"/>
          <w:highlight w:val="none"/>
          <w14:textFill>
            <w14:solidFill>
              <w14:schemeClr w14:val="tx1"/>
            </w14:solidFill>
          </w14:textFill>
        </w:rPr>
        <w:t>二、响应性文件的编制</w:t>
      </w:r>
      <w:bookmarkEnd w:id="48"/>
    </w:p>
    <w:p w14:paraId="2399E59E">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响应性文件的语言、计量单位、货币和编制</w:t>
      </w:r>
    </w:p>
    <w:p w14:paraId="4A2D341A">
      <w:pPr>
        <w:pStyle w:val="17"/>
        <w:numPr>
          <w:ilvl w:val="1"/>
          <w:numId w:val="4"/>
        </w:numPr>
        <w:tabs>
          <w:tab w:val="left" w:pos="1164"/>
        </w:tabs>
        <w:spacing w:before="43"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1EE9D39">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供应商所使用的计量单位应为国家法定计量单位。</w:t>
      </w:r>
    </w:p>
    <w:p w14:paraId="64C69BCF">
      <w:pPr>
        <w:pStyle w:val="17"/>
        <w:numPr>
          <w:ilvl w:val="1"/>
          <w:numId w:val="4"/>
        </w:numPr>
        <w:tabs>
          <w:tab w:val="left" w:pos="1164"/>
        </w:tabs>
        <w:spacing w:before="43" w:line="360" w:lineRule="auto"/>
        <w:ind w:right="305"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供应商应用人民币报价。报价产品如果是进口产品的，应提供人民币与美元之间的汇率；报价单位为“元”。</w:t>
      </w:r>
    </w:p>
    <w:p w14:paraId="65A052D4">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磋商响应文件应字迹清楚、内容齐全、不得涂改。如有修改，修改处须有供应商公章或磋商专</w:t>
      </w:r>
      <w:r>
        <w:rPr>
          <w:rFonts w:hint="eastAsia" w:ascii="华文仿宋" w:hAnsi="华文仿宋" w:eastAsia="华文仿宋" w:cs="仿宋"/>
          <w:color w:val="000000" w:themeColor="text1"/>
          <w:spacing w:val="-4"/>
          <w:sz w:val="21"/>
          <w:highlight w:val="none"/>
          <w14:textFill>
            <w14:solidFill>
              <w14:schemeClr w14:val="tx1"/>
            </w14:solidFill>
          </w14:textFill>
        </w:rPr>
        <w:t>用章和法定代表人或其授权磋商代表签字。</w:t>
      </w:r>
    </w:p>
    <w:p w14:paraId="5FFF5A38">
      <w:pPr>
        <w:pStyle w:val="17"/>
        <w:numPr>
          <w:ilvl w:val="1"/>
          <w:numId w:val="4"/>
        </w:numPr>
        <w:tabs>
          <w:tab w:val="left" w:pos="1216"/>
        </w:tabs>
        <w:spacing w:line="360" w:lineRule="auto"/>
        <w:ind w:right="307"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磋商响应文件应按照竞争性磋商文件规定的顺序，统一用</w:t>
      </w:r>
      <w:r>
        <w:rPr>
          <w:rFonts w:hint="eastAsia" w:ascii="华文仿宋" w:hAnsi="华文仿宋" w:eastAsia="华文仿宋" w:cs="仿宋"/>
          <w:color w:val="000000" w:themeColor="text1"/>
          <w:w w:val="95"/>
          <w:sz w:val="21"/>
          <w:highlight w:val="none"/>
          <w14:textFill>
            <w14:solidFill>
              <w14:schemeClr w14:val="tx1"/>
            </w14:solidFill>
          </w14:textFill>
        </w:rPr>
        <w:t>A4</w:t>
      </w:r>
      <w:r>
        <w:rPr>
          <w:rFonts w:hint="eastAsia" w:ascii="华文仿宋" w:hAnsi="华文仿宋" w:eastAsia="华文仿宋" w:cs="仿宋"/>
          <w:color w:val="000000" w:themeColor="text1"/>
          <w:spacing w:val="-6"/>
          <w:w w:val="95"/>
          <w:sz w:val="21"/>
          <w:highlight w:val="none"/>
          <w14:textFill>
            <w14:solidFill>
              <w14:schemeClr w14:val="tx1"/>
            </w14:solidFill>
          </w14:textFill>
        </w:rPr>
        <w:t>规格幅面打印、装订成册并编制目</w:t>
      </w:r>
      <w:r>
        <w:rPr>
          <w:rFonts w:hint="eastAsia" w:ascii="华文仿宋" w:hAnsi="华文仿宋" w:eastAsia="华文仿宋" w:cs="仿宋"/>
          <w:color w:val="000000" w:themeColor="text1"/>
          <w:spacing w:val="-6"/>
          <w:sz w:val="21"/>
          <w:highlight w:val="none"/>
          <w14:textFill>
            <w14:solidFill>
              <w14:schemeClr w14:val="tx1"/>
            </w14:solidFill>
          </w14:textFill>
        </w:rPr>
        <w:t>录，由于编排混乱导致磋商响应文件被误读或查找不到，责任由供应商承担。</w:t>
      </w:r>
    </w:p>
    <w:p w14:paraId="6E875E7F">
      <w:pPr>
        <w:pStyle w:val="17"/>
        <w:numPr>
          <w:ilvl w:val="1"/>
          <w:numId w:val="4"/>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5"/>
          <w:sz w:val="21"/>
          <w:highlight w:val="none"/>
          <w14:textFill>
            <w14:solidFill>
              <w14:schemeClr w14:val="tx1"/>
            </w14:solidFill>
          </w14:textFill>
        </w:rPr>
        <w:t>供应商应在磋商响应文件中写清相应的项目编号、项目名称、供应商全称、地址、电话、传真</w:t>
      </w:r>
    </w:p>
    <w:p w14:paraId="489E830E">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等。</w:t>
      </w:r>
    </w:p>
    <w:p w14:paraId="6E26C585">
      <w:pPr>
        <w:pStyle w:val="17"/>
        <w:numPr>
          <w:ilvl w:val="0"/>
          <w:numId w:val="4"/>
        </w:numPr>
        <w:tabs>
          <w:tab w:val="left" w:pos="996"/>
        </w:tabs>
        <w:spacing w:before="43" w:line="360" w:lineRule="auto"/>
        <w:ind w:left="995" w:hanging="253"/>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响应性文件的组成</w:t>
      </w:r>
    </w:p>
    <w:p w14:paraId="0FE92970">
      <w:pPr>
        <w:pStyle w:val="17"/>
        <w:numPr>
          <w:ilvl w:val="1"/>
          <w:numId w:val="4"/>
        </w:numPr>
        <w:tabs>
          <w:tab w:val="left" w:pos="1209"/>
        </w:tabs>
        <w:spacing w:before="43" w:line="360" w:lineRule="auto"/>
        <w:ind w:left="1208" w:hanging="46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供应商应当根据竞争性磋商文件要求编制磋商响应文件，并根据自己的商务能力、技术水平对</w:t>
      </w:r>
    </w:p>
    <w:p w14:paraId="67255904">
      <w:pPr>
        <w:pStyle w:val="6"/>
        <w:spacing w:before="43"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竞争性磋商文件提出的要求和条件逐条标明是否响应。</w:t>
      </w:r>
    </w:p>
    <w:p w14:paraId="79641868">
      <w:pPr>
        <w:pStyle w:val="17"/>
        <w:numPr>
          <w:ilvl w:val="1"/>
          <w:numId w:val="4"/>
        </w:numPr>
        <w:tabs>
          <w:tab w:val="left" w:pos="1156"/>
        </w:tabs>
        <w:spacing w:before="43" w:line="360" w:lineRule="auto"/>
        <w:ind w:left="1156" w:hanging="41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磋商响应文件由商务部分、技术部分、价格部分，以及其他部分组成。</w:t>
      </w:r>
    </w:p>
    <w:p w14:paraId="77055BD3">
      <w:pPr>
        <w:pStyle w:val="17"/>
        <w:numPr>
          <w:ilvl w:val="0"/>
          <w:numId w:val="4"/>
        </w:numPr>
        <w:tabs>
          <w:tab w:val="left" w:pos="1012"/>
        </w:tabs>
        <w:spacing w:before="93" w:line="360" w:lineRule="auto"/>
        <w:ind w:left="323" w:right="208"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7"/>
          <w:sz w:val="21"/>
          <w:highlight w:val="none"/>
          <w14:textFill>
            <w14:solidFill>
              <w14:schemeClr w14:val="tx1"/>
            </w14:solidFill>
          </w14:textFill>
        </w:rPr>
        <w:t>响应性文件的商务部分</w:t>
      </w:r>
      <w:r>
        <w:rPr>
          <w:rFonts w:hint="eastAsia" w:ascii="华文仿宋" w:hAnsi="华文仿宋" w:eastAsia="华文仿宋" w:cs="仿宋"/>
          <w:color w:val="000000" w:themeColor="text1"/>
          <w:spacing w:val="15"/>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3"/>
          <w:sz w:val="21"/>
          <w:highlight w:val="none"/>
          <w14:textFill>
            <w14:solidFill>
              <w14:schemeClr w14:val="tx1"/>
            </w14:solidFill>
          </w14:textFill>
        </w:rPr>
        <w:t>商务部分是证明供应商有资格参加磋商和成交后有能力履行合同的文</w:t>
      </w:r>
      <w:r>
        <w:rPr>
          <w:rFonts w:hint="eastAsia" w:ascii="华文仿宋" w:hAnsi="华文仿宋" w:eastAsia="华文仿宋" w:cs="仿宋"/>
          <w:color w:val="000000" w:themeColor="text1"/>
          <w:spacing w:val="-13"/>
          <w:w w:val="95"/>
          <w:sz w:val="21"/>
          <w:highlight w:val="none"/>
          <w14:textFill>
            <w14:solidFill>
              <w14:schemeClr w14:val="tx1"/>
            </w14:solidFill>
          </w14:textFill>
        </w:rPr>
        <w:t>件，这些文件应能满足竞争性磋商采购的要求，包括但不限于下列文件，其中加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项目不得有缺失或无效。</w:t>
      </w:r>
    </w:p>
    <w:p w14:paraId="3700DA78">
      <w:pPr>
        <w:pStyle w:val="17"/>
        <w:numPr>
          <w:ilvl w:val="0"/>
          <w:numId w:val="7"/>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磋商申请及声明；</w:t>
      </w:r>
    </w:p>
    <w:p w14:paraId="46EF5BBA">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法定代表人授权委托书（或法人资格证明）及授权代表身份证复印件；</w:t>
      </w:r>
    </w:p>
    <w:p w14:paraId="4011DF2F">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4.1 规定的条件证明文件（复印件）并加盖公章；</w:t>
      </w:r>
    </w:p>
    <w:p w14:paraId="4447C83C">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4"/>
          <w:sz w:val="21"/>
          <w:highlight w:val="none"/>
          <w14:textFill>
            <w14:solidFill>
              <w14:schemeClr w14:val="tx1"/>
            </w14:solidFill>
          </w14:textFill>
        </w:rPr>
        <w:t xml:space="preserve">第二章 </w:t>
      </w:r>
      <w:r>
        <w:rPr>
          <w:rFonts w:hint="eastAsia" w:ascii="华文仿宋" w:hAnsi="华文仿宋" w:eastAsia="华文仿宋" w:cs="仿宋"/>
          <w:color w:val="000000" w:themeColor="text1"/>
          <w:sz w:val="21"/>
          <w:highlight w:val="none"/>
          <w14:textFill>
            <w14:solidFill>
              <w14:schemeClr w14:val="tx1"/>
            </w14:solidFill>
          </w14:textFill>
        </w:rPr>
        <w:t>4.2</w:t>
      </w:r>
      <w:r>
        <w:rPr>
          <w:rFonts w:hint="eastAsia" w:ascii="华文仿宋" w:hAnsi="华文仿宋" w:eastAsia="华文仿宋" w:cs="仿宋"/>
          <w:color w:val="000000" w:themeColor="text1"/>
          <w:spacing w:val="-1"/>
          <w:sz w:val="21"/>
          <w:highlight w:val="none"/>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采购人根据采购项目的特殊要求提出的特定条件证明文件；</w:t>
      </w:r>
    </w:p>
    <w:p w14:paraId="02DCFE44">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14:textFill>
            <w14:solidFill>
              <w14:schemeClr w14:val="tx1"/>
            </w14:solidFill>
          </w14:textFill>
        </w:rPr>
        <w:t>南京市政府采购供应商信用记录表暨信用承诺书；</w:t>
      </w:r>
    </w:p>
    <w:p w14:paraId="6A029CA7">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★《商务条款响应表》</w:t>
      </w:r>
    </w:p>
    <w:p w14:paraId="02C282B5">
      <w:pPr>
        <w:pStyle w:val="17"/>
        <w:numPr>
          <w:ilvl w:val="0"/>
          <w:numId w:val="7"/>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★《磋商报价汇总表》</w:t>
      </w:r>
    </w:p>
    <w:p w14:paraId="0D1AA833">
      <w:pPr>
        <w:pStyle w:val="17"/>
        <w:numPr>
          <w:ilvl w:val="0"/>
          <w:numId w:val="7"/>
        </w:numPr>
        <w:tabs>
          <w:tab w:val="left" w:pos="1270"/>
        </w:tabs>
        <w:spacing w:before="43" w:line="360" w:lineRule="auto"/>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《磋商分项报价表》</w:t>
      </w:r>
    </w:p>
    <w:p w14:paraId="6C57E8D1">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项目参与人员的职称等能力证书复印件；</w:t>
      </w:r>
    </w:p>
    <w:p w14:paraId="25FC3C87">
      <w:pPr>
        <w:pStyle w:val="17"/>
        <w:numPr>
          <w:ilvl w:val="0"/>
          <w:numId w:val="7"/>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经营业绩；</w:t>
      </w:r>
    </w:p>
    <w:p w14:paraId="34D4418B">
      <w:pPr>
        <w:pStyle w:val="17"/>
        <w:numPr>
          <w:ilvl w:val="0"/>
          <w:numId w:val="7"/>
        </w:numPr>
        <w:tabs>
          <w:tab w:val="left" w:pos="1374"/>
        </w:tabs>
        <w:spacing w:before="43" w:line="360" w:lineRule="auto"/>
        <w:ind w:left="1373" w:hanging="6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供应商认为需要提供的其他证明文件和商务资料。</w:t>
      </w:r>
    </w:p>
    <w:p w14:paraId="1219811D">
      <w:pPr>
        <w:pStyle w:val="17"/>
        <w:numPr>
          <w:ilvl w:val="0"/>
          <w:numId w:val="4"/>
        </w:numPr>
        <w:tabs>
          <w:tab w:val="left" w:pos="1008"/>
        </w:tabs>
        <w:spacing w:before="43"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报价部分</w:t>
      </w:r>
    </w:p>
    <w:p w14:paraId="2CB510B6">
      <w:pPr>
        <w:pStyle w:val="17"/>
        <w:numPr>
          <w:ilvl w:val="1"/>
          <w:numId w:val="4"/>
        </w:numPr>
        <w:tabs>
          <w:tab w:val="left" w:pos="1113"/>
        </w:tabs>
        <w:spacing w:before="43" w:line="360" w:lineRule="auto"/>
        <w:ind w:right="313" w:firstLine="420"/>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价格部分是对货物和服务价格构成的说明，竞争性磋商文件如没有特别说明的话，对每一项货物和服务仅接受一个价格。</w:t>
      </w:r>
    </w:p>
    <w:p w14:paraId="208E32B7">
      <w:pPr>
        <w:pStyle w:val="17"/>
        <w:numPr>
          <w:ilvl w:val="1"/>
          <w:numId w:val="4"/>
        </w:numPr>
        <w:tabs>
          <w:tab w:val="left" w:pos="1113"/>
        </w:tabs>
        <w:spacing w:line="360" w:lineRule="auto"/>
        <w:ind w:right="276"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投标报价：包括但不限于完成文件所确定</w:t>
      </w:r>
      <w:r>
        <w:rPr>
          <w:rFonts w:hint="eastAsia" w:ascii="华文仿宋" w:hAnsi="华文仿宋" w:eastAsia="华文仿宋" w:cs="仿宋"/>
          <w:color w:val="000000" w:themeColor="text1"/>
          <w:spacing w:val="-3"/>
          <w:w w:val="95"/>
          <w:sz w:val="21"/>
          <w:highlight w:val="none"/>
          <w14:textFill>
            <w14:solidFill>
              <w14:schemeClr w14:val="tx1"/>
            </w14:solidFill>
          </w14:textFill>
        </w:rPr>
        <w:t>的服务范围所需的全部费用，及其相应税费、政策性文件规定及实施过程中所有风险、责任等各项应有</w:t>
      </w:r>
      <w:r>
        <w:rPr>
          <w:rFonts w:hint="eastAsia" w:ascii="华文仿宋" w:hAnsi="华文仿宋" w:eastAsia="华文仿宋" w:cs="仿宋"/>
          <w:color w:val="000000" w:themeColor="text1"/>
          <w:spacing w:val="-3"/>
          <w:sz w:val="21"/>
          <w:highlight w:val="none"/>
          <w14:textFill>
            <w14:solidFill>
              <w14:schemeClr w14:val="tx1"/>
            </w14:solidFill>
          </w14:textFill>
        </w:rPr>
        <w:t>费用，不论其在采购文件中是否有提及。投标供应商应根据上述因素自行考虑含入投标报价。</w:t>
      </w:r>
    </w:p>
    <w:p w14:paraId="2C7F9616">
      <w:pPr>
        <w:pStyle w:val="17"/>
        <w:numPr>
          <w:ilvl w:val="1"/>
          <w:numId w:val="4"/>
        </w:numPr>
        <w:tabs>
          <w:tab w:val="left" w:pos="1164"/>
        </w:tabs>
        <w:spacing w:line="360" w:lineRule="auto"/>
        <w:ind w:left="1163" w:hanging="421"/>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供应商应在《磋商报价汇总表》、《磋商分项报价表》等中标明拟提供货物和服务的单价、总</w:t>
      </w:r>
    </w:p>
    <w:p w14:paraId="57834513">
      <w:pPr>
        <w:pStyle w:val="6"/>
        <w:spacing w:before="4" w:line="360" w:lineRule="auto"/>
        <w:ind w:left="32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价以及分项报价。</w:t>
      </w:r>
    </w:p>
    <w:p w14:paraId="0A78CEB5">
      <w:pPr>
        <w:pStyle w:val="17"/>
        <w:numPr>
          <w:ilvl w:val="1"/>
          <w:numId w:val="4"/>
        </w:numPr>
        <w:tabs>
          <w:tab w:val="left" w:pos="1164"/>
        </w:tabs>
        <w:spacing w:before="2"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供应商应仔细阅读和理解磋商文件中有关项目需求、义务、付款方式、付款条件和时间进度安</w:t>
      </w:r>
      <w:r>
        <w:rPr>
          <w:rFonts w:hint="eastAsia" w:ascii="华文仿宋" w:hAnsi="华文仿宋" w:eastAsia="华文仿宋" w:cs="仿宋"/>
          <w:color w:val="000000" w:themeColor="text1"/>
          <w:spacing w:val="-3"/>
          <w:w w:val="95"/>
          <w:sz w:val="21"/>
          <w:highlight w:val="none"/>
          <w14:textFill>
            <w14:solidFill>
              <w14:schemeClr w14:val="tx1"/>
            </w14:solidFill>
          </w14:textFill>
        </w:rPr>
        <w:t>排，充分考虑到市场价格变动以及项目实施过程中的不可预见因素，结合企业自身条件进行报价。</w:t>
      </w:r>
    </w:p>
    <w:p w14:paraId="29679871">
      <w:pPr>
        <w:pStyle w:val="17"/>
        <w:numPr>
          <w:ilvl w:val="1"/>
          <w:numId w:val="4"/>
        </w:numPr>
        <w:tabs>
          <w:tab w:val="left" w:pos="1216"/>
        </w:tabs>
        <w:spacing w:before="1" w:line="360" w:lineRule="auto"/>
        <w:ind w:left="1216"/>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 xml:space="preserve"> </w:t>
      </w:r>
      <w:r>
        <w:rPr>
          <w:rFonts w:hint="eastAsia" w:ascii="华文仿宋" w:hAnsi="华文仿宋" w:eastAsia="华文仿宋" w:cs="仿宋"/>
          <w:color w:val="000000" w:themeColor="text1"/>
          <w:sz w:val="21"/>
          <w:highlight w:val="none"/>
          <w14:textFill>
            <w14:solidFill>
              <w14:schemeClr w14:val="tx1"/>
            </w14:solidFill>
          </w14:textFill>
        </w:rPr>
        <w:t>经磋商后，如果成交价高于或低于供应商在磋商响应文件报价的话，分项报价同比例调整。</w:t>
      </w:r>
    </w:p>
    <w:p w14:paraId="2A48AAF9">
      <w:pPr>
        <w:pStyle w:val="17"/>
        <w:numPr>
          <w:ilvl w:val="1"/>
          <w:numId w:val="4"/>
        </w:numPr>
        <w:tabs>
          <w:tab w:val="left" w:pos="1164"/>
        </w:tabs>
        <w:spacing w:before="5" w:line="360" w:lineRule="auto"/>
        <w:ind w:right="31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报价表必须由供应商法人代表或委托授权人签字、或加盖单位公章。如有优惠条款，请单独列明，但不得影响报价，影响货物或服务整体功能。</w:t>
      </w:r>
    </w:p>
    <w:p w14:paraId="1D754B13">
      <w:pPr>
        <w:pStyle w:val="17"/>
        <w:numPr>
          <w:ilvl w:val="1"/>
          <w:numId w:val="4"/>
        </w:numPr>
        <w:tabs>
          <w:tab w:val="left" w:pos="1216"/>
        </w:tabs>
        <w:spacing w:before="1" w:line="360" w:lineRule="auto"/>
        <w:ind w:right="173"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9"/>
          <w:w w:val="95"/>
          <w:sz w:val="21"/>
          <w:highlight w:val="none"/>
          <w14:textFill>
            <w14:solidFill>
              <w14:schemeClr w14:val="tx1"/>
            </w14:solidFill>
          </w14:textFill>
        </w:rPr>
        <w:t>提倡公平竞争，反对低于成本、串通报价、哄抬价格等恶意竞争行为，任何盲目压价、</w:t>
      </w:r>
      <w:r>
        <w:rPr>
          <w:rFonts w:hint="eastAsia" w:ascii="华文仿宋" w:hAnsi="华文仿宋" w:eastAsia="华文仿宋" w:cs="仿宋"/>
          <w:color w:val="000000" w:themeColor="text1"/>
          <w:spacing w:val="-9"/>
          <w:sz w:val="21"/>
          <w:highlight w:val="none"/>
          <w14:textFill>
            <w14:solidFill>
              <w14:schemeClr w14:val="tx1"/>
            </w14:solidFill>
          </w14:textFill>
        </w:rPr>
        <w:t>低于成本报价、串通哄抬报价等价格将会被拒绝。报价应低于市场平均价。</w:t>
      </w:r>
    </w:p>
    <w:p w14:paraId="318CFBCC">
      <w:pPr>
        <w:pStyle w:val="17"/>
        <w:numPr>
          <w:ilvl w:val="0"/>
          <w:numId w:val="4"/>
        </w:numPr>
        <w:tabs>
          <w:tab w:val="left" w:pos="1008"/>
        </w:tabs>
        <w:spacing w:before="15" w:line="360" w:lineRule="auto"/>
        <w:ind w:left="323" w:right="308" w:firstLine="42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b/>
          <w:color w:val="000000" w:themeColor="text1"/>
          <w:spacing w:val="1"/>
          <w:sz w:val="21"/>
          <w:highlight w:val="none"/>
          <w14:textFill>
            <w14:solidFill>
              <w14:schemeClr w14:val="tx1"/>
            </w14:solidFill>
          </w14:textFill>
        </w:rPr>
        <w:t>技术部分</w:t>
      </w:r>
      <w:r>
        <w:rPr>
          <w:rFonts w:hint="eastAsia" w:ascii="华文仿宋" w:hAnsi="华文仿宋" w:eastAsia="华文仿宋" w:cs="仿宋"/>
          <w:b/>
          <w:color w:val="000000" w:themeColor="text1"/>
          <w:sz w:val="21"/>
          <w:highlight w:val="none"/>
          <w14:textFill>
            <w14:solidFill>
              <w14:schemeClr w14:val="tx1"/>
            </w14:solidFill>
          </w14:textFill>
        </w:rPr>
        <w:t>.</w:t>
      </w:r>
    </w:p>
    <w:p w14:paraId="003CB97E">
      <w:pPr>
        <w:pStyle w:val="17"/>
        <w:tabs>
          <w:tab w:val="left" w:pos="1008"/>
        </w:tabs>
        <w:spacing w:before="15" w:line="360" w:lineRule="auto"/>
        <w:ind w:left="743" w:right="308" w:firstLineChars="200"/>
        <w:jc w:val="both"/>
        <w:rPr>
          <w:rFonts w:hint="eastAsia" w:ascii="华文仿宋" w:hAnsi="华文仿宋" w:eastAsia="华文仿宋" w:cs="仿宋"/>
          <w:color w:val="000000" w:themeColor="text1"/>
          <w:sz w:val="19"/>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华文仿宋" w:hAnsi="华文仿宋" w:eastAsia="华文仿宋" w:cs="仿宋"/>
          <w:color w:val="000000" w:themeColor="text1"/>
          <w:spacing w:val="-5"/>
          <w:w w:val="95"/>
          <w:sz w:val="21"/>
          <w:highlight w:val="none"/>
          <w14:textFill>
            <w14:solidFill>
              <w14:schemeClr w14:val="tx1"/>
            </w14:solidFill>
          </w14:textFill>
        </w:rPr>
        <w:t>争性磋商文件要求有不符之处，应说明其差别之所在。包括但不限于下列文件，其中加</w:t>
      </w:r>
      <w:r>
        <w:rPr>
          <w:rFonts w:hint="eastAsia" w:ascii="华文仿宋" w:hAnsi="华文仿宋" w:eastAsia="华文仿宋" w:cs="仿宋"/>
          <w:b/>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项目不得有缺失</w:t>
      </w:r>
      <w:r>
        <w:rPr>
          <w:rFonts w:hint="eastAsia" w:ascii="华文仿宋" w:hAnsi="华文仿宋" w:eastAsia="华文仿宋" w:cs="仿宋"/>
          <w:color w:val="000000" w:themeColor="text1"/>
          <w:sz w:val="21"/>
          <w:highlight w:val="none"/>
          <w14:textFill>
            <w14:solidFill>
              <w14:schemeClr w14:val="tx1"/>
            </w14:solidFill>
          </w14:textFill>
        </w:rPr>
        <w:t>或无效。</w:t>
      </w:r>
    </w:p>
    <w:p w14:paraId="0BC6D7B1">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（1）★《技术条款偏离表》</w:t>
      </w:r>
    </w:p>
    <w:p w14:paraId="66A7DB49">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（2）★项目实</w:t>
      </w:r>
      <w:r>
        <w:rPr>
          <w:rFonts w:hint="eastAsia" w:ascii="华文仿宋" w:hAnsi="华文仿宋" w:eastAsia="华文仿宋" w:cs="仿宋"/>
          <w:color w:val="000000" w:themeColor="text1"/>
          <w:sz w:val="21"/>
          <w:highlight w:val="none"/>
          <w14:textFill>
            <w14:solidFill>
              <w14:schemeClr w14:val="tx1"/>
            </w14:solidFill>
          </w14:textFill>
        </w:rPr>
        <w:t>施方案；</w:t>
      </w:r>
    </w:p>
    <w:p w14:paraId="7E118C96">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lang w:val="en-US"/>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（3）★项目组成员一览表；</w:t>
      </w:r>
    </w:p>
    <w:p w14:paraId="400416DE">
      <w:pPr>
        <w:pStyle w:val="17"/>
        <w:tabs>
          <w:tab w:val="left" w:pos="1270"/>
        </w:tabs>
        <w:spacing w:before="43" w:line="360" w:lineRule="auto"/>
        <w:ind w:left="743" w:right="4426" w:firstLine="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lang w:val="en-US"/>
          <w14:textFill>
            <w14:solidFill>
              <w14:schemeClr w14:val="tx1"/>
            </w14:solidFill>
          </w14:textFill>
        </w:rPr>
        <w:t>（4）★质量保</w:t>
      </w:r>
      <w:r>
        <w:rPr>
          <w:rFonts w:hint="eastAsia" w:ascii="华文仿宋" w:hAnsi="华文仿宋" w:eastAsia="华文仿宋" w:cs="仿宋"/>
          <w:color w:val="000000" w:themeColor="text1"/>
          <w:sz w:val="21"/>
          <w:highlight w:val="none"/>
          <w14:textFill>
            <w14:solidFill>
              <w14:schemeClr w14:val="tx1"/>
            </w14:solidFill>
          </w14:textFill>
        </w:rPr>
        <w:t>证及服务承诺；</w:t>
      </w:r>
    </w:p>
    <w:p w14:paraId="741EEF3A">
      <w:pPr>
        <w:pStyle w:val="17"/>
        <w:tabs>
          <w:tab w:val="left" w:pos="1270"/>
        </w:tabs>
        <w:spacing w:before="43" w:line="360" w:lineRule="auto"/>
        <w:ind w:left="743" w:right="4426" w:firstLine="0"/>
        <w:rPr>
          <w:rFonts w:hint="eastAsia" w:ascii="华文仿宋" w:hAnsi="华文仿宋" w:eastAsia="华文仿宋" w:cs="仿宋"/>
          <w:color w:val="000000" w:themeColor="text1"/>
          <w:w w:val="95"/>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lang w:val="en-US"/>
          <w14:textFill>
            <w14:solidFill>
              <w14:schemeClr w14:val="tx1"/>
            </w14:solidFill>
          </w14:textFill>
        </w:rPr>
        <w:t>5）</w:t>
      </w: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供应商认为需要提供的其他技术文件或资料等。 </w:t>
      </w:r>
      <w:bookmarkStart w:id="49" w:name="三、响应性文件递交"/>
      <w:bookmarkEnd w:id="49"/>
    </w:p>
    <w:p w14:paraId="5CB4935E">
      <w:pPr>
        <w:pStyle w:val="17"/>
        <w:tabs>
          <w:tab w:val="left" w:pos="1270"/>
        </w:tabs>
        <w:spacing w:before="43" w:line="360" w:lineRule="auto"/>
        <w:ind w:left="743" w:right="4426" w:firstLine="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0" w:name="_Toc13442"/>
      <w:r>
        <w:rPr>
          <w:rFonts w:hint="eastAsia" w:ascii="华文仿宋" w:hAnsi="华文仿宋" w:eastAsia="华文仿宋" w:cs="仿宋"/>
          <w:b/>
          <w:color w:val="000000" w:themeColor="text1"/>
          <w:sz w:val="21"/>
          <w:highlight w:val="none"/>
          <w14:textFill>
            <w14:solidFill>
              <w14:schemeClr w14:val="tx1"/>
            </w14:solidFill>
          </w14:textFill>
        </w:rPr>
        <w:t>三、响应性文件递交</w:t>
      </w:r>
      <w:bookmarkEnd w:id="50"/>
    </w:p>
    <w:p w14:paraId="0DA0E3FE">
      <w:pPr>
        <w:pStyle w:val="17"/>
        <w:numPr>
          <w:ilvl w:val="0"/>
          <w:numId w:val="4"/>
        </w:numPr>
        <w:tabs>
          <w:tab w:val="left" w:pos="1111"/>
        </w:tabs>
        <w:spacing w:line="360" w:lineRule="auto"/>
        <w:ind w:left="1110" w:hanging="368"/>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响应性文件应于规定时间内递交至代理机构指定的地点。</w:t>
      </w:r>
    </w:p>
    <w:p w14:paraId="60BF611D">
      <w:pPr>
        <w:pStyle w:val="17"/>
        <w:numPr>
          <w:ilvl w:val="0"/>
          <w:numId w:val="4"/>
        </w:numPr>
        <w:tabs>
          <w:tab w:val="left" w:pos="1113"/>
        </w:tabs>
        <w:spacing w:before="43" w:line="360" w:lineRule="auto"/>
        <w:ind w:left="323" w:right="313" w:firstLine="420"/>
        <w:rPr>
          <w:rFonts w:hint="eastAsia" w:ascii="华文仿宋" w:hAnsi="华文仿宋" w:eastAsia="华文仿宋"/>
          <w:b/>
          <w:bCs/>
          <w:highlight w:val="none"/>
        </w:rPr>
      </w:pPr>
      <w:r>
        <w:rPr>
          <w:rFonts w:hint="eastAsia" w:ascii="华文仿宋" w:hAnsi="华文仿宋" w:eastAsia="华文仿宋" w:cs="仿宋"/>
          <w:b/>
          <w:bCs/>
          <w:color w:val="000000" w:themeColor="text1"/>
          <w:sz w:val="21"/>
          <w:highlight w:val="none"/>
          <w:lang w:val="en-US"/>
          <w14:textFill>
            <w14:solidFill>
              <w14:schemeClr w14:val="tx1"/>
            </w14:solidFill>
          </w14:textFill>
        </w:rPr>
        <w:t>★响应性文件须胶装成册，密封封装，密封处须加盖公章，封面注明项目编号、项目名称、供应商名称等信息。响应性文件须法人代表或授权代表签署，电子件与纸质文件一同密封。</w:t>
      </w:r>
    </w:p>
    <w:p w14:paraId="501CEB1D">
      <w:pPr>
        <w:pStyle w:val="17"/>
        <w:numPr>
          <w:ilvl w:val="0"/>
          <w:numId w:val="4"/>
        </w:numPr>
        <w:tabs>
          <w:tab w:val="left" w:pos="1113"/>
        </w:tabs>
        <w:spacing w:before="43" w:line="360" w:lineRule="auto"/>
        <w:ind w:left="323" w:right="313" w:firstLine="420"/>
        <w:rPr>
          <w:rFonts w:hint="eastAsia" w:ascii="华文仿宋" w:hAnsi="华文仿宋" w:eastAsia="华文仿宋" w:cs="仿宋"/>
          <w:b/>
          <w:bCs/>
          <w:sz w:val="21"/>
          <w:szCs w:val="21"/>
          <w:highlight w:val="none"/>
        </w:rPr>
      </w:pPr>
      <w:r>
        <w:rPr>
          <w:rFonts w:hint="eastAsia" w:ascii="华文仿宋" w:hAnsi="华文仿宋" w:eastAsia="华文仿宋" w:cs="仿宋"/>
          <w:b/>
          <w:bCs/>
          <w:spacing w:val="-10"/>
          <w:sz w:val="21"/>
          <w:szCs w:val="21"/>
          <w:highlight w:val="none"/>
          <w:lang w:val="en-US"/>
        </w:rPr>
        <w:t>★盖章和签字要求：</w:t>
      </w:r>
    </w:p>
    <w:p w14:paraId="7123D683">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竞争性磋商响应文件封面；</w:t>
      </w:r>
    </w:p>
    <w:p w14:paraId="42659A34">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响应文件格式中要求盖章或签字的，则必须盖章或签字</w:t>
      </w:r>
      <w:r>
        <w:rPr>
          <w:rFonts w:hint="eastAsia" w:ascii="华文仿宋" w:hAnsi="华文仿宋" w:eastAsia="华文仿宋" w:cs="仿宋"/>
          <w:color w:val="000000" w:themeColor="text1"/>
          <w:sz w:val="21"/>
          <w:szCs w:val="21"/>
          <w:highlight w:val="none"/>
          <w:lang w:val="en-US"/>
          <w14:textFill>
            <w14:solidFill>
              <w14:schemeClr w14:val="tx1"/>
            </w14:solidFill>
          </w14:textFill>
        </w:rPr>
        <w:t>；</w:t>
      </w:r>
    </w:p>
    <w:p w14:paraId="1799D5E0">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所有证明性材料；</w:t>
      </w:r>
    </w:p>
    <w:p w14:paraId="2B4358E8">
      <w:pPr>
        <w:pStyle w:val="17"/>
        <w:numPr>
          <w:ilvl w:val="0"/>
          <w:numId w:val="8"/>
        </w:numPr>
        <w:tabs>
          <w:tab w:val="left" w:pos="960"/>
        </w:tabs>
        <w:spacing w:before="43" w:line="360" w:lineRule="auto"/>
        <w:ind w:right="148"/>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color w:val="000000" w:themeColor="text1"/>
          <w:sz w:val="21"/>
          <w:szCs w:val="21"/>
          <w:highlight w:val="none"/>
          <w:lang w:val="en-US"/>
          <w14:textFill>
            <w14:solidFill>
              <w14:schemeClr w14:val="tx1"/>
            </w14:solidFill>
          </w14:textFill>
        </w:rPr>
        <w:t>报价汇总表及分项报价表（如有）；</w:t>
      </w:r>
    </w:p>
    <w:p w14:paraId="61EFE479">
      <w:pPr>
        <w:pStyle w:val="17"/>
        <w:tabs>
          <w:tab w:val="left" w:pos="960"/>
        </w:tabs>
        <w:spacing w:before="43" w:line="360" w:lineRule="auto"/>
        <w:ind w:left="1023" w:right="148" w:firstLine="0"/>
        <w:rPr>
          <w:rFonts w:hint="eastAsia" w:ascii="华文仿宋" w:hAnsi="华文仿宋" w:eastAsia="华文仿宋" w:cs="仿宋"/>
          <w:spacing w:val="-10"/>
          <w:sz w:val="21"/>
          <w:szCs w:val="21"/>
          <w:highlight w:val="none"/>
          <w:lang w:val="en-US"/>
        </w:rPr>
      </w:pPr>
      <w:r>
        <w:rPr>
          <w:rFonts w:hint="eastAsia" w:ascii="华文仿宋" w:hAnsi="华文仿宋" w:eastAsia="华文仿宋" w:cs="仿宋"/>
          <w:spacing w:val="-10"/>
          <w:sz w:val="21"/>
          <w:szCs w:val="21"/>
          <w:highlight w:val="none"/>
          <w:lang w:val="en-US"/>
        </w:rPr>
        <w:t>注：供应商响应文件中使用的章仅能使用与供应商名称一致的标准公章，不得使用其他形式（如带有“专用章”、“合同章”、“财务章”、“业务章”等字样）的印章；否则，按无效投标处理。</w:t>
      </w:r>
    </w:p>
    <w:p w14:paraId="22C2B585">
      <w:pPr>
        <w:pStyle w:val="17"/>
        <w:numPr>
          <w:ilvl w:val="0"/>
          <w:numId w:val="4"/>
        </w:numPr>
        <w:tabs>
          <w:tab w:val="left" w:pos="1008"/>
        </w:tabs>
        <w:spacing w:line="360" w:lineRule="auto"/>
        <w:ind w:left="1007" w:hanging="265"/>
        <w:rPr>
          <w:rFonts w:hint="eastAsia" w:ascii="华文仿宋" w:hAnsi="华文仿宋" w:eastAsia="华文仿宋" w:cs="仿宋"/>
          <w:b/>
          <w:color w:val="000000" w:themeColor="text1"/>
          <w:sz w:val="19"/>
          <w:highlight w:val="none"/>
          <w14:textFill>
            <w14:solidFill>
              <w14:schemeClr w14:val="tx1"/>
            </w14:solidFill>
          </w14:textFill>
        </w:rPr>
      </w:pPr>
      <w:r>
        <w:rPr>
          <w:rFonts w:hint="eastAsia" w:ascii="华文仿宋" w:hAnsi="华文仿宋" w:eastAsia="华文仿宋" w:cs="仿宋"/>
          <w:b/>
          <w:bCs/>
          <w:spacing w:val="-10"/>
          <w:sz w:val="21"/>
          <w:szCs w:val="21"/>
          <w:highlight w:val="none"/>
          <w:lang w:val="en-US"/>
        </w:rPr>
        <w:t>★</w:t>
      </w:r>
      <w:r>
        <w:rPr>
          <w:rFonts w:hint="eastAsia" w:ascii="华文仿宋" w:hAnsi="华文仿宋" w:eastAsia="华文仿宋" w:cs="仿宋"/>
          <w:b/>
          <w:color w:val="000000" w:themeColor="text1"/>
          <w:sz w:val="21"/>
          <w:highlight w:val="none"/>
          <w14:textFill>
            <w14:solidFill>
              <w14:schemeClr w14:val="tx1"/>
            </w14:solidFill>
          </w14:textFill>
        </w:rPr>
        <w:t>有下列情形之一的磋商响应文件将拒收：</w:t>
      </w:r>
    </w:p>
    <w:p w14:paraId="35175F73">
      <w:pPr>
        <w:pStyle w:val="17"/>
        <w:tabs>
          <w:tab w:val="left" w:pos="1270"/>
        </w:tabs>
        <w:spacing w:before="43" w:line="360" w:lineRule="auto"/>
        <w:ind w:left="743" w:firstLine="0"/>
        <w:rPr>
          <w:rFonts w:hint="eastAsia" w:ascii="华文仿宋" w:hAnsi="华文仿宋" w:eastAsia="华文仿宋" w:cs="仿宋"/>
          <w:color w:val="000000" w:themeColor="text1"/>
          <w:sz w:val="21"/>
          <w:highlight w:val="none"/>
          <w:lang w:val="en-US"/>
          <w14:textFill>
            <w14:solidFill>
              <w14:schemeClr w14:val="tx1"/>
            </w14:solidFill>
          </w14:textFill>
        </w:rPr>
      </w:pPr>
      <w:r>
        <w:rPr>
          <w:rFonts w:hint="eastAsia" w:ascii="华文仿宋" w:hAnsi="华文仿宋" w:eastAsia="华文仿宋" w:cs="仿宋"/>
          <w:color w:val="000000" w:themeColor="text1"/>
          <w:sz w:val="21"/>
          <w:highlight w:val="none"/>
          <w:lang w:val="en-US"/>
          <w14:textFill>
            <w14:solidFill>
              <w14:schemeClr w14:val="tx1"/>
            </w14:solidFill>
          </w14:textFill>
        </w:rPr>
        <w:t>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3D7238F">
      <w:pPr>
        <w:pStyle w:val="17"/>
        <w:numPr>
          <w:ilvl w:val="0"/>
          <w:numId w:val="4"/>
        </w:numPr>
        <w:tabs>
          <w:tab w:val="left" w:pos="1111"/>
        </w:tabs>
        <w:spacing w:before="42" w:line="360" w:lineRule="auto"/>
        <w:ind w:left="1110" w:hanging="3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诚实信用</w:t>
      </w:r>
    </w:p>
    <w:p w14:paraId="33346A55">
      <w:pPr>
        <w:pStyle w:val="17"/>
        <w:numPr>
          <w:ilvl w:val="1"/>
          <w:numId w:val="4"/>
        </w:numPr>
        <w:tabs>
          <w:tab w:val="left" w:pos="1216"/>
        </w:tabs>
        <w:spacing w:before="93"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供应商之间不得相互串通报价，不得妨碍其他供应商的公平竞争，不得损害采购人或者其他供</w:t>
      </w:r>
      <w:r>
        <w:rPr>
          <w:rFonts w:hint="eastAsia" w:ascii="华文仿宋" w:hAnsi="华文仿宋" w:eastAsia="华文仿宋" w:cs="仿宋"/>
          <w:color w:val="000000" w:themeColor="text1"/>
          <w:spacing w:val="-3"/>
          <w:sz w:val="21"/>
          <w:highlight w:val="none"/>
          <w14:textFill>
            <w14:solidFill>
              <w14:schemeClr w14:val="tx1"/>
            </w14:solidFill>
          </w14:textFill>
        </w:rPr>
        <w:t>应商的合法权益。</w:t>
      </w:r>
    </w:p>
    <w:p w14:paraId="12BF2036">
      <w:pPr>
        <w:pStyle w:val="17"/>
        <w:numPr>
          <w:ilvl w:val="1"/>
          <w:numId w:val="4"/>
        </w:numPr>
        <w:tabs>
          <w:tab w:val="left" w:pos="1216"/>
        </w:tabs>
        <w:spacing w:line="360" w:lineRule="auto"/>
        <w:ind w:left="743" w:right="490" w:firstLine="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 xml:space="preserve">供应商不得以向代理机构工作人员、磋商小组成员行贿或者采取其他不正当手段谋取成交。   </w:t>
      </w:r>
      <w:bookmarkStart w:id="51" w:name="四、磋商"/>
      <w:bookmarkEnd w:id="51"/>
    </w:p>
    <w:p w14:paraId="065CF993">
      <w:pPr>
        <w:pStyle w:val="17"/>
        <w:numPr>
          <w:ilvl w:val="0"/>
          <w:numId w:val="0"/>
        </w:numPr>
        <w:tabs>
          <w:tab w:val="left" w:pos="1216"/>
        </w:tabs>
        <w:spacing w:line="360" w:lineRule="auto"/>
        <w:ind w:left="743" w:leftChars="0" w:right="490" w:rightChars="0"/>
        <w:outlineLvl w:val="1"/>
        <w:rPr>
          <w:rFonts w:hint="eastAsia" w:ascii="华文仿宋" w:hAnsi="华文仿宋" w:eastAsia="华文仿宋" w:cs="仿宋"/>
          <w:b/>
          <w:color w:val="000000" w:themeColor="text1"/>
          <w:sz w:val="21"/>
          <w:highlight w:val="none"/>
          <w14:textFill>
            <w14:solidFill>
              <w14:schemeClr w14:val="tx1"/>
            </w14:solidFill>
          </w14:textFill>
        </w:rPr>
      </w:pPr>
      <w:bookmarkStart w:id="52" w:name="_Toc784"/>
      <w:r>
        <w:rPr>
          <w:rFonts w:hint="eastAsia" w:ascii="华文仿宋" w:hAnsi="华文仿宋" w:eastAsia="华文仿宋" w:cs="仿宋"/>
          <w:b/>
          <w:color w:val="000000" w:themeColor="text1"/>
          <w:sz w:val="21"/>
          <w:highlight w:val="none"/>
          <w14:textFill>
            <w14:solidFill>
              <w14:schemeClr w14:val="tx1"/>
            </w14:solidFill>
          </w14:textFill>
        </w:rPr>
        <w:t>四、磋商</w:t>
      </w:r>
      <w:bookmarkEnd w:id="52"/>
    </w:p>
    <w:p w14:paraId="24E2D7AF">
      <w:pPr>
        <w:spacing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19、磋商组织</w:t>
      </w:r>
    </w:p>
    <w:p w14:paraId="206D772B">
      <w:pPr>
        <w:pStyle w:val="17"/>
        <w:numPr>
          <w:ilvl w:val="1"/>
          <w:numId w:val="9"/>
        </w:numPr>
        <w:tabs>
          <w:tab w:val="left" w:pos="1216"/>
        </w:tabs>
        <w:spacing w:before="4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在递交磋商响应文件时间截止后，代理机构在规定的时间和地点组织磋商小组分别与供应商进</w:t>
      </w:r>
      <w:r>
        <w:rPr>
          <w:rFonts w:hint="eastAsia" w:ascii="华文仿宋" w:hAnsi="华文仿宋" w:eastAsia="华文仿宋" w:cs="仿宋"/>
          <w:color w:val="000000" w:themeColor="text1"/>
          <w:spacing w:val="-3"/>
          <w:sz w:val="21"/>
          <w:highlight w:val="none"/>
          <w14:textFill>
            <w14:solidFill>
              <w14:schemeClr w14:val="tx1"/>
            </w14:solidFill>
          </w14:textFill>
        </w:rPr>
        <w:t>行磋商。</w:t>
      </w:r>
    </w:p>
    <w:p w14:paraId="50E269E0">
      <w:pPr>
        <w:pStyle w:val="17"/>
        <w:numPr>
          <w:ilvl w:val="1"/>
          <w:numId w:val="9"/>
        </w:numPr>
        <w:tabs>
          <w:tab w:val="left" w:pos="1216"/>
        </w:tabs>
        <w:spacing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磋商工作由代理机构负责组织，具体磋商事务由依法组建的磋商小组负责。</w:t>
      </w:r>
    </w:p>
    <w:p w14:paraId="362BA051">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20、磋商程序</w:t>
      </w:r>
    </w:p>
    <w:p w14:paraId="178A39DF">
      <w:pPr>
        <w:pStyle w:val="17"/>
        <w:numPr>
          <w:ilvl w:val="1"/>
          <w:numId w:val="10"/>
        </w:numPr>
        <w:tabs>
          <w:tab w:val="left" w:pos="1216"/>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磋商小组审阅供应商所递交的响应性文件，凡不具备资格条件的供应商不得进入磋商程序。</w:t>
      </w:r>
    </w:p>
    <w:p w14:paraId="1174A1A0">
      <w:pPr>
        <w:pStyle w:val="17"/>
        <w:numPr>
          <w:ilvl w:val="1"/>
          <w:numId w:val="10"/>
        </w:numPr>
        <w:tabs>
          <w:tab w:val="left" w:pos="1221"/>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磋商小组所有成员集中与单一供应商分别就竞争性磋商采购项目的技术、商务和价格进行磋</w:t>
      </w:r>
      <w:r>
        <w:rPr>
          <w:rFonts w:hint="eastAsia" w:ascii="华文仿宋" w:hAnsi="华文仿宋" w:eastAsia="华文仿宋" w:cs="仿宋"/>
          <w:color w:val="000000" w:themeColor="text1"/>
          <w:spacing w:val="3"/>
          <w:sz w:val="21"/>
          <w:highlight w:val="none"/>
          <w14:textFill>
            <w14:solidFill>
              <w14:schemeClr w14:val="tx1"/>
            </w14:solidFill>
          </w14:textFill>
        </w:rPr>
        <w:t>商，磋商的轮次由磋商小组决定。</w:t>
      </w:r>
    </w:p>
    <w:p w14:paraId="131B3A4A">
      <w:pPr>
        <w:pStyle w:val="17"/>
        <w:numPr>
          <w:ilvl w:val="1"/>
          <w:numId w:val="10"/>
        </w:numPr>
        <w:tabs>
          <w:tab w:val="left" w:pos="1216"/>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磋商文件如有实质性变动的，磋商小组将以书面形式通知所有参加磋商的供应商。</w:t>
      </w:r>
    </w:p>
    <w:p w14:paraId="466163A4">
      <w:pPr>
        <w:pStyle w:val="17"/>
        <w:numPr>
          <w:ilvl w:val="1"/>
          <w:numId w:val="10"/>
        </w:numPr>
        <w:tabs>
          <w:tab w:val="left" w:pos="1216"/>
        </w:tabs>
        <w:spacing w:before="43" w:line="360" w:lineRule="auto"/>
        <w:ind w:left="323"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磋商小组制定一个符合采购人要求的最优方案，或直接根据响应性文件要求所有供应商在规定</w:t>
      </w:r>
      <w:r>
        <w:rPr>
          <w:rFonts w:hint="eastAsia" w:ascii="华文仿宋" w:hAnsi="华文仿宋" w:eastAsia="华文仿宋" w:cs="仿宋"/>
          <w:color w:val="000000" w:themeColor="text1"/>
          <w:spacing w:val="-2"/>
          <w:sz w:val="21"/>
          <w:highlight w:val="none"/>
          <w14:textFill>
            <w14:solidFill>
              <w14:schemeClr w14:val="tx1"/>
            </w14:solidFill>
          </w14:textFill>
        </w:rPr>
        <w:t>时间内作最后报价。</w:t>
      </w:r>
    </w:p>
    <w:p w14:paraId="2A418DEF">
      <w:pPr>
        <w:pStyle w:val="17"/>
        <w:numPr>
          <w:ilvl w:val="1"/>
          <w:numId w:val="10"/>
        </w:numPr>
        <w:tabs>
          <w:tab w:val="left" w:pos="1216"/>
        </w:tabs>
        <w:spacing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出现下列情形之一的磋商响应文件按照无效处理：</w:t>
      </w:r>
    </w:p>
    <w:p w14:paraId="3177FA66">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（1）不具备竞争性磋商文件中规定资格条件的；</w:t>
      </w:r>
    </w:p>
    <w:p w14:paraId="42AAE24F">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（2）未实质性响应采购要求的；</w:t>
      </w:r>
    </w:p>
    <w:p w14:paraId="0B904C48">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（3）报价低于完成本项目发生的所有含税费用、支付给员工的工资（不得低于供应商所在地最低工资标准）和国家强制缴纳的各种社会保障资金、公积金，以及供应商认为需要的其他费用等；</w:t>
      </w:r>
    </w:p>
    <w:p w14:paraId="31103E3A">
      <w:pPr>
        <w:pStyle w:val="17"/>
        <w:tabs>
          <w:tab w:val="left" w:pos="1170"/>
        </w:tabs>
        <w:spacing w:line="360" w:lineRule="auto"/>
        <w:ind w:left="643" w:right="2895"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（4）报价超过竞争性磋商文件中规定的预算金额或者最高限价的；</w:t>
      </w:r>
    </w:p>
    <w:p w14:paraId="2F86C8A3">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（5）竞争性磋商文件中的打“★”或“*”项缺失或者未实质性响应的；</w:t>
      </w:r>
    </w:p>
    <w:p w14:paraId="2C520C0E">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（6）未按要求盖章和签字；</w:t>
      </w:r>
    </w:p>
    <w:p w14:paraId="5A986E9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（7）响应文件格式中要求盖章或签字的，则必须盖章或签字；</w:t>
      </w:r>
    </w:p>
    <w:p w14:paraId="0D05C97B">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（8）纸质响应文件未清楚标明“正本”或“副本”</w:t>
      </w:r>
    </w:p>
    <w:p w14:paraId="0C878110">
      <w:pPr>
        <w:pStyle w:val="17"/>
        <w:tabs>
          <w:tab w:val="left" w:pos="1170"/>
        </w:tabs>
        <w:spacing w:line="360" w:lineRule="auto"/>
        <w:ind w:left="643" w:right="50" w:firstLine="0"/>
        <w:rPr>
          <w:rFonts w:hint="eastAsia" w:ascii="华文仿宋" w:hAnsi="华文仿宋" w:eastAsia="华文仿宋" w:cs="仿宋"/>
          <w:sz w:val="21"/>
          <w:highlight w:val="none"/>
          <w:lang w:val="en-US"/>
        </w:rPr>
      </w:pPr>
      <w:r>
        <w:rPr>
          <w:rFonts w:hint="eastAsia" w:ascii="华文仿宋" w:hAnsi="华文仿宋" w:eastAsia="华文仿宋" w:cs="仿宋"/>
          <w:sz w:val="21"/>
          <w:highlight w:val="none"/>
          <w:lang w:val="en-US"/>
        </w:rPr>
        <w:t>（9）</w:t>
      </w:r>
      <w:r>
        <w:rPr>
          <w:rFonts w:ascii="华文仿宋" w:hAnsi="华文仿宋" w:eastAsia="华文仿宋" w:cs="仿宋"/>
          <w:sz w:val="21"/>
          <w:highlight w:val="none"/>
          <w:lang w:val="en-US"/>
        </w:rPr>
        <w:t>投标报价存在缺项、漏项</w:t>
      </w:r>
      <w:r>
        <w:rPr>
          <w:rFonts w:hint="eastAsia" w:ascii="华文仿宋" w:hAnsi="华文仿宋" w:eastAsia="华文仿宋" w:cs="仿宋"/>
          <w:sz w:val="21"/>
          <w:highlight w:val="none"/>
          <w:lang w:val="en-US"/>
        </w:rPr>
        <w:t>或私自修改采购人给定清单内容</w:t>
      </w:r>
    </w:p>
    <w:p w14:paraId="37CE853D">
      <w:pPr>
        <w:pStyle w:val="17"/>
        <w:tabs>
          <w:tab w:val="left" w:pos="1170"/>
        </w:tabs>
        <w:spacing w:line="360" w:lineRule="auto"/>
        <w:ind w:left="643" w:right="50" w:firstLine="0"/>
        <w:rPr>
          <w:rFonts w:hint="eastAsia" w:ascii="华文仿宋" w:hAnsi="华文仿宋" w:eastAsia="华文仿宋" w:cs="仿宋"/>
          <w:sz w:val="21"/>
          <w:highlight w:val="none"/>
        </w:rPr>
      </w:pPr>
      <w:r>
        <w:rPr>
          <w:rFonts w:hint="eastAsia" w:ascii="华文仿宋" w:hAnsi="华文仿宋" w:eastAsia="华文仿宋" w:cs="仿宋"/>
          <w:sz w:val="21"/>
          <w:highlight w:val="none"/>
        </w:rPr>
        <w:t>（</w:t>
      </w:r>
      <w:r>
        <w:rPr>
          <w:rFonts w:hint="eastAsia" w:ascii="华文仿宋" w:hAnsi="华文仿宋" w:eastAsia="华文仿宋" w:cs="仿宋"/>
          <w:sz w:val="21"/>
          <w:highlight w:val="none"/>
          <w:lang w:val="en-US"/>
        </w:rPr>
        <w:t>10</w:t>
      </w:r>
      <w:r>
        <w:rPr>
          <w:rFonts w:hint="eastAsia" w:ascii="华文仿宋" w:hAnsi="华文仿宋" w:eastAsia="华文仿宋" w:cs="仿宋"/>
          <w:sz w:val="21"/>
          <w:highlight w:val="none"/>
        </w:rPr>
        <w:t>）不符合法律、法规和竞争性磋商文件规定的其他实质性要求的。</w:t>
      </w:r>
    </w:p>
    <w:p w14:paraId="18A5B0BD">
      <w:pPr>
        <w:pStyle w:val="17"/>
        <w:numPr>
          <w:ilvl w:val="1"/>
          <w:numId w:val="10"/>
        </w:numPr>
        <w:tabs>
          <w:tab w:val="left" w:pos="1216"/>
        </w:tabs>
        <w:spacing w:before="43" w:line="360" w:lineRule="auto"/>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出现下列情形之一的磋商终止，无成交供应商：</w:t>
      </w:r>
    </w:p>
    <w:p w14:paraId="3A73451A">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因情况变化，不再符合规定的竞争性磋商采购方式适用情形的；</w:t>
      </w:r>
    </w:p>
    <w:p w14:paraId="208B7A20">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所有供应商的磋商响应文件被磋商小组认定为无效的；</w:t>
      </w:r>
    </w:p>
    <w:p w14:paraId="66C331FB">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出现影响采购公正的违法、违规行为的；</w:t>
      </w:r>
    </w:p>
    <w:p w14:paraId="79ED68B5">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供应商的最终报价超过采购预算，且采购人不能支付的；</w:t>
      </w:r>
    </w:p>
    <w:p w14:paraId="50538819">
      <w:pPr>
        <w:pStyle w:val="17"/>
        <w:numPr>
          <w:ilvl w:val="0"/>
          <w:numId w:val="11"/>
        </w:numPr>
        <w:tabs>
          <w:tab w:val="left" w:pos="1270"/>
        </w:tabs>
        <w:spacing w:before="42"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因重大变故，采购任务取消的；</w:t>
      </w:r>
    </w:p>
    <w:p w14:paraId="36C683C4">
      <w:pPr>
        <w:pStyle w:val="17"/>
        <w:numPr>
          <w:ilvl w:val="0"/>
          <w:numId w:val="11"/>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18F856FC">
      <w:pPr>
        <w:spacing w:before="4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21、评分方法和标准。</w:t>
      </w:r>
    </w:p>
    <w:p w14:paraId="55BF8ABC">
      <w:pPr>
        <w:pStyle w:val="17"/>
        <w:numPr>
          <w:ilvl w:val="1"/>
          <w:numId w:val="12"/>
        </w:numPr>
        <w:tabs>
          <w:tab w:val="left" w:pos="1216"/>
        </w:tabs>
        <w:spacing w:before="22"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采用综合评分法。即在满足磋商文件实质性要求前提下，按照磋商文件中规定的各项因素进行</w:t>
      </w:r>
      <w:r>
        <w:rPr>
          <w:rFonts w:hint="eastAsia" w:ascii="华文仿宋" w:hAnsi="华文仿宋" w:eastAsia="华文仿宋" w:cs="仿宋"/>
          <w:color w:val="000000" w:themeColor="text1"/>
          <w:spacing w:val="-3"/>
          <w:sz w:val="21"/>
          <w:highlight w:val="none"/>
          <w14:textFill>
            <w14:solidFill>
              <w14:schemeClr w14:val="tx1"/>
            </w14:solidFill>
          </w14:textFill>
        </w:rPr>
        <w:t>综合评审后，以评审总得分最高的供应商作为成交候选供应商或者成交供应商的评分方法。</w:t>
      </w:r>
    </w:p>
    <w:p w14:paraId="3B3734AC">
      <w:pPr>
        <w:pStyle w:val="17"/>
        <w:numPr>
          <w:ilvl w:val="1"/>
          <w:numId w:val="12"/>
        </w:numPr>
        <w:tabs>
          <w:tab w:val="left" w:pos="1216"/>
        </w:tabs>
        <w:spacing w:before="15"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综合评分的主要因素是：价格、方案、业绩、对采购文件的响应程度、诚信档案分等。</w:t>
      </w:r>
    </w:p>
    <w:p w14:paraId="05E271DF">
      <w:pPr>
        <w:pStyle w:val="17"/>
        <w:numPr>
          <w:ilvl w:val="1"/>
          <w:numId w:val="12"/>
        </w:numPr>
        <w:tabs>
          <w:tab w:val="left" w:pos="1216"/>
        </w:tabs>
        <w:spacing w:before="24" w:line="360" w:lineRule="auto"/>
        <w:ind w:left="121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评分标准详见第四章</w:t>
      </w:r>
    </w:p>
    <w:p w14:paraId="03C57253">
      <w:pPr>
        <w:spacing w:before="23"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22、确定成交供应商</w:t>
      </w:r>
    </w:p>
    <w:p w14:paraId="7B58A8C4">
      <w:pPr>
        <w:pStyle w:val="17"/>
        <w:numPr>
          <w:ilvl w:val="1"/>
          <w:numId w:val="13"/>
        </w:numPr>
        <w:tabs>
          <w:tab w:val="left" w:pos="1164"/>
        </w:tabs>
        <w:spacing w:before="43" w:line="360" w:lineRule="auto"/>
        <w:ind w:right="204"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华文仿宋" w:hAnsi="华文仿宋" w:eastAsia="华文仿宋" w:cs="仿宋"/>
          <w:color w:val="000000" w:themeColor="text1"/>
          <w:spacing w:val="-22"/>
          <w:sz w:val="21"/>
          <w:highlight w:val="none"/>
          <w14:textFill>
            <w14:solidFill>
              <w14:schemeClr w14:val="tx1"/>
            </w14:solidFill>
          </w14:textFill>
        </w:rPr>
        <w:t>商。</w:t>
      </w:r>
      <w:r>
        <w:rPr>
          <w:rFonts w:hint="eastAsia" w:ascii="华文仿宋" w:hAnsi="华文仿宋" w:eastAsia="华文仿宋" w:cs="仿宋"/>
          <w:color w:val="000000" w:themeColor="text1"/>
          <w:spacing w:val="-7"/>
          <w:sz w:val="21"/>
          <w:highlight w:val="none"/>
          <w14:textFill>
            <w14:solidFill>
              <w14:schemeClr w14:val="tx1"/>
            </w14:solidFill>
          </w14:textFill>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2D499C9">
      <w:pPr>
        <w:pStyle w:val="17"/>
        <w:numPr>
          <w:ilvl w:val="1"/>
          <w:numId w:val="13"/>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4"/>
          <w:w w:val="95"/>
          <w:sz w:val="21"/>
          <w:highlight w:val="none"/>
          <w14:textFill>
            <w14:solidFill>
              <w14:schemeClr w14:val="tx1"/>
            </w14:solidFill>
          </w14:textFill>
        </w:rPr>
        <w:t>成交供应商确定后，将在原采购公告发布媒体上发布公告，向成交供应商发出成交通知书。成</w:t>
      </w:r>
      <w:r>
        <w:rPr>
          <w:rFonts w:hint="eastAsia" w:ascii="华文仿宋" w:hAnsi="华文仿宋" w:eastAsia="华文仿宋" w:cs="仿宋"/>
          <w:color w:val="000000" w:themeColor="text1"/>
          <w:spacing w:val="-4"/>
          <w:sz w:val="21"/>
          <w:highlight w:val="none"/>
          <w14:textFill>
            <w14:solidFill>
              <w14:schemeClr w14:val="tx1"/>
            </w14:solidFill>
          </w14:textFill>
        </w:rPr>
        <w:t>交供应商应按成交通知书规定的时间、地点与采购单位、政府代理机构签订采购合同。</w:t>
      </w:r>
    </w:p>
    <w:p w14:paraId="08BD6527">
      <w:pPr>
        <w:pStyle w:val="17"/>
        <w:numPr>
          <w:ilvl w:val="1"/>
          <w:numId w:val="13"/>
        </w:numPr>
        <w:tabs>
          <w:tab w:val="left" w:pos="1216"/>
        </w:tabs>
        <w:spacing w:line="360" w:lineRule="auto"/>
        <w:ind w:left="1216" w:hanging="473"/>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成交通知书对采购人和成交供应商具有同等法律效力。</w:t>
      </w:r>
    </w:p>
    <w:p w14:paraId="23E30937">
      <w:pPr>
        <w:pStyle w:val="17"/>
        <w:numPr>
          <w:ilvl w:val="1"/>
          <w:numId w:val="13"/>
        </w:numPr>
        <w:tabs>
          <w:tab w:val="left" w:pos="1216"/>
        </w:tabs>
        <w:spacing w:before="42"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成交通知书发出后，采购人或成交供应商拒绝签订合同的，拒绝签订合同的一方应至少向另一</w:t>
      </w:r>
      <w:r>
        <w:rPr>
          <w:rFonts w:hint="eastAsia" w:ascii="华文仿宋" w:hAnsi="华文仿宋" w:eastAsia="华文仿宋" w:cs="仿宋"/>
          <w:color w:val="000000" w:themeColor="text1"/>
          <w:spacing w:val="-3"/>
          <w:sz w:val="21"/>
          <w:highlight w:val="none"/>
          <w14:textFill>
            <w14:solidFill>
              <w14:schemeClr w14:val="tx1"/>
            </w14:solidFill>
          </w14:textFill>
        </w:rPr>
        <w:t>方支付与</w:t>
      </w:r>
      <w:r>
        <w:rPr>
          <w:rFonts w:hint="eastAsia" w:ascii="华文仿宋" w:hAnsi="华文仿宋" w:eastAsia="华文仿宋" w:cs="仿宋"/>
          <w:color w:val="000000" w:themeColor="text1"/>
          <w:spacing w:val="-3"/>
          <w:sz w:val="21"/>
          <w:highlight w:val="none"/>
          <w:lang w:val="en-US"/>
          <w14:textFill>
            <w14:solidFill>
              <w14:schemeClr w14:val="tx1"/>
            </w14:solidFill>
          </w14:textFill>
        </w:rPr>
        <w:t>预算2%</w:t>
      </w:r>
      <w:r>
        <w:rPr>
          <w:rFonts w:hint="eastAsia" w:ascii="华文仿宋" w:hAnsi="华文仿宋" w:eastAsia="华文仿宋" w:cs="仿宋"/>
          <w:color w:val="000000" w:themeColor="text1"/>
          <w:spacing w:val="-3"/>
          <w:sz w:val="21"/>
          <w:highlight w:val="none"/>
          <w14:textFill>
            <w14:solidFill>
              <w14:schemeClr w14:val="tx1"/>
            </w14:solidFill>
          </w14:textFill>
        </w:rPr>
        <w:t>相等的补偿金，以及为磋商过程所发生的有关费用和双方商定的其他补偿。</w:t>
      </w:r>
    </w:p>
    <w:p w14:paraId="0798999D">
      <w:pPr>
        <w:pStyle w:val="17"/>
        <w:numPr>
          <w:ilvl w:val="1"/>
          <w:numId w:val="13"/>
        </w:numPr>
        <w:tabs>
          <w:tab w:val="left" w:pos="1216"/>
        </w:tabs>
        <w:spacing w:before="93" w:line="360" w:lineRule="auto"/>
        <w:ind w:right="276"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6"/>
          <w:sz w:val="21"/>
          <w:highlight w:val="none"/>
          <w14:textFill>
            <w14:solidFill>
              <w14:schemeClr w14:val="tx1"/>
            </w14:solidFill>
          </w14:textFill>
        </w:rPr>
        <w:t>成交通知书发出后，成交供应商除发生法律规定的不能预见、不能避免并不能克服的客观情况</w:t>
      </w:r>
      <w:r>
        <w:rPr>
          <w:rFonts w:hint="eastAsia" w:ascii="华文仿宋" w:hAnsi="华文仿宋" w:eastAsia="华文仿宋" w:cs="仿宋"/>
          <w:color w:val="000000" w:themeColor="text1"/>
          <w:spacing w:val="-5"/>
          <w:w w:val="95"/>
          <w:sz w:val="21"/>
          <w:highlight w:val="none"/>
          <w14:textFill>
            <w14:solidFill>
              <w14:schemeClr w14:val="tx1"/>
            </w14:solidFill>
          </w14:textFill>
        </w:rPr>
        <w:t>外不得放弃或拒绝签订合同的。放弃或拒绝签订合同的，情节严重的财政部门将</w:t>
      </w:r>
      <w:r>
        <w:rPr>
          <w:rFonts w:hint="eastAsia" w:ascii="华文仿宋" w:hAnsi="华文仿宋" w:eastAsia="华文仿宋" w:cs="仿宋"/>
          <w:color w:val="000000" w:themeColor="text1"/>
          <w:spacing w:val="-5"/>
          <w:sz w:val="21"/>
          <w:highlight w:val="none"/>
          <w14:textFill>
            <w14:solidFill>
              <w14:schemeClr w14:val="tx1"/>
            </w14:solidFill>
          </w14:textFill>
        </w:rPr>
        <w:t>其列入不良行为名单，在一至三年内不得参加南京市江宁区采购活动。</w:t>
      </w:r>
    </w:p>
    <w:p w14:paraId="19F29875">
      <w:pPr>
        <w:pStyle w:val="17"/>
        <w:numPr>
          <w:ilvl w:val="1"/>
          <w:numId w:val="13"/>
        </w:numPr>
        <w:tabs>
          <w:tab w:val="left" w:pos="1216"/>
        </w:tabs>
        <w:spacing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代理机构对未成交的供应商不作未成交原因的解释。</w:t>
      </w:r>
    </w:p>
    <w:p w14:paraId="2D741315">
      <w:pPr>
        <w:pStyle w:val="17"/>
        <w:numPr>
          <w:ilvl w:val="1"/>
          <w:numId w:val="13"/>
        </w:numPr>
        <w:tabs>
          <w:tab w:val="left" w:pos="1216"/>
        </w:tabs>
        <w:spacing w:before="43" w:line="360" w:lineRule="auto"/>
        <w:ind w:left="1216" w:hanging="473"/>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所有磋商响应文件都将作为档案保存，不论成交与否，代理机构均不退回。</w:t>
      </w:r>
    </w:p>
    <w:p w14:paraId="55A48A3B">
      <w:pPr>
        <w:spacing w:before="42" w:line="360" w:lineRule="auto"/>
        <w:ind w:left="736"/>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23、编写磋商（评审）报告</w:t>
      </w:r>
    </w:p>
    <w:p w14:paraId="3F145A03">
      <w:pPr>
        <w:pStyle w:val="6"/>
        <w:spacing w:before="43" w:line="360" w:lineRule="auto"/>
        <w:ind w:left="743" w:right="4323"/>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磋商小组根据磋商过程和结果编写磋商（评审）报告。 </w:t>
      </w:r>
      <w:bookmarkStart w:id="53" w:name="五、签订合同"/>
      <w:bookmarkEnd w:id="53"/>
    </w:p>
    <w:p w14:paraId="2BB20CA6">
      <w:pPr>
        <w:pStyle w:val="6"/>
        <w:spacing w:before="43" w:line="360" w:lineRule="auto"/>
        <w:ind w:left="743" w:right="4323"/>
        <w:outlineLvl w:val="1"/>
        <w:rPr>
          <w:rFonts w:hint="eastAsia" w:ascii="华文仿宋" w:hAnsi="华文仿宋" w:eastAsia="华文仿宋" w:cs="仿宋"/>
          <w:b/>
          <w:color w:val="000000" w:themeColor="text1"/>
          <w:highlight w:val="none"/>
          <w14:textFill>
            <w14:solidFill>
              <w14:schemeClr w14:val="tx1"/>
            </w14:solidFill>
          </w14:textFill>
        </w:rPr>
      </w:pPr>
      <w:bookmarkStart w:id="54" w:name="_Toc19047"/>
      <w:r>
        <w:rPr>
          <w:rFonts w:hint="eastAsia" w:ascii="华文仿宋" w:hAnsi="华文仿宋" w:eastAsia="华文仿宋" w:cs="仿宋"/>
          <w:b/>
          <w:color w:val="000000" w:themeColor="text1"/>
          <w:highlight w:val="none"/>
          <w14:textFill>
            <w14:solidFill>
              <w14:schemeClr w14:val="tx1"/>
            </w14:solidFill>
          </w14:textFill>
        </w:rPr>
        <w:t>五、签订合同</w:t>
      </w:r>
      <w:bookmarkEnd w:id="54"/>
    </w:p>
    <w:p w14:paraId="3AD86DBB">
      <w:pPr>
        <w:pStyle w:val="17"/>
        <w:numPr>
          <w:ilvl w:val="1"/>
          <w:numId w:val="14"/>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成交供应商应当自成交通知书发出之日起三十日内，与采购人签订采购合同，所签订的合</w:t>
      </w:r>
      <w:r>
        <w:rPr>
          <w:rFonts w:hint="eastAsia" w:ascii="华文仿宋" w:hAnsi="华文仿宋" w:eastAsia="华文仿宋" w:cs="仿宋"/>
          <w:color w:val="000000" w:themeColor="text1"/>
          <w:spacing w:val="-2"/>
          <w:sz w:val="21"/>
          <w:highlight w:val="none"/>
          <w14:textFill>
            <w14:solidFill>
              <w14:schemeClr w14:val="tx1"/>
            </w14:solidFill>
          </w14:textFill>
        </w:rPr>
        <w:t>同不得对竞争性磋商文件和竞争性磋商响应文件作实质性修改。</w:t>
      </w:r>
    </w:p>
    <w:p w14:paraId="13A24A85">
      <w:pPr>
        <w:pStyle w:val="17"/>
        <w:numPr>
          <w:ilvl w:val="1"/>
          <w:numId w:val="14"/>
        </w:numPr>
        <w:tabs>
          <w:tab w:val="left" w:pos="1216"/>
        </w:tabs>
        <w:spacing w:line="360" w:lineRule="auto"/>
        <w:ind w:right="310"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采购人不得向成交供应商提出任何不合理的要求作为签订合同的条件，不得与成交供应商私下</w:t>
      </w:r>
      <w:r>
        <w:rPr>
          <w:rFonts w:hint="eastAsia" w:ascii="华文仿宋" w:hAnsi="华文仿宋" w:eastAsia="华文仿宋" w:cs="仿宋"/>
          <w:color w:val="000000" w:themeColor="text1"/>
          <w:spacing w:val="-2"/>
          <w:sz w:val="21"/>
          <w:highlight w:val="none"/>
          <w14:textFill>
            <w14:solidFill>
              <w14:schemeClr w14:val="tx1"/>
            </w14:solidFill>
          </w14:textFill>
        </w:rPr>
        <w:t>订立背离合同实质性内容的协议。</w:t>
      </w:r>
    </w:p>
    <w:p w14:paraId="57B323AB">
      <w:pPr>
        <w:pStyle w:val="17"/>
        <w:numPr>
          <w:ilvl w:val="1"/>
          <w:numId w:val="14"/>
        </w:numPr>
        <w:tabs>
          <w:tab w:val="left" w:pos="1216"/>
        </w:tabs>
        <w:spacing w:line="360" w:lineRule="auto"/>
        <w:ind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成交供应商因不可抗力或者自身原因不能履行采购合同的，采购人可以视情与排位在成交</w:t>
      </w:r>
      <w:r>
        <w:rPr>
          <w:rFonts w:hint="eastAsia" w:ascii="华文仿宋" w:hAnsi="华文仿宋" w:eastAsia="华文仿宋" w:cs="仿宋"/>
          <w:color w:val="000000" w:themeColor="text1"/>
          <w:spacing w:val="-2"/>
          <w:sz w:val="21"/>
          <w:highlight w:val="none"/>
          <w14:textFill>
            <w14:solidFill>
              <w14:schemeClr w14:val="tx1"/>
            </w14:solidFill>
          </w14:textFill>
        </w:rPr>
        <w:t>供应商之后第一位的成交候选供应商签订采购合同，以此类推。</w:t>
      </w:r>
    </w:p>
    <w:p w14:paraId="62FADB70">
      <w:pPr>
        <w:pStyle w:val="17"/>
        <w:numPr>
          <w:ilvl w:val="1"/>
          <w:numId w:val="14"/>
        </w:numPr>
        <w:tabs>
          <w:tab w:val="left" w:pos="1216"/>
        </w:tabs>
        <w:spacing w:line="360" w:lineRule="auto"/>
        <w:ind w:right="208"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采购合同履行中，采购人需追加与合同标的相同的服务的，在不改变合同其他条款的前提</w:t>
      </w:r>
      <w:r>
        <w:rPr>
          <w:rFonts w:hint="eastAsia" w:ascii="华文仿宋" w:hAnsi="华文仿宋" w:eastAsia="华文仿宋" w:cs="仿宋"/>
          <w:color w:val="000000" w:themeColor="text1"/>
          <w:spacing w:val="-9"/>
          <w:w w:val="95"/>
          <w:sz w:val="21"/>
          <w:highlight w:val="none"/>
          <w14:textFill>
            <w14:solidFill>
              <w14:schemeClr w14:val="tx1"/>
            </w14:solidFill>
          </w14:textFill>
        </w:rPr>
        <w:t>下，可以与供应商协商签订补充合同，但所有补充合同的采购金额不得超过原合同采购金额的百分之十。</w:t>
      </w:r>
    </w:p>
    <w:p w14:paraId="29479D12">
      <w:pPr>
        <w:pStyle w:val="3"/>
        <w:spacing w:line="360" w:lineRule="auto"/>
        <w:ind w:left="743"/>
        <w:rPr>
          <w:rFonts w:hint="eastAsia" w:ascii="华文仿宋" w:hAnsi="华文仿宋" w:eastAsia="华文仿宋" w:cs="仿宋"/>
          <w:color w:val="000000" w:themeColor="text1"/>
          <w:highlight w:val="none"/>
          <w14:textFill>
            <w14:solidFill>
              <w14:schemeClr w14:val="tx1"/>
            </w14:solidFill>
          </w14:textFill>
        </w:rPr>
      </w:pPr>
      <w:bookmarkStart w:id="55" w:name="六、质疑和投诉"/>
      <w:bookmarkEnd w:id="55"/>
      <w:bookmarkStart w:id="56" w:name="_Toc11346"/>
      <w:r>
        <w:rPr>
          <w:rFonts w:hint="eastAsia" w:ascii="华文仿宋" w:hAnsi="华文仿宋" w:eastAsia="华文仿宋" w:cs="仿宋"/>
          <w:color w:val="000000" w:themeColor="text1"/>
          <w:highlight w:val="none"/>
          <w14:textFill>
            <w14:solidFill>
              <w14:schemeClr w14:val="tx1"/>
            </w14:solidFill>
          </w14:textFill>
        </w:rPr>
        <w:t>六、质疑和投诉</w:t>
      </w:r>
      <w:bookmarkEnd w:id="56"/>
    </w:p>
    <w:p w14:paraId="0FBD5058">
      <w:pPr>
        <w:spacing w:before="42" w:line="360" w:lineRule="auto"/>
        <w:ind w:left="743"/>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25、质疑</w:t>
      </w:r>
    </w:p>
    <w:p w14:paraId="1A4D31A1">
      <w:pPr>
        <w:pStyle w:val="17"/>
        <w:numPr>
          <w:ilvl w:val="1"/>
          <w:numId w:val="15"/>
        </w:numPr>
        <w:tabs>
          <w:tab w:val="left" w:pos="1216"/>
        </w:tabs>
        <w:spacing w:before="43" w:line="360" w:lineRule="auto"/>
        <w:ind w:right="307"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供应商对磋商活动事项有疑问的，可以向代理机构提出询问。代理机构将依法作出答复，但答</w:t>
      </w:r>
      <w:r>
        <w:rPr>
          <w:rFonts w:hint="eastAsia" w:ascii="华文仿宋" w:hAnsi="华文仿宋" w:eastAsia="华文仿宋" w:cs="仿宋"/>
          <w:color w:val="000000" w:themeColor="text1"/>
          <w:spacing w:val="-3"/>
          <w:sz w:val="21"/>
          <w:highlight w:val="none"/>
          <w14:textFill>
            <w14:solidFill>
              <w14:schemeClr w14:val="tx1"/>
            </w14:solidFill>
          </w14:textFill>
        </w:rPr>
        <w:t>复的内容不涉及商业秘密。</w:t>
      </w:r>
    </w:p>
    <w:p w14:paraId="1295DA27">
      <w:pPr>
        <w:pStyle w:val="17"/>
        <w:numPr>
          <w:ilvl w:val="1"/>
          <w:numId w:val="15"/>
        </w:numPr>
        <w:tabs>
          <w:tab w:val="left" w:pos="1216"/>
        </w:tabs>
        <w:spacing w:line="360" w:lineRule="auto"/>
        <w:ind w:right="310"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w w:val="95"/>
          <w:sz w:val="21"/>
          <w:highlight w:val="none"/>
          <w14:textFill>
            <w14:solidFill>
              <w14:schemeClr w14:val="tx1"/>
            </w14:solidFill>
          </w14:textFill>
        </w:rPr>
        <w:t>供应商认为采购文件、采购过程和成交结果使自己的合法权益受到损害的，可以在知道或者应</w:t>
      </w:r>
      <w:r>
        <w:rPr>
          <w:rFonts w:hint="eastAsia" w:ascii="华文仿宋" w:hAnsi="华文仿宋" w:eastAsia="华文仿宋" w:cs="仿宋"/>
          <w:color w:val="000000" w:themeColor="text1"/>
          <w:spacing w:val="-3"/>
          <w:sz w:val="21"/>
          <w:highlight w:val="none"/>
          <w14:textFill>
            <w14:solidFill>
              <w14:schemeClr w14:val="tx1"/>
            </w14:solidFill>
          </w14:textFill>
        </w:rPr>
        <w:t>当知道其权益受到损害之日起七个工作日内，将质疑文件原件送达代理机构，供应商提出质疑时，须一次性提出全部问题及相关质疑资料。</w:t>
      </w:r>
    </w:p>
    <w:p w14:paraId="704BBE66">
      <w:pPr>
        <w:pStyle w:val="17"/>
        <w:numPr>
          <w:ilvl w:val="1"/>
          <w:numId w:val="15"/>
        </w:numPr>
        <w:tabs>
          <w:tab w:val="left" w:pos="1216"/>
        </w:tabs>
        <w:spacing w:line="360" w:lineRule="auto"/>
        <w:ind w:right="304"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质疑文件应包括以下主要内容，并按照</w:t>
      </w:r>
      <w:r>
        <w:rPr>
          <w:rFonts w:hint="eastAsia" w:ascii="华文仿宋" w:hAnsi="华文仿宋" w:eastAsia="华文仿宋" w:cs="仿宋"/>
          <w:color w:val="000000" w:themeColor="text1"/>
          <w:spacing w:val="3"/>
          <w:w w:val="95"/>
          <w:sz w:val="21"/>
          <w:highlight w:val="none"/>
          <w14:textFill>
            <w14:solidFill>
              <w14:schemeClr w14:val="tx1"/>
            </w14:solidFill>
          </w14:textFill>
        </w:rPr>
        <w:t>“</w:t>
      </w:r>
      <w:r>
        <w:rPr>
          <w:rFonts w:hint="eastAsia" w:ascii="华文仿宋" w:hAnsi="华文仿宋" w:eastAsia="华文仿宋" w:cs="仿宋"/>
          <w:color w:val="000000" w:themeColor="text1"/>
          <w:w w:val="95"/>
          <w:sz w:val="21"/>
          <w:highlight w:val="none"/>
          <w14:textFill>
            <w14:solidFill>
              <w14:schemeClr w14:val="tx1"/>
            </w14:solidFill>
          </w14:textFill>
        </w:rPr>
        <w:t xml:space="preserve">谁主张、谁举证”的原则，附上相关证明材料。否则，   </w:t>
      </w:r>
      <w:r>
        <w:rPr>
          <w:rFonts w:hint="eastAsia" w:ascii="华文仿宋" w:hAnsi="华文仿宋" w:eastAsia="华文仿宋" w:cs="仿宋"/>
          <w:color w:val="000000" w:themeColor="text1"/>
          <w:sz w:val="21"/>
          <w:highlight w:val="none"/>
          <w14:textFill>
            <w14:solidFill>
              <w14:schemeClr w14:val="tx1"/>
            </w14:solidFill>
          </w14:textFill>
        </w:rPr>
        <w:t>代理机构不予受理：</w:t>
      </w:r>
    </w:p>
    <w:p w14:paraId="5714F8D6">
      <w:pPr>
        <w:pStyle w:val="17"/>
        <w:numPr>
          <w:ilvl w:val="0"/>
          <w:numId w:val="16"/>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质疑项目名称、项目编号、包号、磋商公告发布时间、磋商时间；</w:t>
      </w:r>
    </w:p>
    <w:p w14:paraId="4D50FC56">
      <w:pPr>
        <w:pStyle w:val="17"/>
        <w:numPr>
          <w:ilvl w:val="0"/>
          <w:numId w:val="16"/>
        </w:numPr>
        <w:tabs>
          <w:tab w:val="left" w:pos="1270"/>
        </w:tabs>
        <w:spacing w:before="43"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具体的质疑事项及法律依据（具体条款）；</w:t>
      </w:r>
    </w:p>
    <w:p w14:paraId="7909379B">
      <w:pPr>
        <w:pStyle w:val="17"/>
        <w:numPr>
          <w:ilvl w:val="0"/>
          <w:numId w:val="16"/>
        </w:numPr>
        <w:tabs>
          <w:tab w:val="left" w:pos="1270"/>
        </w:tabs>
        <w:spacing w:before="43" w:line="360" w:lineRule="auto"/>
        <w:ind w:left="323"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3"/>
          <w:sz w:val="21"/>
          <w:highlight w:val="none"/>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1181DCD3">
      <w:pPr>
        <w:pStyle w:val="17"/>
        <w:numPr>
          <w:ilvl w:val="0"/>
          <w:numId w:val="16"/>
        </w:numPr>
        <w:tabs>
          <w:tab w:val="left" w:pos="1270"/>
        </w:tabs>
        <w:spacing w:line="360" w:lineRule="auto"/>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质疑供应商名称、地址、联系方式（包括手机、传真号码）；</w:t>
      </w:r>
    </w:p>
    <w:p w14:paraId="015E3C4B">
      <w:pPr>
        <w:pStyle w:val="17"/>
        <w:numPr>
          <w:ilvl w:val="0"/>
          <w:numId w:val="16"/>
        </w:numPr>
        <w:tabs>
          <w:tab w:val="left" w:pos="1270"/>
        </w:tabs>
        <w:spacing w:before="43" w:line="360" w:lineRule="auto"/>
        <w:ind w:left="323" w:right="312" w:firstLine="420"/>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403FDD00">
      <w:pPr>
        <w:pStyle w:val="17"/>
        <w:numPr>
          <w:ilvl w:val="1"/>
          <w:numId w:val="15"/>
        </w:numPr>
        <w:tabs>
          <w:tab w:val="left" w:pos="1216"/>
        </w:tabs>
        <w:spacing w:line="360" w:lineRule="auto"/>
        <w:ind w:right="312"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w w:val="95"/>
          <w:sz w:val="21"/>
          <w:highlight w:val="none"/>
          <w14:textFill>
            <w14:solidFill>
              <w14:schemeClr w14:val="tx1"/>
            </w14:solidFill>
          </w14:textFill>
        </w:rPr>
        <w:t>供应商不得虚假质疑和恶意质疑，并对质疑内容的真实性承担责任。供应商或者其他利害关系</w:t>
      </w:r>
      <w:r>
        <w:rPr>
          <w:rFonts w:hint="eastAsia" w:ascii="华文仿宋" w:hAnsi="华文仿宋" w:eastAsia="华文仿宋" w:cs="仿宋"/>
          <w:color w:val="000000" w:themeColor="text1"/>
          <w:spacing w:val="-2"/>
          <w:sz w:val="21"/>
          <w:highlight w:val="none"/>
          <w14:textFill>
            <w14:solidFill>
              <w14:schemeClr w14:val="tx1"/>
            </w14:solidFill>
          </w14:textFill>
        </w:rPr>
        <w:t>人通过捏造事实、伪造证明材料等方式提出异议或投诉，阻碍采购活动正常进行的，属于严重不良行为，代理机构将提请财政部门将其列入不良行为记录名单，并依法予以处罚。</w:t>
      </w:r>
    </w:p>
    <w:p w14:paraId="3D57387D">
      <w:pPr>
        <w:pStyle w:val="17"/>
        <w:numPr>
          <w:ilvl w:val="1"/>
          <w:numId w:val="15"/>
        </w:numPr>
        <w:tabs>
          <w:tab w:val="left" w:pos="1216"/>
        </w:tabs>
        <w:spacing w:line="360" w:lineRule="auto"/>
        <w:ind w:right="305" w:firstLine="420"/>
        <w:jc w:val="both"/>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1"/>
          <w:sz w:val="21"/>
          <w:highlight w:val="none"/>
          <w14:textFill>
            <w14:solidFill>
              <w14:schemeClr w14:val="tx1"/>
            </w14:solidFill>
          </w14:textFill>
        </w:rPr>
        <w:t>代理机构在收到供应商的书面质疑后将及时组织调查核实，在</w:t>
      </w:r>
      <w:r>
        <w:rPr>
          <w:rFonts w:hint="eastAsia" w:ascii="华文仿宋" w:hAnsi="华文仿宋" w:eastAsia="华文仿宋" w:cs="仿宋"/>
          <w:color w:val="000000" w:themeColor="text1"/>
          <w:sz w:val="21"/>
          <w:highlight w:val="none"/>
          <w14:textFill>
            <w14:solidFill>
              <w14:schemeClr w14:val="tx1"/>
            </w14:solidFill>
          </w14:textFill>
        </w:rPr>
        <w:t>七个工作日内</w:t>
      </w:r>
      <w:r>
        <w:rPr>
          <w:rFonts w:hint="eastAsia" w:ascii="华文仿宋" w:hAnsi="华文仿宋" w:eastAsia="华文仿宋" w:cs="仿宋"/>
          <w:color w:val="000000" w:themeColor="text1"/>
          <w:spacing w:val="-4"/>
          <w:sz w:val="21"/>
          <w:highlight w:val="none"/>
          <w14:textFill>
            <w14:solidFill>
              <w14:schemeClr w14:val="tx1"/>
            </w14:solidFill>
          </w14:textFill>
        </w:rPr>
        <w:t>作出答复，并以书</w:t>
      </w:r>
      <w:r>
        <w:rPr>
          <w:rFonts w:hint="eastAsia" w:ascii="华文仿宋" w:hAnsi="华文仿宋" w:eastAsia="华文仿宋" w:cs="仿宋"/>
          <w:color w:val="000000" w:themeColor="text1"/>
          <w:spacing w:val="-7"/>
          <w:sz w:val="21"/>
          <w:highlight w:val="none"/>
          <w14:textFill>
            <w14:solidFill>
              <w14:schemeClr w14:val="tx1"/>
            </w14:solidFill>
          </w14:textFill>
        </w:rPr>
        <w:t>面或在网站公告形式通知质疑供应商和其他有关供应商，答复的内容不涉及商业秘密。代理机构遵循</w:t>
      </w:r>
      <w:r>
        <w:rPr>
          <w:rFonts w:hint="eastAsia" w:ascii="华文仿宋" w:hAnsi="华文仿宋" w:eastAsia="华文仿宋" w:cs="仿宋"/>
          <w:color w:val="000000" w:themeColor="text1"/>
          <w:sz w:val="21"/>
          <w:highlight w:val="none"/>
          <w14:textFill>
            <w14:solidFill>
              <w14:schemeClr w14:val="tx1"/>
            </w14:solidFill>
          </w14:textFill>
        </w:rPr>
        <w:t>“谁过错谁负担”的原则，有过错的一方承担调查论证费用。</w:t>
      </w:r>
    </w:p>
    <w:p w14:paraId="12D0B39E">
      <w:pPr>
        <w:spacing w:line="360" w:lineRule="auto"/>
        <w:ind w:left="743"/>
        <w:rPr>
          <w:rFonts w:hint="eastAsia" w:ascii="华文仿宋" w:hAnsi="华文仿宋" w:eastAsia="华文仿宋" w:cs="仿宋"/>
          <w:b/>
          <w:bCs/>
          <w:color w:val="000000" w:themeColor="text1"/>
          <w:sz w:val="21"/>
          <w:highlight w:val="none"/>
          <w14:textFill>
            <w14:solidFill>
              <w14:schemeClr w14:val="tx1"/>
            </w14:solidFill>
          </w14:textFill>
        </w:rPr>
      </w:pPr>
      <w:r>
        <w:rPr>
          <w:rFonts w:hint="eastAsia" w:ascii="华文仿宋" w:hAnsi="华文仿宋" w:eastAsia="华文仿宋" w:cs="仿宋"/>
          <w:b/>
          <w:bCs/>
          <w:color w:val="000000" w:themeColor="text1"/>
          <w:sz w:val="21"/>
          <w:highlight w:val="none"/>
          <w14:textFill>
            <w14:solidFill>
              <w14:schemeClr w14:val="tx1"/>
            </w14:solidFill>
          </w14:textFill>
        </w:rPr>
        <w:t>26、投诉</w:t>
      </w:r>
    </w:p>
    <w:p w14:paraId="0E565A6F">
      <w:pPr>
        <w:pStyle w:val="6"/>
        <w:spacing w:before="42" w:line="360" w:lineRule="auto"/>
        <w:ind w:left="323" w:right="312"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质疑供应商对代理机构的答复不满意，或代理机构未在规定的时间内作出答复的，可以在答复期满后十五个工作日内向同级财政部门投诉。</w:t>
      </w:r>
    </w:p>
    <w:p w14:paraId="66DF67C7">
      <w:pPr>
        <w:pStyle w:val="6"/>
        <w:spacing w:before="12"/>
        <w:rPr>
          <w:rFonts w:hint="eastAsia" w:ascii="华文仿宋" w:hAnsi="华文仿宋" w:eastAsia="华文仿宋" w:cs="仿宋"/>
          <w:color w:val="000000" w:themeColor="text1"/>
          <w:sz w:val="7"/>
          <w:highlight w:val="none"/>
          <w14:textFill>
            <w14:solidFill>
              <w14:schemeClr w14:val="tx1"/>
            </w14:solidFill>
          </w14:textFill>
        </w:rPr>
      </w:pPr>
    </w:p>
    <w:p w14:paraId="150127A9">
      <w:pPr>
        <w:spacing w:before="50"/>
        <w:ind w:left="8"/>
        <w:jc w:val="center"/>
        <w:rPr>
          <w:rFonts w:hint="eastAsia" w:ascii="华文仿宋" w:hAnsi="华文仿宋" w:eastAsia="华文仿宋" w:cs="仿宋"/>
          <w:color w:val="000000" w:themeColor="text1"/>
          <w:sz w:val="36"/>
          <w:highlight w:val="none"/>
          <w14:textFill>
            <w14:solidFill>
              <w14:schemeClr w14:val="tx1"/>
            </w14:solidFill>
          </w14:textFill>
        </w:rPr>
      </w:pPr>
      <w:bookmarkStart w:id="57" w:name="第三章_磋商项目需求"/>
      <w:bookmarkEnd w:id="57"/>
    </w:p>
    <w:p w14:paraId="2603E721">
      <w:pPr>
        <w:pStyle w:val="17"/>
        <w:rPr>
          <w:rFonts w:hint="eastAsia" w:ascii="华文仿宋" w:hAnsi="华文仿宋" w:eastAsia="华文仿宋"/>
          <w:highlight w:val="none"/>
        </w:rPr>
      </w:pPr>
    </w:p>
    <w:p w14:paraId="472CA127">
      <w:pPr>
        <w:rPr>
          <w:rFonts w:hint="eastAsia" w:ascii="华文仿宋" w:hAnsi="华文仿宋" w:eastAsia="华文仿宋"/>
          <w:highlight w:val="none"/>
        </w:rPr>
      </w:pPr>
    </w:p>
    <w:p w14:paraId="383A5562">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8" w:name="_Toc11243"/>
    </w:p>
    <w:p w14:paraId="24ED52E8">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504A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4C63E2D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463E1CC">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2E4E7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B924E7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E6DA8A9">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2CD30E9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5E24C8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3DC57F7D">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p>
    <w:p w14:paraId="6D2ED34D">
      <w:pPr>
        <w:spacing w:before="50" w:line="276" w:lineRule="auto"/>
        <w:ind w:left="8"/>
        <w:jc w:val="center"/>
        <w:outlineLvl w:val="0"/>
        <w:rPr>
          <w:rFonts w:hint="eastAsia" w:ascii="华文仿宋" w:hAnsi="华文仿宋" w:eastAsia="华文仿宋" w:cs="仿宋"/>
          <w:color w:val="000000" w:themeColor="text1"/>
          <w:sz w:val="36"/>
          <w:highlight w:val="yellow"/>
          <w14:textFill>
            <w14:solidFill>
              <w14:schemeClr w14:val="tx1"/>
            </w14:solidFill>
          </w14:textFill>
        </w:rPr>
      </w:pPr>
    </w:p>
    <w:p w14:paraId="364F376F">
      <w:pPr>
        <w:spacing w:before="50" w:line="276" w:lineRule="auto"/>
        <w:ind w:left="8"/>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第三章 磋商项目需求</w:t>
      </w:r>
      <w:bookmarkEnd w:id="58"/>
    </w:p>
    <w:p w14:paraId="33C50225">
      <w:pPr>
        <w:pStyle w:val="17"/>
        <w:rPr>
          <w:rFonts w:hint="eastAsia" w:ascii="华文仿宋" w:hAnsi="华文仿宋" w:eastAsia="华文仿宋"/>
          <w:highlight w:val="none"/>
        </w:rPr>
      </w:pPr>
    </w:p>
    <w:p w14:paraId="3874CFFE">
      <w:pPr>
        <w:spacing w:before="82" w:line="360" w:lineRule="auto"/>
        <w:ind w:right="1290" w:rightChars="0" w:firstLine="210" w:firstLineChars="100"/>
        <w:rPr>
          <w:rFonts w:hint="eastAsia" w:ascii="华文仿宋" w:hAnsi="华文仿宋" w:eastAsia="华文仿宋" w:cs="仿宋"/>
          <w:b/>
          <w:color w:val="000000" w:themeColor="text1"/>
          <w:sz w:val="21"/>
          <w:highlight w:val="none"/>
          <w:lang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一、项目名称：</w:t>
      </w:r>
      <w:r>
        <w:rPr>
          <w:rFonts w:hint="eastAsia" w:ascii="华文仿宋" w:hAnsi="华文仿宋" w:eastAsia="华文仿宋" w:cs="仿宋"/>
          <w:b/>
          <w:color w:val="000000" w:themeColor="text1"/>
          <w:sz w:val="21"/>
          <w:highlight w:val="none"/>
          <w:lang w:eastAsia="zh-CN"/>
          <w14:textFill>
            <w14:solidFill>
              <w14:schemeClr w14:val="tx1"/>
            </w14:solidFill>
          </w14:textFill>
        </w:rPr>
        <w:t>湖熟中心小学整体改扩建工程项目(报告厅(含食堂)及风雨操场)结算审计</w:t>
      </w:r>
    </w:p>
    <w:p w14:paraId="0BD3C697">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二、合同履行期限：</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180日历天</w:t>
      </w:r>
    </w:p>
    <w:p w14:paraId="5603D533">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三、</w:t>
      </w:r>
      <w:r>
        <w:rPr>
          <w:rFonts w:hint="eastAsia" w:ascii="仿宋" w:hAnsi="仿宋" w:eastAsia="仿宋" w:cs="仿宋"/>
          <w:b/>
          <w:color w:val="000000" w:themeColor="text1"/>
          <w:sz w:val="21"/>
          <w:highlight w:val="none"/>
          <w14:textFill>
            <w14:solidFill>
              <w14:schemeClr w14:val="tx1"/>
            </w14:solidFill>
          </w14:textFill>
        </w:rPr>
        <w:t>咨询服务的项目要求及流程</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w:t>
      </w:r>
    </w:p>
    <w:p w14:paraId="7D65587B">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（一）工作服务要求 （包含但不限于）</w:t>
      </w:r>
    </w:p>
    <w:p w14:paraId="54586597">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（1）根据业主的要求确定造价控制目标，审核预算、控制价（含清单审核）并出具全过程工程造价咨询报告，制定控制造价的实施方案。 </w:t>
      </w:r>
    </w:p>
    <w:p w14:paraId="1B38DDD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（2）结合招标文件、设计图纸和工程量清单，分析中标人的投标报价有无偏差及漏项，在签订合同前提出书面解决办法。 </w:t>
      </w:r>
    </w:p>
    <w:p w14:paraId="6D58F52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（3）分析施工图设计质量和设计深度，参加施工图会审，在施工前发现设计缺陷，提出弥补方案，减少日后因设计变更造成的损失。 </w:t>
      </w:r>
    </w:p>
    <w:p w14:paraId="7A21D0C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（4）根据项目进展情况实施工程计量，尤其是隐蔽工程和工程签证的计量工作，同步做好勘察、计量、留证（图片、文字资料）及验收等；按月提供已完成合格工程量报表和已支付工程款报表； 根据项目总体进度计划和实际进展情况，提供月度、季度和年度用款计划。 </w:t>
      </w:r>
    </w:p>
    <w:p w14:paraId="0F443C78">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5）无确定的材料价格的核价、现场签证、设计变更和工程量调整的协办、跟踪、评估（编制预算）：跟踪计量并签发现场签证，预评估（含编制预算）设计变更、无确定的材料价格的核价和工程量调整、现场签证的费用，跟踪计量，及时提交工程签证、设计变更、无确定的材料价格的核价和工程量调整的预算报告，根据预算报告提出合理化建议或结论，并按月向业主提供造价控制动态分析报告。 </w:t>
      </w:r>
    </w:p>
    <w:p w14:paraId="732425BD">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（6）及时审核设计变更、现场签证等发生的费用，分析由此给项目造价带来的影响，并提交书面审核意见； </w:t>
      </w:r>
    </w:p>
    <w:p w14:paraId="25EFCDB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（7）承发包双方提出索赔时，根据索赔事项、索赔内容，为业主提供书面咨询意见。 </w:t>
      </w:r>
    </w:p>
    <w:p w14:paraId="303A1789">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（8）协助业主签订各类施工合同、材料设备供应合同。对于暂定价材料或甲供材，须按照图纸和投标文件预测算材料、设备供应总量；根据造价控制目标，提供材料设备选用的价格和采购建议。 </w:t>
      </w:r>
    </w:p>
    <w:p w14:paraId="4BEFC115">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（9）参加工程例会和与工程造价控制有关的会议。 </w:t>
      </w:r>
    </w:p>
    <w:p w14:paraId="776D77C2">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（10）及时提供全过程工程造价咨询服务过程中整套资料，装订成册交业主归档。 </w:t>
      </w:r>
    </w:p>
    <w:p w14:paraId="43A19FA5">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（11）完成业主交办的与全过程工程造价咨询服务项目有关的其他工作。 </w:t>
      </w:r>
    </w:p>
    <w:p w14:paraId="43E90F0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12）须提供的报表、报告：①按月整理汇总提交新增材料价格的核价、工程签证、设计变更和工程量调整的相关资料；②按月提供已完成合格工程量报表、拟支付工程款报表和已支付工程款报表；根据项目总体进度计划和实际进展情况，提供月度、季度和年度用款计划；③按月提交造价控制动态分析报告；④按期提交进度款的付款建议书及其附件；⑤各类变更按照南京市江宁区现行文件规定执行；⑥处理索赔的建议和协调处理结果书面记录及其附件；⑦其他相关资料。 </w:t>
      </w:r>
    </w:p>
    <w:p w14:paraId="17E78F9F">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竣工阶段：工程竣工后，由建设单位将施工单位整理、编制的竣工结算资料提交至街道审计所，在提交前建设单位应组织人员对资料的真实性、完整性做相应复核，避免虚假资料给审计工作带来干扰，影响结算审计的效率和正确性。</w:t>
      </w:r>
    </w:p>
    <w:p w14:paraId="1991532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审计工作流程</w:t>
      </w:r>
    </w:p>
    <w:p w14:paraId="7258A141">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1、审计项目委托：凡在本方案管理范围内的建设项目，由其建设单位或负责部门准备齐资料经相关领导审批后，提交审计资料，办理相应手续。</w:t>
      </w:r>
    </w:p>
    <w:p w14:paraId="51A0DA72">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2、资料交接：收到咨询任务的咨询单位应在约定的时间内到街道审计所或其指定的部门接受任务资料，任务结束后将资料退还审计所或其指定的部门，双方交接代表签字。审计过程中，未经审计所同意，咨询单位不得把资料出借给任何单位使用或复印。</w:t>
      </w:r>
    </w:p>
    <w:p w14:paraId="27EB5A17">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3、审计工作实施</w:t>
      </w:r>
    </w:p>
    <w:p w14:paraId="2B16534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各咨询单位应安排固定的负责人与街道审计所对接，及时汇报审计进展情况。收到审计资料后应及时检查资料的完整情况，对明显缺乏的必备资料，应在收到资料一周内向审计所提出完善资料要求。</w:t>
      </w:r>
    </w:p>
    <w:p w14:paraId="500C29D2">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    咨询单位及时开展审计工作，一般情况下送审造价100万元以下（含100万）项目，两个月内应完成审计工作，送审造价大于100万元应在三个月内完成工作。如遇特殊情况，不能按时完成审计工作的，需由咨询单位写明原由给街道审计所，经双方协商后再根据实际情况商定完成时间。审计过程中确实需要进一步完善或补充的资料，须由参建各方签署意见后报送审计所，未经审计所同意咨询单位不得接受任何单位提供的与审计所委托项目相关的资料。</w:t>
      </w:r>
    </w:p>
    <w:p w14:paraId="099A6E8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4、对于复审的项目</w:t>
      </w:r>
    </w:p>
    <w:p w14:paraId="7C88AFF6">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咨询单位应严格执行复核制度，确保审计质量。审计所有权再委托其它咨询单位复审，如因初审单位原因导致某项目复审核减率超过3%时，初审咨询单位审计费减半，如超过5%时初审咨询单位审计费全免。</w:t>
      </w:r>
    </w:p>
    <w:p w14:paraId="2062C129">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 xml:space="preserve">（二）人员服务要求 </w:t>
      </w:r>
    </w:p>
    <w:p w14:paraId="3EE41900">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（1）中标单位承接跟踪审计项目必须派出审计小组，审计小组由项目负责人和其他审计人员组成，按照投标时人员组成执行。审计小组成员（含项目负责人）必须是投标单位在聘的合同制人员（以公司为其交纳 6个月及以上保险的有效凭证为据）。</w:t>
      </w:r>
    </w:p>
    <w:p w14:paraId="213619DE">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2）中标单位需更换审计小组成员，需提前14天书面通知招标人，经招标人书面同意后进行更换，具体违约金如下：项目负责人10000元人民币/次，且证书、职称及工作经验不低于投标时所报的项目负责人；一级造价工程师5000元人民币/次，且证书、职称不低于投标时所报的人员；其他人人员由招标人视情况而定。</w:t>
      </w:r>
    </w:p>
    <w:p w14:paraId="4AF6711C">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3）非经招标人书面同意，不得更换投标时所报的项目负责人及全过程工程造价咨询项目组人员，未经同意擅自更换人员将取消合作资格，对招标人所造成的工作延误和损失，将追究中标单位的经济责任，并报备区审计局。</w:t>
      </w:r>
    </w:p>
    <w:p w14:paraId="07450683">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保密要求</w:t>
      </w:r>
    </w:p>
    <w:p w14:paraId="1E7E9F29">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咨询单位应学习了解有关保密规章制度，在参与江宁区湖熟街道办事处组织实施的政府投资工程项目跟踪审计及结算审核等项目全过程中，以及项目结束后的一年脱密期内，认真遵守国家保密法律、法规和规章制度；认真遵守保密规章制度，履行保密义务，自愿接受保密审查；不违规记录、存储、复制国家秘密、工作秘密、商业秘密信息，不违规留存国家秘密、工作秘密、商业秘密载体；不以任何方式泄露（含本人家属）所接触和知悉的国家秘密、工作秘密、商业秘密，未经街道批准，不擅自发表涉及未公开的与项目内容有关的文章、著述，不擅自接受媒体采访。</w:t>
      </w:r>
    </w:p>
    <w:p w14:paraId="4512072F">
      <w:pPr>
        <w:pStyle w:val="17"/>
        <w:shd w:val="clear"/>
        <w:spacing w:line="360" w:lineRule="auto"/>
        <w:rPr>
          <w:rFonts w:hint="default" w:ascii="华文仿宋" w:hAnsi="华文仿宋" w:eastAsia="华文仿宋" w:cs="宋体"/>
          <w:sz w:val="21"/>
          <w:szCs w:val="21"/>
          <w:highlight w:val="none"/>
          <w:lang w:val="en-US" w:eastAsia="zh-CN"/>
        </w:rPr>
      </w:pPr>
      <w:r>
        <w:rPr>
          <w:rFonts w:hint="default" w:ascii="华文仿宋" w:hAnsi="华文仿宋" w:eastAsia="华文仿宋" w:cs="宋体"/>
          <w:sz w:val="21"/>
          <w:szCs w:val="21"/>
          <w:highlight w:val="none"/>
          <w:lang w:val="en-US" w:eastAsia="zh-CN"/>
        </w:rPr>
        <w:t>如违反上述承诺，咨询单位无条件接受江宁区湖熟街道办事处解除外聘合同约定，造成被审计单位或者个人的合法权益受到损害的，依法承担赔偿责任；构成犯罪的，依法承担刑事责任</w:t>
      </w:r>
      <w:r>
        <w:rPr>
          <w:rFonts w:hint="eastAsia" w:ascii="华文仿宋" w:hAnsi="华文仿宋" w:eastAsia="华文仿宋" w:cs="宋体"/>
          <w:sz w:val="21"/>
          <w:szCs w:val="21"/>
          <w:highlight w:val="none"/>
          <w:lang w:val="en-US" w:eastAsia="zh-CN"/>
        </w:rPr>
        <w:t>。</w:t>
      </w:r>
    </w:p>
    <w:p w14:paraId="01791FA9">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p>
    <w:p w14:paraId="7693B22F">
      <w:pPr>
        <w:spacing w:before="82" w:line="360" w:lineRule="auto"/>
        <w:ind w:right="3668"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四、付款方式：</w:t>
      </w:r>
    </w:p>
    <w:p w14:paraId="05761448">
      <w:pPr>
        <w:pStyle w:val="17"/>
        <w:spacing w:line="480" w:lineRule="auto"/>
        <w:ind w:left="0" w:leftChars="0" w:firstLine="0" w:firstLineChars="0"/>
        <w:rPr>
          <w:rFonts w:hint="default" w:ascii="华文仿宋" w:hAnsi="华文仿宋" w:eastAsia="华文仿宋"/>
          <w:sz w:val="21"/>
          <w:szCs w:val="21"/>
          <w:highlight w:val="none"/>
          <w:lang w:val="en-US" w:eastAsia="zh-CN"/>
        </w:rPr>
      </w:pPr>
      <w:r>
        <w:rPr>
          <w:rFonts w:hint="eastAsia" w:ascii="华文仿宋" w:hAnsi="华文仿宋" w:eastAsia="华文仿宋"/>
          <w:sz w:val="21"/>
          <w:szCs w:val="21"/>
          <w:highlight w:val="none"/>
          <w:lang w:val="en-US" w:eastAsia="zh-CN"/>
        </w:rPr>
        <w:t>在出具结算审核报告后支付到合同价款的60%，余款半年内支付完毕。</w:t>
      </w:r>
    </w:p>
    <w:p w14:paraId="0C4C8551">
      <w:pPr>
        <w:rPr>
          <w:rFonts w:hint="eastAsia"/>
          <w:highlight w:val="none"/>
          <w:lang w:val="en-US" w:eastAsia="zh-CN"/>
        </w:rPr>
      </w:pPr>
    </w:p>
    <w:p w14:paraId="3D61A20A">
      <w:pPr>
        <w:numPr>
          <w:ilvl w:val="0"/>
          <w:numId w:val="0"/>
        </w:numPr>
        <w:spacing w:before="82" w:line="360" w:lineRule="auto"/>
        <w:ind w:right="3668" w:rightChars="0" w:firstLine="210" w:firstLineChars="100"/>
        <w:rPr>
          <w:rFonts w:hint="eastAsia" w:ascii="华文仿宋" w:hAnsi="华文仿宋" w:eastAsia="华文仿宋" w:cs="仿宋"/>
          <w:b/>
          <w:color w:val="000000" w:themeColor="text1"/>
          <w:sz w:val="21"/>
          <w:highlight w:val="none"/>
          <w:lang w:val="en-US" w:eastAsia="zh-CN"/>
          <w14:textFill>
            <w14:solidFill>
              <w14:schemeClr w14:val="tx1"/>
            </w14:solidFill>
          </w14:textFill>
        </w:rPr>
      </w:pPr>
      <w:r>
        <w:rPr>
          <w:rFonts w:hint="eastAsia" w:ascii="华文仿宋" w:hAnsi="华文仿宋" w:eastAsia="华文仿宋" w:cs="仿宋"/>
          <w:b/>
          <w:color w:val="000000" w:themeColor="text1"/>
          <w:sz w:val="21"/>
          <w:szCs w:val="22"/>
          <w:highlight w:val="none"/>
          <w:lang w:val="en-US" w:eastAsia="zh-CN" w:bidi="zh-CN"/>
          <w14:textFill>
            <w14:solidFill>
              <w14:schemeClr w14:val="tx1"/>
            </w14:solidFill>
          </w14:textFill>
        </w:rPr>
        <w:t>五、</w:t>
      </w:r>
      <w:r>
        <w:rPr>
          <w:rFonts w:hint="eastAsia" w:ascii="华文仿宋" w:hAnsi="华文仿宋" w:eastAsia="华文仿宋" w:cs="仿宋"/>
          <w:b/>
          <w:color w:val="000000" w:themeColor="text1"/>
          <w:sz w:val="21"/>
          <w:highlight w:val="none"/>
          <w:lang w:val="en-US" w:eastAsia="zh-CN"/>
          <w14:textFill>
            <w14:solidFill>
              <w14:schemeClr w14:val="tx1"/>
            </w14:solidFill>
          </w14:textFill>
        </w:rPr>
        <w:t>报价要求：</w:t>
      </w:r>
    </w:p>
    <w:p w14:paraId="2ED4D338">
      <w:pPr>
        <w:pStyle w:val="17"/>
        <w:shd w:val="clear"/>
        <w:spacing w:line="360" w:lineRule="auto"/>
        <w:ind w:left="0" w:leftChars="0" w:firstLine="0" w:firstLineChars="0"/>
        <w:rPr>
          <w:rFonts w:hint="eastAsia" w:ascii="华文仿宋" w:hAnsi="华文仿宋" w:eastAsia="华文仿宋" w:cs="宋体"/>
          <w:sz w:val="21"/>
          <w:szCs w:val="21"/>
          <w:highlight w:val="none"/>
          <w:lang w:val="en-US" w:eastAsia="zh-CN"/>
        </w:rPr>
      </w:pPr>
      <w:r>
        <w:rPr>
          <w:rFonts w:hint="eastAsia" w:ascii="仿宋" w:hAnsi="仿宋" w:eastAsia="仿宋" w:cs="仿宋"/>
          <w:spacing w:val="-8"/>
          <w:sz w:val="21"/>
          <w:highlight w:val="none"/>
          <w:lang w:val="en-US" w:eastAsia="zh-CN"/>
        </w:rPr>
        <w:t>按照江苏省建设工程造价咨询服务收费标准(苏价服（2014）383号)下浮（优惠率）不少于40%。</w:t>
      </w:r>
    </w:p>
    <w:p w14:paraId="6E879A97">
      <w:pPr>
        <w:rPr>
          <w:rFonts w:hint="eastAsia" w:ascii="华文仿宋" w:hAnsi="华文仿宋" w:eastAsia="华文仿宋" w:cs="宋体"/>
          <w:sz w:val="21"/>
          <w:szCs w:val="21"/>
          <w:highlight w:val="none"/>
          <w:lang w:val="en-US" w:eastAsia="zh-CN"/>
        </w:rPr>
      </w:pPr>
    </w:p>
    <w:p w14:paraId="4C82A9C2">
      <w:pPr>
        <w:pStyle w:val="7"/>
        <w:rPr>
          <w:rFonts w:hint="eastAsia" w:ascii="华文仿宋" w:hAnsi="华文仿宋" w:eastAsia="华文仿宋" w:cs="宋体"/>
          <w:sz w:val="21"/>
          <w:szCs w:val="21"/>
          <w:highlight w:val="none"/>
          <w:lang w:val="en-US" w:eastAsia="zh-CN"/>
        </w:rPr>
      </w:pPr>
    </w:p>
    <w:p w14:paraId="47C6EA41">
      <w:pPr>
        <w:pStyle w:val="7"/>
        <w:rPr>
          <w:rFonts w:hint="eastAsia" w:ascii="华文仿宋" w:hAnsi="华文仿宋" w:eastAsia="华文仿宋" w:cs="宋体"/>
          <w:sz w:val="21"/>
          <w:szCs w:val="21"/>
          <w:highlight w:val="none"/>
          <w:lang w:val="en-US" w:eastAsia="zh-CN"/>
        </w:rPr>
      </w:pPr>
    </w:p>
    <w:p w14:paraId="4B2DC090">
      <w:pPr>
        <w:pStyle w:val="7"/>
        <w:rPr>
          <w:rFonts w:hint="eastAsia" w:ascii="华文仿宋" w:hAnsi="华文仿宋" w:eastAsia="华文仿宋" w:cs="宋体"/>
          <w:sz w:val="21"/>
          <w:szCs w:val="21"/>
          <w:highlight w:val="none"/>
          <w:lang w:val="en-US" w:eastAsia="zh-CN"/>
        </w:rPr>
      </w:pPr>
    </w:p>
    <w:p w14:paraId="791BD6E0">
      <w:pPr>
        <w:pStyle w:val="7"/>
        <w:rPr>
          <w:rFonts w:hint="eastAsia" w:ascii="华文仿宋" w:hAnsi="华文仿宋" w:eastAsia="华文仿宋" w:cs="宋体"/>
          <w:sz w:val="21"/>
          <w:szCs w:val="21"/>
          <w:highlight w:val="none"/>
          <w:lang w:val="en-US" w:eastAsia="zh-CN"/>
        </w:rPr>
      </w:pPr>
    </w:p>
    <w:p w14:paraId="00800211">
      <w:pPr>
        <w:pStyle w:val="7"/>
        <w:rPr>
          <w:rFonts w:hint="eastAsia" w:ascii="华文仿宋" w:hAnsi="华文仿宋" w:eastAsia="华文仿宋" w:cs="宋体"/>
          <w:sz w:val="21"/>
          <w:szCs w:val="21"/>
          <w:highlight w:val="none"/>
          <w:lang w:val="en-US" w:eastAsia="zh-CN"/>
        </w:rPr>
      </w:pPr>
    </w:p>
    <w:p w14:paraId="13BA8577">
      <w:pPr>
        <w:pStyle w:val="7"/>
        <w:rPr>
          <w:rFonts w:hint="eastAsia" w:ascii="华文仿宋" w:hAnsi="华文仿宋" w:eastAsia="华文仿宋" w:cs="宋体"/>
          <w:sz w:val="21"/>
          <w:szCs w:val="21"/>
          <w:highlight w:val="none"/>
          <w:lang w:val="en-US" w:eastAsia="zh-CN"/>
        </w:rPr>
      </w:pPr>
    </w:p>
    <w:p w14:paraId="532C02AB">
      <w:pPr>
        <w:pStyle w:val="7"/>
        <w:rPr>
          <w:rFonts w:hint="eastAsia" w:ascii="华文仿宋" w:hAnsi="华文仿宋" w:eastAsia="华文仿宋" w:cs="宋体"/>
          <w:sz w:val="21"/>
          <w:szCs w:val="21"/>
          <w:highlight w:val="none"/>
          <w:lang w:val="en-US" w:eastAsia="zh-CN"/>
        </w:rPr>
      </w:pPr>
    </w:p>
    <w:p w14:paraId="6D3CC25E">
      <w:pPr>
        <w:pStyle w:val="7"/>
        <w:rPr>
          <w:rFonts w:hint="eastAsia" w:ascii="华文仿宋" w:hAnsi="华文仿宋" w:eastAsia="华文仿宋" w:cs="宋体"/>
          <w:sz w:val="21"/>
          <w:szCs w:val="21"/>
          <w:highlight w:val="none"/>
          <w:lang w:val="en-US" w:eastAsia="zh-CN"/>
        </w:rPr>
      </w:pPr>
    </w:p>
    <w:p w14:paraId="2A77BB01">
      <w:pPr>
        <w:pStyle w:val="7"/>
        <w:rPr>
          <w:rFonts w:hint="eastAsia" w:ascii="华文仿宋" w:hAnsi="华文仿宋" w:eastAsia="华文仿宋" w:cs="宋体"/>
          <w:sz w:val="21"/>
          <w:szCs w:val="21"/>
          <w:highlight w:val="none"/>
          <w:lang w:val="en-US" w:eastAsia="zh-CN"/>
        </w:rPr>
      </w:pPr>
    </w:p>
    <w:p w14:paraId="569EFC02">
      <w:pPr>
        <w:pStyle w:val="7"/>
        <w:rPr>
          <w:rFonts w:hint="eastAsia" w:ascii="华文仿宋" w:hAnsi="华文仿宋" w:eastAsia="华文仿宋" w:cs="宋体"/>
          <w:sz w:val="21"/>
          <w:szCs w:val="21"/>
          <w:highlight w:val="none"/>
          <w:lang w:val="en-US" w:eastAsia="zh-CN"/>
        </w:rPr>
      </w:pPr>
    </w:p>
    <w:p w14:paraId="338992FA">
      <w:pPr>
        <w:pStyle w:val="7"/>
        <w:rPr>
          <w:rFonts w:hint="eastAsia" w:ascii="华文仿宋" w:hAnsi="华文仿宋" w:eastAsia="华文仿宋" w:cs="宋体"/>
          <w:sz w:val="21"/>
          <w:szCs w:val="21"/>
          <w:highlight w:val="none"/>
          <w:lang w:val="en-US" w:eastAsia="zh-CN"/>
        </w:rPr>
      </w:pPr>
    </w:p>
    <w:p w14:paraId="52E1682E">
      <w:pPr>
        <w:pStyle w:val="7"/>
        <w:rPr>
          <w:rFonts w:hint="eastAsia" w:ascii="华文仿宋" w:hAnsi="华文仿宋" w:eastAsia="华文仿宋" w:cs="宋体"/>
          <w:sz w:val="21"/>
          <w:szCs w:val="21"/>
          <w:highlight w:val="none"/>
          <w:lang w:val="en-US" w:eastAsia="zh-CN"/>
        </w:rPr>
      </w:pPr>
    </w:p>
    <w:p w14:paraId="00BA41D1">
      <w:pPr>
        <w:pStyle w:val="7"/>
        <w:rPr>
          <w:rFonts w:hint="eastAsia" w:ascii="华文仿宋" w:hAnsi="华文仿宋" w:eastAsia="华文仿宋" w:cs="宋体"/>
          <w:sz w:val="21"/>
          <w:szCs w:val="21"/>
          <w:highlight w:val="none"/>
          <w:lang w:val="en-US" w:eastAsia="zh-CN"/>
        </w:rPr>
      </w:pPr>
    </w:p>
    <w:p w14:paraId="6A7BA020">
      <w:pPr>
        <w:pStyle w:val="7"/>
        <w:rPr>
          <w:rFonts w:hint="eastAsia" w:ascii="华文仿宋" w:hAnsi="华文仿宋" w:eastAsia="华文仿宋" w:cs="宋体"/>
          <w:sz w:val="21"/>
          <w:szCs w:val="21"/>
          <w:highlight w:val="none"/>
          <w:lang w:val="en-US" w:eastAsia="zh-CN"/>
        </w:rPr>
      </w:pPr>
    </w:p>
    <w:p w14:paraId="246B0434">
      <w:pPr>
        <w:pStyle w:val="7"/>
        <w:rPr>
          <w:rFonts w:hint="eastAsia" w:ascii="华文仿宋" w:hAnsi="华文仿宋" w:eastAsia="华文仿宋" w:cs="宋体"/>
          <w:sz w:val="21"/>
          <w:szCs w:val="21"/>
          <w:highlight w:val="none"/>
          <w:lang w:val="en-US" w:eastAsia="zh-CN"/>
        </w:rPr>
      </w:pPr>
    </w:p>
    <w:p w14:paraId="3A214236">
      <w:pPr>
        <w:pStyle w:val="7"/>
        <w:rPr>
          <w:rFonts w:hint="eastAsia" w:ascii="华文仿宋" w:hAnsi="华文仿宋" w:eastAsia="华文仿宋" w:cs="宋体"/>
          <w:sz w:val="21"/>
          <w:szCs w:val="21"/>
          <w:highlight w:val="none"/>
          <w:lang w:val="en-US" w:eastAsia="zh-CN"/>
        </w:rPr>
      </w:pPr>
    </w:p>
    <w:p w14:paraId="709E67B5">
      <w:pPr>
        <w:pStyle w:val="7"/>
        <w:rPr>
          <w:rFonts w:hint="eastAsia" w:ascii="华文仿宋" w:hAnsi="华文仿宋" w:eastAsia="华文仿宋" w:cs="宋体"/>
          <w:sz w:val="21"/>
          <w:szCs w:val="21"/>
          <w:highlight w:val="none"/>
          <w:lang w:val="en-US" w:eastAsia="zh-CN"/>
        </w:rPr>
      </w:pPr>
    </w:p>
    <w:p w14:paraId="68A9920F">
      <w:pPr>
        <w:pStyle w:val="7"/>
        <w:rPr>
          <w:rFonts w:hint="eastAsia" w:ascii="华文仿宋" w:hAnsi="华文仿宋" w:eastAsia="华文仿宋" w:cs="宋体"/>
          <w:sz w:val="21"/>
          <w:szCs w:val="21"/>
          <w:highlight w:val="none"/>
          <w:lang w:val="en-US" w:eastAsia="zh-CN"/>
        </w:rPr>
      </w:pPr>
    </w:p>
    <w:p w14:paraId="110930F9">
      <w:pPr>
        <w:pStyle w:val="7"/>
        <w:rPr>
          <w:rFonts w:hint="eastAsia" w:ascii="华文仿宋" w:hAnsi="华文仿宋" w:eastAsia="华文仿宋" w:cs="宋体"/>
          <w:sz w:val="21"/>
          <w:szCs w:val="21"/>
          <w:highlight w:val="none"/>
          <w:lang w:val="en-US" w:eastAsia="zh-CN"/>
        </w:rPr>
      </w:pPr>
    </w:p>
    <w:p w14:paraId="50E808EF">
      <w:pPr>
        <w:pStyle w:val="7"/>
        <w:rPr>
          <w:rFonts w:hint="eastAsia" w:ascii="华文仿宋" w:hAnsi="华文仿宋" w:eastAsia="华文仿宋" w:cs="宋体"/>
          <w:sz w:val="21"/>
          <w:szCs w:val="21"/>
          <w:highlight w:val="none"/>
          <w:lang w:val="en-US" w:eastAsia="zh-CN"/>
        </w:rPr>
      </w:pPr>
    </w:p>
    <w:p w14:paraId="5A5A50A5">
      <w:pPr>
        <w:pStyle w:val="7"/>
        <w:rPr>
          <w:rFonts w:hint="eastAsia" w:ascii="华文仿宋" w:hAnsi="华文仿宋" w:eastAsia="华文仿宋" w:cs="宋体"/>
          <w:sz w:val="21"/>
          <w:szCs w:val="21"/>
          <w:highlight w:val="none"/>
          <w:lang w:val="en-US" w:eastAsia="zh-CN"/>
        </w:rPr>
      </w:pPr>
    </w:p>
    <w:p w14:paraId="4DC94C4F">
      <w:pPr>
        <w:spacing w:before="150"/>
      </w:pPr>
    </w:p>
    <w:p w14:paraId="1D96ACEA">
      <w:pPr>
        <w:spacing w:before="21"/>
        <w:ind w:right="489"/>
        <w:jc w:val="center"/>
        <w:outlineLvl w:val="0"/>
        <w:rPr>
          <w:rFonts w:hint="eastAsia" w:ascii="华文仿宋" w:hAnsi="华文仿宋" w:eastAsia="华文仿宋" w:cs="仿宋"/>
          <w:color w:val="000000" w:themeColor="text1"/>
          <w:sz w:val="36"/>
          <w:highlight w:val="none"/>
          <w14:textFill>
            <w14:solidFill>
              <w14:schemeClr w14:val="tx1"/>
            </w14:solidFill>
          </w14:textFill>
        </w:rPr>
      </w:pPr>
      <w:bookmarkStart w:id="59" w:name="_Toc5503"/>
      <w:r>
        <w:rPr>
          <w:rFonts w:hint="eastAsia" w:ascii="华文仿宋" w:hAnsi="华文仿宋" w:eastAsia="华文仿宋" w:cs="仿宋"/>
          <w:color w:val="000000" w:themeColor="text1"/>
          <w:sz w:val="36"/>
          <w:highlight w:val="none"/>
          <w14:textFill>
            <w14:solidFill>
              <w14:schemeClr w14:val="tx1"/>
            </w14:solidFill>
          </w14:textFill>
        </w:rPr>
        <w:t>第四章 评分标准</w:t>
      </w:r>
      <w:bookmarkEnd w:id="59"/>
    </w:p>
    <w:p w14:paraId="4E6B729E">
      <w:pPr>
        <w:pStyle w:val="6"/>
        <w:spacing w:before="3" w:after="4" w:line="242" w:lineRule="auto"/>
        <w:ind w:left="551" w:right="727" w:firstLine="480"/>
        <w:jc w:val="both"/>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本项目采用</w:t>
      </w:r>
      <w:r>
        <w:rPr>
          <w:rFonts w:hint="eastAsia" w:ascii="华文仿宋" w:hAnsi="华文仿宋" w:eastAsia="华文仿宋" w:cs="仿宋"/>
          <w:b/>
          <w:color w:val="000000" w:themeColor="text1"/>
          <w:highlight w:val="none"/>
          <w14:textFill>
            <w14:solidFill>
              <w14:schemeClr w14:val="tx1"/>
            </w14:solidFill>
          </w14:textFill>
        </w:rPr>
        <w:t>综合评分法</w:t>
      </w:r>
      <w:r>
        <w:rPr>
          <w:rFonts w:hint="eastAsia" w:ascii="华文仿宋" w:hAnsi="华文仿宋" w:eastAsia="华文仿宋" w:cs="仿宋"/>
          <w:color w:val="000000" w:themeColor="text1"/>
          <w:spacing w:val="-8"/>
          <w:highlight w:val="none"/>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3"/>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0" w:type="dxa"/>
          <w:right w:w="15" w:type="dxa"/>
        </w:tblCellMar>
      </w:tblPr>
      <w:tblGrid>
        <w:gridCol w:w="758"/>
        <w:gridCol w:w="1127"/>
        <w:gridCol w:w="6847"/>
        <w:gridCol w:w="726"/>
      </w:tblGrid>
      <w:tr w14:paraId="07EA4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1" w:hRule="atLeast"/>
          <w:jc w:val="center"/>
        </w:trPr>
        <w:tc>
          <w:tcPr>
            <w:tcW w:w="758" w:type="dxa"/>
            <w:shd w:val="clear" w:color="auto" w:fill="auto"/>
            <w:noWrap w:val="0"/>
            <w:tcMar>
              <w:top w:w="15" w:type="dxa"/>
              <w:left w:w="15" w:type="dxa"/>
              <w:bottom w:w="0" w:type="dxa"/>
              <w:right w:w="15" w:type="dxa"/>
            </w:tcMar>
            <w:vAlign w:val="center"/>
          </w:tcPr>
          <w:p w14:paraId="3193A31B">
            <w:pPr>
              <w:widowControl/>
              <w:shd w:val="clear" w:color="auto"/>
              <w:spacing w:line="480" w:lineRule="exact"/>
              <w:jc w:val="center"/>
              <w:rPr>
                <w:color w:val="000000"/>
                <w:sz w:val="24"/>
                <w:highlight w:val="none"/>
              </w:rPr>
            </w:pPr>
            <w:r>
              <w:rPr>
                <w:color w:val="000000"/>
                <w:sz w:val="24"/>
                <w:highlight w:val="none"/>
              </w:rPr>
              <w:t>序号</w:t>
            </w:r>
          </w:p>
        </w:tc>
        <w:tc>
          <w:tcPr>
            <w:tcW w:w="1127" w:type="dxa"/>
            <w:shd w:val="clear" w:color="auto" w:fill="auto"/>
            <w:noWrap w:val="0"/>
            <w:tcMar>
              <w:top w:w="15" w:type="dxa"/>
              <w:left w:w="15" w:type="dxa"/>
              <w:bottom w:w="0" w:type="dxa"/>
              <w:right w:w="15" w:type="dxa"/>
            </w:tcMar>
            <w:vAlign w:val="center"/>
          </w:tcPr>
          <w:p w14:paraId="39298279">
            <w:pPr>
              <w:widowControl/>
              <w:shd w:val="clear" w:color="auto"/>
              <w:spacing w:line="480" w:lineRule="exact"/>
              <w:jc w:val="center"/>
              <w:rPr>
                <w:color w:val="000000"/>
                <w:sz w:val="24"/>
                <w:highlight w:val="none"/>
              </w:rPr>
            </w:pPr>
            <w:r>
              <w:rPr>
                <w:color w:val="000000"/>
                <w:sz w:val="24"/>
                <w:highlight w:val="none"/>
              </w:rPr>
              <w:t>评分因素</w:t>
            </w:r>
          </w:p>
        </w:tc>
        <w:tc>
          <w:tcPr>
            <w:tcW w:w="6847" w:type="dxa"/>
            <w:shd w:val="clear" w:color="auto" w:fill="auto"/>
            <w:noWrap w:val="0"/>
            <w:tcMar>
              <w:top w:w="15" w:type="dxa"/>
              <w:left w:w="15" w:type="dxa"/>
              <w:bottom w:w="0" w:type="dxa"/>
              <w:right w:w="15" w:type="dxa"/>
            </w:tcMar>
            <w:vAlign w:val="center"/>
          </w:tcPr>
          <w:p w14:paraId="4771065F">
            <w:pPr>
              <w:widowControl/>
              <w:shd w:val="clear" w:color="auto"/>
              <w:spacing w:line="480" w:lineRule="exact"/>
              <w:jc w:val="center"/>
              <w:rPr>
                <w:color w:val="000000"/>
                <w:sz w:val="24"/>
                <w:highlight w:val="none"/>
              </w:rPr>
            </w:pPr>
            <w:r>
              <w:rPr>
                <w:color w:val="000000"/>
                <w:sz w:val="24"/>
                <w:highlight w:val="none"/>
              </w:rPr>
              <w:t>评 审 标 准</w:t>
            </w:r>
          </w:p>
        </w:tc>
        <w:tc>
          <w:tcPr>
            <w:tcW w:w="726" w:type="dxa"/>
            <w:shd w:val="clear" w:color="auto" w:fill="auto"/>
            <w:noWrap w:val="0"/>
            <w:vAlign w:val="center"/>
          </w:tcPr>
          <w:p w14:paraId="60EBBB49">
            <w:pPr>
              <w:widowControl/>
              <w:shd w:val="clear" w:color="auto"/>
              <w:spacing w:line="480" w:lineRule="exact"/>
              <w:jc w:val="center"/>
              <w:rPr>
                <w:color w:val="000000"/>
                <w:sz w:val="24"/>
                <w:highlight w:val="none"/>
              </w:rPr>
            </w:pPr>
            <w:r>
              <w:rPr>
                <w:color w:val="000000"/>
                <w:sz w:val="24"/>
                <w:highlight w:val="none"/>
              </w:rPr>
              <w:t>分值</w:t>
            </w:r>
          </w:p>
        </w:tc>
      </w:tr>
      <w:tr w14:paraId="7F9F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1986" w:hRule="atLeast"/>
          <w:jc w:val="center"/>
        </w:trPr>
        <w:tc>
          <w:tcPr>
            <w:tcW w:w="758" w:type="dxa"/>
            <w:shd w:val="clear" w:color="auto" w:fill="auto"/>
            <w:noWrap w:val="0"/>
            <w:tcMar>
              <w:top w:w="15" w:type="dxa"/>
              <w:left w:w="15" w:type="dxa"/>
              <w:bottom w:w="0" w:type="dxa"/>
              <w:right w:w="15" w:type="dxa"/>
            </w:tcMar>
            <w:vAlign w:val="center"/>
          </w:tcPr>
          <w:p w14:paraId="507B79EA">
            <w:pPr>
              <w:widowControl/>
              <w:shd w:val="clear" w:color="auto"/>
              <w:spacing w:line="480" w:lineRule="exact"/>
              <w:jc w:val="center"/>
              <w:rPr>
                <w:color w:val="000000"/>
                <w:sz w:val="24"/>
                <w:highlight w:val="none"/>
              </w:rPr>
            </w:pPr>
            <w:r>
              <w:rPr>
                <w:color w:val="000000"/>
                <w:sz w:val="24"/>
                <w:highlight w:val="none"/>
              </w:rPr>
              <w:t>1</w:t>
            </w:r>
          </w:p>
        </w:tc>
        <w:tc>
          <w:tcPr>
            <w:tcW w:w="1127" w:type="dxa"/>
            <w:shd w:val="clear" w:color="auto" w:fill="auto"/>
            <w:noWrap w:val="0"/>
            <w:tcMar>
              <w:top w:w="15" w:type="dxa"/>
              <w:left w:w="15" w:type="dxa"/>
              <w:bottom w:w="0" w:type="dxa"/>
              <w:right w:w="15" w:type="dxa"/>
            </w:tcMar>
            <w:vAlign w:val="center"/>
          </w:tcPr>
          <w:p w14:paraId="5A6C9819">
            <w:pPr>
              <w:widowControl/>
              <w:shd w:val="clear" w:color="auto"/>
              <w:spacing w:line="480" w:lineRule="exact"/>
              <w:jc w:val="center"/>
              <w:rPr>
                <w:color w:val="000000"/>
                <w:sz w:val="24"/>
                <w:highlight w:val="none"/>
              </w:rPr>
            </w:pPr>
            <w:r>
              <w:rPr>
                <w:color w:val="000000"/>
                <w:sz w:val="24"/>
                <w:highlight w:val="none"/>
              </w:rPr>
              <w:t>价格</w:t>
            </w:r>
          </w:p>
        </w:tc>
        <w:tc>
          <w:tcPr>
            <w:tcW w:w="6847" w:type="dxa"/>
            <w:shd w:val="clear" w:color="auto" w:fill="auto"/>
            <w:noWrap w:val="0"/>
            <w:tcMar>
              <w:top w:w="15" w:type="dxa"/>
              <w:left w:w="15" w:type="dxa"/>
              <w:bottom w:w="0" w:type="dxa"/>
              <w:right w:w="15" w:type="dxa"/>
            </w:tcMar>
            <w:vAlign w:val="center"/>
          </w:tcPr>
          <w:p w14:paraId="137149DF">
            <w:pPr>
              <w:widowControl/>
              <w:shd w:val="clear" w:color="auto"/>
              <w:spacing w:line="480" w:lineRule="exact"/>
              <w:rPr>
                <w:rFonts w:hint="eastAsia"/>
                <w:color w:val="000000"/>
                <w:sz w:val="22"/>
                <w:szCs w:val="22"/>
                <w:highlight w:val="none"/>
              </w:rPr>
            </w:pPr>
            <w:r>
              <w:rPr>
                <w:rFonts w:hint="eastAsia"/>
                <w:color w:val="000000"/>
                <w:sz w:val="22"/>
                <w:szCs w:val="22"/>
                <w:highlight w:val="none"/>
              </w:rPr>
              <w:t>1、评标基准分：10分</w:t>
            </w:r>
          </w:p>
          <w:p w14:paraId="655D947B">
            <w:pPr>
              <w:widowControl/>
              <w:shd w:val="clear" w:color="auto"/>
              <w:spacing w:line="480" w:lineRule="exact"/>
              <w:rPr>
                <w:rFonts w:hint="eastAsia"/>
                <w:color w:val="000000"/>
                <w:sz w:val="22"/>
                <w:szCs w:val="22"/>
                <w:highlight w:val="none"/>
              </w:rPr>
            </w:pPr>
            <w:r>
              <w:rPr>
                <w:rFonts w:hint="eastAsia"/>
                <w:color w:val="000000"/>
                <w:sz w:val="22"/>
                <w:szCs w:val="22"/>
                <w:highlight w:val="none"/>
              </w:rPr>
              <w:t>评标基准价：满足招标文件要求且投标</w:t>
            </w:r>
            <w:r>
              <w:rPr>
                <w:rFonts w:hint="eastAsia"/>
                <w:color w:val="000000"/>
                <w:sz w:val="22"/>
                <w:szCs w:val="22"/>
                <w:highlight w:val="none"/>
                <w:lang w:val="en-US" w:eastAsia="zh-CN"/>
              </w:rPr>
              <w:t>费率</w:t>
            </w:r>
            <w:r>
              <w:rPr>
                <w:rFonts w:hint="eastAsia"/>
                <w:color w:val="000000"/>
                <w:sz w:val="22"/>
                <w:szCs w:val="22"/>
                <w:highlight w:val="none"/>
              </w:rPr>
              <w:t>最低的投标报价为评标基准价，其价格分为满分（10分）。</w:t>
            </w:r>
          </w:p>
          <w:p w14:paraId="1B2D4D40">
            <w:pPr>
              <w:widowControl/>
              <w:shd w:val="clear" w:color="auto"/>
              <w:spacing w:line="480" w:lineRule="exact"/>
              <w:rPr>
                <w:highlight w:val="none"/>
              </w:rPr>
            </w:pPr>
            <w:r>
              <w:rPr>
                <w:rFonts w:hint="eastAsia"/>
                <w:color w:val="000000"/>
                <w:sz w:val="22"/>
                <w:szCs w:val="22"/>
                <w:highlight w:val="none"/>
              </w:rPr>
              <w:t>其他投标人报价得分：（评标基准价/投标报价）×评标基准分。</w:t>
            </w:r>
          </w:p>
        </w:tc>
        <w:tc>
          <w:tcPr>
            <w:tcW w:w="726" w:type="dxa"/>
            <w:shd w:val="clear" w:color="auto" w:fill="auto"/>
            <w:noWrap w:val="0"/>
            <w:vAlign w:val="center"/>
          </w:tcPr>
          <w:p w14:paraId="2C3F3F6A">
            <w:pPr>
              <w:widowControl/>
              <w:shd w:val="clear" w:color="auto"/>
              <w:spacing w:line="480" w:lineRule="exact"/>
              <w:jc w:val="center"/>
              <w:rPr>
                <w:color w:val="000000"/>
                <w:sz w:val="24"/>
                <w:highlight w:val="none"/>
              </w:rPr>
            </w:pPr>
            <w:r>
              <w:rPr>
                <w:rFonts w:hint="eastAsia"/>
                <w:color w:val="000000"/>
                <w:sz w:val="24"/>
                <w:highlight w:val="none"/>
              </w:rPr>
              <w:t>10</w:t>
            </w:r>
          </w:p>
        </w:tc>
      </w:tr>
      <w:tr w14:paraId="45AD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3456" w:hRule="atLeast"/>
          <w:jc w:val="center"/>
        </w:trPr>
        <w:tc>
          <w:tcPr>
            <w:tcW w:w="758" w:type="dxa"/>
            <w:vMerge w:val="restart"/>
            <w:shd w:val="clear" w:color="auto" w:fill="auto"/>
            <w:noWrap w:val="0"/>
            <w:tcMar>
              <w:top w:w="15" w:type="dxa"/>
              <w:left w:w="15" w:type="dxa"/>
              <w:bottom w:w="0" w:type="dxa"/>
              <w:right w:w="15" w:type="dxa"/>
            </w:tcMar>
            <w:vAlign w:val="center"/>
          </w:tcPr>
          <w:p w14:paraId="7F72D125">
            <w:pPr>
              <w:shd w:val="clear" w:color="auto"/>
              <w:spacing w:line="480" w:lineRule="exact"/>
              <w:jc w:val="center"/>
              <w:rPr>
                <w:color w:val="000000"/>
                <w:sz w:val="22"/>
                <w:szCs w:val="22"/>
                <w:highlight w:val="none"/>
              </w:rPr>
            </w:pPr>
            <w:r>
              <w:rPr>
                <w:color w:val="000000"/>
                <w:sz w:val="22"/>
                <w:szCs w:val="22"/>
                <w:highlight w:val="none"/>
              </w:rPr>
              <w:t>2</w:t>
            </w:r>
          </w:p>
        </w:tc>
        <w:tc>
          <w:tcPr>
            <w:tcW w:w="1127" w:type="dxa"/>
            <w:vMerge w:val="restart"/>
            <w:shd w:val="clear" w:color="auto" w:fill="auto"/>
            <w:noWrap w:val="0"/>
            <w:tcMar>
              <w:top w:w="15" w:type="dxa"/>
              <w:left w:w="15" w:type="dxa"/>
              <w:bottom w:w="0" w:type="dxa"/>
              <w:right w:w="15" w:type="dxa"/>
            </w:tcMar>
            <w:vAlign w:val="center"/>
          </w:tcPr>
          <w:p w14:paraId="145016AD">
            <w:pPr>
              <w:shd w:val="clear" w:color="auto"/>
              <w:spacing w:line="480" w:lineRule="exact"/>
              <w:jc w:val="center"/>
              <w:rPr>
                <w:color w:val="000000"/>
                <w:sz w:val="22"/>
                <w:szCs w:val="22"/>
                <w:highlight w:val="none"/>
              </w:rPr>
            </w:pPr>
            <w:r>
              <w:rPr>
                <w:color w:val="000000"/>
                <w:sz w:val="24"/>
                <w:highlight w:val="none"/>
                <w:lang w:val="zh-CN"/>
              </w:rPr>
              <w:t>服务方案</w:t>
            </w:r>
          </w:p>
        </w:tc>
        <w:tc>
          <w:tcPr>
            <w:tcW w:w="6847" w:type="dxa"/>
            <w:shd w:val="clear" w:color="auto" w:fill="auto"/>
            <w:noWrap w:val="0"/>
            <w:tcMar>
              <w:top w:w="15" w:type="dxa"/>
              <w:left w:w="15" w:type="dxa"/>
              <w:bottom w:w="0" w:type="dxa"/>
              <w:right w:w="15" w:type="dxa"/>
            </w:tcMar>
            <w:vAlign w:val="top"/>
          </w:tcPr>
          <w:p w14:paraId="30C76572">
            <w:pPr>
              <w:widowControl/>
              <w:shd w:val="clear" w:color="auto"/>
              <w:spacing w:line="480" w:lineRule="exact"/>
              <w:rPr>
                <w:color w:val="000000"/>
                <w:sz w:val="22"/>
                <w:szCs w:val="22"/>
                <w:highlight w:val="none"/>
              </w:rPr>
            </w:pPr>
            <w:r>
              <w:rPr>
                <w:rFonts w:hint="eastAsia"/>
                <w:color w:val="000000"/>
                <w:sz w:val="22"/>
                <w:szCs w:val="22"/>
                <w:highlight w:val="none"/>
                <w:lang w:val="en-US" w:eastAsia="zh-CN"/>
              </w:rPr>
              <w:t>2.1</w:t>
            </w:r>
            <w:r>
              <w:rPr>
                <w:color w:val="000000"/>
                <w:sz w:val="22"/>
                <w:szCs w:val="22"/>
                <w:highlight w:val="none"/>
              </w:rPr>
              <w:t>根据供应商对本项目理解是否准确、思路是否清晰、规划内容是否全面、是否具有相应深度进行评价；</w:t>
            </w:r>
          </w:p>
          <w:p w14:paraId="6775CAE7">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理解准确、思路清晰、规划全面得</w:t>
            </w:r>
            <w:r>
              <w:rPr>
                <w:rFonts w:hint="eastAsia"/>
                <w:color w:val="000000"/>
                <w:sz w:val="22"/>
                <w:szCs w:val="22"/>
                <w:highlight w:val="none"/>
              </w:rPr>
              <w:t>10</w:t>
            </w:r>
            <w:r>
              <w:rPr>
                <w:color w:val="000000"/>
                <w:sz w:val="22"/>
                <w:szCs w:val="22"/>
                <w:highlight w:val="none"/>
              </w:rPr>
              <w:t>分；</w:t>
            </w:r>
          </w:p>
          <w:p w14:paraId="68A01982">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理解较准确、思路较清晰、规划较全面得</w:t>
            </w:r>
            <w:r>
              <w:rPr>
                <w:rFonts w:hint="eastAsia"/>
                <w:color w:val="000000"/>
                <w:sz w:val="22"/>
                <w:szCs w:val="22"/>
                <w:highlight w:val="none"/>
              </w:rPr>
              <w:t>8</w:t>
            </w:r>
            <w:r>
              <w:rPr>
                <w:color w:val="000000"/>
                <w:sz w:val="22"/>
                <w:szCs w:val="22"/>
                <w:highlight w:val="none"/>
              </w:rPr>
              <w:t>分；</w:t>
            </w:r>
          </w:p>
          <w:p w14:paraId="45A897E7">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理解</w:t>
            </w:r>
            <w:r>
              <w:rPr>
                <w:rFonts w:hint="eastAsia"/>
                <w:color w:val="000000"/>
                <w:sz w:val="22"/>
                <w:szCs w:val="22"/>
                <w:highlight w:val="none"/>
              </w:rPr>
              <w:t>基本</w:t>
            </w:r>
            <w:r>
              <w:rPr>
                <w:color w:val="000000"/>
                <w:sz w:val="22"/>
                <w:szCs w:val="22"/>
                <w:highlight w:val="none"/>
              </w:rPr>
              <w:t>准确、思路</w:t>
            </w:r>
            <w:r>
              <w:rPr>
                <w:rFonts w:hint="eastAsia"/>
                <w:color w:val="000000"/>
                <w:sz w:val="22"/>
                <w:szCs w:val="22"/>
                <w:highlight w:val="none"/>
              </w:rPr>
              <w:t>基本</w:t>
            </w:r>
            <w:r>
              <w:rPr>
                <w:color w:val="000000"/>
                <w:sz w:val="22"/>
                <w:szCs w:val="22"/>
                <w:highlight w:val="none"/>
              </w:rPr>
              <w:t>清晰、规划</w:t>
            </w:r>
            <w:r>
              <w:rPr>
                <w:rFonts w:hint="eastAsia"/>
                <w:color w:val="000000"/>
                <w:sz w:val="22"/>
                <w:szCs w:val="22"/>
                <w:highlight w:val="none"/>
              </w:rPr>
              <w:t>基本</w:t>
            </w:r>
            <w:r>
              <w:rPr>
                <w:color w:val="000000"/>
                <w:sz w:val="22"/>
                <w:szCs w:val="22"/>
                <w:highlight w:val="none"/>
              </w:rPr>
              <w:t>全面</w:t>
            </w:r>
            <w:r>
              <w:rPr>
                <w:rFonts w:hint="eastAsia"/>
                <w:color w:val="000000"/>
                <w:sz w:val="22"/>
                <w:szCs w:val="22"/>
                <w:highlight w:val="none"/>
              </w:rPr>
              <w:t>6</w:t>
            </w:r>
            <w:r>
              <w:rPr>
                <w:color w:val="000000"/>
                <w:sz w:val="22"/>
                <w:szCs w:val="22"/>
                <w:highlight w:val="none"/>
              </w:rPr>
              <w:t>分；</w:t>
            </w:r>
          </w:p>
          <w:p w14:paraId="200E411C">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理解</w:t>
            </w:r>
            <w:r>
              <w:rPr>
                <w:rFonts w:hint="eastAsia"/>
                <w:color w:val="000000"/>
                <w:sz w:val="22"/>
                <w:szCs w:val="22"/>
                <w:highlight w:val="none"/>
              </w:rPr>
              <w:t>不够</w:t>
            </w:r>
            <w:r>
              <w:rPr>
                <w:color w:val="000000"/>
                <w:sz w:val="22"/>
                <w:szCs w:val="22"/>
                <w:highlight w:val="none"/>
              </w:rPr>
              <w:t>准确、思路</w:t>
            </w:r>
            <w:r>
              <w:rPr>
                <w:rFonts w:hint="eastAsia"/>
                <w:color w:val="000000"/>
                <w:sz w:val="22"/>
                <w:szCs w:val="22"/>
                <w:highlight w:val="none"/>
              </w:rPr>
              <w:t>不够</w:t>
            </w:r>
            <w:r>
              <w:rPr>
                <w:color w:val="000000"/>
                <w:sz w:val="22"/>
                <w:szCs w:val="22"/>
                <w:highlight w:val="none"/>
              </w:rPr>
              <w:t>清晰、规划</w:t>
            </w:r>
            <w:r>
              <w:rPr>
                <w:rFonts w:hint="eastAsia"/>
                <w:color w:val="000000"/>
                <w:sz w:val="22"/>
                <w:szCs w:val="22"/>
                <w:highlight w:val="none"/>
              </w:rPr>
              <w:t>不够</w:t>
            </w:r>
            <w:r>
              <w:rPr>
                <w:color w:val="000000"/>
                <w:sz w:val="22"/>
                <w:szCs w:val="22"/>
                <w:highlight w:val="none"/>
              </w:rPr>
              <w:t>全面4分；</w:t>
            </w:r>
          </w:p>
          <w:p w14:paraId="10CB8921">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38F31AED">
            <w:pPr>
              <w:shd w:val="clear" w:color="auto"/>
              <w:spacing w:line="440" w:lineRule="exact"/>
              <w:jc w:val="center"/>
              <w:rPr>
                <w:color w:val="000000"/>
                <w:highlight w:val="none"/>
              </w:rPr>
            </w:pPr>
            <w:r>
              <w:rPr>
                <w:rFonts w:hint="eastAsia"/>
                <w:color w:val="000000"/>
                <w:highlight w:val="none"/>
              </w:rPr>
              <w:t>10</w:t>
            </w:r>
          </w:p>
        </w:tc>
      </w:tr>
      <w:tr w14:paraId="26233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3456" w:hRule="atLeast"/>
          <w:jc w:val="center"/>
        </w:trPr>
        <w:tc>
          <w:tcPr>
            <w:tcW w:w="758" w:type="dxa"/>
            <w:vMerge w:val="continue"/>
            <w:shd w:val="clear" w:color="auto" w:fill="auto"/>
            <w:noWrap w:val="0"/>
            <w:vAlign w:val="center"/>
          </w:tcPr>
          <w:p w14:paraId="20709BA6">
            <w:pPr>
              <w:widowControl/>
              <w:shd w:val="clear" w:color="auto"/>
              <w:spacing w:line="480" w:lineRule="exact"/>
              <w:jc w:val="left"/>
              <w:rPr>
                <w:color w:val="000000"/>
                <w:sz w:val="22"/>
                <w:szCs w:val="22"/>
                <w:highlight w:val="none"/>
              </w:rPr>
            </w:pPr>
          </w:p>
        </w:tc>
        <w:tc>
          <w:tcPr>
            <w:tcW w:w="1127" w:type="dxa"/>
            <w:vMerge w:val="continue"/>
            <w:shd w:val="clear" w:color="auto" w:fill="auto"/>
            <w:noWrap w:val="0"/>
            <w:vAlign w:val="center"/>
          </w:tcPr>
          <w:p w14:paraId="1F00549A">
            <w:pPr>
              <w:widowControl/>
              <w:shd w:val="clear" w:color="auto"/>
              <w:spacing w:line="480" w:lineRule="exact"/>
              <w:jc w:val="left"/>
              <w:rPr>
                <w:color w:val="000000"/>
                <w:sz w:val="22"/>
                <w:szCs w:val="22"/>
                <w:highlight w:val="none"/>
              </w:rPr>
            </w:pPr>
          </w:p>
        </w:tc>
        <w:tc>
          <w:tcPr>
            <w:tcW w:w="6847" w:type="dxa"/>
            <w:shd w:val="clear" w:color="auto" w:fill="auto"/>
            <w:noWrap w:val="0"/>
            <w:tcMar>
              <w:top w:w="15" w:type="dxa"/>
              <w:left w:w="15" w:type="dxa"/>
              <w:bottom w:w="0" w:type="dxa"/>
              <w:right w:w="15" w:type="dxa"/>
            </w:tcMar>
            <w:vAlign w:val="top"/>
          </w:tcPr>
          <w:p w14:paraId="00D2285E">
            <w:pPr>
              <w:widowControl/>
              <w:shd w:val="clear" w:color="auto"/>
              <w:spacing w:line="480" w:lineRule="exact"/>
              <w:rPr>
                <w:color w:val="000000"/>
                <w:sz w:val="22"/>
                <w:szCs w:val="22"/>
                <w:highlight w:val="none"/>
              </w:rPr>
            </w:pPr>
            <w:r>
              <w:rPr>
                <w:rFonts w:hint="eastAsia"/>
                <w:color w:val="000000"/>
                <w:sz w:val="22"/>
                <w:szCs w:val="22"/>
                <w:highlight w:val="none"/>
                <w:lang w:val="en-US" w:eastAsia="zh-CN"/>
              </w:rPr>
              <w:t>2.2</w:t>
            </w:r>
            <w:r>
              <w:rPr>
                <w:color w:val="000000"/>
                <w:sz w:val="22"/>
                <w:szCs w:val="22"/>
                <w:highlight w:val="none"/>
              </w:rPr>
              <w:t>审计实施方案的内容、方法和措施（包括审计目标明确、审计内容和重点详实、审计组织和分工合理）；</w:t>
            </w:r>
          </w:p>
          <w:p w14:paraId="3833C960">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内容明确、重点详实、分工合理的得</w:t>
            </w:r>
            <w:r>
              <w:rPr>
                <w:rFonts w:hint="eastAsia"/>
                <w:color w:val="000000"/>
                <w:sz w:val="22"/>
                <w:szCs w:val="22"/>
                <w:highlight w:val="none"/>
              </w:rPr>
              <w:t>10</w:t>
            </w:r>
            <w:r>
              <w:rPr>
                <w:color w:val="000000"/>
                <w:sz w:val="22"/>
                <w:szCs w:val="22"/>
                <w:highlight w:val="none"/>
              </w:rPr>
              <w:t>分；</w:t>
            </w:r>
          </w:p>
          <w:p w14:paraId="00897813">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内容较明确、重点较详实、分工较合理的得</w:t>
            </w:r>
            <w:r>
              <w:rPr>
                <w:rFonts w:hint="eastAsia"/>
                <w:color w:val="000000"/>
                <w:sz w:val="22"/>
                <w:szCs w:val="22"/>
                <w:highlight w:val="none"/>
              </w:rPr>
              <w:t>8</w:t>
            </w:r>
            <w:r>
              <w:rPr>
                <w:color w:val="000000"/>
                <w:sz w:val="22"/>
                <w:szCs w:val="22"/>
                <w:highlight w:val="none"/>
              </w:rPr>
              <w:t>分；</w:t>
            </w:r>
          </w:p>
          <w:p w14:paraId="21619714">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内容</w:t>
            </w:r>
            <w:r>
              <w:rPr>
                <w:rFonts w:hint="eastAsia"/>
                <w:color w:val="000000"/>
                <w:sz w:val="22"/>
                <w:szCs w:val="22"/>
                <w:highlight w:val="none"/>
              </w:rPr>
              <w:t>基本</w:t>
            </w:r>
            <w:r>
              <w:rPr>
                <w:color w:val="000000"/>
                <w:sz w:val="22"/>
                <w:szCs w:val="22"/>
                <w:highlight w:val="none"/>
              </w:rPr>
              <w:t>明确、重点</w:t>
            </w:r>
            <w:r>
              <w:rPr>
                <w:rFonts w:hint="eastAsia"/>
                <w:color w:val="000000"/>
                <w:sz w:val="22"/>
                <w:szCs w:val="22"/>
                <w:highlight w:val="none"/>
              </w:rPr>
              <w:t>基本</w:t>
            </w:r>
            <w:r>
              <w:rPr>
                <w:color w:val="000000"/>
                <w:sz w:val="22"/>
                <w:szCs w:val="22"/>
                <w:highlight w:val="none"/>
              </w:rPr>
              <w:t>详实、分工</w:t>
            </w:r>
            <w:r>
              <w:rPr>
                <w:rFonts w:hint="eastAsia"/>
                <w:color w:val="000000"/>
                <w:sz w:val="22"/>
                <w:szCs w:val="22"/>
                <w:highlight w:val="none"/>
              </w:rPr>
              <w:t>基本</w:t>
            </w:r>
            <w:r>
              <w:rPr>
                <w:color w:val="000000"/>
                <w:sz w:val="22"/>
                <w:szCs w:val="22"/>
                <w:highlight w:val="none"/>
              </w:rPr>
              <w:t>合理的得</w:t>
            </w:r>
            <w:r>
              <w:rPr>
                <w:rFonts w:hint="eastAsia"/>
                <w:color w:val="000000"/>
                <w:sz w:val="22"/>
                <w:szCs w:val="22"/>
                <w:highlight w:val="none"/>
              </w:rPr>
              <w:t>6</w:t>
            </w:r>
            <w:r>
              <w:rPr>
                <w:color w:val="000000"/>
                <w:sz w:val="22"/>
                <w:szCs w:val="22"/>
                <w:highlight w:val="none"/>
              </w:rPr>
              <w:t>分</w:t>
            </w:r>
          </w:p>
          <w:p w14:paraId="587954D7">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内容不够明确、重点不够详实、分工不够合理的得4分；</w:t>
            </w:r>
          </w:p>
          <w:p w14:paraId="65F00327">
            <w:pPr>
              <w:widowControl/>
              <w:shd w:val="clear" w:color="auto"/>
              <w:tabs>
                <w:tab w:val="left" w:pos="1290"/>
              </w:tabs>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10DFB99B">
            <w:pPr>
              <w:shd w:val="clear" w:color="auto"/>
              <w:spacing w:line="440" w:lineRule="exact"/>
              <w:jc w:val="center"/>
              <w:rPr>
                <w:color w:val="000000"/>
                <w:highlight w:val="none"/>
              </w:rPr>
            </w:pPr>
            <w:r>
              <w:rPr>
                <w:rFonts w:hint="eastAsia"/>
                <w:color w:val="000000"/>
                <w:highlight w:val="none"/>
              </w:rPr>
              <w:t>10</w:t>
            </w:r>
          </w:p>
        </w:tc>
      </w:tr>
      <w:tr w14:paraId="6C100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1005" w:hRule="atLeast"/>
          <w:jc w:val="center"/>
        </w:trPr>
        <w:tc>
          <w:tcPr>
            <w:tcW w:w="758" w:type="dxa"/>
            <w:vMerge w:val="continue"/>
            <w:shd w:val="clear" w:color="auto" w:fill="auto"/>
            <w:noWrap w:val="0"/>
            <w:vAlign w:val="center"/>
          </w:tcPr>
          <w:p w14:paraId="5C2147A4">
            <w:pPr>
              <w:widowControl/>
              <w:shd w:val="clear" w:color="auto"/>
              <w:spacing w:line="480" w:lineRule="exact"/>
              <w:jc w:val="left"/>
              <w:rPr>
                <w:color w:val="000000"/>
                <w:sz w:val="22"/>
                <w:szCs w:val="22"/>
                <w:highlight w:val="none"/>
              </w:rPr>
            </w:pPr>
          </w:p>
        </w:tc>
        <w:tc>
          <w:tcPr>
            <w:tcW w:w="1127" w:type="dxa"/>
            <w:vMerge w:val="continue"/>
            <w:shd w:val="clear" w:color="auto" w:fill="auto"/>
            <w:noWrap w:val="0"/>
            <w:vAlign w:val="center"/>
          </w:tcPr>
          <w:p w14:paraId="010E94BE">
            <w:pPr>
              <w:widowControl/>
              <w:shd w:val="clear" w:color="auto"/>
              <w:spacing w:line="480" w:lineRule="exact"/>
              <w:jc w:val="left"/>
              <w:rPr>
                <w:color w:val="000000"/>
                <w:sz w:val="22"/>
                <w:szCs w:val="22"/>
                <w:highlight w:val="none"/>
              </w:rPr>
            </w:pPr>
          </w:p>
        </w:tc>
        <w:tc>
          <w:tcPr>
            <w:tcW w:w="6847" w:type="dxa"/>
            <w:shd w:val="clear" w:color="auto" w:fill="auto"/>
            <w:noWrap w:val="0"/>
            <w:tcMar>
              <w:top w:w="15" w:type="dxa"/>
              <w:left w:w="15" w:type="dxa"/>
              <w:bottom w:w="0" w:type="dxa"/>
              <w:right w:w="15" w:type="dxa"/>
            </w:tcMar>
            <w:vAlign w:val="top"/>
          </w:tcPr>
          <w:p w14:paraId="75F169B3">
            <w:pPr>
              <w:widowControl/>
              <w:shd w:val="clear" w:color="auto"/>
              <w:spacing w:line="480" w:lineRule="exact"/>
              <w:rPr>
                <w:color w:val="000000"/>
                <w:sz w:val="22"/>
                <w:szCs w:val="22"/>
                <w:highlight w:val="none"/>
              </w:rPr>
            </w:pPr>
            <w:r>
              <w:rPr>
                <w:rFonts w:hint="eastAsia"/>
                <w:color w:val="000000"/>
                <w:sz w:val="22"/>
                <w:szCs w:val="22"/>
                <w:highlight w:val="none"/>
                <w:lang w:val="en-US" w:eastAsia="zh-CN"/>
              </w:rPr>
              <w:t>2.3</w:t>
            </w:r>
            <w:r>
              <w:rPr>
                <w:color w:val="000000"/>
                <w:sz w:val="22"/>
                <w:szCs w:val="22"/>
                <w:highlight w:val="none"/>
              </w:rPr>
              <w:t>针对本项目的特点，提高审计质量控制方法和措施的方案、先进的信息化管理方案。</w:t>
            </w:r>
          </w:p>
          <w:p w14:paraId="6100D258">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对本项目针对性强的得</w:t>
            </w:r>
            <w:r>
              <w:rPr>
                <w:rFonts w:hint="eastAsia"/>
                <w:color w:val="000000"/>
                <w:sz w:val="22"/>
                <w:szCs w:val="22"/>
                <w:highlight w:val="none"/>
              </w:rPr>
              <w:t>10</w:t>
            </w:r>
            <w:r>
              <w:rPr>
                <w:color w:val="000000"/>
                <w:sz w:val="22"/>
                <w:szCs w:val="22"/>
                <w:highlight w:val="none"/>
              </w:rPr>
              <w:t>分；</w:t>
            </w:r>
          </w:p>
          <w:p w14:paraId="37856E33">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对本项目针对性较强的得</w:t>
            </w:r>
            <w:r>
              <w:rPr>
                <w:rFonts w:hint="eastAsia"/>
                <w:color w:val="000000"/>
                <w:sz w:val="22"/>
                <w:szCs w:val="22"/>
                <w:highlight w:val="none"/>
              </w:rPr>
              <w:t>8</w:t>
            </w:r>
            <w:r>
              <w:rPr>
                <w:color w:val="000000"/>
                <w:sz w:val="22"/>
                <w:szCs w:val="22"/>
                <w:highlight w:val="none"/>
              </w:rPr>
              <w:t>分；</w:t>
            </w:r>
          </w:p>
          <w:p w14:paraId="11FFA86C">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对本项目针对性</w:t>
            </w:r>
            <w:r>
              <w:rPr>
                <w:rFonts w:hint="eastAsia"/>
                <w:color w:val="000000"/>
                <w:sz w:val="22"/>
                <w:szCs w:val="22"/>
                <w:highlight w:val="none"/>
              </w:rPr>
              <w:t>基本</w:t>
            </w:r>
            <w:r>
              <w:rPr>
                <w:color w:val="000000"/>
                <w:sz w:val="22"/>
                <w:szCs w:val="22"/>
                <w:highlight w:val="none"/>
              </w:rPr>
              <w:t>符合的得</w:t>
            </w:r>
            <w:r>
              <w:rPr>
                <w:rFonts w:hint="eastAsia"/>
                <w:color w:val="000000"/>
                <w:sz w:val="22"/>
                <w:szCs w:val="22"/>
                <w:highlight w:val="none"/>
              </w:rPr>
              <w:t>6</w:t>
            </w:r>
            <w:r>
              <w:rPr>
                <w:color w:val="000000"/>
                <w:sz w:val="22"/>
                <w:szCs w:val="22"/>
                <w:highlight w:val="none"/>
              </w:rPr>
              <w:t>分；</w:t>
            </w:r>
          </w:p>
          <w:p w14:paraId="5C9CB07E">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对本项目针对性不够强的得4分；</w:t>
            </w:r>
          </w:p>
          <w:p w14:paraId="3A92C944">
            <w:pPr>
              <w:widowControl/>
              <w:shd w:val="clear" w:color="auto"/>
              <w:spacing w:line="480" w:lineRule="exac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0C20D029">
            <w:pPr>
              <w:shd w:val="clear" w:color="auto"/>
              <w:spacing w:line="440" w:lineRule="exact"/>
              <w:jc w:val="center"/>
              <w:rPr>
                <w:color w:val="000000"/>
                <w:highlight w:val="none"/>
              </w:rPr>
            </w:pPr>
            <w:r>
              <w:rPr>
                <w:rFonts w:hint="eastAsia"/>
                <w:color w:val="000000"/>
                <w:highlight w:val="none"/>
              </w:rPr>
              <w:t>10</w:t>
            </w:r>
          </w:p>
        </w:tc>
      </w:tr>
      <w:tr w14:paraId="413B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3946" w:hRule="atLeast"/>
          <w:jc w:val="center"/>
        </w:trPr>
        <w:tc>
          <w:tcPr>
            <w:tcW w:w="758" w:type="dxa"/>
            <w:vMerge w:val="continue"/>
            <w:shd w:val="clear" w:color="auto" w:fill="auto"/>
            <w:noWrap w:val="0"/>
            <w:vAlign w:val="center"/>
          </w:tcPr>
          <w:p w14:paraId="70286147">
            <w:pPr>
              <w:widowControl/>
              <w:shd w:val="clear" w:color="auto"/>
              <w:spacing w:line="480" w:lineRule="exact"/>
              <w:jc w:val="left"/>
              <w:rPr>
                <w:color w:val="000000"/>
                <w:sz w:val="22"/>
                <w:szCs w:val="22"/>
                <w:highlight w:val="none"/>
              </w:rPr>
            </w:pPr>
          </w:p>
        </w:tc>
        <w:tc>
          <w:tcPr>
            <w:tcW w:w="1127" w:type="dxa"/>
            <w:vMerge w:val="continue"/>
            <w:shd w:val="clear" w:color="auto" w:fill="auto"/>
            <w:noWrap w:val="0"/>
            <w:vAlign w:val="center"/>
          </w:tcPr>
          <w:p w14:paraId="5E272EC8">
            <w:pPr>
              <w:widowControl/>
              <w:shd w:val="clear" w:color="auto"/>
              <w:spacing w:line="480" w:lineRule="exact"/>
              <w:jc w:val="left"/>
              <w:rPr>
                <w:color w:val="000000"/>
                <w:sz w:val="22"/>
                <w:szCs w:val="22"/>
                <w:highlight w:val="none"/>
              </w:rPr>
            </w:pPr>
          </w:p>
        </w:tc>
        <w:tc>
          <w:tcPr>
            <w:tcW w:w="6847" w:type="dxa"/>
            <w:shd w:val="clear" w:color="auto" w:fill="auto"/>
            <w:noWrap w:val="0"/>
            <w:tcMar>
              <w:top w:w="15" w:type="dxa"/>
              <w:left w:w="15" w:type="dxa"/>
              <w:bottom w:w="0" w:type="dxa"/>
              <w:right w:w="15" w:type="dxa"/>
            </w:tcMar>
            <w:vAlign w:val="top"/>
          </w:tcPr>
          <w:p w14:paraId="5CBA4E90">
            <w:pPr>
              <w:widowControl/>
              <w:shd w:val="clear" w:color="auto"/>
              <w:spacing w:line="480" w:lineRule="exact"/>
              <w:jc w:val="left"/>
              <w:rPr>
                <w:color w:val="000000"/>
                <w:sz w:val="22"/>
                <w:szCs w:val="22"/>
                <w:highlight w:val="none"/>
              </w:rPr>
            </w:pPr>
            <w:r>
              <w:rPr>
                <w:rFonts w:hint="eastAsia"/>
                <w:color w:val="000000"/>
                <w:sz w:val="22"/>
                <w:szCs w:val="22"/>
                <w:highlight w:val="none"/>
                <w:lang w:val="en-US" w:eastAsia="zh-CN"/>
              </w:rPr>
              <w:t>2.4</w:t>
            </w:r>
            <w:r>
              <w:rPr>
                <w:color w:val="000000"/>
                <w:sz w:val="22"/>
                <w:szCs w:val="22"/>
                <w:highlight w:val="none"/>
              </w:rPr>
              <w:t>风险控制措施和内部质量制度控制的完善性和合理性。根据投标人提供的组织机构图、工作流程图、质量控制制度、档案管理制度、人事管理制度、财务管理制度等；</w:t>
            </w:r>
          </w:p>
          <w:p w14:paraId="59CE95F9">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措施完善、制度合理的得</w:t>
            </w:r>
            <w:r>
              <w:rPr>
                <w:rFonts w:hint="eastAsia"/>
                <w:color w:val="000000"/>
                <w:sz w:val="22"/>
                <w:szCs w:val="22"/>
                <w:highlight w:val="none"/>
              </w:rPr>
              <w:t>10</w:t>
            </w:r>
            <w:r>
              <w:rPr>
                <w:color w:val="000000"/>
                <w:sz w:val="22"/>
                <w:szCs w:val="22"/>
                <w:highlight w:val="none"/>
              </w:rPr>
              <w:t>分 ；</w:t>
            </w:r>
          </w:p>
          <w:p w14:paraId="3D5533BC">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措施较完善、制度较合理的得</w:t>
            </w:r>
            <w:r>
              <w:rPr>
                <w:rFonts w:hint="eastAsia"/>
                <w:color w:val="000000"/>
                <w:sz w:val="22"/>
                <w:szCs w:val="22"/>
                <w:highlight w:val="none"/>
              </w:rPr>
              <w:t>8</w:t>
            </w:r>
            <w:r>
              <w:rPr>
                <w:color w:val="000000"/>
                <w:sz w:val="22"/>
                <w:szCs w:val="22"/>
                <w:highlight w:val="none"/>
              </w:rPr>
              <w:t>分；</w:t>
            </w:r>
          </w:p>
          <w:p w14:paraId="37847227">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措施不够完善、制度</w:t>
            </w:r>
            <w:r>
              <w:rPr>
                <w:rFonts w:hint="eastAsia"/>
                <w:color w:val="000000"/>
                <w:sz w:val="22"/>
                <w:szCs w:val="22"/>
                <w:highlight w:val="none"/>
              </w:rPr>
              <w:t>基本</w:t>
            </w:r>
            <w:r>
              <w:rPr>
                <w:color w:val="000000"/>
                <w:sz w:val="22"/>
                <w:szCs w:val="22"/>
                <w:highlight w:val="none"/>
              </w:rPr>
              <w:t>合理的得</w:t>
            </w:r>
            <w:r>
              <w:rPr>
                <w:rFonts w:hint="eastAsia"/>
                <w:color w:val="000000"/>
                <w:sz w:val="22"/>
                <w:szCs w:val="22"/>
                <w:highlight w:val="none"/>
              </w:rPr>
              <w:t>6</w:t>
            </w:r>
            <w:r>
              <w:rPr>
                <w:color w:val="000000"/>
                <w:sz w:val="22"/>
                <w:szCs w:val="22"/>
                <w:highlight w:val="none"/>
              </w:rPr>
              <w:t>分；</w:t>
            </w:r>
          </w:p>
          <w:p w14:paraId="70CCE8C2">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措施完善度低、制度合理性低的得4分；</w:t>
            </w:r>
          </w:p>
          <w:p w14:paraId="39FEA980">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2CFE28C9">
            <w:pPr>
              <w:shd w:val="clear" w:color="auto"/>
              <w:spacing w:line="440" w:lineRule="exact"/>
              <w:jc w:val="center"/>
              <w:rPr>
                <w:color w:val="000000"/>
                <w:highlight w:val="none"/>
              </w:rPr>
            </w:pPr>
            <w:r>
              <w:rPr>
                <w:rFonts w:hint="eastAsia"/>
                <w:color w:val="000000"/>
                <w:highlight w:val="none"/>
              </w:rPr>
              <w:t>10</w:t>
            </w:r>
          </w:p>
        </w:tc>
      </w:tr>
      <w:tr w14:paraId="034D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2966" w:hRule="atLeast"/>
          <w:jc w:val="center"/>
        </w:trPr>
        <w:tc>
          <w:tcPr>
            <w:tcW w:w="758" w:type="dxa"/>
            <w:vMerge w:val="continue"/>
            <w:shd w:val="clear" w:color="auto" w:fill="auto"/>
            <w:noWrap w:val="0"/>
            <w:vAlign w:val="center"/>
          </w:tcPr>
          <w:p w14:paraId="53D22F11">
            <w:pPr>
              <w:widowControl/>
              <w:shd w:val="clear" w:color="auto"/>
              <w:spacing w:line="480" w:lineRule="exact"/>
              <w:jc w:val="left"/>
              <w:rPr>
                <w:color w:val="000000"/>
                <w:sz w:val="22"/>
                <w:szCs w:val="22"/>
                <w:highlight w:val="none"/>
              </w:rPr>
            </w:pPr>
          </w:p>
        </w:tc>
        <w:tc>
          <w:tcPr>
            <w:tcW w:w="1127" w:type="dxa"/>
            <w:vMerge w:val="continue"/>
            <w:shd w:val="clear" w:color="auto" w:fill="auto"/>
            <w:noWrap w:val="0"/>
            <w:vAlign w:val="center"/>
          </w:tcPr>
          <w:p w14:paraId="1A87990E">
            <w:pPr>
              <w:widowControl/>
              <w:shd w:val="clear" w:color="auto"/>
              <w:spacing w:line="480" w:lineRule="exact"/>
              <w:jc w:val="left"/>
              <w:rPr>
                <w:color w:val="000000"/>
                <w:sz w:val="22"/>
                <w:szCs w:val="22"/>
                <w:highlight w:val="none"/>
              </w:rPr>
            </w:pPr>
          </w:p>
        </w:tc>
        <w:tc>
          <w:tcPr>
            <w:tcW w:w="6847" w:type="dxa"/>
            <w:shd w:val="clear" w:color="auto" w:fill="auto"/>
            <w:noWrap w:val="0"/>
            <w:tcMar>
              <w:top w:w="15" w:type="dxa"/>
              <w:left w:w="15" w:type="dxa"/>
              <w:bottom w:w="0" w:type="dxa"/>
              <w:right w:w="15" w:type="dxa"/>
            </w:tcMar>
            <w:vAlign w:val="top"/>
          </w:tcPr>
          <w:p w14:paraId="355E72C7">
            <w:pPr>
              <w:widowControl/>
              <w:shd w:val="clear" w:color="auto"/>
              <w:spacing w:line="480" w:lineRule="exact"/>
              <w:jc w:val="left"/>
              <w:rPr>
                <w:color w:val="000000"/>
                <w:sz w:val="22"/>
                <w:szCs w:val="22"/>
                <w:highlight w:val="none"/>
              </w:rPr>
            </w:pPr>
            <w:r>
              <w:rPr>
                <w:rFonts w:hint="eastAsia"/>
                <w:color w:val="000000"/>
                <w:sz w:val="22"/>
                <w:szCs w:val="22"/>
                <w:highlight w:val="none"/>
                <w:lang w:val="en-US" w:eastAsia="zh-CN"/>
              </w:rPr>
              <w:t>2.5</w:t>
            </w:r>
            <w:r>
              <w:rPr>
                <w:color w:val="000000"/>
                <w:sz w:val="22"/>
                <w:szCs w:val="22"/>
                <w:highlight w:val="none"/>
              </w:rPr>
              <w:t>审计服务和配合承诺；</w:t>
            </w:r>
          </w:p>
          <w:p w14:paraId="3DE08175">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 xml:space="preserve">服务承诺完善合理的得 </w:t>
            </w:r>
            <w:r>
              <w:rPr>
                <w:rFonts w:hint="eastAsia"/>
                <w:color w:val="000000"/>
                <w:sz w:val="22"/>
                <w:szCs w:val="22"/>
                <w:highlight w:val="none"/>
              </w:rPr>
              <w:t>10</w:t>
            </w:r>
            <w:r>
              <w:rPr>
                <w:color w:val="000000"/>
                <w:sz w:val="22"/>
                <w:szCs w:val="22"/>
                <w:highlight w:val="none"/>
              </w:rPr>
              <w:t>分；</w:t>
            </w:r>
          </w:p>
          <w:p w14:paraId="751A5F61">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服务承诺较完善合理的得</w:t>
            </w:r>
            <w:r>
              <w:rPr>
                <w:rFonts w:hint="eastAsia"/>
                <w:color w:val="000000"/>
                <w:sz w:val="22"/>
                <w:szCs w:val="22"/>
                <w:highlight w:val="none"/>
              </w:rPr>
              <w:t>8</w:t>
            </w:r>
            <w:r>
              <w:rPr>
                <w:color w:val="000000"/>
                <w:sz w:val="22"/>
                <w:szCs w:val="22"/>
                <w:highlight w:val="none"/>
              </w:rPr>
              <w:t>分；</w:t>
            </w:r>
          </w:p>
          <w:p w14:paraId="6E7F897D">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服务承诺</w:t>
            </w:r>
            <w:r>
              <w:rPr>
                <w:rFonts w:hint="eastAsia"/>
                <w:color w:val="000000"/>
                <w:sz w:val="22"/>
                <w:szCs w:val="22"/>
                <w:highlight w:val="none"/>
              </w:rPr>
              <w:t>基本</w:t>
            </w:r>
            <w:r>
              <w:rPr>
                <w:color w:val="000000"/>
                <w:sz w:val="22"/>
                <w:szCs w:val="22"/>
                <w:highlight w:val="none"/>
              </w:rPr>
              <w:t>完善合理的得</w:t>
            </w:r>
            <w:r>
              <w:rPr>
                <w:rFonts w:hint="eastAsia"/>
                <w:color w:val="000000"/>
                <w:sz w:val="22"/>
                <w:szCs w:val="22"/>
                <w:highlight w:val="none"/>
              </w:rPr>
              <w:t>6</w:t>
            </w:r>
            <w:r>
              <w:rPr>
                <w:color w:val="000000"/>
                <w:sz w:val="22"/>
                <w:szCs w:val="22"/>
                <w:highlight w:val="none"/>
              </w:rPr>
              <w:t>分；</w:t>
            </w:r>
          </w:p>
          <w:p w14:paraId="102EA675">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服务承诺不够完善合理的得4分；</w:t>
            </w:r>
          </w:p>
          <w:p w14:paraId="66105011">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4166C703">
            <w:pPr>
              <w:shd w:val="clear" w:color="auto"/>
              <w:spacing w:line="440" w:lineRule="exact"/>
              <w:jc w:val="center"/>
              <w:rPr>
                <w:color w:val="000000"/>
                <w:highlight w:val="none"/>
              </w:rPr>
            </w:pPr>
            <w:r>
              <w:rPr>
                <w:rFonts w:hint="eastAsia"/>
                <w:color w:val="000000"/>
                <w:highlight w:val="none"/>
              </w:rPr>
              <w:t>10</w:t>
            </w:r>
          </w:p>
        </w:tc>
      </w:tr>
      <w:tr w14:paraId="2EAEF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2966" w:hRule="atLeast"/>
          <w:jc w:val="center"/>
        </w:trPr>
        <w:tc>
          <w:tcPr>
            <w:tcW w:w="758" w:type="dxa"/>
            <w:vMerge w:val="continue"/>
            <w:shd w:val="clear" w:color="auto" w:fill="auto"/>
            <w:noWrap w:val="0"/>
            <w:vAlign w:val="center"/>
          </w:tcPr>
          <w:p w14:paraId="53A7BA4B">
            <w:pPr>
              <w:widowControl/>
              <w:shd w:val="clear" w:color="auto"/>
              <w:spacing w:line="480" w:lineRule="exact"/>
              <w:jc w:val="left"/>
              <w:rPr>
                <w:color w:val="000000"/>
                <w:sz w:val="22"/>
                <w:szCs w:val="22"/>
                <w:highlight w:val="none"/>
              </w:rPr>
            </w:pPr>
          </w:p>
        </w:tc>
        <w:tc>
          <w:tcPr>
            <w:tcW w:w="1127" w:type="dxa"/>
            <w:vMerge w:val="continue"/>
            <w:shd w:val="clear" w:color="auto" w:fill="auto"/>
            <w:noWrap w:val="0"/>
            <w:vAlign w:val="center"/>
          </w:tcPr>
          <w:p w14:paraId="426335AD">
            <w:pPr>
              <w:widowControl/>
              <w:shd w:val="clear" w:color="auto"/>
              <w:spacing w:line="480" w:lineRule="exact"/>
              <w:jc w:val="left"/>
              <w:rPr>
                <w:color w:val="000000"/>
                <w:sz w:val="22"/>
                <w:szCs w:val="22"/>
                <w:highlight w:val="none"/>
              </w:rPr>
            </w:pPr>
          </w:p>
        </w:tc>
        <w:tc>
          <w:tcPr>
            <w:tcW w:w="6847" w:type="dxa"/>
            <w:shd w:val="clear" w:color="auto" w:fill="auto"/>
            <w:noWrap w:val="0"/>
            <w:tcMar>
              <w:top w:w="15" w:type="dxa"/>
              <w:left w:w="15" w:type="dxa"/>
              <w:bottom w:w="0" w:type="dxa"/>
              <w:right w:w="15" w:type="dxa"/>
            </w:tcMar>
            <w:vAlign w:val="top"/>
          </w:tcPr>
          <w:p w14:paraId="52D5B585">
            <w:pPr>
              <w:widowControl/>
              <w:shd w:val="clear" w:color="auto"/>
              <w:spacing w:line="480" w:lineRule="exact"/>
              <w:jc w:val="left"/>
              <w:rPr>
                <w:color w:val="000000"/>
                <w:sz w:val="22"/>
                <w:szCs w:val="22"/>
                <w:highlight w:val="none"/>
              </w:rPr>
            </w:pPr>
            <w:r>
              <w:rPr>
                <w:rFonts w:hint="eastAsia"/>
                <w:color w:val="000000"/>
                <w:sz w:val="22"/>
                <w:szCs w:val="22"/>
                <w:highlight w:val="none"/>
                <w:lang w:val="en-US" w:eastAsia="zh-CN"/>
              </w:rPr>
              <w:t>2.6</w:t>
            </w:r>
            <w:r>
              <w:rPr>
                <w:color w:val="000000"/>
                <w:sz w:val="22"/>
                <w:szCs w:val="22"/>
                <w:highlight w:val="none"/>
              </w:rPr>
              <w:t>日常资料的管理、归集措施；</w:t>
            </w:r>
          </w:p>
          <w:p w14:paraId="0486B72F">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内容全面、有较好的针对性、措施得当的得</w:t>
            </w:r>
            <w:r>
              <w:rPr>
                <w:rFonts w:hint="eastAsia"/>
                <w:color w:val="000000"/>
                <w:sz w:val="22"/>
                <w:szCs w:val="22"/>
                <w:highlight w:val="none"/>
              </w:rPr>
              <w:t>6</w:t>
            </w:r>
            <w:r>
              <w:rPr>
                <w:color w:val="000000"/>
                <w:sz w:val="22"/>
                <w:szCs w:val="22"/>
                <w:highlight w:val="none"/>
              </w:rPr>
              <w:t>分；</w:t>
            </w:r>
          </w:p>
          <w:p w14:paraId="4D1FA3F4">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内容较完整、有针对性、措施完整的得</w:t>
            </w:r>
            <w:r>
              <w:rPr>
                <w:rFonts w:hint="eastAsia"/>
                <w:color w:val="000000"/>
                <w:sz w:val="22"/>
                <w:szCs w:val="22"/>
                <w:highlight w:val="none"/>
                <w:lang w:val="en-US" w:eastAsia="zh-CN"/>
              </w:rPr>
              <w:t>5</w:t>
            </w:r>
            <w:r>
              <w:rPr>
                <w:color w:val="000000"/>
                <w:sz w:val="22"/>
                <w:szCs w:val="22"/>
                <w:highlight w:val="none"/>
              </w:rPr>
              <w:t>分；</w:t>
            </w:r>
          </w:p>
          <w:p w14:paraId="6B666EF0">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内容欠缺且针对性不强的得</w:t>
            </w:r>
            <w:r>
              <w:rPr>
                <w:rFonts w:hint="eastAsia"/>
                <w:color w:val="000000"/>
                <w:sz w:val="22"/>
                <w:szCs w:val="22"/>
                <w:highlight w:val="none"/>
                <w:lang w:val="en-US" w:eastAsia="zh-CN"/>
              </w:rPr>
              <w:t>4</w:t>
            </w:r>
            <w:r>
              <w:rPr>
                <w:color w:val="000000"/>
                <w:sz w:val="22"/>
                <w:szCs w:val="22"/>
                <w:highlight w:val="none"/>
              </w:rPr>
              <w:t>分；</w:t>
            </w:r>
          </w:p>
          <w:p w14:paraId="696BF7CB">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内容严重缺失、无针对性的得</w:t>
            </w:r>
            <w:r>
              <w:rPr>
                <w:rFonts w:hint="eastAsia"/>
                <w:color w:val="000000"/>
                <w:sz w:val="22"/>
                <w:szCs w:val="22"/>
                <w:highlight w:val="none"/>
                <w:lang w:val="en-US" w:eastAsia="zh-CN"/>
              </w:rPr>
              <w:t>3</w:t>
            </w:r>
            <w:r>
              <w:rPr>
                <w:color w:val="000000"/>
                <w:sz w:val="22"/>
                <w:szCs w:val="22"/>
                <w:highlight w:val="none"/>
              </w:rPr>
              <w:t>分；</w:t>
            </w:r>
          </w:p>
          <w:p w14:paraId="2163F686">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0E929F3A">
            <w:pPr>
              <w:shd w:val="clear" w:color="auto"/>
              <w:spacing w:line="440" w:lineRule="exact"/>
              <w:jc w:val="center"/>
              <w:rPr>
                <w:color w:val="000000"/>
                <w:highlight w:val="none"/>
              </w:rPr>
            </w:pPr>
            <w:r>
              <w:rPr>
                <w:rFonts w:hint="eastAsia"/>
                <w:color w:val="000000"/>
                <w:highlight w:val="none"/>
              </w:rPr>
              <w:t>6</w:t>
            </w:r>
          </w:p>
        </w:tc>
      </w:tr>
      <w:tr w14:paraId="16B3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1986" w:hRule="atLeast"/>
          <w:jc w:val="center"/>
        </w:trPr>
        <w:tc>
          <w:tcPr>
            <w:tcW w:w="758" w:type="dxa"/>
            <w:vMerge w:val="continue"/>
            <w:shd w:val="clear" w:color="auto" w:fill="auto"/>
            <w:noWrap w:val="0"/>
            <w:vAlign w:val="center"/>
          </w:tcPr>
          <w:p w14:paraId="1CD0E449">
            <w:pPr>
              <w:widowControl/>
              <w:shd w:val="clear" w:color="auto"/>
              <w:spacing w:line="480" w:lineRule="exact"/>
              <w:jc w:val="left"/>
              <w:rPr>
                <w:color w:val="000000"/>
                <w:sz w:val="22"/>
                <w:szCs w:val="22"/>
                <w:highlight w:val="none"/>
              </w:rPr>
            </w:pPr>
          </w:p>
        </w:tc>
        <w:tc>
          <w:tcPr>
            <w:tcW w:w="1127" w:type="dxa"/>
            <w:vMerge w:val="continue"/>
            <w:shd w:val="clear" w:color="auto" w:fill="auto"/>
            <w:noWrap w:val="0"/>
            <w:vAlign w:val="center"/>
          </w:tcPr>
          <w:p w14:paraId="10D4DDF7">
            <w:pPr>
              <w:widowControl/>
              <w:shd w:val="clear" w:color="auto"/>
              <w:spacing w:line="480" w:lineRule="exact"/>
              <w:jc w:val="left"/>
              <w:rPr>
                <w:color w:val="000000"/>
                <w:sz w:val="22"/>
                <w:szCs w:val="22"/>
                <w:highlight w:val="none"/>
              </w:rPr>
            </w:pPr>
          </w:p>
        </w:tc>
        <w:tc>
          <w:tcPr>
            <w:tcW w:w="6847" w:type="dxa"/>
            <w:shd w:val="clear" w:color="auto" w:fill="auto"/>
            <w:noWrap w:val="0"/>
            <w:tcMar>
              <w:top w:w="15" w:type="dxa"/>
              <w:left w:w="15" w:type="dxa"/>
              <w:bottom w:w="0" w:type="dxa"/>
              <w:right w:w="15" w:type="dxa"/>
            </w:tcMar>
            <w:vAlign w:val="top"/>
          </w:tcPr>
          <w:p w14:paraId="6010A785">
            <w:pPr>
              <w:widowControl/>
              <w:shd w:val="clear" w:color="auto"/>
              <w:spacing w:line="480" w:lineRule="exact"/>
              <w:jc w:val="left"/>
              <w:rPr>
                <w:color w:val="000000"/>
                <w:sz w:val="22"/>
                <w:szCs w:val="22"/>
                <w:highlight w:val="none"/>
              </w:rPr>
            </w:pPr>
            <w:r>
              <w:rPr>
                <w:rFonts w:hint="eastAsia"/>
                <w:color w:val="000000"/>
                <w:sz w:val="22"/>
                <w:szCs w:val="22"/>
                <w:highlight w:val="none"/>
                <w:lang w:val="en-US" w:eastAsia="zh-CN"/>
              </w:rPr>
              <w:t>2.7</w:t>
            </w:r>
            <w:r>
              <w:rPr>
                <w:color w:val="000000"/>
                <w:sz w:val="22"/>
                <w:szCs w:val="22"/>
                <w:highlight w:val="none"/>
              </w:rPr>
              <w:t>廉洁从审的制度、管理办法、管理措施：</w:t>
            </w:r>
          </w:p>
          <w:p w14:paraId="308554A4">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①</w:t>
            </w:r>
            <w:r>
              <w:rPr>
                <w:color w:val="000000"/>
                <w:sz w:val="22"/>
                <w:szCs w:val="22"/>
                <w:highlight w:val="none"/>
              </w:rPr>
              <w:t>内容全面、有较好的针对性、措施得当的得</w:t>
            </w:r>
            <w:r>
              <w:rPr>
                <w:rFonts w:hint="eastAsia"/>
                <w:color w:val="000000"/>
                <w:sz w:val="22"/>
                <w:szCs w:val="22"/>
                <w:highlight w:val="none"/>
                <w:lang w:val="en-US" w:eastAsia="zh-CN"/>
              </w:rPr>
              <w:t>8</w:t>
            </w:r>
            <w:r>
              <w:rPr>
                <w:color w:val="000000"/>
                <w:sz w:val="22"/>
                <w:szCs w:val="22"/>
                <w:highlight w:val="none"/>
              </w:rPr>
              <w:t>分；</w:t>
            </w:r>
          </w:p>
          <w:p w14:paraId="092EDAA2">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②</w:t>
            </w:r>
            <w:r>
              <w:rPr>
                <w:color w:val="000000"/>
                <w:sz w:val="22"/>
                <w:szCs w:val="22"/>
                <w:highlight w:val="none"/>
              </w:rPr>
              <w:t>内容较完整、有针对性、措施完整的得</w:t>
            </w:r>
            <w:r>
              <w:rPr>
                <w:rFonts w:hint="eastAsia"/>
                <w:color w:val="000000"/>
                <w:sz w:val="22"/>
                <w:szCs w:val="22"/>
                <w:highlight w:val="none"/>
                <w:lang w:val="en-US" w:eastAsia="zh-CN"/>
              </w:rPr>
              <w:t>6</w:t>
            </w:r>
            <w:r>
              <w:rPr>
                <w:color w:val="000000"/>
                <w:sz w:val="22"/>
                <w:szCs w:val="22"/>
                <w:highlight w:val="none"/>
              </w:rPr>
              <w:t>分；</w:t>
            </w:r>
          </w:p>
          <w:p w14:paraId="4B32D488">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③</w:t>
            </w:r>
            <w:r>
              <w:rPr>
                <w:color w:val="000000"/>
                <w:sz w:val="22"/>
                <w:szCs w:val="22"/>
                <w:highlight w:val="none"/>
              </w:rPr>
              <w:t>内容欠缺且针对性不强的得</w:t>
            </w:r>
            <w:r>
              <w:rPr>
                <w:rFonts w:hint="eastAsia"/>
                <w:color w:val="000000"/>
                <w:sz w:val="22"/>
                <w:szCs w:val="22"/>
                <w:highlight w:val="none"/>
                <w:lang w:val="en-US" w:eastAsia="zh-CN"/>
              </w:rPr>
              <w:t>4</w:t>
            </w:r>
            <w:r>
              <w:rPr>
                <w:color w:val="000000"/>
                <w:sz w:val="22"/>
                <w:szCs w:val="22"/>
                <w:highlight w:val="none"/>
              </w:rPr>
              <w:t>分；</w:t>
            </w:r>
          </w:p>
          <w:p w14:paraId="49A9ADDE">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④</w:t>
            </w:r>
            <w:r>
              <w:rPr>
                <w:color w:val="000000"/>
                <w:sz w:val="22"/>
                <w:szCs w:val="22"/>
                <w:highlight w:val="none"/>
              </w:rPr>
              <w:t>内容严重缺失、无针对性的得2分；</w:t>
            </w:r>
          </w:p>
          <w:p w14:paraId="30669D84">
            <w:pPr>
              <w:widowControl/>
              <w:shd w:val="clear" w:color="auto"/>
              <w:spacing w:line="480" w:lineRule="exact"/>
              <w:jc w:val="left"/>
              <w:rPr>
                <w:color w:val="000000"/>
                <w:sz w:val="22"/>
                <w:szCs w:val="22"/>
                <w:highlight w:val="none"/>
              </w:rPr>
            </w:pPr>
            <w:r>
              <w:rPr>
                <w:rFonts w:hint="eastAsia" w:ascii="微软雅黑" w:hAnsi="微软雅黑" w:eastAsia="微软雅黑" w:cs="微软雅黑"/>
                <w:color w:val="000000"/>
                <w:sz w:val="22"/>
                <w:szCs w:val="22"/>
                <w:highlight w:val="none"/>
              </w:rPr>
              <w:t>⑤</w:t>
            </w:r>
            <w:r>
              <w:rPr>
                <w:color w:val="000000"/>
                <w:sz w:val="22"/>
                <w:szCs w:val="22"/>
                <w:highlight w:val="none"/>
              </w:rPr>
              <w:t>无</w:t>
            </w:r>
            <w:r>
              <w:rPr>
                <w:rFonts w:hint="eastAsia"/>
                <w:color w:val="000000"/>
                <w:sz w:val="22"/>
                <w:szCs w:val="22"/>
                <w:highlight w:val="none"/>
                <w:lang w:val="en-US" w:eastAsia="zh-CN"/>
              </w:rPr>
              <w:t>相关内容</w:t>
            </w:r>
            <w:r>
              <w:rPr>
                <w:color w:val="000000"/>
                <w:sz w:val="22"/>
                <w:szCs w:val="22"/>
                <w:highlight w:val="none"/>
              </w:rPr>
              <w:t>不得分。</w:t>
            </w:r>
          </w:p>
        </w:tc>
        <w:tc>
          <w:tcPr>
            <w:tcW w:w="726" w:type="dxa"/>
            <w:shd w:val="clear" w:color="auto" w:fill="auto"/>
            <w:noWrap w:val="0"/>
            <w:vAlign w:val="center"/>
          </w:tcPr>
          <w:p w14:paraId="668AF042">
            <w:pPr>
              <w:shd w:val="clear" w:color="auto"/>
              <w:spacing w:line="440" w:lineRule="exact"/>
              <w:jc w:val="center"/>
              <w:rPr>
                <w:rFonts w:hint="eastAsia" w:eastAsia="宋体"/>
                <w:color w:val="000000"/>
                <w:highlight w:val="none"/>
                <w:lang w:eastAsia="zh-CN"/>
              </w:rPr>
            </w:pPr>
            <w:r>
              <w:rPr>
                <w:rFonts w:hint="eastAsia"/>
                <w:color w:val="000000"/>
                <w:highlight w:val="none"/>
                <w:lang w:val="en-US" w:eastAsia="zh-CN"/>
              </w:rPr>
              <w:t>8</w:t>
            </w:r>
          </w:p>
        </w:tc>
      </w:tr>
      <w:tr w14:paraId="7BBC9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3170" w:hRule="atLeast"/>
          <w:jc w:val="center"/>
        </w:trPr>
        <w:tc>
          <w:tcPr>
            <w:tcW w:w="758" w:type="dxa"/>
            <w:shd w:val="clear" w:color="auto" w:fill="auto"/>
            <w:noWrap w:val="0"/>
            <w:tcMar>
              <w:top w:w="15" w:type="dxa"/>
              <w:left w:w="15" w:type="dxa"/>
              <w:bottom w:w="0" w:type="dxa"/>
              <w:right w:w="15" w:type="dxa"/>
            </w:tcMar>
            <w:vAlign w:val="center"/>
          </w:tcPr>
          <w:p w14:paraId="0553F7DC">
            <w:pPr>
              <w:shd w:val="clear" w:color="auto"/>
              <w:spacing w:line="480" w:lineRule="exact"/>
              <w:jc w:val="center"/>
              <w:rPr>
                <w:color w:val="000000"/>
                <w:sz w:val="22"/>
                <w:szCs w:val="22"/>
                <w:highlight w:val="none"/>
              </w:rPr>
            </w:pPr>
            <w:r>
              <w:rPr>
                <w:color w:val="000000"/>
                <w:sz w:val="22"/>
                <w:szCs w:val="22"/>
                <w:highlight w:val="none"/>
              </w:rPr>
              <w:t>3</w:t>
            </w:r>
          </w:p>
        </w:tc>
        <w:tc>
          <w:tcPr>
            <w:tcW w:w="1127" w:type="dxa"/>
            <w:shd w:val="clear" w:color="auto" w:fill="auto"/>
            <w:noWrap w:val="0"/>
            <w:tcMar>
              <w:top w:w="15" w:type="dxa"/>
              <w:left w:w="15" w:type="dxa"/>
              <w:bottom w:w="0" w:type="dxa"/>
              <w:right w:w="15" w:type="dxa"/>
            </w:tcMar>
            <w:vAlign w:val="center"/>
          </w:tcPr>
          <w:p w14:paraId="58C033D7">
            <w:pPr>
              <w:shd w:val="clear" w:color="auto"/>
              <w:spacing w:line="480" w:lineRule="exact"/>
              <w:jc w:val="center"/>
              <w:rPr>
                <w:color w:val="000000"/>
                <w:sz w:val="22"/>
                <w:szCs w:val="22"/>
                <w:highlight w:val="none"/>
              </w:rPr>
            </w:pPr>
            <w:r>
              <w:rPr>
                <w:color w:val="000000"/>
                <w:sz w:val="22"/>
                <w:szCs w:val="22"/>
                <w:highlight w:val="none"/>
              </w:rPr>
              <w:t>项目负责人</w:t>
            </w:r>
          </w:p>
        </w:tc>
        <w:tc>
          <w:tcPr>
            <w:tcW w:w="6847" w:type="dxa"/>
            <w:shd w:val="clear" w:color="auto" w:fill="auto"/>
            <w:noWrap w:val="0"/>
            <w:tcMar>
              <w:top w:w="15" w:type="dxa"/>
              <w:left w:w="15" w:type="dxa"/>
              <w:bottom w:w="0" w:type="dxa"/>
              <w:right w:w="15" w:type="dxa"/>
            </w:tcMar>
            <w:vAlign w:val="center"/>
          </w:tcPr>
          <w:p w14:paraId="4E295ECC">
            <w:pPr>
              <w:shd w:val="clear" w:color="auto"/>
              <w:spacing w:line="440" w:lineRule="exact"/>
              <w:jc w:val="left"/>
              <w:rPr>
                <w:rFonts w:hint="default" w:eastAsia="宋体"/>
                <w:color w:val="000000"/>
                <w:sz w:val="22"/>
                <w:szCs w:val="22"/>
                <w:highlight w:val="none"/>
                <w:lang w:val="en-US" w:eastAsia="zh-CN"/>
              </w:rPr>
            </w:pPr>
            <w:r>
              <w:rPr>
                <w:rFonts w:hint="eastAsia"/>
                <w:color w:val="000000"/>
                <w:sz w:val="22"/>
                <w:szCs w:val="22"/>
                <w:highlight w:val="none"/>
              </w:rPr>
              <w:t xml:space="preserve">项目负责人具有一级注册造价工程师(或国家注册造价工程师)资格且执业年限5年(含)以上的得 6分，3 年(含)以上不满5年的得3分，其余不得分，同时具有高级工程师(含)以上职称的加 </w:t>
            </w:r>
            <w:r>
              <w:rPr>
                <w:rFonts w:hint="eastAsia"/>
                <w:color w:val="000000"/>
                <w:sz w:val="22"/>
                <w:szCs w:val="22"/>
                <w:highlight w:val="none"/>
                <w:lang w:val="en-US" w:eastAsia="zh-CN"/>
              </w:rPr>
              <w:t>5</w:t>
            </w:r>
            <w:r>
              <w:rPr>
                <w:rFonts w:hint="eastAsia"/>
                <w:color w:val="000000"/>
                <w:sz w:val="22"/>
                <w:szCs w:val="22"/>
                <w:highlight w:val="none"/>
              </w:rPr>
              <w:t>分，工程师职称的加</w:t>
            </w:r>
            <w:r>
              <w:rPr>
                <w:rFonts w:hint="eastAsia"/>
                <w:color w:val="000000"/>
                <w:sz w:val="22"/>
                <w:szCs w:val="22"/>
                <w:highlight w:val="none"/>
                <w:lang w:val="en-US" w:eastAsia="zh-CN"/>
              </w:rPr>
              <w:t>2</w:t>
            </w:r>
            <w:r>
              <w:rPr>
                <w:rFonts w:hint="eastAsia"/>
                <w:color w:val="000000"/>
                <w:sz w:val="22"/>
                <w:szCs w:val="22"/>
                <w:highlight w:val="none"/>
              </w:rPr>
              <w:t>分。</w:t>
            </w:r>
            <w:r>
              <w:rPr>
                <w:rFonts w:hint="eastAsia"/>
                <w:color w:val="000000"/>
                <w:sz w:val="22"/>
                <w:szCs w:val="22"/>
                <w:highlight w:val="none"/>
                <w:lang w:val="en-US" w:eastAsia="zh-CN"/>
              </w:rPr>
              <w:t>本项最高得11分。</w:t>
            </w:r>
          </w:p>
          <w:p w14:paraId="0D6373FB">
            <w:pPr>
              <w:pStyle w:val="40"/>
              <w:shd w:val="clear" w:color="auto"/>
              <w:spacing w:line="440" w:lineRule="exact"/>
              <w:ind w:left="0" w:leftChars="0" w:firstLine="0" w:firstLineChars="0"/>
              <w:rPr>
                <w:color w:val="000000"/>
                <w:highlight w:val="none"/>
              </w:rPr>
            </w:pPr>
            <w:r>
              <w:rPr>
                <w:rFonts w:hint="eastAsia"/>
                <w:color w:val="000000"/>
                <w:sz w:val="22"/>
                <w:szCs w:val="22"/>
                <w:highlight w:val="none"/>
              </w:rPr>
              <w:t>（提供职称证书、注册证书，执业资格证，执业年限以注册证书上的初始注册日期(或执业资格证书日期)至投标截止时间止计算为准，职称以职称证书为准，提</w:t>
            </w:r>
            <w:r>
              <w:rPr>
                <w:rFonts w:hint="eastAsia"/>
                <w:color w:val="000000"/>
                <w:sz w:val="22"/>
                <w:szCs w:val="22"/>
                <w:highlight w:val="none"/>
                <w:lang w:val="en-US" w:eastAsia="zh-CN"/>
              </w:rPr>
              <w:t>复印件</w:t>
            </w:r>
            <w:r>
              <w:rPr>
                <w:rFonts w:hint="eastAsia"/>
                <w:color w:val="000000"/>
                <w:sz w:val="22"/>
                <w:szCs w:val="22"/>
                <w:highlight w:val="none"/>
              </w:rPr>
              <w:t>加盖公章）。</w:t>
            </w:r>
          </w:p>
        </w:tc>
        <w:tc>
          <w:tcPr>
            <w:tcW w:w="726" w:type="dxa"/>
            <w:shd w:val="clear" w:color="auto" w:fill="auto"/>
            <w:noWrap w:val="0"/>
            <w:vAlign w:val="center"/>
          </w:tcPr>
          <w:p w14:paraId="5EEDC9F5">
            <w:pPr>
              <w:shd w:val="clear" w:color="auto"/>
              <w:spacing w:line="480" w:lineRule="exact"/>
              <w:jc w:val="center"/>
              <w:rPr>
                <w:rFonts w:hint="eastAsia" w:eastAsia="宋体"/>
                <w:color w:val="000000"/>
                <w:sz w:val="22"/>
                <w:szCs w:val="22"/>
                <w:highlight w:val="none"/>
                <w:lang w:eastAsia="zh-CN"/>
              </w:rPr>
            </w:pPr>
            <w:r>
              <w:rPr>
                <w:color w:val="000000"/>
                <w:sz w:val="22"/>
                <w:szCs w:val="22"/>
                <w:highlight w:val="none"/>
              </w:rPr>
              <w:t>1</w:t>
            </w:r>
            <w:r>
              <w:rPr>
                <w:rFonts w:hint="eastAsia"/>
                <w:color w:val="000000"/>
                <w:sz w:val="22"/>
                <w:szCs w:val="22"/>
                <w:highlight w:val="none"/>
                <w:lang w:val="en-US" w:eastAsia="zh-CN"/>
              </w:rPr>
              <w:t>1</w:t>
            </w:r>
          </w:p>
        </w:tc>
      </w:tr>
      <w:tr w14:paraId="0027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1705" w:hRule="atLeast"/>
          <w:jc w:val="center"/>
        </w:trPr>
        <w:tc>
          <w:tcPr>
            <w:tcW w:w="758" w:type="dxa"/>
            <w:shd w:val="clear" w:color="auto" w:fill="auto"/>
            <w:noWrap w:val="0"/>
            <w:tcMar>
              <w:top w:w="15" w:type="dxa"/>
              <w:left w:w="15" w:type="dxa"/>
              <w:bottom w:w="0" w:type="dxa"/>
              <w:right w:w="15" w:type="dxa"/>
            </w:tcMar>
            <w:vAlign w:val="center"/>
          </w:tcPr>
          <w:p w14:paraId="3DC96ACB">
            <w:pPr>
              <w:shd w:val="clear" w:color="auto"/>
              <w:spacing w:line="480" w:lineRule="exact"/>
              <w:jc w:val="center"/>
              <w:rPr>
                <w:color w:val="000000"/>
                <w:sz w:val="22"/>
                <w:szCs w:val="22"/>
                <w:highlight w:val="none"/>
              </w:rPr>
            </w:pPr>
            <w:r>
              <w:rPr>
                <w:color w:val="000000"/>
                <w:sz w:val="22"/>
                <w:szCs w:val="22"/>
                <w:highlight w:val="none"/>
              </w:rPr>
              <w:t>4</w:t>
            </w:r>
          </w:p>
        </w:tc>
        <w:tc>
          <w:tcPr>
            <w:tcW w:w="1127" w:type="dxa"/>
            <w:shd w:val="clear" w:color="auto" w:fill="auto"/>
            <w:noWrap w:val="0"/>
            <w:tcMar>
              <w:top w:w="15" w:type="dxa"/>
              <w:left w:w="15" w:type="dxa"/>
              <w:bottom w:w="0" w:type="dxa"/>
              <w:right w:w="15" w:type="dxa"/>
            </w:tcMar>
            <w:vAlign w:val="center"/>
          </w:tcPr>
          <w:p w14:paraId="6CB1DE9D">
            <w:pPr>
              <w:shd w:val="clear" w:color="auto"/>
              <w:spacing w:line="480" w:lineRule="exact"/>
              <w:jc w:val="center"/>
              <w:rPr>
                <w:color w:val="000000"/>
                <w:sz w:val="22"/>
                <w:szCs w:val="22"/>
                <w:highlight w:val="none"/>
              </w:rPr>
            </w:pPr>
            <w:r>
              <w:rPr>
                <w:color w:val="000000"/>
                <w:sz w:val="22"/>
                <w:szCs w:val="22"/>
                <w:highlight w:val="none"/>
              </w:rPr>
              <w:t>项目组其</w:t>
            </w:r>
          </w:p>
          <w:p w14:paraId="5FCEE2DD">
            <w:pPr>
              <w:shd w:val="clear" w:color="auto"/>
              <w:spacing w:line="480" w:lineRule="exact"/>
              <w:jc w:val="center"/>
              <w:rPr>
                <w:color w:val="000000"/>
                <w:sz w:val="22"/>
                <w:szCs w:val="22"/>
                <w:highlight w:val="none"/>
              </w:rPr>
            </w:pPr>
            <w:r>
              <w:rPr>
                <w:color w:val="000000"/>
                <w:sz w:val="22"/>
                <w:szCs w:val="22"/>
                <w:highlight w:val="none"/>
              </w:rPr>
              <w:t>他成员</w:t>
            </w:r>
          </w:p>
          <w:p w14:paraId="675763FB">
            <w:pPr>
              <w:shd w:val="clear" w:color="auto"/>
              <w:spacing w:line="480" w:lineRule="exact"/>
              <w:jc w:val="both"/>
              <w:rPr>
                <w:color w:val="000000"/>
                <w:sz w:val="22"/>
                <w:szCs w:val="22"/>
                <w:highlight w:val="none"/>
              </w:rPr>
            </w:pPr>
          </w:p>
        </w:tc>
        <w:tc>
          <w:tcPr>
            <w:tcW w:w="6847" w:type="dxa"/>
            <w:shd w:val="clear" w:color="auto" w:fill="auto"/>
            <w:noWrap w:val="0"/>
            <w:tcMar>
              <w:top w:w="15" w:type="dxa"/>
              <w:left w:w="15" w:type="dxa"/>
              <w:bottom w:w="0" w:type="dxa"/>
              <w:right w:w="15" w:type="dxa"/>
            </w:tcMar>
            <w:vAlign w:val="center"/>
          </w:tcPr>
          <w:p w14:paraId="2920A4D4">
            <w:pPr>
              <w:shd w:val="clear" w:color="auto"/>
              <w:spacing w:line="480" w:lineRule="exact"/>
              <w:jc w:val="left"/>
              <w:rPr>
                <w:color w:val="000000"/>
                <w:sz w:val="22"/>
                <w:szCs w:val="22"/>
                <w:highlight w:val="none"/>
              </w:rPr>
            </w:pPr>
            <w:r>
              <w:rPr>
                <w:color w:val="000000"/>
                <w:sz w:val="22"/>
                <w:szCs w:val="22"/>
                <w:highlight w:val="none"/>
              </w:rPr>
              <w:t>项目组成员中（除项目负责人以外）具有一级注册造价工程师（或国家注册造价工程师）资格的得</w:t>
            </w:r>
            <w:r>
              <w:rPr>
                <w:rFonts w:hint="eastAsia"/>
                <w:color w:val="000000"/>
                <w:sz w:val="22"/>
                <w:szCs w:val="22"/>
                <w:highlight w:val="none"/>
              </w:rPr>
              <w:t>3</w:t>
            </w:r>
            <w:r>
              <w:rPr>
                <w:color w:val="000000"/>
                <w:sz w:val="22"/>
                <w:szCs w:val="22"/>
                <w:highlight w:val="none"/>
              </w:rPr>
              <w:t>分/人</w:t>
            </w:r>
            <w:r>
              <w:rPr>
                <w:rFonts w:hint="eastAsia"/>
                <w:color w:val="000000"/>
                <w:sz w:val="22"/>
                <w:szCs w:val="22"/>
                <w:highlight w:val="none"/>
              </w:rPr>
              <w:t>；</w:t>
            </w:r>
            <w:r>
              <w:rPr>
                <w:color w:val="000000"/>
                <w:sz w:val="22"/>
                <w:szCs w:val="22"/>
                <w:highlight w:val="none"/>
              </w:rPr>
              <w:t>具有</w:t>
            </w:r>
            <w:r>
              <w:rPr>
                <w:rFonts w:hint="eastAsia"/>
                <w:color w:val="000000"/>
                <w:sz w:val="22"/>
                <w:szCs w:val="22"/>
                <w:highlight w:val="none"/>
              </w:rPr>
              <w:t>二</w:t>
            </w:r>
            <w:r>
              <w:rPr>
                <w:color w:val="000000"/>
                <w:sz w:val="22"/>
                <w:szCs w:val="22"/>
                <w:highlight w:val="none"/>
              </w:rPr>
              <w:t>级注册造价工程师资格的得</w:t>
            </w:r>
            <w:r>
              <w:rPr>
                <w:rFonts w:hint="eastAsia"/>
                <w:color w:val="000000"/>
                <w:sz w:val="22"/>
                <w:szCs w:val="22"/>
                <w:highlight w:val="none"/>
                <w:lang w:val="en-US" w:eastAsia="zh-CN"/>
              </w:rPr>
              <w:t>1</w:t>
            </w:r>
            <w:r>
              <w:rPr>
                <w:color w:val="000000"/>
                <w:sz w:val="22"/>
                <w:szCs w:val="22"/>
                <w:highlight w:val="none"/>
              </w:rPr>
              <w:t>分/人</w:t>
            </w:r>
            <w:r>
              <w:rPr>
                <w:rFonts w:hint="eastAsia"/>
                <w:color w:val="000000"/>
                <w:sz w:val="22"/>
                <w:szCs w:val="22"/>
                <w:highlight w:val="none"/>
              </w:rPr>
              <w:t>；</w:t>
            </w:r>
            <w:r>
              <w:rPr>
                <w:color w:val="000000"/>
                <w:sz w:val="22"/>
                <w:szCs w:val="22"/>
                <w:highlight w:val="none"/>
              </w:rPr>
              <w:t>最高得分</w:t>
            </w:r>
            <w:r>
              <w:rPr>
                <w:rFonts w:hint="eastAsia"/>
                <w:color w:val="000000"/>
                <w:sz w:val="22"/>
                <w:szCs w:val="22"/>
                <w:highlight w:val="none"/>
                <w:lang w:val="en-US" w:eastAsia="zh-CN"/>
              </w:rPr>
              <w:t>6</w:t>
            </w:r>
            <w:r>
              <w:rPr>
                <w:color w:val="000000"/>
                <w:sz w:val="22"/>
                <w:szCs w:val="22"/>
                <w:highlight w:val="none"/>
              </w:rPr>
              <w:t>分。（提供注册证书</w:t>
            </w:r>
            <w:r>
              <w:rPr>
                <w:rFonts w:hint="eastAsia"/>
                <w:color w:val="000000"/>
                <w:sz w:val="22"/>
                <w:szCs w:val="22"/>
                <w:highlight w:val="none"/>
                <w:lang w:val="en-US" w:eastAsia="zh-CN"/>
              </w:rPr>
              <w:t>复印件</w:t>
            </w:r>
            <w:r>
              <w:rPr>
                <w:color w:val="000000"/>
                <w:sz w:val="22"/>
                <w:szCs w:val="22"/>
                <w:highlight w:val="none"/>
              </w:rPr>
              <w:t>加盖公章）</w:t>
            </w:r>
          </w:p>
        </w:tc>
        <w:tc>
          <w:tcPr>
            <w:tcW w:w="726" w:type="dxa"/>
            <w:shd w:val="clear" w:color="auto" w:fill="auto"/>
            <w:noWrap w:val="0"/>
            <w:vAlign w:val="center"/>
          </w:tcPr>
          <w:p w14:paraId="07DED057">
            <w:pPr>
              <w:shd w:val="clear" w:color="auto"/>
              <w:spacing w:line="480" w:lineRule="exact"/>
              <w:jc w:val="center"/>
              <w:rPr>
                <w:rFonts w:hint="eastAsia" w:eastAsia="宋体"/>
                <w:color w:val="000000"/>
                <w:sz w:val="22"/>
                <w:szCs w:val="22"/>
                <w:highlight w:val="none"/>
                <w:lang w:eastAsia="zh-CN"/>
              </w:rPr>
            </w:pPr>
            <w:r>
              <w:rPr>
                <w:rFonts w:hint="eastAsia"/>
                <w:color w:val="000000"/>
                <w:sz w:val="22"/>
                <w:szCs w:val="22"/>
                <w:highlight w:val="none"/>
                <w:lang w:val="en-US" w:eastAsia="zh-CN"/>
              </w:rPr>
              <w:t>6</w:t>
            </w:r>
          </w:p>
        </w:tc>
      </w:tr>
      <w:tr w14:paraId="457F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0" w:type="dxa"/>
            <w:right w:w="15" w:type="dxa"/>
          </w:tblCellMar>
        </w:tblPrEx>
        <w:trPr>
          <w:trHeight w:val="1827" w:hRule="atLeast"/>
          <w:jc w:val="center"/>
        </w:trPr>
        <w:tc>
          <w:tcPr>
            <w:tcW w:w="758" w:type="dxa"/>
            <w:shd w:val="clear" w:color="auto" w:fill="auto"/>
            <w:noWrap w:val="0"/>
            <w:tcMar>
              <w:top w:w="15" w:type="dxa"/>
              <w:left w:w="15" w:type="dxa"/>
              <w:bottom w:w="0" w:type="dxa"/>
              <w:right w:w="15" w:type="dxa"/>
            </w:tcMar>
            <w:vAlign w:val="center"/>
          </w:tcPr>
          <w:p w14:paraId="5BD1C66F">
            <w:pPr>
              <w:shd w:val="clear" w:color="auto"/>
              <w:spacing w:line="480" w:lineRule="exact"/>
              <w:jc w:val="center"/>
              <w:rPr>
                <w:color w:val="000000"/>
                <w:sz w:val="22"/>
                <w:szCs w:val="22"/>
                <w:highlight w:val="none"/>
              </w:rPr>
            </w:pPr>
            <w:r>
              <w:rPr>
                <w:color w:val="000000"/>
                <w:sz w:val="22"/>
                <w:szCs w:val="22"/>
                <w:highlight w:val="none"/>
              </w:rPr>
              <w:t>5</w:t>
            </w:r>
          </w:p>
        </w:tc>
        <w:tc>
          <w:tcPr>
            <w:tcW w:w="1127" w:type="dxa"/>
            <w:shd w:val="clear" w:color="auto" w:fill="auto"/>
            <w:noWrap w:val="0"/>
            <w:tcMar>
              <w:top w:w="15" w:type="dxa"/>
              <w:left w:w="15" w:type="dxa"/>
              <w:bottom w:w="0" w:type="dxa"/>
              <w:right w:w="15" w:type="dxa"/>
            </w:tcMar>
            <w:vAlign w:val="center"/>
          </w:tcPr>
          <w:p w14:paraId="207F0E37">
            <w:pPr>
              <w:shd w:val="clear" w:color="auto"/>
              <w:spacing w:line="480" w:lineRule="exact"/>
              <w:jc w:val="center"/>
              <w:rPr>
                <w:color w:val="000000"/>
                <w:sz w:val="22"/>
                <w:szCs w:val="22"/>
                <w:highlight w:val="none"/>
              </w:rPr>
            </w:pPr>
            <w:r>
              <w:rPr>
                <w:color w:val="000000"/>
                <w:sz w:val="22"/>
                <w:szCs w:val="22"/>
                <w:highlight w:val="none"/>
              </w:rPr>
              <w:t>企业业绩</w:t>
            </w:r>
          </w:p>
        </w:tc>
        <w:tc>
          <w:tcPr>
            <w:tcW w:w="6847" w:type="dxa"/>
            <w:shd w:val="clear" w:color="auto" w:fill="auto"/>
            <w:noWrap w:val="0"/>
            <w:tcMar>
              <w:top w:w="15" w:type="dxa"/>
              <w:left w:w="15" w:type="dxa"/>
              <w:bottom w:w="0" w:type="dxa"/>
              <w:right w:w="15" w:type="dxa"/>
            </w:tcMar>
            <w:vAlign w:val="center"/>
          </w:tcPr>
          <w:p w14:paraId="5B37E4AA">
            <w:pPr>
              <w:shd w:val="clear" w:color="auto"/>
              <w:spacing w:line="480" w:lineRule="exact"/>
              <w:jc w:val="left"/>
              <w:rPr>
                <w:color w:val="000000"/>
                <w:sz w:val="22"/>
                <w:szCs w:val="22"/>
                <w:highlight w:val="none"/>
              </w:rPr>
            </w:pPr>
            <w:r>
              <w:rPr>
                <w:color w:val="000000"/>
                <w:sz w:val="22"/>
                <w:szCs w:val="22"/>
                <w:highlight w:val="none"/>
              </w:rPr>
              <w:t>202</w:t>
            </w:r>
            <w:r>
              <w:rPr>
                <w:rFonts w:hint="eastAsia"/>
                <w:color w:val="000000"/>
                <w:sz w:val="22"/>
                <w:szCs w:val="22"/>
                <w:highlight w:val="none"/>
                <w:lang w:val="en-US" w:eastAsia="zh-CN"/>
              </w:rPr>
              <w:t>2</w:t>
            </w:r>
            <w:r>
              <w:rPr>
                <w:color w:val="000000"/>
                <w:sz w:val="22"/>
                <w:szCs w:val="22"/>
                <w:highlight w:val="none"/>
              </w:rPr>
              <w:t>年</w:t>
            </w:r>
            <w:r>
              <w:rPr>
                <w:rFonts w:hint="eastAsia"/>
                <w:color w:val="000000"/>
                <w:sz w:val="22"/>
                <w:szCs w:val="22"/>
                <w:highlight w:val="none"/>
                <w:lang w:val="en-US" w:eastAsia="zh-CN"/>
              </w:rPr>
              <w:t>1</w:t>
            </w:r>
            <w:r>
              <w:rPr>
                <w:color w:val="000000"/>
                <w:sz w:val="22"/>
                <w:szCs w:val="22"/>
                <w:highlight w:val="none"/>
              </w:rPr>
              <w:t>月1日以来，供应商</w:t>
            </w:r>
            <w:r>
              <w:rPr>
                <w:rFonts w:ascii="Times New Roman" w:hAnsi="Times New Roman" w:eastAsia="宋体" w:cs="Times New Roman"/>
                <w:color w:val="000000"/>
                <w:sz w:val="22"/>
                <w:szCs w:val="22"/>
                <w:highlight w:val="none"/>
              </w:rPr>
              <w:t>承担过</w:t>
            </w:r>
            <w:r>
              <w:rPr>
                <w:rFonts w:hint="eastAsia" w:ascii="Times New Roman" w:hAnsi="Times New Roman" w:eastAsia="宋体" w:cs="Times New Roman"/>
                <w:color w:val="000000"/>
                <w:sz w:val="22"/>
                <w:szCs w:val="22"/>
                <w:highlight w:val="none"/>
                <w:lang w:val="en-US" w:eastAsia="zh-CN"/>
              </w:rPr>
              <w:t>类似跟踪审计或</w:t>
            </w:r>
            <w:r>
              <w:rPr>
                <w:rFonts w:hint="eastAsia" w:ascii="Times New Roman" w:hAnsi="Times New Roman" w:eastAsia="宋体" w:cs="Times New Roman"/>
                <w:color w:val="000000"/>
                <w:sz w:val="22"/>
                <w:szCs w:val="22"/>
                <w:highlight w:val="none"/>
              </w:rPr>
              <w:t>结算审核项目业绩</w:t>
            </w:r>
            <w:r>
              <w:rPr>
                <w:rFonts w:hint="eastAsia" w:ascii="Times New Roman" w:hAnsi="Times New Roman" w:eastAsia="宋体" w:cs="Times New Roman"/>
                <w:color w:val="000000"/>
                <w:sz w:val="22"/>
                <w:szCs w:val="22"/>
                <w:highlight w:val="none"/>
                <w:lang w:val="en-US" w:eastAsia="zh-CN"/>
              </w:rPr>
              <w:t>的</w:t>
            </w:r>
            <w:r>
              <w:rPr>
                <w:rFonts w:ascii="Times New Roman" w:hAnsi="Times New Roman" w:eastAsia="宋体" w:cs="Times New Roman"/>
                <w:color w:val="000000"/>
                <w:sz w:val="22"/>
                <w:szCs w:val="22"/>
                <w:highlight w:val="none"/>
              </w:rPr>
              <w:t>，每提供一项得</w:t>
            </w:r>
            <w:r>
              <w:rPr>
                <w:rFonts w:hint="eastAsia" w:ascii="Times New Roman" w:hAnsi="Times New Roman" w:eastAsia="宋体" w:cs="Times New Roman"/>
                <w:color w:val="000000"/>
                <w:sz w:val="22"/>
                <w:szCs w:val="22"/>
                <w:highlight w:val="none"/>
                <w:lang w:val="en-US" w:eastAsia="zh-CN"/>
              </w:rPr>
              <w:t>3</w:t>
            </w:r>
            <w:r>
              <w:rPr>
                <w:rFonts w:ascii="Times New Roman" w:hAnsi="Times New Roman" w:eastAsia="宋体" w:cs="Times New Roman"/>
                <w:color w:val="000000"/>
                <w:sz w:val="22"/>
                <w:szCs w:val="22"/>
                <w:highlight w:val="none"/>
              </w:rPr>
              <w:t>分，满分</w:t>
            </w:r>
            <w:r>
              <w:rPr>
                <w:rFonts w:hint="eastAsia" w:ascii="Times New Roman" w:hAnsi="Times New Roman" w:cs="Times New Roman"/>
                <w:color w:val="000000"/>
                <w:sz w:val="22"/>
                <w:szCs w:val="22"/>
                <w:highlight w:val="none"/>
                <w:lang w:val="en-US" w:eastAsia="zh-CN"/>
              </w:rPr>
              <w:t>9</w:t>
            </w:r>
            <w:r>
              <w:rPr>
                <w:rFonts w:ascii="Times New Roman" w:hAnsi="Times New Roman" w:eastAsia="宋体" w:cs="Times New Roman"/>
                <w:color w:val="000000"/>
                <w:sz w:val="22"/>
                <w:szCs w:val="22"/>
                <w:highlight w:val="none"/>
              </w:rPr>
              <w:t>分（提供</w:t>
            </w:r>
            <w:r>
              <w:rPr>
                <w:color w:val="000000"/>
                <w:sz w:val="22"/>
                <w:szCs w:val="22"/>
                <w:highlight w:val="none"/>
              </w:rPr>
              <w:t>合同</w:t>
            </w:r>
            <w:r>
              <w:rPr>
                <w:rFonts w:hint="eastAsia"/>
                <w:color w:val="000000"/>
                <w:sz w:val="22"/>
                <w:szCs w:val="22"/>
                <w:highlight w:val="none"/>
                <w:lang w:val="en-US" w:eastAsia="zh-CN"/>
              </w:rPr>
              <w:t>扫描</w:t>
            </w:r>
            <w:r>
              <w:rPr>
                <w:color w:val="000000"/>
                <w:sz w:val="22"/>
                <w:szCs w:val="22"/>
                <w:highlight w:val="none"/>
              </w:rPr>
              <w:t>件并加盖公章，没有或缺项的不得分，时间以合同签订时间为准）</w:t>
            </w:r>
          </w:p>
        </w:tc>
        <w:tc>
          <w:tcPr>
            <w:tcW w:w="726" w:type="dxa"/>
            <w:shd w:val="clear" w:color="auto" w:fill="auto"/>
            <w:noWrap w:val="0"/>
            <w:vAlign w:val="center"/>
          </w:tcPr>
          <w:p w14:paraId="7C582A31">
            <w:pPr>
              <w:shd w:val="clear" w:color="auto"/>
              <w:spacing w:line="480" w:lineRule="exact"/>
              <w:jc w:val="center"/>
              <w:rPr>
                <w:rFonts w:hint="eastAsia" w:eastAsia="宋体"/>
                <w:color w:val="000000"/>
                <w:sz w:val="22"/>
                <w:szCs w:val="22"/>
                <w:highlight w:val="none"/>
                <w:lang w:eastAsia="zh-CN"/>
              </w:rPr>
            </w:pPr>
            <w:r>
              <w:rPr>
                <w:rFonts w:hint="eastAsia"/>
                <w:color w:val="000000"/>
                <w:sz w:val="22"/>
                <w:szCs w:val="22"/>
                <w:highlight w:val="none"/>
                <w:lang w:val="en-US" w:eastAsia="zh-CN"/>
              </w:rPr>
              <w:t>9</w:t>
            </w:r>
          </w:p>
        </w:tc>
      </w:tr>
    </w:tbl>
    <w:p w14:paraId="52E4AE86">
      <w:pPr>
        <w:pStyle w:val="6"/>
        <w:rPr>
          <w:rFonts w:hint="eastAsia" w:ascii="华文仿宋" w:hAnsi="华文仿宋" w:eastAsia="华文仿宋" w:cs="仿宋"/>
          <w:color w:val="000000" w:themeColor="text1"/>
          <w:highlight w:val="none"/>
          <w14:textFill>
            <w14:solidFill>
              <w14:schemeClr w14:val="tx1"/>
            </w14:solidFill>
          </w14:textFill>
        </w:rPr>
      </w:pPr>
    </w:p>
    <w:p w14:paraId="5EA1657D">
      <w:pPr>
        <w:spacing w:before="69"/>
        <w:ind w:left="551"/>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p w14:paraId="4D052364">
      <w:pPr>
        <w:spacing w:line="242" w:lineRule="auto"/>
        <w:jc w:val="both"/>
        <w:rPr>
          <w:rFonts w:hint="eastAsia" w:ascii="华文仿宋" w:hAnsi="华文仿宋" w:eastAsia="华文仿宋" w:cs="仿宋"/>
          <w:highlight w:val="none"/>
        </w:rPr>
      </w:pPr>
      <w:r>
        <w:rPr>
          <w:rFonts w:hint="eastAsia" w:ascii="华文仿宋" w:hAnsi="华文仿宋" w:eastAsia="华文仿宋" w:cs="仿宋"/>
          <w:highlight w:val="none"/>
        </w:rPr>
        <w:t>评审评分标准涉及到的所有材料需按要求提供相应的证明材料在磋商响应文件中，需提供原件核查的另需提供原件，未按要求提供的均不得分。提供的证明材料必须真实可靠，如发现弄虚作假者，将向采购管理部门汇报，将供应商列入不良行为记录名单，并依法予以处罚。</w:t>
      </w:r>
    </w:p>
    <w:p w14:paraId="7BD3A4BD">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E63B65">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7021BF37">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68CC3283">
      <w:pPr>
        <w:spacing w:line="360" w:lineRule="auto"/>
        <w:jc w:val="center"/>
        <w:rPr>
          <w:rFonts w:hint="eastAsia" w:ascii="华文仿宋" w:hAnsi="华文仿宋" w:eastAsia="华文仿宋" w:cs="仿宋"/>
          <w:color w:val="000000" w:themeColor="text1"/>
          <w:sz w:val="36"/>
          <w:szCs w:val="36"/>
          <w:highlight w:val="none"/>
          <w14:textFill>
            <w14:solidFill>
              <w14:schemeClr w14:val="tx1"/>
            </w14:solidFill>
          </w14:textFill>
        </w:rPr>
      </w:pPr>
    </w:p>
    <w:p w14:paraId="402697DF">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bookmarkStart w:id="60" w:name="_Toc22106"/>
    </w:p>
    <w:p w14:paraId="22636076">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p>
    <w:p w14:paraId="022C9A9A">
      <w:pPr>
        <w:spacing w:line="600" w:lineRule="auto"/>
        <w:jc w:val="center"/>
        <w:outlineLvl w:val="0"/>
        <w:rPr>
          <w:rFonts w:hint="eastAsia" w:ascii="华文仿宋" w:hAnsi="华文仿宋" w:eastAsia="华文仿宋" w:cs="仿宋"/>
          <w:color w:val="000000" w:themeColor="text1"/>
          <w:sz w:val="36"/>
          <w:szCs w:val="36"/>
          <w:highlight w:val="none"/>
          <w14:textFill>
            <w14:solidFill>
              <w14:schemeClr w14:val="tx1"/>
            </w14:solidFill>
          </w14:textFill>
        </w:rPr>
      </w:pPr>
      <w:r>
        <w:rPr>
          <w:rFonts w:hint="eastAsia" w:ascii="华文仿宋" w:hAnsi="华文仿宋" w:eastAsia="华文仿宋" w:cs="仿宋"/>
          <w:color w:val="000000" w:themeColor="text1"/>
          <w:sz w:val="36"/>
          <w:szCs w:val="36"/>
          <w:highlight w:val="none"/>
          <w14:textFill>
            <w14:solidFill>
              <w14:schemeClr w14:val="tx1"/>
            </w14:solidFill>
          </w14:textFill>
        </w:rPr>
        <w:t>第五章 采购合同格式</w:t>
      </w:r>
      <w:bookmarkEnd w:id="60"/>
    </w:p>
    <w:p w14:paraId="257F10EE">
      <w:pPr>
        <w:spacing w:line="600" w:lineRule="auto"/>
        <w:jc w:val="center"/>
        <w:rPr>
          <w:rFonts w:hint="eastAsia" w:ascii="华文仿宋" w:hAnsi="华文仿宋" w:eastAsia="华文仿宋" w:cs="仿宋"/>
          <w:color w:val="000000" w:themeColor="text1"/>
          <w:sz w:val="52"/>
          <w:highlight w:val="none"/>
          <w14:textFill>
            <w14:solidFill>
              <w14:schemeClr w14:val="tx1"/>
            </w14:solidFill>
          </w14:textFill>
        </w:rPr>
      </w:pPr>
      <w:r>
        <w:rPr>
          <w:rFonts w:hint="eastAsia" w:ascii="华文仿宋" w:hAnsi="华文仿宋" w:eastAsia="华文仿宋" w:cs="仿宋"/>
          <w:color w:val="000000" w:themeColor="text1"/>
          <w:sz w:val="52"/>
          <w:highlight w:val="none"/>
          <w14:textFill>
            <w14:solidFill>
              <w14:schemeClr w14:val="tx1"/>
            </w14:solidFill>
          </w14:textFill>
        </w:rPr>
        <w:t>南京市江宁区采购合同</w:t>
      </w:r>
    </w:p>
    <w:p w14:paraId="11C84E13">
      <w:pPr>
        <w:spacing w:line="600" w:lineRule="auto"/>
        <w:ind w:firstLine="315"/>
        <w:jc w:val="center"/>
        <w:rPr>
          <w:rFonts w:hint="eastAsia" w:ascii="华文仿宋" w:hAnsi="华文仿宋" w:eastAsia="华文仿宋" w:cs="仿宋"/>
          <w:color w:val="000000" w:themeColor="text1"/>
          <w:sz w:val="32"/>
          <w:highlight w:val="none"/>
          <w14:textFill>
            <w14:solidFill>
              <w14:schemeClr w14:val="tx1"/>
            </w14:solidFill>
          </w14:textFill>
        </w:rPr>
      </w:pPr>
      <w:r>
        <w:rPr>
          <w:rFonts w:hint="eastAsia" w:ascii="华文仿宋" w:hAnsi="华文仿宋" w:eastAsia="华文仿宋" w:cs="仿宋"/>
          <w:color w:val="000000" w:themeColor="text1"/>
          <w:sz w:val="32"/>
          <w:highlight w:val="none"/>
          <w14:textFill>
            <w14:solidFill>
              <w14:schemeClr w14:val="tx1"/>
            </w14:solidFill>
          </w14:textFill>
        </w:rPr>
        <w:t>（仅供参考）</w:t>
      </w:r>
    </w:p>
    <w:p w14:paraId="2A5384B5">
      <w:pPr>
        <w:spacing w:line="600" w:lineRule="auto"/>
        <w:rPr>
          <w:rFonts w:hint="eastAsia" w:ascii="华文仿宋" w:hAnsi="华文仿宋" w:eastAsia="华文仿宋" w:cs="仿宋"/>
          <w:color w:val="000000" w:themeColor="text1"/>
          <w:sz w:val="36"/>
          <w:highlight w:val="none"/>
          <w14:textFill>
            <w14:solidFill>
              <w14:schemeClr w14:val="tx1"/>
            </w14:solidFill>
          </w14:textFill>
        </w:rPr>
      </w:pPr>
    </w:p>
    <w:p w14:paraId="69411F8F">
      <w:pPr>
        <w:spacing w:line="600" w:lineRule="auto"/>
        <w:ind w:firstLine="1440"/>
        <w:rPr>
          <w:rFonts w:hint="eastAsia" w:ascii="华文仿宋" w:hAnsi="华文仿宋" w:eastAsia="华文仿宋" w:cs="仿宋"/>
          <w:color w:val="000000" w:themeColor="text1"/>
          <w:sz w:val="36"/>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项目编号 ：</w:t>
      </w:r>
    </w:p>
    <w:p w14:paraId="1B7D9B60">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项目名称 ：</w:t>
      </w:r>
    </w:p>
    <w:p w14:paraId="4BE35FDF">
      <w:pPr>
        <w:spacing w:line="600" w:lineRule="auto"/>
        <w:ind w:firstLine="1440"/>
        <w:rPr>
          <w:rFonts w:hint="eastAsia" w:ascii="华文仿宋" w:hAnsi="华文仿宋" w:eastAsia="华文仿宋" w:cs="仿宋"/>
          <w:color w:val="000000" w:themeColor="text1"/>
          <w:sz w:val="28"/>
          <w:szCs w:val="28"/>
          <w:highlight w:val="none"/>
          <w:u w:val="singl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使用单位 ：</w:t>
      </w:r>
    </w:p>
    <w:p w14:paraId="0C778687">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供货单位 ：</w:t>
      </w:r>
    </w:p>
    <w:p w14:paraId="3249D0A8">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签订日期 ：</w:t>
      </w:r>
    </w:p>
    <w:p w14:paraId="47C0FA62">
      <w:pPr>
        <w:spacing w:line="600" w:lineRule="auto"/>
        <w:ind w:firstLine="1440"/>
        <w:rPr>
          <w:rFonts w:hint="eastAsia" w:ascii="华文仿宋" w:hAnsi="华文仿宋" w:eastAsia="华文仿宋" w:cs="仿宋"/>
          <w:color w:val="000000" w:themeColor="text1"/>
          <w:sz w:val="36"/>
          <w:highlight w:val="none"/>
          <w14:textFill>
            <w14:solidFill>
              <w14:schemeClr w14:val="tx1"/>
            </w14:solidFill>
          </w14:textFill>
        </w:rPr>
      </w:pPr>
    </w:p>
    <w:p w14:paraId="13D3E22E">
      <w:pPr>
        <w:spacing w:line="360" w:lineRule="auto"/>
        <w:rPr>
          <w:rFonts w:hint="eastAsia" w:ascii="华文仿宋" w:hAnsi="华文仿宋" w:eastAsia="华文仿宋" w:cs="仿宋"/>
          <w:color w:val="000000" w:themeColor="text1"/>
          <w:szCs w:val="21"/>
          <w:highlight w:val="none"/>
          <w14:textFill>
            <w14:solidFill>
              <w14:schemeClr w14:val="tx1"/>
            </w14:solidFill>
          </w14:textFill>
        </w:rPr>
      </w:pPr>
    </w:p>
    <w:p w14:paraId="35C4335B">
      <w:pPr>
        <w:shd w:val="clear" w:color="auto"/>
        <w:spacing w:line="360" w:lineRule="auto"/>
        <w:jc w:val="center"/>
        <w:rPr>
          <w:rFonts w:ascii="黑体" w:hAnsi="宋体" w:eastAsia="黑体"/>
          <w:b/>
          <w:color w:val="000000"/>
          <w:sz w:val="30"/>
          <w:szCs w:val="30"/>
          <w:highlight w:val="none"/>
        </w:rPr>
      </w:pPr>
      <w:bookmarkStart w:id="61" w:name="_Toc14069"/>
      <w:r>
        <w:rPr>
          <w:rFonts w:hint="eastAsia" w:ascii="黑体" w:hAnsi="宋体" w:eastAsia="黑体"/>
          <w:b/>
          <w:color w:val="000000"/>
          <w:sz w:val="30"/>
          <w:szCs w:val="30"/>
          <w:highlight w:val="none"/>
        </w:rPr>
        <w:t>第一部分　建设工程造价咨询协议书</w:t>
      </w:r>
    </w:p>
    <w:p w14:paraId="5100AAA8">
      <w:pPr>
        <w:shd w:val="clear" w:color="auto"/>
        <w:spacing w:line="360" w:lineRule="auto"/>
        <w:rPr>
          <w:color w:val="000000"/>
          <w:highlight w:val="none"/>
        </w:rPr>
      </w:pPr>
      <w:r>
        <w:rPr>
          <w:rFonts w:hint="eastAsia"/>
          <w:color w:val="000000"/>
          <w:highlight w:val="none"/>
        </w:rPr>
        <w:t>委托人：</w:t>
      </w:r>
      <w:r>
        <w:rPr>
          <w:rFonts w:hint="eastAsia"/>
          <w:color w:val="000000"/>
          <w:highlight w:val="none"/>
          <w:u w:val="single"/>
        </w:rPr>
        <w:t>南京市江宁区人民政府湖熟街道办事处</w:t>
      </w:r>
    </w:p>
    <w:p w14:paraId="4B8593CA">
      <w:pPr>
        <w:shd w:val="clear" w:color="auto"/>
        <w:spacing w:line="360" w:lineRule="auto"/>
        <w:ind w:left="1050" w:hanging="1050"/>
        <w:rPr>
          <w:color w:val="000000"/>
          <w:highlight w:val="none"/>
          <w:u w:val="single"/>
        </w:rPr>
      </w:pPr>
      <w:r>
        <w:rPr>
          <w:rFonts w:hint="eastAsia"/>
          <w:color w:val="000000"/>
          <w:highlight w:val="none"/>
        </w:rPr>
        <w:t>咨询人：</w:t>
      </w:r>
      <w:r>
        <w:rPr>
          <w:rFonts w:hint="eastAsia"/>
          <w:color w:val="000000"/>
          <w:highlight w:val="none"/>
          <w:u w:val="single"/>
        </w:rPr>
        <w:t xml:space="preserve">                                  .</w:t>
      </w:r>
    </w:p>
    <w:p w14:paraId="22CBC5BF">
      <w:pPr>
        <w:shd w:val="clear" w:color="auto"/>
        <w:spacing w:line="360" w:lineRule="auto"/>
        <w:ind w:firstLine="359"/>
        <w:rPr>
          <w:color w:val="000000"/>
          <w:highlight w:val="none"/>
        </w:rPr>
      </w:pPr>
      <w:r>
        <w:rPr>
          <w:rFonts w:hint="eastAsia"/>
          <w:color w:val="000000"/>
          <w:highlight w:val="none"/>
        </w:rPr>
        <w:t>依据《中华人民共和国民法典》及工程造价相关管理规定，经过双方协商一致，签订本工程造价咨询合同。</w:t>
      </w:r>
    </w:p>
    <w:p w14:paraId="5FBCE6B4">
      <w:pPr>
        <w:keepNext w:val="0"/>
        <w:keepLines w:val="0"/>
        <w:pageBreakBefore w:val="0"/>
        <w:widowControl w:val="0"/>
        <w:shd w:val="clear" w:color="auto"/>
        <w:spacing w:line="360" w:lineRule="auto"/>
        <w:ind w:firstLine="440"/>
        <w:rPr>
          <w:color w:val="000000"/>
          <w:highlight w:val="none"/>
        </w:rPr>
      </w:pPr>
      <w:r>
        <w:rPr>
          <w:rFonts w:hint="eastAsia" w:ascii="黑体" w:eastAsia="黑体"/>
          <w:color w:val="000000"/>
          <w:highlight w:val="none"/>
        </w:rPr>
        <w:t>一、</w:t>
      </w:r>
      <w:r>
        <w:rPr>
          <w:rFonts w:hint="eastAsia"/>
          <w:color w:val="000000"/>
          <w:highlight w:val="none"/>
        </w:rPr>
        <w:t>委托人委托咨询人为以下项目提供建设工程造价咨询服务：</w:t>
      </w:r>
    </w:p>
    <w:p w14:paraId="5A11F264">
      <w:pPr>
        <w:shd w:val="clear" w:color="auto"/>
        <w:spacing w:line="360" w:lineRule="auto"/>
        <w:ind w:firstLine="420"/>
        <w:rPr>
          <w:rFonts w:hint="default" w:eastAsia="宋体"/>
          <w:color w:val="000000"/>
          <w:highlight w:val="none"/>
          <w:lang w:val="en-US" w:eastAsia="zh-CN"/>
        </w:rPr>
      </w:pPr>
      <w:r>
        <w:rPr>
          <w:rFonts w:hint="eastAsia"/>
          <w:color w:val="000000"/>
          <w:highlight w:val="none"/>
        </w:rPr>
        <w:t>1．项目名称：</w:t>
      </w:r>
      <w:r>
        <w:rPr>
          <w:rFonts w:hint="eastAsia" w:ascii="Calibri" w:hAnsi="Calibri"/>
          <w:b w:val="0"/>
          <w:bCs w:val="0"/>
          <w:color w:val="000000"/>
          <w:highlight w:val="none"/>
          <w:u w:val="single"/>
          <w:lang w:val="en-US" w:eastAsia="zh-CN"/>
        </w:rPr>
        <w:t xml:space="preserve">                                                                                                </w:t>
      </w:r>
    </w:p>
    <w:p w14:paraId="48B48B2B">
      <w:pPr>
        <w:shd w:val="clear" w:color="auto"/>
        <w:spacing w:line="360" w:lineRule="auto"/>
        <w:ind w:firstLine="420"/>
        <w:rPr>
          <w:color w:val="000000"/>
          <w:highlight w:val="none"/>
          <w:u w:val="single"/>
        </w:rPr>
      </w:pPr>
      <w:r>
        <w:rPr>
          <w:rFonts w:hint="eastAsia"/>
          <w:color w:val="000000"/>
          <w:highlight w:val="none"/>
        </w:rPr>
        <w:t>2．建设地点：</w:t>
      </w:r>
      <w:r>
        <w:rPr>
          <w:rFonts w:hint="eastAsia" w:ascii="Calibri" w:hAnsi="Calibri"/>
          <w:color w:val="000000"/>
          <w:highlight w:val="none"/>
          <w:u w:val="single"/>
        </w:rPr>
        <w:t>南京市江宁区湖熟街道</w:t>
      </w:r>
    </w:p>
    <w:p w14:paraId="4AD0DF9B">
      <w:pPr>
        <w:shd w:val="clear" w:color="auto"/>
        <w:spacing w:line="360" w:lineRule="auto"/>
        <w:ind w:firstLine="420"/>
        <w:rPr>
          <w:rFonts w:hint="default" w:eastAsia="宋体"/>
          <w:color w:val="000000"/>
          <w:highlight w:val="none"/>
          <w:lang w:val="en-US" w:eastAsia="zh-CN"/>
        </w:rPr>
      </w:pPr>
      <w:r>
        <w:rPr>
          <w:rFonts w:hint="eastAsia"/>
          <w:color w:val="000000"/>
          <w:highlight w:val="none"/>
        </w:rPr>
        <w:t>3．资金来源：</w:t>
      </w:r>
      <w:r>
        <w:rPr>
          <w:rFonts w:hint="eastAsia"/>
          <w:color w:val="000000"/>
          <w:highlight w:val="none"/>
          <w:u w:val="single"/>
          <w:lang w:val="en-US" w:eastAsia="zh-CN"/>
        </w:rPr>
        <w:t xml:space="preserve">       </w:t>
      </w:r>
    </w:p>
    <w:p w14:paraId="493A237C">
      <w:pPr>
        <w:shd w:val="clear" w:color="auto"/>
        <w:spacing w:line="360" w:lineRule="auto"/>
        <w:ind w:firstLine="420"/>
        <w:rPr>
          <w:color w:val="000000"/>
          <w:highlight w:val="none"/>
        </w:rPr>
      </w:pPr>
      <w:r>
        <w:rPr>
          <w:rFonts w:hint="eastAsia"/>
          <w:color w:val="000000"/>
          <w:highlight w:val="none"/>
        </w:rPr>
        <w:t>4．工程用途：</w:t>
      </w:r>
      <w:r>
        <w:rPr>
          <w:rFonts w:hint="eastAsia"/>
          <w:color w:val="000000"/>
          <w:highlight w:val="none"/>
          <w:u w:val="single"/>
        </w:rPr>
        <w:t xml:space="preserve">                     </w:t>
      </w:r>
    </w:p>
    <w:p w14:paraId="26F0CC69">
      <w:pPr>
        <w:shd w:val="clear" w:color="auto"/>
        <w:spacing w:line="360" w:lineRule="auto"/>
        <w:ind w:firstLine="420"/>
        <w:rPr>
          <w:color w:val="000000"/>
          <w:highlight w:val="none"/>
          <w:u w:val="single"/>
        </w:rPr>
      </w:pPr>
      <w:r>
        <w:rPr>
          <w:rFonts w:hint="eastAsia"/>
          <w:color w:val="000000"/>
          <w:highlight w:val="none"/>
        </w:rPr>
        <w:t>5．项目规模：</w:t>
      </w:r>
      <w:r>
        <w:rPr>
          <w:rFonts w:hint="eastAsia"/>
          <w:color w:val="000000"/>
          <w:highlight w:val="none"/>
          <w:u w:val="single"/>
        </w:rPr>
        <w:t>以实际为为准。</w:t>
      </w:r>
    </w:p>
    <w:p w14:paraId="1A62DE95">
      <w:pPr>
        <w:shd w:val="clear" w:color="auto"/>
        <w:spacing w:line="360" w:lineRule="auto"/>
        <w:ind w:firstLine="420"/>
        <w:rPr>
          <w:rFonts w:hint="default" w:eastAsia="宋体"/>
          <w:color w:val="000000"/>
          <w:highlight w:val="none"/>
          <w:u w:val="single"/>
          <w:lang w:val="en-US" w:eastAsia="zh-CN"/>
        </w:rPr>
      </w:pPr>
      <w:r>
        <w:rPr>
          <w:rFonts w:hint="eastAsia"/>
          <w:color w:val="000000"/>
          <w:highlight w:val="none"/>
        </w:rPr>
        <w:t>6．咨询业务范围及内容：</w:t>
      </w:r>
      <w:r>
        <w:rPr>
          <w:rFonts w:hint="eastAsia"/>
          <w:color w:val="000000"/>
          <w:highlight w:val="none"/>
          <w:u w:val="single"/>
          <w:lang w:val="en-US" w:eastAsia="zh-CN"/>
        </w:rPr>
        <w:t xml:space="preserve">                                                        </w:t>
      </w:r>
    </w:p>
    <w:p w14:paraId="74A58AE1">
      <w:pPr>
        <w:shd w:val="clear" w:color="auto"/>
        <w:spacing w:line="360" w:lineRule="auto"/>
        <w:ind w:firstLine="420"/>
        <w:rPr>
          <w:color w:val="000000"/>
          <w:highlight w:val="none"/>
        </w:rPr>
      </w:pPr>
      <w:r>
        <w:rPr>
          <w:rFonts w:hint="eastAsia"/>
          <w:color w:val="000000"/>
          <w:highlight w:val="none"/>
        </w:rPr>
        <w:t>7．服务期：</w:t>
      </w:r>
      <w:r>
        <w:rPr>
          <w:rFonts w:hint="eastAsia"/>
          <w:color w:val="000000"/>
          <w:highlight w:val="none"/>
          <w:u w:val="single"/>
          <w:lang w:val="en-US" w:eastAsia="zh-CN"/>
        </w:rPr>
        <w:t xml:space="preserve">     </w:t>
      </w:r>
      <w:r>
        <w:rPr>
          <w:rFonts w:hint="eastAsia"/>
          <w:color w:val="000000"/>
          <w:highlight w:val="none"/>
        </w:rPr>
        <w:t>天，自</w:t>
      </w:r>
      <w:r>
        <w:rPr>
          <w:rFonts w:hint="eastAsia"/>
          <w:color w:val="000000"/>
          <w:highlight w:val="none"/>
          <w:u w:val="single"/>
        </w:rPr>
        <w:t xml:space="preserve">   </w:t>
      </w:r>
      <w:r>
        <w:rPr>
          <w:rFonts w:hint="eastAsia"/>
          <w:color w:val="000000"/>
          <w:highlight w:val="none"/>
        </w:rPr>
        <w:t>年</w:t>
      </w:r>
      <w:r>
        <w:rPr>
          <w:rFonts w:hint="eastAsia"/>
          <w:color w:val="000000"/>
          <w:highlight w:val="none"/>
          <w:u w:val="single"/>
        </w:rPr>
        <w:t xml:space="preserve">   </w:t>
      </w:r>
      <w:r>
        <w:rPr>
          <w:rFonts w:hint="eastAsia"/>
          <w:color w:val="000000"/>
          <w:highlight w:val="none"/>
        </w:rPr>
        <w:t>月</w:t>
      </w:r>
      <w:r>
        <w:rPr>
          <w:rFonts w:hint="eastAsia"/>
          <w:color w:val="000000"/>
          <w:highlight w:val="none"/>
          <w:u w:val="single"/>
        </w:rPr>
        <w:t xml:space="preserve">   </w:t>
      </w:r>
      <w:r>
        <w:rPr>
          <w:rFonts w:hint="eastAsia"/>
          <w:color w:val="000000"/>
          <w:highlight w:val="none"/>
        </w:rPr>
        <w:t>日至</w:t>
      </w:r>
      <w:r>
        <w:rPr>
          <w:rFonts w:hint="eastAsia"/>
          <w:color w:val="000000"/>
          <w:highlight w:val="none"/>
          <w:u w:val="single"/>
        </w:rPr>
        <w:t xml:space="preserve">   </w:t>
      </w:r>
      <w:r>
        <w:rPr>
          <w:rFonts w:hint="eastAsia"/>
          <w:color w:val="000000"/>
          <w:highlight w:val="none"/>
        </w:rPr>
        <w:t>年</w:t>
      </w:r>
      <w:r>
        <w:rPr>
          <w:rFonts w:hint="eastAsia"/>
          <w:color w:val="000000"/>
          <w:highlight w:val="none"/>
          <w:u w:val="single"/>
        </w:rPr>
        <w:t xml:space="preserve">   </w:t>
      </w:r>
      <w:r>
        <w:rPr>
          <w:rFonts w:hint="eastAsia"/>
          <w:color w:val="000000"/>
          <w:highlight w:val="none"/>
        </w:rPr>
        <w:t>月</w:t>
      </w:r>
      <w:r>
        <w:rPr>
          <w:rFonts w:hint="eastAsia"/>
          <w:color w:val="000000"/>
          <w:highlight w:val="none"/>
          <w:u w:val="single"/>
        </w:rPr>
        <w:t xml:space="preserve">   </w:t>
      </w:r>
      <w:r>
        <w:rPr>
          <w:rFonts w:hint="eastAsia"/>
          <w:color w:val="000000"/>
          <w:highlight w:val="none"/>
        </w:rPr>
        <w:t>日</w:t>
      </w:r>
    </w:p>
    <w:p w14:paraId="3CB2059E">
      <w:pPr>
        <w:shd w:val="clear" w:color="auto"/>
        <w:spacing w:line="360" w:lineRule="auto"/>
        <w:ind w:firstLine="420"/>
        <w:rPr>
          <w:color w:val="000000"/>
          <w:highlight w:val="none"/>
        </w:rPr>
      </w:pPr>
      <w:r>
        <w:rPr>
          <w:rFonts w:hint="eastAsia" w:ascii="黑体" w:eastAsia="黑体"/>
          <w:color w:val="000000"/>
          <w:highlight w:val="none"/>
        </w:rPr>
        <w:t>二、</w:t>
      </w:r>
      <w:r>
        <w:rPr>
          <w:rFonts w:hint="eastAsia"/>
          <w:color w:val="000000"/>
          <w:highlight w:val="none"/>
        </w:rPr>
        <w:t>本协议书的措词和用语与所属建设工程造价咨询合同通用条款赋予的定义相同。</w:t>
      </w:r>
    </w:p>
    <w:p w14:paraId="4A1C66ED">
      <w:pPr>
        <w:shd w:val="clear" w:color="auto"/>
        <w:spacing w:line="360" w:lineRule="auto"/>
        <w:ind w:firstLine="420"/>
        <w:rPr>
          <w:color w:val="000000"/>
          <w:highlight w:val="none"/>
        </w:rPr>
      </w:pPr>
      <w:r>
        <w:rPr>
          <w:rFonts w:hint="eastAsia" w:ascii="黑体" w:eastAsia="黑体"/>
          <w:color w:val="000000"/>
          <w:highlight w:val="none"/>
        </w:rPr>
        <w:t>三、</w:t>
      </w:r>
      <w:r>
        <w:rPr>
          <w:rFonts w:hint="eastAsia"/>
          <w:color w:val="000000"/>
          <w:highlight w:val="none"/>
        </w:rPr>
        <w:t>本合同的组成部分及解释顺序为：</w:t>
      </w:r>
    </w:p>
    <w:p w14:paraId="033CF280">
      <w:pPr>
        <w:shd w:val="clear" w:color="auto"/>
        <w:spacing w:line="360" w:lineRule="auto"/>
        <w:ind w:firstLine="420"/>
        <w:rPr>
          <w:color w:val="000000"/>
          <w:highlight w:val="none"/>
        </w:rPr>
      </w:pPr>
      <w:r>
        <w:rPr>
          <w:rFonts w:hint="eastAsia"/>
          <w:color w:val="000000"/>
          <w:highlight w:val="none"/>
        </w:rPr>
        <w:t>1.建设工程造价咨询协议书；</w:t>
      </w:r>
    </w:p>
    <w:p w14:paraId="4B08B3EC">
      <w:pPr>
        <w:shd w:val="clear" w:color="auto"/>
        <w:spacing w:line="360" w:lineRule="auto"/>
        <w:ind w:firstLine="420"/>
        <w:rPr>
          <w:color w:val="000000"/>
          <w:highlight w:val="none"/>
        </w:rPr>
      </w:pPr>
      <w:r>
        <w:rPr>
          <w:rFonts w:hint="eastAsia"/>
          <w:color w:val="000000"/>
          <w:highlight w:val="none"/>
        </w:rPr>
        <w:t>2.建设工程造价咨询合同专用条款；</w:t>
      </w:r>
    </w:p>
    <w:p w14:paraId="42199557">
      <w:pPr>
        <w:shd w:val="clear" w:color="auto"/>
        <w:spacing w:line="360" w:lineRule="auto"/>
        <w:ind w:firstLine="420"/>
        <w:rPr>
          <w:color w:val="000000"/>
          <w:highlight w:val="none"/>
        </w:rPr>
      </w:pPr>
      <w:r>
        <w:rPr>
          <w:rFonts w:hint="eastAsia"/>
          <w:color w:val="000000"/>
          <w:highlight w:val="none"/>
        </w:rPr>
        <w:t>3.建设工程造价咨询合同通用条款；</w:t>
      </w:r>
    </w:p>
    <w:p w14:paraId="02B3CF57">
      <w:pPr>
        <w:shd w:val="clear" w:color="auto"/>
        <w:spacing w:line="360" w:lineRule="auto"/>
        <w:ind w:firstLine="420"/>
        <w:rPr>
          <w:color w:val="000000"/>
          <w:highlight w:val="none"/>
        </w:rPr>
      </w:pPr>
      <w:r>
        <w:rPr>
          <w:rFonts w:hint="eastAsia"/>
          <w:color w:val="000000"/>
          <w:highlight w:val="none"/>
        </w:rPr>
        <w:t>4.建设工程造价咨询合同履行中共同签署的补充文件；</w:t>
      </w:r>
    </w:p>
    <w:p w14:paraId="178A2A97">
      <w:pPr>
        <w:shd w:val="clear" w:color="auto"/>
        <w:spacing w:line="360" w:lineRule="auto"/>
        <w:ind w:firstLine="420"/>
        <w:rPr>
          <w:color w:val="000000"/>
          <w:highlight w:val="none"/>
        </w:rPr>
      </w:pPr>
      <w:r>
        <w:rPr>
          <w:rFonts w:hint="eastAsia"/>
          <w:color w:val="000000"/>
          <w:highlight w:val="none"/>
        </w:rPr>
        <w:t>5.通过招标方式获得咨询业务的，还包括下列资料：</w:t>
      </w:r>
    </w:p>
    <w:p w14:paraId="6389E521">
      <w:pPr>
        <w:shd w:val="clear" w:color="auto"/>
        <w:spacing w:line="360" w:lineRule="auto"/>
        <w:ind w:firstLine="420"/>
        <w:rPr>
          <w:color w:val="000000"/>
          <w:highlight w:val="none"/>
        </w:rPr>
      </w:pPr>
      <w:r>
        <w:rPr>
          <w:rFonts w:hint="eastAsia"/>
          <w:color w:val="000000"/>
          <w:highlight w:val="none"/>
        </w:rPr>
        <w:t>（1）招标文件；</w:t>
      </w:r>
    </w:p>
    <w:p w14:paraId="6303B1FE">
      <w:pPr>
        <w:shd w:val="clear" w:color="auto"/>
        <w:spacing w:line="360" w:lineRule="auto"/>
        <w:ind w:firstLine="420"/>
        <w:rPr>
          <w:color w:val="000000"/>
          <w:highlight w:val="none"/>
        </w:rPr>
      </w:pPr>
      <w:r>
        <w:rPr>
          <w:rFonts w:hint="eastAsia"/>
          <w:color w:val="000000"/>
          <w:highlight w:val="none"/>
        </w:rPr>
        <w:t>（2）投标书及其附件；</w:t>
      </w:r>
    </w:p>
    <w:p w14:paraId="55607812">
      <w:pPr>
        <w:shd w:val="clear" w:color="auto"/>
        <w:spacing w:line="360" w:lineRule="auto"/>
        <w:ind w:firstLine="420"/>
        <w:rPr>
          <w:color w:val="000000"/>
          <w:highlight w:val="none"/>
        </w:rPr>
      </w:pPr>
      <w:r>
        <w:rPr>
          <w:rFonts w:hint="eastAsia"/>
          <w:color w:val="000000"/>
          <w:highlight w:val="none"/>
        </w:rPr>
        <w:t>（3）中标通知书。</w:t>
      </w:r>
    </w:p>
    <w:p w14:paraId="565273BD">
      <w:pPr>
        <w:shd w:val="clear" w:color="auto"/>
        <w:spacing w:line="360" w:lineRule="auto"/>
        <w:ind w:firstLine="420"/>
        <w:rPr>
          <w:color w:val="000000"/>
          <w:highlight w:val="none"/>
        </w:rPr>
      </w:pPr>
      <w:r>
        <w:rPr>
          <w:rFonts w:hint="eastAsia" w:ascii="黑体" w:eastAsia="黑体"/>
          <w:b/>
          <w:color w:val="000000"/>
          <w:highlight w:val="none"/>
        </w:rPr>
        <w:t>四</w:t>
      </w:r>
      <w:r>
        <w:rPr>
          <w:rFonts w:hint="eastAsia" w:ascii="黑体" w:eastAsia="黑体"/>
          <w:color w:val="000000"/>
          <w:highlight w:val="none"/>
        </w:rPr>
        <w:t>、</w:t>
      </w:r>
      <w:r>
        <w:rPr>
          <w:rFonts w:hint="eastAsia"/>
          <w:color w:val="000000"/>
          <w:highlight w:val="none"/>
        </w:rPr>
        <w:t>咨询人同意按照本合同的约定，承担本合同专用条款中约定范围内的建设工程造价咨询业务。</w:t>
      </w:r>
    </w:p>
    <w:p w14:paraId="291DCE53">
      <w:pPr>
        <w:shd w:val="clear" w:color="auto"/>
        <w:spacing w:line="400" w:lineRule="exact"/>
        <w:ind w:firstLine="420"/>
        <w:rPr>
          <w:color w:val="000000"/>
          <w:highlight w:val="none"/>
        </w:rPr>
      </w:pPr>
      <w:r>
        <w:rPr>
          <w:rFonts w:hint="eastAsia" w:ascii="黑体" w:eastAsia="黑体"/>
          <w:color w:val="000000"/>
          <w:highlight w:val="none"/>
        </w:rPr>
        <w:t>五、</w:t>
      </w:r>
      <w:r>
        <w:rPr>
          <w:rFonts w:hint="eastAsia"/>
          <w:color w:val="000000"/>
          <w:highlight w:val="none"/>
        </w:rPr>
        <w:t>委托人同意按照专用条款中约定的期限、方式、币种和额度向咨询人支付酬金。</w:t>
      </w:r>
    </w:p>
    <w:p w14:paraId="7C245963">
      <w:pPr>
        <w:shd w:val="clear" w:color="auto"/>
        <w:spacing w:line="400" w:lineRule="exact"/>
        <w:ind w:firstLine="420"/>
        <w:rPr>
          <w:b/>
          <w:color w:val="000000"/>
          <w:highlight w:val="none"/>
        </w:rPr>
      </w:pPr>
      <w:r>
        <w:rPr>
          <w:rFonts w:hint="eastAsia" w:ascii="黑体" w:eastAsia="黑体"/>
          <w:color w:val="000000"/>
          <w:highlight w:val="none"/>
        </w:rPr>
        <w:t>六、</w:t>
      </w:r>
      <w:r>
        <w:rPr>
          <w:rFonts w:hint="eastAsia" w:ascii="Tahoma" w:hAnsi="Tahoma" w:cs="Tahoma"/>
          <w:color w:val="000000"/>
          <w:highlight w:val="none"/>
        </w:rPr>
        <w:t>生效之日开始实施，至工程竣工结算</w:t>
      </w:r>
      <w:r>
        <w:rPr>
          <w:rFonts w:hint="eastAsia" w:ascii="Tahoma" w:hAnsi="Tahoma" w:cs="Tahoma"/>
          <w:color w:val="000000"/>
          <w:highlight w:val="none"/>
          <w:lang w:val="en-US" w:eastAsia="zh-CN"/>
        </w:rPr>
        <w:t>审核</w:t>
      </w:r>
      <w:r>
        <w:rPr>
          <w:rFonts w:hint="eastAsia" w:ascii="Tahoma" w:hAnsi="Tahoma" w:cs="Tahoma"/>
          <w:color w:val="000000"/>
          <w:highlight w:val="none"/>
        </w:rPr>
        <w:t>完成，委托人付完咨询费为止</w:t>
      </w:r>
      <w:r>
        <w:rPr>
          <w:rFonts w:hint="eastAsia"/>
          <w:color w:val="000000"/>
          <w:highlight w:val="none"/>
        </w:rPr>
        <w:t>。</w:t>
      </w:r>
      <w:r>
        <w:rPr>
          <w:rFonts w:hint="eastAsia"/>
          <w:b/>
          <w:color w:val="000000"/>
          <w:highlight w:val="none"/>
        </w:rPr>
        <w:t>若委托人提供咨询资料延后则时间相应顺延，若增加工作内容具体完成时间另行约定。</w:t>
      </w:r>
    </w:p>
    <w:p w14:paraId="5092C3B5">
      <w:pPr>
        <w:shd w:val="clear" w:color="auto"/>
        <w:spacing w:line="400" w:lineRule="exact"/>
        <w:ind w:firstLine="420"/>
        <w:rPr>
          <w:color w:val="000000"/>
          <w:highlight w:val="none"/>
        </w:rPr>
      </w:pPr>
      <w:r>
        <w:rPr>
          <w:rFonts w:hint="eastAsia" w:ascii="黑体" w:eastAsia="黑体"/>
          <w:color w:val="000000"/>
          <w:highlight w:val="none"/>
        </w:rPr>
        <w:t>七、</w:t>
      </w:r>
      <w:r>
        <w:rPr>
          <w:rFonts w:hint="eastAsia"/>
          <w:color w:val="000000"/>
          <w:highlight w:val="none"/>
        </w:rPr>
        <w:t>本合同正本二份，委托人、咨询人各执一份，副本</w:t>
      </w:r>
      <w:r>
        <w:rPr>
          <w:rFonts w:hint="eastAsia"/>
          <w:color w:val="000000"/>
          <w:highlight w:val="none"/>
          <w:u w:val="single"/>
        </w:rPr>
        <w:t xml:space="preserve">    </w:t>
      </w:r>
      <w:r>
        <w:rPr>
          <w:rFonts w:hint="eastAsia"/>
          <w:color w:val="000000"/>
          <w:highlight w:val="none"/>
        </w:rPr>
        <w:t>份，委托人</w:t>
      </w:r>
      <w:r>
        <w:rPr>
          <w:rFonts w:hint="eastAsia"/>
          <w:color w:val="000000"/>
          <w:highlight w:val="none"/>
          <w:u w:val="single"/>
        </w:rPr>
        <w:t xml:space="preserve">  </w:t>
      </w:r>
      <w:r>
        <w:rPr>
          <w:rFonts w:hint="eastAsia"/>
          <w:color w:val="000000"/>
          <w:highlight w:val="none"/>
        </w:rPr>
        <w:t>份，咨询人</w:t>
      </w:r>
      <w:r>
        <w:rPr>
          <w:rFonts w:hint="eastAsia"/>
          <w:color w:val="000000"/>
          <w:highlight w:val="none"/>
          <w:u w:val="single"/>
        </w:rPr>
        <w:t xml:space="preserve"> </w:t>
      </w:r>
      <w:r>
        <w:rPr>
          <w:color w:val="000000"/>
          <w:highlight w:val="none"/>
          <w:u w:val="single"/>
        </w:rPr>
        <w:t xml:space="preserve">  </w:t>
      </w:r>
      <w:r>
        <w:rPr>
          <w:rFonts w:hint="eastAsia"/>
          <w:color w:val="000000"/>
          <w:highlight w:val="none"/>
        </w:rPr>
        <w:t>份。</w:t>
      </w:r>
    </w:p>
    <w:p w14:paraId="53AC44B8">
      <w:pPr>
        <w:shd w:val="clear" w:color="auto"/>
        <w:spacing w:line="400" w:lineRule="exact"/>
        <w:rPr>
          <w:color w:val="000000"/>
          <w:highlight w:val="none"/>
        </w:rPr>
      </w:pPr>
    </w:p>
    <w:p w14:paraId="596B9542">
      <w:pPr>
        <w:shd w:val="clear" w:color="auto"/>
        <w:spacing w:line="400" w:lineRule="exact"/>
        <w:rPr>
          <w:color w:val="000000"/>
          <w:highlight w:val="none"/>
        </w:rPr>
      </w:pPr>
      <w:r>
        <w:rPr>
          <w:rFonts w:hint="eastAsia"/>
          <w:color w:val="000000"/>
          <w:highlight w:val="none"/>
        </w:rPr>
        <w:t>　　委　托　人：（盖章）　　　　　　　　　　　咨　询　人：（盖章）</w:t>
      </w:r>
    </w:p>
    <w:p w14:paraId="6394D68A">
      <w:pPr>
        <w:shd w:val="clear" w:color="auto"/>
        <w:spacing w:line="400" w:lineRule="exact"/>
        <w:rPr>
          <w:color w:val="000000"/>
          <w:highlight w:val="none"/>
        </w:rPr>
      </w:pPr>
      <w:r>
        <w:rPr>
          <w:rFonts w:hint="eastAsia"/>
          <w:color w:val="000000"/>
          <w:highlight w:val="none"/>
        </w:rPr>
        <w:t xml:space="preserve">  </w:t>
      </w:r>
    </w:p>
    <w:p w14:paraId="1C6EFA80">
      <w:pPr>
        <w:shd w:val="clear" w:color="auto"/>
        <w:spacing w:line="400" w:lineRule="exact"/>
        <w:ind w:firstLine="420"/>
        <w:rPr>
          <w:color w:val="000000"/>
          <w:highlight w:val="none"/>
        </w:rPr>
      </w:pPr>
      <w:r>
        <w:rPr>
          <w:rFonts w:hint="eastAsia"/>
          <w:color w:val="000000"/>
          <w:highlight w:val="none"/>
        </w:rPr>
        <w:t>法定代表人</w:t>
      </w:r>
      <w:r>
        <w:rPr>
          <w:rFonts w:hint="eastAsia" w:ascii="宋体" w:hAnsi="宋体"/>
          <w:color w:val="000000"/>
          <w:highlight w:val="none"/>
        </w:rPr>
        <w:t>或</w:t>
      </w:r>
      <w:r>
        <w:rPr>
          <w:rFonts w:hint="eastAsia"/>
          <w:color w:val="000000"/>
          <w:highlight w:val="none"/>
        </w:rPr>
        <w:t xml:space="preserve">                             　法定代表人</w:t>
      </w:r>
      <w:r>
        <w:rPr>
          <w:rFonts w:hint="eastAsia" w:ascii="宋体" w:hAnsi="宋体"/>
          <w:color w:val="000000"/>
          <w:highlight w:val="none"/>
        </w:rPr>
        <w:t>或</w:t>
      </w:r>
    </w:p>
    <w:p w14:paraId="329A4356">
      <w:pPr>
        <w:shd w:val="clear" w:color="auto"/>
        <w:spacing w:line="400" w:lineRule="exact"/>
        <w:ind w:firstLine="420"/>
        <w:rPr>
          <w:color w:val="000000"/>
          <w:highlight w:val="none"/>
        </w:rPr>
      </w:pPr>
      <w:r>
        <w:rPr>
          <w:rFonts w:hint="eastAsia" w:ascii="宋体" w:hAnsi="宋体"/>
          <w:color w:val="000000"/>
          <w:highlight w:val="none"/>
        </w:rPr>
        <w:t>委托代理人</w:t>
      </w:r>
      <w:r>
        <w:rPr>
          <w:rFonts w:hint="eastAsia"/>
          <w:color w:val="000000"/>
          <w:highlight w:val="none"/>
        </w:rPr>
        <w:t xml:space="preserve">：（签字）　　　　　              </w:t>
      </w:r>
      <w:r>
        <w:rPr>
          <w:rFonts w:hint="eastAsia" w:ascii="宋体" w:hAnsi="宋体"/>
          <w:color w:val="000000"/>
          <w:highlight w:val="none"/>
        </w:rPr>
        <w:t>委托代理人</w:t>
      </w:r>
      <w:r>
        <w:rPr>
          <w:rFonts w:hint="eastAsia"/>
          <w:color w:val="000000"/>
          <w:highlight w:val="none"/>
        </w:rPr>
        <w:t>：（签字）</w:t>
      </w:r>
    </w:p>
    <w:p w14:paraId="039A591E">
      <w:pPr>
        <w:shd w:val="clear" w:color="auto"/>
        <w:spacing w:line="400" w:lineRule="exact"/>
        <w:ind w:left="279" w:firstLine="168"/>
        <w:rPr>
          <w:color w:val="000000"/>
          <w:highlight w:val="none"/>
        </w:rPr>
      </w:pPr>
      <w:r>
        <w:rPr>
          <w:rFonts w:hint="eastAsia"/>
          <w:color w:val="000000"/>
          <w:highlight w:val="none"/>
        </w:rPr>
        <w:t>住　　所：　　　　　　　　　　　　　　　　 住　　所：</w:t>
      </w:r>
    </w:p>
    <w:p w14:paraId="2DFA2DE7">
      <w:pPr>
        <w:shd w:val="clear" w:color="auto"/>
        <w:spacing w:line="400" w:lineRule="exact"/>
        <w:ind w:firstLine="420"/>
        <w:rPr>
          <w:color w:val="000000"/>
          <w:highlight w:val="none"/>
        </w:rPr>
      </w:pPr>
    </w:p>
    <w:p w14:paraId="229ABFDF">
      <w:pPr>
        <w:shd w:val="clear" w:color="auto"/>
        <w:spacing w:line="400" w:lineRule="exact"/>
        <w:rPr>
          <w:color w:val="000000"/>
          <w:highlight w:val="none"/>
        </w:rPr>
      </w:pPr>
      <w:r>
        <w:rPr>
          <w:rFonts w:hint="eastAsia"/>
          <w:color w:val="000000"/>
          <w:highlight w:val="none"/>
        </w:rPr>
        <w:t>　　开户银行：　　　　　　　　　　　　　　　　开户银行：</w:t>
      </w:r>
    </w:p>
    <w:p w14:paraId="6ACE5B30">
      <w:pPr>
        <w:shd w:val="clear" w:color="auto"/>
        <w:spacing w:line="400" w:lineRule="exact"/>
        <w:rPr>
          <w:color w:val="000000"/>
          <w:highlight w:val="none"/>
        </w:rPr>
      </w:pPr>
      <w:r>
        <w:rPr>
          <w:rFonts w:hint="eastAsia"/>
          <w:color w:val="000000"/>
          <w:highlight w:val="none"/>
        </w:rPr>
        <w:t>　　帐　　号：　　　　　　　　　　　　　　　　帐　　号：</w:t>
      </w:r>
    </w:p>
    <w:p w14:paraId="0FD95EEF">
      <w:pPr>
        <w:shd w:val="clear" w:color="auto"/>
        <w:spacing w:line="400" w:lineRule="exact"/>
        <w:rPr>
          <w:color w:val="000000"/>
          <w:highlight w:val="none"/>
        </w:rPr>
      </w:pPr>
      <w:r>
        <w:rPr>
          <w:rFonts w:hint="eastAsia"/>
          <w:color w:val="000000"/>
          <w:highlight w:val="none"/>
        </w:rPr>
        <w:t>　　电　　话：　　　　　　　　　　　　　　　　电　　话：</w:t>
      </w:r>
    </w:p>
    <w:p w14:paraId="6BEDFEDA">
      <w:pPr>
        <w:shd w:val="clear" w:color="auto"/>
        <w:spacing w:line="400" w:lineRule="exact"/>
        <w:rPr>
          <w:color w:val="000000"/>
          <w:highlight w:val="none"/>
        </w:rPr>
      </w:pPr>
      <w:r>
        <w:rPr>
          <w:rFonts w:hint="eastAsia"/>
          <w:color w:val="000000"/>
          <w:highlight w:val="none"/>
        </w:rPr>
        <w:t>　　传　　真：　　　　　　　　　　　　　　　　传　　真：</w:t>
      </w:r>
    </w:p>
    <w:p w14:paraId="355B716D">
      <w:pPr>
        <w:shd w:val="clear" w:color="auto"/>
        <w:spacing w:line="400" w:lineRule="exact"/>
        <w:ind w:firstLine="420"/>
        <w:rPr>
          <w:color w:val="000000"/>
          <w:highlight w:val="none"/>
        </w:rPr>
      </w:pPr>
      <w:r>
        <w:rPr>
          <w:rFonts w:hint="eastAsia"/>
          <w:color w:val="000000"/>
          <w:highlight w:val="none"/>
        </w:rPr>
        <w:t>电子邮箱：　　　　　　　　　　　　　　　　电子邮箱：</w:t>
      </w:r>
    </w:p>
    <w:p w14:paraId="3B084137">
      <w:pPr>
        <w:shd w:val="clear" w:color="auto"/>
        <w:spacing w:line="400" w:lineRule="exact"/>
        <w:rPr>
          <w:color w:val="000000"/>
          <w:highlight w:val="none"/>
        </w:rPr>
      </w:pPr>
      <w:r>
        <w:rPr>
          <w:rFonts w:hint="eastAsia"/>
          <w:color w:val="000000"/>
          <w:highlight w:val="none"/>
        </w:rPr>
        <w:t>　　邮政编码：　　　　　　　　　　　　　　　　邮政编码：</w:t>
      </w:r>
    </w:p>
    <w:p w14:paraId="1263B215">
      <w:pPr>
        <w:shd w:val="clear" w:color="auto"/>
        <w:spacing w:line="400" w:lineRule="exact"/>
        <w:ind w:firstLine="315"/>
        <w:rPr>
          <w:color w:val="000000"/>
          <w:highlight w:val="none"/>
        </w:rPr>
      </w:pPr>
    </w:p>
    <w:p w14:paraId="6ACEE92B">
      <w:pPr>
        <w:shd w:val="clear" w:color="auto"/>
        <w:spacing w:line="400" w:lineRule="exact"/>
        <w:rPr>
          <w:color w:val="000000"/>
          <w:highlight w:val="none"/>
        </w:rPr>
      </w:pPr>
      <w:r>
        <w:rPr>
          <w:rFonts w:hint="eastAsia"/>
          <w:color w:val="000000"/>
          <w:highlight w:val="none"/>
        </w:rPr>
        <w:t>年　　月　　日　　　　　　　　　　　　　 　年　　月　　日</w:t>
      </w:r>
    </w:p>
    <w:p w14:paraId="221A2CA4">
      <w:pPr>
        <w:shd w:val="clear" w:color="auto"/>
        <w:spacing w:line="360" w:lineRule="auto"/>
        <w:jc w:val="center"/>
        <w:rPr>
          <w:rFonts w:ascii="黑体" w:hAnsi="宋体" w:eastAsia="黑体"/>
          <w:b/>
          <w:color w:val="000000"/>
          <w:sz w:val="30"/>
          <w:szCs w:val="30"/>
          <w:highlight w:val="none"/>
        </w:rPr>
      </w:pPr>
    </w:p>
    <w:p w14:paraId="300CEFA1">
      <w:pPr>
        <w:pStyle w:val="41"/>
        <w:shd w:val="clear" w:color="auto"/>
        <w:rPr>
          <w:color w:val="000000"/>
          <w:highlight w:val="none"/>
        </w:rPr>
      </w:pPr>
    </w:p>
    <w:p w14:paraId="2DC62099">
      <w:pPr>
        <w:pStyle w:val="41"/>
        <w:shd w:val="clear" w:color="auto"/>
        <w:rPr>
          <w:color w:val="000000"/>
          <w:highlight w:val="none"/>
        </w:rPr>
      </w:pPr>
    </w:p>
    <w:p w14:paraId="7DDA69CD">
      <w:pPr>
        <w:pStyle w:val="41"/>
        <w:shd w:val="clear" w:color="auto"/>
        <w:rPr>
          <w:color w:val="000000"/>
          <w:highlight w:val="none"/>
        </w:rPr>
      </w:pPr>
    </w:p>
    <w:p w14:paraId="6536C2EA">
      <w:pPr>
        <w:pStyle w:val="41"/>
        <w:shd w:val="clear" w:color="auto"/>
        <w:rPr>
          <w:color w:val="000000"/>
          <w:highlight w:val="none"/>
        </w:rPr>
      </w:pPr>
    </w:p>
    <w:p w14:paraId="3FB70FBF">
      <w:pPr>
        <w:pStyle w:val="41"/>
        <w:shd w:val="clear" w:color="auto"/>
        <w:rPr>
          <w:color w:val="000000"/>
          <w:highlight w:val="none"/>
        </w:rPr>
      </w:pPr>
    </w:p>
    <w:p w14:paraId="370BEB7D">
      <w:pPr>
        <w:pStyle w:val="41"/>
        <w:shd w:val="clear" w:color="auto"/>
        <w:rPr>
          <w:color w:val="000000"/>
          <w:highlight w:val="none"/>
        </w:rPr>
      </w:pPr>
    </w:p>
    <w:p w14:paraId="0F79959A">
      <w:pPr>
        <w:pStyle w:val="41"/>
        <w:shd w:val="clear" w:color="auto"/>
        <w:rPr>
          <w:color w:val="000000"/>
          <w:highlight w:val="none"/>
        </w:rPr>
      </w:pPr>
    </w:p>
    <w:p w14:paraId="5AB6309B">
      <w:pPr>
        <w:pStyle w:val="41"/>
        <w:shd w:val="clear" w:color="auto"/>
        <w:rPr>
          <w:color w:val="000000"/>
          <w:highlight w:val="none"/>
        </w:rPr>
      </w:pPr>
    </w:p>
    <w:p w14:paraId="499BA2AB">
      <w:pPr>
        <w:pStyle w:val="41"/>
        <w:shd w:val="clear" w:color="auto"/>
        <w:rPr>
          <w:color w:val="000000"/>
          <w:highlight w:val="none"/>
        </w:rPr>
      </w:pPr>
    </w:p>
    <w:p w14:paraId="7EAF5D38">
      <w:pPr>
        <w:pStyle w:val="41"/>
        <w:shd w:val="clear" w:color="auto"/>
        <w:rPr>
          <w:color w:val="000000"/>
          <w:highlight w:val="none"/>
        </w:rPr>
      </w:pPr>
    </w:p>
    <w:p w14:paraId="7494C9BA">
      <w:pPr>
        <w:pStyle w:val="41"/>
        <w:shd w:val="clear" w:color="auto"/>
        <w:rPr>
          <w:color w:val="000000"/>
          <w:highlight w:val="none"/>
        </w:rPr>
      </w:pPr>
    </w:p>
    <w:p w14:paraId="6BDF9175">
      <w:pPr>
        <w:pStyle w:val="41"/>
        <w:shd w:val="clear" w:color="auto"/>
        <w:rPr>
          <w:color w:val="000000"/>
          <w:highlight w:val="none"/>
        </w:rPr>
      </w:pPr>
    </w:p>
    <w:p w14:paraId="51F60476">
      <w:pPr>
        <w:pStyle w:val="41"/>
        <w:shd w:val="clear" w:color="auto"/>
        <w:rPr>
          <w:color w:val="000000"/>
          <w:highlight w:val="none"/>
        </w:rPr>
      </w:pPr>
    </w:p>
    <w:p w14:paraId="3F46492D">
      <w:pPr>
        <w:pStyle w:val="41"/>
        <w:shd w:val="clear" w:color="auto"/>
        <w:rPr>
          <w:color w:val="000000"/>
          <w:highlight w:val="none"/>
        </w:rPr>
      </w:pPr>
    </w:p>
    <w:p w14:paraId="071F92FE">
      <w:pPr>
        <w:pStyle w:val="41"/>
        <w:shd w:val="clear" w:color="auto"/>
        <w:rPr>
          <w:color w:val="000000"/>
          <w:highlight w:val="none"/>
        </w:rPr>
      </w:pPr>
    </w:p>
    <w:p w14:paraId="4FA1271B">
      <w:pPr>
        <w:pStyle w:val="41"/>
        <w:shd w:val="clear" w:color="auto"/>
        <w:rPr>
          <w:color w:val="000000"/>
          <w:highlight w:val="none"/>
        </w:rPr>
      </w:pPr>
    </w:p>
    <w:p w14:paraId="243ECAC3">
      <w:pPr>
        <w:pStyle w:val="41"/>
        <w:shd w:val="clear" w:color="auto"/>
        <w:rPr>
          <w:color w:val="000000"/>
          <w:highlight w:val="none"/>
        </w:rPr>
      </w:pPr>
    </w:p>
    <w:p w14:paraId="62A3CFFB">
      <w:pPr>
        <w:pStyle w:val="41"/>
        <w:shd w:val="clear" w:color="auto"/>
        <w:rPr>
          <w:color w:val="000000"/>
          <w:highlight w:val="none"/>
        </w:rPr>
      </w:pPr>
    </w:p>
    <w:p w14:paraId="57DAA0A5">
      <w:pPr>
        <w:pStyle w:val="41"/>
        <w:shd w:val="clear" w:color="auto"/>
        <w:rPr>
          <w:color w:val="000000"/>
          <w:highlight w:val="none"/>
        </w:rPr>
      </w:pPr>
    </w:p>
    <w:p w14:paraId="246D5E61">
      <w:pPr>
        <w:pStyle w:val="41"/>
        <w:shd w:val="clear" w:color="auto"/>
        <w:rPr>
          <w:color w:val="000000"/>
          <w:highlight w:val="none"/>
        </w:rPr>
      </w:pPr>
    </w:p>
    <w:p w14:paraId="62A33473">
      <w:pPr>
        <w:pStyle w:val="41"/>
        <w:shd w:val="clear" w:color="auto"/>
        <w:rPr>
          <w:color w:val="000000"/>
          <w:highlight w:val="none"/>
        </w:rPr>
      </w:pPr>
    </w:p>
    <w:p w14:paraId="3FB38BCC">
      <w:pPr>
        <w:pStyle w:val="41"/>
        <w:shd w:val="clear" w:color="auto"/>
        <w:rPr>
          <w:color w:val="000000"/>
          <w:highlight w:val="none"/>
        </w:rPr>
      </w:pPr>
    </w:p>
    <w:p w14:paraId="44E16433">
      <w:pPr>
        <w:pStyle w:val="41"/>
        <w:shd w:val="clear" w:color="auto"/>
        <w:rPr>
          <w:color w:val="000000"/>
          <w:highlight w:val="none"/>
        </w:rPr>
      </w:pPr>
    </w:p>
    <w:p w14:paraId="12256402">
      <w:pPr>
        <w:pStyle w:val="41"/>
        <w:shd w:val="clear" w:color="auto"/>
        <w:rPr>
          <w:color w:val="000000"/>
          <w:highlight w:val="none"/>
        </w:rPr>
      </w:pPr>
    </w:p>
    <w:p w14:paraId="5B815D25">
      <w:pPr>
        <w:shd w:val="clear" w:color="auto"/>
        <w:spacing w:line="360" w:lineRule="auto"/>
        <w:jc w:val="center"/>
        <w:rPr>
          <w:rFonts w:ascii="黑体" w:hAnsi="宋体" w:eastAsia="黑体"/>
          <w:b/>
          <w:color w:val="000000"/>
          <w:sz w:val="30"/>
          <w:szCs w:val="30"/>
          <w:highlight w:val="none"/>
        </w:rPr>
      </w:pPr>
      <w:r>
        <w:rPr>
          <w:rFonts w:hint="eastAsia" w:ascii="黑体" w:hAnsi="宋体" w:eastAsia="黑体"/>
          <w:b/>
          <w:color w:val="000000"/>
          <w:sz w:val="30"/>
          <w:szCs w:val="30"/>
          <w:highlight w:val="none"/>
        </w:rPr>
        <w:t>第二部分　建设工程造价咨询合同通用条款</w:t>
      </w:r>
    </w:p>
    <w:p w14:paraId="743866E6">
      <w:pPr>
        <w:shd w:val="clear" w:color="auto"/>
        <w:spacing w:line="360" w:lineRule="auto"/>
        <w:rPr>
          <w:rFonts w:ascii="宋体" w:hAnsi="宋体"/>
          <w:color w:val="000000"/>
          <w:highlight w:val="none"/>
        </w:rPr>
      </w:pPr>
    </w:p>
    <w:p w14:paraId="34B38FAE">
      <w:pPr>
        <w:shd w:val="clear" w:color="auto"/>
        <w:spacing w:line="360" w:lineRule="auto"/>
        <w:jc w:val="center"/>
        <w:rPr>
          <w:rFonts w:hint="eastAsia" w:ascii="黑体" w:hAnsi="宋体" w:eastAsia="黑体"/>
          <w:vanish/>
          <w:color w:val="000000"/>
          <w:highlight w:val="none"/>
        </w:rPr>
      </w:pPr>
    </w:p>
    <w:p w14:paraId="45AB2549">
      <w:pPr>
        <w:shd w:val="clear" w:color="auto"/>
        <w:spacing w:line="360" w:lineRule="auto"/>
        <w:jc w:val="center"/>
        <w:rPr>
          <w:rFonts w:ascii="宋体" w:hAnsi="宋体"/>
          <w:b/>
          <w:color w:val="000000"/>
          <w:highlight w:val="none"/>
        </w:rPr>
      </w:pPr>
      <w:r>
        <w:rPr>
          <w:rFonts w:hint="eastAsia" w:ascii="黑体" w:hAnsi="宋体" w:eastAsia="黑体"/>
          <w:color w:val="000000"/>
          <w:highlight w:val="none"/>
        </w:rPr>
        <w:t>词语定义、适用语言和法律、法规</w:t>
      </w:r>
    </w:p>
    <w:p w14:paraId="42FB127C">
      <w:pPr>
        <w:shd w:val="clear" w:color="auto"/>
        <w:spacing w:line="360" w:lineRule="auto"/>
        <w:jc w:val="center"/>
        <w:rPr>
          <w:rFonts w:ascii="宋体" w:hAnsi="宋体"/>
          <w:b/>
          <w:color w:val="000000"/>
          <w:highlight w:val="none"/>
        </w:rPr>
      </w:pPr>
    </w:p>
    <w:p w14:paraId="2C2D2C89">
      <w:pPr>
        <w:shd w:val="clear" w:color="auto"/>
        <w:spacing w:line="360" w:lineRule="auto"/>
        <w:rPr>
          <w:rFonts w:ascii="宋体" w:hAnsi="宋体"/>
          <w:color w:val="000000"/>
          <w:highlight w:val="none"/>
        </w:rPr>
      </w:pPr>
      <w:r>
        <w:rPr>
          <w:rFonts w:hint="eastAsia" w:ascii="宋体" w:hAnsi="宋体"/>
          <w:b/>
          <w:color w:val="000000"/>
          <w:highlight w:val="none"/>
        </w:rPr>
        <w:t>　　第一条</w:t>
      </w:r>
      <w:r>
        <w:rPr>
          <w:rFonts w:hint="eastAsia" w:ascii="宋体" w:hAnsi="宋体"/>
          <w:color w:val="000000"/>
          <w:highlight w:val="none"/>
        </w:rPr>
        <w:t>　下列名词和用语，除上下文另有规定外具有如下含义。</w:t>
      </w:r>
    </w:p>
    <w:p w14:paraId="5FB5DA89">
      <w:pPr>
        <w:shd w:val="clear" w:color="auto"/>
        <w:spacing w:line="360" w:lineRule="auto"/>
        <w:rPr>
          <w:rFonts w:ascii="宋体" w:hAnsi="宋体"/>
          <w:color w:val="000000"/>
          <w:highlight w:val="none"/>
        </w:rPr>
      </w:pPr>
      <w:r>
        <w:rPr>
          <w:rFonts w:hint="eastAsia" w:ascii="宋体" w:hAnsi="宋体"/>
          <w:color w:val="000000"/>
          <w:highlight w:val="none"/>
        </w:rPr>
        <w:t>　　1、“委托人”是指在</w:t>
      </w:r>
      <w:r>
        <w:rPr>
          <w:rFonts w:hint="eastAsia"/>
          <w:color w:val="000000"/>
          <w:highlight w:val="none"/>
        </w:rPr>
        <w:t>建设工程造价咨询协议书上指明并与咨询人</w:t>
      </w:r>
      <w:r>
        <w:rPr>
          <w:rFonts w:hint="eastAsia" w:ascii="宋体" w:hAnsi="宋体"/>
          <w:color w:val="000000"/>
          <w:highlight w:val="none"/>
        </w:rPr>
        <w:t>在该</w:t>
      </w:r>
      <w:r>
        <w:rPr>
          <w:rFonts w:hint="eastAsia"/>
          <w:color w:val="000000"/>
          <w:highlight w:val="none"/>
        </w:rPr>
        <w:t>协议书上签字、盖章的当事人</w:t>
      </w:r>
      <w:r>
        <w:rPr>
          <w:rFonts w:hint="eastAsia" w:ascii="宋体" w:hAnsi="宋体"/>
          <w:color w:val="000000"/>
          <w:highlight w:val="none"/>
        </w:rPr>
        <w:t>。</w:t>
      </w:r>
    </w:p>
    <w:p w14:paraId="41F5749E">
      <w:pPr>
        <w:shd w:val="clear" w:color="auto"/>
        <w:spacing w:line="360" w:lineRule="auto"/>
        <w:rPr>
          <w:rFonts w:ascii="宋体" w:hAnsi="宋体"/>
          <w:color w:val="000000"/>
          <w:highlight w:val="none"/>
        </w:rPr>
      </w:pPr>
      <w:r>
        <w:rPr>
          <w:rFonts w:hint="eastAsia" w:ascii="宋体" w:hAnsi="宋体"/>
          <w:color w:val="000000"/>
          <w:highlight w:val="none"/>
        </w:rPr>
        <w:t>　　2、“咨询人”是指具有《工程造价咨询企业资质证书》,在</w:t>
      </w:r>
      <w:r>
        <w:rPr>
          <w:rFonts w:hint="eastAsia"/>
          <w:color w:val="000000"/>
          <w:highlight w:val="none"/>
        </w:rPr>
        <w:t>建设工程造价咨询协议书上指明并与委托人</w:t>
      </w:r>
      <w:r>
        <w:rPr>
          <w:rFonts w:hint="eastAsia" w:ascii="宋体" w:hAnsi="宋体"/>
          <w:color w:val="000000"/>
          <w:highlight w:val="none"/>
        </w:rPr>
        <w:t>在该</w:t>
      </w:r>
      <w:r>
        <w:rPr>
          <w:rFonts w:hint="eastAsia"/>
          <w:color w:val="000000"/>
          <w:highlight w:val="none"/>
        </w:rPr>
        <w:t>协议书上签字、盖章的当事人</w:t>
      </w:r>
      <w:r>
        <w:rPr>
          <w:rFonts w:hint="eastAsia" w:ascii="宋体" w:hAnsi="宋体"/>
          <w:color w:val="000000"/>
          <w:highlight w:val="none"/>
        </w:rPr>
        <w:t>。</w:t>
      </w:r>
    </w:p>
    <w:p w14:paraId="182D11F2">
      <w:pPr>
        <w:shd w:val="clear" w:color="auto"/>
        <w:spacing w:line="360" w:lineRule="auto"/>
        <w:rPr>
          <w:rFonts w:ascii="宋体" w:hAnsi="宋体"/>
          <w:color w:val="000000"/>
          <w:highlight w:val="none"/>
        </w:rPr>
      </w:pPr>
      <w:r>
        <w:rPr>
          <w:rFonts w:hint="eastAsia" w:ascii="宋体" w:hAnsi="宋体"/>
          <w:color w:val="000000"/>
          <w:highlight w:val="none"/>
        </w:rPr>
        <w:t>　　3、“第三人”是指除委托人、咨询人以外与本咨询业务有关的当事人。</w:t>
      </w:r>
    </w:p>
    <w:p w14:paraId="4B69C1A2">
      <w:pPr>
        <w:shd w:val="clear" w:color="auto"/>
        <w:spacing w:line="360" w:lineRule="auto"/>
        <w:ind w:firstLine="367"/>
        <w:rPr>
          <w:rFonts w:ascii="宋体" w:hAnsi="宋体"/>
          <w:color w:val="000000"/>
          <w:highlight w:val="none"/>
        </w:rPr>
      </w:pPr>
      <w:r>
        <w:rPr>
          <w:rFonts w:hint="eastAsia" w:ascii="宋体" w:hAnsi="宋体"/>
          <w:color w:val="000000"/>
          <w:highlight w:val="none"/>
        </w:rPr>
        <w:t>4、“日”是指任何一个午夜至下一个午夜的时间段。</w:t>
      </w:r>
    </w:p>
    <w:p w14:paraId="58411433">
      <w:pPr>
        <w:shd w:val="clear" w:color="auto"/>
        <w:spacing w:line="360" w:lineRule="auto"/>
        <w:ind w:firstLine="420"/>
        <w:rPr>
          <w:rFonts w:ascii="宋体" w:hAnsi="宋体"/>
          <w:color w:val="000000"/>
          <w:highlight w:val="none"/>
        </w:rPr>
      </w:pPr>
      <w:r>
        <w:rPr>
          <w:rFonts w:hint="eastAsia" w:ascii="宋体" w:hAnsi="宋体"/>
          <w:color w:val="000000"/>
          <w:highlight w:val="none"/>
        </w:rPr>
        <w:t>5、</w:t>
      </w:r>
      <w:r>
        <w:rPr>
          <w:rFonts w:hint="eastAsia"/>
          <w:color w:val="000000"/>
          <w:highlight w:val="none"/>
        </w:rPr>
        <w:t>“正常服务”是指双方在专用条款中约定的工程造价咨询工作；</w:t>
      </w:r>
    </w:p>
    <w:p w14:paraId="1C631A42">
      <w:pPr>
        <w:shd w:val="clear" w:color="auto"/>
        <w:spacing w:line="360" w:lineRule="auto"/>
        <w:ind w:firstLine="420"/>
        <w:rPr>
          <w:rFonts w:ascii="宋体" w:hAnsi="宋体"/>
          <w:color w:val="000000"/>
          <w:highlight w:val="none"/>
        </w:rPr>
      </w:pPr>
      <w:r>
        <w:rPr>
          <w:rFonts w:hint="eastAsia" w:ascii="宋体" w:hAnsi="宋体"/>
          <w:color w:val="000000"/>
          <w:highlight w:val="none"/>
        </w:rPr>
        <w:t>6、</w:t>
      </w:r>
      <w:r>
        <w:rPr>
          <w:rFonts w:hint="eastAsia"/>
          <w:color w:val="000000"/>
          <w:highlight w:val="none"/>
        </w:rPr>
        <w:t>“附加服务”是指在“正常服务”以外，经双方书面协议确定的附加服务；</w:t>
      </w:r>
    </w:p>
    <w:p w14:paraId="4D59EAEF">
      <w:pPr>
        <w:shd w:val="clear" w:color="auto"/>
        <w:spacing w:line="360" w:lineRule="auto"/>
        <w:ind w:firstLine="420"/>
        <w:rPr>
          <w:rFonts w:ascii="宋体" w:hAnsi="宋体"/>
          <w:color w:val="000000"/>
          <w:highlight w:val="none"/>
        </w:rPr>
      </w:pPr>
      <w:r>
        <w:rPr>
          <w:rFonts w:hint="eastAsia" w:ascii="宋体" w:hAnsi="宋体"/>
          <w:color w:val="000000"/>
          <w:highlight w:val="none"/>
        </w:rPr>
        <w:t>7、</w:t>
      </w:r>
      <w:r>
        <w:rPr>
          <w:rFonts w:hint="eastAsia"/>
          <w:color w:val="000000"/>
          <w:highlight w:val="none"/>
        </w:rPr>
        <w:t>“额外服务”是指不属于“正常服务”和“附加服务”，咨询人增加的额外工作量。</w:t>
      </w:r>
    </w:p>
    <w:p w14:paraId="57F2E49D">
      <w:pPr>
        <w:shd w:val="clear" w:color="auto"/>
        <w:spacing w:line="360" w:lineRule="auto"/>
        <w:rPr>
          <w:rFonts w:ascii="宋体" w:hAnsi="宋体"/>
          <w:color w:val="000000"/>
          <w:highlight w:val="none"/>
        </w:rPr>
      </w:pPr>
      <w:r>
        <w:rPr>
          <w:rFonts w:hint="eastAsia" w:ascii="宋体" w:hAnsi="宋体"/>
          <w:b/>
          <w:color w:val="000000"/>
          <w:highlight w:val="none"/>
        </w:rPr>
        <w:t>　　第二条</w:t>
      </w:r>
      <w:r>
        <w:rPr>
          <w:rFonts w:hint="eastAsia" w:ascii="宋体" w:hAnsi="宋体"/>
          <w:color w:val="000000"/>
          <w:highlight w:val="none"/>
        </w:rPr>
        <w:t>　建设工程造价咨询合同适用的法律、法规是中华人民共和国的法律、法规，以及专用条款中约定的部门规章、工程造价有关计价办法、规定，及项目所在地的地方法规、地方规章。</w:t>
      </w:r>
    </w:p>
    <w:p w14:paraId="2CE0F05A">
      <w:pPr>
        <w:shd w:val="clear" w:color="auto"/>
        <w:spacing w:line="360" w:lineRule="auto"/>
        <w:rPr>
          <w:rFonts w:ascii="宋体" w:hAnsi="宋体"/>
          <w:color w:val="000000"/>
          <w:highlight w:val="none"/>
        </w:rPr>
      </w:pPr>
      <w:r>
        <w:rPr>
          <w:rFonts w:hint="eastAsia" w:ascii="宋体" w:hAnsi="宋体"/>
          <w:color w:val="000000"/>
          <w:highlight w:val="none"/>
        </w:rPr>
        <w:t>　</w:t>
      </w:r>
      <w:r>
        <w:rPr>
          <w:rFonts w:hint="eastAsia" w:ascii="宋体" w:hAnsi="宋体"/>
          <w:b/>
          <w:color w:val="000000"/>
          <w:highlight w:val="none"/>
        </w:rPr>
        <w:t>　第三条</w:t>
      </w:r>
      <w:r>
        <w:rPr>
          <w:rFonts w:hint="eastAsia" w:ascii="宋体" w:hAnsi="宋体"/>
          <w:color w:val="000000"/>
          <w:highlight w:val="none"/>
        </w:rPr>
        <w:t>　建设工程造价咨询合同的书写、解释和说明，以汉语为主导语言。当不同语言文本发生不同解释时，以汉语合同文本为准。</w:t>
      </w:r>
    </w:p>
    <w:p w14:paraId="332CB09D">
      <w:pPr>
        <w:shd w:val="clear" w:color="auto"/>
        <w:spacing w:line="360" w:lineRule="auto"/>
        <w:ind w:firstLine="413"/>
        <w:rPr>
          <w:rFonts w:ascii="宋体" w:hAnsi="宋体"/>
          <w:b/>
          <w:color w:val="000000"/>
          <w:highlight w:val="none"/>
        </w:rPr>
      </w:pPr>
    </w:p>
    <w:p w14:paraId="5C2E81AE">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咨询人的义务</w:t>
      </w:r>
    </w:p>
    <w:p w14:paraId="292F3488">
      <w:pPr>
        <w:shd w:val="clear" w:color="auto"/>
        <w:spacing w:line="360" w:lineRule="auto"/>
        <w:rPr>
          <w:color w:val="000000"/>
          <w:highlight w:val="none"/>
        </w:rPr>
      </w:pPr>
    </w:p>
    <w:p w14:paraId="1196A6C5">
      <w:pPr>
        <w:shd w:val="clear" w:color="auto"/>
        <w:spacing w:line="360" w:lineRule="auto"/>
        <w:rPr>
          <w:color w:val="000000"/>
          <w:highlight w:val="none"/>
        </w:rPr>
      </w:pPr>
      <w:r>
        <w:rPr>
          <w:rFonts w:hint="eastAsia"/>
          <w:color w:val="000000"/>
          <w:highlight w:val="none"/>
        </w:rPr>
        <w:t>　　</w:t>
      </w:r>
      <w:r>
        <w:rPr>
          <w:rFonts w:hint="eastAsia"/>
          <w:b/>
          <w:color w:val="000000"/>
          <w:highlight w:val="none"/>
        </w:rPr>
        <w:t>第四条</w:t>
      </w:r>
      <w:r>
        <w:rPr>
          <w:rFonts w:hint="eastAsia"/>
          <w:color w:val="000000"/>
          <w:highlight w:val="none"/>
        </w:rPr>
        <w:t>　向委托人提供与工程造价咨询业务有关的资料，包括工程造价咨询企业资质证书及承担本合同咨询业务的专业人员名单、咨询工作计划等。</w:t>
      </w:r>
    </w:p>
    <w:p w14:paraId="4F2341C0">
      <w:pPr>
        <w:shd w:val="clear" w:color="auto"/>
        <w:spacing w:line="360" w:lineRule="auto"/>
        <w:rPr>
          <w:color w:val="000000"/>
          <w:highlight w:val="none"/>
        </w:rPr>
      </w:pPr>
      <w:r>
        <w:rPr>
          <w:rFonts w:hint="eastAsia"/>
          <w:color w:val="000000"/>
          <w:highlight w:val="none"/>
        </w:rPr>
        <w:t>　　</w:t>
      </w:r>
      <w:r>
        <w:rPr>
          <w:rFonts w:hint="eastAsia"/>
          <w:b/>
          <w:color w:val="000000"/>
          <w:highlight w:val="none"/>
        </w:rPr>
        <w:t>第五条</w:t>
      </w:r>
      <w:r>
        <w:rPr>
          <w:rFonts w:hint="eastAsia"/>
          <w:color w:val="000000"/>
          <w:highlight w:val="none"/>
        </w:rPr>
        <w:t>　咨询人按专用条款中约定的工作范围和内容，向委托人提供工程造价咨询专业服务，包括正常服务、附加服务和额外服务。并在合同约定的时间内，提供符合行业管理规定的咨询成果文件。</w:t>
      </w:r>
    </w:p>
    <w:p w14:paraId="09BA4DE5">
      <w:pPr>
        <w:shd w:val="clear" w:color="auto"/>
        <w:spacing w:line="360" w:lineRule="auto"/>
        <w:ind w:firstLine="422"/>
        <w:rPr>
          <w:color w:val="000000"/>
          <w:highlight w:val="none"/>
        </w:rPr>
      </w:pPr>
      <w:r>
        <w:rPr>
          <w:rFonts w:hint="eastAsia"/>
          <w:b/>
          <w:color w:val="000000"/>
          <w:highlight w:val="none"/>
        </w:rPr>
        <w:t>第六条</w:t>
      </w:r>
      <w:r>
        <w:rPr>
          <w:rFonts w:hint="eastAsia"/>
          <w:color w:val="000000"/>
          <w:highlight w:val="none"/>
        </w:rPr>
        <w:t xml:space="preserve">  咨询人从事工程造价咨询活动，应当遵循独立、客观、公正、诚实信用的原则，不得损害社会公共利益和他人的合法权益。</w:t>
      </w:r>
      <w:r>
        <w:rPr>
          <w:rFonts w:hint="eastAsia" w:ascii="宋体" w:hAnsi="宋体"/>
          <w:color w:val="000000"/>
          <w:highlight w:val="none"/>
        </w:rPr>
        <w:t>除委托人书面同意外，咨询人及咨询专业人员不应接受建设工程造价咨询合同约定以外的与本工程造价咨询项目有关的任何报酬。咨询人不得参与可能影响合同规定的委托人利益的任何活动。</w:t>
      </w:r>
    </w:p>
    <w:p w14:paraId="27E6AC0E">
      <w:pPr>
        <w:shd w:val="clear" w:color="auto"/>
        <w:spacing w:line="360" w:lineRule="auto"/>
        <w:ind w:firstLine="422"/>
        <w:rPr>
          <w:color w:val="000000"/>
          <w:highlight w:val="none"/>
        </w:rPr>
      </w:pPr>
      <w:r>
        <w:rPr>
          <w:rFonts w:hint="eastAsia"/>
          <w:b/>
          <w:color w:val="000000"/>
          <w:highlight w:val="none"/>
        </w:rPr>
        <w:t>第七条</w:t>
      </w:r>
      <w:r>
        <w:rPr>
          <w:rFonts w:hint="eastAsia"/>
          <w:color w:val="000000"/>
          <w:highlight w:val="none"/>
        </w:rPr>
        <w:t>　咨询人不得泄露与本合同规定业务活动有关的保密资料。</w:t>
      </w:r>
    </w:p>
    <w:p w14:paraId="44B1E356">
      <w:pPr>
        <w:shd w:val="clear" w:color="auto"/>
        <w:spacing w:line="360" w:lineRule="auto"/>
        <w:rPr>
          <w:rFonts w:ascii="宋体" w:hAnsi="宋体"/>
          <w:color w:val="000000"/>
          <w:highlight w:val="none"/>
        </w:rPr>
      </w:pPr>
    </w:p>
    <w:p w14:paraId="05DB151A">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委托人的义务</w:t>
      </w:r>
    </w:p>
    <w:p w14:paraId="67B72026">
      <w:pPr>
        <w:shd w:val="clear" w:color="auto"/>
        <w:spacing w:line="360" w:lineRule="auto"/>
        <w:rPr>
          <w:color w:val="000000"/>
          <w:highlight w:val="none"/>
        </w:rPr>
      </w:pPr>
    </w:p>
    <w:p w14:paraId="3B7C9AF0">
      <w:pPr>
        <w:shd w:val="clear" w:color="auto"/>
        <w:spacing w:line="360" w:lineRule="auto"/>
        <w:rPr>
          <w:b/>
          <w:color w:val="000000"/>
          <w:highlight w:val="none"/>
        </w:rPr>
      </w:pPr>
      <w:r>
        <w:rPr>
          <w:rFonts w:hint="eastAsia"/>
          <w:color w:val="000000"/>
          <w:highlight w:val="none"/>
        </w:rPr>
        <w:t>　　</w:t>
      </w:r>
      <w:r>
        <w:rPr>
          <w:rFonts w:hint="eastAsia"/>
          <w:b/>
          <w:color w:val="000000"/>
          <w:highlight w:val="none"/>
        </w:rPr>
        <w:t>第八条</w:t>
      </w:r>
      <w:r>
        <w:rPr>
          <w:rFonts w:hint="eastAsia"/>
          <w:color w:val="000000"/>
          <w:highlight w:val="none"/>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11F04DC5">
      <w:pPr>
        <w:shd w:val="clear" w:color="auto"/>
        <w:spacing w:line="360" w:lineRule="auto"/>
        <w:ind w:firstLine="422"/>
        <w:rPr>
          <w:b/>
          <w:color w:val="000000"/>
          <w:highlight w:val="none"/>
        </w:rPr>
      </w:pPr>
      <w:r>
        <w:rPr>
          <w:rFonts w:hint="eastAsia"/>
          <w:b/>
          <w:color w:val="000000"/>
          <w:highlight w:val="none"/>
        </w:rPr>
        <w:t>第九条</w:t>
      </w:r>
      <w:r>
        <w:rPr>
          <w:rFonts w:hint="eastAsia"/>
          <w:color w:val="000000"/>
          <w:highlight w:val="none"/>
        </w:rPr>
        <w:t>　委托人在约定的时间内，免费向咨询人提供与本项目咨询业务有关的资料。并对资料的真实性、完整性负责。</w:t>
      </w:r>
    </w:p>
    <w:p w14:paraId="6654349C">
      <w:pPr>
        <w:shd w:val="clear" w:color="auto"/>
        <w:spacing w:line="360" w:lineRule="auto"/>
        <w:ind w:left="105" w:firstLine="316"/>
        <w:rPr>
          <w:color w:val="000000"/>
          <w:highlight w:val="none"/>
        </w:rPr>
      </w:pPr>
      <w:r>
        <w:rPr>
          <w:rFonts w:hint="eastAsia"/>
          <w:b/>
          <w:color w:val="000000"/>
          <w:highlight w:val="none"/>
        </w:rPr>
        <w:t>第十条</w:t>
      </w:r>
      <w:r>
        <w:rPr>
          <w:rFonts w:hint="eastAsia"/>
          <w:color w:val="000000"/>
          <w:highlight w:val="none"/>
        </w:rPr>
        <w:t xml:space="preserve"> 委托人在约定的时间内就咨询人书面提交并要求做出答复的事宜做出书面答复。　　</w:t>
      </w:r>
    </w:p>
    <w:p w14:paraId="153309CF">
      <w:pPr>
        <w:shd w:val="clear" w:color="auto"/>
        <w:spacing w:line="360" w:lineRule="auto"/>
        <w:ind w:firstLine="422"/>
        <w:rPr>
          <w:color w:val="000000"/>
          <w:highlight w:val="none"/>
        </w:rPr>
      </w:pPr>
      <w:r>
        <w:rPr>
          <w:rFonts w:hint="eastAsia"/>
          <w:b/>
          <w:color w:val="000000"/>
          <w:highlight w:val="none"/>
        </w:rPr>
        <w:t>第十一条</w:t>
      </w:r>
      <w:r>
        <w:rPr>
          <w:rFonts w:hint="eastAsia"/>
          <w:color w:val="000000"/>
          <w:highlight w:val="none"/>
        </w:rPr>
        <w:t>　委托人应当按合同条款规定及时支付咨询费用。</w:t>
      </w:r>
    </w:p>
    <w:p w14:paraId="597C9153">
      <w:pPr>
        <w:shd w:val="clear" w:color="auto"/>
        <w:spacing w:line="360" w:lineRule="auto"/>
        <w:ind w:firstLine="420"/>
        <w:rPr>
          <w:color w:val="000000"/>
          <w:highlight w:val="none"/>
        </w:rPr>
      </w:pPr>
    </w:p>
    <w:p w14:paraId="40E23AAC">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咨询人的权利</w:t>
      </w:r>
    </w:p>
    <w:p w14:paraId="71F74EC3">
      <w:pPr>
        <w:shd w:val="clear" w:color="auto"/>
        <w:spacing w:line="360" w:lineRule="auto"/>
        <w:rPr>
          <w:color w:val="000000"/>
          <w:highlight w:val="none"/>
        </w:rPr>
      </w:pPr>
    </w:p>
    <w:p w14:paraId="048C9CE1">
      <w:pPr>
        <w:shd w:val="clear" w:color="auto"/>
        <w:spacing w:line="360" w:lineRule="auto"/>
        <w:ind w:firstLine="420"/>
        <w:rPr>
          <w:color w:val="000000"/>
          <w:highlight w:val="none"/>
        </w:rPr>
      </w:pPr>
      <w:r>
        <w:rPr>
          <w:rFonts w:hint="eastAsia"/>
          <w:b/>
          <w:color w:val="000000"/>
          <w:highlight w:val="none"/>
        </w:rPr>
        <w:t>第十二条</w:t>
      </w:r>
      <w:r>
        <w:rPr>
          <w:rFonts w:hint="eastAsia"/>
          <w:color w:val="000000"/>
          <w:highlight w:val="none"/>
        </w:rPr>
        <w:t>　咨询人在咨询过程中，如委托人提供的资料不明确时可向委托人提出书面报告。</w:t>
      </w:r>
    </w:p>
    <w:p w14:paraId="7CC2FE09">
      <w:pPr>
        <w:shd w:val="clear" w:color="auto"/>
        <w:spacing w:line="360" w:lineRule="auto"/>
        <w:ind w:firstLine="420"/>
        <w:rPr>
          <w:b/>
          <w:color w:val="000000"/>
          <w:highlight w:val="none"/>
        </w:rPr>
      </w:pPr>
      <w:r>
        <w:rPr>
          <w:rFonts w:hint="eastAsia"/>
          <w:b/>
          <w:color w:val="000000"/>
          <w:highlight w:val="none"/>
        </w:rPr>
        <w:t>第十三条</w:t>
      </w:r>
      <w:r>
        <w:rPr>
          <w:rFonts w:hint="eastAsia"/>
          <w:color w:val="000000"/>
          <w:highlight w:val="none"/>
        </w:rPr>
        <w:t xml:space="preserve">  咨询人在咨询过程中，有权对与本咨询业务有关的问题进行核对或查问，以及到工程现场勘察。</w:t>
      </w:r>
    </w:p>
    <w:p w14:paraId="683323B4">
      <w:pPr>
        <w:shd w:val="clear" w:color="auto"/>
        <w:spacing w:line="360" w:lineRule="auto"/>
        <w:ind w:firstLine="420"/>
        <w:rPr>
          <w:color w:val="000000"/>
          <w:highlight w:val="none"/>
        </w:rPr>
      </w:pPr>
      <w:r>
        <w:rPr>
          <w:rFonts w:hint="eastAsia"/>
          <w:b/>
          <w:color w:val="000000"/>
          <w:highlight w:val="none"/>
        </w:rPr>
        <w:t>第十四条</w:t>
      </w:r>
      <w:r>
        <w:rPr>
          <w:rFonts w:hint="eastAsia"/>
          <w:color w:val="000000"/>
          <w:highlight w:val="none"/>
        </w:rPr>
        <w:t xml:space="preserve">  咨询人在咨询过程中，由于委托人原因造成咨询人无法继续履行合同时，咨询人有权解除合同并要求委托人承担相应赔偿。</w:t>
      </w:r>
    </w:p>
    <w:p w14:paraId="0746D56D">
      <w:pPr>
        <w:shd w:val="clear" w:color="auto"/>
        <w:spacing w:line="360" w:lineRule="auto"/>
        <w:ind w:firstLine="420"/>
        <w:rPr>
          <w:color w:val="000000"/>
          <w:highlight w:val="none"/>
        </w:rPr>
      </w:pPr>
      <w:r>
        <w:rPr>
          <w:rFonts w:hint="eastAsia"/>
          <w:b/>
          <w:color w:val="000000"/>
          <w:highlight w:val="none"/>
        </w:rPr>
        <w:t>第十五条</w:t>
      </w:r>
      <w:r>
        <w:rPr>
          <w:rFonts w:hint="eastAsia"/>
          <w:color w:val="000000"/>
          <w:highlight w:val="none"/>
        </w:rPr>
        <w:t xml:space="preserve">  咨询人在咨询过程中，有独立执行工程造价咨询业务工作的权利。</w:t>
      </w:r>
    </w:p>
    <w:p w14:paraId="77EAF60D">
      <w:pPr>
        <w:shd w:val="clear" w:color="auto"/>
        <w:spacing w:line="360" w:lineRule="auto"/>
        <w:ind w:firstLine="420"/>
        <w:rPr>
          <w:color w:val="000000"/>
          <w:highlight w:val="none"/>
        </w:rPr>
      </w:pPr>
      <w:r>
        <w:rPr>
          <w:rFonts w:hint="eastAsia" w:ascii="宋体" w:hAnsi="宋体"/>
          <w:color w:val="000000"/>
          <w:highlight w:val="none"/>
        </w:rPr>
        <w:t>咨询人有权拒绝委托人提出的有失公平、公正及违反法律法规的要求，由此原因造成的咨询合同终止咨询人免责。对于造成咨询人损失的，由委托人给予赔偿。</w:t>
      </w:r>
    </w:p>
    <w:p w14:paraId="4255731F">
      <w:pPr>
        <w:shd w:val="clear" w:color="auto"/>
        <w:spacing w:line="360" w:lineRule="auto"/>
        <w:jc w:val="center"/>
        <w:rPr>
          <w:b/>
          <w:color w:val="000000"/>
          <w:highlight w:val="none"/>
        </w:rPr>
      </w:pPr>
    </w:p>
    <w:p w14:paraId="7B7AF297">
      <w:pPr>
        <w:shd w:val="clear" w:color="auto"/>
        <w:spacing w:line="360" w:lineRule="auto"/>
        <w:jc w:val="center"/>
        <w:rPr>
          <w:rFonts w:ascii="黑体" w:eastAsia="黑体"/>
          <w:color w:val="000000"/>
          <w:highlight w:val="none"/>
        </w:rPr>
      </w:pPr>
      <w:r>
        <w:rPr>
          <w:rFonts w:hint="eastAsia" w:ascii="黑体" w:eastAsia="黑体"/>
          <w:color w:val="000000"/>
          <w:highlight w:val="none"/>
        </w:rPr>
        <w:t>委托人的权利</w:t>
      </w:r>
    </w:p>
    <w:p w14:paraId="4F0CE32D">
      <w:pPr>
        <w:shd w:val="clear" w:color="auto"/>
        <w:spacing w:line="360" w:lineRule="auto"/>
        <w:rPr>
          <w:color w:val="000000"/>
          <w:highlight w:val="none"/>
        </w:rPr>
      </w:pPr>
    </w:p>
    <w:p w14:paraId="4AB84F7D">
      <w:pPr>
        <w:shd w:val="clear" w:color="auto"/>
        <w:spacing w:line="360" w:lineRule="auto"/>
        <w:ind w:firstLine="420"/>
        <w:rPr>
          <w:color w:val="000000"/>
          <w:highlight w:val="none"/>
        </w:rPr>
      </w:pPr>
      <w:r>
        <w:rPr>
          <w:rFonts w:hint="eastAsia"/>
          <w:b/>
          <w:color w:val="000000"/>
          <w:highlight w:val="none"/>
        </w:rPr>
        <w:t>第十六条</w:t>
      </w:r>
      <w:r>
        <w:rPr>
          <w:rFonts w:hint="eastAsia"/>
          <w:color w:val="000000"/>
          <w:highlight w:val="none"/>
        </w:rPr>
        <w:t>　委托人有权向咨询人询问工作进展情况及相关的内容。</w:t>
      </w:r>
    </w:p>
    <w:p w14:paraId="30D3AC68">
      <w:pPr>
        <w:shd w:val="clear" w:color="auto"/>
        <w:spacing w:line="360" w:lineRule="auto"/>
        <w:ind w:firstLine="420"/>
        <w:rPr>
          <w:color w:val="000000"/>
          <w:highlight w:val="none"/>
        </w:rPr>
      </w:pPr>
      <w:r>
        <w:rPr>
          <w:rFonts w:hint="eastAsia"/>
          <w:b/>
          <w:color w:val="000000"/>
          <w:highlight w:val="none"/>
        </w:rPr>
        <w:t>第十七条</w:t>
      </w:r>
      <w:r>
        <w:rPr>
          <w:rFonts w:hint="eastAsia"/>
          <w:color w:val="000000"/>
          <w:highlight w:val="none"/>
        </w:rPr>
        <w:t xml:space="preserve">  委托人有权阐述对具体问题的意见和建议。</w:t>
      </w:r>
    </w:p>
    <w:p w14:paraId="30FFD6C9">
      <w:pPr>
        <w:shd w:val="clear" w:color="auto"/>
        <w:spacing w:line="360" w:lineRule="auto"/>
        <w:ind w:firstLine="420"/>
        <w:rPr>
          <w:b/>
          <w:color w:val="000000"/>
          <w:highlight w:val="none"/>
        </w:rPr>
      </w:pPr>
      <w:r>
        <w:rPr>
          <w:rFonts w:hint="eastAsia"/>
          <w:b/>
          <w:color w:val="000000"/>
          <w:highlight w:val="none"/>
        </w:rPr>
        <w:t>第十八条</w:t>
      </w:r>
      <w:r>
        <w:rPr>
          <w:rFonts w:hint="eastAsia"/>
          <w:color w:val="000000"/>
          <w:highlight w:val="none"/>
        </w:rPr>
        <w:t xml:space="preserve">  当委托人认定咨询专业人员不按咨询合同履行其职责，或与第三人串通给委托人造成经济损失的，委托人有权要求更换咨询专业人员，直至终止合同并要求咨询人承担相应的赔偿责任。</w:t>
      </w:r>
    </w:p>
    <w:p w14:paraId="0D0C47D7">
      <w:pPr>
        <w:shd w:val="clear" w:color="auto"/>
        <w:spacing w:line="360" w:lineRule="auto"/>
        <w:ind w:firstLine="420"/>
        <w:rPr>
          <w:color w:val="000000"/>
          <w:highlight w:val="none"/>
        </w:rPr>
      </w:pPr>
      <w:r>
        <w:rPr>
          <w:rFonts w:hint="eastAsia"/>
          <w:b/>
          <w:color w:val="000000"/>
          <w:highlight w:val="none"/>
        </w:rPr>
        <w:t>第十九条</w:t>
      </w:r>
      <w:r>
        <w:rPr>
          <w:rFonts w:hint="eastAsia"/>
          <w:color w:val="000000"/>
          <w:highlight w:val="none"/>
        </w:rPr>
        <w:t xml:space="preserve">  当委托人认定咨询人执行的专业咨询业务不符合相关规范时，有向行业主管部门申诉的权利。</w:t>
      </w:r>
    </w:p>
    <w:p w14:paraId="3136FF6E">
      <w:pPr>
        <w:shd w:val="clear" w:color="auto"/>
        <w:spacing w:line="360" w:lineRule="auto"/>
        <w:rPr>
          <w:color w:val="000000"/>
          <w:highlight w:val="none"/>
        </w:rPr>
      </w:pPr>
    </w:p>
    <w:p w14:paraId="71BA6EFB">
      <w:pPr>
        <w:shd w:val="clear" w:color="auto"/>
        <w:spacing w:line="360" w:lineRule="auto"/>
        <w:jc w:val="center"/>
        <w:rPr>
          <w:rFonts w:ascii="黑体" w:eastAsia="黑体"/>
          <w:color w:val="000000"/>
          <w:highlight w:val="none"/>
        </w:rPr>
      </w:pPr>
      <w:r>
        <w:rPr>
          <w:rFonts w:hint="eastAsia" w:ascii="黑体" w:eastAsia="黑体"/>
          <w:color w:val="000000"/>
          <w:highlight w:val="none"/>
        </w:rPr>
        <w:t>咨询人的责任</w:t>
      </w:r>
    </w:p>
    <w:p w14:paraId="33343C93">
      <w:pPr>
        <w:shd w:val="clear" w:color="auto"/>
        <w:spacing w:line="360" w:lineRule="auto"/>
        <w:rPr>
          <w:color w:val="000000"/>
          <w:highlight w:val="none"/>
        </w:rPr>
      </w:pPr>
    </w:p>
    <w:p w14:paraId="0896A38A">
      <w:pPr>
        <w:shd w:val="clear" w:color="auto"/>
        <w:spacing w:line="360" w:lineRule="auto"/>
        <w:rPr>
          <w:b/>
          <w:color w:val="000000"/>
          <w:highlight w:val="none"/>
        </w:rPr>
      </w:pPr>
      <w:r>
        <w:rPr>
          <w:rFonts w:hint="eastAsia"/>
          <w:color w:val="000000"/>
          <w:highlight w:val="none"/>
        </w:rPr>
        <w:t>　　</w:t>
      </w:r>
      <w:r>
        <w:rPr>
          <w:rFonts w:hint="eastAsia"/>
          <w:b/>
          <w:color w:val="000000"/>
          <w:highlight w:val="none"/>
        </w:rPr>
        <w:t>第二十条</w:t>
      </w:r>
      <w:r>
        <w:rPr>
          <w:rFonts w:hint="eastAsia"/>
          <w:color w:val="000000"/>
          <w:highlight w:val="none"/>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527128CD">
      <w:pPr>
        <w:shd w:val="clear" w:color="auto"/>
        <w:spacing w:line="360" w:lineRule="auto"/>
        <w:rPr>
          <w:b/>
          <w:color w:val="000000"/>
          <w:highlight w:val="none"/>
        </w:rPr>
      </w:pPr>
      <w:r>
        <w:rPr>
          <w:rFonts w:hint="eastAsia"/>
          <w:b/>
          <w:color w:val="000000"/>
          <w:highlight w:val="none"/>
        </w:rPr>
        <w:t>　　第二十一条</w:t>
      </w:r>
      <w:r>
        <w:rPr>
          <w:rFonts w:hint="eastAsia"/>
          <w:color w:val="000000"/>
          <w:highlight w:val="none"/>
        </w:rPr>
        <w:t>　咨询人对委托人或第三人所提出的咨询业务范围内的问题不能及时核对或答复，导致合同不能全部或部分履行，咨询人应承担相应的责任。</w:t>
      </w:r>
    </w:p>
    <w:p w14:paraId="6140E052">
      <w:pPr>
        <w:shd w:val="clear" w:color="auto"/>
        <w:spacing w:line="360" w:lineRule="auto"/>
        <w:rPr>
          <w:color w:val="000000"/>
          <w:highlight w:val="none"/>
        </w:rPr>
      </w:pPr>
      <w:r>
        <w:rPr>
          <w:rFonts w:hint="eastAsia"/>
          <w:b/>
          <w:color w:val="000000"/>
          <w:highlight w:val="none"/>
        </w:rPr>
        <w:t>　　第二十二条</w:t>
      </w:r>
      <w:r>
        <w:rPr>
          <w:rFonts w:hint="eastAsia"/>
          <w:color w:val="000000"/>
          <w:highlight w:val="none"/>
        </w:rPr>
        <w:t>　咨询人向委托人提出赔偿要求不能成立时，则应补偿由于该赔偿或其他要求所导致委托人的各种费用的支出。</w:t>
      </w:r>
    </w:p>
    <w:p w14:paraId="16967ADD">
      <w:pPr>
        <w:shd w:val="clear" w:color="auto"/>
        <w:spacing w:line="360" w:lineRule="auto"/>
        <w:rPr>
          <w:color w:val="000000"/>
          <w:highlight w:val="none"/>
        </w:rPr>
      </w:pPr>
    </w:p>
    <w:p w14:paraId="373DF143">
      <w:pPr>
        <w:shd w:val="clear" w:color="auto"/>
        <w:spacing w:line="360" w:lineRule="auto"/>
        <w:jc w:val="center"/>
        <w:rPr>
          <w:rFonts w:ascii="黑体" w:eastAsia="黑体"/>
          <w:color w:val="000000"/>
          <w:highlight w:val="none"/>
        </w:rPr>
      </w:pPr>
      <w:r>
        <w:rPr>
          <w:rFonts w:hint="eastAsia" w:ascii="黑体" w:eastAsia="黑体"/>
          <w:color w:val="000000"/>
          <w:highlight w:val="none"/>
        </w:rPr>
        <w:t>委托人的责任</w:t>
      </w:r>
    </w:p>
    <w:p w14:paraId="59F42413">
      <w:pPr>
        <w:shd w:val="clear" w:color="auto"/>
        <w:spacing w:line="360" w:lineRule="auto"/>
        <w:rPr>
          <w:b/>
          <w:color w:val="000000"/>
          <w:highlight w:val="none"/>
        </w:rPr>
      </w:pPr>
    </w:p>
    <w:p w14:paraId="4CA5828E">
      <w:pPr>
        <w:shd w:val="clear" w:color="auto"/>
        <w:spacing w:line="360" w:lineRule="auto"/>
        <w:rPr>
          <w:b/>
          <w:color w:val="000000"/>
          <w:highlight w:val="none"/>
        </w:rPr>
      </w:pPr>
      <w:r>
        <w:rPr>
          <w:rFonts w:hint="eastAsia"/>
          <w:b/>
          <w:color w:val="000000"/>
          <w:highlight w:val="none"/>
        </w:rPr>
        <w:t>　　第二十三条</w:t>
      </w:r>
      <w:r>
        <w:rPr>
          <w:rFonts w:hint="eastAsia"/>
          <w:color w:val="000000"/>
          <w:highlight w:val="none"/>
        </w:rPr>
        <w:t>　委托人应当履行建设工程造价咨询合同约定的义务，如有违反则应当承担违约责任，赔偿给咨询人造成的损失。</w:t>
      </w:r>
    </w:p>
    <w:p w14:paraId="45B42164">
      <w:pPr>
        <w:shd w:val="clear" w:color="auto"/>
        <w:spacing w:line="360" w:lineRule="auto"/>
        <w:rPr>
          <w:color w:val="000000"/>
          <w:highlight w:val="none"/>
        </w:rPr>
      </w:pPr>
      <w:r>
        <w:rPr>
          <w:rFonts w:hint="eastAsia"/>
          <w:b/>
          <w:color w:val="000000"/>
          <w:highlight w:val="none"/>
        </w:rPr>
        <w:t>　　第二十四条</w:t>
      </w:r>
      <w:r>
        <w:rPr>
          <w:rFonts w:hint="eastAsia"/>
          <w:color w:val="000000"/>
          <w:highlight w:val="none"/>
        </w:rPr>
        <w:t>　委托人如果向咨询人提出赔偿或其他要求不能成立时，则应补偿由于该赔偿或其他要求所导致咨询人的各种费用的支出。</w:t>
      </w:r>
    </w:p>
    <w:p w14:paraId="21649052">
      <w:pPr>
        <w:shd w:val="clear" w:color="auto"/>
        <w:spacing w:line="360" w:lineRule="auto"/>
        <w:rPr>
          <w:color w:val="000000"/>
          <w:highlight w:val="none"/>
        </w:rPr>
      </w:pPr>
    </w:p>
    <w:p w14:paraId="6E5B40FD">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合同生效、变更与终止</w:t>
      </w:r>
    </w:p>
    <w:p w14:paraId="6DFED959">
      <w:pPr>
        <w:shd w:val="clear" w:color="auto"/>
        <w:spacing w:line="360" w:lineRule="auto"/>
        <w:rPr>
          <w:rFonts w:ascii="宋体" w:hAnsi="宋体"/>
          <w:color w:val="000000"/>
          <w:highlight w:val="none"/>
        </w:rPr>
      </w:pPr>
    </w:p>
    <w:p w14:paraId="541C61AF">
      <w:pPr>
        <w:shd w:val="clear" w:color="auto"/>
        <w:spacing w:line="360" w:lineRule="auto"/>
        <w:rPr>
          <w:rFonts w:ascii="宋体" w:hAnsi="宋体"/>
          <w:b/>
          <w:color w:val="000000"/>
          <w:highlight w:val="none"/>
        </w:rPr>
      </w:pPr>
      <w:r>
        <w:rPr>
          <w:rFonts w:hint="eastAsia" w:ascii="宋体" w:hAnsi="宋体"/>
          <w:color w:val="000000"/>
          <w:highlight w:val="none"/>
        </w:rPr>
        <w:t>　　</w:t>
      </w:r>
      <w:r>
        <w:rPr>
          <w:rFonts w:hint="eastAsia" w:ascii="宋体" w:hAnsi="宋体"/>
          <w:b/>
          <w:color w:val="000000"/>
          <w:highlight w:val="none"/>
        </w:rPr>
        <w:t>第二十五条</w:t>
      </w:r>
      <w:r>
        <w:rPr>
          <w:rFonts w:hint="eastAsia" w:ascii="宋体" w:hAnsi="宋体"/>
          <w:color w:val="000000"/>
          <w:highlight w:val="none"/>
        </w:rPr>
        <w:t>　本合同自双方签字盖章之日起生效。</w:t>
      </w:r>
    </w:p>
    <w:p w14:paraId="7F455923">
      <w:pPr>
        <w:shd w:val="clear" w:color="auto"/>
        <w:spacing w:line="360" w:lineRule="auto"/>
        <w:rPr>
          <w:rFonts w:ascii="宋体" w:hAnsi="宋体"/>
          <w:b/>
          <w:color w:val="000000"/>
          <w:highlight w:val="none"/>
        </w:rPr>
      </w:pPr>
      <w:r>
        <w:rPr>
          <w:rFonts w:hint="eastAsia" w:ascii="宋体" w:hAnsi="宋体"/>
          <w:b/>
          <w:color w:val="000000"/>
          <w:highlight w:val="none"/>
        </w:rPr>
        <w:t>　　第二十六条</w:t>
      </w:r>
      <w:r>
        <w:rPr>
          <w:rFonts w:hint="eastAsia" w:ascii="宋体" w:hAnsi="宋体"/>
          <w:color w:val="000000"/>
          <w:highlight w:val="none"/>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28DC8B03">
      <w:pPr>
        <w:shd w:val="clear" w:color="auto"/>
        <w:spacing w:line="360" w:lineRule="auto"/>
        <w:rPr>
          <w:rFonts w:ascii="宋体" w:hAnsi="宋体"/>
          <w:b/>
          <w:color w:val="000000"/>
          <w:highlight w:val="none"/>
        </w:rPr>
      </w:pPr>
      <w:r>
        <w:rPr>
          <w:rFonts w:hint="eastAsia" w:ascii="宋体" w:hAnsi="宋体"/>
          <w:b/>
          <w:color w:val="000000"/>
          <w:highlight w:val="none"/>
        </w:rPr>
        <w:t>　　第二十七条</w:t>
      </w:r>
      <w:r>
        <w:rPr>
          <w:rFonts w:hint="eastAsia" w:ascii="宋体" w:hAnsi="宋体"/>
          <w:color w:val="000000"/>
          <w:highlight w:val="none"/>
        </w:rPr>
        <w:t>　当事人一方要求变更或解除合同时，则应当在7个工作日前通知对方；因变更或解除合同使一方遭受损失的，应由责任方负责赔偿。</w:t>
      </w:r>
    </w:p>
    <w:p w14:paraId="38898676">
      <w:pPr>
        <w:shd w:val="clear" w:color="auto"/>
        <w:spacing w:line="360" w:lineRule="auto"/>
        <w:rPr>
          <w:rFonts w:ascii="宋体" w:hAnsi="宋体"/>
          <w:b/>
          <w:color w:val="000000"/>
          <w:highlight w:val="none"/>
        </w:rPr>
      </w:pPr>
      <w:r>
        <w:rPr>
          <w:rFonts w:hint="eastAsia" w:ascii="宋体" w:hAnsi="宋体"/>
          <w:b/>
          <w:color w:val="000000"/>
          <w:highlight w:val="none"/>
        </w:rPr>
        <w:t>　　第二十八条</w:t>
      </w:r>
      <w:r>
        <w:rPr>
          <w:rFonts w:hint="eastAsia" w:ascii="宋体" w:hAnsi="宋体"/>
          <w:color w:val="000000"/>
          <w:highlight w:val="none"/>
        </w:rPr>
        <w:t>　咨询人由于非自身原因暂停或中止执行建设工程造价咨询业务，由此而增加的恢复执行建设工程造价咨询业务的工作，应视为额外服务，有权得到额外的时间和酬金。</w:t>
      </w:r>
    </w:p>
    <w:p w14:paraId="2401A04C">
      <w:pPr>
        <w:shd w:val="clear" w:color="auto"/>
        <w:spacing w:line="360" w:lineRule="auto"/>
        <w:rPr>
          <w:rFonts w:ascii="宋体" w:hAnsi="宋体"/>
          <w:color w:val="000000"/>
          <w:highlight w:val="none"/>
        </w:rPr>
      </w:pPr>
      <w:r>
        <w:rPr>
          <w:rFonts w:hint="eastAsia" w:ascii="宋体" w:hAnsi="宋体"/>
          <w:b/>
          <w:color w:val="000000"/>
          <w:highlight w:val="none"/>
        </w:rPr>
        <w:t>　　第二十九条</w:t>
      </w:r>
      <w:r>
        <w:rPr>
          <w:rFonts w:hint="eastAsia" w:ascii="宋体" w:hAnsi="宋体"/>
          <w:color w:val="000000"/>
          <w:highlight w:val="none"/>
        </w:rPr>
        <w:t>　变更或解除合同的通知或协议应当采取书面形式，新的协议未达成之前，原合同仍然有效。</w:t>
      </w:r>
    </w:p>
    <w:p w14:paraId="75131083">
      <w:pPr>
        <w:shd w:val="clear" w:color="auto"/>
        <w:spacing w:line="360" w:lineRule="auto"/>
        <w:rPr>
          <w:rFonts w:ascii="宋体" w:hAnsi="宋体"/>
          <w:color w:val="000000"/>
          <w:highlight w:val="none"/>
        </w:rPr>
      </w:pPr>
    </w:p>
    <w:p w14:paraId="477458AA">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咨询业务酬金</w:t>
      </w:r>
    </w:p>
    <w:p w14:paraId="1D76525D">
      <w:pPr>
        <w:shd w:val="clear" w:color="auto"/>
        <w:spacing w:line="360" w:lineRule="auto"/>
        <w:rPr>
          <w:rFonts w:ascii="宋体" w:hAnsi="宋体"/>
          <w:b/>
          <w:color w:val="000000"/>
          <w:highlight w:val="none"/>
        </w:rPr>
      </w:pPr>
    </w:p>
    <w:p w14:paraId="37AECA42">
      <w:pPr>
        <w:shd w:val="clear" w:color="auto"/>
        <w:spacing w:line="360" w:lineRule="auto"/>
        <w:rPr>
          <w:rFonts w:ascii="宋体" w:hAnsi="宋体"/>
          <w:b/>
          <w:color w:val="000000"/>
          <w:highlight w:val="none"/>
        </w:rPr>
      </w:pPr>
      <w:r>
        <w:rPr>
          <w:rFonts w:hint="eastAsia" w:ascii="宋体" w:hAnsi="宋体"/>
          <w:b/>
          <w:color w:val="000000"/>
          <w:highlight w:val="none"/>
        </w:rPr>
        <w:t>　　第三十条</w:t>
      </w:r>
      <w:r>
        <w:rPr>
          <w:rFonts w:hint="eastAsia" w:ascii="宋体" w:hAnsi="宋体"/>
          <w:color w:val="000000"/>
          <w:highlight w:val="none"/>
        </w:rPr>
        <w:t>　正常服务，附加服务和额外服务的酬金，按照建设工程造价咨询合同专用条款约定的方法计取，并按约定的时间、数额和币种支付。</w:t>
      </w:r>
    </w:p>
    <w:p w14:paraId="1DF7A4C8">
      <w:pPr>
        <w:shd w:val="clear" w:color="auto"/>
        <w:spacing w:line="360" w:lineRule="auto"/>
        <w:rPr>
          <w:rFonts w:ascii="宋体" w:hAnsi="宋体"/>
          <w:b/>
          <w:color w:val="000000"/>
          <w:highlight w:val="none"/>
        </w:rPr>
      </w:pPr>
      <w:r>
        <w:rPr>
          <w:rFonts w:hint="eastAsia" w:ascii="宋体" w:hAnsi="宋体"/>
          <w:b/>
          <w:color w:val="000000"/>
          <w:highlight w:val="none"/>
        </w:rPr>
        <w:t>　　第三十一条</w:t>
      </w:r>
      <w:r>
        <w:rPr>
          <w:rFonts w:hint="eastAsia" w:ascii="宋体" w:hAnsi="宋体"/>
          <w:color w:val="000000"/>
          <w:highlight w:val="none"/>
        </w:rPr>
        <w:t>　如果委托人在规定的支付期限内未支付建设工程造价咨询酬金，自规定支付之日起，应当向咨询人补偿应支付的酬金利息。利息额按规定支付期限最后一日银行贷款利率计算。</w:t>
      </w:r>
    </w:p>
    <w:p w14:paraId="5A72A75B">
      <w:pPr>
        <w:shd w:val="clear" w:color="auto"/>
        <w:spacing w:line="360" w:lineRule="auto"/>
        <w:rPr>
          <w:rFonts w:ascii="宋体" w:hAnsi="宋体"/>
          <w:b/>
          <w:color w:val="000000"/>
          <w:highlight w:val="none"/>
        </w:rPr>
      </w:pPr>
      <w:r>
        <w:rPr>
          <w:rFonts w:hint="eastAsia" w:ascii="宋体" w:hAnsi="宋体"/>
          <w:b/>
          <w:color w:val="000000"/>
          <w:highlight w:val="none"/>
        </w:rPr>
        <w:t>　　第三十二条</w:t>
      </w:r>
      <w:r>
        <w:rPr>
          <w:rFonts w:hint="eastAsia" w:ascii="宋体" w:hAnsi="宋体"/>
          <w:color w:val="000000"/>
          <w:highlight w:val="none"/>
        </w:rPr>
        <w:t>　如果委托人对咨询人提交的支付通知书中酬金或部分酬金项目提出异议，应当在收到支付通知书两日内向咨询人发出异议的通知，但委托人不得拖延其无异议部分酬金的支付。</w:t>
      </w:r>
    </w:p>
    <w:p w14:paraId="4BC1108F">
      <w:pPr>
        <w:shd w:val="clear" w:color="auto"/>
        <w:spacing w:line="360" w:lineRule="auto"/>
        <w:rPr>
          <w:rFonts w:ascii="宋体" w:hAnsi="宋体"/>
          <w:color w:val="000000"/>
          <w:highlight w:val="none"/>
        </w:rPr>
      </w:pPr>
      <w:r>
        <w:rPr>
          <w:rFonts w:hint="eastAsia" w:ascii="宋体" w:hAnsi="宋体"/>
          <w:b/>
          <w:color w:val="000000"/>
          <w:highlight w:val="none"/>
        </w:rPr>
        <w:t>　　第三十三条</w:t>
      </w:r>
      <w:r>
        <w:rPr>
          <w:rFonts w:hint="eastAsia" w:ascii="宋体" w:hAnsi="宋体"/>
          <w:color w:val="000000"/>
          <w:highlight w:val="none"/>
        </w:rPr>
        <w:t>　支付建设工程造价咨询酬金所采取的货币币种、汇率由合同专用条款约定。</w:t>
      </w:r>
    </w:p>
    <w:p w14:paraId="6916C2CC">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其　　他</w:t>
      </w:r>
    </w:p>
    <w:p w14:paraId="2764B3DF">
      <w:pPr>
        <w:shd w:val="clear" w:color="auto"/>
        <w:spacing w:line="360" w:lineRule="auto"/>
        <w:rPr>
          <w:rFonts w:ascii="宋体" w:hAnsi="宋体"/>
          <w:b/>
          <w:color w:val="000000"/>
          <w:highlight w:val="none"/>
        </w:rPr>
      </w:pPr>
    </w:p>
    <w:p w14:paraId="22B96D62">
      <w:pPr>
        <w:shd w:val="clear" w:color="auto"/>
        <w:spacing w:line="360" w:lineRule="auto"/>
        <w:rPr>
          <w:rFonts w:ascii="宋体" w:hAnsi="宋体"/>
          <w:b/>
          <w:color w:val="000000"/>
          <w:highlight w:val="none"/>
        </w:rPr>
      </w:pPr>
      <w:r>
        <w:rPr>
          <w:rFonts w:hint="eastAsia" w:ascii="宋体" w:hAnsi="宋体"/>
          <w:b/>
          <w:color w:val="000000"/>
          <w:highlight w:val="none"/>
        </w:rPr>
        <w:t>　　第三十四条</w:t>
      </w:r>
      <w:r>
        <w:rPr>
          <w:rFonts w:hint="eastAsia" w:ascii="宋体" w:hAnsi="宋体"/>
          <w:color w:val="000000"/>
          <w:highlight w:val="none"/>
        </w:rPr>
        <w:t>　因建设工程造价咨询业务的需要，咨询人在合同约定外的外出考察，经委托人同意，其所需费用由委托人负责。</w:t>
      </w:r>
    </w:p>
    <w:p w14:paraId="0F5C54BC">
      <w:pPr>
        <w:shd w:val="clear" w:color="auto"/>
        <w:spacing w:line="360" w:lineRule="auto"/>
        <w:rPr>
          <w:rFonts w:ascii="宋体" w:hAnsi="宋体"/>
          <w:b/>
          <w:color w:val="000000"/>
          <w:highlight w:val="none"/>
        </w:rPr>
      </w:pPr>
      <w:r>
        <w:rPr>
          <w:rFonts w:hint="eastAsia" w:ascii="宋体" w:hAnsi="宋体"/>
          <w:b/>
          <w:color w:val="000000"/>
          <w:highlight w:val="none"/>
        </w:rPr>
        <w:t>　　第三十五条</w:t>
      </w:r>
      <w:r>
        <w:rPr>
          <w:rFonts w:hint="eastAsia" w:ascii="宋体" w:hAnsi="宋体"/>
          <w:color w:val="000000"/>
          <w:highlight w:val="none"/>
        </w:rPr>
        <w:t>　咨询人如需外聘专家协助，在委托的建设工程造价咨询业务范围内其费用由咨询人承担；在委托的建设工程造价咨询业务范围以外经委托人认可其费用由委托人承担。</w:t>
      </w:r>
    </w:p>
    <w:p w14:paraId="570C3779">
      <w:pPr>
        <w:shd w:val="clear" w:color="auto"/>
        <w:spacing w:line="360" w:lineRule="auto"/>
        <w:rPr>
          <w:rFonts w:ascii="宋体" w:hAnsi="宋体"/>
          <w:b/>
          <w:color w:val="000000"/>
          <w:highlight w:val="none"/>
        </w:rPr>
      </w:pPr>
      <w:r>
        <w:rPr>
          <w:rFonts w:hint="eastAsia" w:ascii="宋体" w:hAnsi="宋体"/>
          <w:b/>
          <w:color w:val="000000"/>
          <w:highlight w:val="none"/>
        </w:rPr>
        <w:t>　　第三十六条</w:t>
      </w:r>
      <w:r>
        <w:rPr>
          <w:rFonts w:hint="eastAsia" w:ascii="宋体" w:hAnsi="宋体"/>
          <w:color w:val="000000"/>
          <w:highlight w:val="none"/>
        </w:rPr>
        <w:t>　未经对方的书面同意，各方均不得转让合同约定的权利和义务。</w:t>
      </w:r>
    </w:p>
    <w:p w14:paraId="68641EAB">
      <w:pPr>
        <w:shd w:val="clear" w:color="auto"/>
        <w:spacing w:line="360" w:lineRule="auto"/>
        <w:rPr>
          <w:rFonts w:ascii="宋体" w:hAnsi="宋体"/>
          <w:color w:val="000000"/>
          <w:highlight w:val="none"/>
        </w:rPr>
      </w:pPr>
      <w:r>
        <w:rPr>
          <w:rFonts w:hint="eastAsia" w:ascii="宋体" w:hAnsi="宋体"/>
          <w:b/>
          <w:color w:val="000000"/>
          <w:highlight w:val="none"/>
        </w:rPr>
        <w:t>　　第三十七条</w:t>
      </w:r>
      <w:r>
        <w:rPr>
          <w:rFonts w:hint="eastAsia" w:ascii="宋体" w:hAnsi="宋体"/>
          <w:color w:val="000000"/>
          <w:highlight w:val="none"/>
        </w:rPr>
        <w:t xml:space="preserve">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49AB7D6F">
      <w:pPr>
        <w:shd w:val="clear" w:color="auto"/>
        <w:spacing w:line="360" w:lineRule="auto"/>
        <w:ind w:firstLine="435"/>
        <w:rPr>
          <w:rFonts w:ascii="宋体" w:hAnsi="宋体"/>
          <w:color w:val="000000"/>
          <w:highlight w:val="none"/>
        </w:rPr>
      </w:pPr>
    </w:p>
    <w:p w14:paraId="369CFF47">
      <w:pPr>
        <w:shd w:val="clear" w:color="auto"/>
        <w:spacing w:line="360" w:lineRule="auto"/>
        <w:jc w:val="center"/>
        <w:rPr>
          <w:rFonts w:ascii="黑体" w:hAnsi="宋体" w:eastAsia="黑体"/>
          <w:color w:val="000000"/>
          <w:highlight w:val="none"/>
        </w:rPr>
      </w:pPr>
      <w:r>
        <w:rPr>
          <w:rFonts w:hint="eastAsia" w:ascii="黑体" w:hAnsi="宋体" w:eastAsia="黑体"/>
          <w:color w:val="000000"/>
          <w:highlight w:val="none"/>
        </w:rPr>
        <w:t>合同争议的解决</w:t>
      </w:r>
    </w:p>
    <w:p w14:paraId="1E547BD0">
      <w:pPr>
        <w:shd w:val="clear" w:color="auto"/>
        <w:spacing w:line="360" w:lineRule="auto"/>
        <w:rPr>
          <w:rFonts w:ascii="宋体" w:hAnsi="宋体"/>
          <w:b/>
          <w:color w:val="000000"/>
          <w:highlight w:val="none"/>
        </w:rPr>
      </w:pPr>
    </w:p>
    <w:p w14:paraId="066ED249">
      <w:pPr>
        <w:shd w:val="clear" w:color="auto"/>
        <w:spacing w:line="360" w:lineRule="auto"/>
        <w:rPr>
          <w:rFonts w:ascii="宋体" w:hAnsi="宋体"/>
          <w:color w:val="000000"/>
          <w:highlight w:val="none"/>
        </w:rPr>
      </w:pPr>
      <w:r>
        <w:rPr>
          <w:rFonts w:hint="eastAsia" w:ascii="宋体" w:hAnsi="宋体"/>
          <w:b/>
          <w:color w:val="000000"/>
          <w:highlight w:val="none"/>
        </w:rPr>
        <w:t>　　第三十九条</w:t>
      </w:r>
      <w:r>
        <w:rPr>
          <w:rFonts w:hint="eastAsia" w:ascii="宋体" w:hAnsi="宋体"/>
          <w:color w:val="000000"/>
          <w:highlight w:val="none"/>
        </w:rPr>
        <w:t>　因违约或终止合同而引起的损失和损害的赔偿，委托人与咨询人之间应当协商解决；如未能达成一致，可提交有关主管部门调解；协商或调解不成的，根据双方约定提交仲裁机关仲裁，或向人民法院提起诉讼。</w:t>
      </w:r>
    </w:p>
    <w:p w14:paraId="40DF6A74">
      <w:pPr>
        <w:shd w:val="clear" w:color="auto"/>
        <w:spacing w:line="360" w:lineRule="auto"/>
        <w:rPr>
          <w:rFonts w:ascii="宋体" w:hAnsi="宋体"/>
          <w:color w:val="000000"/>
          <w:highlight w:val="none"/>
        </w:rPr>
      </w:pPr>
    </w:p>
    <w:p w14:paraId="7C29DFF4">
      <w:pPr>
        <w:shd w:val="clear" w:color="auto"/>
        <w:spacing w:line="360" w:lineRule="auto"/>
        <w:rPr>
          <w:rFonts w:ascii="宋体" w:hAnsi="宋体"/>
          <w:color w:val="000000"/>
          <w:highlight w:val="none"/>
        </w:rPr>
      </w:pPr>
      <w:r>
        <w:rPr>
          <w:rFonts w:ascii="宋体" w:hAnsi="宋体"/>
          <w:color w:val="000000"/>
          <w:highlight w:val="none"/>
        </w:rPr>
        <w:t xml:space="preserve"> </w:t>
      </w:r>
    </w:p>
    <w:p w14:paraId="06389E64">
      <w:pPr>
        <w:shd w:val="clear" w:color="auto"/>
        <w:spacing w:line="360" w:lineRule="auto"/>
        <w:jc w:val="center"/>
        <w:rPr>
          <w:rFonts w:ascii="黑体" w:hAnsi="宋体" w:eastAsia="黑体"/>
          <w:b/>
          <w:color w:val="000000"/>
          <w:sz w:val="30"/>
          <w:szCs w:val="30"/>
          <w:highlight w:val="none"/>
        </w:rPr>
      </w:pPr>
      <w:r>
        <w:rPr>
          <w:rFonts w:ascii="宋体" w:hAnsi="宋体"/>
          <w:b/>
          <w:color w:val="000000"/>
          <w:highlight w:val="none"/>
        </w:rPr>
        <w:br w:type="page" w:clear="all"/>
      </w:r>
      <w:r>
        <w:rPr>
          <w:rFonts w:hint="eastAsia" w:ascii="黑体" w:hAnsi="宋体" w:eastAsia="黑体"/>
          <w:b/>
          <w:color w:val="000000"/>
          <w:sz w:val="30"/>
          <w:szCs w:val="30"/>
          <w:highlight w:val="none"/>
        </w:rPr>
        <w:t>第三部分　建设工程造价咨询合同专用条款</w:t>
      </w:r>
    </w:p>
    <w:p w14:paraId="47B03451">
      <w:pPr>
        <w:shd w:val="clear" w:color="auto"/>
        <w:spacing w:line="360" w:lineRule="auto"/>
        <w:rPr>
          <w:rFonts w:ascii="宋体" w:hAnsi="宋体"/>
          <w:color w:val="000000"/>
          <w:highlight w:val="none"/>
        </w:rPr>
      </w:pPr>
    </w:p>
    <w:p w14:paraId="2E75DAB9">
      <w:pPr>
        <w:shd w:val="clear" w:color="auto"/>
        <w:tabs>
          <w:tab w:val="left" w:pos="1260"/>
        </w:tabs>
        <w:spacing w:line="360" w:lineRule="auto"/>
        <w:ind w:left="504"/>
        <w:rPr>
          <w:rFonts w:ascii="宋体" w:hAnsi="宋体"/>
          <w:color w:val="000000"/>
          <w:highlight w:val="none"/>
        </w:rPr>
      </w:pPr>
      <w:r>
        <w:rPr>
          <w:rFonts w:hint="eastAsia" w:ascii="宋体" w:hAnsi="宋体"/>
          <w:b/>
          <w:bCs/>
          <w:color w:val="000000"/>
          <w:highlight w:val="none"/>
        </w:rPr>
        <w:t>第一条</w:t>
      </w:r>
      <w:r>
        <w:rPr>
          <w:rFonts w:hint="eastAsia" w:ascii="宋体" w:hAnsi="宋体"/>
          <w:color w:val="000000"/>
          <w:highlight w:val="none"/>
        </w:rPr>
        <w:t xml:space="preserve">  本合同适用的法律、法规及工程造价计价办法和规定</w:t>
      </w:r>
    </w:p>
    <w:p w14:paraId="5050F05F">
      <w:pPr>
        <w:shd w:val="clear" w:color="auto"/>
        <w:spacing w:line="360" w:lineRule="auto"/>
        <w:ind w:left="420" w:firstLine="105"/>
        <w:rPr>
          <w:rFonts w:hint="default" w:ascii="宋体" w:hAnsi="宋体" w:eastAsia="宋体"/>
          <w:color w:val="000000"/>
          <w:highlight w:val="none"/>
          <w:lang w:val="en-US" w:eastAsia="zh-CN"/>
        </w:rPr>
      </w:pPr>
      <w:r>
        <w:rPr>
          <w:rFonts w:hint="eastAsia" w:ascii="宋体" w:hAnsi="宋体"/>
          <w:color w:val="000000"/>
          <w:highlight w:val="none"/>
        </w:rPr>
        <w:t>1．适用法律和法规：</w:t>
      </w:r>
      <w:r>
        <w:rPr>
          <w:rFonts w:hint="eastAsia" w:ascii="宋体" w:hAnsi="宋体"/>
          <w:color w:val="000000"/>
          <w:highlight w:val="none"/>
          <w:u w:val="single"/>
        </w:rPr>
        <w:t>　</w:t>
      </w:r>
      <w:r>
        <w:rPr>
          <w:rFonts w:hint="eastAsia" w:ascii="Tahoma" w:hAnsi="Tahoma" w:cs="Tahoma"/>
          <w:color w:val="000000"/>
          <w:highlight w:val="none"/>
          <w:u w:val="single"/>
        </w:rPr>
        <w:t>《中华人民共和国民法典》等</w:t>
      </w:r>
      <w:r>
        <w:rPr>
          <w:rFonts w:hint="eastAsia"/>
          <w:color w:val="000000"/>
          <w:highlight w:val="none"/>
          <w:u w:val="single"/>
          <w:lang w:val="en-US" w:eastAsia="zh-CN"/>
        </w:rPr>
        <w:t xml:space="preserve">   </w:t>
      </w:r>
    </w:p>
    <w:p w14:paraId="02EE7002">
      <w:pPr>
        <w:shd w:val="clear" w:color="auto"/>
        <w:spacing w:line="360" w:lineRule="auto"/>
        <w:ind w:left="420" w:firstLine="105"/>
        <w:rPr>
          <w:rFonts w:ascii="宋体" w:hAnsi="宋体"/>
          <w:color w:val="000000"/>
          <w:highlight w:val="none"/>
        </w:rPr>
      </w:pPr>
      <w:r>
        <w:rPr>
          <w:rFonts w:hint="eastAsia" w:ascii="宋体" w:hAnsi="宋体"/>
          <w:color w:val="000000"/>
          <w:highlight w:val="none"/>
        </w:rPr>
        <w:t>2．工程造价计价办法：</w:t>
      </w:r>
      <w:r>
        <w:rPr>
          <w:rFonts w:hint="eastAsia" w:ascii="宋体" w:hAnsi="宋体"/>
          <w:color w:val="000000"/>
          <w:highlight w:val="none"/>
          <w:u w:val="single"/>
        </w:rPr>
        <w:t>　工程总承包合同、《江苏省建筑与装饰工程计价定额》（2014年）、《江苏省安装工程计价定额》（2014年）、《江苏省市政工程计价定额》（2014年）、《江苏省园林绿化工程计价定额》（2007年）、《江苏省房屋修缮工程计价表》（2009）、省市建设主管部门发布的有关政策性文件等</w:t>
      </w:r>
    </w:p>
    <w:p w14:paraId="502959AC">
      <w:pPr>
        <w:shd w:val="clear" w:color="auto"/>
        <w:spacing w:line="360" w:lineRule="auto"/>
        <w:ind w:left="420" w:firstLine="105"/>
        <w:rPr>
          <w:rFonts w:hint="eastAsia" w:ascii="宋体" w:hAnsi="宋体" w:eastAsia="宋体"/>
          <w:color w:val="000000"/>
          <w:highlight w:val="none"/>
          <w:lang w:eastAsia="zh-CN"/>
        </w:rPr>
      </w:pPr>
      <w:r>
        <w:rPr>
          <w:rFonts w:hint="eastAsia" w:ascii="宋体" w:hAnsi="宋体"/>
          <w:color w:val="000000"/>
          <w:highlight w:val="none"/>
        </w:rPr>
        <w:t>3.标准规范：</w:t>
      </w:r>
      <w:r>
        <w:rPr>
          <w:rFonts w:hint="eastAsia"/>
          <w:color w:val="000000"/>
          <w:highlight w:val="none"/>
        </w:rPr>
        <w:t xml:space="preserve"> </w:t>
      </w:r>
      <w:r>
        <w:rPr>
          <w:rFonts w:hint="eastAsia" w:ascii="宋体" w:hAnsi="宋体"/>
          <w:color w:val="000000"/>
          <w:highlight w:val="none"/>
          <w:u w:val="single"/>
        </w:rPr>
        <w:t>　《建设工程工程量清单计价规范》（GB50500-2013）等</w:t>
      </w:r>
      <w:r>
        <w:rPr>
          <w:rFonts w:hint="eastAsia"/>
          <w:color w:val="000000"/>
          <w:highlight w:val="none"/>
          <w:u w:val="single"/>
          <w:lang w:val="en-US" w:eastAsia="zh-CN"/>
        </w:rPr>
        <w:t xml:space="preserve">    </w:t>
      </w:r>
    </w:p>
    <w:p w14:paraId="5E8AEA27">
      <w:pPr>
        <w:shd w:val="clear" w:color="auto"/>
        <w:spacing w:line="360" w:lineRule="auto"/>
        <w:ind w:firstLine="472"/>
        <w:rPr>
          <w:rFonts w:ascii="宋体" w:hAnsi="宋体"/>
          <w:color w:val="000000"/>
          <w:highlight w:val="none"/>
        </w:rPr>
      </w:pPr>
      <w:r>
        <w:rPr>
          <w:rFonts w:hint="eastAsia" w:ascii="宋体" w:hAnsi="宋体"/>
          <w:b/>
          <w:color w:val="000000"/>
          <w:highlight w:val="none"/>
        </w:rPr>
        <w:t xml:space="preserve">第二条 </w:t>
      </w:r>
      <w:r>
        <w:rPr>
          <w:rFonts w:hint="eastAsia" w:ascii="宋体" w:hAnsi="宋体"/>
          <w:color w:val="000000"/>
          <w:highlight w:val="none"/>
        </w:rPr>
        <w:t xml:space="preserve"> 本合同咨询项目负责人由</w:t>
      </w:r>
      <w:r>
        <w:rPr>
          <w:rFonts w:hint="eastAsia" w:ascii="宋体" w:hAnsi="宋体"/>
          <w:color w:val="000000"/>
          <w:highlight w:val="none"/>
          <w:u w:val="single"/>
        </w:rPr>
        <w:t xml:space="preserve">            </w:t>
      </w:r>
      <w:r>
        <w:rPr>
          <w:rFonts w:hint="eastAsia" w:ascii="宋体" w:hAnsi="宋体"/>
          <w:color w:val="000000"/>
          <w:highlight w:val="none"/>
        </w:rPr>
        <w:t xml:space="preserve">担任，负责本咨询项目的具体实施及与委托方的联系等事宜。 </w:t>
      </w:r>
    </w:p>
    <w:p w14:paraId="7FBD0594">
      <w:pPr>
        <w:shd w:val="clear" w:color="auto"/>
        <w:spacing w:line="360" w:lineRule="auto"/>
        <w:ind w:firstLine="474"/>
        <w:rPr>
          <w:rFonts w:ascii="宋体" w:hAnsi="宋体"/>
          <w:color w:val="000000"/>
          <w:highlight w:val="none"/>
        </w:rPr>
      </w:pPr>
      <w:r>
        <w:rPr>
          <w:rFonts w:hint="eastAsia" w:ascii="宋体" w:hAnsi="宋体"/>
          <w:b/>
          <w:color w:val="000000"/>
          <w:highlight w:val="none"/>
        </w:rPr>
        <w:t>第三条</w:t>
      </w:r>
      <w:r>
        <w:rPr>
          <w:rFonts w:hint="eastAsia" w:ascii="宋体" w:hAnsi="宋体"/>
          <w:color w:val="000000"/>
          <w:highlight w:val="none"/>
        </w:rPr>
        <w:t>　建设工程造价咨询业务范围及内容</w:t>
      </w:r>
    </w:p>
    <w:p w14:paraId="4D0C70AD">
      <w:pPr>
        <w:shd w:val="clear" w:color="auto"/>
        <w:spacing w:line="360" w:lineRule="auto"/>
        <w:ind w:left="437"/>
        <w:rPr>
          <w:rFonts w:ascii="宋体" w:hAnsi="宋体"/>
          <w:color w:val="000000"/>
          <w:highlight w:val="none"/>
          <w:u w:val="single"/>
        </w:rPr>
      </w:pPr>
      <w:r>
        <w:rPr>
          <w:rFonts w:hint="eastAsia" w:ascii="宋体" w:hAnsi="宋体"/>
          <w:color w:val="000000"/>
          <w:highlight w:val="none"/>
        </w:rPr>
        <w:t>1．委托工程造价咨询的工程范围：</w:t>
      </w:r>
      <w:r>
        <w:rPr>
          <w:rFonts w:hint="eastAsia" w:ascii="宋体" w:hAnsi="宋体"/>
          <w:color w:val="000000"/>
          <w:highlight w:val="none"/>
          <w:u w:val="single"/>
        </w:rPr>
        <w:t>工程</w:t>
      </w:r>
      <w:r>
        <w:rPr>
          <w:rFonts w:hint="eastAsia" w:ascii="宋体" w:hAnsi="宋体"/>
          <w:color w:val="000000"/>
          <w:highlight w:val="none"/>
          <w:u w:val="single"/>
          <w:lang w:val="en-US" w:eastAsia="zh-CN"/>
        </w:rPr>
        <w:t>跟踪审计、</w:t>
      </w:r>
      <w:r>
        <w:rPr>
          <w:rFonts w:hint="eastAsia" w:ascii="宋体" w:hAnsi="宋体"/>
          <w:color w:val="000000"/>
          <w:highlight w:val="none"/>
          <w:u w:val="single"/>
        </w:rPr>
        <w:t>工程结算审核</w:t>
      </w:r>
      <w:r>
        <w:rPr>
          <w:rFonts w:hint="eastAsia" w:ascii="宋体" w:hAnsi="宋体"/>
          <w:color w:val="000000"/>
          <w:highlight w:val="none"/>
          <w:u w:val="single"/>
          <w:lang w:val="en-US" w:eastAsia="zh-CN"/>
        </w:rPr>
        <w:t xml:space="preserve"> </w:t>
      </w:r>
      <w:r>
        <w:rPr>
          <w:rFonts w:hint="eastAsia" w:ascii="宋体" w:hAnsi="宋体"/>
          <w:color w:val="000000"/>
          <w:highlight w:val="none"/>
          <w:u w:val="single"/>
        </w:rPr>
        <w:t xml:space="preserve"> </w:t>
      </w:r>
    </w:p>
    <w:p w14:paraId="1503E215">
      <w:pPr>
        <w:shd w:val="clear" w:color="auto"/>
        <w:spacing w:line="360" w:lineRule="auto"/>
        <w:ind w:left="435" w:firstLine="105"/>
        <w:rPr>
          <w:rFonts w:ascii="宋体" w:hAnsi="宋体"/>
          <w:color w:val="000000"/>
          <w:highlight w:val="none"/>
        </w:rPr>
      </w:pPr>
      <w:r>
        <w:rPr>
          <w:rFonts w:hint="eastAsia" w:ascii="宋体" w:hAnsi="宋体"/>
          <w:color w:val="000000"/>
          <w:highlight w:val="none"/>
        </w:rPr>
        <w:t>2.委托工程造价咨询业务的内容（下列内容有委托的在□中打√）：</w:t>
      </w:r>
    </w:p>
    <w:p w14:paraId="111FD32F">
      <w:pPr>
        <w:shd w:val="clear" w:color="auto"/>
        <w:spacing w:line="360" w:lineRule="auto"/>
        <w:ind w:firstLine="472"/>
        <w:rPr>
          <w:rFonts w:ascii="宋体" w:hAnsi="宋体"/>
          <w:b/>
          <w:color w:val="000000"/>
          <w:highlight w:val="none"/>
        </w:rPr>
      </w:pPr>
      <w:r>
        <w:rPr>
          <w:rFonts w:hint="eastAsia" w:ascii="宋体" w:hAnsi="宋体"/>
          <w:b/>
          <w:color w:val="000000"/>
          <w:highlight w:val="none"/>
        </w:rPr>
        <w:t>2.1 建设工程造价咨询业务</w:t>
      </w:r>
    </w:p>
    <w:p w14:paraId="7A911E60">
      <w:pPr>
        <w:shd w:val="clear" w:color="auto"/>
        <w:spacing w:line="360" w:lineRule="auto"/>
        <w:ind w:firstLine="472"/>
        <w:rPr>
          <w:rFonts w:ascii="黑体" w:hAnsi="宋体" w:eastAsia="黑体"/>
          <w:b/>
          <w:color w:val="000000"/>
          <w:highlight w:val="none"/>
        </w:rPr>
      </w:pPr>
      <w:r>
        <w:rPr>
          <w:rFonts w:hint="eastAsia" w:ascii="黑体" w:hAnsi="宋体" w:eastAsia="黑体"/>
          <w:b/>
          <w:color w:val="000000"/>
          <w:highlight w:val="none"/>
        </w:rPr>
        <w:t>投资决策阶段</w:t>
      </w:r>
    </w:p>
    <w:p w14:paraId="4A3D63A7">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□编制建设工程投资估算       □审核建设工程投资估算</w:t>
      </w:r>
    </w:p>
    <w:p w14:paraId="3F700F65">
      <w:pPr>
        <w:shd w:val="clear" w:color="auto"/>
        <w:tabs>
          <w:tab w:val="left" w:pos="476"/>
        </w:tabs>
        <w:spacing w:line="360" w:lineRule="auto"/>
        <w:ind w:firstLine="474"/>
        <w:rPr>
          <w:rFonts w:ascii="宋体" w:hAnsi="宋体"/>
          <w:color w:val="000000"/>
          <w:highlight w:val="none"/>
        </w:rPr>
      </w:pPr>
      <w:r>
        <w:rPr>
          <w:rFonts w:hint="eastAsia" w:ascii="宋体" w:hAnsi="宋体"/>
          <w:color w:val="000000"/>
          <w:highlight w:val="none"/>
        </w:rPr>
        <w:t>□建设工程项目经济评价       □其它</w:t>
      </w:r>
    </w:p>
    <w:p w14:paraId="4DC64B6F">
      <w:pPr>
        <w:shd w:val="clear" w:color="auto"/>
        <w:spacing w:line="360" w:lineRule="auto"/>
        <w:ind w:firstLine="472"/>
        <w:rPr>
          <w:rFonts w:ascii="黑体" w:hAnsi="宋体" w:eastAsia="黑体"/>
          <w:b/>
          <w:color w:val="000000"/>
          <w:highlight w:val="none"/>
        </w:rPr>
      </w:pPr>
      <w:r>
        <w:rPr>
          <w:rFonts w:hint="eastAsia" w:ascii="黑体" w:hAnsi="宋体" w:eastAsia="黑体"/>
          <w:b/>
          <w:color w:val="000000"/>
          <w:highlight w:val="none"/>
        </w:rPr>
        <w:t>工程设计阶段</w:t>
      </w:r>
    </w:p>
    <w:p w14:paraId="68C47F86">
      <w:pPr>
        <w:shd w:val="clear" w:color="auto"/>
        <w:spacing w:line="360" w:lineRule="auto"/>
        <w:ind w:left="470" w:firstLine="65"/>
        <w:rPr>
          <w:rFonts w:ascii="宋体" w:hAnsi="宋体"/>
          <w:color w:val="000000"/>
          <w:highlight w:val="none"/>
        </w:rPr>
      </w:pPr>
      <w:r>
        <w:rPr>
          <w:rFonts w:hint="eastAsia" w:ascii="宋体" w:hAnsi="宋体"/>
          <w:color w:val="000000"/>
          <w:highlight w:val="none"/>
        </w:rPr>
        <w:t>□编制建设工程概算        □审核建设工程概算</w:t>
      </w:r>
    </w:p>
    <w:p w14:paraId="149F669B">
      <w:pPr>
        <w:shd w:val="clear" w:color="auto"/>
        <w:spacing w:line="360" w:lineRule="auto"/>
        <w:ind w:left="470" w:firstLine="65"/>
        <w:rPr>
          <w:rFonts w:ascii="宋体" w:hAnsi="宋体"/>
          <w:color w:val="000000"/>
          <w:highlight w:val="none"/>
        </w:rPr>
      </w:pPr>
      <w:r>
        <w:rPr>
          <w:rFonts w:hint="eastAsia" w:ascii="宋体" w:hAnsi="宋体"/>
          <w:color w:val="000000"/>
          <w:highlight w:val="none"/>
        </w:rPr>
        <w:t>□编制建设工程预算        □审核建设工程预算</w:t>
      </w:r>
    </w:p>
    <w:p w14:paraId="11AEB3FC">
      <w:pPr>
        <w:shd w:val="clear" w:color="auto"/>
        <w:spacing w:line="360" w:lineRule="auto"/>
        <w:ind w:firstLine="476"/>
        <w:rPr>
          <w:rFonts w:ascii="宋体" w:hAnsi="宋体"/>
          <w:color w:val="000000"/>
          <w:highlight w:val="none"/>
        </w:rPr>
      </w:pPr>
      <w:r>
        <w:rPr>
          <w:rFonts w:hint="eastAsia" w:ascii="宋体" w:hAnsi="宋体"/>
          <w:vanish/>
          <w:color w:val="000000"/>
          <w:highlight w:val="none"/>
        </w:rPr>
        <w:t>□额设</w:t>
      </w:r>
      <w:r>
        <w:rPr>
          <w:rFonts w:hint="eastAsia" w:ascii="宋体" w:hAnsi="宋体"/>
          <w:color w:val="000000"/>
          <w:highlight w:val="none"/>
        </w:rPr>
        <w:t>□设计方案经济比较        □其它</w:t>
      </w:r>
    </w:p>
    <w:p w14:paraId="3E645BCA">
      <w:pPr>
        <w:shd w:val="clear" w:color="auto"/>
        <w:spacing w:line="360" w:lineRule="auto"/>
        <w:ind w:firstLine="420"/>
        <w:rPr>
          <w:rFonts w:ascii="黑体" w:hAnsi="宋体" w:eastAsia="黑体"/>
          <w:b/>
          <w:color w:val="000000"/>
          <w:highlight w:val="none"/>
        </w:rPr>
      </w:pPr>
      <w:r>
        <w:rPr>
          <w:rFonts w:hint="eastAsia" w:ascii="黑体" w:hAnsi="宋体" w:eastAsia="黑体"/>
          <w:b/>
          <w:color w:val="000000"/>
          <w:highlight w:val="none"/>
        </w:rPr>
        <w:t>工程发承包/招投标阶段</w:t>
      </w:r>
    </w:p>
    <w:p w14:paraId="774C757F">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□审核招标文件造价控制条款</w:t>
      </w:r>
    </w:p>
    <w:p w14:paraId="6477641C">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□编制工程量清单   □编制招标控制价/发包工程预算（标底）</w:t>
      </w:r>
    </w:p>
    <w:p w14:paraId="25D2A423">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□审核工程量清单   □审核招标控制价/发包工程预算（标底）</w:t>
      </w:r>
    </w:p>
    <w:p w14:paraId="3F74F63D">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□参与审查经济标   □参与合同谈判，协助起草合同文本</w:t>
      </w:r>
    </w:p>
    <w:p w14:paraId="5768BF1C">
      <w:pPr>
        <w:shd w:val="clear" w:color="auto"/>
        <w:spacing w:line="360" w:lineRule="auto"/>
        <w:ind w:left="470"/>
        <w:rPr>
          <w:rFonts w:ascii="宋体" w:hAnsi="宋体"/>
          <w:color w:val="000000"/>
          <w:highlight w:val="none"/>
        </w:rPr>
      </w:pPr>
      <w:r>
        <w:rPr>
          <w:rFonts w:hint="eastAsia" w:ascii="宋体" w:hAnsi="宋体"/>
          <w:color w:val="000000"/>
          <w:highlight w:val="none"/>
        </w:rPr>
        <w:t xml:space="preserve">□其它             </w:t>
      </w:r>
    </w:p>
    <w:p w14:paraId="458DC6FC">
      <w:pPr>
        <w:shd w:val="clear" w:color="auto"/>
        <w:spacing w:line="360" w:lineRule="auto"/>
        <w:ind w:firstLine="420"/>
        <w:rPr>
          <w:rFonts w:ascii="黑体" w:hAnsi="宋体" w:eastAsia="黑体"/>
          <w:b/>
          <w:color w:val="000000"/>
          <w:highlight w:val="none"/>
        </w:rPr>
      </w:pPr>
      <w:r>
        <w:rPr>
          <w:rFonts w:hint="eastAsia" w:ascii="黑体" w:hAnsi="宋体" w:eastAsia="黑体"/>
          <w:b/>
          <w:color w:val="000000"/>
          <w:highlight w:val="none"/>
        </w:rPr>
        <w:t>工程施工阶段</w:t>
      </w:r>
    </w:p>
    <w:p w14:paraId="6EA3913F">
      <w:pPr>
        <w:shd w:val="clear" w:color="auto"/>
        <w:tabs>
          <w:tab w:val="left" w:pos="0"/>
        </w:tabs>
        <w:spacing w:line="360" w:lineRule="auto"/>
        <w:ind w:firstLine="420"/>
        <w:rPr>
          <w:rFonts w:hint="eastAsia" w:ascii="宋体" w:hAnsi="宋体"/>
          <w:color w:val="000000"/>
          <w:highlight w:val="none"/>
        </w:rPr>
      </w:pPr>
      <w:r>
        <w:rPr>
          <w:rFonts w:hint="eastAsia" w:ascii="宋体" w:hAnsi="宋体"/>
          <w:color w:val="000000"/>
          <w:highlight w:val="none"/>
        </w:rPr>
        <w:t>□分析合同价款（投标报价/发包工程预算），</w:t>
      </w:r>
      <w:r>
        <w:rPr>
          <w:rFonts w:ascii="宋体" w:hAnsi="宋体"/>
          <w:color w:val="000000"/>
          <w:highlight w:val="none"/>
        </w:rPr>
        <w:t>确定</w:t>
      </w:r>
      <w:r>
        <w:rPr>
          <w:rFonts w:hint="eastAsia" w:ascii="宋体" w:hAnsi="宋体"/>
          <w:color w:val="000000"/>
          <w:highlight w:val="none"/>
        </w:rPr>
        <w:t>工程造价</w:t>
      </w:r>
      <w:r>
        <w:rPr>
          <w:rFonts w:ascii="宋体" w:hAnsi="宋体"/>
          <w:color w:val="000000"/>
          <w:highlight w:val="none"/>
        </w:rPr>
        <w:t>控制目标</w:t>
      </w:r>
      <w:r>
        <w:rPr>
          <w:rFonts w:hint="eastAsia" w:ascii="宋体" w:hAnsi="宋体"/>
          <w:color w:val="000000"/>
          <w:highlight w:val="none"/>
        </w:rPr>
        <w:t>，编制资金使用计划</w:t>
      </w:r>
    </w:p>
    <w:p w14:paraId="6BE79B2F">
      <w:pPr>
        <w:shd w:val="clear" w:color="auto"/>
        <w:tabs>
          <w:tab w:val="left" w:pos="0"/>
        </w:tabs>
        <w:spacing w:line="360" w:lineRule="auto"/>
        <w:ind w:firstLine="420"/>
        <w:rPr>
          <w:rFonts w:ascii="宋体" w:hAnsi="宋体"/>
          <w:color w:val="000000"/>
          <w:highlight w:val="none"/>
        </w:rPr>
      </w:pPr>
      <w:r>
        <w:rPr>
          <w:rFonts w:hint="eastAsia" w:ascii="宋体" w:hAnsi="宋体"/>
          <w:color w:val="000000"/>
          <w:highlight w:val="none"/>
        </w:rPr>
        <w:t>□审核工程计量与价款支付        □审核工程索赔与签证费用</w:t>
      </w:r>
    </w:p>
    <w:p w14:paraId="2F798899">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□审核工程价款调整     □业主分包的专业工程招标咨询，材料设备询价</w:t>
      </w:r>
    </w:p>
    <w:p w14:paraId="0E96F9AB">
      <w:pPr>
        <w:shd w:val="clear" w:color="auto"/>
        <w:tabs>
          <w:tab w:val="left" w:pos="0"/>
        </w:tabs>
        <w:spacing w:line="360" w:lineRule="auto"/>
        <w:ind w:firstLine="470"/>
        <w:rPr>
          <w:rFonts w:ascii="宋体" w:hAnsi="宋体"/>
          <w:color w:val="000000"/>
          <w:highlight w:val="none"/>
          <w:u w:val="single"/>
        </w:rPr>
      </w:pPr>
      <w:r>
        <w:rPr>
          <w:rFonts w:hint="eastAsia" w:ascii="宋体" w:hAnsi="宋体"/>
          <w:color w:val="000000"/>
          <w:highlight w:val="none"/>
        </w:rPr>
        <w:t xml:space="preserve">□分析工程投资偏差，调整工程造价控制目标      □其它             </w:t>
      </w:r>
    </w:p>
    <w:p w14:paraId="0F2F036F">
      <w:pPr>
        <w:shd w:val="clear" w:color="auto"/>
        <w:spacing w:line="360" w:lineRule="auto"/>
        <w:ind w:firstLine="420"/>
        <w:rPr>
          <w:rFonts w:ascii="黑体" w:hAnsi="宋体" w:eastAsia="黑体"/>
          <w:b/>
          <w:color w:val="000000"/>
          <w:highlight w:val="none"/>
        </w:rPr>
      </w:pPr>
      <w:r>
        <w:rPr>
          <w:rFonts w:hint="eastAsia" w:ascii="黑体" w:hAnsi="宋体" w:eastAsia="黑体"/>
          <w:b/>
          <w:color w:val="000000"/>
          <w:highlight w:val="none"/>
        </w:rPr>
        <w:t>工程竣工阶段</w:t>
      </w:r>
    </w:p>
    <w:p w14:paraId="5728619D">
      <w:pPr>
        <w:shd w:val="clear" w:color="auto"/>
        <w:tabs>
          <w:tab w:val="left" w:pos="0"/>
        </w:tabs>
        <w:spacing w:line="360" w:lineRule="auto"/>
        <w:ind w:firstLine="470"/>
        <w:rPr>
          <w:rFonts w:ascii="宋体" w:hAnsi="宋体"/>
          <w:b/>
          <w:color w:val="000000"/>
          <w:highlight w:val="none"/>
        </w:rPr>
      </w:pPr>
      <w:r>
        <w:rPr>
          <w:rFonts w:hint="eastAsia" w:ascii="宋体" w:hAnsi="宋体"/>
          <w:color w:val="000000"/>
          <w:highlight w:val="none"/>
        </w:rPr>
        <w:t>□编制工程竣工结算书    □审核工程竣工结算     □其它</w:t>
      </w:r>
    </w:p>
    <w:p w14:paraId="29765579">
      <w:pPr>
        <w:shd w:val="clear" w:color="auto"/>
        <w:spacing w:line="360" w:lineRule="auto"/>
        <w:ind w:firstLine="420"/>
        <w:rPr>
          <w:rFonts w:ascii="宋体" w:hAnsi="宋体"/>
          <w:b/>
          <w:color w:val="000000"/>
          <w:highlight w:val="none"/>
        </w:rPr>
      </w:pPr>
      <w:r>
        <w:rPr>
          <w:rFonts w:hint="eastAsia" w:ascii="宋体" w:hAnsi="宋体"/>
          <w:b/>
          <w:color w:val="000000"/>
          <w:highlight w:val="none"/>
        </w:rPr>
        <w:t>2.2 造价咨询其它业务</w:t>
      </w:r>
    </w:p>
    <w:p w14:paraId="03AEBF1D">
      <w:pPr>
        <w:shd w:val="clear" w:color="auto"/>
        <w:tabs>
          <w:tab w:val="left" w:pos="0"/>
        </w:tabs>
        <w:spacing w:line="360" w:lineRule="auto"/>
        <w:ind w:firstLine="470"/>
        <w:rPr>
          <w:rFonts w:ascii="宋体" w:hAnsi="宋体"/>
          <w:color w:val="000000"/>
          <w:highlight w:val="none"/>
        </w:rPr>
      </w:pPr>
      <w:r>
        <w:rPr>
          <w:rFonts w:hint="eastAsia" w:ascii="宋体" w:hAnsi="宋体"/>
          <w:color w:val="000000"/>
          <w:highlight w:val="none"/>
        </w:rPr>
        <w:t>□工程造价鉴定及仲裁咨询      □编制工程造价计价依据</w:t>
      </w:r>
    </w:p>
    <w:p w14:paraId="36AA1F64">
      <w:pPr>
        <w:shd w:val="clear" w:color="auto"/>
        <w:tabs>
          <w:tab w:val="left" w:pos="0"/>
        </w:tabs>
        <w:spacing w:line="360" w:lineRule="auto"/>
        <w:ind w:firstLine="470"/>
        <w:rPr>
          <w:rFonts w:ascii="宋体" w:hAnsi="宋体"/>
          <w:b/>
          <w:color w:val="000000"/>
          <w:highlight w:val="none"/>
        </w:rPr>
      </w:pPr>
      <w:r>
        <w:rPr>
          <w:rFonts w:hint="eastAsia" w:ascii="宋体" w:hAnsi="宋体"/>
          <w:color w:val="000000"/>
          <w:highlight w:val="none"/>
        </w:rPr>
        <w:t>□提供工程造价信息服务        □其它</w:t>
      </w:r>
    </w:p>
    <w:p w14:paraId="5E08250A">
      <w:pPr>
        <w:shd w:val="clear" w:color="auto"/>
        <w:spacing w:line="360" w:lineRule="auto"/>
        <w:ind w:firstLine="422"/>
        <w:rPr>
          <w:rFonts w:ascii="宋体" w:hAnsi="宋体"/>
          <w:color w:val="000000"/>
          <w:highlight w:val="none"/>
        </w:rPr>
      </w:pPr>
      <w:r>
        <w:rPr>
          <w:rFonts w:hint="eastAsia" w:ascii="宋体" w:hAnsi="宋体"/>
          <w:b/>
          <w:color w:val="000000"/>
          <w:highlight w:val="none"/>
        </w:rPr>
        <w:t>第</w:t>
      </w:r>
      <w:r>
        <w:rPr>
          <w:rFonts w:hint="eastAsia" w:ascii="宋体" w:hAnsi="宋体"/>
          <w:b/>
          <w:color w:val="000000"/>
          <w:highlight w:val="none"/>
          <w:lang w:val="en-US" w:eastAsia="zh-CN"/>
        </w:rPr>
        <w:t>四</w:t>
      </w:r>
      <w:r>
        <w:rPr>
          <w:rFonts w:hint="eastAsia" w:ascii="宋体" w:hAnsi="宋体"/>
          <w:b/>
          <w:color w:val="000000"/>
          <w:highlight w:val="none"/>
        </w:rPr>
        <w:t>条</w:t>
      </w:r>
      <w:r>
        <w:rPr>
          <w:rFonts w:hint="eastAsia" w:ascii="宋体" w:hAnsi="宋体"/>
          <w:color w:val="000000"/>
          <w:highlight w:val="none"/>
        </w:rPr>
        <w:t>　双方约定的委托人应提供的建设工程造价咨询材料及提供时间：</w:t>
      </w:r>
    </w:p>
    <w:p w14:paraId="46173A05">
      <w:pPr>
        <w:shd w:val="clear" w:color="auto"/>
        <w:spacing w:line="360" w:lineRule="auto"/>
        <w:rPr>
          <w:rFonts w:ascii="宋体" w:hAnsi="宋体"/>
          <w:color w:val="000000"/>
          <w:highlight w:val="none"/>
        </w:rPr>
      </w:pPr>
      <w:r>
        <w:rPr>
          <w:rFonts w:hint="eastAsia" w:ascii="宋体" w:hAnsi="宋体"/>
          <w:color w:val="000000"/>
          <w:highlight w:val="none"/>
          <w:u w:val="single"/>
        </w:rPr>
        <w:t xml:space="preserve"> 　地质勘察报告、批复的初步设计及概算、工程设计施工图、竣工图、工程结算资料等；</w:t>
      </w:r>
    </w:p>
    <w:p w14:paraId="10C0358C">
      <w:pPr>
        <w:shd w:val="clear" w:color="auto"/>
        <w:spacing w:line="360" w:lineRule="auto"/>
        <w:ind w:firstLine="472"/>
        <w:rPr>
          <w:rFonts w:ascii="宋体" w:hAnsi="宋体"/>
          <w:color w:val="000000"/>
          <w:highlight w:val="none"/>
        </w:rPr>
      </w:pPr>
      <w:r>
        <w:rPr>
          <w:rFonts w:hint="eastAsia" w:ascii="宋体" w:hAnsi="宋体"/>
          <w:b/>
          <w:color w:val="000000"/>
          <w:highlight w:val="none"/>
        </w:rPr>
        <w:t>第</w:t>
      </w:r>
      <w:r>
        <w:rPr>
          <w:rFonts w:hint="eastAsia" w:ascii="宋体" w:hAnsi="宋体"/>
          <w:b/>
          <w:color w:val="000000"/>
          <w:highlight w:val="none"/>
          <w:lang w:val="en-US" w:eastAsia="zh-CN"/>
        </w:rPr>
        <w:t>五</w:t>
      </w:r>
      <w:r>
        <w:rPr>
          <w:rFonts w:hint="eastAsia" w:ascii="宋体" w:hAnsi="宋体"/>
          <w:b/>
          <w:color w:val="000000"/>
          <w:highlight w:val="none"/>
        </w:rPr>
        <w:t>条</w:t>
      </w:r>
      <w:r>
        <w:rPr>
          <w:rFonts w:hint="eastAsia" w:ascii="宋体" w:hAnsi="宋体"/>
          <w:color w:val="000000"/>
          <w:highlight w:val="none"/>
        </w:rPr>
        <w:t>　委托人应在</w:t>
      </w:r>
      <w:r>
        <w:rPr>
          <w:rFonts w:hint="eastAsia" w:ascii="宋体" w:hAnsi="宋体"/>
          <w:color w:val="000000"/>
          <w:highlight w:val="none"/>
          <w:u w:val="single"/>
        </w:rPr>
        <w:t>　</w:t>
      </w:r>
      <w:r>
        <w:rPr>
          <w:rFonts w:ascii="宋体" w:hAnsi="宋体"/>
          <w:color w:val="000000"/>
          <w:highlight w:val="none"/>
          <w:u w:val="single"/>
        </w:rPr>
        <w:t>3</w:t>
      </w:r>
      <w:r>
        <w:rPr>
          <w:rFonts w:hint="eastAsia" w:ascii="宋体" w:hAnsi="宋体"/>
          <w:color w:val="000000"/>
          <w:highlight w:val="none"/>
          <w:u w:val="single"/>
        </w:rPr>
        <w:t xml:space="preserve"> </w:t>
      </w:r>
      <w:r>
        <w:rPr>
          <w:rFonts w:hint="eastAsia" w:ascii="宋体" w:hAnsi="宋体"/>
          <w:color w:val="000000"/>
          <w:highlight w:val="none"/>
        </w:rPr>
        <w:t>日内对咨询人书面提交并要求做出答复的事宜做出书面答复。</w:t>
      </w:r>
    </w:p>
    <w:p w14:paraId="775EDBC2">
      <w:pPr>
        <w:shd w:val="clear" w:color="auto"/>
        <w:spacing w:line="360" w:lineRule="auto"/>
        <w:ind w:firstLine="420"/>
        <w:rPr>
          <w:rFonts w:ascii="宋体" w:hAnsi="宋体"/>
          <w:b/>
          <w:color w:val="000000"/>
          <w:highlight w:val="none"/>
        </w:rPr>
      </w:pPr>
      <w:r>
        <w:rPr>
          <w:rFonts w:hint="eastAsia" w:ascii="宋体" w:hAnsi="宋体"/>
          <w:b/>
          <w:color w:val="000000"/>
          <w:highlight w:val="none"/>
        </w:rPr>
        <w:t>第</w:t>
      </w:r>
      <w:r>
        <w:rPr>
          <w:rFonts w:hint="eastAsia" w:ascii="宋体" w:hAnsi="宋体"/>
          <w:b/>
          <w:color w:val="000000"/>
          <w:highlight w:val="none"/>
          <w:lang w:val="en-US" w:eastAsia="zh-CN"/>
        </w:rPr>
        <w:t>六</w:t>
      </w:r>
      <w:r>
        <w:rPr>
          <w:rFonts w:hint="eastAsia" w:ascii="宋体" w:hAnsi="宋体"/>
          <w:b/>
          <w:color w:val="000000"/>
          <w:highlight w:val="none"/>
        </w:rPr>
        <w:t>条</w:t>
      </w:r>
      <w:r>
        <w:rPr>
          <w:rFonts w:hint="eastAsia" w:ascii="宋体" w:hAnsi="宋体"/>
          <w:color w:val="000000"/>
          <w:highlight w:val="none"/>
        </w:rPr>
        <w:t xml:space="preserve">  委托人授权</w:t>
      </w:r>
      <w:r>
        <w:rPr>
          <w:rFonts w:hint="eastAsia" w:ascii="宋体" w:hAnsi="宋体"/>
          <w:color w:val="000000"/>
          <w:highlight w:val="none"/>
          <w:u w:val="single"/>
        </w:rPr>
        <w:t xml:space="preserve">             </w:t>
      </w:r>
      <w:r>
        <w:rPr>
          <w:rFonts w:hint="eastAsia" w:ascii="宋体" w:hAnsi="宋体"/>
          <w:color w:val="000000"/>
          <w:highlight w:val="none"/>
        </w:rPr>
        <w:t>为本咨询业务的代表，负责与咨询人联系。</w:t>
      </w:r>
    </w:p>
    <w:p w14:paraId="5A78266A">
      <w:pPr>
        <w:shd w:val="clear" w:color="auto"/>
        <w:spacing w:line="360" w:lineRule="auto"/>
        <w:rPr>
          <w:rFonts w:ascii="宋体" w:hAnsi="宋体"/>
          <w:color w:val="000000"/>
          <w:highlight w:val="none"/>
        </w:rPr>
      </w:pPr>
      <w:r>
        <w:rPr>
          <w:rFonts w:hint="eastAsia" w:ascii="宋体" w:hAnsi="宋体"/>
          <w:b/>
          <w:color w:val="000000"/>
          <w:highlight w:val="none"/>
        </w:rPr>
        <w:t>　　第</w:t>
      </w:r>
      <w:r>
        <w:rPr>
          <w:rFonts w:hint="eastAsia" w:ascii="宋体" w:hAnsi="宋体"/>
          <w:b/>
          <w:color w:val="000000"/>
          <w:highlight w:val="none"/>
          <w:lang w:val="en-US" w:eastAsia="zh-CN"/>
        </w:rPr>
        <w:t>七</w:t>
      </w:r>
      <w:r>
        <w:rPr>
          <w:rFonts w:hint="eastAsia" w:ascii="宋体" w:hAnsi="宋体"/>
          <w:b/>
          <w:color w:val="000000"/>
          <w:highlight w:val="none"/>
        </w:rPr>
        <w:t>条</w:t>
      </w:r>
      <w:r>
        <w:rPr>
          <w:rFonts w:hint="eastAsia" w:ascii="宋体" w:hAnsi="宋体"/>
          <w:color w:val="000000"/>
          <w:highlight w:val="none"/>
        </w:rPr>
        <w:t>　咨询人在其责任期内如果因自身原因给委托方造成经济损失时，同意按以下办法承担责任，向委托方支付赔偿金：</w:t>
      </w:r>
    </w:p>
    <w:p w14:paraId="74C3DD24">
      <w:pPr>
        <w:shd w:val="clear" w:color="auto"/>
        <w:spacing w:line="360" w:lineRule="auto"/>
        <w:ind w:firstLine="997"/>
        <w:rPr>
          <w:rFonts w:ascii="宋体" w:hAnsi="宋体"/>
          <w:color w:val="000000"/>
          <w:highlight w:val="none"/>
        </w:rPr>
      </w:pPr>
      <w:r>
        <w:rPr>
          <w:rFonts w:hint="eastAsia" w:ascii="宋体" w:hAnsi="宋体"/>
          <w:color w:val="000000"/>
          <w:highlight w:val="none"/>
        </w:rPr>
        <w:t>赔偿金=直接经济损失　× 酬金比率（扣除税金）。</w:t>
      </w:r>
    </w:p>
    <w:p w14:paraId="60CE9F3D">
      <w:pPr>
        <w:shd w:val="clear" w:color="auto"/>
        <w:spacing w:line="360" w:lineRule="auto"/>
        <w:ind w:firstLine="420"/>
        <w:rPr>
          <w:rFonts w:hint="eastAsia" w:ascii="宋体" w:hAnsi="宋体"/>
          <w:color w:val="000000"/>
          <w:highlight w:val="none"/>
        </w:rPr>
      </w:pPr>
      <w:r>
        <w:rPr>
          <w:rFonts w:hint="eastAsia" w:ascii="宋体" w:hAnsi="宋体"/>
          <w:b/>
          <w:color w:val="000000"/>
          <w:highlight w:val="none"/>
        </w:rPr>
        <w:t>第</w:t>
      </w:r>
      <w:r>
        <w:rPr>
          <w:rFonts w:hint="eastAsia" w:ascii="宋体" w:hAnsi="宋体"/>
          <w:b/>
          <w:color w:val="000000"/>
          <w:highlight w:val="none"/>
          <w:lang w:val="en-US" w:eastAsia="zh-CN"/>
        </w:rPr>
        <w:t>八</w:t>
      </w:r>
      <w:r>
        <w:rPr>
          <w:rFonts w:hint="eastAsia" w:ascii="宋体" w:hAnsi="宋体"/>
          <w:b/>
          <w:color w:val="000000"/>
          <w:highlight w:val="none"/>
        </w:rPr>
        <w:t>条</w:t>
      </w:r>
      <w:r>
        <w:rPr>
          <w:rFonts w:hint="eastAsia" w:ascii="宋体" w:hAnsi="宋体"/>
          <w:color w:val="000000"/>
          <w:highlight w:val="none"/>
        </w:rPr>
        <w:t xml:space="preserve">  委托人对其提供资料的真实性、完整性和有效性负责，由此造成的咨询人工作的缺陷或失误及额外工作由委托人负责对咨询人进行赔偿。 本合同约定的资料完整提供时间为</w:t>
      </w:r>
      <w:r>
        <w:rPr>
          <w:rFonts w:hint="eastAsia" w:ascii="宋体" w:hAnsi="宋体"/>
          <w:color w:val="000000"/>
          <w:highlight w:val="none"/>
          <w:u w:val="single"/>
        </w:rPr>
        <w:t xml:space="preserve">        </w:t>
      </w:r>
      <w:r>
        <w:rPr>
          <w:rFonts w:hint="eastAsia" w:ascii="宋体" w:hAnsi="宋体"/>
          <w:color w:val="000000"/>
          <w:highlight w:val="none"/>
        </w:rPr>
        <w:t>年</w:t>
      </w:r>
    </w:p>
    <w:p w14:paraId="54265C27">
      <w:pPr>
        <w:shd w:val="clear" w:color="auto"/>
        <w:spacing w:line="360" w:lineRule="auto"/>
        <w:ind w:firstLine="420"/>
        <w:rPr>
          <w:rFonts w:ascii="宋体" w:hAnsi="宋体"/>
          <w:color w:val="000000"/>
          <w:highlight w:val="none"/>
        </w:rPr>
      </w:pP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6B84BB44">
      <w:pPr>
        <w:shd w:val="clear" w:color="auto"/>
        <w:spacing w:line="360" w:lineRule="auto"/>
        <w:ind w:firstLine="435"/>
        <w:rPr>
          <w:rFonts w:ascii="宋体" w:hAnsi="宋体"/>
          <w:color w:val="000000"/>
          <w:highlight w:val="none"/>
        </w:rPr>
      </w:pPr>
      <w:r>
        <w:rPr>
          <w:rFonts w:hint="eastAsia" w:ascii="宋体" w:hAnsi="宋体"/>
          <w:b/>
          <w:color w:val="000000"/>
          <w:highlight w:val="none"/>
        </w:rPr>
        <w:t>第</w:t>
      </w:r>
      <w:r>
        <w:rPr>
          <w:rFonts w:hint="eastAsia" w:ascii="宋体" w:hAnsi="宋体"/>
          <w:b/>
          <w:color w:val="000000"/>
          <w:highlight w:val="none"/>
          <w:lang w:val="en-US" w:eastAsia="zh-CN"/>
        </w:rPr>
        <w:t>九</w:t>
      </w:r>
      <w:r>
        <w:rPr>
          <w:rFonts w:hint="eastAsia" w:ascii="宋体" w:hAnsi="宋体"/>
          <w:b/>
          <w:color w:val="000000"/>
          <w:highlight w:val="none"/>
        </w:rPr>
        <w:t>条</w:t>
      </w:r>
      <w:r>
        <w:rPr>
          <w:rFonts w:hint="eastAsia" w:ascii="宋体" w:hAnsi="宋体"/>
          <w:color w:val="000000"/>
          <w:highlight w:val="none"/>
        </w:rPr>
        <w:t xml:space="preserve">  咨询人发生额外工作包括：</w:t>
      </w:r>
    </w:p>
    <w:p w14:paraId="350AF56B">
      <w:pPr>
        <w:shd w:val="clear" w:color="auto"/>
        <w:spacing w:line="360" w:lineRule="auto"/>
        <w:ind w:firstLine="435"/>
        <w:rPr>
          <w:rFonts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rPr>
        <w:t>由于委托人提供的图纸等条件资料不全或发生变化，咨询人根据变化的条件资料发生的重复咨询工作；</w:t>
      </w:r>
    </w:p>
    <w:p w14:paraId="4DFA419F">
      <w:pPr>
        <w:shd w:val="clear" w:color="auto"/>
        <w:spacing w:line="360" w:lineRule="auto"/>
        <w:ind w:firstLine="435"/>
        <w:rPr>
          <w:rFonts w:ascii="宋体" w:hAnsi="宋体"/>
          <w:color w:val="000000"/>
          <w:highlight w:val="none"/>
        </w:rPr>
      </w:pPr>
      <w:r>
        <w:rPr>
          <w:rFonts w:hint="eastAsia" w:ascii="宋体" w:hAnsi="宋体"/>
          <w:color w:val="000000"/>
          <w:highlight w:val="none"/>
        </w:rPr>
        <w:t>□实施工程施工阶段造价咨询业务，由于委托人或第三人的原因工程建设周期延长；</w:t>
      </w:r>
    </w:p>
    <w:p w14:paraId="504BC38B">
      <w:pPr>
        <w:shd w:val="clear" w:color="auto"/>
        <w:spacing w:line="360" w:lineRule="auto"/>
        <w:ind w:firstLine="435"/>
        <w:rPr>
          <w:rFonts w:ascii="宋体" w:hAnsi="宋体"/>
          <w:color w:val="000000"/>
          <w:highlight w:val="none"/>
        </w:rPr>
      </w:pPr>
      <w:r>
        <w:rPr>
          <w:rFonts w:hint="eastAsia" w:ascii="宋体" w:hAnsi="宋体"/>
          <w:color w:val="000000"/>
          <w:highlight w:val="none"/>
        </w:rPr>
        <w:t>□其它。</w:t>
      </w:r>
    </w:p>
    <w:p w14:paraId="40DED300">
      <w:pPr>
        <w:shd w:val="clear" w:color="auto"/>
        <w:spacing w:line="360" w:lineRule="auto"/>
        <w:ind w:firstLine="420"/>
        <w:rPr>
          <w:rFonts w:ascii="宋体" w:hAnsi="宋体"/>
          <w:color w:val="000000"/>
          <w:highlight w:val="none"/>
        </w:rPr>
      </w:pPr>
      <w:r>
        <w:rPr>
          <w:rFonts w:hint="eastAsia" w:ascii="宋体" w:hAnsi="宋体"/>
          <w:b/>
          <w:color w:val="000000"/>
          <w:highlight w:val="none"/>
        </w:rPr>
        <w:t>第十条</w:t>
      </w:r>
      <w:r>
        <w:rPr>
          <w:rFonts w:hint="eastAsia" w:ascii="宋体" w:hAnsi="宋体"/>
          <w:color w:val="000000"/>
          <w:highlight w:val="none"/>
        </w:rPr>
        <w:t>　委托人同意按以下的计算方法、支付时间与金额，支付咨询人的正常服务酬金：</w:t>
      </w:r>
    </w:p>
    <w:p w14:paraId="638E592F">
      <w:pPr>
        <w:shd w:val="clear" w:color="auto"/>
        <w:spacing w:line="360" w:lineRule="auto"/>
        <w:ind w:firstLine="435"/>
        <w:rPr>
          <w:color w:val="000000"/>
          <w:highlight w:val="none"/>
        </w:rPr>
      </w:pPr>
      <w:r>
        <w:rPr>
          <w:rFonts w:hint="eastAsia"/>
          <w:color w:val="000000"/>
          <w:highlight w:val="none"/>
        </w:rPr>
        <w:t>1、正常酬金计算方法</w:t>
      </w:r>
    </w:p>
    <w:p w14:paraId="639081B9">
      <w:pPr>
        <w:shd w:val="clear" w:color="auto"/>
        <w:spacing w:line="360" w:lineRule="auto"/>
        <w:ind w:firstLine="435"/>
        <w:rPr>
          <w:rFonts w:ascii="宋体" w:hAnsi="宋体"/>
          <w:color w:val="000000"/>
          <w:highlight w:val="none"/>
        </w:rPr>
      </w:pPr>
      <w:r>
        <w:rPr>
          <w:rFonts w:ascii="宋体" w:hAnsi="宋体"/>
          <w:color w:val="000000"/>
          <w:highlight w:val="none"/>
        </w:rPr>
        <w:t>按照成交折扣率苏价服〔2014〕383号文标准的</w:t>
      </w:r>
      <w:r>
        <w:rPr>
          <w:rFonts w:hint="eastAsia"/>
          <w:color w:val="000000"/>
          <w:highlight w:val="none"/>
          <w:u w:val="single"/>
          <w:lang w:val="en-US" w:eastAsia="zh-CN"/>
        </w:rPr>
        <w:t xml:space="preserve">       </w:t>
      </w:r>
      <w:r>
        <w:rPr>
          <w:rFonts w:ascii="宋体" w:hAnsi="宋体"/>
          <w:color w:val="000000"/>
          <w:highlight w:val="none"/>
          <w:u w:val="single"/>
        </w:rPr>
        <w:t xml:space="preserve"> </w:t>
      </w:r>
      <w:r>
        <w:rPr>
          <w:rFonts w:ascii="宋体" w:hAnsi="宋体"/>
          <w:color w:val="000000"/>
          <w:highlight w:val="none"/>
        </w:rPr>
        <w:t>%收费。上述费用包含开展工作的全部费用以及供应商派出人员提供服务的所有费用，</w:t>
      </w:r>
      <w:r>
        <w:rPr>
          <w:rFonts w:hint="eastAsia" w:ascii="宋体" w:hAnsi="宋体"/>
          <w:color w:val="000000"/>
          <w:highlight w:val="none"/>
        </w:rPr>
        <w:t>其中跟踪审计服务收费只计取基本收费和驻场收费，结算审计</w:t>
      </w:r>
      <w:r>
        <w:rPr>
          <w:rFonts w:ascii="宋体" w:hAnsi="宋体"/>
          <w:color w:val="000000"/>
          <w:highlight w:val="none"/>
        </w:rPr>
        <w:t>服务收费只计取基本费、效益收费。当项目复审时初审费用等复审结束后结算审计费用，复审报告最终核减率在</w:t>
      </w:r>
      <w:r>
        <w:rPr>
          <w:rFonts w:hint="eastAsia" w:ascii="宋体" w:hAnsi="宋体"/>
          <w:color w:val="000000"/>
          <w:highlight w:val="none"/>
        </w:rPr>
        <w:t>3</w:t>
      </w:r>
      <w:r>
        <w:rPr>
          <w:rFonts w:ascii="宋体" w:hAnsi="宋体"/>
          <w:color w:val="000000"/>
          <w:highlight w:val="none"/>
        </w:rPr>
        <w:t>%-5%之间扣除初审单位</w:t>
      </w:r>
      <w:r>
        <w:rPr>
          <w:rFonts w:hint="eastAsia" w:ascii="宋体" w:hAnsi="宋体"/>
          <w:color w:val="000000"/>
          <w:highlight w:val="none"/>
        </w:rPr>
        <w:t>结算</w:t>
      </w:r>
      <w:r>
        <w:rPr>
          <w:rFonts w:ascii="宋体" w:hAnsi="宋体"/>
          <w:color w:val="000000"/>
          <w:highlight w:val="none"/>
        </w:rPr>
        <w:t>审计费用的50%，最终核减率在5%以上扣除初审单位全部</w:t>
      </w:r>
      <w:r>
        <w:rPr>
          <w:rFonts w:hint="eastAsia" w:ascii="宋体" w:hAnsi="宋体"/>
          <w:color w:val="000000"/>
          <w:highlight w:val="none"/>
        </w:rPr>
        <w:t>结算</w:t>
      </w:r>
      <w:r>
        <w:rPr>
          <w:rFonts w:ascii="宋体" w:hAnsi="宋体"/>
          <w:color w:val="000000"/>
          <w:highlight w:val="none"/>
        </w:rPr>
        <w:t>审计费用。</w:t>
      </w:r>
    </w:p>
    <w:p w14:paraId="4F547C4C">
      <w:pPr>
        <w:shd w:val="clear" w:color="auto"/>
        <w:spacing w:line="360" w:lineRule="auto"/>
        <w:ind w:firstLine="435"/>
        <w:rPr>
          <w:rFonts w:ascii="宋体" w:hAnsi="宋体"/>
          <w:color w:val="000000"/>
          <w:highlight w:val="none"/>
        </w:rPr>
      </w:pPr>
      <w:r>
        <w:rPr>
          <w:rFonts w:ascii="宋体" w:hAnsi="宋体"/>
          <w:color w:val="000000"/>
          <w:highlight w:val="none"/>
        </w:rPr>
        <w:t>注:（1）费用采用差额累进法计算；</w:t>
      </w:r>
      <w:r>
        <w:rPr>
          <w:rFonts w:hint="eastAsia" w:ascii="宋体" w:hAnsi="宋体"/>
          <w:color w:val="000000"/>
          <w:highlight w:val="none"/>
        </w:rPr>
        <w:t xml:space="preserve"> </w:t>
      </w:r>
      <w:bookmarkStart w:id="92" w:name="_GoBack"/>
      <w:bookmarkEnd w:id="92"/>
    </w:p>
    <w:p w14:paraId="6D678FEF">
      <w:pPr>
        <w:shd w:val="clear" w:color="auto"/>
        <w:spacing w:line="360" w:lineRule="auto"/>
        <w:ind w:firstLine="435"/>
        <w:rPr>
          <w:rFonts w:ascii="宋体" w:hAnsi="宋体"/>
          <w:color w:val="000000"/>
          <w:highlight w:val="none"/>
        </w:rPr>
      </w:pPr>
      <w:r>
        <w:rPr>
          <w:rFonts w:hint="eastAsia" w:ascii="宋体" w:hAnsi="宋体"/>
          <w:color w:val="000000"/>
          <w:highlight w:val="none"/>
        </w:rPr>
        <w:t>2、正常酬金支付方式</w:t>
      </w:r>
    </w:p>
    <w:p w14:paraId="4C49FA7B">
      <w:pPr>
        <w:shd w:val="clear" w:color="auto"/>
        <w:spacing w:line="360" w:lineRule="auto"/>
        <w:ind w:firstLine="435"/>
        <w:rPr>
          <w:color w:val="000000"/>
          <w:highlight w:val="none"/>
        </w:rPr>
      </w:pPr>
      <w:r>
        <w:rPr>
          <w:rFonts w:hint="eastAsia"/>
          <w:color w:val="000000"/>
          <w:highlight w:val="none"/>
          <w:lang w:eastAsia="zh-CN"/>
        </w:rPr>
        <w:t>在出具结算审核报告后支付到合同价款的60%，余款半年内支付完毕</w:t>
      </w:r>
      <w:r>
        <w:rPr>
          <w:rFonts w:hint="eastAsia" w:ascii="宋体" w:hAnsi="宋体"/>
          <w:color w:val="000000"/>
          <w:highlight w:val="none"/>
        </w:rPr>
        <w:t xml:space="preserve">。 </w:t>
      </w:r>
    </w:p>
    <w:p w14:paraId="6D3FF4F2">
      <w:pPr>
        <w:shd w:val="clear" w:color="auto"/>
        <w:spacing w:line="360" w:lineRule="auto"/>
        <w:rPr>
          <w:color w:val="000000"/>
          <w:highlight w:val="none"/>
        </w:rPr>
      </w:pPr>
      <w:r>
        <w:rPr>
          <w:rFonts w:hint="eastAsia"/>
          <w:color w:val="000000"/>
          <w:highlight w:val="none"/>
        </w:rPr>
        <w:t>3、其他约定</w:t>
      </w:r>
    </w:p>
    <w:p w14:paraId="77B5C9BF">
      <w:pPr>
        <w:shd w:val="clear" w:color="auto"/>
        <w:spacing w:line="360" w:lineRule="auto"/>
        <w:ind w:firstLine="425"/>
        <w:rPr>
          <w:color w:val="000000"/>
          <w:highlight w:val="none"/>
        </w:rPr>
      </w:pPr>
      <w:r>
        <w:rPr>
          <w:rFonts w:hint="eastAsia"/>
          <w:color w:val="000000"/>
          <w:highlight w:val="none"/>
        </w:rPr>
        <w:t>3.1甲方委托的审核业务如长期未能出具正式的审核报告，甲方有权收回该业务，同时乙方应无条件返还所有与该业务有关的资料，该项目视为无效业务委托乙方。</w:t>
      </w:r>
    </w:p>
    <w:p w14:paraId="7E04985E">
      <w:pPr>
        <w:shd w:val="clear" w:color="auto"/>
        <w:spacing w:line="360" w:lineRule="auto"/>
        <w:ind w:firstLine="420"/>
        <w:rPr>
          <w:color w:val="000000"/>
          <w:highlight w:val="none"/>
        </w:rPr>
      </w:pPr>
      <w:r>
        <w:rPr>
          <w:rFonts w:hint="eastAsia"/>
          <w:color w:val="000000"/>
          <w:highlight w:val="none"/>
        </w:rPr>
        <w:t>附加服务酬金：</w:t>
      </w:r>
      <w:r>
        <w:rPr>
          <w:rFonts w:hint="eastAsia"/>
          <w:color w:val="000000"/>
          <w:highlight w:val="none"/>
          <w:u w:val="single"/>
        </w:rPr>
        <w:t xml:space="preserve">    </w:t>
      </w:r>
      <w:r>
        <w:rPr>
          <w:rFonts w:hint="eastAsia" w:ascii="Tahoma" w:hAnsi="Tahoma" w:cs="Tahoma"/>
          <w:color w:val="000000"/>
          <w:highlight w:val="none"/>
          <w:u w:val="single"/>
        </w:rPr>
        <w:t>如有发生，双方另行订立补充协议</w:t>
      </w:r>
      <w:r>
        <w:rPr>
          <w:color w:val="000000"/>
          <w:highlight w:val="none"/>
          <w:u w:val="single"/>
        </w:rPr>
        <w:t xml:space="preserve"> </w:t>
      </w:r>
      <w:r>
        <w:rPr>
          <w:rFonts w:hint="eastAsia"/>
          <w:color w:val="000000"/>
          <w:highlight w:val="none"/>
          <w:u w:val="single"/>
        </w:rPr>
        <w:t xml:space="preserve">  </w:t>
      </w:r>
    </w:p>
    <w:p w14:paraId="5BE0846C">
      <w:pPr>
        <w:shd w:val="clear" w:color="auto"/>
        <w:spacing w:line="360" w:lineRule="auto"/>
        <w:ind w:firstLine="420"/>
        <w:rPr>
          <w:color w:val="000000"/>
          <w:highlight w:val="none"/>
        </w:rPr>
      </w:pPr>
      <w:r>
        <w:rPr>
          <w:rFonts w:hint="eastAsia"/>
          <w:color w:val="000000"/>
          <w:highlight w:val="none"/>
        </w:rPr>
        <w:t>额外服务酬金：</w:t>
      </w:r>
      <w:r>
        <w:rPr>
          <w:rFonts w:hint="eastAsia"/>
          <w:color w:val="000000"/>
          <w:highlight w:val="none"/>
          <w:u w:val="single"/>
        </w:rPr>
        <w:t xml:space="preserve">    </w:t>
      </w:r>
      <w:r>
        <w:rPr>
          <w:rFonts w:hint="eastAsia" w:ascii="Tahoma" w:hAnsi="Tahoma" w:cs="Tahoma"/>
          <w:color w:val="000000"/>
          <w:highlight w:val="none"/>
          <w:u w:val="single"/>
        </w:rPr>
        <w:t>如有发生，双方另行订立补充协议</w:t>
      </w:r>
      <w:r>
        <w:rPr>
          <w:color w:val="000000"/>
          <w:highlight w:val="none"/>
          <w:u w:val="single"/>
        </w:rPr>
        <w:t xml:space="preserve"> </w:t>
      </w:r>
      <w:r>
        <w:rPr>
          <w:rFonts w:hint="eastAsia"/>
          <w:color w:val="000000"/>
          <w:highlight w:val="none"/>
          <w:u w:val="single"/>
        </w:rPr>
        <w:t xml:space="preserve">   </w:t>
      </w:r>
    </w:p>
    <w:p w14:paraId="19FE2EE4">
      <w:pPr>
        <w:shd w:val="clear" w:color="auto"/>
        <w:spacing w:line="360" w:lineRule="auto"/>
        <w:ind w:firstLine="420"/>
        <w:rPr>
          <w:rFonts w:hint="default" w:ascii="宋体" w:hAnsi="宋体" w:eastAsia="宋体"/>
          <w:color w:val="000000"/>
          <w:highlight w:val="none"/>
          <w:u w:val="single"/>
          <w:lang w:val="en-US" w:eastAsia="zh-CN"/>
        </w:rPr>
      </w:pPr>
      <w:r>
        <w:rPr>
          <w:rFonts w:hint="eastAsia" w:ascii="宋体" w:hAnsi="宋体"/>
          <w:b/>
          <w:color w:val="000000"/>
          <w:highlight w:val="none"/>
        </w:rPr>
        <w:t>第十二条</w:t>
      </w:r>
      <w:r>
        <w:rPr>
          <w:rFonts w:hint="eastAsia" w:ascii="宋体" w:hAnsi="宋体"/>
          <w:color w:val="000000"/>
          <w:highlight w:val="none"/>
        </w:rPr>
        <w:t>　双方同意用</w:t>
      </w:r>
      <w:r>
        <w:rPr>
          <w:rFonts w:hint="eastAsia"/>
          <w:color w:val="000000"/>
          <w:highlight w:val="none"/>
          <w:u w:val="single"/>
          <w:lang w:val="en-US" w:eastAsia="zh-CN"/>
        </w:rPr>
        <w:t xml:space="preserve">   </w:t>
      </w:r>
      <w:r>
        <w:rPr>
          <w:rFonts w:hint="eastAsia" w:ascii="宋体" w:hAnsi="宋体"/>
          <w:color w:val="000000"/>
          <w:highlight w:val="none"/>
          <w:u w:val="single"/>
        </w:rPr>
        <w:t>人民币</w:t>
      </w:r>
      <w:r>
        <w:rPr>
          <w:rFonts w:hint="eastAsia"/>
          <w:color w:val="000000"/>
          <w:highlight w:val="none"/>
          <w:u w:val="single"/>
          <w:lang w:val="en-US" w:eastAsia="zh-CN"/>
        </w:rPr>
        <w:t xml:space="preserve">   </w:t>
      </w:r>
      <w:r>
        <w:rPr>
          <w:rFonts w:hint="eastAsia" w:ascii="宋体" w:hAnsi="宋体"/>
          <w:color w:val="000000"/>
          <w:highlight w:val="none"/>
        </w:rPr>
        <w:t>支付酬金，按</w:t>
      </w:r>
      <w:r>
        <w:rPr>
          <w:rFonts w:hint="eastAsia"/>
          <w:color w:val="000000"/>
          <w:highlight w:val="none"/>
          <w:u w:val="single"/>
          <w:lang w:val="en-US" w:eastAsia="zh-CN"/>
        </w:rPr>
        <w:t xml:space="preserve">   /</w:t>
      </w:r>
      <w:r>
        <w:rPr>
          <w:rFonts w:hint="eastAsia"/>
          <w:color w:val="000000"/>
          <w:szCs w:val="28"/>
          <w:highlight w:val="none"/>
          <w:u w:val="single"/>
          <w:lang w:val="en-US" w:eastAsia="zh-CN"/>
        </w:rPr>
        <w:t xml:space="preserve">     </w:t>
      </w:r>
    </w:p>
    <w:p w14:paraId="2C2F14F6">
      <w:pPr>
        <w:shd w:val="clear" w:color="auto"/>
        <w:spacing w:line="360" w:lineRule="auto"/>
        <w:ind w:hanging="14"/>
        <w:rPr>
          <w:rFonts w:ascii="宋体" w:hAnsi="宋体"/>
          <w:color w:val="000000"/>
          <w:highlight w:val="none"/>
        </w:rPr>
      </w:pPr>
      <w:r>
        <w:rPr>
          <w:rFonts w:hint="eastAsia" w:ascii="宋体" w:hAnsi="宋体"/>
          <w:color w:val="000000"/>
          <w:highlight w:val="none"/>
        </w:rPr>
        <w:t>汇率计付。</w:t>
      </w:r>
    </w:p>
    <w:p w14:paraId="456A2851">
      <w:pPr>
        <w:shd w:val="clear" w:color="auto"/>
        <w:spacing w:line="360" w:lineRule="auto"/>
        <w:ind w:firstLine="422"/>
        <w:rPr>
          <w:rFonts w:ascii="宋体" w:hAnsi="宋体"/>
          <w:color w:val="000000"/>
          <w:highlight w:val="none"/>
          <w:u w:val="single"/>
        </w:rPr>
      </w:pPr>
      <w:r>
        <w:rPr>
          <w:rFonts w:hint="eastAsia" w:ascii="宋体" w:hAnsi="宋体"/>
          <w:b/>
          <w:color w:val="000000"/>
          <w:highlight w:val="none"/>
        </w:rPr>
        <w:t>第十三条</w:t>
      </w:r>
      <w:r>
        <w:rPr>
          <w:rFonts w:hint="eastAsia" w:ascii="宋体" w:hAnsi="宋体"/>
          <w:color w:val="000000"/>
          <w:highlight w:val="none"/>
        </w:rPr>
        <w:t xml:space="preserve">  咨询人依据造价行业主管部门及国家的有关规定及要求开展造价咨询工作，咨询质量满足委托人及行业主管的要求。咨询人提交的咨询成果报告须文字清晰整齐，有较强的可复查性。</w:t>
      </w:r>
    </w:p>
    <w:p w14:paraId="70FFB387">
      <w:pPr>
        <w:keepNext w:val="0"/>
        <w:keepLines w:val="0"/>
        <w:pageBreakBefore w:val="0"/>
        <w:widowControl w:val="0"/>
        <w:shd w:val="clear" w:color="auto"/>
        <w:spacing w:line="360" w:lineRule="auto"/>
        <w:ind w:firstLine="442"/>
        <w:rPr>
          <w:rFonts w:ascii="宋体" w:hAnsi="宋体"/>
          <w:color w:val="000000"/>
          <w:highlight w:val="none"/>
        </w:rPr>
      </w:pPr>
      <w:r>
        <w:rPr>
          <w:rFonts w:hint="eastAsia" w:ascii="宋体" w:hAnsi="宋体"/>
          <w:b/>
          <w:color w:val="000000"/>
          <w:highlight w:val="none"/>
        </w:rPr>
        <w:t>第十四条</w:t>
      </w:r>
      <w:r>
        <w:rPr>
          <w:rFonts w:hint="eastAsia"/>
          <w:color w:val="000000"/>
          <w:highlight w:val="none"/>
          <w:lang w:val="en-US" w:eastAsia="zh-CN"/>
        </w:rPr>
        <w:t xml:space="preserve">  </w:t>
      </w:r>
      <w:r>
        <w:rPr>
          <w:rFonts w:hint="eastAsia" w:ascii="宋体" w:hAnsi="宋体"/>
          <w:color w:val="000000"/>
          <w:highlight w:val="none"/>
        </w:rPr>
        <w:t>建设工程造价咨询合同在履行过程中发生争议，委托人与咨询人应及时协商解决；如未能达成一致，可提交有关主管部门调解；协商或调解不成的，按下列第</w:t>
      </w:r>
      <w:r>
        <w:rPr>
          <w:rFonts w:hint="eastAsia" w:ascii="宋体" w:hAnsi="宋体"/>
          <w:color w:val="000000"/>
          <w:highlight w:val="none"/>
          <w:u w:val="single"/>
        </w:rPr>
        <w:t xml:space="preserve">   2      </w:t>
      </w:r>
      <w:r>
        <w:rPr>
          <w:rFonts w:hint="eastAsia" w:ascii="宋体" w:hAnsi="宋体"/>
          <w:color w:val="000000"/>
          <w:highlight w:val="none"/>
        </w:rPr>
        <w:t>种方式解决：</w:t>
      </w:r>
    </w:p>
    <w:p w14:paraId="74CB7981">
      <w:pPr>
        <w:keepNext w:val="0"/>
        <w:keepLines w:val="0"/>
        <w:pageBreakBefore w:val="0"/>
        <w:widowControl w:val="0"/>
        <w:shd w:val="clear" w:color="auto"/>
        <w:spacing w:line="360" w:lineRule="auto"/>
        <w:ind w:firstLine="440"/>
        <w:rPr>
          <w:rFonts w:ascii="宋体" w:hAnsi="宋体"/>
          <w:color w:val="000000"/>
          <w:highlight w:val="none"/>
        </w:rPr>
      </w:pPr>
      <w:r>
        <w:rPr>
          <w:rFonts w:hint="eastAsia" w:ascii="宋体" w:hAnsi="宋体"/>
          <w:color w:val="000000"/>
          <w:highlight w:val="none"/>
        </w:rPr>
        <w:t>1、提交</w:t>
      </w:r>
      <w:r>
        <w:rPr>
          <w:rFonts w:hint="eastAsia"/>
          <w:color w:val="000000"/>
          <w:highlight w:val="none"/>
          <w:u w:val="single"/>
          <w:lang w:val="en-US" w:eastAsia="zh-CN"/>
        </w:rPr>
        <w:t xml:space="preserve">   </w:t>
      </w:r>
      <w:r>
        <w:rPr>
          <w:rFonts w:hint="eastAsia" w:ascii="宋体" w:hAnsi="宋体"/>
          <w:color w:val="000000"/>
          <w:highlight w:val="none"/>
          <w:u w:val="single"/>
        </w:rPr>
        <w:t>/</w:t>
      </w:r>
      <w:r>
        <w:rPr>
          <w:rFonts w:hint="eastAsia"/>
          <w:color w:val="000000"/>
          <w:highlight w:val="none"/>
          <w:u w:val="single"/>
          <w:lang w:val="en-US" w:eastAsia="zh-CN"/>
        </w:rPr>
        <w:t xml:space="preserve">   </w:t>
      </w:r>
      <w:r>
        <w:rPr>
          <w:rFonts w:hint="eastAsia" w:ascii="宋体" w:hAnsi="宋体"/>
          <w:color w:val="000000"/>
          <w:highlight w:val="none"/>
        </w:rPr>
        <w:t>仲裁委员会仲裁；</w:t>
      </w:r>
    </w:p>
    <w:p w14:paraId="55A1C27A">
      <w:pPr>
        <w:keepNext w:val="0"/>
        <w:keepLines w:val="0"/>
        <w:pageBreakBefore w:val="0"/>
        <w:widowControl w:val="0"/>
        <w:shd w:val="clear" w:color="auto"/>
        <w:spacing w:line="360" w:lineRule="auto"/>
        <w:ind w:firstLine="440"/>
        <w:rPr>
          <w:rFonts w:ascii="宋体" w:hAnsi="宋体"/>
          <w:color w:val="000000"/>
          <w:highlight w:val="none"/>
        </w:rPr>
      </w:pPr>
      <w:r>
        <w:rPr>
          <w:rFonts w:hint="eastAsia" w:ascii="宋体" w:hAnsi="宋体"/>
          <w:color w:val="000000"/>
          <w:highlight w:val="none"/>
        </w:rPr>
        <w:t>2、依法向委托人所在地人民法院起诉。</w:t>
      </w:r>
    </w:p>
    <w:p w14:paraId="3464445F">
      <w:pPr>
        <w:shd w:val="clear" w:color="auto"/>
        <w:spacing w:line="360" w:lineRule="auto"/>
        <w:ind w:firstLine="408"/>
        <w:rPr>
          <w:rFonts w:ascii="宋体" w:hAnsi="宋体"/>
          <w:b/>
          <w:color w:val="000000"/>
          <w:highlight w:val="none"/>
        </w:rPr>
      </w:pPr>
      <w:r>
        <w:rPr>
          <w:rFonts w:hint="eastAsia" w:ascii="宋体" w:hAnsi="宋体"/>
          <w:b/>
          <w:color w:val="000000"/>
          <w:highlight w:val="none"/>
        </w:rPr>
        <w:t>附加协议条款：</w:t>
      </w:r>
    </w:p>
    <w:p w14:paraId="215903A2">
      <w:pPr>
        <w:shd w:val="clear" w:color="auto"/>
        <w:spacing w:line="360" w:lineRule="auto"/>
        <w:ind w:firstLine="480"/>
        <w:jc w:val="left"/>
        <w:rPr>
          <w:rFonts w:ascii="宋体" w:hAnsi="宋体"/>
          <w:color w:val="000000"/>
          <w:highlight w:val="none"/>
        </w:rPr>
      </w:pPr>
      <w:r>
        <w:rPr>
          <w:rFonts w:hint="eastAsia" w:ascii="宋体" w:hAnsi="宋体"/>
          <w:color w:val="000000"/>
          <w:highlight w:val="none"/>
        </w:rPr>
        <w:t>竣工阶段：工程竣工后，由建设单位将施工单位整理、编制的竣工结算资料提交至街道审计所，在提交前建设单位应组织人员对资料的真实性、完整性做相应复核，避免虚假资料给审计工作带来干扰，影响结算审计的效率和正确性。</w:t>
      </w:r>
    </w:p>
    <w:p w14:paraId="7F0E355F">
      <w:pPr>
        <w:shd w:val="clear" w:color="auto"/>
        <w:spacing w:line="360" w:lineRule="auto"/>
        <w:ind w:firstLine="420"/>
        <w:jc w:val="left"/>
        <w:rPr>
          <w:rFonts w:ascii="宋体" w:hAnsi="宋体"/>
          <w:color w:val="000000"/>
          <w:highlight w:val="none"/>
        </w:rPr>
      </w:pPr>
      <w:r>
        <w:rPr>
          <w:rFonts w:hint="eastAsia" w:ascii="宋体" w:hAnsi="宋体"/>
          <w:color w:val="000000"/>
          <w:highlight w:val="none"/>
        </w:rPr>
        <w:t>审计工作流程</w:t>
      </w:r>
    </w:p>
    <w:p w14:paraId="23815A07">
      <w:pPr>
        <w:keepNext w:val="0"/>
        <w:keepLines w:val="0"/>
        <w:pageBreakBefore w:val="0"/>
        <w:widowControl w:val="0"/>
        <w:shd w:val="clear" w:color="auto"/>
        <w:spacing w:line="360" w:lineRule="auto"/>
        <w:ind w:firstLine="440"/>
        <w:jc w:val="left"/>
        <w:rPr>
          <w:rFonts w:ascii="宋体" w:hAnsi="宋体"/>
          <w:color w:val="000000"/>
          <w:highlight w:val="none"/>
        </w:rPr>
      </w:pPr>
      <w:r>
        <w:rPr>
          <w:rFonts w:hint="eastAsia" w:ascii="宋体" w:hAnsi="宋体"/>
          <w:color w:val="000000"/>
          <w:highlight w:val="none"/>
        </w:rPr>
        <w:t>1、审计项目委托：凡在本方案管理范围内的建设项目，由其建设单位或负责部门准备齐资料经相关领导审批后，提交审计资料，办理相应手续。</w:t>
      </w:r>
    </w:p>
    <w:p w14:paraId="15FD90DC">
      <w:pPr>
        <w:keepNext w:val="0"/>
        <w:keepLines w:val="0"/>
        <w:pageBreakBefore w:val="0"/>
        <w:widowControl w:val="0"/>
        <w:shd w:val="clear" w:color="auto"/>
        <w:spacing w:line="360" w:lineRule="auto"/>
        <w:ind w:firstLine="440"/>
        <w:jc w:val="left"/>
        <w:rPr>
          <w:rFonts w:ascii="宋体" w:hAnsi="宋体"/>
          <w:color w:val="000000"/>
          <w:highlight w:val="none"/>
        </w:rPr>
      </w:pPr>
      <w:r>
        <w:rPr>
          <w:rFonts w:hint="eastAsia" w:ascii="宋体" w:hAnsi="宋体"/>
          <w:color w:val="000000"/>
          <w:highlight w:val="none"/>
        </w:rPr>
        <w:t>2、资料交接：收到咨询任务的咨询单位应在约定的时间内到街道审计所或其指定的部门接受任务资料，任务结束后将资料退还审计所或其指定的部门，双方交接代表签字。审计过程中，未经审计所同意，咨询单位不得把资料出借给任何单位使用或复印。</w:t>
      </w:r>
    </w:p>
    <w:p w14:paraId="00E5C4BB">
      <w:pPr>
        <w:keepNext w:val="0"/>
        <w:keepLines w:val="0"/>
        <w:pageBreakBefore w:val="0"/>
        <w:widowControl w:val="0"/>
        <w:shd w:val="clear" w:color="auto"/>
        <w:spacing w:line="360" w:lineRule="auto"/>
        <w:ind w:firstLine="440"/>
        <w:jc w:val="left"/>
        <w:rPr>
          <w:rFonts w:ascii="宋体" w:hAnsi="宋体"/>
          <w:color w:val="000000"/>
          <w:highlight w:val="none"/>
        </w:rPr>
      </w:pPr>
      <w:r>
        <w:rPr>
          <w:rFonts w:hint="eastAsia" w:ascii="宋体" w:hAnsi="宋体"/>
          <w:color w:val="000000"/>
          <w:highlight w:val="none"/>
        </w:rPr>
        <w:t>3、审计工作实施</w:t>
      </w:r>
    </w:p>
    <w:p w14:paraId="55CCBAC7">
      <w:pPr>
        <w:keepNext w:val="0"/>
        <w:keepLines w:val="0"/>
        <w:pageBreakBefore w:val="0"/>
        <w:widowControl w:val="0"/>
        <w:shd w:val="clear" w:color="auto"/>
        <w:spacing w:line="360" w:lineRule="auto"/>
        <w:ind w:firstLine="440"/>
        <w:jc w:val="left"/>
        <w:rPr>
          <w:rFonts w:ascii="宋体" w:hAnsi="宋体"/>
          <w:color w:val="000000"/>
          <w:highlight w:val="none"/>
        </w:rPr>
      </w:pPr>
      <w:r>
        <w:rPr>
          <w:rFonts w:hint="eastAsia" w:ascii="宋体" w:hAnsi="宋体"/>
          <w:color w:val="000000"/>
          <w:highlight w:val="none"/>
        </w:rPr>
        <w:t>各咨询单位应安排固定的负责人与街道审计所对接，及时汇报审计进展情况。收到审计资料后应及时检查资料的完整情况，对明显缺乏的必备资料，应在收到资料一周内向审计所提出完善资料要求。</w:t>
      </w:r>
    </w:p>
    <w:p w14:paraId="74D96A8C">
      <w:pPr>
        <w:keepNext w:val="0"/>
        <w:keepLines w:val="0"/>
        <w:pageBreakBefore w:val="0"/>
        <w:widowControl w:val="0"/>
        <w:shd w:val="clear" w:color="auto"/>
        <w:spacing w:line="360" w:lineRule="auto"/>
        <w:ind w:firstLine="440"/>
        <w:jc w:val="left"/>
        <w:rPr>
          <w:rFonts w:ascii="宋体" w:hAnsi="宋体"/>
          <w:color w:val="000000"/>
          <w:highlight w:val="none"/>
        </w:rPr>
      </w:pPr>
      <w:r>
        <w:rPr>
          <w:rFonts w:hint="eastAsia" w:ascii="宋体" w:hAnsi="宋体"/>
          <w:color w:val="000000"/>
          <w:highlight w:val="none"/>
        </w:rPr>
        <w:t>咨询单位及时开展审计工作，一般情况下送审造价100万元以下（含100万）项目，两个月内应完成审计工作，送审造价大于100万元应在三个月内完成工作。如遇特殊情况，不能按时完成审计工作的，需由咨询单位写明原由给街道审计所，经双方协商后再根据实际情况商定完成时间。审计过程中确实需要进一步完善或补充的资料，须由参建各方签署意见后报送审计所，未经审计所同意咨询单位不得接受任何单位提供的与审计所委托项目相关的资料。</w:t>
      </w:r>
    </w:p>
    <w:p w14:paraId="7B5C2C88">
      <w:pPr>
        <w:shd w:val="clear" w:color="auto"/>
        <w:spacing w:line="360" w:lineRule="auto"/>
        <w:ind w:firstLine="420"/>
        <w:jc w:val="left"/>
        <w:rPr>
          <w:rFonts w:ascii="宋体" w:hAnsi="宋体"/>
          <w:color w:val="000000"/>
          <w:highlight w:val="none"/>
        </w:rPr>
      </w:pPr>
      <w:r>
        <w:rPr>
          <w:rFonts w:hint="eastAsia" w:ascii="宋体" w:hAnsi="宋体"/>
          <w:color w:val="000000"/>
          <w:highlight w:val="none"/>
        </w:rPr>
        <w:t>4、对于复审的项目</w:t>
      </w:r>
    </w:p>
    <w:p w14:paraId="60732FAF">
      <w:pPr>
        <w:shd w:val="clear" w:color="auto"/>
        <w:spacing w:line="360" w:lineRule="auto"/>
        <w:ind w:firstLine="420"/>
        <w:jc w:val="left"/>
        <w:rPr>
          <w:rFonts w:ascii="宋体" w:hAnsi="宋体"/>
          <w:color w:val="000000"/>
          <w:highlight w:val="none"/>
        </w:rPr>
      </w:pPr>
      <w:r>
        <w:rPr>
          <w:rFonts w:hint="eastAsia" w:ascii="宋体" w:hAnsi="宋体"/>
          <w:color w:val="000000"/>
          <w:highlight w:val="none"/>
        </w:rPr>
        <w:t>咨询单位应严格执行复核制度，确保审计质量。审计所有权再委托其它咨询单位复审，如因初审单位原因导致某项目复审核减率超过3%时，初审咨询单位审计费减半，如超过5%时初审咨询单位审计费全免。</w:t>
      </w:r>
    </w:p>
    <w:p w14:paraId="4AC33C65">
      <w:pPr>
        <w:shd w:val="clear" w:color="auto"/>
        <w:spacing w:line="360" w:lineRule="auto"/>
        <w:ind w:firstLine="420"/>
        <w:jc w:val="left"/>
        <w:rPr>
          <w:rFonts w:ascii="宋体" w:hAnsi="宋体"/>
          <w:color w:val="000000"/>
          <w:highlight w:val="none"/>
        </w:rPr>
      </w:pPr>
      <w:r>
        <w:rPr>
          <w:rFonts w:hint="eastAsia" w:ascii="宋体" w:hAnsi="宋体"/>
          <w:color w:val="000000"/>
          <w:highlight w:val="none"/>
        </w:rPr>
        <w:t>保密要求</w:t>
      </w:r>
    </w:p>
    <w:p w14:paraId="19BB9872">
      <w:pPr>
        <w:shd w:val="clear" w:color="auto"/>
        <w:spacing w:line="360" w:lineRule="auto"/>
        <w:ind w:firstLine="420"/>
        <w:jc w:val="left"/>
        <w:rPr>
          <w:rFonts w:ascii="宋体" w:hAnsi="宋体"/>
          <w:color w:val="000000"/>
          <w:highlight w:val="none"/>
        </w:rPr>
      </w:pPr>
      <w:r>
        <w:rPr>
          <w:rFonts w:hint="eastAsia" w:ascii="宋体" w:hAnsi="宋体"/>
          <w:color w:val="000000"/>
          <w:highlight w:val="none"/>
        </w:rPr>
        <w:t>咨询单位应学习了解有关保密规章制度，在参与江宁区湖熟街道办事处组织实施的政府投资工程项目竣工决算（结算）审计等项目全过程中，以及项目结束后的一年脱密期内，认真遵守国家保密法律、法规和规章制度；认真遵守保密规章制度，履行保密义务，自愿接受保密审查；不违规记录、存储、复制国家秘密、工作秘密、商业秘密信息，不违规留存国家秘密、工作秘密、商业秘密载体；不以任何方式泄露（含本人家属）所接触和知悉的国家秘密、工作秘密、商业秘密，未经街道批准，不擅自发表涉及未公开的与项目内容有关的文章、著述，不擅自接受媒体采访。</w:t>
      </w:r>
    </w:p>
    <w:p w14:paraId="62B2CAB5">
      <w:pPr>
        <w:shd w:val="clear" w:color="auto"/>
        <w:spacing w:line="360" w:lineRule="auto"/>
        <w:ind w:firstLine="420"/>
        <w:jc w:val="left"/>
        <w:rPr>
          <w:rFonts w:ascii="宋体" w:hAnsi="宋体"/>
          <w:color w:val="000000"/>
          <w:highlight w:val="none"/>
        </w:rPr>
      </w:pPr>
      <w:r>
        <w:rPr>
          <w:rFonts w:hint="eastAsia" w:ascii="宋体" w:hAnsi="宋体"/>
          <w:color w:val="000000"/>
          <w:highlight w:val="none"/>
        </w:rPr>
        <w:t>如违反上述承诺，咨询单位无条件接受江宁区湖熟街道办事处解除外聘合同约定，造成被审计单位或者个人的合法权益受到损害的，依法承担赔偿责任；构成犯罪的，依法承担刑事责任。</w:t>
      </w:r>
    </w:p>
    <w:p w14:paraId="722A1192">
      <w:pPr>
        <w:shd w:val="clear" w:color="auto"/>
        <w:spacing w:line="360" w:lineRule="auto"/>
        <w:rPr>
          <w:rFonts w:eastAsia="宋体"/>
          <w:b/>
          <w:color w:val="000000"/>
          <w:sz w:val="30"/>
          <w:highlight w:val="none"/>
        </w:rPr>
      </w:pPr>
      <w:r>
        <w:rPr>
          <w:rFonts w:hint="eastAsia" w:ascii="黑体" w:hAnsi="宋体" w:eastAsia="黑体"/>
          <w:b/>
          <w:color w:val="000000"/>
          <w:sz w:val="28"/>
          <w:szCs w:val="28"/>
          <w:highlight w:val="none"/>
        </w:rPr>
        <w:br w:type="page" w:clear="all"/>
      </w:r>
      <w:r>
        <w:rPr>
          <w:rFonts w:hint="eastAsia" w:ascii="宋体" w:hAnsi="宋体" w:cs="宋体"/>
          <w:color w:val="000000"/>
          <w:highlight w:val="none"/>
        </w:rPr>
        <w:t>附件：</w:t>
      </w:r>
    </w:p>
    <w:p w14:paraId="53B9BA25">
      <w:pPr>
        <w:pBdr>
          <w:top w:val="none" w:color="000000" w:sz="0" w:space="0"/>
          <w:left w:val="none" w:color="000000" w:sz="0" w:space="0"/>
          <w:bottom w:val="none" w:color="000000" w:sz="0" w:space="0"/>
          <w:right w:val="none" w:color="000000" w:sz="0" w:space="0"/>
        </w:pBdr>
        <w:shd w:val="clear" w:color="auto"/>
        <w:ind w:right="741"/>
        <w:rPr>
          <w:rFonts w:eastAsia="宋体"/>
          <w:b/>
          <w:color w:val="000000"/>
          <w:sz w:val="30"/>
          <w:highlight w:val="none"/>
        </w:rPr>
      </w:pPr>
    </w:p>
    <w:p w14:paraId="3B6A9959">
      <w:pPr>
        <w:pBdr>
          <w:top w:val="none" w:color="000000" w:sz="0" w:space="0"/>
          <w:left w:val="none" w:color="000000" w:sz="0" w:space="0"/>
          <w:bottom w:val="none" w:color="000000" w:sz="0" w:space="0"/>
          <w:right w:val="none" w:color="000000" w:sz="0" w:space="0"/>
        </w:pBdr>
        <w:shd w:val="clear" w:color="auto"/>
        <w:ind w:firstLine="562"/>
        <w:jc w:val="center"/>
        <w:rPr>
          <w:color w:val="000000"/>
          <w:highlight w:val="none"/>
        </w:rPr>
      </w:pPr>
      <w:r>
        <w:rPr>
          <w:rFonts w:ascii="宋体" w:hAnsi="宋体" w:cs="宋体"/>
          <w:b/>
          <w:color w:val="000000"/>
          <w:sz w:val="28"/>
          <w:highlight w:val="none"/>
        </w:rPr>
        <w:t>社会中介服务机构及人员保密承诺书</w:t>
      </w:r>
    </w:p>
    <w:p w14:paraId="73D983DC">
      <w:pPr>
        <w:pBdr>
          <w:top w:val="none" w:color="000000" w:sz="0" w:space="0"/>
          <w:left w:val="none" w:color="000000" w:sz="0" w:space="0"/>
          <w:bottom w:val="none" w:color="000000" w:sz="0" w:space="0"/>
          <w:right w:val="none" w:color="000000" w:sz="0" w:space="0"/>
        </w:pBdr>
        <w:shd w:val="clear" w:color="auto"/>
        <w:spacing w:line="360" w:lineRule="auto"/>
        <w:ind w:firstLine="480"/>
        <w:rPr>
          <w:color w:val="000000"/>
          <w:highlight w:val="none"/>
        </w:rPr>
      </w:pPr>
      <w:r>
        <w:rPr>
          <w:rFonts w:ascii="宋体" w:hAnsi="宋体" w:cs="宋体"/>
          <w:color w:val="000000"/>
          <w:sz w:val="24"/>
          <w:highlight w:val="none"/>
        </w:rPr>
        <w:t>审计项目名称：</w:t>
      </w:r>
      <w:r>
        <w:rPr>
          <w:rFonts w:ascii="宋体" w:hAnsi="宋体" w:cs="宋体"/>
          <w:color w:val="000000"/>
          <w:sz w:val="24"/>
          <w:highlight w:val="none"/>
          <w:u w:val="single"/>
        </w:rPr>
        <w:t xml:space="preserve">         </w:t>
      </w:r>
    </w:p>
    <w:p w14:paraId="2D81605E">
      <w:pPr>
        <w:pBdr>
          <w:top w:val="none" w:color="000000" w:sz="0" w:space="0"/>
          <w:left w:val="none" w:color="000000" w:sz="0" w:space="0"/>
          <w:bottom w:val="none" w:color="000000" w:sz="0" w:space="0"/>
          <w:right w:val="none" w:color="000000" w:sz="0" w:space="0"/>
        </w:pBdr>
        <w:shd w:val="clear" w:color="auto"/>
        <w:spacing w:line="360" w:lineRule="auto"/>
        <w:ind w:firstLine="960"/>
        <w:rPr>
          <w:color w:val="000000"/>
          <w:highlight w:val="none"/>
        </w:rPr>
      </w:pPr>
      <w:r>
        <w:rPr>
          <w:rFonts w:ascii="宋体" w:hAnsi="宋体" w:cs="宋体"/>
          <w:color w:val="000000"/>
          <w:sz w:val="24"/>
          <w:highlight w:val="none"/>
        </w:rPr>
        <w:t>本单位及参与人员了解有关保密法规制度和</w:t>
      </w:r>
      <w:r>
        <w:rPr>
          <w:rFonts w:hint="eastAsia" w:ascii="宋体" w:hAnsi="宋体" w:eastAsia="宋体" w:cs="宋体"/>
          <w:color w:val="000000"/>
          <w:sz w:val="24"/>
          <w:highlight w:val="none"/>
        </w:rPr>
        <w:t>本</w:t>
      </w:r>
      <w:r>
        <w:rPr>
          <w:rFonts w:ascii="宋体" w:hAnsi="宋体" w:cs="宋体"/>
          <w:color w:val="000000"/>
          <w:sz w:val="24"/>
          <w:highlight w:val="none"/>
        </w:rPr>
        <w:t>街道的保密规章制度，在参加项目审计、审核和调查全过程中以及项目结束后的脱密期内，知悉应当承担的保密义务和法律责任。本单位庄重承诺并自愿签订本承诺书：</w:t>
      </w:r>
    </w:p>
    <w:p w14:paraId="1C139FD4">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一、认真遵守国家保密法律、法规和规章制度，认真遵守保密规章制度，履行保密义务；</w:t>
      </w:r>
    </w:p>
    <w:p w14:paraId="2A45ACCB">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二、不提供虚假个人信息，自愿接受保密审查；</w:t>
      </w:r>
    </w:p>
    <w:p w14:paraId="73339048">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三、不违规记录、存储、复制国家秘密、工作秘密、商业秘密信息，不违规留存国家秘密、工作秘密、商业秘密载体；</w:t>
      </w:r>
    </w:p>
    <w:p w14:paraId="6D8160C1">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四、不以任何方式泄露（含本人家属）所接触和知悉的国家秘密、工作秘密、商业秘密；</w:t>
      </w:r>
    </w:p>
    <w:p w14:paraId="78CA7FF4">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五、未经</w:t>
      </w:r>
      <w:r>
        <w:rPr>
          <w:rFonts w:hint="eastAsia" w:ascii="宋体" w:hAnsi="宋体" w:cs="宋体"/>
          <w:color w:val="000000"/>
          <w:sz w:val="24"/>
          <w:highlight w:val="none"/>
        </w:rPr>
        <w:t>本</w:t>
      </w:r>
      <w:r>
        <w:rPr>
          <w:rFonts w:ascii="宋体" w:hAnsi="宋体" w:cs="宋体"/>
          <w:color w:val="000000"/>
          <w:sz w:val="24"/>
          <w:highlight w:val="none"/>
        </w:rPr>
        <w:t>街道批准，不擅自发表涉及未公开的与项目内容有关的文章、著述，不擅自接受媒体采访。</w:t>
      </w:r>
    </w:p>
    <w:p w14:paraId="1F50BE0A">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六、本单位对参与该项目审计工作的人员尽到教育管理的义务。</w:t>
      </w:r>
    </w:p>
    <w:p w14:paraId="13717846">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ascii="宋体" w:hAnsi="宋体" w:cs="宋体"/>
          <w:color w:val="000000"/>
          <w:sz w:val="24"/>
          <w:highlight w:val="none"/>
        </w:rPr>
        <w:t>违反上述承诺，本单位及参与人员无条件接受</w:t>
      </w:r>
      <w:r>
        <w:rPr>
          <w:rFonts w:hint="eastAsia" w:ascii="宋体" w:hAnsi="宋体" w:cs="宋体"/>
          <w:color w:val="000000"/>
          <w:sz w:val="24"/>
          <w:highlight w:val="none"/>
        </w:rPr>
        <w:t>本</w:t>
      </w:r>
      <w:r>
        <w:rPr>
          <w:rFonts w:ascii="宋体" w:hAnsi="宋体" w:cs="宋体"/>
          <w:color w:val="000000"/>
          <w:sz w:val="24"/>
          <w:highlight w:val="none"/>
        </w:rPr>
        <w:t>街道的处理，造成被审计单位或者个人的合法权益受到损害的，依法承担赔偿责任；构成犯罪的，依法承担刑事责任。</w:t>
      </w:r>
    </w:p>
    <w:p w14:paraId="396B868E">
      <w:pPr>
        <w:pBdr>
          <w:top w:val="none" w:color="000000" w:sz="0" w:space="0"/>
          <w:left w:val="none" w:color="000000" w:sz="0" w:space="0"/>
          <w:bottom w:val="none" w:color="000000" w:sz="0" w:space="0"/>
          <w:right w:val="none" w:color="000000" w:sz="0" w:space="0"/>
        </w:pBdr>
        <w:shd w:val="clear" w:color="auto"/>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七、派出的审计人员满足造价咨询工作要求，且具有同类项目的审计经验；保证审计人员在本项目服务过程中的完整性和连续性，未经委托人确认，不得更换人员。对无法胜任工作的人员，委托人有权要求更换。</w:t>
      </w:r>
    </w:p>
    <w:p w14:paraId="0B47C014">
      <w:pPr>
        <w:pBdr>
          <w:top w:val="none" w:color="000000" w:sz="0" w:space="0"/>
          <w:left w:val="none" w:color="000000" w:sz="0" w:space="0"/>
          <w:bottom w:val="none" w:color="000000" w:sz="0" w:space="0"/>
          <w:right w:val="none" w:color="000000" w:sz="0" w:space="0"/>
        </w:pBdr>
        <w:shd w:val="clear" w:color="auto"/>
        <w:spacing w:line="360" w:lineRule="auto"/>
        <w:ind w:firstLine="480"/>
        <w:rPr>
          <w:color w:val="000000"/>
          <w:highlight w:val="none"/>
        </w:rPr>
      </w:pPr>
      <w:r>
        <w:rPr>
          <w:rFonts w:ascii="宋体" w:hAnsi="宋体" w:cs="宋体"/>
          <w:color w:val="000000"/>
          <w:sz w:val="24"/>
          <w:highlight w:val="none"/>
        </w:rPr>
        <w:t> </w:t>
      </w:r>
    </w:p>
    <w:p w14:paraId="596E69B6">
      <w:pPr>
        <w:pBdr>
          <w:top w:val="none" w:color="000000" w:sz="0" w:space="0"/>
          <w:left w:val="none" w:color="000000" w:sz="0" w:space="0"/>
          <w:bottom w:val="none" w:color="000000" w:sz="0" w:space="0"/>
          <w:right w:val="none" w:color="000000" w:sz="0" w:space="0"/>
        </w:pBdr>
        <w:shd w:val="clear" w:color="auto"/>
        <w:spacing w:line="360" w:lineRule="auto"/>
        <w:ind w:firstLine="480"/>
        <w:rPr>
          <w:color w:val="000000"/>
          <w:highlight w:val="none"/>
        </w:rPr>
      </w:pPr>
      <w:r>
        <w:rPr>
          <w:rFonts w:ascii="宋体" w:hAnsi="宋体" w:cs="宋体"/>
          <w:color w:val="000000"/>
          <w:sz w:val="24"/>
          <w:highlight w:val="none"/>
        </w:rPr>
        <w:t>社会中介服务机构签章：                  法定代表人签字：</w:t>
      </w:r>
    </w:p>
    <w:p w14:paraId="0A100B28">
      <w:pPr>
        <w:pBdr>
          <w:top w:val="none" w:color="000000" w:sz="0" w:space="0"/>
          <w:left w:val="none" w:color="000000" w:sz="0" w:space="0"/>
          <w:bottom w:val="none" w:color="000000" w:sz="0" w:space="0"/>
          <w:right w:val="none" w:color="000000" w:sz="0" w:space="0"/>
        </w:pBdr>
        <w:shd w:val="clear" w:color="auto"/>
        <w:spacing w:line="360" w:lineRule="auto"/>
        <w:ind w:firstLine="480"/>
        <w:rPr>
          <w:color w:val="000000"/>
          <w:highlight w:val="none"/>
        </w:rPr>
      </w:pPr>
      <w:r>
        <w:rPr>
          <w:rFonts w:ascii="宋体" w:hAnsi="宋体" w:cs="宋体"/>
          <w:color w:val="000000"/>
          <w:sz w:val="24"/>
          <w:highlight w:val="none"/>
        </w:rPr>
        <w:t> </w:t>
      </w:r>
    </w:p>
    <w:p w14:paraId="10E33C49">
      <w:pPr>
        <w:pBdr>
          <w:top w:val="none" w:color="000000" w:sz="0" w:space="0"/>
          <w:left w:val="none" w:color="000000" w:sz="0" w:space="0"/>
          <w:bottom w:val="none" w:color="000000" w:sz="0" w:space="0"/>
          <w:right w:val="none" w:color="000000" w:sz="0" w:space="0"/>
        </w:pBdr>
        <w:shd w:val="clear" w:color="auto"/>
        <w:spacing w:line="360" w:lineRule="auto"/>
        <w:ind w:firstLine="5280"/>
        <w:rPr>
          <w:color w:val="000000"/>
          <w:highlight w:val="none"/>
        </w:rPr>
      </w:pPr>
      <w:r>
        <w:rPr>
          <w:rFonts w:ascii="宋体" w:hAnsi="宋体" w:cs="宋体"/>
          <w:color w:val="000000"/>
          <w:sz w:val="24"/>
          <w:highlight w:val="none"/>
        </w:rPr>
        <w:t>参与审计工作人员签字：</w:t>
      </w:r>
    </w:p>
    <w:p w14:paraId="1AAF98AD">
      <w:pPr>
        <w:pBdr>
          <w:top w:val="none" w:color="000000" w:sz="0" w:space="0"/>
          <w:left w:val="none" w:color="000000" w:sz="0" w:space="0"/>
          <w:bottom w:val="none" w:color="000000" w:sz="0" w:space="0"/>
          <w:right w:val="none" w:color="000000" w:sz="0" w:space="0"/>
        </w:pBdr>
        <w:shd w:val="clear" w:color="auto"/>
        <w:spacing w:line="360" w:lineRule="auto"/>
        <w:ind w:firstLine="480"/>
        <w:rPr>
          <w:color w:val="000000"/>
          <w:highlight w:val="none"/>
        </w:rPr>
      </w:pPr>
      <w:r>
        <w:rPr>
          <w:rFonts w:ascii="宋体" w:hAnsi="宋体" w:cs="宋体"/>
          <w:color w:val="000000"/>
          <w:sz w:val="24"/>
          <w:highlight w:val="none"/>
        </w:rPr>
        <w:t> </w:t>
      </w:r>
    </w:p>
    <w:p w14:paraId="04DF6DD0">
      <w:pPr>
        <w:widowControl/>
        <w:shd w:val="clear" w:color="auto"/>
        <w:spacing w:line="360" w:lineRule="auto"/>
        <w:jc w:val="center"/>
        <w:rPr>
          <w:rFonts w:ascii="Arial" w:hAnsi="Arial" w:cs="Arial"/>
          <w:sz w:val="20"/>
          <w:szCs w:val="20"/>
          <w:highlight w:val="none"/>
        </w:rPr>
      </w:pPr>
      <w:r>
        <w:rPr>
          <w:rFonts w:ascii="宋体" w:hAnsi="宋体" w:cs="宋体"/>
          <w:color w:val="000000"/>
          <w:sz w:val="24"/>
          <w:highlight w:val="none"/>
        </w:rPr>
        <w:t>年   月   日</w:t>
      </w:r>
    </w:p>
    <w:p w14:paraId="631200C2">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72A2A5BA">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106AC317">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4A0F78D3">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p>
    <w:p w14:paraId="44422146">
      <w:pPr>
        <w:spacing w:before="58"/>
        <w:ind w:right="9"/>
        <w:jc w:val="center"/>
        <w:outlineLvl w:val="0"/>
        <w:rPr>
          <w:rFonts w:hint="eastAsia" w:ascii="华文仿宋" w:hAnsi="华文仿宋" w:eastAsia="华文仿宋" w:cs="仿宋"/>
          <w:b/>
          <w:color w:val="000000" w:themeColor="text1"/>
          <w:sz w:val="30"/>
          <w:highlight w:val="none"/>
          <w14:textFill>
            <w14:solidFill>
              <w14:schemeClr w14:val="tx1"/>
            </w14:solidFill>
          </w14:textFill>
        </w:rPr>
      </w:pPr>
      <w:r>
        <w:rPr>
          <w:rFonts w:hint="eastAsia" w:ascii="华文仿宋" w:hAnsi="华文仿宋" w:eastAsia="华文仿宋" w:cs="仿宋"/>
          <w:b/>
          <w:color w:val="000000" w:themeColor="text1"/>
          <w:sz w:val="30"/>
          <w:highlight w:val="none"/>
          <w14:textFill>
            <w14:solidFill>
              <w14:schemeClr w14:val="tx1"/>
            </w14:solidFill>
          </w14:textFill>
        </w:rPr>
        <w:t>第六章、竞争性磋商文件格式及附件</w:t>
      </w:r>
      <w:bookmarkEnd w:id="61"/>
    </w:p>
    <w:p w14:paraId="44623534">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5848663">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D25352A">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CF88ACE">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2F95EA2">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541804F0">
      <w:pPr>
        <w:pStyle w:val="6"/>
        <w:rPr>
          <w:rFonts w:hint="eastAsia" w:ascii="华文仿宋" w:hAnsi="华文仿宋" w:eastAsia="华文仿宋" w:cs="仿宋"/>
          <w:b/>
          <w:color w:val="000000" w:themeColor="text1"/>
          <w:sz w:val="30"/>
          <w:highlight w:val="none"/>
          <w14:textFill>
            <w14:solidFill>
              <w14:schemeClr w14:val="tx1"/>
            </w14:solidFill>
          </w14:textFill>
        </w:rPr>
      </w:pPr>
    </w:p>
    <w:p w14:paraId="0EEA1452">
      <w:pPr>
        <w:pStyle w:val="6"/>
        <w:spacing w:before="4"/>
        <w:rPr>
          <w:rFonts w:hint="eastAsia" w:ascii="华文仿宋" w:hAnsi="华文仿宋" w:eastAsia="华文仿宋" w:cs="仿宋"/>
          <w:b/>
          <w:color w:val="000000" w:themeColor="text1"/>
          <w:sz w:val="39"/>
          <w:highlight w:val="none"/>
          <w14:textFill>
            <w14:solidFill>
              <w14:schemeClr w14:val="tx1"/>
            </w14:solidFill>
          </w14:textFill>
        </w:rPr>
      </w:pPr>
    </w:p>
    <w:p w14:paraId="7566D2CE">
      <w:pPr>
        <w:ind w:right="4"/>
        <w:jc w:val="center"/>
        <w:rPr>
          <w:rFonts w:hint="eastAsia" w:ascii="华文仿宋" w:hAnsi="华文仿宋" w:eastAsia="华文仿宋" w:cs="仿宋"/>
          <w:b/>
          <w:color w:val="000000" w:themeColor="text1"/>
          <w:sz w:val="72"/>
          <w:highlight w:val="none"/>
          <w14:textFill>
            <w14:solidFill>
              <w14:schemeClr w14:val="tx1"/>
            </w14:solidFill>
          </w14:textFill>
        </w:rPr>
      </w:pPr>
      <w:r>
        <w:rPr>
          <w:rFonts w:hint="eastAsia" w:ascii="华文仿宋" w:hAnsi="华文仿宋" w:eastAsia="华文仿宋" w:cs="仿宋"/>
          <w:b/>
          <w:color w:val="000000" w:themeColor="text1"/>
          <w:sz w:val="72"/>
          <w:highlight w:val="none"/>
          <w14:textFill>
            <w14:solidFill>
              <w14:schemeClr w14:val="tx1"/>
            </w14:solidFill>
          </w14:textFill>
        </w:rPr>
        <w:t>竞争性磋商响应文件</w:t>
      </w:r>
    </w:p>
    <w:p w14:paraId="3B8F83D6">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18015ECD">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6C0BA7FE">
      <w:pPr>
        <w:pStyle w:val="6"/>
        <w:rPr>
          <w:rFonts w:hint="eastAsia" w:ascii="华文仿宋" w:hAnsi="华文仿宋" w:eastAsia="华文仿宋" w:cs="仿宋"/>
          <w:b/>
          <w:color w:val="000000" w:themeColor="text1"/>
          <w:sz w:val="72"/>
          <w:highlight w:val="none"/>
          <w14:textFill>
            <w14:solidFill>
              <w14:schemeClr w14:val="tx1"/>
            </w14:solidFill>
          </w14:textFill>
        </w:rPr>
      </w:pPr>
    </w:p>
    <w:p w14:paraId="7F0B5627">
      <w:pPr>
        <w:spacing w:before="505" w:line="364" w:lineRule="auto"/>
        <w:ind w:left="1823" w:right="6788"/>
        <w:jc w:val="both"/>
        <w:rPr>
          <w:rFonts w:hint="eastAsia" w:ascii="华文仿宋" w:hAnsi="华文仿宋" w:eastAsia="华文仿宋" w:cs="仿宋"/>
          <w:b/>
          <w:color w:val="000000" w:themeColor="text1"/>
          <w:spacing w:val="-2"/>
          <w:sz w:val="36"/>
          <w:highlight w:val="none"/>
          <w14:textFill>
            <w14:solidFill>
              <w14:schemeClr w14:val="tx1"/>
            </w14:solidFill>
          </w14:textFill>
        </w:rPr>
      </w:pPr>
      <w:r>
        <w:rPr>
          <w:rFonts w:hint="eastAsia" w:ascii="华文仿宋" w:hAnsi="华文仿宋" w:eastAsia="华文仿宋" w:cs="仿宋"/>
          <w:b/>
          <w:color w:val="000000" w:themeColor="text1"/>
          <w:spacing w:val="-3"/>
          <w:sz w:val="36"/>
          <w:highlight w:val="none"/>
          <w14:textFill>
            <w14:solidFill>
              <w14:schemeClr w14:val="tx1"/>
            </w14:solidFill>
          </w14:textFill>
        </w:rPr>
        <w:t xml:space="preserve">项 目 编 号： 项 目 名 称： </w:t>
      </w:r>
      <w:r>
        <w:rPr>
          <w:rFonts w:hint="eastAsia" w:ascii="华文仿宋" w:hAnsi="华文仿宋" w:eastAsia="华文仿宋" w:cs="仿宋"/>
          <w:b/>
          <w:color w:val="000000" w:themeColor="text1"/>
          <w:spacing w:val="-2"/>
          <w:sz w:val="36"/>
          <w:highlight w:val="none"/>
          <w14:textFill>
            <w14:solidFill>
              <w14:schemeClr w14:val="tx1"/>
            </w14:solidFill>
          </w14:textFill>
        </w:rPr>
        <w:t xml:space="preserve">供 应 商 ： </w:t>
      </w:r>
    </w:p>
    <w:p w14:paraId="34613C44">
      <w:pPr>
        <w:spacing w:before="505" w:line="364" w:lineRule="auto"/>
        <w:ind w:left="1823" w:right="6788"/>
        <w:jc w:val="both"/>
        <w:rPr>
          <w:rFonts w:hint="eastAsia" w:ascii="华文仿宋" w:hAnsi="华文仿宋" w:eastAsia="华文仿宋" w:cs="仿宋"/>
          <w:b/>
          <w:color w:val="000000" w:themeColor="text1"/>
          <w:sz w:val="36"/>
          <w:highlight w:val="none"/>
          <w14:textFill>
            <w14:solidFill>
              <w14:schemeClr w14:val="tx1"/>
            </w14:solidFill>
          </w14:textFill>
        </w:rPr>
      </w:pPr>
      <w:r>
        <w:rPr>
          <w:rFonts w:hint="eastAsia" w:ascii="华文仿宋" w:hAnsi="华文仿宋" w:eastAsia="华文仿宋" w:cs="仿宋"/>
          <w:b/>
          <w:color w:val="000000" w:themeColor="text1"/>
          <w:spacing w:val="-4"/>
          <w:sz w:val="36"/>
          <w:highlight w:val="none"/>
          <w14:textFill>
            <w14:solidFill>
              <w14:schemeClr w14:val="tx1"/>
            </w14:solidFill>
          </w14:textFill>
        </w:rPr>
        <w:t>日 期 ：</w:t>
      </w:r>
    </w:p>
    <w:p w14:paraId="14A41D12">
      <w:pPr>
        <w:spacing w:line="364" w:lineRule="auto"/>
        <w:jc w:val="both"/>
        <w:rPr>
          <w:rFonts w:hint="eastAsia" w:ascii="华文仿宋" w:hAnsi="华文仿宋" w:eastAsia="华文仿宋" w:cs="仿宋"/>
          <w:color w:val="000000" w:themeColor="text1"/>
          <w:sz w:val="36"/>
          <w:highlight w:val="none"/>
          <w14:textFill>
            <w14:solidFill>
              <w14:schemeClr w14:val="tx1"/>
            </w14:solidFill>
          </w14:textFill>
        </w:rPr>
        <w:sectPr>
          <w:headerReference r:id="rId5" w:type="default"/>
          <w:footerReference r:id="rId6" w:type="default"/>
          <w:pgSz w:w="11910" w:h="16840"/>
          <w:pgMar w:top="1340" w:right="380" w:bottom="1380" w:left="560" w:header="878" w:footer="1196" w:gutter="0"/>
          <w:cols w:space="720" w:num="1"/>
        </w:sectPr>
      </w:pPr>
    </w:p>
    <w:p w14:paraId="25BD97A2">
      <w:pPr>
        <w:spacing w:before="66"/>
        <w:ind w:right="9"/>
        <w:jc w:val="center"/>
        <w:rPr>
          <w:rFonts w:hint="eastAsia" w:ascii="华文仿宋" w:hAnsi="华文仿宋" w:eastAsia="华文仿宋" w:cs="仿宋"/>
          <w:b/>
          <w:color w:val="000000" w:themeColor="text1"/>
          <w:sz w:val="30"/>
          <w:highlight w:val="none"/>
          <w14:textFill>
            <w14:solidFill>
              <w14:schemeClr w14:val="tx1"/>
            </w14:solidFill>
          </w14:textFill>
        </w:rPr>
      </w:pPr>
      <w:bookmarkStart w:id="62" w:name="一、磋商申请及声明"/>
      <w:bookmarkEnd w:id="62"/>
      <w:r>
        <w:rPr>
          <w:rFonts w:hint="eastAsia" w:ascii="华文仿宋" w:hAnsi="华文仿宋" w:eastAsia="华文仿宋" w:cs="仿宋"/>
          <w:b/>
          <w:color w:val="000000" w:themeColor="text1"/>
          <w:sz w:val="30"/>
          <w:highlight w:val="none"/>
          <w14:textFill>
            <w14:solidFill>
              <w14:schemeClr w14:val="tx1"/>
            </w14:solidFill>
          </w14:textFill>
        </w:rPr>
        <w:t>评分索引表</w:t>
      </w:r>
    </w:p>
    <w:tbl>
      <w:tblPr>
        <w:tblStyle w:val="13"/>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0EF87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C6978E">
            <w:pPr>
              <w:pStyle w:val="20"/>
              <w:spacing w:before="2" w:line="250" w:lineRule="exact"/>
              <w:ind w:left="2394" w:right="2385"/>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评分项目</w:t>
            </w:r>
          </w:p>
        </w:tc>
        <w:tc>
          <w:tcPr>
            <w:tcW w:w="3570" w:type="dxa"/>
          </w:tcPr>
          <w:p w14:paraId="574235F9">
            <w:pPr>
              <w:pStyle w:val="20"/>
              <w:spacing w:before="2" w:line="250" w:lineRule="exact"/>
              <w:ind w:left="62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在投标文件中的页码位置</w:t>
            </w:r>
          </w:p>
        </w:tc>
      </w:tr>
      <w:tr w14:paraId="2172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2190C48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43B18366">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90B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5E966D54">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BF09C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50BB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E191BB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60E8598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1080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BE5CD2D">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01D6BC0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D23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BCCB03C">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5572F5B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7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97321D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9E4A049">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0CEC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7145CA5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570" w:type="dxa"/>
          </w:tcPr>
          <w:p w14:paraId="2B7693E3">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2A63E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27C00149">
            <w:pPr>
              <w:pStyle w:val="20"/>
              <w:spacing w:line="252" w:lineRule="exact"/>
              <w:ind w:left="106"/>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570" w:type="dxa"/>
          </w:tcPr>
          <w:p w14:paraId="278E14A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4B5AE8F0">
      <w:pPr>
        <w:pStyle w:val="6"/>
        <w:spacing w:before="8"/>
        <w:rPr>
          <w:rFonts w:hint="eastAsia" w:ascii="华文仿宋" w:hAnsi="华文仿宋" w:eastAsia="华文仿宋" w:cs="仿宋"/>
          <w:b/>
          <w:color w:val="000000" w:themeColor="text1"/>
          <w:sz w:val="28"/>
          <w:highlight w:val="none"/>
          <w14:textFill>
            <w14:solidFill>
              <w14:schemeClr w14:val="tx1"/>
            </w14:solidFill>
          </w14:textFill>
        </w:rPr>
      </w:pPr>
    </w:p>
    <w:p w14:paraId="07F52D6B">
      <w:pPr>
        <w:spacing w:line="242" w:lineRule="auto"/>
        <w:ind w:left="743" w:right="752"/>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pacing w:val="-10"/>
          <w:w w:val="95"/>
          <w:sz w:val="28"/>
          <w:highlight w:val="none"/>
          <w14:textFill>
            <w14:solidFill>
              <w14:schemeClr w14:val="tx1"/>
            </w14:solidFill>
          </w14:textFill>
        </w:rPr>
        <w:t>注：建议投标供应商为《</w:t>
      </w:r>
      <w:r>
        <w:rPr>
          <w:rFonts w:hint="eastAsia" w:ascii="华文仿宋" w:hAnsi="华文仿宋" w:eastAsia="华文仿宋" w:cs="仿宋"/>
          <w:b/>
          <w:color w:val="000000" w:themeColor="text1"/>
          <w:spacing w:val="-10"/>
          <w:w w:val="95"/>
          <w:sz w:val="28"/>
          <w:highlight w:val="none"/>
          <w:lang w:val="en-US"/>
          <w14:textFill>
            <w14:solidFill>
              <w14:schemeClr w14:val="tx1"/>
            </w14:solidFill>
          </w14:textFill>
        </w:rPr>
        <w:t>竞争性磋商响应文件</w:t>
      </w:r>
      <w:r>
        <w:rPr>
          <w:rFonts w:hint="eastAsia" w:ascii="华文仿宋" w:hAnsi="华文仿宋" w:eastAsia="华文仿宋" w:cs="仿宋"/>
          <w:b/>
          <w:color w:val="000000" w:themeColor="text1"/>
          <w:spacing w:val="-10"/>
          <w:w w:val="95"/>
          <w:sz w:val="28"/>
          <w:highlight w:val="none"/>
          <w14:textFill>
            <w14:solidFill>
              <w14:schemeClr w14:val="tx1"/>
            </w14:solidFill>
          </w14:textFill>
        </w:rPr>
        <w:t xml:space="preserve">》制作详细目录，并将该《评分索引表》放在  </w:t>
      </w:r>
      <w:r>
        <w:rPr>
          <w:rFonts w:hint="eastAsia" w:ascii="华文仿宋" w:hAnsi="华文仿宋" w:eastAsia="华文仿宋" w:cs="仿宋"/>
          <w:b/>
          <w:color w:val="000000" w:themeColor="text1"/>
          <w:spacing w:val="-10"/>
          <w:sz w:val="28"/>
          <w:highlight w:val="none"/>
          <w14:textFill>
            <w14:solidFill>
              <w14:schemeClr w14:val="tx1"/>
            </w14:solidFill>
          </w14:textFill>
        </w:rPr>
        <w:t>投标书目录之前。</w:t>
      </w:r>
    </w:p>
    <w:p w14:paraId="188F7B67">
      <w:pPr>
        <w:spacing w:line="242" w:lineRule="auto"/>
        <w:rPr>
          <w:rFonts w:hint="eastAsia" w:ascii="华文仿宋" w:hAnsi="华文仿宋" w:eastAsia="华文仿宋" w:cs="仿宋"/>
          <w:color w:val="000000" w:themeColor="text1"/>
          <w:sz w:val="28"/>
          <w:highlight w:val="none"/>
          <w14:textFill>
            <w14:solidFill>
              <w14:schemeClr w14:val="tx1"/>
            </w14:solidFill>
          </w14:textFill>
        </w:rPr>
        <w:sectPr>
          <w:pgSz w:w="11910" w:h="16840"/>
          <w:pgMar w:top="1340" w:right="380" w:bottom="1380" w:left="560" w:header="878" w:footer="1196" w:gutter="0"/>
          <w:cols w:space="720" w:num="1"/>
        </w:sectPr>
      </w:pPr>
    </w:p>
    <w:p w14:paraId="7EAB45D2">
      <w:pPr>
        <w:pStyle w:val="3"/>
        <w:numPr>
          <w:ilvl w:val="0"/>
          <w:numId w:val="17"/>
        </w:numPr>
        <w:spacing w:before="62"/>
        <w:rPr>
          <w:rFonts w:hint="eastAsia" w:ascii="华文仿宋" w:hAnsi="华文仿宋" w:eastAsia="华文仿宋" w:cs="仿宋"/>
          <w:color w:val="000000" w:themeColor="text1"/>
          <w:highlight w:val="none"/>
          <w14:textFill>
            <w14:solidFill>
              <w14:schemeClr w14:val="tx1"/>
            </w14:solidFill>
          </w14:textFill>
        </w:rPr>
      </w:pPr>
      <w:bookmarkStart w:id="63" w:name="二、法定代表人授权委托书"/>
      <w:bookmarkEnd w:id="63"/>
      <w:bookmarkStart w:id="64" w:name="_Toc6092"/>
      <w:r>
        <w:rPr>
          <w:rFonts w:hint="eastAsia" w:ascii="华文仿宋" w:hAnsi="华文仿宋" w:eastAsia="华文仿宋" w:cs="仿宋"/>
          <w:color w:val="000000" w:themeColor="text1"/>
          <w:highlight w:val="none"/>
          <w14:textFill>
            <w14:solidFill>
              <w14:schemeClr w14:val="tx1"/>
            </w14:solidFill>
          </w14:textFill>
        </w:rPr>
        <w:t>磋商申请及声明</w:t>
      </w:r>
      <w:bookmarkEnd w:id="64"/>
    </w:p>
    <w:p w14:paraId="6865C426">
      <w:pPr>
        <w:spacing w:before="62"/>
        <w:ind w:left="1199"/>
        <w:jc w:val="center"/>
        <w:outlineLvl w:val="9"/>
        <w:rPr>
          <w:rFonts w:hint="eastAsia" w:ascii="华文仿宋" w:hAnsi="华文仿宋" w:eastAsia="华文仿宋" w:cs="仿宋"/>
          <w:b w:val="0"/>
          <w:color w:val="000000" w:themeColor="text1"/>
          <w:sz w:val="32"/>
          <w:szCs w:val="32"/>
          <w:highlight w:val="none"/>
          <w14:textFill>
            <w14:solidFill>
              <w14:schemeClr w14:val="tx1"/>
            </w14:solidFill>
          </w14:textFill>
        </w:rPr>
      </w:pPr>
      <w:r>
        <w:rPr>
          <w:rFonts w:hint="eastAsia" w:ascii="华文仿宋" w:hAnsi="华文仿宋" w:eastAsia="华文仿宋" w:cs="仿宋"/>
          <w:color w:val="000000" w:themeColor="text1"/>
          <w:sz w:val="32"/>
          <w:szCs w:val="32"/>
          <w:highlight w:val="none"/>
          <w14:textFill>
            <w14:solidFill>
              <w14:schemeClr w14:val="tx1"/>
            </w14:solidFill>
          </w14:textFill>
        </w:rPr>
        <w:t>磋商申请及声明</w:t>
      </w:r>
    </w:p>
    <w:p w14:paraId="7E406E7A">
      <w:pPr>
        <w:rPr>
          <w:rFonts w:hint="eastAsia" w:ascii="华文仿宋" w:hAnsi="华文仿宋" w:eastAsia="华文仿宋" w:cs="仿宋"/>
          <w:color w:val="000000" w:themeColor="text1"/>
          <w:sz w:val="44"/>
          <w:highlight w:val="none"/>
          <w14:textFill>
            <w14:solidFill>
              <w14:schemeClr w14:val="tx1"/>
            </w14:solidFill>
          </w14:textFill>
        </w:rPr>
        <w:sectPr>
          <w:pgSz w:w="11910" w:h="16840"/>
          <w:pgMar w:top="1340" w:right="380" w:bottom="1380" w:left="560" w:header="878" w:footer="1196" w:gutter="0"/>
          <w:cols w:space="720" w:num="1"/>
        </w:sectPr>
      </w:pPr>
    </w:p>
    <w:p w14:paraId="66CA642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highlight w:val="none"/>
          <w:u w:val="single"/>
          <w14:textFill>
            <w14:solidFill>
              <w14:schemeClr w14:val="tx1"/>
            </w14:solidFill>
          </w14:textFill>
        </w:rPr>
        <w:t xml:space="preserve">  (采购人名称） </w:t>
      </w:r>
    </w:p>
    <w:p w14:paraId="31AF10D6">
      <w:pPr>
        <w:keepNext w:val="0"/>
        <w:keepLines w:val="0"/>
        <w:pageBreakBefore w:val="0"/>
        <w:widowControl w:val="0"/>
        <w:kinsoku/>
        <w:wordWrap/>
        <w:overflowPunct/>
        <w:topLinePunct w:val="0"/>
        <w:autoSpaceDE w:val="0"/>
        <w:autoSpaceDN w:val="0"/>
        <w:bidi w:val="0"/>
        <w:adjustRightInd/>
        <w:snapToGrid/>
        <w:spacing w:line="336" w:lineRule="auto"/>
        <w:ind w:firstLine="44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根据贵方</w:t>
      </w:r>
      <w:r>
        <w:rPr>
          <w:rFonts w:hint="eastAsia" w:ascii="仿宋" w:hAnsi="仿宋" w:eastAsia="仿宋" w:cs="仿宋"/>
          <w:color w:val="000000" w:themeColor="text1"/>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采购文件，正式授权下述签字人</w:t>
      </w:r>
      <w:r>
        <w:rPr>
          <w:rFonts w:hint="eastAsia" w:ascii="仿宋" w:hAnsi="仿宋" w:eastAsia="仿宋" w:cs="仿宋"/>
          <w:color w:val="000000" w:themeColor="text1"/>
          <w:highlight w:val="none"/>
          <w:u w:val="single"/>
          <w14:textFill>
            <w14:solidFill>
              <w14:schemeClr w14:val="tx1"/>
            </w14:solidFill>
          </w14:textFill>
        </w:rPr>
        <w:t xml:space="preserve">  (姓名和职务)   </w:t>
      </w:r>
      <w:r>
        <w:rPr>
          <w:rFonts w:hint="eastAsia" w:ascii="仿宋" w:hAnsi="仿宋" w:eastAsia="仿宋" w:cs="仿宋"/>
          <w:color w:val="000000" w:themeColor="text1"/>
          <w:highlight w:val="none"/>
          <w14:textFill>
            <w14:solidFill>
              <w14:schemeClr w14:val="tx1"/>
            </w14:solidFill>
          </w14:textFill>
        </w:rPr>
        <w:t>代表</w:t>
      </w:r>
      <w:r>
        <w:rPr>
          <w:rFonts w:hint="eastAsia" w:ascii="仿宋" w:hAnsi="仿宋" w:eastAsia="仿宋" w:cs="仿宋"/>
          <w:color w:val="000000" w:themeColor="text1"/>
          <w:highlight w:val="none"/>
          <w:u w:val="single"/>
          <w14:textFill>
            <w14:solidFill>
              <w14:schemeClr w14:val="tx1"/>
            </w14:solidFill>
          </w14:textFill>
        </w:rPr>
        <w:t xml:space="preserve">  （供应商名称）  </w:t>
      </w:r>
      <w:r>
        <w:rPr>
          <w:rFonts w:hint="eastAsia" w:ascii="仿宋" w:hAnsi="仿宋" w:eastAsia="仿宋" w:cs="仿宋"/>
          <w:color w:val="000000" w:themeColor="text1"/>
          <w:highlight w:val="none"/>
          <w14:textFill>
            <w14:solidFill>
              <w14:schemeClr w14:val="tx1"/>
            </w14:solidFill>
          </w14:textFill>
        </w:rPr>
        <w:t>，提交响应文件并参加磋商。</w:t>
      </w:r>
    </w:p>
    <w:p w14:paraId="3DD1D29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据此函，签字人兹宣布同意如下：</w:t>
      </w:r>
    </w:p>
    <w:p w14:paraId="72B3858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根据已收到的磋商文件，遵照规定，我单位经现场考察和认真研究上述磋商文件后，愿</w:t>
      </w:r>
      <w:r>
        <w:rPr>
          <w:rFonts w:hint="eastAsia" w:ascii="仿宋" w:hAnsi="仿宋" w:eastAsia="仿宋" w:cs="仿宋"/>
          <w:color w:val="000000" w:themeColor="text1"/>
          <w:highlight w:val="none"/>
          <w:lang w:val="en-US" w:eastAsia="zh-CN"/>
          <w14:textFill>
            <w14:solidFill>
              <w14:schemeClr w14:val="tx1"/>
            </w14:solidFill>
          </w14:textFill>
        </w:rPr>
        <w:t>以</w:t>
      </w:r>
      <w:r>
        <w:rPr>
          <w:rFonts w:hint="eastAsia" w:ascii="仿宋" w:hAnsi="仿宋" w:eastAsia="仿宋" w:cs="仿宋"/>
          <w:color w:val="000000" w:themeColor="text1"/>
          <w:highlight w:val="none"/>
          <w14:textFill>
            <w14:solidFill>
              <w14:schemeClr w14:val="tx1"/>
            </w14:solidFill>
          </w14:textFill>
        </w:rPr>
        <w:t>江苏省建设工程造价咨询服务收费标准(苏价服（2014）383号)</w:t>
      </w:r>
      <w:r>
        <w:rPr>
          <w:rFonts w:hint="eastAsia" w:ascii="仿宋" w:hAnsi="仿宋" w:eastAsia="仿宋" w:cs="仿宋"/>
          <w:color w:val="000000" w:themeColor="text1"/>
          <w:highlight w:val="none"/>
          <w:lang w:val="en-US" w:eastAsia="zh-CN"/>
          <w14:textFill>
            <w14:solidFill>
              <w14:schemeClr w14:val="tx1"/>
            </w14:solidFill>
          </w14:textFill>
        </w:rPr>
        <w:t>下浮（优惠率）</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作为磋商报价。我方保证在</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填写合同履行期限</w:t>
      </w:r>
      <w:r>
        <w:rPr>
          <w:rFonts w:hint="eastAsia" w:ascii="仿宋" w:hAnsi="仿宋" w:eastAsia="仿宋" w:cs="仿宋"/>
          <w:color w:val="000000" w:themeColor="text1"/>
          <w:highlight w:val="none"/>
          <w14:textFill>
            <w14:solidFill>
              <w14:schemeClr w14:val="tx1"/>
            </w14:solidFill>
          </w14:textFill>
        </w:rPr>
        <w:t>）内服务并完成整个项目。</w:t>
      </w:r>
    </w:p>
    <w:p w14:paraId="1052F9A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2.我们完全理解贵方不一定要接受最低报价的磋商或收到的任何磋商。</w:t>
      </w:r>
    </w:p>
    <w:p w14:paraId="098DB41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358AE60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4.我们同意从规定的磋商日期起遵循本磋商文件，并在规定的磋商有效期期满之前均具有约束力。</w:t>
      </w:r>
    </w:p>
    <w:p w14:paraId="7C1EC46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5.同意向贵方提供贵方可能要求的与磋商有关的任何证据或资料。</w:t>
      </w:r>
    </w:p>
    <w:p w14:paraId="1BE5B52B">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highlight w:val="none"/>
          <w:u w:val="single"/>
          <w14:textFill>
            <w14:solidFill>
              <w14:schemeClr w14:val="tx1"/>
            </w14:solidFill>
          </w14:textFill>
        </w:rPr>
        <w:t xml:space="preserve">  （姓名）  </w:t>
      </w:r>
      <w:r>
        <w:rPr>
          <w:rFonts w:hint="eastAsia" w:ascii="仿宋" w:hAnsi="仿宋" w:eastAsia="仿宋" w:cs="仿宋"/>
          <w:color w:val="000000" w:themeColor="text1"/>
          <w:highlight w:val="none"/>
          <w14:textFill>
            <w14:solidFill>
              <w14:schemeClr w14:val="tx1"/>
            </w14:solidFill>
          </w14:textFill>
        </w:rPr>
        <w:t>作为本项目的项目负责人。</w:t>
      </w:r>
    </w:p>
    <w:p w14:paraId="71ED2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453F204F">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（1）提供虚假材料谋取中标、成交的；</w:t>
      </w:r>
    </w:p>
    <w:p w14:paraId="2C5943E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（2）采取不正当手段诋毁、排挤其他供应商的；</w:t>
      </w:r>
    </w:p>
    <w:p w14:paraId="6547CBC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（3）与采购人、其它供应商或者采购代理机构恶意串通的；</w:t>
      </w:r>
    </w:p>
    <w:p w14:paraId="3C662991">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（4）向采购人、采购代理机构行贿或者提供其他不正当利益的；</w:t>
      </w:r>
    </w:p>
    <w:p w14:paraId="3C16CB8D">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（5）在采购过程中与采购人进行协商磋商的；</w:t>
      </w:r>
    </w:p>
    <w:p w14:paraId="5E1416C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（6）拒绝有关部门监督检查或提供虚假情况的。</w:t>
      </w:r>
    </w:p>
    <w:p w14:paraId="6F223E2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8.与本磋商有关的正式通讯地址为：</w:t>
      </w:r>
    </w:p>
    <w:p w14:paraId="4E7BDBE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p>
    <w:p w14:paraId="43888F6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地址 ： </w:t>
      </w:r>
    </w:p>
    <w:p w14:paraId="5BC6CEF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联系电话/传真：</w:t>
      </w:r>
    </w:p>
    <w:p w14:paraId="79E62D5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p>
    <w:p w14:paraId="6C01C17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帐号：</w:t>
      </w:r>
    </w:p>
    <w:p w14:paraId="0924AF86">
      <w:pPr>
        <w:pStyle w:val="6"/>
        <w:tabs>
          <w:tab w:val="left" w:pos="1899"/>
          <w:tab w:val="left" w:pos="2843"/>
          <w:tab w:val="left" w:pos="3263"/>
          <w:tab w:val="left" w:pos="3683"/>
        </w:tabs>
        <w:spacing w:line="265" w:lineRule="exact"/>
        <w:ind w:left="1268"/>
        <w:rPr>
          <w:rFonts w:hint="eastAsia" w:ascii="华文仿宋" w:hAnsi="华文仿宋" w:eastAsia="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 年 月 日</w:t>
      </w:r>
    </w:p>
    <w:p w14:paraId="59E0E935">
      <w:pPr>
        <w:spacing w:line="265" w:lineRule="exact"/>
        <w:rPr>
          <w:rFonts w:hint="eastAsia" w:ascii="华文仿宋" w:hAnsi="华文仿宋" w:eastAsia="华文仿宋" w:cs="华文仿宋"/>
          <w:color w:val="000000" w:themeColor="text1"/>
          <w:highlight w:val="none"/>
          <w14:textFill>
            <w14:solidFill>
              <w14:schemeClr w14:val="tx1"/>
            </w14:solidFill>
          </w14:textFill>
        </w:rPr>
      </w:pPr>
    </w:p>
    <w:p w14:paraId="021CECF8">
      <w:pPr>
        <w:pStyle w:val="5"/>
        <w:rPr>
          <w:rFonts w:eastAsia="华文仿宋"/>
          <w:b w:val="0"/>
          <w:bCs w:val="0"/>
          <w:sz w:val="21"/>
          <w:szCs w:val="21"/>
          <w:highlight w:val="none"/>
          <w:lang w:val="en-US"/>
        </w:rPr>
        <w:sectPr>
          <w:type w:val="continuous"/>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注意：本声明供应商须认真如实填写，不得修改声明内容。</w:t>
      </w:r>
    </w:p>
    <w:p w14:paraId="0F329B39">
      <w:pPr>
        <w:pStyle w:val="3"/>
        <w:spacing w:before="62"/>
        <w:ind w:left="1" w:leftChars="-15" w:right="-1459" w:rightChars="-663" w:hanging="34" w:hangingChars="16"/>
        <w:rPr>
          <w:rFonts w:hint="eastAsia" w:ascii="华文仿宋" w:hAnsi="华文仿宋" w:eastAsia="华文仿宋" w:cs="仿宋"/>
          <w:b w:val="0"/>
          <w:color w:val="000000" w:themeColor="text1"/>
          <w:sz w:val="26"/>
          <w:highlight w:val="none"/>
          <w14:textFill>
            <w14:solidFill>
              <w14:schemeClr w14:val="tx1"/>
            </w14:solidFill>
          </w14:textFill>
        </w:rPr>
      </w:pPr>
      <w:bookmarkStart w:id="65" w:name="四、磋商分项报价表"/>
      <w:bookmarkEnd w:id="65"/>
      <w:bookmarkStart w:id="66" w:name="_Toc26814"/>
      <w:r>
        <w:rPr>
          <w:rFonts w:hint="eastAsia" w:ascii="华文仿宋" w:hAnsi="华文仿宋" w:eastAsia="华文仿宋" w:cs="仿宋"/>
          <w:color w:val="000000" w:themeColor="text1"/>
          <w:highlight w:val="none"/>
          <w14:textFill>
            <w14:solidFill>
              <w14:schemeClr w14:val="tx1"/>
            </w14:solidFill>
          </w14:textFill>
        </w:rPr>
        <w:t>二、法定代表人授权委托书</w:t>
      </w:r>
      <w:bookmarkEnd w:id="66"/>
    </w:p>
    <w:p w14:paraId="62A233E6">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hint="eastAsia" w:ascii="华文仿宋" w:hAnsi="华文仿宋" w:eastAsia="华文仿宋" w:cs="华文仿宋"/>
          <w:b/>
          <w:color w:val="000000" w:themeColor="text1"/>
          <w:sz w:val="32"/>
          <w:highlight w:val="none"/>
          <w14:textFill>
            <w14:solidFill>
              <w14:schemeClr w14:val="tx1"/>
            </w14:solidFill>
          </w14:textFill>
        </w:rPr>
        <w:t>法定代表人授权委托书</w:t>
      </w:r>
    </w:p>
    <w:p w14:paraId="36D4F2E9">
      <w:pPr>
        <w:rPr>
          <w:rFonts w:hint="eastAsia" w:ascii="华文仿宋" w:hAnsi="华文仿宋" w:eastAsia="华文仿宋" w:cs="华文仿宋"/>
          <w:color w:val="000000" w:themeColor="text1"/>
          <w:sz w:val="32"/>
          <w:highlight w:val="none"/>
          <w14:textFill>
            <w14:solidFill>
              <w14:schemeClr w14:val="tx1"/>
            </w14:solidFill>
          </w14:textFill>
        </w:rPr>
        <w:sectPr>
          <w:pgSz w:w="11910" w:h="16840"/>
          <w:pgMar w:top="1338" w:right="1009" w:bottom="1378" w:left="1219" w:header="878" w:footer="1196" w:gutter="0"/>
          <w:cols w:space="720" w:num="1"/>
        </w:sectPr>
      </w:pPr>
    </w:p>
    <w:p w14:paraId="39957C1E">
      <w:pPr>
        <w:pStyle w:val="6"/>
        <w:spacing w:before="9"/>
        <w:rPr>
          <w:rFonts w:hint="eastAsia" w:ascii="华文仿宋" w:hAnsi="华文仿宋" w:eastAsia="华文仿宋" w:cs="华文仿宋"/>
          <w:b/>
          <w:color w:val="000000" w:themeColor="text1"/>
          <w:sz w:val="13"/>
          <w:highlight w:val="none"/>
          <w14:textFill>
            <w14:solidFill>
              <w14:schemeClr w14:val="tx1"/>
            </w14:solidFill>
          </w14:textFill>
        </w:rPr>
      </w:pPr>
    </w:p>
    <w:p w14:paraId="7DF05B6D">
      <w:pPr>
        <w:pStyle w:val="6"/>
        <w:spacing w:before="69"/>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eastAsia="zh-CN"/>
          <w14:textFill>
            <w14:solidFill>
              <w14:schemeClr w14:val="tx1"/>
            </w14:solidFill>
          </w14:textFill>
        </w:rPr>
        <w:t>（</w:t>
      </w:r>
      <w:r>
        <w:rPr>
          <w:rFonts w:hint="eastAsia" w:ascii="华文仿宋" w:hAnsi="华文仿宋" w:eastAsia="华文仿宋" w:cs="华文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华文仿宋"/>
          <w:color w:val="000000" w:themeColor="text1"/>
          <w:highlight w:val="none"/>
          <w14:textFill>
            <w14:solidFill>
              <w14:schemeClr w14:val="tx1"/>
            </w14:solidFill>
          </w14:textFill>
        </w:rPr>
        <w:t>：</w:t>
      </w:r>
    </w:p>
    <w:p w14:paraId="7C74E335">
      <w:pPr>
        <w:pStyle w:val="6"/>
        <w:tabs>
          <w:tab w:val="left" w:pos="4539"/>
          <w:tab w:val="left" w:pos="5583"/>
          <w:tab w:val="left" w:pos="8742"/>
        </w:tabs>
        <w:spacing w:before="5" w:line="242" w:lineRule="auto"/>
        <w:ind w:left="743" w:right="755" w:firstLine="42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本授权书声明：注册于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（供应商注册地址）的</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（供应商</w:t>
      </w:r>
      <w:r>
        <w:rPr>
          <w:rFonts w:hint="eastAsia" w:ascii="华文仿宋" w:hAnsi="华文仿宋" w:eastAsia="华文仿宋" w:cs="华文仿宋"/>
          <w:color w:val="000000" w:themeColor="text1"/>
          <w:spacing w:val="-15"/>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称</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87"/>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法</w:t>
      </w:r>
      <w:r>
        <w:rPr>
          <w:rFonts w:hint="eastAsia" w:ascii="华文仿宋" w:hAnsi="华文仿宋" w:eastAsia="华文仿宋" w:cs="华文仿宋"/>
          <w:color w:val="000000" w:themeColor="text1"/>
          <w:spacing w:val="19"/>
          <w:highlight w:val="none"/>
          <w14:textFill>
            <w14:solidFill>
              <w14:schemeClr w14:val="tx1"/>
            </w14:solidFill>
          </w14:textFill>
        </w:rPr>
        <w:t>定代表</w:t>
      </w:r>
      <w:r>
        <w:rPr>
          <w:rFonts w:hint="eastAsia" w:ascii="华文仿宋" w:hAnsi="华文仿宋" w:eastAsia="华文仿宋" w:cs="华文仿宋"/>
          <w:color w:val="000000" w:themeColor="text1"/>
          <w:spacing w:val="18"/>
          <w:highlight w:val="none"/>
          <w14:textFill>
            <w14:solidFill>
              <w14:schemeClr w14:val="tx1"/>
            </w14:solidFill>
          </w14:textFill>
        </w:rPr>
        <w:t>人</w:t>
      </w:r>
      <w:r>
        <w:rPr>
          <w:rFonts w:hint="eastAsia" w:ascii="华文仿宋" w:hAnsi="华文仿宋" w:eastAsia="华文仿宋" w:cs="华文仿宋"/>
          <w:color w:val="000000" w:themeColor="text1"/>
          <w:spacing w:val="18"/>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pacing w:val="18"/>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4"/>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9"/>
          <w:highlight w:val="none"/>
          <w14:textFill>
            <w14:solidFill>
              <w14:schemeClr w14:val="tx1"/>
            </w14:solidFill>
          </w14:textFill>
        </w:rPr>
        <w:t>法</w:t>
      </w:r>
      <w:r>
        <w:rPr>
          <w:rFonts w:hint="eastAsia" w:ascii="华文仿宋" w:hAnsi="华文仿宋" w:eastAsia="华文仿宋" w:cs="华文仿宋"/>
          <w:color w:val="000000" w:themeColor="text1"/>
          <w:spacing w:val="16"/>
          <w:highlight w:val="none"/>
          <w14:textFill>
            <w14:solidFill>
              <w14:schemeClr w14:val="tx1"/>
            </w14:solidFill>
          </w14:textFill>
        </w:rPr>
        <w:t>定</w:t>
      </w:r>
      <w:r>
        <w:rPr>
          <w:rFonts w:hint="eastAsia" w:ascii="华文仿宋" w:hAnsi="华文仿宋" w:eastAsia="华文仿宋" w:cs="华文仿宋"/>
          <w:color w:val="000000" w:themeColor="text1"/>
          <w:spacing w:val="19"/>
          <w:highlight w:val="none"/>
          <w14:textFill>
            <w14:solidFill>
              <w14:schemeClr w14:val="tx1"/>
            </w14:solidFill>
          </w14:textFill>
        </w:rPr>
        <w:t>代表人姓</w:t>
      </w:r>
      <w:r>
        <w:rPr>
          <w:rFonts w:hint="eastAsia" w:ascii="华文仿宋" w:hAnsi="华文仿宋" w:eastAsia="华文仿宋" w:cs="华文仿宋"/>
          <w:color w:val="000000" w:themeColor="text1"/>
          <w:spacing w:val="16"/>
          <w:highlight w:val="none"/>
          <w14:textFill>
            <w14:solidFill>
              <w14:schemeClr w14:val="tx1"/>
            </w14:solidFill>
          </w14:textFill>
        </w:rPr>
        <w:t>名</w:t>
      </w:r>
      <w:r>
        <w:rPr>
          <w:rFonts w:hint="eastAsia" w:ascii="华文仿宋" w:hAnsi="华文仿宋" w:eastAsia="华文仿宋" w:cs="华文仿宋"/>
          <w:color w:val="000000" w:themeColor="text1"/>
          <w:spacing w:val="19"/>
          <w:highlight w:val="none"/>
          <w14:textFill>
            <w14:solidFill>
              <w14:schemeClr w14:val="tx1"/>
            </w14:solidFill>
          </w14:textFill>
        </w:rPr>
        <w:t>、职务</w:t>
      </w:r>
      <w:r>
        <w:rPr>
          <w:rFonts w:hint="eastAsia" w:ascii="华文仿宋" w:hAnsi="华文仿宋" w:eastAsia="华文仿宋" w:cs="华文仿宋"/>
          <w:color w:val="000000" w:themeColor="text1"/>
          <w:highlight w:val="none"/>
          <w14:textFill>
            <w14:solidFill>
              <w14:schemeClr w14:val="tx1"/>
            </w14:solidFill>
          </w14:textFill>
        </w:rPr>
        <w:t>）</w:t>
      </w:r>
      <w:r>
        <w:rPr>
          <w:rFonts w:hint="eastAsia" w:ascii="华文仿宋" w:hAnsi="华文仿宋" w:eastAsia="华文仿宋" w:cs="华文仿宋"/>
          <w:color w:val="000000" w:themeColor="text1"/>
          <w:spacing w:val="-93"/>
          <w:highlight w:val="none"/>
          <w14:textFill>
            <w14:solidFill>
              <w14:schemeClr w14:val="tx1"/>
            </w14:solidFill>
          </w14:textFill>
        </w:rPr>
        <w:t xml:space="preserve"> </w:t>
      </w:r>
      <w:r>
        <w:rPr>
          <w:rFonts w:hint="eastAsia" w:ascii="华文仿宋" w:hAnsi="华文仿宋" w:eastAsia="华文仿宋" w:cs="华文仿宋"/>
          <w:color w:val="000000" w:themeColor="text1"/>
          <w:spacing w:val="16"/>
          <w:highlight w:val="none"/>
          <w14:textFill>
            <w14:solidFill>
              <w14:schemeClr w14:val="tx1"/>
            </w14:solidFill>
          </w14:textFill>
        </w:rPr>
        <w:t>代</w:t>
      </w:r>
      <w:r>
        <w:rPr>
          <w:rFonts w:hint="eastAsia" w:ascii="华文仿宋" w:hAnsi="华文仿宋" w:eastAsia="华文仿宋" w:cs="华文仿宋"/>
          <w:color w:val="000000" w:themeColor="text1"/>
          <w:spacing w:val="19"/>
          <w:highlight w:val="none"/>
          <w14:textFill>
            <w14:solidFill>
              <w14:schemeClr w14:val="tx1"/>
            </w14:solidFill>
          </w14:textFill>
        </w:rPr>
        <w:t>表本公司</w:t>
      </w:r>
      <w:r>
        <w:rPr>
          <w:rFonts w:hint="eastAsia" w:ascii="华文仿宋" w:hAnsi="华文仿宋" w:eastAsia="华文仿宋" w:cs="华文仿宋"/>
          <w:color w:val="000000" w:themeColor="text1"/>
          <w:spacing w:val="16"/>
          <w:highlight w:val="none"/>
          <w14:textFill>
            <w14:solidFill>
              <w14:schemeClr w14:val="tx1"/>
            </w14:solidFill>
          </w14:textFill>
        </w:rPr>
        <w:t>授</w:t>
      </w:r>
      <w:r>
        <w:rPr>
          <w:rFonts w:hint="eastAsia" w:ascii="华文仿宋" w:hAnsi="华文仿宋" w:eastAsia="华文仿宋" w:cs="华文仿宋"/>
          <w:color w:val="000000" w:themeColor="text1"/>
          <w:spacing w:val="19"/>
          <w:highlight w:val="none"/>
          <w14:textFill>
            <w14:solidFill>
              <w14:schemeClr w14:val="tx1"/>
            </w14:solidFill>
          </w14:textFill>
        </w:rPr>
        <w:t>权在下面</w:t>
      </w:r>
      <w:r>
        <w:rPr>
          <w:rFonts w:hint="eastAsia" w:ascii="华文仿宋" w:hAnsi="华文仿宋" w:eastAsia="华文仿宋" w:cs="华文仿宋"/>
          <w:color w:val="000000" w:themeColor="text1"/>
          <w:spacing w:val="16"/>
          <w:highlight w:val="none"/>
          <w14:textFill>
            <w14:solidFill>
              <w14:schemeClr w14:val="tx1"/>
            </w14:solidFill>
          </w14:textFill>
        </w:rPr>
        <w:t>签</w:t>
      </w:r>
      <w:r>
        <w:rPr>
          <w:rFonts w:hint="eastAsia" w:ascii="华文仿宋" w:hAnsi="华文仿宋" w:eastAsia="华文仿宋" w:cs="华文仿宋"/>
          <w:color w:val="000000" w:themeColor="text1"/>
          <w:spacing w:val="19"/>
          <w:highlight w:val="none"/>
          <w14:textFill>
            <w14:solidFill>
              <w14:schemeClr w14:val="tx1"/>
            </w14:solidFill>
          </w14:textFill>
        </w:rPr>
        <w:t>字</w:t>
      </w:r>
      <w:r>
        <w:rPr>
          <w:rFonts w:hint="eastAsia" w:ascii="华文仿宋" w:hAnsi="华文仿宋" w:eastAsia="华文仿宋" w:cs="华文仿宋"/>
          <w:color w:val="000000" w:themeColor="text1"/>
          <w:spacing w:val="-15"/>
          <w:highlight w:val="none"/>
          <w14:textFill>
            <w14:solidFill>
              <w14:schemeClr w14:val="tx1"/>
            </w14:solidFill>
          </w14:textFill>
        </w:rPr>
        <w:t>的</w:t>
      </w:r>
    </w:p>
    <w:p w14:paraId="56132DED">
      <w:pPr>
        <w:pStyle w:val="6"/>
        <w:tabs>
          <w:tab w:val="left" w:pos="3788"/>
        </w:tabs>
        <w:spacing w:line="244" w:lineRule="auto"/>
        <w:ind w:left="743" w:right="747"/>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（授权代表姓名、职务）为本公司的合法代理人，就贵方组织的项目编号：</w:t>
      </w:r>
      <w:r>
        <w:rPr>
          <w:rFonts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，项目名称</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，以本公司名义处理一切与之有关的事务。</w:t>
      </w:r>
    </w:p>
    <w:p w14:paraId="0CB67E6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本授权书于</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年</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月</w:t>
      </w:r>
      <w:r>
        <w:rPr>
          <w:rFonts w:hint="eastAsia" w:ascii="华文仿宋" w:hAnsi="华文仿宋" w:eastAsia="华文仿宋" w:cs="华文仿宋"/>
          <w:color w:val="000000" w:themeColor="text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highlight w:val="none"/>
          <w:u w:val="single"/>
          <w14:textFill>
            <w14:solidFill>
              <w14:schemeClr w14:val="tx1"/>
            </w14:solidFill>
          </w14:textFill>
        </w:rPr>
        <w:tab/>
      </w:r>
      <w:r>
        <w:rPr>
          <w:rFonts w:hint="eastAsia" w:ascii="华文仿宋" w:hAnsi="华文仿宋" w:eastAsia="华文仿宋" w:cs="华文仿宋"/>
          <w:color w:val="000000" w:themeColor="text1"/>
          <w:highlight w:val="none"/>
          <w14:textFill>
            <w14:solidFill>
              <w14:schemeClr w14:val="tx1"/>
            </w14:solidFill>
          </w14:textFill>
        </w:rPr>
        <w:t>日签字生效，特此声明。</w:t>
      </w:r>
    </w:p>
    <w:p w14:paraId="11D28182">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00C7084D">
      <w:pPr>
        <w:pStyle w:val="6"/>
        <w:tabs>
          <w:tab w:val="left" w:pos="3054"/>
          <w:tab w:val="left" w:pos="3579"/>
          <w:tab w:val="left" w:pos="4103"/>
        </w:tabs>
        <w:spacing w:line="265" w:lineRule="exact"/>
        <w:ind w:left="1163"/>
        <w:rPr>
          <w:rFonts w:hint="eastAsia" w:ascii="华文仿宋" w:hAnsi="华文仿宋" w:eastAsia="华文仿宋" w:cs="华文仿宋"/>
          <w:b/>
          <w:bCs/>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法定代表人身份证复印件正、反面：          委托代理人身份证复印件正、反面：</w:t>
      </w:r>
    </w:p>
    <w:p w14:paraId="6F20E03E">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23DAED60">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（被授权委托人出席开标会的提供，未出席的可不提供。）</w:t>
      </w:r>
    </w:p>
    <w:p w14:paraId="55B24109">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67BB81E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 xml:space="preserve">法定代表人签字： </w:t>
      </w:r>
    </w:p>
    <w:p w14:paraId="62FB5190">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被授权人签字：</w:t>
      </w:r>
    </w:p>
    <w:p w14:paraId="18807A07">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供应商（盖章）：</w:t>
      </w:r>
    </w:p>
    <w:p w14:paraId="21DF07EF">
      <w:pPr>
        <w:pStyle w:val="6"/>
        <w:tabs>
          <w:tab w:val="left" w:pos="3054"/>
          <w:tab w:val="left" w:pos="3579"/>
          <w:tab w:val="left" w:pos="4103"/>
        </w:tabs>
        <w:spacing w:line="265" w:lineRule="exact"/>
        <w:ind w:left="1163" w:right="840"/>
        <w:jc w:val="right"/>
        <w:rPr>
          <w:rFonts w:hint="eastAsia" w:ascii="华文仿宋" w:hAnsi="华文仿宋" w:eastAsia="华文仿宋" w:cs="华文仿宋"/>
          <w:color w:val="000000" w:themeColor="text1"/>
          <w:highlight w:val="none"/>
          <w:lang w:val="en-US"/>
          <w14:textFill>
            <w14:solidFill>
              <w14:schemeClr w14:val="tx1"/>
            </w14:solidFill>
          </w14:textFill>
        </w:rPr>
      </w:pPr>
      <w:r>
        <w:rPr>
          <w:rFonts w:hint="eastAsia" w:ascii="华文仿宋" w:hAnsi="华文仿宋" w:eastAsia="华文仿宋" w:cs="华文仿宋"/>
          <w:color w:val="000000" w:themeColor="text1"/>
          <w:highlight w:val="none"/>
          <w:lang w:val="en-US"/>
          <w14:textFill>
            <w14:solidFill>
              <w14:schemeClr w14:val="tx1"/>
            </w14:solidFill>
          </w14:textFill>
        </w:rPr>
        <w:t>日期： 年 月 日</w:t>
      </w:r>
    </w:p>
    <w:p w14:paraId="657CAF17">
      <w:pPr>
        <w:pStyle w:val="6"/>
        <w:tabs>
          <w:tab w:val="left" w:pos="3054"/>
          <w:tab w:val="left" w:pos="3579"/>
          <w:tab w:val="left" w:pos="4103"/>
        </w:tabs>
        <w:spacing w:line="265" w:lineRule="exact"/>
        <w:ind w:left="1163"/>
        <w:rPr>
          <w:rFonts w:hint="eastAsia" w:ascii="华文仿宋" w:hAnsi="华文仿宋" w:eastAsia="华文仿宋" w:cs="华文仿宋"/>
          <w:color w:val="000000" w:themeColor="text1"/>
          <w:highlight w:val="none"/>
          <w:lang w:val="en-US"/>
          <w14:textFill>
            <w14:solidFill>
              <w14:schemeClr w14:val="tx1"/>
            </w14:solidFill>
          </w14:textFill>
        </w:rPr>
      </w:pPr>
    </w:p>
    <w:p w14:paraId="5B1F0E31">
      <w:pPr>
        <w:rPr>
          <w:rFonts w:hint="eastAsia" w:ascii="华文仿宋" w:hAnsi="华文仿宋" w:eastAsia="华文仿宋" w:cs="华文仿宋"/>
          <w:color w:val="000000" w:themeColor="text1"/>
          <w:sz w:val="20"/>
          <w:highlight w:val="none"/>
          <w14:textFill>
            <w14:solidFill>
              <w14:schemeClr w14:val="tx1"/>
            </w14:solidFill>
          </w14:textFill>
        </w:rPr>
      </w:pPr>
    </w:p>
    <w:p w14:paraId="29111CC2">
      <w:pPr>
        <w:ind w:left="743"/>
        <w:jc w:val="center"/>
        <w:rPr>
          <w:rFonts w:hint="eastAsia" w:ascii="华文仿宋" w:hAnsi="华文仿宋" w:eastAsia="华文仿宋" w:cs="华文仿宋"/>
          <w:b/>
          <w:color w:val="000000" w:themeColor="text1"/>
          <w:sz w:val="32"/>
          <w:highlight w:val="none"/>
          <w14:textFill>
            <w14:solidFill>
              <w14:schemeClr w14:val="tx1"/>
            </w14:solidFill>
          </w14:textFill>
        </w:rPr>
      </w:pPr>
      <w:r>
        <w:rPr>
          <w:rFonts w:ascii="华文仿宋" w:hAnsi="华文仿宋" w:eastAsia="华文仿宋" w:cs="华文仿宋"/>
          <w:b/>
          <w:color w:val="000000" w:themeColor="text1"/>
          <w:sz w:val="32"/>
          <w:highlight w:val="none"/>
          <w14:textFill>
            <w14:solidFill>
              <w14:schemeClr w14:val="tx1"/>
            </w14:solidFill>
          </w14:textFill>
        </w:rPr>
        <w:t>法定代表人身份证明</w:t>
      </w:r>
    </w:p>
    <w:p w14:paraId="2631B746">
      <w:pPr>
        <w:pStyle w:val="27"/>
        <w:spacing w:line="480" w:lineRule="exact"/>
        <w:ind w:firstLine="720"/>
        <w:rPr>
          <w:rFonts w:hint="eastAsia" w:ascii="华文仿宋" w:hAnsi="华文仿宋" w:eastAsia="华文仿宋"/>
          <w:szCs w:val="21"/>
          <w:highlight w:val="none"/>
        </w:rPr>
      </w:pPr>
      <w:r>
        <w:rPr>
          <w:rFonts w:hint="eastAsia" w:ascii="华文仿宋" w:hAnsi="华文仿宋" w:eastAsia="华文仿宋"/>
          <w:szCs w:val="21"/>
          <w:highlight w:val="none"/>
        </w:rPr>
        <w:t>供应商</w:t>
      </w:r>
      <w:r>
        <w:rPr>
          <w:rFonts w:ascii="华文仿宋" w:hAnsi="华文仿宋" w:eastAsia="华文仿宋"/>
          <w:szCs w:val="21"/>
          <w:highlight w:val="none"/>
        </w:rPr>
        <w:t>名称：</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8957BB">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单位性质：</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p>
    <w:p w14:paraId="0878EC79">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地址：</w:t>
      </w:r>
      <w:r>
        <w:rPr>
          <w:rFonts w:ascii="华文仿宋" w:hAnsi="华文仿宋" w:eastAsia="华文仿宋"/>
          <w:szCs w:val="21"/>
          <w:highlight w:val="none"/>
          <w:u w:val="single"/>
        </w:rPr>
        <w:t xml:space="preserve">                                   </w:t>
      </w:r>
    </w:p>
    <w:p w14:paraId="7B30F272">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成立时间：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月</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日</w:t>
      </w:r>
    </w:p>
    <w:p w14:paraId="503029A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经营期限：</w:t>
      </w:r>
      <w:r>
        <w:rPr>
          <w:rFonts w:ascii="华文仿宋" w:hAnsi="华文仿宋" w:eastAsia="华文仿宋"/>
          <w:szCs w:val="21"/>
          <w:highlight w:val="none"/>
          <w:u w:val="single"/>
        </w:rPr>
        <w:t xml:space="preserve">                               </w:t>
      </w:r>
    </w:p>
    <w:p w14:paraId="6242AB50">
      <w:pPr>
        <w:pStyle w:val="27"/>
        <w:spacing w:line="480" w:lineRule="exact"/>
        <w:ind w:firstLine="720"/>
        <w:rPr>
          <w:rFonts w:hint="eastAsia" w:ascii="华文仿宋" w:hAnsi="华文仿宋" w:eastAsia="华文仿宋"/>
          <w:szCs w:val="21"/>
          <w:highlight w:val="none"/>
          <w:u w:val="single"/>
        </w:rPr>
      </w:pPr>
      <w:r>
        <w:rPr>
          <w:rFonts w:ascii="华文仿宋" w:hAnsi="华文仿宋" w:eastAsia="华文仿宋"/>
          <w:szCs w:val="21"/>
          <w:highlight w:val="none"/>
        </w:rPr>
        <w:t>姓名：</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性别：</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年龄：</w:t>
      </w:r>
      <w:r>
        <w:rPr>
          <w:rFonts w:ascii="华文仿宋" w:hAnsi="华文仿宋" w:eastAsia="华文仿宋"/>
          <w:szCs w:val="21"/>
          <w:highlight w:val="none"/>
          <w:u w:val="single"/>
        </w:rPr>
        <w:t xml:space="preserve">        </w:t>
      </w:r>
      <w:r>
        <w:rPr>
          <w:rFonts w:ascii="华文仿宋" w:hAnsi="华文仿宋" w:eastAsia="华文仿宋"/>
          <w:szCs w:val="21"/>
          <w:highlight w:val="none"/>
        </w:rPr>
        <w:t>职务：</w:t>
      </w:r>
      <w:r>
        <w:rPr>
          <w:rFonts w:ascii="华文仿宋" w:hAnsi="华文仿宋" w:eastAsia="华文仿宋"/>
          <w:szCs w:val="21"/>
          <w:highlight w:val="none"/>
          <w:u w:val="single"/>
        </w:rPr>
        <w:t xml:space="preserve">        </w:t>
      </w:r>
    </w:p>
    <w:p w14:paraId="6695E0C5">
      <w:pPr>
        <w:pStyle w:val="27"/>
        <w:spacing w:line="480" w:lineRule="exact"/>
        <w:ind w:firstLine="720"/>
        <w:rPr>
          <w:rFonts w:hint="eastAsia" w:ascii="华文仿宋" w:hAnsi="华文仿宋" w:eastAsia="华文仿宋"/>
          <w:szCs w:val="21"/>
          <w:highlight w:val="none"/>
        </w:rPr>
      </w:pPr>
      <w:r>
        <w:rPr>
          <w:rFonts w:ascii="华文仿宋" w:hAnsi="华文仿宋" w:eastAsia="华文仿宋"/>
          <w:szCs w:val="21"/>
          <w:highlight w:val="none"/>
        </w:rPr>
        <w:t>系</w:t>
      </w:r>
      <w:r>
        <w:rPr>
          <w:rFonts w:ascii="华文仿宋" w:hAnsi="华文仿宋" w:eastAsia="华文仿宋"/>
          <w:szCs w:val="21"/>
          <w:highlight w:val="none"/>
          <w:u w:val="single"/>
        </w:rPr>
        <w:t xml:space="preserve">                             </w:t>
      </w:r>
      <w:r>
        <w:rPr>
          <w:rFonts w:ascii="华文仿宋" w:hAnsi="华文仿宋" w:eastAsia="华文仿宋"/>
          <w:szCs w:val="21"/>
          <w:highlight w:val="none"/>
        </w:rPr>
        <w:t xml:space="preserve"> （</w:t>
      </w:r>
      <w:r>
        <w:rPr>
          <w:rFonts w:hint="eastAsia" w:ascii="华文仿宋" w:hAnsi="华文仿宋" w:eastAsia="华文仿宋"/>
          <w:szCs w:val="21"/>
          <w:highlight w:val="none"/>
        </w:rPr>
        <w:t>供应商</w:t>
      </w:r>
      <w:r>
        <w:rPr>
          <w:rFonts w:ascii="华文仿宋" w:hAnsi="华文仿宋" w:eastAsia="华文仿宋"/>
          <w:szCs w:val="21"/>
          <w:highlight w:val="none"/>
        </w:rPr>
        <w:t>名称）的法定代表人。</w:t>
      </w:r>
    </w:p>
    <w:p w14:paraId="029F3A4C">
      <w:pPr>
        <w:pStyle w:val="27"/>
        <w:spacing w:line="480" w:lineRule="exact"/>
        <w:ind w:firstLine="420" w:firstLineChars="200"/>
        <w:rPr>
          <w:rFonts w:hint="eastAsia" w:ascii="华文仿宋" w:hAnsi="华文仿宋" w:eastAsia="华文仿宋"/>
          <w:szCs w:val="21"/>
          <w:highlight w:val="none"/>
        </w:rPr>
      </w:pPr>
      <w:r>
        <w:rPr>
          <w:rFonts w:ascii="华文仿宋" w:hAnsi="华文仿宋" w:eastAsia="华文仿宋"/>
          <w:szCs w:val="21"/>
          <w:highlight w:val="none"/>
        </w:rPr>
        <w:t>特此证明。</w:t>
      </w:r>
    </w:p>
    <w:p w14:paraId="4774BC2E">
      <w:pPr>
        <w:pStyle w:val="27"/>
        <w:spacing w:line="480" w:lineRule="exact"/>
        <w:ind w:firstLine="420" w:firstLineChars="200"/>
        <w:rPr>
          <w:rFonts w:hint="eastAsia" w:ascii="华文仿宋" w:hAnsi="华文仿宋" w:eastAsia="华文仿宋"/>
          <w:szCs w:val="21"/>
          <w:highlight w:val="none"/>
        </w:rPr>
      </w:pPr>
      <w:r>
        <w:rPr>
          <w:rFonts w:hint="eastAsia" w:ascii="华文仿宋" w:hAnsi="华文仿宋" w:eastAsia="华文仿宋" w:cs="华文仿宋"/>
          <w:color w:val="000000" w:themeColor="text1"/>
          <w:highlight w:val="none"/>
          <w14:textFill>
            <w14:solidFill>
              <w14:schemeClr w14:val="tx1"/>
            </w14:solidFill>
          </w14:textFill>
        </w:rPr>
        <w:t>法定代表人身份证复印件正、反面：</w:t>
      </w:r>
    </w:p>
    <w:p w14:paraId="15A9508A">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（法定代表人出席开标会的提供，未出席的可不提供。）</w:t>
      </w:r>
    </w:p>
    <w:p w14:paraId="13003E8F">
      <w:pPr>
        <w:pStyle w:val="27"/>
        <w:spacing w:line="480" w:lineRule="exact"/>
        <w:ind w:firstLine="420" w:firstLineChars="200"/>
        <w:rPr>
          <w:rFonts w:hint="eastAsia" w:ascii="华文仿宋" w:hAnsi="华文仿宋" w:eastAsia="华文仿宋" w:cs="华文仿宋"/>
          <w:color w:val="000000" w:themeColor="text1"/>
          <w:highlight w:val="none"/>
          <w14:textFill>
            <w14:solidFill>
              <w14:schemeClr w14:val="tx1"/>
            </w14:solidFill>
          </w14:textFill>
        </w:rPr>
      </w:pPr>
      <w:r>
        <w:rPr>
          <w:rFonts w:ascii="华文仿宋" w:hAnsi="华文仿宋" w:eastAsia="华文仿宋" w:cs="华文仿宋"/>
          <w:color w:val="000000" w:themeColor="text1"/>
          <w:highlight w:val="none"/>
          <w14:textFill>
            <w14:solidFill>
              <w14:schemeClr w14:val="tx1"/>
            </w14:solidFill>
          </w14:textFill>
        </w:rPr>
        <w:t xml:space="preserve">                      </w:t>
      </w:r>
    </w:p>
    <w:p w14:paraId="7806A91E">
      <w:pPr>
        <w:pStyle w:val="27"/>
        <w:spacing w:line="480" w:lineRule="exact"/>
        <w:ind w:right="840" w:firstLine="718" w:firstLineChars="342"/>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                                                                                单位名称：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（盖章）</w:t>
      </w:r>
    </w:p>
    <w:p w14:paraId="2877259B">
      <w:pPr>
        <w:pStyle w:val="27"/>
        <w:spacing w:line="480" w:lineRule="exact"/>
        <w:ind w:right="840" w:firstLine="6176" w:firstLineChars="2941"/>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 xml:space="preserve">法定代表人：   </w:t>
      </w:r>
      <w:r>
        <w:rPr>
          <w:rFonts w:ascii="华文仿宋" w:hAnsi="华文仿宋" w:eastAsia="华文仿宋" w:cs="华文仿宋"/>
          <w:color w:val="000000" w:themeColor="text1"/>
          <w:highlight w:val="none"/>
          <w14:textFill>
            <w14:solidFill>
              <w14:schemeClr w14:val="tx1"/>
            </w14:solidFill>
          </w14:textFill>
        </w:rPr>
        <w:t xml:space="preserve">    </w:t>
      </w:r>
      <w:r>
        <w:rPr>
          <w:rFonts w:hint="eastAsia" w:ascii="华文仿宋" w:hAnsi="华文仿宋" w:eastAsia="华文仿宋" w:cs="华文仿宋"/>
          <w:color w:val="000000" w:themeColor="text1"/>
          <w:highlight w:val="none"/>
          <w14:textFill>
            <w14:solidFill>
              <w14:schemeClr w14:val="tx1"/>
            </w14:solidFill>
          </w14:textFill>
        </w:rPr>
        <w:t xml:space="preserve">    （签字）</w:t>
      </w:r>
    </w:p>
    <w:p w14:paraId="01B53795">
      <w:pPr>
        <w:pStyle w:val="6"/>
        <w:rPr>
          <w:rFonts w:hint="eastAsia" w:ascii="华文仿宋" w:hAnsi="华文仿宋" w:eastAsia="华文仿宋" w:cs="仿宋"/>
          <w:color w:val="000000" w:themeColor="text1"/>
          <w:sz w:val="20"/>
          <w:highlight w:val="none"/>
          <w:lang w:val="en-US"/>
          <w14:textFill>
            <w14:solidFill>
              <w14:schemeClr w14:val="tx1"/>
            </w14:solidFill>
          </w14:textFill>
        </w:rPr>
      </w:pPr>
    </w:p>
    <w:p w14:paraId="56E145D4">
      <w:pPr>
        <w:rPr>
          <w:rFonts w:hint="eastAsia" w:ascii="华文仿宋" w:hAnsi="华文仿宋" w:eastAsia="华文仿宋" w:cs="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7DD441A">
      <w:pPr>
        <w:pStyle w:val="6"/>
        <w:rPr>
          <w:rFonts w:hint="eastAsia" w:ascii="华文仿宋" w:hAnsi="华文仿宋" w:eastAsia="华文仿宋" w:cs="仿宋"/>
          <w:color w:val="000000" w:themeColor="text1"/>
          <w:sz w:val="18"/>
          <w:highlight w:val="none"/>
          <w14:textFill>
            <w14:solidFill>
              <w14:schemeClr w14:val="tx1"/>
            </w14:solidFill>
          </w14:textFill>
        </w:rPr>
      </w:pPr>
    </w:p>
    <w:p w14:paraId="14B5517B">
      <w:pPr>
        <w:pStyle w:val="3"/>
        <w:ind w:left="743"/>
        <w:rPr>
          <w:rFonts w:hint="eastAsia" w:ascii="华文仿宋" w:hAnsi="华文仿宋" w:eastAsia="华文仿宋" w:cs="仿宋"/>
          <w:color w:val="000000" w:themeColor="text1"/>
          <w:highlight w:val="none"/>
          <w14:textFill>
            <w14:solidFill>
              <w14:schemeClr w14:val="tx1"/>
            </w14:solidFill>
          </w14:textFill>
        </w:rPr>
      </w:pPr>
      <w:bookmarkStart w:id="67" w:name="三、磋商报价汇总表"/>
      <w:bookmarkEnd w:id="67"/>
    </w:p>
    <w:p w14:paraId="75B34DC2">
      <w:pPr>
        <w:pStyle w:val="3"/>
        <w:ind w:left="743"/>
        <w:rPr>
          <w:rFonts w:hint="eastAsia" w:ascii="华文仿宋" w:hAnsi="华文仿宋" w:eastAsia="华文仿宋" w:cs="仿宋"/>
          <w:color w:val="000000" w:themeColor="text1"/>
          <w:highlight w:val="none"/>
          <w14:textFill>
            <w14:solidFill>
              <w14:schemeClr w14:val="tx1"/>
            </w14:solidFill>
          </w14:textFill>
        </w:rPr>
      </w:pPr>
    </w:p>
    <w:p w14:paraId="77D8DB73">
      <w:pPr>
        <w:pStyle w:val="3"/>
        <w:ind w:left="743"/>
        <w:rPr>
          <w:rFonts w:hint="eastAsia" w:ascii="华文仿宋" w:hAnsi="华文仿宋" w:eastAsia="华文仿宋" w:cs="仿宋"/>
          <w:color w:val="000000" w:themeColor="text1"/>
          <w:highlight w:val="none"/>
          <w14:textFill>
            <w14:solidFill>
              <w14:schemeClr w14:val="tx1"/>
            </w14:solidFill>
          </w14:textFill>
        </w:rPr>
      </w:pPr>
    </w:p>
    <w:p w14:paraId="3F501BF8">
      <w:pPr>
        <w:pStyle w:val="3"/>
        <w:outlineLvl w:val="1"/>
        <w:rPr>
          <w:rFonts w:hint="eastAsia" w:ascii="华文仿宋" w:hAnsi="华文仿宋" w:eastAsia="华文仿宋" w:cs="仿宋"/>
          <w:b w:val="0"/>
          <w:color w:val="000000" w:themeColor="text1"/>
          <w:sz w:val="39"/>
          <w:highlight w:val="none"/>
          <w14:textFill>
            <w14:solidFill>
              <w14:schemeClr w14:val="tx1"/>
            </w14:solidFill>
          </w14:textFill>
        </w:rPr>
      </w:pPr>
      <w:bookmarkStart w:id="68" w:name="_Toc26930"/>
      <w:r>
        <w:rPr>
          <w:rFonts w:hint="eastAsia" w:ascii="华文仿宋" w:hAnsi="华文仿宋" w:eastAsia="华文仿宋" w:cs="仿宋"/>
          <w:color w:val="000000" w:themeColor="text1"/>
          <w:highlight w:val="none"/>
          <w14:textFill>
            <w14:solidFill>
              <w14:schemeClr w14:val="tx1"/>
            </w14:solidFill>
          </w14:textFill>
        </w:rPr>
        <w:t>三、磋商报价汇总表</w:t>
      </w:r>
      <w:bookmarkEnd w:id="68"/>
    </w:p>
    <w:p w14:paraId="028C8CFC">
      <w:pPr>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磋商报价汇总表</w:t>
      </w:r>
    </w:p>
    <w:p w14:paraId="57406A73">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11EA2B44">
      <w:pPr>
        <w:pStyle w:val="6"/>
        <w:spacing w:before="5"/>
        <w:rPr>
          <w:rFonts w:hint="eastAsia" w:ascii="华文仿宋" w:hAnsi="华文仿宋" w:eastAsia="华文仿宋" w:cs="仿宋"/>
          <w:b/>
          <w:color w:val="000000" w:themeColor="text1"/>
          <w:sz w:val="8"/>
          <w:highlight w:val="none"/>
          <w14:textFill>
            <w14:solidFill>
              <w14:schemeClr w14:val="tx1"/>
            </w14:solidFill>
          </w14:textFill>
        </w:rPr>
      </w:pPr>
    </w:p>
    <w:p w14:paraId="67E8DCA8">
      <w:pPr>
        <w:pStyle w:val="6"/>
        <w:spacing w:before="77"/>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3B6DF699">
      <w:pPr>
        <w:pStyle w:val="6"/>
        <w:spacing w:before="4" w:after="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项目名称： </w:t>
      </w:r>
    </w:p>
    <w:tbl>
      <w:tblPr>
        <w:tblStyle w:val="13"/>
        <w:tblW w:w="9135" w:type="dxa"/>
        <w:tblInd w:w="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5781"/>
        <w:gridCol w:w="1680"/>
      </w:tblGrid>
      <w:tr w14:paraId="1715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1674" w:type="dxa"/>
          </w:tcPr>
          <w:p w14:paraId="521A8FCD">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3CBB88EF">
            <w:pPr>
              <w:pStyle w:val="20"/>
              <w:spacing w:before="10"/>
              <w:rPr>
                <w:rFonts w:hint="eastAsia" w:ascii="华文仿宋" w:hAnsi="华文仿宋" w:eastAsia="华文仿宋" w:cs="仿宋"/>
                <w:color w:val="000000" w:themeColor="text1"/>
                <w:sz w:val="23"/>
                <w:highlight w:val="none"/>
                <w14:textFill>
                  <w14:solidFill>
                    <w14:schemeClr w14:val="tx1"/>
                  </w14:solidFill>
                </w14:textFill>
              </w:rPr>
            </w:pPr>
          </w:p>
          <w:p w14:paraId="6FA5DA15">
            <w:pPr>
              <w:pStyle w:val="20"/>
              <w:spacing w:before="1"/>
              <w:ind w:right="24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磋商总报价</w:t>
            </w:r>
          </w:p>
        </w:tc>
        <w:tc>
          <w:tcPr>
            <w:tcW w:w="5781" w:type="dxa"/>
          </w:tcPr>
          <w:p w14:paraId="62762132">
            <w:pPr>
              <w:pStyle w:val="20"/>
              <w:rPr>
                <w:rFonts w:hint="eastAsia" w:ascii="华文仿宋" w:hAnsi="华文仿宋" w:eastAsia="华文仿宋" w:cs="仿宋"/>
                <w:color w:val="000000" w:themeColor="text1"/>
                <w:sz w:val="20"/>
                <w:highlight w:val="none"/>
                <w14:textFill>
                  <w14:solidFill>
                    <w14:schemeClr w14:val="tx1"/>
                  </w14:solidFill>
                </w14:textFill>
              </w:rPr>
            </w:pPr>
          </w:p>
          <w:p w14:paraId="7B1C870F">
            <w:pPr>
              <w:pStyle w:val="20"/>
              <w:tabs>
                <w:tab w:val="left" w:pos="2731"/>
              </w:tabs>
              <w:spacing w:before="122"/>
              <w:ind w:left="108"/>
              <w:rPr>
                <w:rFonts w:hint="default" w:ascii="华文仿宋" w:hAnsi="华文仿宋" w:eastAsia="华文仿宋" w:cs="仿宋"/>
                <w:color w:val="000000" w:themeColor="text1"/>
                <w:sz w:val="2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江苏省建设工程造价咨询服务收费标准(苏价服（2014）383号)</w:t>
            </w:r>
            <w:r>
              <w:rPr>
                <w:rFonts w:hint="eastAsia" w:ascii="仿宋" w:hAnsi="仿宋" w:eastAsia="仿宋" w:cs="仿宋"/>
                <w:color w:val="000000" w:themeColor="text1"/>
                <w:highlight w:val="none"/>
                <w:lang w:val="en-US" w:eastAsia="zh-CN"/>
                <w14:textFill>
                  <w14:solidFill>
                    <w14:schemeClr w14:val="tx1"/>
                  </w14:solidFill>
                </w14:textFill>
              </w:rPr>
              <w:t>下浮（优惠率）</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highlight w:val="none"/>
                <w:lang w:val="en-US" w:eastAsia="zh-CN"/>
                <w14:textFill>
                  <w14:solidFill>
                    <w14:schemeClr w14:val="tx1"/>
                  </w14:solidFill>
                </w14:textFill>
              </w:rPr>
              <w:t>%</w:t>
            </w:r>
          </w:p>
        </w:tc>
        <w:tc>
          <w:tcPr>
            <w:tcW w:w="1680" w:type="dxa"/>
          </w:tcPr>
          <w:p w14:paraId="049174E4">
            <w:pPr>
              <w:pStyle w:val="20"/>
              <w:spacing w:before="2" w:line="270" w:lineRule="atLeast"/>
              <w:ind w:left="526" w:right="298"/>
              <w:rPr>
                <w:rFonts w:hint="eastAsia" w:ascii="华文仿宋" w:hAnsi="华文仿宋" w:eastAsia="华文仿宋" w:cs="仿宋"/>
                <w:b/>
                <w:color w:val="000000" w:themeColor="text1"/>
                <w:sz w:val="21"/>
                <w:highlight w:val="none"/>
                <w14:textFill>
                  <w14:solidFill>
                    <w14:schemeClr w14:val="tx1"/>
                  </w14:solidFill>
                </w14:textFill>
              </w:rPr>
            </w:pPr>
          </w:p>
        </w:tc>
      </w:tr>
      <w:tr w14:paraId="4530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674" w:type="dxa"/>
          </w:tcPr>
          <w:p w14:paraId="6BF993A1">
            <w:pPr>
              <w:pStyle w:val="20"/>
              <w:spacing w:before="122"/>
              <w:ind w:right="198"/>
              <w:jc w:val="right"/>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5"/>
                <w:sz w:val="21"/>
                <w:highlight w:val="none"/>
                <w14:textFill>
                  <w14:solidFill>
                    <w14:schemeClr w14:val="tx1"/>
                  </w14:solidFill>
                </w14:textFill>
              </w:rPr>
              <w:t>响应文件份数</w:t>
            </w:r>
          </w:p>
        </w:tc>
        <w:tc>
          <w:tcPr>
            <w:tcW w:w="5781" w:type="dxa"/>
          </w:tcPr>
          <w:p w14:paraId="280A112E">
            <w:pPr>
              <w:pStyle w:val="20"/>
              <w:tabs>
                <w:tab w:val="left" w:pos="1471"/>
                <w:tab w:val="left" w:pos="3151"/>
                <w:tab w:val="left" w:pos="4411"/>
              </w:tabs>
              <w:spacing w:before="12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正本：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份、副本：</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14:textFill>
                  <w14:solidFill>
                    <w14:schemeClr w14:val="tx1"/>
                  </w14:solidFill>
                </w14:textFill>
              </w:rPr>
              <w:t>份、</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电子投标文件（U盘）：  </w:t>
            </w:r>
            <w:r>
              <w:rPr>
                <w:rFonts w:hint="eastAsia" w:ascii="华文仿宋" w:hAnsi="华文仿宋" w:eastAsia="华文仿宋" w:cs="华文仿宋"/>
                <w:color w:val="000000" w:themeColor="text1"/>
                <w:sz w:val="21"/>
                <w:highlight w:val="none"/>
                <w:u w:val="single"/>
                <w14:textFill>
                  <w14:solidFill>
                    <w14:schemeClr w14:val="tx1"/>
                  </w14:solidFill>
                </w14:textFill>
              </w:rPr>
              <w:t xml:space="preserve"> </w:t>
            </w:r>
            <w:r>
              <w:rPr>
                <w:rFonts w:hint="eastAsia" w:ascii="华文仿宋" w:hAnsi="华文仿宋" w:eastAsia="华文仿宋" w:cs="华文仿宋"/>
                <w:color w:val="000000" w:themeColor="text1"/>
                <w:sz w:val="21"/>
                <w:highlight w:val="none"/>
                <w:u w:val="single"/>
                <w:lang w:val="en-US"/>
                <w14:textFill>
                  <w14:solidFill>
                    <w14:schemeClr w14:val="tx1"/>
                  </w14:solidFill>
                </w14:textFill>
              </w:rPr>
              <w:t xml:space="preserve">   </w:t>
            </w:r>
            <w:r>
              <w:rPr>
                <w:rFonts w:hint="eastAsia" w:ascii="华文仿宋" w:hAnsi="华文仿宋" w:eastAsia="华文仿宋" w:cs="华文仿宋"/>
                <w:color w:val="000000" w:themeColor="text1"/>
                <w:sz w:val="21"/>
                <w:highlight w:val="none"/>
                <w:lang w:val="en-US"/>
                <w14:textFill>
                  <w14:solidFill>
                    <w14:schemeClr w14:val="tx1"/>
                  </w14:solidFill>
                </w14:textFill>
              </w:rPr>
              <w:t xml:space="preserve">份  </w:t>
            </w:r>
          </w:p>
        </w:tc>
        <w:tc>
          <w:tcPr>
            <w:tcW w:w="1680" w:type="dxa"/>
          </w:tcPr>
          <w:p w14:paraId="53669B60">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0FE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674" w:type="dxa"/>
          </w:tcPr>
          <w:p w14:paraId="3B11FFBE">
            <w:pPr>
              <w:pStyle w:val="20"/>
              <w:spacing w:before="162"/>
              <w:ind w:left="604" w:right="599"/>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其它</w:t>
            </w:r>
          </w:p>
        </w:tc>
        <w:tc>
          <w:tcPr>
            <w:tcW w:w="5781" w:type="dxa"/>
          </w:tcPr>
          <w:p w14:paraId="0F8EBFA8">
            <w:pPr>
              <w:pStyle w:val="20"/>
              <w:spacing w:before="162"/>
              <w:ind w:left="108"/>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（如有优惠条件须在此注明）</w:t>
            </w:r>
          </w:p>
        </w:tc>
        <w:tc>
          <w:tcPr>
            <w:tcW w:w="1680" w:type="dxa"/>
          </w:tcPr>
          <w:p w14:paraId="27644CF8">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16D8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74" w:type="dxa"/>
          </w:tcPr>
          <w:p w14:paraId="73B424BA">
            <w:pPr>
              <w:pStyle w:val="20"/>
              <w:spacing w:line="268" w:lineRule="exact"/>
              <w:ind w:left="205"/>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供应商是否属</w:t>
            </w:r>
          </w:p>
          <w:p w14:paraId="1EB2CA4B">
            <w:pPr>
              <w:pStyle w:val="20"/>
              <w:spacing w:before="3" w:line="270" w:lineRule="atLeast"/>
              <w:ind w:left="731" w:right="198" w:hanging="526"/>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于中小微型企业</w:t>
            </w:r>
          </w:p>
        </w:tc>
        <w:tc>
          <w:tcPr>
            <w:tcW w:w="5781" w:type="dxa"/>
          </w:tcPr>
          <w:p w14:paraId="20E995FE">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680" w:type="dxa"/>
          </w:tcPr>
          <w:p w14:paraId="581F1C30">
            <w:pPr>
              <w:pStyle w:val="20"/>
              <w:spacing w:before="3"/>
              <w:rPr>
                <w:rFonts w:hint="eastAsia" w:ascii="华文仿宋" w:hAnsi="华文仿宋" w:eastAsia="华文仿宋" w:cs="仿宋"/>
                <w:color w:val="000000" w:themeColor="text1"/>
                <w:sz w:val="21"/>
                <w:highlight w:val="none"/>
                <w14:textFill>
                  <w14:solidFill>
                    <w14:schemeClr w14:val="tx1"/>
                  </w14:solidFill>
                </w14:textFill>
              </w:rPr>
            </w:pPr>
          </w:p>
          <w:p w14:paraId="57EEB6C1">
            <w:pPr>
              <w:pStyle w:val="20"/>
              <w:spacing w:before="1"/>
              <w:ind w:left="91" w:right="83"/>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8"/>
                <w:sz w:val="21"/>
                <w:highlight w:val="none"/>
                <w14:textFill>
                  <w14:solidFill>
                    <w14:schemeClr w14:val="tx1"/>
                  </w14:solidFill>
                </w14:textFill>
              </w:rPr>
              <w:t>填写“是”或“否</w:t>
            </w:r>
          </w:p>
        </w:tc>
      </w:tr>
    </w:tbl>
    <w:p w14:paraId="1A4EDD7E">
      <w:pPr>
        <w:jc w:val="center"/>
        <w:rPr>
          <w:rFonts w:hint="eastAsia" w:ascii="华文仿宋" w:hAnsi="华文仿宋" w:eastAsia="华文仿宋" w:cs="仿宋"/>
          <w:color w:val="000000" w:themeColor="text1"/>
          <w:sz w:val="21"/>
          <w:highlight w:val="none"/>
          <w14:textFill>
            <w14:solidFill>
              <w14:schemeClr w14:val="tx1"/>
            </w14:solidFill>
          </w14:textFill>
        </w:rPr>
        <w:sectPr>
          <w:type w:val="continuous"/>
          <w:pgSz w:w="11910" w:h="16840"/>
          <w:pgMar w:top="1340" w:right="380" w:bottom="1180" w:left="560" w:header="720" w:footer="720" w:gutter="0"/>
          <w:cols w:space="720" w:num="1"/>
        </w:sectPr>
      </w:pPr>
    </w:p>
    <w:p w14:paraId="0C35B8DE">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029BBBC9">
      <w:pPr>
        <w:pStyle w:val="6"/>
        <w:spacing w:before="9"/>
        <w:rPr>
          <w:rFonts w:hint="eastAsia" w:ascii="华文仿宋" w:hAnsi="华文仿宋" w:eastAsia="华文仿宋" w:cs="仿宋"/>
          <w:color w:val="000000" w:themeColor="text1"/>
          <w:sz w:val="19"/>
          <w:highlight w:val="none"/>
          <w14:textFill>
            <w14:solidFill>
              <w14:schemeClr w14:val="tx1"/>
            </w14:solidFill>
          </w14:textFill>
        </w:rPr>
      </w:pPr>
    </w:p>
    <w:p w14:paraId="4BAB9017">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供应商（盖章）： </w:t>
      </w:r>
    </w:p>
    <w:p w14:paraId="3111C8CD">
      <w:pPr>
        <w:pStyle w:val="6"/>
        <w:ind w:right="834"/>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授权代表签字：</w:t>
      </w:r>
    </w:p>
    <w:p w14:paraId="4FFAD895">
      <w:pPr>
        <w:pStyle w:val="6"/>
        <w:tabs>
          <w:tab w:val="left" w:pos="1899"/>
          <w:tab w:val="left" w:pos="2739"/>
          <w:tab w:val="left" w:pos="3368"/>
          <w:tab w:val="left" w:pos="3894"/>
        </w:tabs>
        <w:spacing w:line="265" w:lineRule="exact"/>
        <w:ind w:left="1268" w:right="630"/>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 xml:space="preserve">    年  月  日</w:t>
      </w:r>
    </w:p>
    <w:p w14:paraId="652778F8">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41D7A5">
      <w:pPr>
        <w:pStyle w:val="6"/>
        <w:spacing w:before="5" w:line="242" w:lineRule="auto"/>
        <w:ind w:left="743" w:right="755" w:firstLine="420"/>
        <w:rPr>
          <w:rFonts w:hint="eastAsia" w:ascii="华文仿宋" w:hAnsi="华文仿宋" w:eastAsia="华文仿宋" w:cs="仿宋"/>
          <w:color w:val="000000" w:themeColor="text1"/>
          <w:w w:val="95"/>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说明:</w:t>
      </w:r>
    </w:p>
    <w:p w14:paraId="4CD5FA65">
      <w:pPr>
        <w:pStyle w:val="6"/>
        <w:spacing w:before="5" w:line="242" w:lineRule="auto"/>
        <w:ind w:left="743" w:right="755"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7"/>
          <w:w w:val="95"/>
          <w:highlight w:val="none"/>
          <w14:textFill>
            <w14:solidFill>
              <w14:schemeClr w14:val="tx1"/>
            </w14:solidFill>
          </w14:textFill>
        </w:rPr>
        <w:t>代理机构对每一项货物和服务仅接受一个价格，</w:t>
      </w:r>
      <w:r>
        <w:rPr>
          <w:rFonts w:hint="eastAsia" w:ascii="华文仿宋" w:hAnsi="华文仿宋" w:eastAsia="华文仿宋" w:cs="仿宋"/>
          <w:color w:val="000000" w:themeColor="text1"/>
          <w:w w:val="95"/>
          <w:highlight w:val="none"/>
          <w:shd w:val="clear" w:color="auto" w:fill="E4E4E4"/>
          <w14:textFill>
            <w14:solidFill>
              <w14:schemeClr w14:val="tx1"/>
            </w14:solidFill>
          </w14:textFill>
        </w:rPr>
        <w:t>不得填报有选择性报价方案</w:t>
      </w:r>
      <w:r>
        <w:rPr>
          <w:rFonts w:hint="eastAsia" w:ascii="华文仿宋" w:hAnsi="华文仿宋" w:eastAsia="华文仿宋" w:cs="仿宋"/>
          <w:color w:val="000000" w:themeColor="text1"/>
          <w:spacing w:val="-6"/>
          <w:w w:val="95"/>
          <w:highlight w:val="none"/>
          <w14:textFill>
            <w14:solidFill>
              <w14:schemeClr w14:val="tx1"/>
            </w14:solidFill>
          </w14:textFill>
        </w:rPr>
        <w:t>。若有优惠条款须注</w:t>
      </w:r>
      <w:r>
        <w:rPr>
          <w:rFonts w:hint="eastAsia" w:ascii="华文仿宋" w:hAnsi="华文仿宋" w:eastAsia="华文仿宋" w:cs="仿宋"/>
          <w:color w:val="000000" w:themeColor="text1"/>
          <w:spacing w:val="-6"/>
          <w:highlight w:val="none"/>
          <w14:textFill>
            <w14:solidFill>
              <w14:schemeClr w14:val="tx1"/>
            </w14:solidFill>
          </w14:textFill>
        </w:rPr>
        <w:t>明，但不得影响报价，影响产品整体功能。</w:t>
      </w:r>
    </w:p>
    <w:p w14:paraId="4FF17277">
      <w:pPr>
        <w:spacing w:line="242" w:lineRule="auto"/>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5F5592B7">
      <w:pPr>
        <w:pStyle w:val="3"/>
        <w:spacing w:before="62"/>
        <w:ind w:left="743"/>
        <w:rPr>
          <w:rFonts w:hint="default" w:ascii="华文仿宋" w:hAnsi="华文仿宋" w:eastAsia="华文仿宋" w:cs="仿宋"/>
          <w:color w:val="000000" w:themeColor="text1"/>
          <w:highlight w:val="none"/>
          <w:lang w:val="en-US" w:eastAsia="zh-CN"/>
          <w14:textFill>
            <w14:solidFill>
              <w14:schemeClr w14:val="tx1"/>
            </w14:solidFill>
          </w14:textFill>
        </w:rPr>
      </w:pPr>
      <w:bookmarkStart w:id="69" w:name="七、商务条款响应表"/>
      <w:bookmarkEnd w:id="69"/>
      <w:bookmarkStart w:id="70" w:name="_Toc25837"/>
      <w:r>
        <w:rPr>
          <w:rFonts w:hint="eastAsia" w:ascii="华文仿宋" w:hAnsi="华文仿宋" w:eastAsia="华文仿宋" w:cs="仿宋"/>
          <w:color w:val="000000" w:themeColor="text1"/>
          <w:highlight w:val="none"/>
          <w14:textFill>
            <w14:solidFill>
              <w14:schemeClr w14:val="tx1"/>
            </w14:solidFill>
          </w14:textFill>
        </w:rPr>
        <w:t>四、磋商分项报价表</w:t>
      </w:r>
      <w:bookmarkEnd w:id="70"/>
    </w:p>
    <w:p w14:paraId="7D418AC2">
      <w:pPr>
        <w:ind w:left="743"/>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磋商分项报价表</w:t>
      </w:r>
    </w:p>
    <w:p w14:paraId="66A5A834">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0CEB509">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项目编号： </w:t>
      </w:r>
    </w:p>
    <w:p w14:paraId="061A5591">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项目名称：</w:t>
      </w:r>
    </w:p>
    <w:p w14:paraId="4ADAAA62">
      <w:pPr>
        <w:pStyle w:val="17"/>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6AB8C306">
      <w:pPr>
        <w:pStyle w:val="6"/>
        <w:spacing w:before="1"/>
        <w:ind w:right="9"/>
        <w:jc w:val="center"/>
        <w:rPr>
          <w:rFonts w:hint="eastAsia" w:ascii="黑体" w:hAnsi="黑体" w:eastAsia="黑体" w:cs="微软雅黑"/>
          <w:color w:val="000000" w:themeColor="text1"/>
          <w14:textFill>
            <w14:solidFill>
              <w14:schemeClr w14:val="tx1"/>
            </w14:solidFill>
          </w14:textFill>
        </w:rPr>
      </w:pPr>
      <w:r>
        <w:rPr>
          <w:rFonts w:hint="eastAsia" w:ascii="黑体" w:hAnsi="黑体" w:eastAsia="黑体" w:cs="微软雅黑"/>
          <w:color w:val="000000" w:themeColor="text1"/>
          <w14:textFill>
            <w14:solidFill>
              <w14:schemeClr w14:val="tx1"/>
            </w14:solidFill>
          </w14:textFill>
        </w:rPr>
        <w:t>（</w:t>
      </w:r>
      <w:r>
        <w:rPr>
          <w:rFonts w:hint="eastAsia" w:ascii="黑体" w:hAnsi="黑体" w:eastAsia="黑体" w:cs="微软雅黑"/>
          <w:color w:val="000000" w:themeColor="text1"/>
          <w:lang w:val="en-US" w:eastAsia="zh-CN"/>
          <w14:textFill>
            <w14:solidFill>
              <w14:schemeClr w14:val="tx1"/>
            </w14:solidFill>
          </w14:textFill>
        </w:rPr>
        <w:t>格式自拟</w:t>
      </w:r>
      <w:r>
        <w:rPr>
          <w:rFonts w:hint="eastAsia" w:ascii="黑体" w:hAnsi="黑体" w:eastAsia="黑体" w:cs="微软雅黑"/>
          <w:color w:val="000000" w:themeColor="text1"/>
          <w14:textFill>
            <w14:solidFill>
              <w14:schemeClr w14:val="tx1"/>
            </w14:solidFill>
          </w14:textFill>
        </w:rPr>
        <w:t>）</w:t>
      </w:r>
    </w:p>
    <w:p w14:paraId="0952DEA4">
      <w:pPr>
        <w:pStyle w:val="17"/>
        <w:jc w:val="left"/>
        <w:rPr>
          <w:rFonts w:hint="eastAsia" w:ascii="仿宋" w:hAnsi="仿宋" w:eastAsia="仿宋" w:cs="仿宋"/>
          <w:color w:val="000000" w:themeColor="text1"/>
          <w:sz w:val="21"/>
          <w:szCs w:val="21"/>
          <w:highlight w:val="yellow"/>
          <w:lang w:eastAsia="zh-CN"/>
          <w14:textFill>
            <w14:solidFill>
              <w14:schemeClr w14:val="tx1"/>
            </w14:solidFill>
          </w14:textFill>
        </w:rPr>
      </w:pPr>
    </w:p>
    <w:p w14:paraId="1B2EFD5C">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723B54C3">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263A910">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28676C6">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 xml:space="preserve">供应商（盖章）： </w:t>
      </w:r>
    </w:p>
    <w:p w14:paraId="5C7F7CAC">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日期：  年  月  日</w:t>
      </w:r>
    </w:p>
    <w:p w14:paraId="1F641406">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A3CB33B">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1BC312EF">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说明:</w:t>
      </w:r>
    </w:p>
    <w:p w14:paraId="00C0B73E">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p>
    <w:p w14:paraId="666A1D9B">
      <w:pPr>
        <w:pStyle w:val="17"/>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代理机构对每一项货物和服务仅接受一个价格，不得填报有选择性报价方案。若有优惠条款须注明，但不得影响报价，影响产品整体功能。</w:t>
      </w:r>
    </w:p>
    <w:p w14:paraId="5671AE34">
      <w:pPr>
        <w:pStyle w:val="6"/>
        <w:spacing w:before="76"/>
        <w:ind w:left="743"/>
        <w:rPr>
          <w:rFonts w:hint="eastAsia" w:ascii="华文仿宋" w:hAnsi="华文仿宋" w:eastAsia="华文仿宋" w:cs="华文仿宋"/>
          <w:color w:val="000000" w:themeColor="text1"/>
          <w:highlight w:val="none"/>
          <w14:textFill>
            <w14:solidFill>
              <w14:schemeClr w14:val="tx1"/>
            </w14:solidFill>
          </w14:textFill>
        </w:rPr>
      </w:pPr>
    </w:p>
    <w:p w14:paraId="748AD223">
      <w:pPr>
        <w:spacing w:before="66"/>
        <w:ind w:right="8032"/>
        <w:jc w:val="center"/>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1" w:name="六、资格证明"/>
      <w:bookmarkEnd w:id="71"/>
      <w:bookmarkStart w:id="72" w:name="_Toc13740"/>
      <w:r>
        <w:rPr>
          <w:rFonts w:hint="eastAsia" w:ascii="华文仿宋" w:hAnsi="华文仿宋" w:eastAsia="华文仿宋" w:cs="仿宋"/>
          <w:b/>
          <w:color w:val="000000" w:themeColor="text1"/>
          <w:sz w:val="24"/>
          <w:highlight w:val="none"/>
          <w:lang w:val="en-US"/>
          <w14:textFill>
            <w14:solidFill>
              <w14:schemeClr w14:val="tx1"/>
            </w14:solidFill>
          </w14:textFill>
        </w:rPr>
        <w:t>五</w:t>
      </w:r>
      <w:r>
        <w:rPr>
          <w:rFonts w:hint="eastAsia" w:ascii="华文仿宋" w:hAnsi="华文仿宋" w:eastAsia="华文仿宋" w:cs="仿宋"/>
          <w:b/>
          <w:color w:val="000000" w:themeColor="text1"/>
          <w:sz w:val="24"/>
          <w:highlight w:val="none"/>
          <w14:textFill>
            <w14:solidFill>
              <w14:schemeClr w14:val="tx1"/>
            </w14:solidFill>
          </w14:textFill>
        </w:rPr>
        <w:t>、资格证明</w:t>
      </w:r>
      <w:bookmarkEnd w:id="72"/>
    </w:p>
    <w:p w14:paraId="2C186C3E">
      <w:pPr>
        <w:spacing w:before="2"/>
        <w:ind w:left="1767" w:right="1357"/>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资格证明</w:t>
      </w:r>
    </w:p>
    <w:p w14:paraId="0AAFC7B5">
      <w:pPr>
        <w:pStyle w:val="6"/>
        <w:rPr>
          <w:rFonts w:hint="eastAsia" w:ascii="华文仿宋" w:hAnsi="华文仿宋" w:eastAsia="华文仿宋" w:cs="仿宋"/>
          <w:b/>
          <w:color w:val="000000" w:themeColor="text1"/>
          <w:sz w:val="16"/>
          <w:highlight w:val="none"/>
          <w14:textFill>
            <w14:solidFill>
              <w14:schemeClr w14:val="tx1"/>
            </w14:solidFill>
          </w14:textFill>
        </w:rPr>
      </w:pPr>
    </w:p>
    <w:p w14:paraId="2F0A0A9E">
      <w:pPr>
        <w:spacing w:before="66" w:line="343" w:lineRule="auto"/>
        <w:ind w:left="743" w:right="752" w:firstLine="480"/>
        <w:jc w:val="both"/>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w:t>
      </w:r>
      <w:r>
        <w:rPr>
          <w:rFonts w:hint="eastAsia" w:ascii="华文仿宋" w:hAnsi="华文仿宋" w:eastAsia="华文仿宋" w:cs="仿宋"/>
          <w:color w:val="000000" w:themeColor="text1"/>
          <w:spacing w:val="-7"/>
          <w:sz w:val="24"/>
          <w:highlight w:val="none"/>
          <w14:textFill>
            <w14:solidFill>
              <w14:schemeClr w14:val="tx1"/>
            </w14:solidFill>
          </w14:textFill>
        </w:rPr>
        <w:t>格式由供应商自定，</w:t>
      </w:r>
      <w:r>
        <w:rPr>
          <w:rFonts w:hint="eastAsia" w:ascii="华文仿宋" w:hAnsi="华文仿宋" w:eastAsia="华文仿宋" w:cs="仿宋"/>
          <w:color w:val="000000" w:themeColor="text1"/>
          <w:spacing w:val="-7"/>
          <w:sz w:val="24"/>
          <w:highlight w:val="none"/>
          <w:lang w:val="en-US"/>
          <w14:textFill>
            <w14:solidFill>
              <w14:schemeClr w14:val="tx1"/>
            </w14:solidFill>
          </w14:textFill>
        </w:rPr>
        <w:t>根据招标文件资格要求</w:t>
      </w:r>
      <w:r>
        <w:rPr>
          <w:rFonts w:hint="eastAsia" w:ascii="华文仿宋" w:hAnsi="华文仿宋" w:eastAsia="华文仿宋" w:cs="仿宋"/>
          <w:color w:val="000000" w:themeColor="text1"/>
          <w:spacing w:val="-7"/>
          <w:sz w:val="24"/>
          <w:highlight w:val="none"/>
          <w14:textFill>
            <w14:solidFill>
              <w14:schemeClr w14:val="tx1"/>
            </w14:solidFill>
          </w14:textFill>
        </w:rPr>
        <w:t>据实提交，</w:t>
      </w:r>
      <w:r>
        <w:rPr>
          <w:rFonts w:hint="eastAsia" w:ascii="华文仿宋" w:hAnsi="华文仿宋" w:eastAsia="华文仿宋" w:cs="仿宋"/>
          <w:color w:val="000000" w:themeColor="text1"/>
          <w:sz w:val="24"/>
          <w:highlight w:val="none"/>
          <w14:textFill>
            <w14:solidFill>
              <w14:schemeClr w14:val="tx1"/>
            </w14:solidFill>
          </w14:textFill>
        </w:rPr>
        <w:t>及供应商认为需要提供的其他资格证明文件等）</w:t>
      </w:r>
    </w:p>
    <w:p w14:paraId="5DB53F73">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5B2502FB">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3" w:name="九、项目参与人员基本情况表"/>
      <w:bookmarkEnd w:id="73"/>
      <w:bookmarkStart w:id="74" w:name="_Toc1548"/>
      <w:r>
        <w:rPr>
          <w:rFonts w:hint="eastAsia" w:ascii="华文仿宋" w:hAnsi="华文仿宋" w:eastAsia="华文仿宋" w:cs="仿宋"/>
          <w:b/>
          <w:color w:val="000000" w:themeColor="text1"/>
          <w:sz w:val="24"/>
          <w:highlight w:val="none"/>
          <w:lang w:val="en-US"/>
          <w14:textFill>
            <w14:solidFill>
              <w14:schemeClr w14:val="tx1"/>
            </w14:solidFill>
          </w14:textFill>
        </w:rPr>
        <w:t>六</w:t>
      </w:r>
      <w:r>
        <w:rPr>
          <w:rFonts w:hint="eastAsia" w:ascii="华文仿宋" w:hAnsi="华文仿宋" w:eastAsia="华文仿宋" w:cs="仿宋"/>
          <w:b/>
          <w:color w:val="000000" w:themeColor="text1"/>
          <w:sz w:val="24"/>
          <w:highlight w:val="none"/>
          <w14:textFill>
            <w14:solidFill>
              <w14:schemeClr w14:val="tx1"/>
            </w14:solidFill>
          </w14:textFill>
        </w:rPr>
        <w:t>、商务条款响应表</w:t>
      </w:r>
      <w:bookmarkEnd w:id="74"/>
    </w:p>
    <w:p w14:paraId="43F015C0">
      <w:pPr>
        <w:pStyle w:val="6"/>
        <w:spacing w:before="1"/>
        <w:rPr>
          <w:rFonts w:hint="eastAsia" w:ascii="华文仿宋" w:hAnsi="华文仿宋" w:eastAsia="华文仿宋" w:cs="仿宋"/>
          <w:b/>
          <w:color w:val="000000" w:themeColor="text1"/>
          <w:sz w:val="18"/>
          <w:highlight w:val="none"/>
          <w14:textFill>
            <w14:solidFill>
              <w14:schemeClr w14:val="tx1"/>
            </w14:solidFill>
          </w14:textFill>
        </w:rPr>
      </w:pPr>
    </w:p>
    <w:p w14:paraId="5337F271">
      <w:pPr>
        <w:spacing w:before="66"/>
        <w:ind w:right="2"/>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商务条款响应表</w:t>
      </w:r>
    </w:p>
    <w:p w14:paraId="22A79016">
      <w:pPr>
        <w:pStyle w:val="6"/>
        <w:spacing w:before="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 xml:space="preserve">项目编号： </w:t>
      </w:r>
    </w:p>
    <w:p w14:paraId="04EE6020">
      <w:pPr>
        <w:pStyle w:val="6"/>
        <w:spacing w:before="3" w:after="3"/>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项目名称：</w:t>
      </w:r>
    </w:p>
    <w:tbl>
      <w:tblPr>
        <w:tblStyle w:val="13"/>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3062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33B8239">
            <w:pPr>
              <w:pStyle w:val="20"/>
              <w:spacing w:before="65"/>
              <w:ind w:left="402"/>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序号</w:t>
            </w:r>
          </w:p>
        </w:tc>
        <w:tc>
          <w:tcPr>
            <w:tcW w:w="3291" w:type="dxa"/>
          </w:tcPr>
          <w:p w14:paraId="144ACD8D">
            <w:pPr>
              <w:pStyle w:val="20"/>
              <w:spacing w:before="65"/>
              <w:ind w:left="699"/>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采购文件的商务条款</w:t>
            </w:r>
          </w:p>
        </w:tc>
        <w:tc>
          <w:tcPr>
            <w:tcW w:w="3429" w:type="dxa"/>
          </w:tcPr>
          <w:p w14:paraId="4F9448E8">
            <w:pPr>
              <w:pStyle w:val="20"/>
              <w:spacing w:before="65"/>
              <w:ind w:left="768"/>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响应文件的商务条款</w:t>
            </w:r>
          </w:p>
        </w:tc>
        <w:tc>
          <w:tcPr>
            <w:tcW w:w="1265" w:type="dxa"/>
          </w:tcPr>
          <w:p w14:paraId="415D0134">
            <w:pPr>
              <w:pStyle w:val="20"/>
              <w:spacing w:before="65"/>
              <w:ind w:left="420"/>
              <w:rPr>
                <w:rFonts w:hint="eastAsia" w:ascii="华文仿宋" w:hAnsi="华文仿宋" w:eastAsia="华文仿宋" w:cs="仿宋"/>
                <w:b/>
                <w:color w:val="000000" w:themeColor="text1"/>
                <w:sz w:val="21"/>
                <w:highlight w:val="none"/>
                <w14:textFill>
                  <w14:solidFill>
                    <w14:schemeClr w14:val="tx1"/>
                  </w14:solidFill>
                </w14:textFill>
              </w:rPr>
            </w:pPr>
            <w:r>
              <w:rPr>
                <w:rFonts w:hint="eastAsia" w:ascii="华文仿宋" w:hAnsi="华文仿宋" w:eastAsia="华文仿宋" w:cs="仿宋"/>
                <w:b/>
                <w:color w:val="000000" w:themeColor="text1"/>
                <w:sz w:val="21"/>
                <w:highlight w:val="none"/>
                <w14:textFill>
                  <w14:solidFill>
                    <w14:schemeClr w14:val="tx1"/>
                  </w14:solidFill>
                </w14:textFill>
              </w:rPr>
              <w:t>说明</w:t>
            </w:r>
          </w:p>
        </w:tc>
      </w:tr>
      <w:tr w14:paraId="3F27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20142B13">
            <w:pPr>
              <w:pStyle w:val="20"/>
              <w:spacing w:before="66"/>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1</w:t>
            </w:r>
          </w:p>
        </w:tc>
        <w:tc>
          <w:tcPr>
            <w:tcW w:w="3291" w:type="dxa"/>
          </w:tcPr>
          <w:p w14:paraId="08DCFFCE">
            <w:pPr>
              <w:pStyle w:val="20"/>
              <w:spacing w:before="66"/>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4A516FF">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9CA088F">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78785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5FA10673">
            <w:pPr>
              <w:pStyle w:val="20"/>
              <w:spacing w:before="64"/>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2</w:t>
            </w:r>
          </w:p>
        </w:tc>
        <w:tc>
          <w:tcPr>
            <w:tcW w:w="3291" w:type="dxa"/>
          </w:tcPr>
          <w:p w14:paraId="09DEA23E">
            <w:pPr>
              <w:pStyle w:val="20"/>
              <w:spacing w:before="64"/>
              <w:ind w:left="593"/>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42D23348">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528C66B">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4C9C0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3768E60D">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3</w:t>
            </w:r>
          </w:p>
        </w:tc>
        <w:tc>
          <w:tcPr>
            <w:tcW w:w="3291" w:type="dxa"/>
          </w:tcPr>
          <w:p w14:paraId="38E4FBB4">
            <w:pPr>
              <w:pStyle w:val="20"/>
              <w:spacing w:before="65"/>
              <w:ind w:left="910"/>
              <w:rPr>
                <w:rFonts w:hint="eastAsia" w:ascii="华文仿宋" w:hAnsi="华文仿宋" w:eastAsia="华文仿宋" w:cs="仿宋"/>
                <w:color w:val="000000" w:themeColor="text1"/>
                <w:sz w:val="21"/>
                <w:highlight w:val="none"/>
                <w14:textFill>
                  <w14:solidFill>
                    <w14:schemeClr w14:val="tx1"/>
                  </w14:solidFill>
                </w14:textFill>
              </w:rPr>
            </w:pPr>
          </w:p>
        </w:tc>
        <w:tc>
          <w:tcPr>
            <w:tcW w:w="3429" w:type="dxa"/>
          </w:tcPr>
          <w:p w14:paraId="62C7F1AB">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1DFC1DBE">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699D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A7ED591">
            <w:pPr>
              <w:pStyle w:val="20"/>
              <w:spacing w:before="65"/>
              <w:ind w:left="11"/>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4</w:t>
            </w:r>
          </w:p>
        </w:tc>
        <w:tc>
          <w:tcPr>
            <w:tcW w:w="3291" w:type="dxa"/>
          </w:tcPr>
          <w:p w14:paraId="4EFCC56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429" w:type="dxa"/>
          </w:tcPr>
          <w:p w14:paraId="278382A7">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1414B4C">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r w14:paraId="3BBC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7C66651A">
            <w:pPr>
              <w:pStyle w:val="20"/>
              <w:spacing w:before="1" w:line="252" w:lineRule="exact"/>
              <w:ind w:left="42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291" w:type="dxa"/>
          </w:tcPr>
          <w:p w14:paraId="74143862">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3429" w:type="dxa"/>
          </w:tcPr>
          <w:p w14:paraId="10CA92E8">
            <w:pPr>
              <w:pStyle w:val="20"/>
              <w:spacing w:before="1" w:line="252" w:lineRule="exact"/>
              <w:ind w:left="434"/>
              <w:jc w:val="center"/>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c>
          <w:tcPr>
            <w:tcW w:w="1265" w:type="dxa"/>
          </w:tcPr>
          <w:p w14:paraId="378AB4C8">
            <w:pPr>
              <w:pStyle w:val="20"/>
              <w:spacing w:before="1" w:line="252" w:lineRule="exact"/>
              <w:ind w:left="737"/>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w w:val="99"/>
                <w:sz w:val="21"/>
                <w:highlight w:val="none"/>
                <w14:textFill>
                  <w14:solidFill>
                    <w14:schemeClr w14:val="tx1"/>
                  </w14:solidFill>
                </w14:textFill>
              </w:rPr>
              <w:t>…</w:t>
            </w:r>
          </w:p>
        </w:tc>
      </w:tr>
      <w:tr w14:paraId="4AF1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00D39649">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3291" w:type="dxa"/>
          </w:tcPr>
          <w:p w14:paraId="645FD31B">
            <w:pPr>
              <w:pStyle w:val="20"/>
              <w:spacing w:before="37"/>
              <w:ind w:left="699"/>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z w:val="21"/>
                <w:highlight w:val="none"/>
                <w14:textFill>
                  <w14:solidFill>
                    <w14:schemeClr w14:val="tx1"/>
                  </w14:solidFill>
                </w14:textFill>
              </w:rPr>
              <w:t>（行数不够，自行添加）</w:t>
            </w:r>
          </w:p>
        </w:tc>
        <w:tc>
          <w:tcPr>
            <w:tcW w:w="3429" w:type="dxa"/>
          </w:tcPr>
          <w:p w14:paraId="46145376">
            <w:pPr>
              <w:pStyle w:val="20"/>
              <w:rPr>
                <w:rFonts w:hint="eastAsia" w:ascii="华文仿宋" w:hAnsi="华文仿宋" w:eastAsia="华文仿宋" w:cs="仿宋"/>
                <w:color w:val="000000" w:themeColor="text1"/>
                <w:sz w:val="20"/>
                <w:highlight w:val="none"/>
                <w14:textFill>
                  <w14:solidFill>
                    <w14:schemeClr w14:val="tx1"/>
                  </w14:solidFill>
                </w14:textFill>
              </w:rPr>
            </w:pPr>
          </w:p>
        </w:tc>
        <w:tc>
          <w:tcPr>
            <w:tcW w:w="1265" w:type="dxa"/>
          </w:tcPr>
          <w:p w14:paraId="58DF21F7">
            <w:pPr>
              <w:pStyle w:val="20"/>
              <w:rPr>
                <w:rFonts w:hint="eastAsia" w:ascii="华文仿宋" w:hAnsi="华文仿宋" w:eastAsia="华文仿宋" w:cs="仿宋"/>
                <w:color w:val="000000" w:themeColor="text1"/>
                <w:sz w:val="20"/>
                <w:highlight w:val="none"/>
                <w14:textFill>
                  <w14:solidFill>
                    <w14:schemeClr w14:val="tx1"/>
                  </w14:solidFill>
                </w14:textFill>
              </w:rPr>
            </w:pPr>
          </w:p>
        </w:tc>
      </w:tr>
    </w:tbl>
    <w:p w14:paraId="7DE30B46">
      <w:pPr>
        <w:pStyle w:val="6"/>
        <w:spacing w:before="1" w:line="350" w:lineRule="auto"/>
        <w:ind w:left="8531" w:right="752" w:firstLine="211"/>
        <w:jc w:val="right"/>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供应商（盖章） 授权代表（签字） 日期：年月日</w:t>
      </w:r>
    </w:p>
    <w:p w14:paraId="6A2B5974">
      <w:pPr>
        <w:pStyle w:val="6"/>
        <w:spacing w:before="8"/>
        <w:rPr>
          <w:rFonts w:hint="eastAsia" w:ascii="华文仿宋" w:hAnsi="华文仿宋" w:eastAsia="华文仿宋" w:cs="仿宋"/>
          <w:color w:val="000000" w:themeColor="text1"/>
          <w:sz w:val="13"/>
          <w:highlight w:val="none"/>
          <w14:textFill>
            <w14:solidFill>
              <w14:schemeClr w14:val="tx1"/>
            </w14:solidFill>
          </w14:textFill>
        </w:rPr>
      </w:pPr>
    </w:p>
    <w:p w14:paraId="0FFE5FC7">
      <w:pPr>
        <w:rPr>
          <w:rFonts w:hint="eastAsia" w:ascii="华文仿宋" w:hAnsi="华文仿宋" w:eastAsia="华文仿宋" w:cs="仿宋"/>
          <w:color w:val="000000" w:themeColor="text1"/>
          <w:sz w:val="13"/>
          <w:highlight w:val="none"/>
          <w14:textFill>
            <w14:solidFill>
              <w14:schemeClr w14:val="tx1"/>
            </w14:solidFill>
          </w14:textFill>
        </w:rPr>
        <w:sectPr>
          <w:footerReference r:id="rId7" w:type="default"/>
          <w:pgSz w:w="11910" w:h="16840"/>
          <w:pgMar w:top="1340" w:right="380" w:bottom="1380" w:left="560" w:header="878" w:footer="1196" w:gutter="0"/>
          <w:cols w:space="720" w:num="1"/>
        </w:sectPr>
      </w:pPr>
    </w:p>
    <w:p w14:paraId="3E2B2191">
      <w:pPr>
        <w:spacing w:before="67"/>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75" w:name="八、项目实施方案"/>
      <w:bookmarkEnd w:id="75"/>
      <w:bookmarkStart w:id="76" w:name="_Toc25029"/>
      <w:r>
        <w:rPr>
          <w:rFonts w:hint="eastAsia" w:ascii="华文仿宋" w:hAnsi="华文仿宋" w:eastAsia="华文仿宋" w:cs="仿宋"/>
          <w:b/>
          <w:color w:val="000000" w:themeColor="text1"/>
          <w:sz w:val="24"/>
          <w:highlight w:val="none"/>
          <w:lang w:val="en-US"/>
          <w14:textFill>
            <w14:solidFill>
              <w14:schemeClr w14:val="tx1"/>
            </w14:solidFill>
          </w14:textFill>
        </w:rPr>
        <w:t>七</w:t>
      </w:r>
      <w:r>
        <w:rPr>
          <w:rFonts w:hint="eastAsia" w:ascii="华文仿宋" w:hAnsi="华文仿宋" w:eastAsia="华文仿宋" w:cs="仿宋"/>
          <w:b/>
          <w:color w:val="000000" w:themeColor="text1"/>
          <w:sz w:val="24"/>
          <w:highlight w:val="none"/>
          <w14:textFill>
            <w14:solidFill>
              <w14:schemeClr w14:val="tx1"/>
            </w14:solidFill>
          </w14:textFill>
        </w:rPr>
        <w:t>、项目实施方案</w:t>
      </w:r>
      <w:bookmarkEnd w:id="76"/>
    </w:p>
    <w:p w14:paraId="50B5F678">
      <w:pPr>
        <w:spacing w:before="196"/>
        <w:ind w:left="743"/>
        <w:jc w:val="center"/>
        <w:rPr>
          <w:rFonts w:hint="eastAsia" w:ascii="华文仿宋" w:hAnsi="华文仿宋" w:eastAsia="华文仿宋" w:cs="仿宋"/>
          <w:b/>
          <w:color w:val="000000" w:themeColor="text1"/>
          <w:sz w:val="32"/>
          <w:szCs w:val="32"/>
          <w:highlight w:val="none"/>
          <w14:textFill>
            <w14:solidFill>
              <w14:schemeClr w14:val="tx1"/>
            </w14:solidFill>
          </w14:textFill>
        </w:rPr>
      </w:pPr>
      <w:r>
        <w:rPr>
          <w:rFonts w:hint="eastAsia" w:ascii="华文仿宋" w:hAnsi="华文仿宋" w:eastAsia="华文仿宋" w:cs="仿宋"/>
          <w:b/>
          <w:color w:val="000000" w:themeColor="text1"/>
          <w:sz w:val="32"/>
          <w:szCs w:val="32"/>
          <w:highlight w:val="none"/>
          <w14:textFill>
            <w14:solidFill>
              <w14:schemeClr w14:val="tx1"/>
            </w14:solidFill>
          </w14:textFill>
        </w:rPr>
        <w:t>项目实施方案</w:t>
      </w:r>
    </w:p>
    <w:p w14:paraId="47067DCA">
      <w:pPr>
        <w:spacing w:before="26"/>
        <w:ind w:left="923"/>
        <w:jc w:val="center"/>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（格式自拟）</w:t>
      </w:r>
    </w:p>
    <w:p w14:paraId="4590FE60">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47FFB482">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6C74E11">
      <w:pPr>
        <w:pStyle w:val="6"/>
        <w:spacing w:before="9"/>
        <w:rPr>
          <w:rFonts w:hint="eastAsia" w:ascii="华文仿宋" w:hAnsi="华文仿宋" w:eastAsia="华文仿宋" w:cs="仿宋"/>
          <w:color w:val="000000" w:themeColor="text1"/>
          <w:sz w:val="23"/>
          <w:highlight w:val="none"/>
          <w14:textFill>
            <w14:solidFill>
              <w14:schemeClr w14:val="tx1"/>
            </w14:solidFill>
          </w14:textFill>
        </w:rPr>
      </w:pPr>
    </w:p>
    <w:p w14:paraId="6223A0E3">
      <w:pPr>
        <w:spacing w:before="66" w:line="242" w:lineRule="auto"/>
        <w:ind w:left="6971" w:right="2192" w:hanging="120"/>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供应商（盖章）： 授权代表签字：</w:t>
      </w:r>
    </w:p>
    <w:p w14:paraId="6DA269E6">
      <w:pPr>
        <w:tabs>
          <w:tab w:val="left" w:pos="7691"/>
          <w:tab w:val="left" w:pos="8651"/>
          <w:tab w:val="left" w:pos="9371"/>
          <w:tab w:val="left" w:pos="9971"/>
        </w:tabs>
        <w:spacing w:before="1"/>
        <w:ind w:left="6971"/>
        <w:rPr>
          <w:rFonts w:hint="eastAsia" w:ascii="华文仿宋" w:hAnsi="华文仿宋" w:eastAsia="华文仿宋" w:cs="仿宋"/>
          <w:color w:val="000000" w:themeColor="text1"/>
          <w:sz w:val="24"/>
          <w:highlight w:val="none"/>
          <w14:textFill>
            <w14:solidFill>
              <w14:schemeClr w14:val="tx1"/>
            </w14:solidFill>
          </w14:textFill>
        </w:rPr>
      </w:pPr>
      <w:r>
        <w:rPr>
          <w:rFonts w:hint="eastAsia" w:ascii="华文仿宋" w:hAnsi="华文仿宋" w:eastAsia="华文仿宋" w:cs="仿宋"/>
          <w:color w:val="000000" w:themeColor="text1"/>
          <w:sz w:val="24"/>
          <w:highlight w:val="none"/>
          <w14:textFill>
            <w14:solidFill>
              <w14:schemeClr w14:val="tx1"/>
            </w14:solidFill>
          </w14:textFill>
        </w:rPr>
        <w:t>日</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期：</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年</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月</w:t>
      </w:r>
      <w:r>
        <w:rPr>
          <w:rFonts w:hint="eastAsia" w:ascii="华文仿宋" w:hAnsi="华文仿宋" w:eastAsia="华文仿宋" w:cs="仿宋"/>
          <w:color w:val="000000" w:themeColor="text1"/>
          <w:sz w:val="24"/>
          <w:highlight w:val="none"/>
          <w14:textFill>
            <w14:solidFill>
              <w14:schemeClr w14:val="tx1"/>
            </w14:solidFill>
          </w14:textFill>
        </w:rPr>
        <w:tab/>
      </w:r>
      <w:r>
        <w:rPr>
          <w:rFonts w:hint="eastAsia" w:ascii="华文仿宋" w:hAnsi="华文仿宋" w:eastAsia="华文仿宋" w:cs="仿宋"/>
          <w:color w:val="000000" w:themeColor="text1"/>
          <w:sz w:val="24"/>
          <w:highlight w:val="none"/>
          <w14:textFill>
            <w14:solidFill>
              <w14:schemeClr w14:val="tx1"/>
            </w14:solidFill>
          </w14:textFill>
        </w:rPr>
        <w:t>日</w:t>
      </w:r>
    </w:p>
    <w:p w14:paraId="0E35281C">
      <w:pPr>
        <w:rPr>
          <w:rFonts w:hint="eastAsia" w:ascii="华文仿宋" w:hAnsi="华文仿宋" w:eastAsia="华文仿宋" w:cs="仿宋"/>
          <w:color w:val="000000" w:themeColor="text1"/>
          <w:sz w:val="24"/>
          <w:highlight w:val="none"/>
          <w14:textFill>
            <w14:solidFill>
              <w14:schemeClr w14:val="tx1"/>
            </w14:solidFill>
          </w14:textFill>
        </w:rPr>
        <w:sectPr>
          <w:type w:val="continuous"/>
          <w:pgSz w:w="11910" w:h="16840"/>
          <w:pgMar w:top="1340" w:right="380" w:bottom="1180" w:left="560" w:header="720" w:footer="720" w:gutter="0"/>
          <w:cols w:space="720" w:num="1"/>
        </w:sectPr>
      </w:pPr>
    </w:p>
    <w:p w14:paraId="60BB2871">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bookmarkStart w:id="77" w:name="十、技术规格偏离表"/>
      <w:bookmarkEnd w:id="77"/>
    </w:p>
    <w:p w14:paraId="20B9D99F">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45CAC01A">
      <w:pPr>
        <w:pStyle w:val="3"/>
        <w:spacing w:before="62"/>
        <w:ind w:left="743"/>
        <w:rPr>
          <w:rFonts w:hint="eastAsia" w:ascii="华文仿宋" w:hAnsi="华文仿宋" w:eastAsia="华文仿宋" w:cs="仿宋"/>
          <w:color w:val="000000" w:themeColor="text1"/>
          <w:spacing w:val="-2"/>
          <w:highlight w:val="none"/>
          <w:lang w:val="en-US"/>
          <w14:textFill>
            <w14:solidFill>
              <w14:schemeClr w14:val="tx1"/>
            </w14:solidFill>
          </w14:textFill>
        </w:rPr>
      </w:pPr>
    </w:p>
    <w:p w14:paraId="1732102A">
      <w:pPr>
        <w:pStyle w:val="3"/>
        <w:spacing w:before="62"/>
        <w:ind w:left="743"/>
        <w:rPr>
          <w:rFonts w:hint="eastAsia" w:ascii="华文仿宋" w:hAnsi="华文仿宋" w:eastAsia="华文仿宋" w:cs="仿宋"/>
          <w:b w:val="0"/>
          <w:color w:val="000000" w:themeColor="text1"/>
          <w:sz w:val="32"/>
          <w:highlight w:val="none"/>
          <w:lang w:eastAsia="zh-CN"/>
          <w14:textFill>
            <w14:solidFill>
              <w14:schemeClr w14:val="tx1"/>
            </w14:solidFill>
          </w14:textFill>
        </w:rPr>
      </w:pPr>
      <w:bookmarkStart w:id="78" w:name="_Toc27138"/>
      <w:r>
        <w:rPr>
          <w:rFonts w:hint="eastAsia" w:ascii="华文仿宋" w:hAnsi="华文仿宋" w:eastAsia="华文仿宋" w:cs="仿宋"/>
          <w:color w:val="000000" w:themeColor="text1"/>
          <w:spacing w:val="-2"/>
          <w:highlight w:val="none"/>
          <w:lang w:val="en-US"/>
          <w14:textFill>
            <w14:solidFill>
              <w14:schemeClr w14:val="tx1"/>
            </w14:solidFill>
          </w14:textFill>
        </w:rPr>
        <w:t>八</w:t>
      </w:r>
      <w:r>
        <w:rPr>
          <w:rFonts w:hint="eastAsia" w:ascii="华文仿宋" w:hAnsi="华文仿宋" w:eastAsia="华文仿宋" w:cs="仿宋"/>
          <w:color w:val="000000" w:themeColor="text1"/>
          <w:spacing w:val="-2"/>
          <w:highlight w:val="none"/>
          <w14:textFill>
            <w14:solidFill>
              <w14:schemeClr w14:val="tx1"/>
            </w14:solidFill>
          </w14:textFill>
        </w:rPr>
        <w:t>、</w:t>
      </w:r>
      <w:r>
        <w:rPr>
          <w:rFonts w:hint="eastAsia" w:ascii="华文仿宋" w:hAnsi="华文仿宋" w:eastAsia="华文仿宋" w:cs="仿宋"/>
          <w:color w:val="000000" w:themeColor="text1"/>
          <w:spacing w:val="-2"/>
          <w:highlight w:val="none"/>
          <w:lang w:eastAsia="zh-CN"/>
          <w14:textFill>
            <w14:solidFill>
              <w14:schemeClr w14:val="tx1"/>
            </w14:solidFill>
          </w14:textFill>
        </w:rPr>
        <w:t>项目组成员一览表</w:t>
      </w:r>
      <w:bookmarkEnd w:id="78"/>
    </w:p>
    <w:p w14:paraId="7BA90473">
      <w:pPr>
        <w:ind w:left="411"/>
        <w:jc w:val="cente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pPr>
      <w:r>
        <w:rPr>
          <w:rFonts w:hint="eastAsia" w:ascii="华文仿宋" w:hAnsi="华文仿宋" w:eastAsia="华文仿宋" w:cs="仿宋"/>
          <w:b/>
          <w:color w:val="000000" w:themeColor="text1"/>
          <w:sz w:val="32"/>
          <w:szCs w:val="32"/>
          <w:highlight w:val="none"/>
          <w:lang w:eastAsia="zh-CN"/>
          <w14:textFill>
            <w14:solidFill>
              <w14:schemeClr w14:val="tx1"/>
            </w14:solidFill>
          </w14:textFill>
        </w:rPr>
        <w:t>项目组成员一览表</w:t>
      </w:r>
    </w:p>
    <w:p w14:paraId="508D327A">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1.项目负责人简历表</w:t>
      </w:r>
    </w:p>
    <w:p w14:paraId="510DE04D">
      <w:pP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380" w:left="560" w:header="878" w:footer="1196" w:gutter="0"/>
          <w:cols w:space="720" w:num="1"/>
        </w:sectPr>
      </w:pPr>
    </w:p>
    <w:tbl>
      <w:tblPr>
        <w:tblStyle w:val="13"/>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5A7B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B96E103">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1334" w:type="dxa"/>
            <w:gridSpan w:val="2"/>
          </w:tcPr>
          <w:p w14:paraId="7561C7D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5DD40FC2">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性别</w:t>
            </w:r>
          </w:p>
        </w:tc>
        <w:tc>
          <w:tcPr>
            <w:tcW w:w="1582" w:type="dxa"/>
          </w:tcPr>
          <w:p w14:paraId="0EEAF70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033D02A5">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年龄</w:t>
            </w:r>
          </w:p>
        </w:tc>
        <w:tc>
          <w:tcPr>
            <w:tcW w:w="1753" w:type="dxa"/>
            <w:tcBorders>
              <w:left w:val="single" w:color="000000" w:sz="8" w:space="0"/>
            </w:tcBorders>
          </w:tcPr>
          <w:p w14:paraId="6BB6A3C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9C3D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12ED9AF">
            <w:pPr>
              <w:pStyle w:val="20"/>
              <w:spacing w:line="250" w:lineRule="exact"/>
              <w:ind w:left="594"/>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334" w:type="dxa"/>
            <w:gridSpan w:val="2"/>
          </w:tcPr>
          <w:p w14:paraId="41BE11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443" w:type="dxa"/>
            <w:gridSpan w:val="2"/>
          </w:tcPr>
          <w:p w14:paraId="20D92B90">
            <w:pPr>
              <w:pStyle w:val="20"/>
              <w:spacing w:line="250" w:lineRule="exact"/>
              <w:ind w:left="507" w:right="46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1582" w:type="dxa"/>
          </w:tcPr>
          <w:p w14:paraId="4108204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Borders>
              <w:right w:val="single" w:color="000000" w:sz="8" w:space="0"/>
            </w:tcBorders>
          </w:tcPr>
          <w:p w14:paraId="3CD1AA13">
            <w:pPr>
              <w:pStyle w:val="20"/>
              <w:spacing w:line="250" w:lineRule="exact"/>
              <w:ind w:left="647" w:right="63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学历</w:t>
            </w:r>
          </w:p>
        </w:tc>
        <w:tc>
          <w:tcPr>
            <w:tcW w:w="1753" w:type="dxa"/>
            <w:tcBorders>
              <w:left w:val="single" w:color="000000" w:sz="8" w:space="0"/>
            </w:tcBorders>
          </w:tcPr>
          <w:p w14:paraId="21F4A7C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27DC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29AA7F57">
            <w:pPr>
              <w:pStyle w:val="20"/>
              <w:spacing w:line="250" w:lineRule="exact"/>
              <w:ind w:left="373"/>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参加工作时间</w:t>
            </w:r>
          </w:p>
        </w:tc>
        <w:tc>
          <w:tcPr>
            <w:tcW w:w="2164" w:type="dxa"/>
            <w:gridSpan w:val="2"/>
          </w:tcPr>
          <w:p w14:paraId="61727D8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544" w:type="dxa"/>
            <w:gridSpan w:val="3"/>
            <w:tcBorders>
              <w:right w:val="single" w:color="000000" w:sz="8" w:space="0"/>
            </w:tcBorders>
          </w:tcPr>
          <w:p w14:paraId="5BF801C4">
            <w:pPr>
              <w:pStyle w:val="20"/>
              <w:spacing w:line="250" w:lineRule="exact"/>
              <w:ind w:left="94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从事</w:t>
            </w:r>
            <w:r>
              <w:rPr>
                <w:rFonts w:hint="eastAsia" w:ascii="华文仿宋" w:hAnsi="华文仿宋" w:eastAsia="华文仿宋" w:cs="华文仿宋"/>
                <w:color w:val="000000" w:themeColor="text1"/>
                <w:sz w:val="21"/>
                <w:highlight w:val="none"/>
                <w:lang w:val="en-US"/>
                <w14:textFill>
                  <w14:solidFill>
                    <w14:schemeClr w14:val="tx1"/>
                  </w14:solidFill>
                </w14:textFill>
              </w:rPr>
              <w:t>本行业工作</w:t>
            </w:r>
            <w:r>
              <w:rPr>
                <w:rFonts w:hint="eastAsia" w:ascii="华文仿宋" w:hAnsi="华文仿宋" w:eastAsia="华文仿宋" w:cs="华文仿宋"/>
                <w:color w:val="000000" w:themeColor="text1"/>
                <w:sz w:val="21"/>
                <w:highlight w:val="none"/>
                <w14:textFill>
                  <w14:solidFill>
                    <w14:schemeClr w14:val="tx1"/>
                  </w14:solidFill>
                </w14:textFill>
              </w:rPr>
              <w:t>年限</w:t>
            </w:r>
          </w:p>
        </w:tc>
        <w:tc>
          <w:tcPr>
            <w:tcW w:w="1753" w:type="dxa"/>
            <w:tcBorders>
              <w:left w:val="single" w:color="000000" w:sz="8" w:space="0"/>
            </w:tcBorders>
          </w:tcPr>
          <w:p w14:paraId="2EE72FE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343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7E8E825C">
            <w:pPr>
              <w:pStyle w:val="20"/>
              <w:spacing w:line="250" w:lineRule="exact"/>
              <w:ind w:left="4096" w:right="352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w:t>
            </w:r>
            <w:r>
              <w:rPr>
                <w:rFonts w:hint="eastAsia" w:ascii="华文仿宋" w:hAnsi="华文仿宋" w:eastAsia="华文仿宋" w:cs="华文仿宋"/>
                <w:color w:val="000000" w:themeColor="text1"/>
                <w:sz w:val="21"/>
                <w:highlight w:val="none"/>
                <w:lang w:val="en-US"/>
                <w14:textFill>
                  <w14:solidFill>
                    <w14:schemeClr w14:val="tx1"/>
                  </w14:solidFill>
                </w14:textFill>
              </w:rPr>
              <w:t>负责人</w:t>
            </w:r>
            <w:r>
              <w:rPr>
                <w:rFonts w:hint="eastAsia" w:ascii="华文仿宋" w:hAnsi="华文仿宋" w:eastAsia="华文仿宋" w:cs="华文仿宋"/>
                <w:color w:val="000000" w:themeColor="text1"/>
                <w:sz w:val="21"/>
                <w:highlight w:val="none"/>
                <w14:textFill>
                  <w14:solidFill>
                    <w14:schemeClr w14:val="tx1"/>
                  </w14:solidFill>
                </w14:textFill>
              </w:rPr>
              <w:t>业绩</w:t>
            </w:r>
          </w:p>
        </w:tc>
      </w:tr>
      <w:tr w14:paraId="7D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E691A10">
            <w:pPr>
              <w:pStyle w:val="20"/>
              <w:spacing w:line="250" w:lineRule="exact"/>
              <w:ind w:left="582"/>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项目名称</w:t>
            </w:r>
          </w:p>
        </w:tc>
        <w:tc>
          <w:tcPr>
            <w:tcW w:w="3955" w:type="dxa"/>
            <w:gridSpan w:val="4"/>
          </w:tcPr>
          <w:p w14:paraId="1EF4B149">
            <w:pPr>
              <w:pStyle w:val="20"/>
              <w:spacing w:line="250" w:lineRule="exact"/>
              <w:ind w:left="158"/>
              <w:jc w:val="center"/>
              <w:rPr>
                <w:rFonts w:hint="eastAsia" w:ascii="华文仿宋" w:hAnsi="华文仿宋" w:eastAsia="华文仿宋" w:cs="华文仿宋"/>
                <w:color w:val="000000" w:themeColor="text1"/>
                <w:sz w:val="21"/>
                <w:highlight w:val="none"/>
                <w:lang w:val="en-US"/>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项目规模</w:t>
            </w:r>
          </w:p>
        </w:tc>
        <w:tc>
          <w:tcPr>
            <w:tcW w:w="1753" w:type="dxa"/>
          </w:tcPr>
          <w:p w14:paraId="26BC884F">
            <w:pPr>
              <w:pStyle w:val="20"/>
              <w:spacing w:line="250" w:lineRule="exact"/>
              <w:ind w:left="536" w:right="536"/>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合同价</w:t>
            </w:r>
          </w:p>
        </w:tc>
        <w:tc>
          <w:tcPr>
            <w:tcW w:w="1753" w:type="dxa"/>
          </w:tcPr>
          <w:p w14:paraId="24B29DFD">
            <w:pPr>
              <w:pStyle w:val="20"/>
              <w:spacing w:line="250" w:lineRule="exact"/>
              <w:ind w:left="4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其它情况</w:t>
            </w:r>
          </w:p>
        </w:tc>
      </w:tr>
      <w:tr w14:paraId="72B6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7C19DB3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01C2F02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102287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696770A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16E9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634CD05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955" w:type="dxa"/>
            <w:gridSpan w:val="4"/>
          </w:tcPr>
          <w:p w14:paraId="21B6BD02">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7714C08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753" w:type="dxa"/>
          </w:tcPr>
          <w:p w14:paraId="5E8A629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1AD18DCA">
      <w:pPr>
        <w:pStyle w:val="6"/>
        <w:spacing w:before="10"/>
        <w:rPr>
          <w:rFonts w:hint="eastAsia" w:ascii="华文仿宋" w:hAnsi="华文仿宋" w:eastAsia="华文仿宋" w:cs="华文仿宋"/>
          <w:color w:val="000000" w:themeColor="text1"/>
          <w:sz w:val="26"/>
          <w:highlight w:val="none"/>
          <w14:textFill>
            <w14:solidFill>
              <w14:schemeClr w14:val="tx1"/>
            </w14:solidFill>
          </w14:textFill>
        </w:rPr>
      </w:pPr>
    </w:p>
    <w:p w14:paraId="0E5E30A8">
      <w:pPr>
        <w:pStyle w:val="17"/>
        <w:spacing w:before="70"/>
        <w:ind w:left="-1" w:right="2" w:firstLine="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lang w:val="en-US"/>
          <w14:textFill>
            <w14:solidFill>
              <w14:schemeClr w14:val="tx1"/>
            </w14:solidFill>
          </w14:textFill>
        </w:rPr>
        <w:t>2.</w:t>
      </w: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项目组成员一览表</w:t>
      </w:r>
    </w:p>
    <w:tbl>
      <w:tblPr>
        <w:tblStyle w:val="13"/>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96"/>
        <w:gridCol w:w="896"/>
        <w:gridCol w:w="896"/>
        <w:gridCol w:w="1090"/>
        <w:gridCol w:w="3664"/>
        <w:gridCol w:w="1208"/>
      </w:tblGrid>
      <w:tr w14:paraId="2018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12" w:type="dxa"/>
            <w:vAlign w:val="center"/>
          </w:tcPr>
          <w:p w14:paraId="1496C5F1">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姓名</w:t>
            </w:r>
          </w:p>
        </w:tc>
        <w:tc>
          <w:tcPr>
            <w:tcW w:w="896" w:type="dxa"/>
            <w:vAlign w:val="center"/>
          </w:tcPr>
          <w:p w14:paraId="796A0D5F">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性别</w:t>
            </w:r>
          </w:p>
        </w:tc>
        <w:tc>
          <w:tcPr>
            <w:tcW w:w="896" w:type="dxa"/>
            <w:vAlign w:val="center"/>
          </w:tcPr>
          <w:p w14:paraId="4FCB2774">
            <w:pPr>
              <w:pStyle w:val="20"/>
              <w:spacing w:line="251" w:lineRule="exact"/>
              <w:jc w:val="center"/>
              <w:rPr>
                <w:rFonts w:hint="default"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年龄</w:t>
            </w:r>
          </w:p>
        </w:tc>
        <w:tc>
          <w:tcPr>
            <w:tcW w:w="896" w:type="dxa"/>
            <w:vAlign w:val="center"/>
          </w:tcPr>
          <w:p w14:paraId="1228BC8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职务</w:t>
            </w:r>
          </w:p>
        </w:tc>
        <w:tc>
          <w:tcPr>
            <w:tcW w:w="1090" w:type="dxa"/>
            <w:vAlign w:val="center"/>
          </w:tcPr>
          <w:p w14:paraId="1FFD247D">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职称</w:t>
            </w:r>
          </w:p>
        </w:tc>
        <w:tc>
          <w:tcPr>
            <w:tcW w:w="3664" w:type="dxa"/>
            <w:vAlign w:val="center"/>
          </w:tcPr>
          <w:p w14:paraId="14DA9F9E">
            <w:pPr>
              <w:pStyle w:val="20"/>
              <w:spacing w:line="251" w:lineRule="exact"/>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主要资历、经验及承担过的项目</w:t>
            </w:r>
          </w:p>
        </w:tc>
        <w:tc>
          <w:tcPr>
            <w:tcW w:w="1208" w:type="dxa"/>
            <w:vAlign w:val="center"/>
          </w:tcPr>
          <w:p w14:paraId="6CB8DE20">
            <w:pPr>
              <w:pStyle w:val="20"/>
              <w:spacing w:line="251" w:lineRule="exact"/>
              <w:jc w:val="center"/>
              <w:rPr>
                <w:rFonts w:hint="eastAsia" w:ascii="华文仿宋" w:hAnsi="华文仿宋" w:eastAsia="华文仿宋" w:cs="华文仿宋"/>
                <w:color w:val="000000" w:themeColor="text1"/>
                <w:sz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1"/>
                <w:highlight w:val="none"/>
                <w:lang w:val="en-US" w:eastAsia="zh-CN"/>
                <w14:textFill>
                  <w14:solidFill>
                    <w14:schemeClr w14:val="tx1"/>
                  </w14:solidFill>
                </w14:textFill>
              </w:rPr>
              <w:t>备注</w:t>
            </w:r>
          </w:p>
        </w:tc>
      </w:tr>
      <w:tr w14:paraId="30CD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3FEEA1E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13CA636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5CF444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80C9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34F8EF6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3722235B">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0625041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69A8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6A69E3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9035CE">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0C1CAB6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F8D5DC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6F3824F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7F37D746">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208" w:type="dxa"/>
            <w:vAlign w:val="center"/>
          </w:tcPr>
          <w:p w14:paraId="7F9E429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D1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258B961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896311">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36860C3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169969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4B813B40">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4C74B37">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06DE026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43C5E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EC828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9B669C">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C36BB53">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6F1EA5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774D59CA">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1820EE71">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p>
        </w:tc>
        <w:tc>
          <w:tcPr>
            <w:tcW w:w="1208" w:type="dxa"/>
            <w:vAlign w:val="center"/>
          </w:tcPr>
          <w:p w14:paraId="5C6A2A0F">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r w14:paraId="3149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2" w:type="dxa"/>
            <w:vAlign w:val="center"/>
          </w:tcPr>
          <w:p w14:paraId="69BDBA29">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274B949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649BD8E8">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896" w:type="dxa"/>
            <w:vAlign w:val="center"/>
          </w:tcPr>
          <w:p w14:paraId="77586354">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1090" w:type="dxa"/>
            <w:vAlign w:val="center"/>
          </w:tcPr>
          <w:p w14:paraId="527BC082">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c>
          <w:tcPr>
            <w:tcW w:w="3664" w:type="dxa"/>
            <w:vAlign w:val="center"/>
          </w:tcPr>
          <w:p w14:paraId="573D141B">
            <w:pPr>
              <w:pStyle w:val="20"/>
              <w:jc w:val="center"/>
              <w:rPr>
                <w:rFonts w:hint="eastAsia" w:ascii="华文仿宋" w:hAnsi="华文仿宋" w:eastAsia="华文仿宋" w:cs="华文仿宋"/>
                <w:color w:val="000000" w:themeColor="text1"/>
                <w:sz w:val="20"/>
                <w:highlight w:val="none"/>
                <w:lang w:eastAsia="zh-CN"/>
                <w14:textFill>
                  <w14:solidFill>
                    <w14:schemeClr w14:val="tx1"/>
                  </w14:solidFill>
                </w14:textFill>
              </w:rPr>
            </w:pPr>
            <w:r>
              <w:rPr>
                <w:rFonts w:hint="eastAsia" w:ascii="华文仿宋" w:hAnsi="华文仿宋" w:eastAsia="华文仿宋" w:cs="华文仿宋"/>
                <w:color w:val="000000" w:themeColor="text1"/>
                <w:sz w:val="20"/>
                <w:highlight w:val="none"/>
                <w:lang w:eastAsia="zh-CN"/>
                <w14:textFill>
                  <w14:solidFill>
                    <w14:schemeClr w14:val="tx1"/>
                  </w14:solidFill>
                </w14:textFill>
              </w:rPr>
              <w:t>（</w:t>
            </w:r>
            <w:r>
              <w:rPr>
                <w:rFonts w:hint="eastAsia" w:ascii="华文仿宋" w:hAnsi="华文仿宋" w:eastAsia="华文仿宋" w:cs="华文仿宋"/>
                <w:color w:val="000000" w:themeColor="text1"/>
                <w:sz w:val="20"/>
                <w:highlight w:val="none"/>
                <w:lang w:val="en-US" w:eastAsia="zh-CN"/>
                <w14:textFill>
                  <w14:solidFill>
                    <w14:schemeClr w14:val="tx1"/>
                  </w14:solidFill>
                </w14:textFill>
              </w:rPr>
              <w:t>行数不够，请自行添加）</w:t>
            </w:r>
          </w:p>
        </w:tc>
        <w:tc>
          <w:tcPr>
            <w:tcW w:w="1208" w:type="dxa"/>
            <w:vAlign w:val="center"/>
          </w:tcPr>
          <w:p w14:paraId="3197C305">
            <w:pPr>
              <w:pStyle w:val="20"/>
              <w:jc w:val="center"/>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6AE1F21">
      <w:pPr>
        <w:pStyle w:val="6"/>
        <w:spacing w:before="10"/>
        <w:rPr>
          <w:rFonts w:hint="eastAsia" w:ascii="华文仿宋" w:hAnsi="华文仿宋" w:eastAsia="华文仿宋" w:cs="华文仿宋"/>
          <w:color w:val="000000" w:themeColor="text1"/>
          <w:sz w:val="10"/>
          <w:highlight w:val="none"/>
          <w14:textFill>
            <w14:solidFill>
              <w14:schemeClr w14:val="tx1"/>
            </w14:solidFill>
          </w14:textFill>
        </w:rPr>
      </w:pPr>
    </w:p>
    <w:p w14:paraId="15477DA9">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3B7025A2">
      <w:pPr>
        <w:pStyle w:val="6"/>
        <w:rPr>
          <w:rFonts w:hint="eastAsia" w:ascii="华文仿宋" w:hAnsi="华文仿宋" w:eastAsia="华文仿宋" w:cs="华文仿宋"/>
          <w:color w:val="000000" w:themeColor="text1"/>
          <w:sz w:val="20"/>
          <w:highlight w:val="none"/>
          <w14:textFill>
            <w14:solidFill>
              <w14:schemeClr w14:val="tx1"/>
            </w14:solidFill>
          </w14:textFill>
        </w:rPr>
      </w:pPr>
    </w:p>
    <w:p w14:paraId="0EE98580">
      <w:pPr>
        <w:pStyle w:val="6"/>
        <w:spacing w:before="11"/>
        <w:rPr>
          <w:rFonts w:hint="eastAsia" w:ascii="华文仿宋" w:hAnsi="华文仿宋" w:eastAsia="华文仿宋" w:cs="华文仿宋"/>
          <w:color w:val="000000" w:themeColor="text1"/>
          <w:sz w:val="27"/>
          <w:highlight w:val="none"/>
          <w14:textFill>
            <w14:solidFill>
              <w14:schemeClr w14:val="tx1"/>
            </w14:solidFill>
          </w14:textFill>
        </w:rPr>
      </w:pPr>
    </w:p>
    <w:p w14:paraId="6F8B2FF0">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p>
    <w:p w14:paraId="5E8CBE58">
      <w:pPr>
        <w:pStyle w:val="6"/>
        <w:spacing w:line="242"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2621AFA1">
      <w:pPr>
        <w:pStyle w:val="6"/>
        <w:tabs>
          <w:tab w:val="left" w:pos="8007"/>
          <w:tab w:val="left" w:pos="8847"/>
          <w:tab w:val="left" w:pos="9476"/>
          <w:tab w:val="left" w:pos="10002"/>
        </w:tabs>
        <w:spacing w:line="268"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1E982F2E">
      <w:pPr>
        <w:spacing w:line="268"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1E3BBC42">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1AB39470">
      <w:pPr>
        <w:spacing w:before="66"/>
        <w:ind w:left="743"/>
        <w:outlineLvl w:val="1"/>
        <w:rPr>
          <w:rFonts w:hint="eastAsia" w:ascii="华文仿宋" w:hAnsi="华文仿宋" w:eastAsia="华文仿宋" w:cs="仿宋"/>
          <w:b/>
          <w:color w:val="000000" w:themeColor="text1"/>
          <w:sz w:val="24"/>
          <w:highlight w:val="none"/>
          <w:lang w:val="en-US"/>
          <w14:textFill>
            <w14:solidFill>
              <w14:schemeClr w14:val="tx1"/>
            </w14:solidFill>
          </w14:textFill>
        </w:rPr>
      </w:pPr>
      <w:bookmarkStart w:id="79" w:name="附件一：具备履行合同所必需的设备和专业技术能力的书面声明"/>
      <w:bookmarkEnd w:id="79"/>
      <w:bookmarkStart w:id="80" w:name="_Toc14657"/>
    </w:p>
    <w:p w14:paraId="6AEE51D5">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lang w:val="en-US"/>
          <w14:textFill>
            <w14:solidFill>
              <w14:schemeClr w14:val="tx1"/>
            </w14:solidFill>
          </w14:textFill>
        </w:rPr>
        <w:t>九</w:t>
      </w:r>
      <w:r>
        <w:rPr>
          <w:rFonts w:hint="eastAsia" w:ascii="华文仿宋" w:hAnsi="华文仿宋" w:eastAsia="华文仿宋" w:cs="仿宋"/>
          <w:b/>
          <w:color w:val="000000" w:themeColor="text1"/>
          <w:sz w:val="24"/>
          <w:highlight w:val="none"/>
          <w14:textFill>
            <w14:solidFill>
              <w14:schemeClr w14:val="tx1"/>
            </w14:solidFill>
          </w14:textFill>
        </w:rPr>
        <w:t>、技术规格偏离表</w:t>
      </w:r>
      <w:bookmarkEnd w:id="80"/>
    </w:p>
    <w:p w14:paraId="2436C44D">
      <w:pPr>
        <w:pStyle w:val="6"/>
        <w:ind w:left="743"/>
        <w:rPr>
          <w:rFonts w:hint="eastAsia" w:ascii="华文仿宋" w:hAnsi="华文仿宋" w:eastAsia="华文仿宋" w:cs="华文仿宋"/>
          <w:color w:val="000000" w:themeColor="text1"/>
          <w:highlight w:val="none"/>
          <w14:textFill>
            <w14:solidFill>
              <w14:schemeClr w14:val="tx1"/>
            </w14:solidFill>
          </w14:textFill>
        </w:rPr>
      </w:pPr>
    </w:p>
    <w:p w14:paraId="61075638">
      <w:pPr>
        <w:pStyle w:val="6"/>
        <w:ind w:left="743"/>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项目编号：</w:t>
      </w:r>
    </w:p>
    <w:p w14:paraId="5067B7F5">
      <w:pPr>
        <w:pStyle w:val="6"/>
        <w:spacing w:before="3"/>
        <w:ind w:left="743"/>
        <w:rPr>
          <w:rFonts w:hint="eastAsia" w:ascii="华文仿宋" w:hAnsi="华文仿宋" w:eastAsia="华文仿宋" w:cs="华文仿宋"/>
          <w:color w:val="000000" w:themeColor="text1"/>
          <w:sz w:val="3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项目名称：</w:t>
      </w:r>
    </w:p>
    <w:p w14:paraId="3E3E60A1">
      <w:pPr>
        <w:ind w:left="725" w:right="905"/>
        <w:jc w:val="center"/>
        <w:rPr>
          <w:rFonts w:hint="eastAsia" w:ascii="华文仿宋" w:hAnsi="华文仿宋" w:eastAsia="华文仿宋" w:cs="华文仿宋"/>
          <w:b/>
          <w:bCs/>
          <w:color w:val="000000" w:themeColor="text1"/>
          <w:sz w:val="24"/>
          <w:highlight w:val="none"/>
          <w14:textFill>
            <w14:solidFill>
              <w14:schemeClr w14:val="tx1"/>
            </w14:solidFill>
          </w14:textFill>
        </w:rPr>
      </w:pPr>
      <w:r>
        <w:rPr>
          <w:rFonts w:hint="eastAsia" w:ascii="华文仿宋" w:hAnsi="华文仿宋" w:eastAsia="华文仿宋" w:cs="华文仿宋"/>
          <w:b/>
          <w:bCs/>
          <w:color w:val="000000" w:themeColor="text1"/>
          <w:sz w:val="24"/>
          <w:highlight w:val="none"/>
          <w14:textFill>
            <w14:solidFill>
              <w14:schemeClr w14:val="tx1"/>
            </w14:solidFill>
          </w14:textFill>
        </w:rPr>
        <w:t>技术规格偏离表</w:t>
      </w:r>
    </w:p>
    <w:p w14:paraId="6C871368">
      <w:pPr>
        <w:pStyle w:val="6"/>
        <w:spacing w:before="3"/>
        <w:ind w:left="725" w:right="905"/>
        <w:jc w:val="center"/>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highlight w:val="none"/>
          <w14:textFill>
            <w14:solidFill>
              <w14:schemeClr w14:val="tx1"/>
            </w14:solidFill>
          </w14:textFill>
        </w:rPr>
        <w:t>（由投标人据实提交）</w:t>
      </w:r>
    </w:p>
    <w:p w14:paraId="10D63C52">
      <w:pPr>
        <w:jc w:val="center"/>
        <w:rPr>
          <w:rFonts w:hint="eastAsia" w:ascii="华文仿宋" w:hAnsi="华文仿宋" w:eastAsia="华文仿宋" w:cs="华文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tbl>
      <w:tblPr>
        <w:tblStyle w:val="13"/>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5B27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1292" w:type="dxa"/>
          </w:tcPr>
          <w:p w14:paraId="1EF4740B">
            <w:pPr>
              <w:pStyle w:val="20"/>
              <w:spacing w:before="135"/>
              <w:ind w:left="435"/>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序号</w:t>
            </w:r>
          </w:p>
        </w:tc>
        <w:tc>
          <w:tcPr>
            <w:tcW w:w="3326" w:type="dxa"/>
          </w:tcPr>
          <w:p w14:paraId="2B8C976E">
            <w:pPr>
              <w:pStyle w:val="20"/>
              <w:spacing w:before="135"/>
              <w:ind w:left="516" w:right="50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磋商文件的技术条款</w:t>
            </w:r>
          </w:p>
        </w:tc>
        <w:tc>
          <w:tcPr>
            <w:tcW w:w="1575" w:type="dxa"/>
          </w:tcPr>
          <w:p w14:paraId="2FB47D59">
            <w:pPr>
              <w:pStyle w:val="20"/>
              <w:spacing w:before="135"/>
              <w:ind w:left="156"/>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磋商实际响应</w:t>
            </w:r>
          </w:p>
        </w:tc>
        <w:tc>
          <w:tcPr>
            <w:tcW w:w="1995" w:type="dxa"/>
          </w:tcPr>
          <w:p w14:paraId="40197637">
            <w:pPr>
              <w:pStyle w:val="20"/>
              <w:ind w:left="134" w:right="122"/>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符合/正偏离/负偏</w:t>
            </w:r>
          </w:p>
          <w:p w14:paraId="7C8CDB13">
            <w:pPr>
              <w:pStyle w:val="20"/>
              <w:spacing w:before="3" w:line="253" w:lineRule="exact"/>
              <w:ind w:left="5"/>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w w:val="99"/>
                <w:sz w:val="21"/>
                <w:highlight w:val="none"/>
                <w14:textFill>
                  <w14:solidFill>
                    <w14:schemeClr w14:val="tx1"/>
                  </w14:solidFill>
                </w14:textFill>
              </w:rPr>
              <w:t>离</w:t>
            </w:r>
          </w:p>
        </w:tc>
        <w:tc>
          <w:tcPr>
            <w:tcW w:w="1680" w:type="dxa"/>
          </w:tcPr>
          <w:p w14:paraId="65567215">
            <w:pPr>
              <w:pStyle w:val="20"/>
              <w:spacing w:before="135"/>
              <w:ind w:left="91" w:right="8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21"/>
                <w:highlight w:val="none"/>
                <w14:textFill>
                  <w14:solidFill>
                    <w14:schemeClr w14:val="tx1"/>
                  </w14:solidFill>
                </w14:textFill>
              </w:rPr>
              <w:t>备注</w:t>
            </w:r>
          </w:p>
        </w:tc>
      </w:tr>
      <w:tr w14:paraId="33D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436BD9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6BBD152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6DE9F54">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CD7B47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0F1F511">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5407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D02A5F0">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1C48992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EA1830F">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3ADBAE6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9199AAA">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3A87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1AC8072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0C1EA9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7D17AA4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097979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757F568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6947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7CB47CFE">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47C42D6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5506FDA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73B4197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73412FD">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7BE05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2F3C8D08">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38591449">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575" w:type="dxa"/>
          </w:tcPr>
          <w:p w14:paraId="19C21B5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45E2686C">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35B51793">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r w14:paraId="0622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292" w:type="dxa"/>
          </w:tcPr>
          <w:p w14:paraId="6455D8D6">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3326" w:type="dxa"/>
          </w:tcPr>
          <w:p w14:paraId="0355382B">
            <w:pPr>
              <w:pStyle w:val="20"/>
              <w:spacing w:line="252" w:lineRule="exact"/>
              <w:ind w:left="516" w:right="510"/>
              <w:jc w:val="center"/>
              <w:rPr>
                <w:rFonts w:hint="eastAsia" w:ascii="华文仿宋" w:hAnsi="华文仿宋" w:eastAsia="华文仿宋" w:cs="华文仿宋"/>
                <w:color w:val="000000" w:themeColor="text1"/>
                <w:sz w:val="21"/>
                <w:highlight w:val="none"/>
                <w14:textFill>
                  <w14:solidFill>
                    <w14:schemeClr w14:val="tx1"/>
                  </w14:solidFill>
                </w14:textFill>
              </w:rPr>
            </w:pPr>
            <w:r>
              <w:rPr>
                <w:rFonts w:hint="eastAsia" w:ascii="华文仿宋" w:hAnsi="华文仿宋" w:eastAsia="华文仿宋" w:cs="华文仿宋"/>
                <w:color w:val="000000" w:themeColor="text1"/>
                <w:sz w:val="15"/>
                <w:highlight w:val="none"/>
                <w14:textFill>
                  <w14:solidFill>
                    <w14:schemeClr w14:val="tx1"/>
                  </w14:solidFill>
                </w14:textFill>
              </w:rPr>
              <w:t>（</w:t>
            </w:r>
            <w:r>
              <w:rPr>
                <w:rFonts w:hint="eastAsia" w:ascii="华文仿宋" w:hAnsi="华文仿宋" w:eastAsia="华文仿宋" w:cs="华文仿宋"/>
                <w:color w:val="000000" w:themeColor="text1"/>
                <w:sz w:val="21"/>
                <w:highlight w:val="none"/>
                <w14:textFill>
                  <w14:solidFill>
                    <w14:schemeClr w14:val="tx1"/>
                  </w14:solidFill>
                </w14:textFill>
              </w:rPr>
              <w:t>行数不够，自行添加，若完全响应无偏离，则在表格中写“符合无偏离”）</w:t>
            </w:r>
          </w:p>
        </w:tc>
        <w:tc>
          <w:tcPr>
            <w:tcW w:w="1575" w:type="dxa"/>
          </w:tcPr>
          <w:p w14:paraId="7CCB66C5">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995" w:type="dxa"/>
          </w:tcPr>
          <w:p w14:paraId="59676CDB">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c>
          <w:tcPr>
            <w:tcW w:w="1680" w:type="dxa"/>
          </w:tcPr>
          <w:p w14:paraId="15499317">
            <w:pPr>
              <w:pStyle w:val="20"/>
              <w:rPr>
                <w:rFonts w:hint="eastAsia" w:ascii="华文仿宋" w:hAnsi="华文仿宋" w:eastAsia="华文仿宋" w:cs="华文仿宋"/>
                <w:color w:val="000000" w:themeColor="text1"/>
                <w:sz w:val="20"/>
                <w:highlight w:val="none"/>
                <w14:textFill>
                  <w14:solidFill>
                    <w14:schemeClr w14:val="tx1"/>
                  </w14:solidFill>
                </w14:textFill>
              </w:rPr>
            </w:pPr>
          </w:p>
        </w:tc>
      </w:tr>
    </w:tbl>
    <w:p w14:paraId="687F3CD5">
      <w:pPr>
        <w:rPr>
          <w:rFonts w:hint="eastAsia" w:ascii="华文仿宋" w:hAnsi="华文仿宋" w:eastAsia="华文仿宋" w:cs="华文仿宋"/>
          <w:color w:val="000000" w:themeColor="text1"/>
          <w:sz w:val="20"/>
          <w:highlight w:val="none"/>
          <w14:textFill>
            <w14:solidFill>
              <w14:schemeClr w14:val="tx1"/>
            </w14:solidFill>
          </w14:textFill>
        </w:rPr>
        <w:sectPr>
          <w:type w:val="continuous"/>
          <w:pgSz w:w="11910" w:h="16840"/>
          <w:pgMar w:top="1340" w:right="380" w:bottom="1180" w:left="560" w:header="720" w:footer="720" w:gutter="0"/>
          <w:cols w:space="720" w:num="1"/>
        </w:sectPr>
      </w:pPr>
    </w:p>
    <w:p w14:paraId="7CBBB413">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sz w:val="24"/>
          <w:highlight w:val="none"/>
          <w14:textFill>
            <w14:solidFill>
              <w14:schemeClr w14:val="tx1"/>
            </w14:solidFill>
          </w14:textFill>
        </w:rPr>
        <w:t>注：</w:t>
      </w:r>
      <w:r>
        <w:rPr>
          <w:rFonts w:hint="eastAsia" w:ascii="华文仿宋" w:hAnsi="华文仿宋" w:eastAsia="华文仿宋" w:cs="华文仿宋"/>
          <w:color w:val="000000" w:themeColor="text1"/>
          <w:w w:val="95"/>
          <w:highlight w:val="none"/>
          <w14:textFill>
            <w14:solidFill>
              <w14:schemeClr w14:val="tx1"/>
            </w14:solidFill>
          </w14:textFill>
        </w:rPr>
        <w:t>1.按照项目需求详细填列。</w:t>
      </w:r>
    </w:p>
    <w:p w14:paraId="0E8F4B93">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2</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行数不够，可自行添加。</w:t>
      </w:r>
    </w:p>
    <w:p w14:paraId="3F625178">
      <w:pPr>
        <w:pStyle w:val="6"/>
        <w:ind w:right="950"/>
        <w:rPr>
          <w:rFonts w:hint="eastAsia" w:ascii="华文仿宋" w:hAnsi="华文仿宋" w:eastAsia="华文仿宋" w:cs="华文仿宋"/>
          <w:color w:val="000000" w:themeColor="text1"/>
          <w:w w:val="95"/>
          <w:highlight w:val="none"/>
          <w14:textFill>
            <w14:solidFill>
              <w14:schemeClr w14:val="tx1"/>
            </w14:solidFill>
          </w14:textFill>
        </w:rPr>
        <w:sectPr>
          <w:type w:val="continuous"/>
          <w:pgSz w:w="11910" w:h="16840"/>
          <w:pgMar w:top="1340" w:right="380" w:bottom="1180" w:left="560" w:header="720" w:footer="720" w:gutter="0"/>
          <w:cols w:space="720" w:num="1"/>
        </w:sectPr>
      </w:pPr>
    </w:p>
    <w:p w14:paraId="7DCF1854">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3</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请如实填写偏离表，如果虚假响应，将被暂停进入南京市江宁区政府采购活动。</w:t>
      </w:r>
    </w:p>
    <w:p w14:paraId="6765610B">
      <w:pPr>
        <w:pStyle w:val="6"/>
        <w:ind w:right="950" w:firstLine="398" w:firstLineChars="200"/>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4</w:t>
      </w:r>
      <w:r>
        <w:rPr>
          <w:rFonts w:ascii="华文仿宋" w:hAnsi="华文仿宋" w:eastAsia="华文仿宋" w:cs="华文仿宋"/>
          <w:color w:val="000000" w:themeColor="text1"/>
          <w:w w:val="95"/>
          <w:highlight w:val="none"/>
          <w14:textFill>
            <w14:solidFill>
              <w14:schemeClr w14:val="tx1"/>
            </w14:solidFill>
          </w14:textFill>
        </w:rPr>
        <w:t>.</w:t>
      </w:r>
      <w:r>
        <w:rPr>
          <w:rFonts w:hint="eastAsia" w:ascii="华文仿宋" w:hAnsi="华文仿宋" w:eastAsia="华文仿宋" w:cs="华文仿宋"/>
          <w:color w:val="000000" w:themeColor="text1"/>
          <w:w w:val="95"/>
          <w:highlight w:val="none"/>
          <w14:textFill>
            <w14:solidFill>
              <w14:schemeClr w14:val="tx1"/>
            </w14:solidFill>
          </w14:textFill>
        </w:rPr>
        <w:t>请供应商根据磋商实际情况填写，如果磋商实际响应与供应商提供的证明资料有实质性偏离的，将作无效磋商处理。</w:t>
      </w:r>
    </w:p>
    <w:p w14:paraId="18A5B30B">
      <w:pPr>
        <w:jc w:val="right"/>
        <w:rPr>
          <w:rFonts w:hint="eastAsia" w:ascii="华文仿宋" w:hAnsi="华文仿宋" w:eastAsia="华文仿宋"/>
          <w:highlight w:val="none"/>
        </w:rPr>
      </w:pPr>
    </w:p>
    <w:p w14:paraId="5082B783">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供应商（盖章）：</w:t>
      </w:r>
    </w:p>
    <w:p w14:paraId="2861E159">
      <w:pPr>
        <w:tabs>
          <w:tab w:val="left" w:pos="159"/>
        </w:tabs>
        <w:spacing w:before="1"/>
        <w:ind w:right="872"/>
        <w:jc w:val="right"/>
        <w:rPr>
          <w:rFonts w:hint="eastAsia" w:ascii="华文仿宋" w:hAnsi="华文仿宋" w:eastAsia="华文仿宋" w:cs="华文仿宋"/>
          <w:color w:val="000000" w:themeColor="text1"/>
          <w:w w:val="95"/>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授权代表（签字）：</w:t>
      </w:r>
    </w:p>
    <w:p w14:paraId="6FAB9263">
      <w:pPr>
        <w:tabs>
          <w:tab w:val="left" w:pos="159"/>
        </w:tabs>
        <w:spacing w:before="1"/>
        <w:ind w:right="872"/>
        <w:jc w:val="right"/>
        <w:rPr>
          <w:rFonts w:hint="eastAsia" w:ascii="华文仿宋" w:hAnsi="华文仿宋" w:eastAsia="华文仿宋" w:cs="华文仿宋"/>
          <w:color w:val="000000" w:themeColor="text1"/>
          <w:highlight w:val="none"/>
          <w14:textFill>
            <w14:solidFill>
              <w14:schemeClr w14:val="tx1"/>
            </w14:solidFill>
          </w14:textFill>
        </w:rPr>
      </w:pPr>
      <w:r>
        <w:rPr>
          <w:rFonts w:hint="eastAsia" w:ascii="华文仿宋" w:hAnsi="华文仿宋" w:eastAsia="华文仿宋" w:cs="华文仿宋"/>
          <w:color w:val="000000" w:themeColor="text1"/>
          <w:w w:val="95"/>
          <w:highlight w:val="none"/>
          <w14:textFill>
            <w14:solidFill>
              <w14:schemeClr w14:val="tx1"/>
            </w14:solidFill>
          </w14:textFill>
        </w:rPr>
        <w:t xml:space="preserve">日期：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年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 xml:space="preserve">月 </w:t>
      </w:r>
      <w:r>
        <w:rPr>
          <w:rFonts w:ascii="华文仿宋" w:hAnsi="华文仿宋" w:eastAsia="华文仿宋" w:cs="华文仿宋"/>
          <w:color w:val="000000" w:themeColor="text1"/>
          <w:w w:val="95"/>
          <w:highlight w:val="none"/>
          <w14:textFill>
            <w14:solidFill>
              <w14:schemeClr w14:val="tx1"/>
            </w14:solidFill>
          </w14:textFill>
        </w:rPr>
        <w:t xml:space="preserve"> </w:t>
      </w:r>
      <w:r>
        <w:rPr>
          <w:rFonts w:hint="eastAsia" w:ascii="华文仿宋" w:hAnsi="华文仿宋" w:eastAsia="华文仿宋" w:cs="华文仿宋"/>
          <w:color w:val="000000" w:themeColor="text1"/>
          <w:w w:val="95"/>
          <w:highlight w:val="none"/>
          <w14:textFill>
            <w14:solidFill>
              <w14:schemeClr w14:val="tx1"/>
            </w14:solidFill>
          </w14:textFill>
        </w:rPr>
        <w:t>日</w:t>
      </w:r>
    </w:p>
    <w:p w14:paraId="05C51063">
      <w:pPr>
        <w:pStyle w:val="6"/>
        <w:rPr>
          <w:rFonts w:hint="eastAsia" w:ascii="华文仿宋" w:hAnsi="华文仿宋" w:eastAsia="华文仿宋" w:cs="仿宋"/>
          <w:b/>
          <w:color w:val="000000" w:themeColor="text1"/>
          <w:sz w:val="24"/>
          <w:highlight w:val="none"/>
          <w14:textFill>
            <w14:solidFill>
              <w14:schemeClr w14:val="tx1"/>
            </w14:solidFill>
          </w14:textFill>
        </w:rPr>
      </w:pPr>
    </w:p>
    <w:p w14:paraId="065E64B0">
      <w:pPr>
        <w:pStyle w:val="6"/>
        <w:spacing w:before="6"/>
        <w:rPr>
          <w:rFonts w:hint="eastAsia" w:ascii="华文仿宋" w:hAnsi="华文仿宋" w:eastAsia="华文仿宋" w:cs="仿宋"/>
          <w:b/>
          <w:color w:val="000000" w:themeColor="text1"/>
          <w:sz w:val="23"/>
          <w:highlight w:val="none"/>
          <w14:textFill>
            <w14:solidFill>
              <w14:schemeClr w14:val="tx1"/>
            </w14:solidFill>
          </w14:textFill>
        </w:rPr>
      </w:pPr>
    </w:p>
    <w:p w14:paraId="7F5AE26C">
      <w:pPr>
        <w:pStyle w:val="6"/>
        <w:spacing w:before="2"/>
        <w:rPr>
          <w:rFonts w:hint="eastAsia" w:ascii="华文仿宋" w:hAnsi="华文仿宋" w:eastAsia="华文仿宋" w:cs="仿宋"/>
          <w:b/>
          <w:color w:val="000000" w:themeColor="text1"/>
          <w:sz w:val="13"/>
          <w:highlight w:val="none"/>
          <w14:textFill>
            <w14:solidFill>
              <w14:schemeClr w14:val="tx1"/>
            </w14:solidFill>
          </w14:textFill>
        </w:rPr>
      </w:pPr>
    </w:p>
    <w:p w14:paraId="13C13813">
      <w:pPr>
        <w:rPr>
          <w:rFonts w:hint="eastAsia" w:ascii="华文仿宋" w:hAnsi="华文仿宋" w:eastAsia="华文仿宋" w:cs="仿宋"/>
          <w:color w:val="000000" w:themeColor="text1"/>
          <w:sz w:val="13"/>
          <w:highlight w:val="none"/>
          <w14:textFill>
            <w14:solidFill>
              <w14:schemeClr w14:val="tx1"/>
            </w14:solidFill>
          </w14:textFill>
        </w:rPr>
        <w:sectPr>
          <w:type w:val="continuous"/>
          <w:pgSz w:w="11910" w:h="16840"/>
          <w:pgMar w:top="1340" w:right="380" w:bottom="1180" w:left="560" w:header="720" w:footer="720" w:gutter="0"/>
          <w:cols w:space="720" w:num="1"/>
        </w:sectPr>
      </w:pPr>
    </w:p>
    <w:p w14:paraId="4A7E1F67">
      <w:pPr>
        <w:pStyle w:val="3"/>
        <w:spacing w:before="70"/>
        <w:ind w:left="743"/>
        <w:rPr>
          <w:rFonts w:hint="eastAsia" w:ascii="华文仿宋" w:hAnsi="华文仿宋" w:eastAsia="华文仿宋" w:cs="仿宋"/>
          <w:b w:val="0"/>
          <w:color w:val="000000" w:themeColor="text1"/>
          <w:sz w:val="33"/>
          <w:highlight w:val="none"/>
          <w14:textFill>
            <w14:solidFill>
              <w14:schemeClr w14:val="tx1"/>
            </w14:solidFill>
          </w14:textFill>
        </w:rPr>
      </w:pPr>
      <w:bookmarkStart w:id="81" w:name="十一、质量保证及服务承诺"/>
      <w:bookmarkEnd w:id="81"/>
      <w:bookmarkStart w:id="82" w:name="_Toc9491"/>
      <w:r>
        <w:rPr>
          <w:rFonts w:hint="eastAsia" w:ascii="华文仿宋" w:hAnsi="华文仿宋" w:eastAsia="华文仿宋" w:cs="仿宋"/>
          <w:color w:val="000000" w:themeColor="text1"/>
          <w:highlight w:val="none"/>
          <w14:textFill>
            <w14:solidFill>
              <w14:schemeClr w14:val="tx1"/>
            </w14:solidFill>
          </w14:textFill>
        </w:rPr>
        <w:t>十、质量保证及服务承诺</w:t>
      </w:r>
      <w:bookmarkEnd w:id="82"/>
    </w:p>
    <w:p w14:paraId="3AA4823C">
      <w:pPr>
        <w:ind w:left="743"/>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质量保证及服务承诺</w:t>
      </w:r>
    </w:p>
    <w:p w14:paraId="1F782C00">
      <w:pPr>
        <w:rPr>
          <w:rFonts w:hint="eastAsia" w:ascii="华文仿宋" w:hAnsi="华文仿宋" w:eastAsia="华文仿宋" w:cs="仿宋"/>
          <w:color w:val="000000" w:themeColor="text1"/>
          <w:sz w:val="28"/>
          <w:highlight w:val="none"/>
          <w14:textFill>
            <w14:solidFill>
              <w14:schemeClr w14:val="tx1"/>
            </w14:solidFill>
          </w14:textFill>
        </w:rPr>
        <w:sectPr>
          <w:type w:val="continuous"/>
          <w:pgSz w:w="11910" w:h="16840"/>
          <w:pgMar w:top="1340" w:right="380" w:bottom="1180" w:left="560" w:header="720" w:footer="720" w:gutter="0"/>
          <w:cols w:space="720" w:num="1"/>
        </w:sectPr>
      </w:pPr>
    </w:p>
    <w:p w14:paraId="4D32A7D8">
      <w:pPr>
        <w:pStyle w:val="6"/>
        <w:spacing w:before="10"/>
        <w:rPr>
          <w:rFonts w:hint="eastAsia" w:ascii="华文仿宋" w:hAnsi="华文仿宋" w:eastAsia="华文仿宋" w:cs="仿宋"/>
          <w:b/>
          <w:color w:val="000000" w:themeColor="text1"/>
          <w:sz w:val="13"/>
          <w:highlight w:val="none"/>
          <w14:textFill>
            <w14:solidFill>
              <w14:schemeClr w14:val="tx1"/>
            </w14:solidFill>
          </w14:textFill>
        </w:rPr>
      </w:pPr>
    </w:p>
    <w:p w14:paraId="434B3E14">
      <w:pPr>
        <w:spacing w:before="67"/>
        <w:ind w:left="743" w:right="731"/>
        <w:rPr>
          <w:rFonts w:hint="eastAsia" w:ascii="华文仿宋" w:hAnsi="华文仿宋" w:eastAsia="华文仿宋" w:cs="仿宋"/>
          <w:color w:val="000000" w:themeColor="text1"/>
          <w:sz w:val="21"/>
          <w:highlight w:val="none"/>
          <w14:textFill>
            <w14:solidFill>
              <w14:schemeClr w14:val="tx1"/>
            </w14:solidFill>
          </w14:textFill>
        </w:rPr>
      </w:pPr>
      <w:r>
        <w:rPr>
          <w:rFonts w:hint="eastAsia" w:ascii="华文仿宋" w:hAnsi="华文仿宋" w:eastAsia="华文仿宋" w:cs="仿宋"/>
          <w:color w:val="000000" w:themeColor="text1"/>
          <w:spacing w:val="2"/>
          <w:sz w:val="21"/>
          <w:highlight w:val="none"/>
          <w14:textFill>
            <w14:solidFill>
              <w14:schemeClr w14:val="tx1"/>
            </w14:solidFill>
          </w14:textFill>
        </w:rPr>
        <w:t>我公司就项目编号为</w:t>
      </w:r>
      <w:r>
        <w:rPr>
          <w:rFonts w:hint="eastAsia" w:ascii="华文仿宋" w:hAnsi="华文仿宋" w:eastAsia="华文仿宋" w:cs="仿宋"/>
          <w:color w:val="000000" w:themeColor="text1"/>
          <w:sz w:val="21"/>
          <w:highlight w:val="none"/>
          <w14:textFill>
            <w14:solidFill>
              <w14:schemeClr w14:val="tx1"/>
            </w14:solidFill>
          </w14:textFill>
        </w:rPr>
        <w:t>“</w:t>
      </w:r>
      <w:r>
        <w:rPr>
          <w:rFonts w:hint="eastAsia" w:ascii="华文仿宋" w:hAnsi="华文仿宋" w:eastAsia="华文仿宋" w:cs="仿宋"/>
          <w:color w:val="000000" w:themeColor="text1"/>
          <w:sz w:val="21"/>
          <w:highlight w:val="none"/>
          <w:lang w:eastAsia="zh-CN"/>
          <w14:textFill>
            <w14:solidFill>
              <w14:schemeClr w14:val="tx1"/>
            </w14:solidFill>
          </w14:textFill>
        </w:rPr>
        <w:t>HS202604003</w:t>
      </w:r>
      <w:r>
        <w:rPr>
          <w:rFonts w:hint="eastAsia" w:ascii="华文仿宋" w:hAnsi="华文仿宋" w:eastAsia="华文仿宋" w:cs="仿宋"/>
          <w:color w:val="000000" w:themeColor="text1"/>
          <w:sz w:val="21"/>
          <w:highlight w:val="none"/>
          <w14:textFill>
            <w14:solidFill>
              <w14:schemeClr w14:val="tx1"/>
            </w14:solidFill>
          </w14:textFill>
        </w:rPr>
        <w:t xml:space="preserve"> ”</w:t>
      </w:r>
      <w:r>
        <w:rPr>
          <w:rFonts w:hint="eastAsia" w:ascii="华文仿宋" w:hAnsi="华文仿宋" w:eastAsia="华文仿宋" w:cs="仿宋"/>
          <w:color w:val="000000" w:themeColor="text1"/>
          <w:spacing w:val="-5"/>
          <w:sz w:val="21"/>
          <w:highlight w:val="none"/>
          <w14:textFill>
            <w14:solidFill>
              <w14:schemeClr w14:val="tx1"/>
            </w14:solidFill>
          </w14:textFill>
        </w:rPr>
        <w:t>的</w:t>
      </w:r>
      <w:r>
        <w:rPr>
          <w:rFonts w:hint="eastAsia" w:ascii="华文仿宋" w:hAnsi="华文仿宋" w:eastAsia="华文仿宋" w:cs="仿宋"/>
          <w:color w:val="000000" w:themeColor="text1"/>
          <w:spacing w:val="3"/>
          <w:sz w:val="21"/>
          <w:highlight w:val="none"/>
          <w:u w:val="single"/>
          <w:lang w:eastAsia="zh-CN"/>
          <w14:textFill>
            <w14:solidFill>
              <w14:schemeClr w14:val="tx1"/>
            </w14:solidFill>
          </w14:textFill>
        </w:rPr>
        <w:t>湖熟中心小学整体改扩建工程项目(报告厅(含食堂)及风雨操场)结算审计</w:t>
      </w:r>
      <w:r>
        <w:rPr>
          <w:rFonts w:hint="eastAsia" w:ascii="华文仿宋" w:hAnsi="华文仿宋" w:eastAsia="华文仿宋" w:cs="仿宋"/>
          <w:color w:val="000000" w:themeColor="text1"/>
          <w:spacing w:val="3"/>
          <w:sz w:val="21"/>
          <w:highlight w:val="none"/>
          <w14:textFill>
            <w14:solidFill>
              <w14:schemeClr w14:val="tx1"/>
            </w14:solidFill>
          </w14:textFill>
        </w:rPr>
        <w:t>项目质量保证及服务承诺如下：</w:t>
      </w:r>
    </w:p>
    <w:p w14:paraId="65B12A78">
      <w:pPr>
        <w:pStyle w:val="6"/>
        <w:spacing w:before="3"/>
        <w:rPr>
          <w:rFonts w:hint="eastAsia" w:ascii="华文仿宋" w:hAnsi="华文仿宋" w:eastAsia="华文仿宋" w:cs="仿宋"/>
          <w:color w:val="000000" w:themeColor="text1"/>
          <w:sz w:val="19"/>
          <w:highlight w:val="none"/>
          <w14:textFill>
            <w14:solidFill>
              <w14:schemeClr w14:val="tx1"/>
            </w14:solidFill>
          </w14:textFill>
        </w:rPr>
      </w:pPr>
    </w:p>
    <w:p w14:paraId="6C60B6A8">
      <w:pPr>
        <w:pStyle w:val="6"/>
        <w:ind w:left="1767" w:right="1417"/>
        <w:jc w:val="center"/>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（供应商自拟）</w:t>
      </w:r>
    </w:p>
    <w:p w14:paraId="4A1C876F">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B2DCD7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3A3C94CE">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FA795F3">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6C24824B">
      <w:pPr>
        <w:pStyle w:val="6"/>
        <w:spacing w:before="4"/>
        <w:rPr>
          <w:rFonts w:hint="eastAsia" w:ascii="华文仿宋" w:hAnsi="华文仿宋" w:eastAsia="华文仿宋" w:cs="仿宋"/>
          <w:color w:val="000000" w:themeColor="text1"/>
          <w:sz w:val="14"/>
          <w:highlight w:val="none"/>
          <w14:textFill>
            <w14:solidFill>
              <w14:schemeClr w14:val="tx1"/>
            </w14:solidFill>
          </w14:textFill>
        </w:rPr>
      </w:pPr>
    </w:p>
    <w:p w14:paraId="787E0605">
      <w:pPr>
        <w:pStyle w:val="6"/>
        <w:spacing w:before="1"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0FE66F1">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7A6488C">
      <w:pPr>
        <w:spacing w:line="265" w:lineRule="exact"/>
        <w:rPr>
          <w:rFonts w:hint="eastAsia" w:ascii="华文仿宋" w:hAnsi="华文仿宋" w:eastAsia="华文仿宋" w:cs="仿宋"/>
          <w:color w:val="000000" w:themeColor="text1"/>
          <w:highlight w:val="none"/>
          <w14:textFill>
            <w14:solidFill>
              <w14:schemeClr w14:val="tx1"/>
            </w14:solidFill>
          </w14:textFill>
        </w:rPr>
        <w:sectPr>
          <w:type w:val="continuous"/>
          <w:pgSz w:w="11910" w:h="16840"/>
          <w:pgMar w:top="1340" w:right="380" w:bottom="1180" w:left="560" w:header="720" w:footer="720" w:gutter="0"/>
          <w:cols w:space="720" w:num="1"/>
        </w:sectPr>
      </w:pPr>
    </w:p>
    <w:p w14:paraId="3AD19230">
      <w:pPr>
        <w:pStyle w:val="6"/>
        <w:spacing w:before="9"/>
        <w:rPr>
          <w:rFonts w:hint="eastAsia" w:ascii="华文仿宋" w:hAnsi="华文仿宋" w:eastAsia="华文仿宋" w:cs="仿宋"/>
          <w:color w:val="000000" w:themeColor="text1"/>
          <w:sz w:val="9"/>
          <w:highlight w:val="none"/>
          <w14:textFill>
            <w14:solidFill>
              <w14:schemeClr w14:val="tx1"/>
            </w14:solidFill>
          </w14:textFill>
        </w:rPr>
      </w:pPr>
    </w:p>
    <w:p w14:paraId="4281DCD3">
      <w:pPr>
        <w:spacing w:before="66"/>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3" w:name="附件三：中小企业声明函格式、残疾人福利性单位声明函（如有）"/>
      <w:bookmarkEnd w:id="83"/>
      <w:bookmarkStart w:id="84" w:name="_Toc24734"/>
      <w:r>
        <w:rPr>
          <w:rFonts w:hint="eastAsia" w:ascii="华文仿宋" w:hAnsi="华文仿宋" w:eastAsia="华文仿宋" w:cs="仿宋"/>
          <w:b/>
          <w:color w:val="000000" w:themeColor="text1"/>
          <w:sz w:val="24"/>
          <w:highlight w:val="none"/>
          <w14:textFill>
            <w14:solidFill>
              <w14:schemeClr w14:val="tx1"/>
            </w14:solidFill>
          </w14:textFill>
        </w:rPr>
        <w:t>附件一：具备履行合同所必需的设备和专业技术能力的书面声明</w:t>
      </w:r>
      <w:bookmarkEnd w:id="84"/>
    </w:p>
    <w:p w14:paraId="44DC1C7B">
      <w:pPr>
        <w:pStyle w:val="6"/>
        <w:spacing w:before="4"/>
        <w:rPr>
          <w:rFonts w:hint="eastAsia" w:ascii="华文仿宋" w:hAnsi="华文仿宋" w:eastAsia="华文仿宋" w:cs="仿宋"/>
          <w:b/>
          <w:color w:val="000000" w:themeColor="text1"/>
          <w:sz w:val="33"/>
          <w:highlight w:val="none"/>
          <w14:textFill>
            <w14:solidFill>
              <w14:schemeClr w14:val="tx1"/>
            </w14:solidFill>
          </w14:textFill>
        </w:rPr>
      </w:pPr>
    </w:p>
    <w:p w14:paraId="3C4510D8">
      <w:pPr>
        <w:spacing w:before="1"/>
        <w:ind w:left="1765" w:right="1753"/>
        <w:jc w:val="center"/>
        <w:rPr>
          <w:rFonts w:hint="eastAsia" w:ascii="华文仿宋" w:hAnsi="华文仿宋" w:eastAsia="华文仿宋" w:cs="仿宋"/>
          <w:b/>
          <w:color w:val="000000" w:themeColor="text1"/>
          <w:sz w:val="24"/>
          <w:highlight w:val="none"/>
          <w14:textFill>
            <w14:solidFill>
              <w14:schemeClr w14:val="tx1"/>
            </w14:solidFill>
          </w14:textFill>
        </w:rPr>
      </w:pPr>
      <w:r>
        <w:rPr>
          <w:rFonts w:hint="eastAsia" w:ascii="华文仿宋" w:hAnsi="华文仿宋" w:eastAsia="华文仿宋" w:cs="仿宋"/>
          <w:b/>
          <w:color w:val="000000" w:themeColor="text1"/>
          <w:sz w:val="24"/>
          <w:highlight w:val="none"/>
          <w14:textFill>
            <w14:solidFill>
              <w14:schemeClr w14:val="tx1"/>
            </w14:solidFill>
          </w14:textFill>
        </w:rPr>
        <w:t>具备履行合同所必需的设备和专业技术能力的书面声明</w:t>
      </w:r>
    </w:p>
    <w:p w14:paraId="28547F02">
      <w:pPr>
        <w:pStyle w:val="6"/>
        <w:spacing w:before="2"/>
        <w:rPr>
          <w:rFonts w:hint="eastAsia" w:ascii="华文仿宋" w:hAnsi="华文仿宋" w:eastAsia="华文仿宋" w:cs="仿宋"/>
          <w:b/>
          <w:color w:val="000000" w:themeColor="text1"/>
          <w:sz w:val="30"/>
          <w:highlight w:val="none"/>
          <w14:textFill>
            <w14:solidFill>
              <w14:schemeClr w14:val="tx1"/>
            </w14:solidFill>
          </w14:textFill>
        </w:rPr>
      </w:pPr>
    </w:p>
    <w:p w14:paraId="103A91AD">
      <w:pPr>
        <w:pStyle w:val="6"/>
        <w:spacing w:line="364" w:lineRule="auto"/>
        <w:ind w:left="743" w:right="767" w:firstLine="444"/>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我单位郑重声明：我单位具备履行本项采购合同所必需的设备和专业技术能力，为履行本项采  </w:t>
      </w:r>
      <w:r>
        <w:rPr>
          <w:rFonts w:hint="eastAsia" w:ascii="华文仿宋" w:hAnsi="华文仿宋" w:eastAsia="华文仿宋" w:cs="仿宋"/>
          <w:color w:val="000000" w:themeColor="text1"/>
          <w:highlight w:val="none"/>
          <w14:textFill>
            <w14:solidFill>
              <w14:schemeClr w14:val="tx1"/>
            </w14:solidFill>
          </w14:textFill>
        </w:rPr>
        <w:t>购合同我公司具备如下主要设备和主要专业技术能力：</w:t>
      </w:r>
    </w:p>
    <w:p w14:paraId="4BF29018">
      <w:pPr>
        <w:pStyle w:val="6"/>
        <w:tabs>
          <w:tab w:val="left" w:pos="4040"/>
        </w:tabs>
        <w:spacing w:before="1"/>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设</w:t>
      </w:r>
      <w:r>
        <w:rPr>
          <w:rFonts w:hint="eastAsia" w:ascii="华文仿宋" w:hAnsi="华文仿宋" w:eastAsia="华文仿宋" w:cs="仿宋"/>
          <w:color w:val="000000" w:themeColor="text1"/>
          <w:spacing w:val="14"/>
          <w:highlight w:val="none"/>
          <w14:textFill>
            <w14:solidFill>
              <w14:schemeClr w14:val="tx1"/>
            </w14:solidFill>
          </w14:textFill>
        </w:rPr>
        <w:t>备</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217037BD">
      <w:pPr>
        <w:pStyle w:val="6"/>
        <w:tabs>
          <w:tab w:val="left" w:pos="4928"/>
        </w:tabs>
        <w:spacing w:before="139"/>
        <w:ind w:left="118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主</w:t>
      </w:r>
      <w:r>
        <w:rPr>
          <w:rFonts w:hint="eastAsia" w:ascii="华文仿宋" w:hAnsi="华文仿宋" w:eastAsia="华文仿宋" w:cs="仿宋"/>
          <w:color w:val="000000" w:themeColor="text1"/>
          <w:spacing w:val="14"/>
          <w:highlight w:val="none"/>
          <w14:textFill>
            <w14:solidFill>
              <w14:schemeClr w14:val="tx1"/>
            </w14:solidFill>
          </w14:textFill>
        </w:rPr>
        <w:t>要</w:t>
      </w:r>
      <w:r>
        <w:rPr>
          <w:rFonts w:hint="eastAsia" w:ascii="华文仿宋" w:hAnsi="华文仿宋" w:eastAsia="华文仿宋" w:cs="仿宋"/>
          <w:color w:val="000000" w:themeColor="text1"/>
          <w:spacing w:val="11"/>
          <w:highlight w:val="none"/>
          <w14:textFill>
            <w14:solidFill>
              <w14:schemeClr w14:val="tx1"/>
            </w14:solidFill>
          </w14:textFill>
        </w:rPr>
        <w:t>专</w:t>
      </w:r>
      <w:r>
        <w:rPr>
          <w:rFonts w:hint="eastAsia" w:ascii="华文仿宋" w:hAnsi="华文仿宋" w:eastAsia="华文仿宋" w:cs="仿宋"/>
          <w:color w:val="000000" w:themeColor="text1"/>
          <w:spacing w:val="14"/>
          <w:highlight w:val="none"/>
          <w14:textFill>
            <w14:solidFill>
              <w14:schemeClr w14:val="tx1"/>
            </w14:solidFill>
          </w14:textFill>
        </w:rPr>
        <w:t>业</w:t>
      </w:r>
      <w:r>
        <w:rPr>
          <w:rFonts w:hint="eastAsia" w:ascii="华文仿宋" w:hAnsi="华文仿宋" w:eastAsia="华文仿宋" w:cs="仿宋"/>
          <w:color w:val="000000" w:themeColor="text1"/>
          <w:spacing w:val="11"/>
          <w:highlight w:val="none"/>
          <w14:textFill>
            <w14:solidFill>
              <w14:schemeClr w14:val="tx1"/>
            </w14:solidFill>
          </w14:textFill>
        </w:rPr>
        <w:t>技</w:t>
      </w:r>
      <w:r>
        <w:rPr>
          <w:rFonts w:hint="eastAsia" w:ascii="华文仿宋" w:hAnsi="华文仿宋" w:eastAsia="华文仿宋" w:cs="仿宋"/>
          <w:color w:val="000000" w:themeColor="text1"/>
          <w:spacing w:val="14"/>
          <w:highlight w:val="none"/>
          <w14:textFill>
            <w14:solidFill>
              <w14:schemeClr w14:val="tx1"/>
            </w14:solidFill>
          </w14:textFill>
        </w:rPr>
        <w:t>术</w:t>
      </w:r>
      <w:r>
        <w:rPr>
          <w:rFonts w:hint="eastAsia" w:ascii="华文仿宋" w:hAnsi="华文仿宋" w:eastAsia="华文仿宋" w:cs="仿宋"/>
          <w:color w:val="000000" w:themeColor="text1"/>
          <w:spacing w:val="11"/>
          <w:highlight w:val="none"/>
          <w14:textFill>
            <w14:solidFill>
              <w14:schemeClr w14:val="tx1"/>
            </w14:solidFill>
          </w14:textFill>
        </w:rPr>
        <w:t>能</w:t>
      </w:r>
      <w:r>
        <w:rPr>
          <w:rFonts w:hint="eastAsia" w:ascii="华文仿宋" w:hAnsi="华文仿宋" w:eastAsia="华文仿宋" w:cs="仿宋"/>
          <w:color w:val="000000" w:themeColor="text1"/>
          <w:spacing w:val="14"/>
          <w:highlight w:val="none"/>
          <w14:textFill>
            <w14:solidFill>
              <w14:schemeClr w14:val="tx1"/>
            </w14:solidFill>
          </w14:textFill>
        </w:rPr>
        <w:t>力</w:t>
      </w:r>
      <w:r>
        <w:rPr>
          <w:rFonts w:hint="eastAsia" w:ascii="华文仿宋" w:hAnsi="华文仿宋" w:eastAsia="华文仿宋" w:cs="仿宋"/>
          <w:color w:val="000000" w:themeColor="text1"/>
          <w:spacing w:val="11"/>
          <w:highlight w:val="none"/>
          <w14:textFill>
            <w14:solidFill>
              <w14:schemeClr w14:val="tx1"/>
            </w14:solidFill>
          </w14:textFill>
        </w:rPr>
        <w:t>有</w:t>
      </w:r>
      <w:r>
        <w:rPr>
          <w:rFonts w:hint="eastAsia" w:ascii="华文仿宋" w:hAnsi="华文仿宋" w:eastAsia="华文仿宋" w:cs="仿宋"/>
          <w:color w:val="000000" w:themeColor="text1"/>
          <w:spacing w:val="14"/>
          <w:highlight w:val="none"/>
          <w14:textFill>
            <w14:solidFill>
              <w14:schemeClr w14:val="tx1"/>
            </w14:solidFill>
          </w14:textFill>
        </w:rPr>
        <w:t>：</w:t>
      </w:r>
      <w:r>
        <w:rPr>
          <w:rFonts w:hint="eastAsia" w:ascii="华文仿宋" w:hAnsi="华文仿宋" w:eastAsia="华文仿宋" w:cs="仿宋"/>
          <w:color w:val="000000" w:themeColor="text1"/>
          <w:spacing w:val="14"/>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4"/>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w:t>
      </w:r>
    </w:p>
    <w:p w14:paraId="002C8158">
      <w:pPr>
        <w:pStyle w:val="6"/>
        <w:rPr>
          <w:rFonts w:hint="eastAsia" w:ascii="华文仿宋" w:hAnsi="华文仿宋" w:eastAsia="华文仿宋" w:cs="仿宋"/>
          <w:color w:val="000000" w:themeColor="text1"/>
          <w:sz w:val="22"/>
          <w:highlight w:val="none"/>
          <w14:textFill>
            <w14:solidFill>
              <w14:schemeClr w14:val="tx1"/>
            </w14:solidFill>
          </w14:textFill>
        </w:rPr>
      </w:pPr>
    </w:p>
    <w:p w14:paraId="74AB0DD3">
      <w:pPr>
        <w:pStyle w:val="6"/>
        <w:spacing w:before="10"/>
        <w:rPr>
          <w:rFonts w:hint="eastAsia" w:ascii="华文仿宋" w:hAnsi="华文仿宋" w:eastAsia="华文仿宋" w:cs="仿宋"/>
          <w:color w:val="000000" w:themeColor="text1"/>
          <w:sz w:val="24"/>
          <w:highlight w:val="none"/>
          <w14:textFill>
            <w14:solidFill>
              <w14:schemeClr w14:val="tx1"/>
            </w14:solidFill>
          </w14:textFill>
        </w:rPr>
      </w:pPr>
    </w:p>
    <w:p w14:paraId="7809CEA8">
      <w:pPr>
        <w:pStyle w:val="6"/>
        <w:spacing w:line="242" w:lineRule="auto"/>
        <w:ind w:left="7367" w:right="191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51156894">
      <w:pPr>
        <w:pStyle w:val="6"/>
        <w:tabs>
          <w:tab w:val="left" w:pos="7998"/>
          <w:tab w:val="left" w:pos="8838"/>
          <w:tab w:val="left" w:pos="9467"/>
        </w:tabs>
        <w:spacing w:before="2"/>
        <w:ind w:left="7367"/>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p>
    <w:p w14:paraId="31AAD258">
      <w:pPr>
        <w:pStyle w:val="6"/>
        <w:rPr>
          <w:rFonts w:hint="eastAsia" w:ascii="华文仿宋" w:hAnsi="华文仿宋" w:eastAsia="华文仿宋" w:cs="仿宋"/>
          <w:color w:val="000000" w:themeColor="text1"/>
          <w:sz w:val="19"/>
          <w:highlight w:val="none"/>
          <w14:textFill>
            <w14:solidFill>
              <w14:schemeClr w14:val="tx1"/>
            </w14:solidFill>
          </w14:textFill>
        </w:rPr>
      </w:pPr>
    </w:p>
    <w:p w14:paraId="5A7B3808">
      <w:pPr>
        <w:pStyle w:val="6"/>
        <w:rPr>
          <w:rFonts w:hint="eastAsia" w:ascii="华文仿宋" w:hAnsi="华文仿宋" w:eastAsia="华文仿宋" w:cs="仿宋"/>
          <w:b/>
          <w:color w:val="000000" w:themeColor="text1"/>
          <w:sz w:val="19"/>
          <w:highlight w:val="none"/>
          <w14:textFill>
            <w14:solidFill>
              <w14:schemeClr w14:val="tx1"/>
            </w14:solidFill>
          </w14:textFill>
        </w:rPr>
      </w:pPr>
    </w:p>
    <w:p w14:paraId="3E31207C">
      <w:pPr>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5" w:name="附件二：无重大违法记录声明格式"/>
      <w:bookmarkEnd w:id="85"/>
      <w:bookmarkStart w:id="86" w:name="_Toc19942"/>
      <w:r>
        <w:rPr>
          <w:rFonts w:hint="eastAsia" w:ascii="华文仿宋" w:hAnsi="华文仿宋" w:eastAsia="华文仿宋" w:cs="仿宋"/>
          <w:b/>
          <w:color w:val="000000" w:themeColor="text1"/>
          <w:sz w:val="24"/>
          <w:highlight w:val="none"/>
          <w14:textFill>
            <w14:solidFill>
              <w14:schemeClr w14:val="tx1"/>
            </w14:solidFill>
          </w14:textFill>
        </w:rPr>
        <w:t>附件二：无重大违法记录声明格式</w:t>
      </w:r>
      <w:bookmarkEnd w:id="86"/>
    </w:p>
    <w:p w14:paraId="601D3EFF">
      <w:pPr>
        <w:spacing w:before="5"/>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无重大违法记录声明</w:t>
      </w:r>
    </w:p>
    <w:p w14:paraId="715C8197">
      <w:pPr>
        <w:pStyle w:val="6"/>
        <w:spacing w:before="2"/>
        <w:ind w:left="74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lang w:eastAsia="zh-CN"/>
          <w14:textFill>
            <w14:solidFill>
              <w14:schemeClr w14:val="tx1"/>
            </w14:solidFill>
          </w14:textFill>
        </w:rPr>
        <w:t>（</w:t>
      </w:r>
      <w:r>
        <w:rPr>
          <w:rFonts w:hint="eastAsia" w:ascii="华文仿宋" w:hAnsi="华文仿宋" w:eastAsia="华文仿宋" w:cs="仿宋"/>
          <w:color w:val="000000" w:themeColor="text1"/>
          <w:highlight w:val="none"/>
          <w:lang w:val="en-US" w:eastAsia="zh-CN"/>
          <w14:textFill>
            <w14:solidFill>
              <w14:schemeClr w14:val="tx1"/>
            </w14:solidFill>
          </w14:textFill>
        </w:rPr>
        <w:t>采购人名称）</w:t>
      </w:r>
      <w:r>
        <w:rPr>
          <w:rFonts w:hint="eastAsia" w:ascii="华文仿宋" w:hAnsi="华文仿宋" w:eastAsia="华文仿宋" w:cs="仿宋"/>
          <w:color w:val="000000" w:themeColor="text1"/>
          <w:highlight w:val="none"/>
          <w14:textFill>
            <w14:solidFill>
              <w14:schemeClr w14:val="tx1"/>
            </w14:solidFill>
          </w14:textFill>
        </w:rPr>
        <w:t>：</w:t>
      </w:r>
    </w:p>
    <w:p w14:paraId="5F9692BC">
      <w:pPr>
        <w:pStyle w:val="6"/>
        <w:tabs>
          <w:tab w:val="left" w:pos="6440"/>
        </w:tabs>
        <w:spacing w:before="139"/>
        <w:ind w:left="1211"/>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1"/>
          <w:highlight w:val="none"/>
          <w14:textFill>
            <w14:solidFill>
              <w14:schemeClr w14:val="tx1"/>
            </w14:solidFill>
          </w14:textFill>
        </w:rPr>
        <w:t>我</w:t>
      </w:r>
      <w:r>
        <w:rPr>
          <w:rFonts w:hint="eastAsia" w:ascii="华文仿宋" w:hAnsi="华文仿宋" w:eastAsia="华文仿宋" w:cs="仿宋"/>
          <w:color w:val="000000" w:themeColor="text1"/>
          <w:spacing w:val="14"/>
          <w:highlight w:val="none"/>
          <w14:textFill>
            <w14:solidFill>
              <w14:schemeClr w14:val="tx1"/>
            </w14:solidFill>
          </w14:textFill>
        </w:rPr>
        <w:t>单</w:t>
      </w:r>
      <w:r>
        <w:rPr>
          <w:rFonts w:hint="eastAsia" w:ascii="华文仿宋" w:hAnsi="华文仿宋" w:eastAsia="华文仿宋" w:cs="仿宋"/>
          <w:color w:val="000000" w:themeColor="text1"/>
          <w:spacing w:val="13"/>
          <w:highlight w:val="none"/>
          <w14:textFill>
            <w14:solidFill>
              <w14:schemeClr w14:val="tx1"/>
            </w14:solidFill>
          </w14:textFill>
        </w:rPr>
        <w:t>位</w:t>
      </w:r>
      <w:r>
        <w:rPr>
          <w:rFonts w:hint="eastAsia" w:ascii="华文仿宋" w:hAnsi="华文仿宋" w:eastAsia="华文仿宋" w:cs="仿宋"/>
          <w:color w:val="000000" w:themeColor="text1"/>
          <w:spacing w:val="13"/>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3"/>
          <w:highlight w:val="none"/>
          <w:u w:val="single"/>
          <w14:textFill>
            <w14:solidFill>
              <w14:schemeClr w14:val="tx1"/>
            </w14:solidFill>
          </w14:textFill>
        </w:rPr>
        <w:tab/>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供</w:t>
      </w:r>
      <w:r>
        <w:rPr>
          <w:rFonts w:hint="eastAsia" w:ascii="华文仿宋" w:hAnsi="华文仿宋" w:eastAsia="华文仿宋" w:cs="仿宋"/>
          <w:color w:val="000000" w:themeColor="text1"/>
          <w:spacing w:val="11"/>
          <w:highlight w:val="none"/>
          <w14:textFill>
            <w14:solidFill>
              <w14:schemeClr w14:val="tx1"/>
            </w14:solidFill>
          </w14:textFill>
        </w:rPr>
        <w:t>应</w:t>
      </w:r>
      <w:r>
        <w:rPr>
          <w:rFonts w:hint="eastAsia" w:ascii="华文仿宋" w:hAnsi="华文仿宋" w:eastAsia="华文仿宋" w:cs="仿宋"/>
          <w:color w:val="000000" w:themeColor="text1"/>
          <w:spacing w:val="14"/>
          <w:highlight w:val="none"/>
          <w14:textFill>
            <w14:solidFill>
              <w14:schemeClr w14:val="tx1"/>
            </w14:solidFill>
          </w14:textFill>
        </w:rPr>
        <w:t>商</w:t>
      </w:r>
      <w:r>
        <w:rPr>
          <w:rFonts w:hint="eastAsia" w:ascii="华文仿宋" w:hAnsi="华文仿宋" w:eastAsia="华文仿宋" w:cs="仿宋"/>
          <w:color w:val="000000" w:themeColor="text1"/>
          <w:spacing w:val="11"/>
          <w:highlight w:val="none"/>
          <w14:textFill>
            <w14:solidFill>
              <w14:schemeClr w14:val="tx1"/>
            </w14:solidFill>
          </w14:textFill>
        </w:rPr>
        <w:t>名</w:t>
      </w:r>
      <w:r>
        <w:rPr>
          <w:rFonts w:hint="eastAsia" w:ascii="华文仿宋" w:hAnsi="华文仿宋" w:eastAsia="华文仿宋" w:cs="仿宋"/>
          <w:color w:val="000000" w:themeColor="text1"/>
          <w:spacing w:val="14"/>
          <w:highlight w:val="none"/>
          <w14:textFill>
            <w14:solidFill>
              <w14:schemeClr w14:val="tx1"/>
            </w14:solidFill>
          </w14:textFill>
        </w:rPr>
        <w:t>称</w:t>
      </w:r>
      <w:r>
        <w:rPr>
          <w:rFonts w:hint="eastAsia" w:ascii="华文仿宋" w:hAnsi="华文仿宋" w:eastAsia="华文仿宋" w:cs="仿宋"/>
          <w:color w:val="000000" w:themeColor="text1"/>
          <w:spacing w:val="11"/>
          <w:highlight w:val="none"/>
          <w14:textFill>
            <w14:solidFill>
              <w14:schemeClr w14:val="tx1"/>
            </w14:solidFill>
          </w14:textFill>
        </w:rPr>
        <w:t>）</w:t>
      </w:r>
      <w:r>
        <w:rPr>
          <w:rFonts w:hint="eastAsia" w:ascii="华文仿宋" w:hAnsi="华文仿宋" w:eastAsia="华文仿宋" w:cs="仿宋"/>
          <w:color w:val="000000" w:themeColor="text1"/>
          <w:spacing w:val="14"/>
          <w:highlight w:val="none"/>
          <w14:textFill>
            <w14:solidFill>
              <w14:schemeClr w14:val="tx1"/>
            </w14:solidFill>
          </w14:textFill>
        </w:rPr>
        <w:t>郑</w:t>
      </w:r>
      <w:r>
        <w:rPr>
          <w:rFonts w:hint="eastAsia" w:ascii="华文仿宋" w:hAnsi="华文仿宋" w:eastAsia="华文仿宋" w:cs="仿宋"/>
          <w:color w:val="000000" w:themeColor="text1"/>
          <w:spacing w:val="11"/>
          <w:highlight w:val="none"/>
          <w14:textFill>
            <w14:solidFill>
              <w14:schemeClr w14:val="tx1"/>
            </w14:solidFill>
          </w14:textFill>
        </w:rPr>
        <w:t>重</w:t>
      </w:r>
      <w:r>
        <w:rPr>
          <w:rFonts w:hint="eastAsia" w:ascii="华文仿宋" w:hAnsi="华文仿宋" w:eastAsia="华文仿宋" w:cs="仿宋"/>
          <w:color w:val="000000" w:themeColor="text1"/>
          <w:spacing w:val="14"/>
          <w:highlight w:val="none"/>
          <w14:textFill>
            <w14:solidFill>
              <w14:schemeClr w14:val="tx1"/>
            </w14:solidFill>
          </w14:textFill>
        </w:rPr>
        <w:t>声</w:t>
      </w:r>
      <w:r>
        <w:rPr>
          <w:rFonts w:hint="eastAsia" w:ascii="华文仿宋" w:hAnsi="华文仿宋" w:eastAsia="华文仿宋" w:cs="仿宋"/>
          <w:color w:val="000000" w:themeColor="text1"/>
          <w:spacing w:val="11"/>
          <w:highlight w:val="none"/>
          <w14:textFill>
            <w14:solidFill>
              <w14:schemeClr w14:val="tx1"/>
            </w14:solidFill>
          </w14:textFill>
        </w:rPr>
        <w:t>明</w:t>
      </w:r>
      <w:r>
        <w:rPr>
          <w:rFonts w:hint="eastAsia" w:ascii="华文仿宋" w:hAnsi="华文仿宋" w:eastAsia="华文仿宋" w:cs="仿宋"/>
          <w:color w:val="000000" w:themeColor="text1"/>
          <w:highlight w:val="none"/>
          <w14:textFill>
            <w14:solidFill>
              <w14:schemeClr w14:val="tx1"/>
            </w14:solidFill>
          </w14:textFill>
        </w:rPr>
        <w:t>：</w:t>
      </w:r>
    </w:p>
    <w:p w14:paraId="4C77C97E">
      <w:pPr>
        <w:pStyle w:val="6"/>
        <w:tabs>
          <w:tab w:val="left" w:pos="6188"/>
        </w:tabs>
        <w:spacing w:before="141" w:line="364" w:lineRule="auto"/>
        <w:ind w:left="743" w:right="762"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spacing w:val="14"/>
          <w:highlight w:val="none"/>
          <w14:textFill>
            <w14:solidFill>
              <w14:schemeClr w14:val="tx1"/>
            </w14:solidFill>
          </w14:textFill>
        </w:rPr>
        <w:t>参加采购活</w:t>
      </w:r>
      <w:r>
        <w:rPr>
          <w:rFonts w:hint="eastAsia" w:ascii="华文仿宋" w:hAnsi="华文仿宋" w:eastAsia="华文仿宋" w:cs="仿宋"/>
          <w:color w:val="000000" w:themeColor="text1"/>
          <w:spacing w:val="16"/>
          <w:highlight w:val="none"/>
          <w14:textFill>
            <w14:solidFill>
              <w14:schemeClr w14:val="tx1"/>
            </w14:solidFill>
          </w14:textFill>
        </w:rPr>
        <w:t>动</w:t>
      </w:r>
      <w:r>
        <w:rPr>
          <w:rFonts w:hint="eastAsia" w:ascii="华文仿宋" w:hAnsi="华文仿宋" w:eastAsia="华文仿宋" w:cs="仿宋"/>
          <w:color w:val="000000" w:themeColor="text1"/>
          <w:highlight w:val="none"/>
          <w14:textFill>
            <w14:solidFill>
              <w14:schemeClr w14:val="tx1"/>
            </w14:solidFill>
          </w14:textFill>
        </w:rPr>
        <w:t>前</w:t>
      </w:r>
      <w:r>
        <w:rPr>
          <w:rFonts w:hint="eastAsia" w:ascii="华文仿宋" w:hAnsi="华文仿宋" w:eastAsia="华文仿宋" w:cs="仿宋"/>
          <w:color w:val="000000" w:themeColor="text1"/>
          <w:spacing w:val="-4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3</w:t>
      </w:r>
      <w:r>
        <w:rPr>
          <w:rFonts w:hint="eastAsia" w:ascii="华文仿宋" w:hAnsi="华文仿宋" w:eastAsia="华文仿宋" w:cs="仿宋"/>
          <w:color w:val="000000" w:themeColor="text1"/>
          <w:spacing w:val="7"/>
          <w:highlight w:val="none"/>
          <w14:textFill>
            <w14:solidFill>
              <w14:schemeClr w14:val="tx1"/>
            </w14:solidFill>
          </w14:textFill>
        </w:rPr>
        <w:t xml:space="preserve"> </w:t>
      </w:r>
      <w:r>
        <w:rPr>
          <w:rFonts w:hint="eastAsia" w:ascii="华文仿宋" w:hAnsi="华文仿宋" w:eastAsia="华文仿宋" w:cs="仿宋"/>
          <w:color w:val="000000" w:themeColor="text1"/>
          <w:spacing w:val="14"/>
          <w:highlight w:val="none"/>
          <w14:textFill>
            <w14:solidFill>
              <w14:schemeClr w14:val="tx1"/>
            </w14:solidFill>
          </w14:textFill>
        </w:rPr>
        <w:t>年内</w:t>
      </w:r>
      <w:r>
        <w:rPr>
          <w:rFonts w:hint="eastAsia" w:ascii="华文仿宋" w:hAnsi="华文仿宋" w:eastAsia="华文仿宋" w:cs="仿宋"/>
          <w:color w:val="000000" w:themeColor="text1"/>
          <w:spacing w:val="16"/>
          <w:highlight w:val="none"/>
          <w14:textFill>
            <w14:solidFill>
              <w14:schemeClr w14:val="tx1"/>
            </w14:solidFill>
          </w14:textFill>
        </w:rPr>
        <w:t>在</w:t>
      </w:r>
      <w:r>
        <w:rPr>
          <w:rFonts w:hint="eastAsia" w:ascii="华文仿宋" w:hAnsi="华文仿宋" w:eastAsia="华文仿宋" w:cs="仿宋"/>
          <w:color w:val="000000" w:themeColor="text1"/>
          <w:spacing w:val="14"/>
          <w:highlight w:val="none"/>
          <w14:textFill>
            <w14:solidFill>
              <w14:schemeClr w14:val="tx1"/>
            </w14:solidFill>
          </w14:textFill>
        </w:rPr>
        <w:t>经营活动</w:t>
      </w:r>
      <w:r>
        <w:rPr>
          <w:rFonts w:hint="eastAsia" w:ascii="华文仿宋" w:hAnsi="华文仿宋" w:eastAsia="华文仿宋" w:cs="仿宋"/>
          <w:color w:val="000000" w:themeColor="text1"/>
          <w:spacing w:val="16"/>
          <w:highlight w:val="none"/>
          <w14:textFill>
            <w14:solidFill>
              <w14:schemeClr w14:val="tx1"/>
            </w14:solidFill>
          </w14:textFill>
        </w:rPr>
        <w:t>中</w:t>
      </w:r>
      <w:r>
        <w:rPr>
          <w:rFonts w:hint="eastAsia" w:ascii="华文仿宋" w:hAnsi="华文仿宋" w:eastAsia="华文仿宋" w:cs="仿宋"/>
          <w:color w:val="000000" w:themeColor="text1"/>
          <w:spacing w:val="16"/>
          <w:highlight w:val="none"/>
          <w:u w:val="single"/>
          <w14:textFill>
            <w14:solidFill>
              <w14:schemeClr w14:val="tx1"/>
            </w14:solidFill>
          </w14:textFill>
        </w:rPr>
        <w:t xml:space="preserve"> </w:t>
      </w:r>
      <w:r>
        <w:rPr>
          <w:rFonts w:hint="eastAsia" w:ascii="华文仿宋" w:hAnsi="华文仿宋" w:eastAsia="华文仿宋" w:cs="仿宋"/>
          <w:color w:val="000000" w:themeColor="text1"/>
          <w:spacing w:val="16"/>
          <w:highlight w:val="none"/>
          <w:u w:val="single"/>
          <w14:textFill>
            <w14:solidFill>
              <w14:schemeClr w14:val="tx1"/>
            </w14:solidFill>
          </w14:textFill>
        </w:rPr>
        <w:tab/>
      </w:r>
      <w:r>
        <w:rPr>
          <w:rFonts w:hint="eastAsia" w:ascii="华文仿宋" w:hAnsi="华文仿宋" w:eastAsia="华文仿宋" w:cs="仿宋"/>
          <w:color w:val="000000" w:themeColor="text1"/>
          <w:spacing w:val="14"/>
          <w:w w:val="95"/>
          <w:highlight w:val="none"/>
          <w14:textFill>
            <w14:solidFill>
              <w14:schemeClr w14:val="tx1"/>
            </w14:solidFill>
          </w14:textFill>
        </w:rPr>
        <w:t>（在</w:t>
      </w:r>
      <w:r>
        <w:rPr>
          <w:rFonts w:hint="eastAsia" w:ascii="华文仿宋" w:hAnsi="华文仿宋" w:eastAsia="华文仿宋" w:cs="仿宋"/>
          <w:color w:val="000000" w:themeColor="text1"/>
          <w:spacing w:val="16"/>
          <w:w w:val="95"/>
          <w:highlight w:val="none"/>
          <w14:textFill>
            <w14:solidFill>
              <w14:schemeClr w14:val="tx1"/>
            </w14:solidFill>
          </w14:textFill>
        </w:rPr>
        <w:t>下</w:t>
      </w:r>
      <w:r>
        <w:rPr>
          <w:rFonts w:hint="eastAsia" w:ascii="华文仿宋" w:hAnsi="华文仿宋" w:eastAsia="华文仿宋" w:cs="仿宋"/>
          <w:color w:val="000000" w:themeColor="text1"/>
          <w:spacing w:val="14"/>
          <w:w w:val="95"/>
          <w:highlight w:val="none"/>
          <w14:textFill>
            <w14:solidFill>
              <w14:schemeClr w14:val="tx1"/>
            </w14:solidFill>
          </w14:textFill>
        </w:rPr>
        <w:t>划线上如</w:t>
      </w:r>
      <w:r>
        <w:rPr>
          <w:rFonts w:hint="eastAsia" w:ascii="华文仿宋" w:hAnsi="华文仿宋" w:eastAsia="华文仿宋" w:cs="仿宋"/>
          <w:color w:val="000000" w:themeColor="text1"/>
          <w:spacing w:val="16"/>
          <w:w w:val="95"/>
          <w:highlight w:val="none"/>
          <w14:textFill>
            <w14:solidFill>
              <w14:schemeClr w14:val="tx1"/>
            </w14:solidFill>
          </w14:textFill>
        </w:rPr>
        <w:t>实</w:t>
      </w:r>
      <w:r>
        <w:rPr>
          <w:rFonts w:hint="eastAsia" w:ascii="华文仿宋" w:hAnsi="华文仿宋" w:eastAsia="华文仿宋" w:cs="仿宋"/>
          <w:color w:val="000000" w:themeColor="text1"/>
          <w:spacing w:val="14"/>
          <w:w w:val="95"/>
          <w:highlight w:val="none"/>
          <w14:textFill>
            <w14:solidFill>
              <w14:schemeClr w14:val="tx1"/>
            </w14:solidFill>
          </w14:textFill>
        </w:rPr>
        <w:t>填写：有</w:t>
      </w:r>
      <w:r>
        <w:rPr>
          <w:rFonts w:hint="eastAsia" w:ascii="华文仿宋" w:hAnsi="华文仿宋" w:eastAsia="华文仿宋" w:cs="仿宋"/>
          <w:color w:val="000000" w:themeColor="text1"/>
          <w:spacing w:val="16"/>
          <w:w w:val="95"/>
          <w:highlight w:val="none"/>
          <w14:textFill>
            <w14:solidFill>
              <w14:schemeClr w14:val="tx1"/>
            </w14:solidFill>
          </w14:textFill>
        </w:rPr>
        <w:t>或</w:t>
      </w:r>
      <w:r>
        <w:rPr>
          <w:rFonts w:hint="eastAsia" w:ascii="华文仿宋" w:hAnsi="华文仿宋" w:eastAsia="华文仿宋" w:cs="仿宋"/>
          <w:color w:val="000000" w:themeColor="text1"/>
          <w:spacing w:val="14"/>
          <w:w w:val="95"/>
          <w:highlight w:val="none"/>
          <w14:textFill>
            <w14:solidFill>
              <w14:schemeClr w14:val="tx1"/>
            </w14:solidFill>
          </w14:textFill>
        </w:rPr>
        <w:t>没有）</w:t>
      </w:r>
      <w:r>
        <w:rPr>
          <w:rFonts w:hint="eastAsia" w:ascii="华文仿宋" w:hAnsi="华文仿宋" w:eastAsia="华文仿宋" w:cs="仿宋"/>
          <w:color w:val="000000" w:themeColor="text1"/>
          <w:spacing w:val="16"/>
          <w:w w:val="95"/>
          <w:highlight w:val="none"/>
          <w14:textFill>
            <w14:solidFill>
              <w14:schemeClr w14:val="tx1"/>
            </w14:solidFill>
          </w14:textFill>
        </w:rPr>
        <w:t>重</w:t>
      </w:r>
      <w:r>
        <w:rPr>
          <w:rFonts w:hint="eastAsia" w:ascii="华文仿宋" w:hAnsi="华文仿宋" w:eastAsia="华文仿宋" w:cs="仿宋"/>
          <w:color w:val="000000" w:themeColor="text1"/>
          <w:spacing w:val="-12"/>
          <w:w w:val="95"/>
          <w:highlight w:val="none"/>
          <w14:textFill>
            <w14:solidFill>
              <w14:schemeClr w14:val="tx1"/>
            </w14:solidFill>
          </w14:textFill>
        </w:rPr>
        <w:t>大</w:t>
      </w:r>
      <w:r>
        <w:rPr>
          <w:rFonts w:hint="eastAsia" w:ascii="华文仿宋" w:hAnsi="华文仿宋" w:eastAsia="华文仿宋" w:cs="仿宋"/>
          <w:color w:val="000000" w:themeColor="text1"/>
          <w:spacing w:val="11"/>
          <w:highlight w:val="none"/>
          <w14:textFill>
            <w14:solidFill>
              <w14:schemeClr w14:val="tx1"/>
            </w14:solidFill>
          </w14:textFill>
        </w:rPr>
        <w:t>违</w:t>
      </w:r>
      <w:r>
        <w:rPr>
          <w:rFonts w:hint="eastAsia" w:ascii="华文仿宋" w:hAnsi="华文仿宋" w:eastAsia="华文仿宋" w:cs="仿宋"/>
          <w:color w:val="000000" w:themeColor="text1"/>
          <w:spacing w:val="14"/>
          <w:highlight w:val="none"/>
          <w14:textFill>
            <w14:solidFill>
              <w14:schemeClr w14:val="tx1"/>
            </w14:solidFill>
          </w14:textFill>
        </w:rPr>
        <w:t>法</w:t>
      </w:r>
      <w:r>
        <w:rPr>
          <w:rFonts w:hint="eastAsia" w:ascii="华文仿宋" w:hAnsi="华文仿宋" w:eastAsia="华文仿宋" w:cs="仿宋"/>
          <w:color w:val="000000" w:themeColor="text1"/>
          <w:spacing w:val="11"/>
          <w:highlight w:val="none"/>
          <w14:textFill>
            <w14:solidFill>
              <w14:schemeClr w14:val="tx1"/>
            </w14:solidFill>
          </w14:textFill>
        </w:rPr>
        <w:t>记</w:t>
      </w:r>
      <w:r>
        <w:rPr>
          <w:rFonts w:hint="eastAsia" w:ascii="华文仿宋" w:hAnsi="华文仿宋" w:eastAsia="华文仿宋" w:cs="仿宋"/>
          <w:color w:val="000000" w:themeColor="text1"/>
          <w:spacing w:val="14"/>
          <w:highlight w:val="none"/>
          <w14:textFill>
            <w14:solidFill>
              <w14:schemeClr w14:val="tx1"/>
            </w14:solidFill>
          </w14:textFill>
        </w:rPr>
        <w:t>录</w:t>
      </w:r>
      <w:r>
        <w:rPr>
          <w:rFonts w:hint="eastAsia" w:ascii="华文仿宋" w:hAnsi="华文仿宋" w:eastAsia="华文仿宋" w:cs="仿宋"/>
          <w:color w:val="000000" w:themeColor="text1"/>
          <w:highlight w:val="none"/>
          <w14:textFill>
            <w14:solidFill>
              <w14:schemeClr w14:val="tx1"/>
            </w14:solidFill>
          </w14:textFill>
        </w:rPr>
        <w:t>。</w:t>
      </w:r>
    </w:p>
    <w:p w14:paraId="2BE3FE53">
      <w:pPr>
        <w:pStyle w:val="6"/>
        <w:spacing w:line="364" w:lineRule="auto"/>
        <w:ind w:left="743" w:right="767" w:firstLine="468"/>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w w:val="95"/>
          <w:highlight w:val="none"/>
          <w14:textFill>
            <w14:solidFill>
              <w14:schemeClr w14:val="tx1"/>
            </w14:solidFill>
          </w14:textFill>
        </w:rPr>
        <w:t xml:space="preserve">（说明：政采购法第二十二条第一款第五项所称重大违法记录，是指供应商因违法经营受到  </w:t>
      </w:r>
      <w:r>
        <w:rPr>
          <w:rFonts w:hint="eastAsia" w:ascii="华文仿宋" w:hAnsi="华文仿宋" w:eastAsia="华文仿宋" w:cs="仿宋"/>
          <w:color w:val="000000" w:themeColor="text1"/>
          <w:highlight w:val="none"/>
          <w14:textFill>
            <w14:solidFill>
              <w14:schemeClr w14:val="tx1"/>
            </w14:solidFill>
          </w14:textFill>
        </w:rPr>
        <w:t>刑事处罚或者责令停产停业、吊销许可证或者执照、较大数额罚款等行政处罚。）</w:t>
      </w:r>
    </w:p>
    <w:p w14:paraId="415A4F89">
      <w:pPr>
        <w:pStyle w:val="6"/>
        <w:spacing w:line="244" w:lineRule="auto"/>
        <w:ind w:left="7376" w:right="2012" w:hanging="10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 授权代表签字：</w:t>
      </w:r>
    </w:p>
    <w:p w14:paraId="6C8FD9C7">
      <w:pPr>
        <w:pStyle w:val="6"/>
        <w:tabs>
          <w:tab w:val="left" w:pos="8007"/>
          <w:tab w:val="left" w:pos="8847"/>
          <w:tab w:val="left" w:pos="9476"/>
          <w:tab w:val="left" w:pos="10002"/>
        </w:tabs>
        <w:spacing w:line="265" w:lineRule="exact"/>
        <w:ind w:left="7376"/>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年</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月</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日</w:t>
      </w:r>
    </w:p>
    <w:p w14:paraId="78B06C51">
      <w:pPr>
        <w:spacing w:line="265" w:lineRule="exact"/>
        <w:rPr>
          <w:rFonts w:hint="eastAsia" w:ascii="华文仿宋" w:hAnsi="华文仿宋" w:eastAsia="华文仿宋" w:cs="仿宋"/>
          <w:color w:val="000000" w:themeColor="text1"/>
          <w:highlight w:val="none"/>
          <w14:textFill>
            <w14:solidFill>
              <w14:schemeClr w14:val="tx1"/>
            </w14:solidFill>
          </w14:textFill>
        </w:rPr>
        <w:sectPr>
          <w:pgSz w:w="11910" w:h="16840"/>
          <w:pgMar w:top="1340" w:right="380" w:bottom="1380" w:left="560" w:header="878" w:footer="1196" w:gutter="0"/>
          <w:cols w:space="720" w:num="1"/>
        </w:sectPr>
      </w:pPr>
    </w:p>
    <w:p w14:paraId="27778B76">
      <w:pPr>
        <w:spacing w:before="64"/>
        <w:ind w:left="743"/>
        <w:outlineLvl w:val="1"/>
        <w:rPr>
          <w:rFonts w:hint="eastAsia" w:ascii="华文仿宋" w:hAnsi="华文仿宋" w:eastAsia="华文仿宋" w:cs="仿宋"/>
          <w:b/>
          <w:color w:val="000000" w:themeColor="text1"/>
          <w:sz w:val="24"/>
          <w:highlight w:val="none"/>
          <w14:textFill>
            <w14:solidFill>
              <w14:schemeClr w14:val="tx1"/>
            </w14:solidFill>
          </w14:textFill>
        </w:rPr>
      </w:pPr>
      <w:bookmarkStart w:id="87" w:name="附件四：南京市政府采购供应商信用记录表"/>
      <w:bookmarkEnd w:id="87"/>
      <w:bookmarkStart w:id="88" w:name="_Toc3973"/>
      <w:r>
        <w:rPr>
          <w:rFonts w:hint="eastAsia" w:ascii="华文仿宋" w:hAnsi="华文仿宋" w:eastAsia="华文仿宋" w:cs="仿宋"/>
          <w:b/>
          <w:color w:val="000000" w:themeColor="text1"/>
          <w:sz w:val="24"/>
          <w:highlight w:val="none"/>
          <w14:textFill>
            <w14:solidFill>
              <w14:schemeClr w14:val="tx1"/>
            </w14:solidFill>
          </w14:textFill>
        </w:rPr>
        <w:t>附件三：中小企业声明函格式、残疾人福利性单位声明函</w:t>
      </w:r>
      <w:bookmarkEnd w:id="88"/>
    </w:p>
    <w:p w14:paraId="326AD001">
      <w:pPr>
        <w:spacing w:before="158"/>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b/>
          <w:color w:val="000000" w:themeColor="text1"/>
          <w:sz w:val="28"/>
          <w:highlight w:val="none"/>
          <w14:textFill>
            <w14:solidFill>
              <w14:schemeClr w14:val="tx1"/>
            </w14:solidFill>
          </w14:textFill>
        </w:rPr>
        <w:t>中小企业声明函</w:t>
      </w:r>
    </w:p>
    <w:p w14:paraId="7D427B76">
      <w:pPr>
        <w:pStyle w:val="22"/>
        <w:spacing w:line="530" w:lineRule="exact"/>
        <w:ind w:firstLine="440" w:firstLineChars="200"/>
        <w:jc w:val="both"/>
        <w:rPr>
          <w:rFonts w:hint="eastAsia" w:ascii="华文仿宋" w:hAnsi="华文仿宋" w:eastAsia="华文仿宋"/>
          <w:color w:val="000000"/>
          <w:highlight w:val="none"/>
        </w:rPr>
      </w:pPr>
      <w:r>
        <w:rPr>
          <w:rFonts w:ascii="华文仿宋" w:hAnsi="华文仿宋" w:eastAsia="华文仿宋"/>
          <w:color w:val="000000"/>
          <w:highlight w:val="none"/>
        </w:rPr>
        <w:t>本公司（联合体）郑重声明，根据《政府采购促进中小企业发展管理办法》（财库（2020）46号）的规定，本公司（联合体）参加</w:t>
      </w:r>
      <w:r>
        <w:rPr>
          <w:rFonts w:ascii="华文仿宋" w:hAnsi="华文仿宋" w:eastAsia="华文仿宋"/>
          <w:color w:val="000000"/>
          <w:highlight w:val="none"/>
          <w:u w:val="single"/>
        </w:rPr>
        <w:t>（单位名称）</w:t>
      </w:r>
      <w:r>
        <w:rPr>
          <w:rFonts w:ascii="华文仿宋" w:hAnsi="华文仿宋" w:eastAsia="华文仿宋"/>
          <w:color w:val="000000"/>
          <w:highlight w:val="none"/>
        </w:rPr>
        <w:t>的</w:t>
      </w:r>
      <w:r>
        <w:rPr>
          <w:rFonts w:ascii="华文仿宋" w:hAnsi="华文仿宋" w:eastAsia="华文仿宋"/>
          <w:color w:val="000000"/>
          <w:highlight w:val="none"/>
          <w:u w:val="single"/>
        </w:rPr>
        <w:t>（项目名称）</w:t>
      </w:r>
      <w:r>
        <w:rPr>
          <w:rFonts w:ascii="华文仿宋" w:hAnsi="华文仿宋" w:eastAsia="华文仿宋"/>
          <w:color w:val="00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C6ECD6">
      <w:pPr>
        <w:pStyle w:val="22"/>
        <w:spacing w:line="530" w:lineRule="exact"/>
        <w:jc w:val="both"/>
        <w:rPr>
          <w:rFonts w:hint="eastAsia" w:ascii="华文仿宋" w:hAnsi="华文仿宋" w:eastAsia="华文仿宋"/>
          <w:color w:val="000000"/>
          <w:highlight w:val="none"/>
          <w:lang w:eastAsia="zh-CN"/>
        </w:rPr>
      </w:pPr>
      <w:bookmarkStart w:id="89" w:name="bookmark47"/>
      <w:bookmarkEnd w:id="89"/>
      <w:r>
        <w:rPr>
          <w:rFonts w:ascii="华文仿宋" w:hAnsi="华文仿宋" w:eastAsia="华文仿宋"/>
          <w:color w:val="000000"/>
          <w:highlight w:val="none"/>
          <w:u w:val="single"/>
        </w:rPr>
        <w:t>（标的名称）</w:t>
      </w:r>
      <w:r>
        <w:rPr>
          <w:rFonts w:ascii="华文仿宋" w:hAnsi="华文仿宋" w:eastAsia="华文仿宋"/>
          <w:color w:val="000000"/>
          <w:highlight w:val="none"/>
        </w:rPr>
        <w:t>,属于</w:t>
      </w:r>
      <w:r>
        <w:rPr>
          <w:rFonts w:ascii="华文仿宋" w:hAnsi="华文仿宋" w:eastAsia="华文仿宋"/>
          <w:color w:val="000000"/>
          <w:highlight w:val="none"/>
          <w:u w:val="single"/>
        </w:rPr>
        <w:t>（采购文件中明确的所属行业</w:t>
      </w:r>
      <w:r>
        <w:rPr>
          <w:rFonts w:hint="eastAsia" w:ascii="华文仿宋" w:hAnsi="华文仿宋" w:eastAsia="华文仿宋"/>
          <w:color w:val="000000"/>
          <w:highlight w:val="none"/>
          <w:u w:val="single"/>
          <w:lang w:eastAsia="zh-CN"/>
        </w:rPr>
        <w:t>）</w:t>
      </w:r>
      <w:r>
        <w:rPr>
          <w:rFonts w:hint="eastAsia" w:ascii="华文仿宋" w:hAnsi="华文仿宋" w:eastAsia="华文仿宋"/>
          <w:color w:val="000000"/>
          <w:highlight w:val="none"/>
          <w:u w:val="single"/>
          <w:lang w:val="en-US" w:eastAsia="zh-CN"/>
        </w:rPr>
        <w:t>；</w:t>
      </w:r>
      <w:r>
        <w:rPr>
          <w:rFonts w:ascii="华文仿宋" w:hAnsi="华文仿宋" w:eastAsia="华文仿宋"/>
          <w:color w:val="000000"/>
          <w:highlight w:val="none"/>
        </w:rPr>
        <w:t>承建（承接）企业为</w:t>
      </w:r>
      <w:r>
        <w:rPr>
          <w:rFonts w:ascii="华文仿宋" w:hAnsi="华文仿宋" w:eastAsia="华文仿宋"/>
          <w:color w:val="000000"/>
          <w:highlight w:val="none"/>
          <w:u w:val="single"/>
        </w:rPr>
        <w:t>（企业名称）</w:t>
      </w:r>
      <w:r>
        <w:rPr>
          <w:rFonts w:ascii="华文仿宋" w:hAnsi="华文仿宋" w:eastAsia="华文仿宋"/>
          <w:color w:val="000000"/>
          <w:highlight w:val="none"/>
        </w:rPr>
        <w:t>,从业人员</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人，营业收入为</w:t>
      </w:r>
      <w:r>
        <w:rPr>
          <w:rFonts w:hint="eastAsia" w:ascii="华文仿宋" w:hAnsi="华文仿宋" w:eastAsia="华文仿宋"/>
          <w:color w:val="000000"/>
          <w:highlight w:val="none"/>
          <w:u w:val="single"/>
          <w:lang w:val="en-US" w:eastAsia="zh-CN"/>
        </w:rPr>
        <w:t xml:space="preserve">    </w:t>
      </w:r>
      <w:r>
        <w:rPr>
          <w:rFonts w:ascii="华文仿宋" w:hAnsi="华文仿宋" w:eastAsia="华文仿宋"/>
          <w:color w:val="000000"/>
          <w:highlight w:val="none"/>
        </w:rPr>
        <w:t>万元，资产总额为</w:t>
      </w:r>
      <w:r>
        <w:rPr>
          <w:rFonts w:ascii="华文仿宋" w:hAnsi="华文仿宋" w:eastAsia="华文仿宋"/>
          <w:color w:val="000000"/>
          <w:highlight w:val="none"/>
          <w:u w:val="single"/>
        </w:rPr>
        <w:t xml:space="preserve"> </w:t>
      </w:r>
      <w:r>
        <w:rPr>
          <w:rFonts w:ascii="华文仿宋" w:hAnsi="华文仿宋" w:eastAsia="华文仿宋"/>
          <w:color w:val="000000"/>
          <w:highlight w:val="none"/>
          <w:u w:val="single"/>
        </w:rPr>
        <w:tab/>
      </w:r>
      <w:r>
        <w:rPr>
          <w:rFonts w:ascii="华文仿宋" w:hAnsi="华文仿宋" w:eastAsia="华文仿宋"/>
          <w:color w:val="000000"/>
          <w:highlight w:val="none"/>
        </w:rPr>
        <w:t>万元</w:t>
      </w:r>
      <w:r>
        <w:rPr>
          <w:rFonts w:ascii="华文仿宋" w:hAnsi="华文仿宋" w:eastAsia="华文仿宋"/>
          <w:color w:val="000000"/>
          <w:highlight w:val="none"/>
          <w:lang w:val="en-US" w:eastAsia="zh-CN"/>
        </w:rPr>
        <w:t>，</w:t>
      </w:r>
      <w:r>
        <w:rPr>
          <w:rFonts w:ascii="华文仿宋" w:hAnsi="华文仿宋" w:eastAsia="华文仿宋"/>
          <w:color w:val="000000"/>
          <w:highlight w:val="none"/>
        </w:rPr>
        <w:t>属于</w:t>
      </w:r>
      <w:r>
        <w:rPr>
          <w:rFonts w:ascii="华文仿宋" w:hAnsi="华文仿宋" w:eastAsia="华文仿宋"/>
          <w:color w:val="000000"/>
          <w:highlight w:val="none"/>
          <w:u w:val="single"/>
        </w:rPr>
        <w:t>（中型企业、 小型企业、微型企业）</w:t>
      </w:r>
      <w:r>
        <w:rPr>
          <w:rFonts w:hint="eastAsia" w:ascii="华文仿宋" w:hAnsi="华文仿宋" w:eastAsia="华文仿宋"/>
          <w:color w:val="000000"/>
          <w:highlight w:val="none"/>
          <w:lang w:val="en-US" w:eastAsia="zh-CN"/>
        </w:rPr>
        <w:t>；</w:t>
      </w:r>
    </w:p>
    <w:p w14:paraId="79DA1830">
      <w:pPr>
        <w:pStyle w:val="22"/>
        <w:spacing w:line="530" w:lineRule="exact"/>
        <w:jc w:val="both"/>
        <w:rPr>
          <w:rFonts w:hint="eastAsia" w:ascii="华文仿宋" w:hAnsi="华文仿宋" w:eastAsia="华文仿宋"/>
          <w:color w:val="000000"/>
          <w:highlight w:val="none"/>
        </w:rPr>
      </w:pPr>
      <w:bookmarkStart w:id="90" w:name="bookmark48"/>
      <w:bookmarkEnd w:id="90"/>
      <w:r>
        <w:rPr>
          <w:rFonts w:ascii="华文仿宋" w:hAnsi="华文仿宋" w:eastAsia="华文仿宋"/>
          <w:color w:val="000000"/>
          <w:highlight w:val="none"/>
        </w:rPr>
        <w:t>以上企业，不属于大企业的分支机构，不存在控股股东为大企业的情形，也不存在与大企业的负责人为同一人的情形。</w:t>
      </w:r>
    </w:p>
    <w:p w14:paraId="6D1DF2AB">
      <w:pPr>
        <w:pStyle w:val="22"/>
        <w:spacing w:line="518" w:lineRule="exact"/>
        <w:jc w:val="both"/>
        <w:rPr>
          <w:rFonts w:hint="eastAsia" w:ascii="华文仿宋" w:hAnsi="华文仿宋" w:eastAsia="华文仿宋"/>
          <w:highlight w:val="none"/>
        </w:rPr>
      </w:pPr>
      <w:r>
        <w:rPr>
          <w:rFonts w:ascii="华文仿宋" w:hAnsi="华文仿宋" w:eastAsia="华文仿宋"/>
          <w:color w:val="000000"/>
          <w:highlight w:val="none"/>
        </w:rPr>
        <w:t>本企业对上述声明内容的真实性负责。如有虚假，将依法承担相应责任。</w:t>
      </w:r>
    </w:p>
    <w:p w14:paraId="04BF3F6F">
      <w:pPr>
        <w:pStyle w:val="22"/>
        <w:spacing w:line="562" w:lineRule="exact"/>
        <w:ind w:left="3860" w:firstLine="100"/>
        <w:jc w:val="center"/>
        <w:rPr>
          <w:rFonts w:hint="eastAsia" w:ascii="华文仿宋" w:hAnsi="华文仿宋" w:eastAsia="华文仿宋"/>
          <w:color w:val="000000"/>
          <w:highlight w:val="none"/>
        </w:rPr>
      </w:pPr>
    </w:p>
    <w:p w14:paraId="7FBC7FCD">
      <w:pPr>
        <w:pStyle w:val="22"/>
        <w:spacing w:line="562" w:lineRule="exact"/>
        <w:ind w:left="3860" w:firstLine="100"/>
        <w:jc w:val="center"/>
        <w:rPr>
          <w:rFonts w:hint="eastAsia" w:ascii="华文仿宋" w:hAnsi="华文仿宋" w:eastAsia="华文仿宋"/>
          <w:color w:val="000000"/>
          <w:highlight w:val="none"/>
        </w:rPr>
      </w:pPr>
      <w:r>
        <w:rPr>
          <w:rFonts w:ascii="华文仿宋" w:hAnsi="华文仿宋" w:eastAsia="华文仿宋"/>
          <w:color w:val="000000"/>
          <w:highlight w:val="none"/>
        </w:rPr>
        <w:t xml:space="preserve">企业名称（盖章）: </w:t>
      </w:r>
    </w:p>
    <w:p w14:paraId="60C1C86F">
      <w:pPr>
        <w:pStyle w:val="22"/>
        <w:spacing w:line="562" w:lineRule="exact"/>
        <w:ind w:left="3860" w:firstLine="100"/>
        <w:jc w:val="center"/>
        <w:rPr>
          <w:rFonts w:hint="eastAsia" w:ascii="华文仿宋" w:hAnsi="华文仿宋" w:eastAsia="华文仿宋"/>
          <w:highlight w:val="none"/>
        </w:rPr>
      </w:pPr>
      <w:r>
        <w:rPr>
          <w:rFonts w:ascii="华文仿宋" w:hAnsi="华文仿宋" w:eastAsia="华文仿宋"/>
          <w:color w:val="000000"/>
          <w:highlight w:val="none"/>
        </w:rPr>
        <w:t>日期：</w:t>
      </w:r>
    </w:p>
    <w:p w14:paraId="7F300857">
      <w:pPr>
        <w:pStyle w:val="6"/>
        <w:rPr>
          <w:rFonts w:hint="eastAsia" w:ascii="华文仿宋" w:hAnsi="华文仿宋" w:eastAsia="华文仿宋"/>
          <w:color w:val="000000"/>
          <w:sz w:val="18"/>
          <w:szCs w:val="18"/>
          <w:highlight w:val="none"/>
          <w:lang w:val="en-US"/>
        </w:rPr>
      </w:pPr>
    </w:p>
    <w:p w14:paraId="0448D0BE">
      <w:pPr>
        <w:pStyle w:val="6"/>
        <w:rPr>
          <w:rFonts w:hint="eastAsia" w:ascii="华文仿宋" w:hAnsi="华文仿宋" w:eastAsia="华文仿宋"/>
          <w:color w:val="000000"/>
          <w:sz w:val="18"/>
          <w:szCs w:val="18"/>
          <w:highlight w:val="none"/>
          <w:lang w:val="en-US"/>
        </w:rPr>
      </w:pPr>
    </w:p>
    <w:p w14:paraId="5AF78CC5">
      <w:pPr>
        <w:pStyle w:val="6"/>
        <w:rPr>
          <w:rFonts w:hint="eastAsia" w:ascii="华文仿宋" w:hAnsi="华文仿宋" w:eastAsia="华文仿宋" w:cs="华文仿宋"/>
          <w:color w:val="000000" w:themeColor="text1"/>
          <w:sz w:val="18"/>
          <w:szCs w:val="18"/>
          <w:highlight w:val="none"/>
          <w14:textFill>
            <w14:solidFill>
              <w14:schemeClr w14:val="tx1"/>
            </w14:solidFill>
          </w14:textFill>
        </w:rPr>
      </w:pPr>
      <w:r>
        <w:rPr>
          <w:rFonts w:hint="eastAsia" w:ascii="华文仿宋" w:hAnsi="华文仿宋" w:eastAsia="华文仿宋"/>
          <w:color w:val="000000"/>
          <w:sz w:val="18"/>
          <w:szCs w:val="18"/>
          <w:highlight w:val="none"/>
          <w:lang w:val="en-US"/>
        </w:rPr>
        <w:t>注：</w:t>
      </w:r>
      <w:r>
        <w:rPr>
          <w:rFonts w:ascii="华文仿宋" w:hAnsi="华文仿宋" w:eastAsia="华文仿宋"/>
          <w:color w:val="000000"/>
          <w:sz w:val="18"/>
          <w:szCs w:val="18"/>
          <w:highlight w:val="none"/>
        </w:rPr>
        <w:t>从业人员、营业收入、资产总额填报上一年度数据，无上一年度数据的新成立企业可不填报。</w:t>
      </w:r>
    </w:p>
    <w:p w14:paraId="4EBE7D33">
      <w:pPr>
        <w:pStyle w:val="6"/>
        <w:tabs>
          <w:tab w:val="left" w:pos="6414"/>
        </w:tabs>
        <w:spacing w:line="364" w:lineRule="auto"/>
        <w:ind w:left="4943" w:right="4131"/>
        <w:rPr>
          <w:rFonts w:hint="eastAsia" w:ascii="华文仿宋" w:hAnsi="华文仿宋" w:eastAsia="华文仿宋" w:cs="仿宋"/>
          <w:color w:val="000000" w:themeColor="text1"/>
          <w:highlight w:val="none"/>
          <w14:textFill>
            <w14:solidFill>
              <w14:schemeClr w14:val="tx1"/>
            </w14:solidFill>
          </w14:textFill>
        </w:rPr>
      </w:pPr>
    </w:p>
    <w:p w14:paraId="0C17CB39">
      <w:pPr>
        <w:pStyle w:val="6"/>
        <w:spacing w:before="10"/>
        <w:rPr>
          <w:rFonts w:hint="eastAsia" w:ascii="华文仿宋" w:hAnsi="华文仿宋" w:eastAsia="华文仿宋" w:cs="仿宋"/>
          <w:color w:val="000000" w:themeColor="text1"/>
          <w:sz w:val="14"/>
          <w:highlight w:val="none"/>
          <w14:textFill>
            <w14:solidFill>
              <w14:schemeClr w14:val="tx1"/>
            </w14:solidFill>
          </w14:textFill>
        </w:rPr>
      </w:pPr>
    </w:p>
    <w:p w14:paraId="76493E34">
      <w:pPr>
        <w:ind w:right="7"/>
        <w:jc w:val="center"/>
        <w:rPr>
          <w:rFonts w:hint="eastAsia" w:ascii="华文仿宋" w:hAnsi="华文仿宋" w:eastAsia="华文仿宋" w:cs="仿宋"/>
          <w:b/>
          <w:color w:val="000000" w:themeColor="text1"/>
          <w:sz w:val="28"/>
          <w:highlight w:val="none"/>
          <w14:textFill>
            <w14:solidFill>
              <w14:schemeClr w14:val="tx1"/>
            </w14:solidFill>
          </w14:textFill>
        </w:rPr>
      </w:pPr>
      <w:r>
        <w:rPr>
          <w:rFonts w:hint="eastAsia" w:ascii="华文仿宋" w:hAnsi="华文仿宋" w:eastAsia="华文仿宋" w:cs="仿宋"/>
          <w:color w:val="000000" w:themeColor="text1"/>
          <w:sz w:val="36"/>
          <w:highlight w:val="none"/>
          <w14:textFill>
            <w14:solidFill>
              <w14:schemeClr w14:val="tx1"/>
            </w14:solidFill>
          </w14:textFill>
        </w:rPr>
        <w:t>残疾人福利性单位声明函</w:t>
      </w:r>
    </w:p>
    <w:p w14:paraId="58D9EFF2">
      <w:pPr>
        <w:pStyle w:val="6"/>
        <w:tabs>
          <w:tab w:val="left" w:pos="2634"/>
          <w:tab w:val="left" w:pos="3894"/>
          <w:tab w:val="left" w:pos="5967"/>
          <w:tab w:val="left" w:pos="7798"/>
        </w:tabs>
        <w:spacing w:before="239" w:line="364" w:lineRule="auto"/>
        <w:ind w:left="743" w:right="608" w:firstLine="4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本单位郑重声明，根据《财政部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民政部</w:t>
      </w:r>
      <w:r>
        <w:rPr>
          <w:rFonts w:hint="eastAsia" w:ascii="华文仿宋" w:hAnsi="华文仿宋" w:eastAsia="华文仿宋" w:cs="仿宋"/>
          <w:color w:val="000000" w:themeColor="text1"/>
          <w:spacing w:val="-1"/>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中国残疾人联合会关于促进残疾人就业政府采购政策的通知</w:t>
      </w:r>
      <w:r>
        <w:rPr>
          <w:rFonts w:hint="eastAsia" w:ascii="华文仿宋" w:hAnsi="华文仿宋" w:eastAsia="华文仿宋" w:cs="仿宋"/>
          <w:color w:val="000000" w:themeColor="text1"/>
          <w:spacing w:val="-22"/>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（财</w:t>
      </w:r>
      <w:r>
        <w:rPr>
          <w:rFonts w:hint="eastAsia" w:ascii="华文仿宋" w:hAnsi="华文仿宋" w:eastAsia="华文仿宋" w:cs="仿宋"/>
          <w:color w:val="000000" w:themeColor="text1"/>
          <w:spacing w:val="-10"/>
          <w:highlight w:val="none"/>
          <w14:textFill>
            <w14:solidFill>
              <w14:schemeClr w14:val="tx1"/>
            </w14:solidFill>
          </w14:textFill>
        </w:rPr>
        <w:t>库</w:t>
      </w:r>
      <w:r>
        <w:rPr>
          <w:rFonts w:hint="eastAsia" w:ascii="华文仿宋" w:hAnsi="华文仿宋" w:eastAsia="华文仿宋" w:cs="仿宋"/>
          <w:color w:val="000000" w:themeColor="text1"/>
          <w:highlight w:val="none"/>
          <w14:textFill>
            <w14:solidFill>
              <w14:schemeClr w14:val="tx1"/>
            </w14:solidFill>
          </w14:textFill>
        </w:rPr>
        <w:t>〔2017〕</w:t>
      </w:r>
      <w:r>
        <w:rPr>
          <w:rFonts w:hint="eastAsia" w:ascii="华文仿宋" w:hAnsi="华文仿宋" w:eastAsia="华文仿宋" w:cs="仿宋"/>
          <w:color w:val="000000" w:themeColor="text1"/>
          <w:spacing w:val="-1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141</w:t>
      </w:r>
      <w:r>
        <w:rPr>
          <w:rFonts w:hint="eastAsia" w:ascii="华文仿宋" w:hAnsi="华文仿宋" w:eastAsia="华文仿宋" w:cs="仿宋"/>
          <w:color w:val="000000" w:themeColor="text1"/>
          <w:spacing w:val="-3"/>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号</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的规定</w:t>
      </w:r>
      <w:r>
        <w:rPr>
          <w:rFonts w:hint="eastAsia" w:ascii="华文仿宋" w:hAnsi="华文仿宋" w:eastAsia="华文仿宋" w:cs="仿宋"/>
          <w:color w:val="000000" w:themeColor="text1"/>
          <w:spacing w:val="-10"/>
          <w:highlight w:val="none"/>
          <w14:textFill>
            <w14:solidFill>
              <w14:schemeClr w14:val="tx1"/>
            </w14:solidFill>
          </w14:textFill>
        </w:rPr>
        <w:t>，</w:t>
      </w:r>
      <w:r>
        <w:rPr>
          <w:rFonts w:hint="eastAsia" w:ascii="华文仿宋" w:hAnsi="华文仿宋" w:eastAsia="华文仿宋" w:cs="仿宋"/>
          <w:color w:val="000000" w:themeColor="text1"/>
          <w:highlight w:val="none"/>
          <w14:textFill>
            <w14:solidFill>
              <w14:schemeClr w14:val="tx1"/>
            </w14:solidFill>
          </w14:textFill>
        </w:rPr>
        <w:t>本单位为</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u w:val="single"/>
          <w14:textFill>
            <w14:solidFill>
              <w14:schemeClr w14:val="tx1"/>
            </w14:solidFill>
          </w14:textFill>
        </w:rPr>
        <w:t>（符合/不符合）</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条件的残疾人福利性单位， 且本单位参加</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单位的</w:t>
      </w:r>
      <w:r>
        <w:rPr>
          <w:rFonts w:hint="eastAsia" w:ascii="华文仿宋" w:hAnsi="华文仿宋" w:eastAsia="华文仿宋" w:cs="仿宋"/>
          <w:color w:val="000000" w:themeColor="text1"/>
          <w:highlight w:val="none"/>
          <w:u w:val="single"/>
          <w14:textFill>
            <w14:solidFill>
              <w14:schemeClr w14:val="tx1"/>
            </w14:solidFill>
          </w14:textFill>
        </w:rPr>
        <w:t xml:space="preserve"> </w:t>
      </w:r>
      <w:r>
        <w:rPr>
          <w:rFonts w:hint="eastAsia" w:ascii="华文仿宋" w:hAnsi="华文仿宋" w:eastAsia="华文仿宋" w:cs="仿宋"/>
          <w:color w:val="000000" w:themeColor="text1"/>
          <w:highlight w:val="none"/>
          <w:u w:val="single"/>
          <w14:textFill>
            <w14:solidFill>
              <w14:schemeClr w14:val="tx1"/>
            </w14:solidFill>
          </w14:textFill>
        </w:rPr>
        <w:tab/>
      </w:r>
      <w:r>
        <w:rPr>
          <w:rFonts w:hint="eastAsia" w:ascii="华文仿宋" w:hAnsi="华文仿宋" w:eastAsia="华文仿宋" w:cs="仿宋"/>
          <w:color w:val="000000" w:themeColor="text1"/>
          <w:w w:val="95"/>
          <w:highlight w:val="none"/>
          <w14:textFill>
            <w14:solidFill>
              <w14:schemeClr w14:val="tx1"/>
            </w14:solidFill>
          </w14:textFill>
        </w:rPr>
        <w:t>项目采购活动提供本单位制造的货</w:t>
      </w:r>
      <w:r>
        <w:rPr>
          <w:rFonts w:hint="eastAsia" w:ascii="华文仿宋" w:hAnsi="华文仿宋" w:eastAsia="华文仿宋" w:cs="仿宋"/>
          <w:color w:val="000000" w:themeColor="text1"/>
          <w:spacing w:val="-51"/>
          <w:w w:val="95"/>
          <w:highlight w:val="none"/>
          <w14:textFill>
            <w14:solidFill>
              <w14:schemeClr w14:val="tx1"/>
            </w14:solidFill>
          </w14:textFill>
        </w:rPr>
        <w:t>物</w:t>
      </w:r>
      <w:r>
        <w:rPr>
          <w:rFonts w:hint="eastAsia" w:ascii="华文仿宋" w:hAnsi="华文仿宋" w:eastAsia="华文仿宋" w:cs="仿宋"/>
          <w:color w:val="000000" w:themeColor="text1"/>
          <w:w w:val="95"/>
          <w:highlight w:val="none"/>
          <w14:textFill>
            <w14:solidFill>
              <w14:schemeClr w14:val="tx1"/>
            </w14:solidFill>
          </w14:textFill>
        </w:rPr>
        <w:t>（由本单位承担工程/提供服务</w:t>
      </w:r>
      <w:r>
        <w:rPr>
          <w:rFonts w:hint="eastAsia" w:ascii="华文仿宋" w:hAnsi="华文仿宋" w:eastAsia="华文仿宋" w:cs="仿宋"/>
          <w:color w:val="000000" w:themeColor="text1"/>
          <w:spacing w:val="-26"/>
          <w:w w:val="95"/>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或者提供其他残疾人福利性单位制造的货物（不包括使用非残疾人福利性单位注册商标的货物）。</w:t>
      </w:r>
    </w:p>
    <w:p w14:paraId="1D42C444">
      <w:pPr>
        <w:pStyle w:val="6"/>
        <w:spacing w:line="265" w:lineRule="exact"/>
        <w:ind w:left="1163"/>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本单位对上述声明的真实性负责。如有虚假，将依法承担相应责任。</w:t>
      </w:r>
    </w:p>
    <w:p w14:paraId="28ED6E9D">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7D5F187">
      <w:pPr>
        <w:pStyle w:val="6"/>
        <w:rPr>
          <w:rFonts w:hint="eastAsia" w:ascii="华文仿宋" w:hAnsi="华文仿宋" w:eastAsia="华文仿宋" w:cs="仿宋"/>
          <w:color w:val="000000" w:themeColor="text1"/>
          <w:sz w:val="20"/>
          <w:highlight w:val="none"/>
          <w14:textFill>
            <w14:solidFill>
              <w14:schemeClr w14:val="tx1"/>
            </w14:solidFill>
          </w14:textFill>
        </w:rPr>
      </w:pPr>
    </w:p>
    <w:p w14:paraId="14D9DC2D">
      <w:pPr>
        <w:pStyle w:val="6"/>
        <w:spacing w:before="7"/>
        <w:rPr>
          <w:rFonts w:hint="eastAsia" w:ascii="华文仿宋" w:hAnsi="华文仿宋" w:eastAsia="华文仿宋" w:cs="仿宋"/>
          <w:color w:val="000000" w:themeColor="text1"/>
          <w:sz w:val="27"/>
          <w:highlight w:val="none"/>
          <w14:textFill>
            <w14:solidFill>
              <w14:schemeClr w14:val="tx1"/>
            </w14:solidFill>
          </w14:textFill>
        </w:rPr>
      </w:pPr>
    </w:p>
    <w:p w14:paraId="3F420ACF">
      <w:pPr>
        <w:pStyle w:val="6"/>
        <w:tabs>
          <w:tab w:val="left" w:pos="1583"/>
        </w:tabs>
        <w:spacing w:before="1" w:line="364" w:lineRule="auto"/>
        <w:ind w:left="1163" w:right="8120"/>
        <w:rPr>
          <w:rFonts w:hint="eastAsia" w:ascii="华文仿宋" w:hAnsi="华文仿宋" w:eastAsia="华文仿宋" w:cs="仿宋"/>
          <w:color w:val="000000" w:themeColor="text1"/>
          <w:highlight w:val="none"/>
          <w14:textFill>
            <w14:solidFill>
              <w14:schemeClr w14:val="tx1"/>
            </w14:solidFill>
          </w14:textFill>
        </w:rPr>
      </w:pPr>
      <w:r>
        <w:rPr>
          <w:rFonts w:hint="eastAsia" w:ascii="华文仿宋" w:hAnsi="华文仿宋" w:eastAsia="华文仿宋" w:cs="仿宋"/>
          <w:color w:val="000000" w:themeColor="text1"/>
          <w:highlight w:val="none"/>
          <w14:textFill>
            <w14:solidFill>
              <w14:schemeClr w14:val="tx1"/>
            </w14:solidFill>
          </w14:textFill>
        </w:rPr>
        <w:t>供应商（盖章</w:t>
      </w:r>
      <w:r>
        <w:rPr>
          <w:rFonts w:hint="eastAsia" w:ascii="华文仿宋" w:hAnsi="华文仿宋" w:eastAsia="华文仿宋" w:cs="仿宋"/>
          <w:color w:val="000000" w:themeColor="text1"/>
          <w:spacing w:val="-6"/>
          <w:highlight w:val="none"/>
          <w14:textFill>
            <w14:solidFill>
              <w14:schemeClr w14:val="tx1"/>
            </w14:solidFill>
          </w14:textFill>
        </w:rPr>
        <w:t xml:space="preserve">）： </w:t>
      </w:r>
      <w:r>
        <w:rPr>
          <w:rFonts w:hint="eastAsia" w:ascii="华文仿宋" w:hAnsi="华文仿宋" w:eastAsia="华文仿宋" w:cs="仿宋"/>
          <w:color w:val="000000" w:themeColor="text1"/>
          <w:highlight w:val="none"/>
          <w14:textFill>
            <w14:solidFill>
              <w14:schemeClr w14:val="tx1"/>
            </w14:solidFill>
          </w14:textFill>
        </w:rPr>
        <w:t>日</w:t>
      </w:r>
      <w:r>
        <w:rPr>
          <w:rFonts w:hint="eastAsia" w:ascii="华文仿宋" w:hAnsi="华文仿宋" w:eastAsia="华文仿宋" w:cs="仿宋"/>
          <w:color w:val="000000" w:themeColor="text1"/>
          <w:highlight w:val="none"/>
          <w14:textFill>
            <w14:solidFill>
              <w14:schemeClr w14:val="tx1"/>
            </w14:solidFill>
          </w14:textFill>
        </w:rPr>
        <w:tab/>
      </w:r>
      <w:r>
        <w:rPr>
          <w:rFonts w:hint="eastAsia" w:ascii="华文仿宋" w:hAnsi="华文仿宋" w:eastAsia="华文仿宋" w:cs="仿宋"/>
          <w:color w:val="000000" w:themeColor="text1"/>
          <w:highlight w:val="none"/>
          <w14:textFill>
            <w14:solidFill>
              <w14:schemeClr w14:val="tx1"/>
            </w14:solidFill>
          </w14:textFill>
        </w:rPr>
        <w:t>期：</w:t>
      </w:r>
    </w:p>
    <w:p w14:paraId="2BDF2108">
      <w:pPr>
        <w:pStyle w:val="5"/>
        <w:ind w:firstLine="210" w:firstLineChars="100"/>
        <w:rPr>
          <w:rFonts w:hint="eastAsia" w:ascii="华文仿宋" w:hAnsi="华文仿宋" w:eastAsia="华文仿宋"/>
          <w:b w:val="0"/>
          <w:bCs w:val="0"/>
          <w:sz w:val="21"/>
          <w:szCs w:val="21"/>
          <w:highlight w:val="none"/>
          <w:lang w:val="en-US"/>
        </w:rPr>
        <w:sectPr>
          <w:pgSz w:w="11910" w:h="16840"/>
          <w:pgMar w:top="1340" w:right="380" w:bottom="1180" w:left="560" w:header="720" w:footer="720" w:gutter="0"/>
          <w:cols w:space="720" w:num="1"/>
        </w:sectPr>
      </w:pPr>
      <w:r>
        <w:rPr>
          <w:rFonts w:hint="eastAsia" w:ascii="华文仿宋" w:hAnsi="华文仿宋" w:eastAsia="华文仿宋" w:cs="华文仿宋"/>
          <w:b w:val="0"/>
          <w:bCs w:val="0"/>
          <w:color w:val="000000" w:themeColor="text1"/>
          <w:sz w:val="21"/>
          <w:szCs w:val="21"/>
          <w:highlight w:val="none"/>
          <w:lang w:val="en-US"/>
          <w14:textFill>
            <w14:solidFill>
              <w14:schemeClr w14:val="tx1"/>
            </w14:solidFill>
          </w14:textFill>
        </w:rPr>
        <w:t>注意：《中小企业声明函》和《残疾人福利性单位声明函》供应商须认真如实填写，不得修改声明函内容。</w:t>
      </w:r>
    </w:p>
    <w:p w14:paraId="68F2FA40">
      <w:pPr>
        <w:pStyle w:val="3"/>
        <w:spacing w:before="62"/>
        <w:ind w:left="743"/>
        <w:outlineLvl w:val="1"/>
        <w:rPr>
          <w:rFonts w:hint="eastAsia" w:ascii="华文仿宋" w:hAnsi="华文仿宋" w:eastAsia="华文仿宋" w:cs="仿宋"/>
          <w:color w:val="000000" w:themeColor="text1"/>
          <w:highlight w:val="none"/>
          <w14:textFill>
            <w14:solidFill>
              <w14:schemeClr w14:val="tx1"/>
            </w14:solidFill>
          </w14:textFill>
        </w:rPr>
      </w:pPr>
      <w:bookmarkStart w:id="91" w:name="_Toc12981"/>
      <w:r>
        <w:rPr>
          <w:rFonts w:hint="eastAsia" w:ascii="华文仿宋" w:hAnsi="华文仿宋" w:eastAsia="华文仿宋" w:cs="仿宋"/>
          <w:color w:val="000000" w:themeColor="text1"/>
          <w:highlight w:val="none"/>
          <w14:textFill>
            <w14:solidFill>
              <w14:schemeClr w14:val="tx1"/>
            </w14:solidFill>
          </w14:textFill>
        </w:rPr>
        <w:t>附件四：南京市政府采购供应商信用记录表暨信用承诺书</w:t>
      </w:r>
      <w:bookmarkEnd w:id="91"/>
    </w:p>
    <w:p w14:paraId="3766FA3C">
      <w:pPr>
        <w:spacing w:before="62"/>
        <w:ind w:right="11"/>
        <w:jc w:val="center"/>
        <w:rPr>
          <w:rFonts w:hint="eastAsia" w:ascii="华文仿宋" w:hAnsi="华文仿宋" w:eastAsia="华文仿宋" w:cs="仿宋"/>
          <w:color w:val="000000" w:themeColor="text1"/>
          <w:sz w:val="40"/>
          <w:highlight w:val="none"/>
          <w14:textFill>
            <w14:solidFill>
              <w14:schemeClr w14:val="tx1"/>
            </w14:solidFill>
          </w14:textFill>
        </w:rPr>
      </w:pPr>
      <w:r>
        <w:rPr>
          <w:rFonts w:hint="eastAsia" w:ascii="华文仿宋" w:hAnsi="华文仿宋" w:eastAsia="华文仿宋" w:cs="仿宋"/>
          <w:color w:val="000000" w:themeColor="text1"/>
          <w:sz w:val="40"/>
          <w:highlight w:val="none"/>
          <w14:textFill>
            <w14:solidFill>
              <w14:schemeClr w14:val="tx1"/>
            </w14:solidFill>
          </w14:textFill>
        </w:rPr>
        <w:t>南京市政府采购供应商信用记录表暨信用承诺书</w:t>
      </w:r>
    </w:p>
    <w:p w14:paraId="53AFC683">
      <w:pPr>
        <w:spacing w:before="243"/>
        <w:ind w:left="1767" w:right="1753"/>
        <w:jc w:val="both"/>
        <w:rPr>
          <w:rFonts w:hint="eastAsia" w:ascii="华文仿宋" w:hAnsi="华文仿宋" w:eastAsia="华文仿宋" w:cs="华文仿宋"/>
          <w:b/>
          <w:color w:val="000000" w:themeColor="text1"/>
          <w:sz w:val="18"/>
          <w:highlight w:val="none"/>
          <w14:textFill>
            <w14:solidFill>
              <w14:schemeClr w14:val="tx1"/>
            </w14:solidFill>
          </w14:textFill>
        </w:rPr>
      </w:pPr>
      <w:r>
        <w:rPr>
          <w:rFonts w:hint="eastAsia" w:ascii="华文仿宋" w:hAnsi="华文仿宋" w:eastAsia="华文仿宋" w:cs="华文仿宋"/>
          <w:b/>
          <w:color w:val="000000" w:themeColor="text1"/>
          <w:sz w:val="18"/>
          <w:highlight w:val="none"/>
          <w14:textFill>
            <w14:solidFill>
              <w14:schemeClr w14:val="tx1"/>
            </w14:solidFill>
          </w14:textFill>
        </w:rPr>
        <w:t>（仅为示范格式，直接填写无效，需至“南京政府采购供应商诚信档案管理系统”在线打印）</w:t>
      </w:r>
    </w:p>
    <w:tbl>
      <w:tblPr>
        <w:tblStyle w:val="1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6FDD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1BA5A4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单位名称</w:t>
            </w:r>
          </w:p>
        </w:tc>
        <w:tc>
          <w:tcPr>
            <w:tcW w:w="2274" w:type="dxa"/>
            <w:shd w:val="clear" w:color="auto" w:fill="auto"/>
            <w:vAlign w:val="center"/>
          </w:tcPr>
          <w:p w14:paraId="433F6117">
            <w:pPr>
              <w:rPr>
                <w:rFonts w:hint="eastAsia" w:ascii="华文仿宋" w:hAnsi="华文仿宋" w:eastAsia="华文仿宋"/>
                <w:sz w:val="24"/>
                <w:szCs w:val="24"/>
                <w:highlight w:val="none"/>
              </w:rPr>
            </w:pPr>
          </w:p>
        </w:tc>
        <w:tc>
          <w:tcPr>
            <w:tcW w:w="2268" w:type="dxa"/>
            <w:shd w:val="clear" w:color="auto" w:fill="auto"/>
            <w:vAlign w:val="center"/>
          </w:tcPr>
          <w:p w14:paraId="7F0E460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统一社会信用代码</w:t>
            </w:r>
          </w:p>
        </w:tc>
        <w:tc>
          <w:tcPr>
            <w:tcW w:w="2835" w:type="dxa"/>
            <w:shd w:val="clear" w:color="auto" w:fill="auto"/>
            <w:vAlign w:val="center"/>
          </w:tcPr>
          <w:p w14:paraId="61F2B537">
            <w:pPr>
              <w:rPr>
                <w:rFonts w:hint="eastAsia" w:ascii="华文仿宋" w:hAnsi="华文仿宋" w:eastAsia="华文仿宋"/>
                <w:sz w:val="24"/>
                <w:szCs w:val="24"/>
                <w:highlight w:val="none"/>
              </w:rPr>
            </w:pPr>
          </w:p>
        </w:tc>
      </w:tr>
      <w:tr w14:paraId="23C3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0F83F3D0">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法定代表人</w:t>
            </w:r>
          </w:p>
        </w:tc>
        <w:tc>
          <w:tcPr>
            <w:tcW w:w="2274" w:type="dxa"/>
            <w:shd w:val="clear" w:color="auto" w:fill="auto"/>
            <w:vAlign w:val="center"/>
          </w:tcPr>
          <w:p w14:paraId="3B7B95C1">
            <w:pPr>
              <w:rPr>
                <w:rFonts w:hint="eastAsia" w:ascii="华文仿宋" w:hAnsi="华文仿宋" w:eastAsia="华文仿宋"/>
                <w:sz w:val="24"/>
                <w:szCs w:val="24"/>
                <w:highlight w:val="none"/>
              </w:rPr>
            </w:pPr>
          </w:p>
        </w:tc>
        <w:tc>
          <w:tcPr>
            <w:tcW w:w="2268" w:type="dxa"/>
            <w:shd w:val="clear" w:color="auto" w:fill="auto"/>
            <w:vAlign w:val="center"/>
          </w:tcPr>
          <w:p w14:paraId="60F61AE7">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联系人</w:t>
            </w:r>
          </w:p>
        </w:tc>
        <w:tc>
          <w:tcPr>
            <w:tcW w:w="2835" w:type="dxa"/>
            <w:shd w:val="clear" w:color="auto" w:fill="auto"/>
            <w:vAlign w:val="center"/>
          </w:tcPr>
          <w:p w14:paraId="785E6A2B">
            <w:pPr>
              <w:rPr>
                <w:rFonts w:hint="eastAsia" w:ascii="华文仿宋" w:hAnsi="华文仿宋" w:eastAsia="华文仿宋"/>
                <w:sz w:val="24"/>
                <w:szCs w:val="24"/>
                <w:highlight w:val="none"/>
              </w:rPr>
            </w:pPr>
          </w:p>
        </w:tc>
      </w:tr>
      <w:tr w14:paraId="55F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13400CD">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联系地址</w:t>
            </w:r>
          </w:p>
        </w:tc>
        <w:tc>
          <w:tcPr>
            <w:tcW w:w="2274" w:type="dxa"/>
            <w:shd w:val="clear" w:color="auto" w:fill="auto"/>
            <w:vAlign w:val="center"/>
          </w:tcPr>
          <w:p w14:paraId="1541A45E">
            <w:pPr>
              <w:rPr>
                <w:rFonts w:hint="eastAsia" w:ascii="华文仿宋" w:hAnsi="华文仿宋" w:eastAsia="华文仿宋"/>
                <w:sz w:val="24"/>
                <w:szCs w:val="24"/>
                <w:highlight w:val="none"/>
              </w:rPr>
            </w:pPr>
          </w:p>
        </w:tc>
        <w:tc>
          <w:tcPr>
            <w:tcW w:w="2268" w:type="dxa"/>
            <w:shd w:val="clear" w:color="auto" w:fill="auto"/>
            <w:vAlign w:val="center"/>
          </w:tcPr>
          <w:p w14:paraId="618D4453">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联系电话</w:t>
            </w:r>
          </w:p>
        </w:tc>
        <w:tc>
          <w:tcPr>
            <w:tcW w:w="2835" w:type="dxa"/>
            <w:shd w:val="clear" w:color="auto" w:fill="auto"/>
            <w:vAlign w:val="center"/>
          </w:tcPr>
          <w:p w14:paraId="7FED7501">
            <w:pPr>
              <w:rPr>
                <w:rFonts w:hint="eastAsia" w:ascii="华文仿宋" w:hAnsi="华文仿宋" w:eastAsia="华文仿宋"/>
                <w:sz w:val="24"/>
                <w:szCs w:val="24"/>
                <w:highlight w:val="none"/>
              </w:rPr>
            </w:pPr>
          </w:p>
        </w:tc>
      </w:tr>
      <w:tr w14:paraId="6DD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34A1FFF1">
            <w:pP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诚信档案记录情况</w:t>
            </w:r>
          </w:p>
        </w:tc>
        <w:tc>
          <w:tcPr>
            <w:tcW w:w="7377" w:type="dxa"/>
            <w:gridSpan w:val="3"/>
            <w:shd w:val="clear" w:color="auto" w:fill="auto"/>
            <w:vAlign w:val="center"/>
          </w:tcPr>
          <w:p w14:paraId="2173CFEE">
            <w:pPr>
              <w:rPr>
                <w:rFonts w:hint="eastAsia" w:ascii="华文仿宋" w:hAnsi="华文仿宋" w:eastAsia="华文仿宋"/>
                <w:sz w:val="24"/>
                <w:szCs w:val="24"/>
                <w:highlight w:val="none"/>
              </w:rPr>
            </w:pPr>
          </w:p>
        </w:tc>
      </w:tr>
      <w:tr w14:paraId="5F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52BD8197">
            <w:pPr>
              <w:jc w:val="center"/>
              <w:rPr>
                <w:rFonts w:hint="eastAsia" w:ascii="华文仿宋" w:hAnsi="华文仿宋" w:eastAsia="华文仿宋"/>
                <w:b/>
                <w:bCs/>
                <w:sz w:val="24"/>
                <w:szCs w:val="24"/>
                <w:highlight w:val="none"/>
              </w:rPr>
            </w:pPr>
            <w:r>
              <w:rPr>
                <w:rFonts w:hint="eastAsia" w:ascii="华文仿宋" w:hAnsi="华文仿宋" w:eastAsia="华文仿宋"/>
                <w:b/>
                <w:bCs/>
                <w:sz w:val="24"/>
                <w:szCs w:val="24"/>
                <w:highlight w:val="none"/>
              </w:rPr>
              <w:t>信用承诺</w:t>
            </w:r>
          </w:p>
        </w:tc>
        <w:tc>
          <w:tcPr>
            <w:tcW w:w="7377" w:type="dxa"/>
            <w:gridSpan w:val="3"/>
            <w:shd w:val="clear" w:color="auto" w:fill="auto"/>
          </w:tcPr>
          <w:p w14:paraId="71FC101C">
            <w:pPr>
              <w:adjustRightInd w:val="0"/>
              <w:spacing w:line="310" w:lineRule="auto"/>
              <w:ind w:firstLine="480" w:firstLineChars="200"/>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我公司自愿参加贵</w:t>
            </w:r>
            <w:r>
              <w:rPr>
                <w:rFonts w:ascii="华文仿宋" w:hAnsi="华文仿宋" w:eastAsia="华文仿宋"/>
                <w:sz w:val="24"/>
                <w:szCs w:val="24"/>
                <w:highlight w:val="none"/>
              </w:rPr>
              <w:t>中心（公司）组织的本次采购活动，严格遵守《中华人民共和国政府采购法》及相关法律法规，坚守</w:t>
            </w:r>
            <w:r>
              <w:rPr>
                <w:rFonts w:hint="eastAsia" w:ascii="华文仿宋" w:hAnsi="华文仿宋" w:eastAsia="华文仿宋"/>
                <w:sz w:val="24"/>
                <w:szCs w:val="24"/>
                <w:highlight w:val="none"/>
              </w:rPr>
              <w:t>公</w:t>
            </w:r>
            <w:r>
              <w:rPr>
                <w:rFonts w:ascii="华文仿宋" w:hAnsi="华文仿宋" w:eastAsia="华文仿宋"/>
                <w:sz w:val="24"/>
                <w:szCs w:val="24"/>
                <w:highlight w:val="none"/>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华文仿宋" w:hAnsi="华文仿宋" w:eastAsia="华文仿宋"/>
                <w:sz w:val="24"/>
                <w:szCs w:val="24"/>
                <w:highlight w:val="none"/>
              </w:rPr>
              <w:t>有</w:t>
            </w:r>
            <w:r>
              <w:rPr>
                <w:rFonts w:ascii="华文仿宋" w:hAnsi="华文仿宋" w:eastAsia="华文仿宋"/>
                <w:sz w:val="24"/>
                <w:szCs w:val="24"/>
                <w:highlight w:val="none"/>
              </w:rPr>
              <w:t>重大违法记录；符合法律、行政法规和采购文件规定的其他条件。如有弄虚作假或其他违法违规行为，愿承担一切法律责任，接受各级政府采购监管部门和有权机关的审查和处罚。</w:t>
            </w:r>
          </w:p>
          <w:p w14:paraId="0F2F0224">
            <w:pPr>
              <w:adjustRightInd w:val="0"/>
              <w:snapToGrid w:val="0"/>
              <w:spacing w:before="1680" w:beforeLines="700"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供应商名称（盖章）：</w:t>
            </w:r>
          </w:p>
          <w:p w14:paraId="23AB22E7">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法定代表人（签字）：</w:t>
            </w:r>
          </w:p>
          <w:p w14:paraId="75278FC3">
            <w:pPr>
              <w:adjustRightInd w:val="0"/>
              <w:snapToGrid w:val="0"/>
              <w:spacing w:line="360" w:lineRule="auto"/>
              <w:ind w:firstLine="480" w:firstLineChars="200"/>
              <w:jc w:val="center"/>
              <w:rPr>
                <w:rFonts w:hint="eastAsia" w:ascii="华文仿宋" w:hAnsi="华文仿宋" w:eastAsia="华文仿宋"/>
                <w:sz w:val="24"/>
                <w:szCs w:val="24"/>
                <w:highlight w:val="none"/>
              </w:rPr>
            </w:pPr>
            <w:r>
              <w:rPr>
                <w:rFonts w:hint="eastAsia" w:ascii="华文仿宋" w:hAnsi="华文仿宋" w:eastAsia="华文仿宋"/>
                <w:sz w:val="24"/>
                <w:szCs w:val="24"/>
                <w:highlight w:val="none"/>
              </w:rPr>
              <w:t xml:space="preserve">二○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年</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 xml:space="preserve">月 </w:t>
            </w:r>
            <w:r>
              <w:rPr>
                <w:rFonts w:ascii="华文仿宋" w:hAnsi="华文仿宋" w:eastAsia="华文仿宋"/>
                <w:sz w:val="24"/>
                <w:szCs w:val="24"/>
                <w:highlight w:val="none"/>
              </w:rPr>
              <w:t xml:space="preserve">  </w:t>
            </w:r>
            <w:r>
              <w:rPr>
                <w:rFonts w:hint="eastAsia" w:ascii="华文仿宋" w:hAnsi="华文仿宋" w:eastAsia="华文仿宋"/>
                <w:sz w:val="24"/>
                <w:szCs w:val="24"/>
                <w:highlight w:val="none"/>
              </w:rPr>
              <w:t>日</w:t>
            </w:r>
          </w:p>
        </w:tc>
      </w:tr>
    </w:tbl>
    <w:p w14:paraId="4154FF58">
      <w:pPr>
        <w:pStyle w:val="6"/>
        <w:rPr>
          <w:rFonts w:hint="eastAsia" w:ascii="华文仿宋" w:hAnsi="华文仿宋" w:eastAsia="华文仿宋" w:cs="华文仿宋"/>
          <w:b/>
          <w:color w:val="000000" w:themeColor="text1"/>
          <w:sz w:val="18"/>
          <w:highlight w:val="none"/>
          <w14:textFill>
            <w14:solidFill>
              <w14:schemeClr w14:val="tx1"/>
            </w14:solidFill>
          </w14:textFill>
        </w:rPr>
      </w:pPr>
    </w:p>
    <w:p w14:paraId="6804EF63">
      <w:pPr>
        <w:pStyle w:val="17"/>
        <w:spacing w:line="276" w:lineRule="auto"/>
        <w:rPr>
          <w:rFonts w:hint="eastAsia" w:ascii="华文仿宋" w:hAnsi="华文仿宋" w:eastAsia="华文仿宋" w:cs="仿宋"/>
          <w:color w:val="000000" w:themeColor="text1"/>
          <w:sz w:val="24"/>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华文仿宋" w:hAnsi="华文仿宋" w:eastAsia="华文仿宋" w:cs="华文仿宋"/>
          <w:color w:val="000000" w:themeColor="text1"/>
          <w:sz w:val="24"/>
          <w:highlight w:val="none"/>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highlight w:val="none"/>
          <w:lang w:val="en-US" w:eastAsia="zh-CN"/>
          <w14:textFill>
            <w14:solidFill>
              <w14:schemeClr w14:val="tx1"/>
            </w14:solidFill>
          </w14:textFill>
        </w:rPr>
        <w:t>本表法定代表人（签字）须为手写签字，印章视为无效。</w:t>
      </w:r>
    </w:p>
    <w:sectPr>
      <w:headerReference r:id="rId8" w:type="default"/>
      <w:footerReference r:id="rId9" w:type="default"/>
      <w:pgSz w:w="11910" w:h="16840"/>
      <w:pgMar w:top="1340" w:right="380" w:bottom="1380" w:left="560" w:header="878"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E7CF">
    <w:pPr>
      <w:pStyle w:val="6"/>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051EDC8">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C559">
    <w:pPr>
      <w:pStyle w:val="6"/>
      <w:spacing w:line="14" w:lineRule="auto"/>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03E586E">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CDFF">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8F98CBA">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836B">
    <w:pPr>
      <w:pStyle w:val="6"/>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077D849C">
                    <w:pPr>
                      <w:pStyle w:val="8"/>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1946">
    <w:pPr>
      <w:pStyle w:val="6"/>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9241">
    <w:pPr>
      <w:pStyle w:val="9"/>
      <w:pBdr>
        <w:bottom w:val="none" w:color="auto" w:sz="0" w:space="1"/>
      </w:pBdr>
      <w:tabs>
        <w:tab w:val="left" w:pos="7709"/>
      </w:tabs>
      <w:wordWrap w:val="0"/>
      <w:jc w:val="left"/>
      <w:rPr>
        <w:rFonts w:hint="eastAsia" w:eastAsia="宋体"/>
        <w:i/>
        <w:lang w:eastAsia="zh-CN"/>
      </w:rPr>
    </w:pPr>
    <w:r>
      <w:rPr>
        <w:rFonts w:hint="eastAsia"/>
        <w:i/>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016F">
    <w:pPr>
      <w:pStyle w:val="6"/>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2"/>
      <w:numFmt w:val="decimal"/>
      <w:lvlText w:val="%1"/>
      <w:lvlJc w:val="left"/>
      <w:pPr>
        <w:ind w:left="1060" w:hanging="317"/>
      </w:pPr>
      <w:rPr>
        <w:rFonts w:hint="default"/>
        <w:lang w:val="zh-CN" w:eastAsia="zh-CN" w:bidi="zh-CN"/>
      </w:rPr>
    </w:lvl>
    <w:lvl w:ilvl="1" w:tentative="0">
      <w:start w:val="1"/>
      <w:numFmt w:val="decimal"/>
      <w:lvlText w:val="%1.%2"/>
      <w:lvlJc w:val="left"/>
      <w:pPr>
        <w:ind w:left="1060" w:hanging="317"/>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869" w:hanging="317"/>
      </w:pPr>
      <w:rPr>
        <w:rFonts w:hint="default"/>
        <w:lang w:val="zh-CN" w:eastAsia="zh-CN" w:bidi="zh-CN"/>
      </w:rPr>
    </w:lvl>
    <w:lvl w:ilvl="3" w:tentative="0">
      <w:start w:val="0"/>
      <w:numFmt w:val="bullet"/>
      <w:lvlText w:val="•"/>
      <w:lvlJc w:val="left"/>
      <w:pPr>
        <w:ind w:left="3773" w:hanging="317"/>
      </w:pPr>
      <w:rPr>
        <w:rFonts w:hint="default"/>
        <w:lang w:val="zh-CN" w:eastAsia="zh-CN" w:bidi="zh-CN"/>
      </w:rPr>
    </w:lvl>
    <w:lvl w:ilvl="4" w:tentative="0">
      <w:start w:val="0"/>
      <w:numFmt w:val="bullet"/>
      <w:lvlText w:val="•"/>
      <w:lvlJc w:val="left"/>
      <w:pPr>
        <w:ind w:left="4678" w:hanging="317"/>
      </w:pPr>
      <w:rPr>
        <w:rFonts w:hint="default"/>
        <w:lang w:val="zh-CN" w:eastAsia="zh-CN" w:bidi="zh-CN"/>
      </w:rPr>
    </w:lvl>
    <w:lvl w:ilvl="5" w:tentative="0">
      <w:start w:val="0"/>
      <w:numFmt w:val="bullet"/>
      <w:lvlText w:val="•"/>
      <w:lvlJc w:val="left"/>
      <w:pPr>
        <w:ind w:left="5583" w:hanging="317"/>
      </w:pPr>
      <w:rPr>
        <w:rFonts w:hint="default"/>
        <w:lang w:val="zh-CN" w:eastAsia="zh-CN" w:bidi="zh-CN"/>
      </w:rPr>
    </w:lvl>
    <w:lvl w:ilvl="6" w:tentative="0">
      <w:start w:val="0"/>
      <w:numFmt w:val="bullet"/>
      <w:lvlText w:val="•"/>
      <w:lvlJc w:val="left"/>
      <w:pPr>
        <w:ind w:left="6487" w:hanging="317"/>
      </w:pPr>
      <w:rPr>
        <w:rFonts w:hint="default"/>
        <w:lang w:val="zh-CN" w:eastAsia="zh-CN" w:bidi="zh-CN"/>
      </w:rPr>
    </w:lvl>
    <w:lvl w:ilvl="7" w:tentative="0">
      <w:start w:val="0"/>
      <w:numFmt w:val="bullet"/>
      <w:lvlText w:val="•"/>
      <w:lvlJc w:val="left"/>
      <w:pPr>
        <w:ind w:left="7392" w:hanging="317"/>
      </w:pPr>
      <w:rPr>
        <w:rFonts w:hint="default"/>
        <w:lang w:val="zh-CN" w:eastAsia="zh-CN" w:bidi="zh-CN"/>
      </w:rPr>
    </w:lvl>
    <w:lvl w:ilvl="8" w:tentative="0">
      <w:start w:val="0"/>
      <w:numFmt w:val="bullet"/>
      <w:lvlText w:val="•"/>
      <w:lvlJc w:val="left"/>
      <w:pPr>
        <w:ind w:left="8296" w:hanging="317"/>
      </w:pPr>
      <w:rPr>
        <w:rFonts w:hint="default"/>
        <w:lang w:val="zh-CN" w:eastAsia="zh-CN" w:bidi="zh-CN"/>
      </w:rPr>
    </w:lvl>
  </w:abstractNum>
  <w:abstractNum w:abstractNumId="1">
    <w:nsid w:val="883B3669"/>
    <w:multiLevelType w:val="multilevel"/>
    <w:tmpl w:val="883B3669"/>
    <w:lvl w:ilvl="0" w:tentative="0">
      <w:start w:val="3"/>
      <w:numFmt w:val="decimal"/>
      <w:lvlText w:val="%1."/>
      <w:lvlJc w:val="left"/>
      <w:pPr>
        <w:ind w:left="1059" w:hanging="317"/>
      </w:pPr>
      <w:rPr>
        <w:rFonts w:hint="default"/>
        <w:b/>
        <w:bCs/>
        <w:spacing w:val="1"/>
        <w:w w:val="99"/>
        <w:lang w:val="zh-CN" w:eastAsia="zh-CN" w:bidi="zh-CN"/>
      </w:rPr>
    </w:lvl>
    <w:lvl w:ilvl="1" w:tentative="0">
      <w:start w:val="1"/>
      <w:numFmt w:val="decimal"/>
      <w:lvlText w:val="%1.%2"/>
      <w:lvlJc w:val="left"/>
      <w:pPr>
        <w:ind w:left="323" w:hanging="473"/>
      </w:pPr>
      <w:rPr>
        <w:rFonts w:hint="default"/>
        <w:b w:val="0"/>
        <w:bCs w:val="0"/>
        <w:spacing w:val="0"/>
        <w:w w:val="99"/>
        <w:lang w:val="zh-CN" w:eastAsia="zh-CN" w:bidi="zh-CN"/>
      </w:rPr>
    </w:lvl>
    <w:lvl w:ilvl="2" w:tentative="0">
      <w:start w:val="1"/>
      <w:numFmt w:val="decimal"/>
      <w:lvlText w:val="%1.%2.%3"/>
      <w:lvlJc w:val="left"/>
      <w:pPr>
        <w:ind w:left="323" w:hanging="473"/>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1.%2.%3.%4"/>
      <w:lvlJc w:val="left"/>
      <w:pPr>
        <w:ind w:left="1374" w:hanging="473"/>
      </w:pPr>
      <w:rPr>
        <w:rFonts w:hint="default" w:ascii="Times New Roman" w:hAnsi="Times New Roman" w:eastAsia="Times New Roman" w:cs="Times New Roman"/>
        <w:spacing w:val="-2"/>
        <w:w w:val="99"/>
        <w:sz w:val="21"/>
        <w:szCs w:val="21"/>
        <w:lang w:val="zh-CN" w:eastAsia="zh-CN" w:bidi="zh-CN"/>
      </w:rPr>
    </w:lvl>
    <w:lvl w:ilvl="4" w:tentative="0">
      <w:start w:val="0"/>
      <w:numFmt w:val="bullet"/>
      <w:lvlText w:val="•"/>
      <w:lvlJc w:val="left"/>
      <w:pPr>
        <w:ind w:left="1220" w:hanging="473"/>
      </w:pPr>
      <w:rPr>
        <w:rFonts w:hint="default"/>
        <w:lang w:val="zh-CN" w:eastAsia="zh-CN" w:bidi="zh-CN"/>
      </w:rPr>
    </w:lvl>
    <w:lvl w:ilvl="5" w:tentative="0">
      <w:start w:val="0"/>
      <w:numFmt w:val="bullet"/>
      <w:lvlText w:val="•"/>
      <w:lvlJc w:val="left"/>
      <w:pPr>
        <w:ind w:left="1380" w:hanging="473"/>
      </w:pPr>
      <w:rPr>
        <w:rFonts w:hint="default"/>
        <w:lang w:val="zh-CN" w:eastAsia="zh-CN" w:bidi="zh-CN"/>
      </w:rPr>
    </w:lvl>
    <w:lvl w:ilvl="6" w:tentative="0">
      <w:start w:val="0"/>
      <w:numFmt w:val="bullet"/>
      <w:lvlText w:val="•"/>
      <w:lvlJc w:val="left"/>
      <w:pPr>
        <w:ind w:left="3125" w:hanging="473"/>
      </w:pPr>
      <w:rPr>
        <w:rFonts w:hint="default"/>
        <w:lang w:val="zh-CN" w:eastAsia="zh-CN" w:bidi="zh-CN"/>
      </w:rPr>
    </w:lvl>
    <w:lvl w:ilvl="7" w:tentative="0">
      <w:start w:val="0"/>
      <w:numFmt w:val="bullet"/>
      <w:lvlText w:val="•"/>
      <w:lvlJc w:val="left"/>
      <w:pPr>
        <w:ind w:left="4870" w:hanging="473"/>
      </w:pPr>
      <w:rPr>
        <w:rFonts w:hint="default"/>
        <w:lang w:val="zh-CN" w:eastAsia="zh-CN" w:bidi="zh-CN"/>
      </w:rPr>
    </w:lvl>
    <w:lvl w:ilvl="8" w:tentative="0">
      <w:start w:val="0"/>
      <w:numFmt w:val="bullet"/>
      <w:lvlText w:val="•"/>
      <w:lvlJc w:val="left"/>
      <w:pPr>
        <w:ind w:left="6615" w:hanging="473"/>
      </w:pPr>
      <w:rPr>
        <w:rFonts w:hint="default"/>
        <w:lang w:val="zh-CN" w:eastAsia="zh-CN" w:bidi="zh-CN"/>
      </w:rPr>
    </w:lvl>
  </w:abstractNum>
  <w:abstractNum w:abstractNumId="2">
    <w:nsid w:val="9C7198AA"/>
    <w:multiLevelType w:val="multilevel"/>
    <w:tmpl w:val="9C7198AA"/>
    <w:lvl w:ilvl="0" w:tentative="0">
      <w:start w:val="21"/>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b w:val="0"/>
        <w:bCs w:val="0"/>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3">
    <w:nsid w:val="9DFC6F65"/>
    <w:multiLevelType w:val="multilevel"/>
    <w:tmpl w:val="9DFC6F65"/>
    <w:lvl w:ilvl="0" w:tentative="0">
      <w:start w:val="19"/>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4">
    <w:nsid w:val="9E8A0F27"/>
    <w:multiLevelType w:val="singleLevel"/>
    <w:tmpl w:val="9E8A0F27"/>
    <w:lvl w:ilvl="0" w:tentative="0">
      <w:start w:val="1"/>
      <w:numFmt w:val="decimal"/>
      <w:suff w:val="nothing"/>
      <w:lvlText w:val="%1、"/>
      <w:lvlJc w:val="left"/>
      <w:pPr>
        <w:ind w:left="1023" w:firstLine="0"/>
      </w:pPr>
    </w:lvl>
  </w:abstractNum>
  <w:abstractNum w:abstractNumId="5">
    <w:nsid w:val="9F81B9F9"/>
    <w:multiLevelType w:val="multilevel"/>
    <w:tmpl w:val="9F81B9F9"/>
    <w:lvl w:ilvl="0" w:tentative="0">
      <w:start w:val="1"/>
      <w:numFmt w:val="decimal"/>
      <w:lvlText w:val="（%1）"/>
      <w:lvlJc w:val="left"/>
      <w:pPr>
        <w:ind w:left="323" w:hanging="527"/>
      </w:pPr>
      <w:rPr>
        <w:rFonts w:hint="default" w:ascii="宋体" w:hAnsi="宋体" w:eastAsia="宋体" w:cs="宋体"/>
        <w:b w:val="0"/>
        <w:bCs/>
        <w:spacing w:val="-29"/>
        <w:w w:val="99"/>
        <w:sz w:val="19"/>
        <w:szCs w:val="19"/>
        <w:lang w:val="zh-CN" w:eastAsia="zh-CN" w:bidi="zh-CN"/>
      </w:rPr>
    </w:lvl>
    <w:lvl w:ilvl="1" w:tentative="0">
      <w:start w:val="0"/>
      <w:numFmt w:val="bullet"/>
      <w:lvlText w:val="•"/>
      <w:lvlJc w:val="left"/>
      <w:pPr>
        <w:ind w:left="1298" w:hanging="527"/>
      </w:pPr>
      <w:rPr>
        <w:rFonts w:hint="default"/>
        <w:lang w:val="zh-CN" w:eastAsia="zh-CN" w:bidi="zh-CN"/>
      </w:rPr>
    </w:lvl>
    <w:lvl w:ilvl="2" w:tentative="0">
      <w:start w:val="0"/>
      <w:numFmt w:val="bullet"/>
      <w:lvlText w:val="•"/>
      <w:lvlJc w:val="left"/>
      <w:pPr>
        <w:ind w:left="2277" w:hanging="527"/>
      </w:pPr>
      <w:rPr>
        <w:rFonts w:hint="default"/>
        <w:lang w:val="zh-CN" w:eastAsia="zh-CN" w:bidi="zh-CN"/>
      </w:rPr>
    </w:lvl>
    <w:lvl w:ilvl="3" w:tentative="0">
      <w:start w:val="0"/>
      <w:numFmt w:val="bullet"/>
      <w:lvlText w:val="•"/>
      <w:lvlJc w:val="left"/>
      <w:pPr>
        <w:ind w:left="3255" w:hanging="527"/>
      </w:pPr>
      <w:rPr>
        <w:rFonts w:hint="default"/>
        <w:lang w:val="zh-CN" w:eastAsia="zh-CN" w:bidi="zh-CN"/>
      </w:rPr>
    </w:lvl>
    <w:lvl w:ilvl="4" w:tentative="0">
      <w:start w:val="0"/>
      <w:numFmt w:val="bullet"/>
      <w:lvlText w:val="•"/>
      <w:lvlJc w:val="left"/>
      <w:pPr>
        <w:ind w:left="4234" w:hanging="527"/>
      </w:pPr>
      <w:rPr>
        <w:rFonts w:hint="default"/>
        <w:lang w:val="zh-CN" w:eastAsia="zh-CN" w:bidi="zh-CN"/>
      </w:rPr>
    </w:lvl>
    <w:lvl w:ilvl="5" w:tentative="0">
      <w:start w:val="0"/>
      <w:numFmt w:val="bullet"/>
      <w:lvlText w:val="•"/>
      <w:lvlJc w:val="left"/>
      <w:pPr>
        <w:ind w:left="5213" w:hanging="527"/>
      </w:pPr>
      <w:rPr>
        <w:rFonts w:hint="default"/>
        <w:lang w:val="zh-CN" w:eastAsia="zh-CN" w:bidi="zh-CN"/>
      </w:rPr>
    </w:lvl>
    <w:lvl w:ilvl="6" w:tentative="0">
      <w:start w:val="0"/>
      <w:numFmt w:val="bullet"/>
      <w:lvlText w:val="•"/>
      <w:lvlJc w:val="left"/>
      <w:pPr>
        <w:ind w:left="6191" w:hanging="527"/>
      </w:pPr>
      <w:rPr>
        <w:rFonts w:hint="default"/>
        <w:lang w:val="zh-CN" w:eastAsia="zh-CN" w:bidi="zh-CN"/>
      </w:rPr>
    </w:lvl>
    <w:lvl w:ilvl="7" w:tentative="0">
      <w:start w:val="0"/>
      <w:numFmt w:val="bullet"/>
      <w:lvlText w:val="•"/>
      <w:lvlJc w:val="left"/>
      <w:pPr>
        <w:ind w:left="7170" w:hanging="527"/>
      </w:pPr>
      <w:rPr>
        <w:rFonts w:hint="default"/>
        <w:lang w:val="zh-CN" w:eastAsia="zh-CN" w:bidi="zh-CN"/>
      </w:rPr>
    </w:lvl>
    <w:lvl w:ilvl="8" w:tentative="0">
      <w:start w:val="0"/>
      <w:numFmt w:val="bullet"/>
      <w:lvlText w:val="•"/>
      <w:lvlJc w:val="left"/>
      <w:pPr>
        <w:ind w:left="8148" w:hanging="527"/>
      </w:pPr>
      <w:rPr>
        <w:rFonts w:hint="default"/>
        <w:lang w:val="zh-CN" w:eastAsia="zh-CN" w:bidi="zh-CN"/>
      </w:rPr>
    </w:lvl>
  </w:abstractNum>
  <w:abstractNum w:abstractNumId="6">
    <w:nsid w:val="CD699D1D"/>
    <w:multiLevelType w:val="multilevel"/>
    <w:tmpl w:val="CD699D1D"/>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7">
    <w:nsid w:val="10F0DB0B"/>
    <w:multiLevelType w:val="multilevel"/>
    <w:tmpl w:val="10F0DB0B"/>
    <w:lvl w:ilvl="0" w:tentative="0">
      <w:start w:val="25"/>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8">
    <w:nsid w:val="251342A6"/>
    <w:multiLevelType w:val="multilevel"/>
    <w:tmpl w:val="251342A6"/>
    <w:lvl w:ilvl="0" w:tentative="0">
      <w:start w:val="22"/>
      <w:numFmt w:val="decimal"/>
      <w:lvlText w:val="%1"/>
      <w:lvlJc w:val="left"/>
      <w:pPr>
        <w:ind w:left="323" w:hanging="420"/>
      </w:pPr>
      <w:rPr>
        <w:rFonts w:hint="default"/>
        <w:lang w:val="zh-CN" w:eastAsia="zh-CN" w:bidi="zh-CN"/>
      </w:rPr>
    </w:lvl>
    <w:lvl w:ilvl="1" w:tentative="0">
      <w:start w:val="1"/>
      <w:numFmt w:val="decimal"/>
      <w:lvlText w:val="%1.%2"/>
      <w:lvlJc w:val="left"/>
      <w:pPr>
        <w:ind w:left="323" w:hanging="42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2277" w:hanging="420"/>
      </w:pPr>
      <w:rPr>
        <w:rFonts w:hint="default"/>
        <w:lang w:val="zh-CN" w:eastAsia="zh-CN" w:bidi="zh-CN"/>
      </w:rPr>
    </w:lvl>
    <w:lvl w:ilvl="3" w:tentative="0">
      <w:start w:val="0"/>
      <w:numFmt w:val="bullet"/>
      <w:lvlText w:val="•"/>
      <w:lvlJc w:val="left"/>
      <w:pPr>
        <w:ind w:left="3255" w:hanging="420"/>
      </w:pPr>
      <w:rPr>
        <w:rFonts w:hint="default"/>
        <w:lang w:val="zh-CN" w:eastAsia="zh-CN" w:bidi="zh-CN"/>
      </w:rPr>
    </w:lvl>
    <w:lvl w:ilvl="4" w:tentative="0">
      <w:start w:val="0"/>
      <w:numFmt w:val="bullet"/>
      <w:lvlText w:val="•"/>
      <w:lvlJc w:val="left"/>
      <w:pPr>
        <w:ind w:left="4234" w:hanging="420"/>
      </w:pPr>
      <w:rPr>
        <w:rFonts w:hint="default"/>
        <w:lang w:val="zh-CN" w:eastAsia="zh-CN" w:bidi="zh-CN"/>
      </w:rPr>
    </w:lvl>
    <w:lvl w:ilvl="5" w:tentative="0">
      <w:start w:val="0"/>
      <w:numFmt w:val="bullet"/>
      <w:lvlText w:val="•"/>
      <w:lvlJc w:val="left"/>
      <w:pPr>
        <w:ind w:left="5213" w:hanging="420"/>
      </w:pPr>
      <w:rPr>
        <w:rFonts w:hint="default"/>
        <w:lang w:val="zh-CN" w:eastAsia="zh-CN" w:bidi="zh-CN"/>
      </w:rPr>
    </w:lvl>
    <w:lvl w:ilvl="6" w:tentative="0">
      <w:start w:val="0"/>
      <w:numFmt w:val="bullet"/>
      <w:lvlText w:val="•"/>
      <w:lvlJc w:val="left"/>
      <w:pPr>
        <w:ind w:left="6191" w:hanging="420"/>
      </w:pPr>
      <w:rPr>
        <w:rFonts w:hint="default"/>
        <w:lang w:val="zh-CN" w:eastAsia="zh-CN" w:bidi="zh-CN"/>
      </w:rPr>
    </w:lvl>
    <w:lvl w:ilvl="7" w:tentative="0">
      <w:start w:val="0"/>
      <w:numFmt w:val="bullet"/>
      <w:lvlText w:val="•"/>
      <w:lvlJc w:val="left"/>
      <w:pPr>
        <w:ind w:left="7170" w:hanging="420"/>
      </w:pPr>
      <w:rPr>
        <w:rFonts w:hint="default"/>
        <w:lang w:val="zh-CN" w:eastAsia="zh-CN" w:bidi="zh-CN"/>
      </w:rPr>
    </w:lvl>
    <w:lvl w:ilvl="8" w:tentative="0">
      <w:start w:val="0"/>
      <w:numFmt w:val="bullet"/>
      <w:lvlText w:val="•"/>
      <w:lvlJc w:val="left"/>
      <w:pPr>
        <w:ind w:left="8148" w:hanging="420"/>
      </w:pPr>
      <w:rPr>
        <w:rFonts w:hint="default"/>
        <w:lang w:val="zh-CN" w:eastAsia="zh-CN" w:bidi="zh-CN"/>
      </w:rPr>
    </w:lvl>
  </w:abstractNum>
  <w:abstractNum w:abstractNumId="9">
    <w:nsid w:val="2B3F3F89"/>
    <w:multiLevelType w:val="multilevel"/>
    <w:tmpl w:val="2B3F3F89"/>
    <w:lvl w:ilvl="0" w:tentative="0">
      <w:start w:val="20"/>
      <w:numFmt w:val="decimal"/>
      <w:lvlText w:val="%1"/>
      <w:lvlJc w:val="left"/>
      <w:pPr>
        <w:ind w:left="1216" w:hanging="473"/>
      </w:pPr>
      <w:rPr>
        <w:rFonts w:hint="default"/>
        <w:lang w:val="zh-CN" w:eastAsia="zh-CN" w:bidi="zh-CN"/>
      </w:rPr>
    </w:lvl>
    <w:lvl w:ilvl="1" w:tentative="0">
      <w:start w:val="1"/>
      <w:numFmt w:val="decimal"/>
      <w:lvlText w:val="%1.%2"/>
      <w:lvlJc w:val="left"/>
      <w:pPr>
        <w:ind w:left="1216" w:hanging="473"/>
      </w:pPr>
      <w:rPr>
        <w:rFonts w:hint="default"/>
        <w:spacing w:val="0"/>
        <w:w w:val="99"/>
        <w:lang w:val="zh-CN" w:eastAsia="zh-CN" w:bidi="zh-CN"/>
      </w:rPr>
    </w:lvl>
    <w:lvl w:ilvl="2" w:tentative="0">
      <w:start w:val="0"/>
      <w:numFmt w:val="bullet"/>
      <w:lvlText w:val="•"/>
      <w:lvlJc w:val="left"/>
      <w:pPr>
        <w:ind w:left="2997" w:hanging="473"/>
      </w:pPr>
      <w:rPr>
        <w:rFonts w:hint="default"/>
        <w:lang w:val="zh-CN" w:eastAsia="zh-CN" w:bidi="zh-CN"/>
      </w:rPr>
    </w:lvl>
    <w:lvl w:ilvl="3" w:tentative="0">
      <w:start w:val="0"/>
      <w:numFmt w:val="bullet"/>
      <w:lvlText w:val="•"/>
      <w:lvlJc w:val="left"/>
      <w:pPr>
        <w:ind w:left="3885" w:hanging="473"/>
      </w:pPr>
      <w:rPr>
        <w:rFonts w:hint="default"/>
        <w:lang w:val="zh-CN" w:eastAsia="zh-CN" w:bidi="zh-CN"/>
      </w:rPr>
    </w:lvl>
    <w:lvl w:ilvl="4" w:tentative="0">
      <w:start w:val="0"/>
      <w:numFmt w:val="bullet"/>
      <w:lvlText w:val="•"/>
      <w:lvlJc w:val="left"/>
      <w:pPr>
        <w:ind w:left="4774" w:hanging="473"/>
      </w:pPr>
      <w:rPr>
        <w:rFonts w:hint="default"/>
        <w:lang w:val="zh-CN" w:eastAsia="zh-CN" w:bidi="zh-CN"/>
      </w:rPr>
    </w:lvl>
    <w:lvl w:ilvl="5" w:tentative="0">
      <w:start w:val="0"/>
      <w:numFmt w:val="bullet"/>
      <w:lvlText w:val="•"/>
      <w:lvlJc w:val="left"/>
      <w:pPr>
        <w:ind w:left="5663" w:hanging="473"/>
      </w:pPr>
      <w:rPr>
        <w:rFonts w:hint="default"/>
        <w:lang w:val="zh-CN" w:eastAsia="zh-CN" w:bidi="zh-CN"/>
      </w:rPr>
    </w:lvl>
    <w:lvl w:ilvl="6" w:tentative="0">
      <w:start w:val="0"/>
      <w:numFmt w:val="bullet"/>
      <w:lvlText w:val="•"/>
      <w:lvlJc w:val="left"/>
      <w:pPr>
        <w:ind w:left="6551" w:hanging="473"/>
      </w:pPr>
      <w:rPr>
        <w:rFonts w:hint="default"/>
        <w:lang w:val="zh-CN" w:eastAsia="zh-CN" w:bidi="zh-CN"/>
      </w:rPr>
    </w:lvl>
    <w:lvl w:ilvl="7" w:tentative="0">
      <w:start w:val="0"/>
      <w:numFmt w:val="bullet"/>
      <w:lvlText w:val="•"/>
      <w:lvlJc w:val="left"/>
      <w:pPr>
        <w:ind w:left="7440" w:hanging="473"/>
      </w:pPr>
      <w:rPr>
        <w:rFonts w:hint="default"/>
        <w:lang w:val="zh-CN" w:eastAsia="zh-CN" w:bidi="zh-CN"/>
      </w:rPr>
    </w:lvl>
    <w:lvl w:ilvl="8" w:tentative="0">
      <w:start w:val="0"/>
      <w:numFmt w:val="bullet"/>
      <w:lvlText w:val="•"/>
      <w:lvlJc w:val="left"/>
      <w:pPr>
        <w:ind w:left="8328" w:hanging="473"/>
      </w:pPr>
      <w:rPr>
        <w:rFonts w:hint="default"/>
        <w:lang w:val="zh-CN" w:eastAsia="zh-CN" w:bidi="zh-CN"/>
      </w:rPr>
    </w:lvl>
  </w:abstractNum>
  <w:abstractNum w:abstractNumId="10">
    <w:nsid w:val="2EB50778"/>
    <w:multiLevelType w:val="multilevel"/>
    <w:tmpl w:val="2EB50778"/>
    <w:lvl w:ilvl="0" w:tentative="0">
      <w:start w:val="1"/>
      <w:numFmt w:val="japaneseCounting"/>
      <w:lvlText w:val="%1、"/>
      <w:lvlJc w:val="left"/>
      <w:pPr>
        <w:ind w:left="1199" w:hanging="456"/>
      </w:pPr>
      <w:rPr>
        <w:rFonts w:hint="default"/>
      </w:rPr>
    </w:lvl>
    <w:lvl w:ilvl="1" w:tentative="0">
      <w:start w:val="1"/>
      <w:numFmt w:val="lowerLetter"/>
      <w:lvlText w:val="%2)"/>
      <w:lvlJc w:val="left"/>
      <w:pPr>
        <w:ind w:left="1623" w:hanging="440"/>
      </w:pPr>
    </w:lvl>
    <w:lvl w:ilvl="2" w:tentative="0">
      <w:start w:val="1"/>
      <w:numFmt w:val="lowerRoman"/>
      <w:lvlText w:val="%3."/>
      <w:lvlJc w:val="right"/>
      <w:pPr>
        <w:ind w:left="2063" w:hanging="440"/>
      </w:pPr>
    </w:lvl>
    <w:lvl w:ilvl="3" w:tentative="0">
      <w:start w:val="1"/>
      <w:numFmt w:val="decimal"/>
      <w:lvlText w:val="%4."/>
      <w:lvlJc w:val="left"/>
      <w:pPr>
        <w:ind w:left="2503" w:hanging="440"/>
      </w:pPr>
    </w:lvl>
    <w:lvl w:ilvl="4" w:tentative="0">
      <w:start w:val="1"/>
      <w:numFmt w:val="lowerLetter"/>
      <w:lvlText w:val="%5)"/>
      <w:lvlJc w:val="left"/>
      <w:pPr>
        <w:ind w:left="2943" w:hanging="440"/>
      </w:pPr>
    </w:lvl>
    <w:lvl w:ilvl="5" w:tentative="0">
      <w:start w:val="1"/>
      <w:numFmt w:val="lowerRoman"/>
      <w:lvlText w:val="%6."/>
      <w:lvlJc w:val="right"/>
      <w:pPr>
        <w:ind w:left="3383" w:hanging="440"/>
      </w:pPr>
    </w:lvl>
    <w:lvl w:ilvl="6" w:tentative="0">
      <w:start w:val="1"/>
      <w:numFmt w:val="decimal"/>
      <w:lvlText w:val="%7."/>
      <w:lvlJc w:val="left"/>
      <w:pPr>
        <w:ind w:left="3823" w:hanging="440"/>
      </w:pPr>
    </w:lvl>
    <w:lvl w:ilvl="7" w:tentative="0">
      <w:start w:val="1"/>
      <w:numFmt w:val="lowerLetter"/>
      <w:lvlText w:val="%8)"/>
      <w:lvlJc w:val="left"/>
      <w:pPr>
        <w:ind w:left="4263" w:hanging="440"/>
      </w:pPr>
    </w:lvl>
    <w:lvl w:ilvl="8" w:tentative="0">
      <w:start w:val="1"/>
      <w:numFmt w:val="lowerRoman"/>
      <w:lvlText w:val="%9."/>
      <w:lvlJc w:val="right"/>
      <w:pPr>
        <w:ind w:left="4703" w:hanging="440"/>
      </w:pPr>
    </w:lvl>
  </w:abstractNum>
  <w:abstractNum w:abstractNumId="11">
    <w:nsid w:val="40F245EA"/>
    <w:multiLevelType w:val="multilevel"/>
    <w:tmpl w:val="40F245EA"/>
    <w:lvl w:ilvl="0" w:tentative="0">
      <w:start w:val="24"/>
      <w:numFmt w:val="decimal"/>
      <w:lvlText w:val="%1"/>
      <w:lvlJc w:val="left"/>
      <w:pPr>
        <w:ind w:left="323" w:hanging="473"/>
      </w:pPr>
      <w:rPr>
        <w:rFonts w:hint="default"/>
        <w:lang w:val="zh-CN" w:eastAsia="zh-CN" w:bidi="zh-CN"/>
      </w:rPr>
    </w:lvl>
    <w:lvl w:ilvl="1" w:tentative="0">
      <w:start w:val="1"/>
      <w:numFmt w:val="decimal"/>
      <w:lvlText w:val="%1.%2"/>
      <w:lvlJc w:val="left"/>
      <w:pPr>
        <w:ind w:left="323" w:hanging="473"/>
      </w:pPr>
      <w:rPr>
        <w:rFonts w:hint="default" w:ascii="Times New Roman" w:hAnsi="Times New Roman" w:eastAsia="Times New Roman" w:cs="Times New Roman"/>
        <w:spacing w:val="-2"/>
        <w:w w:val="99"/>
        <w:sz w:val="21"/>
        <w:szCs w:val="21"/>
        <w:lang w:val="zh-CN" w:eastAsia="zh-CN" w:bidi="zh-CN"/>
      </w:rPr>
    </w:lvl>
    <w:lvl w:ilvl="2" w:tentative="0">
      <w:start w:val="0"/>
      <w:numFmt w:val="bullet"/>
      <w:lvlText w:val="•"/>
      <w:lvlJc w:val="left"/>
      <w:pPr>
        <w:ind w:left="2277" w:hanging="473"/>
      </w:pPr>
      <w:rPr>
        <w:rFonts w:hint="default"/>
        <w:lang w:val="zh-CN" w:eastAsia="zh-CN" w:bidi="zh-CN"/>
      </w:rPr>
    </w:lvl>
    <w:lvl w:ilvl="3" w:tentative="0">
      <w:start w:val="0"/>
      <w:numFmt w:val="bullet"/>
      <w:lvlText w:val="•"/>
      <w:lvlJc w:val="left"/>
      <w:pPr>
        <w:ind w:left="3255" w:hanging="473"/>
      </w:pPr>
      <w:rPr>
        <w:rFonts w:hint="default"/>
        <w:lang w:val="zh-CN" w:eastAsia="zh-CN" w:bidi="zh-CN"/>
      </w:rPr>
    </w:lvl>
    <w:lvl w:ilvl="4" w:tentative="0">
      <w:start w:val="0"/>
      <w:numFmt w:val="bullet"/>
      <w:lvlText w:val="•"/>
      <w:lvlJc w:val="left"/>
      <w:pPr>
        <w:ind w:left="4234" w:hanging="473"/>
      </w:pPr>
      <w:rPr>
        <w:rFonts w:hint="default"/>
        <w:lang w:val="zh-CN" w:eastAsia="zh-CN" w:bidi="zh-CN"/>
      </w:rPr>
    </w:lvl>
    <w:lvl w:ilvl="5" w:tentative="0">
      <w:start w:val="0"/>
      <w:numFmt w:val="bullet"/>
      <w:lvlText w:val="•"/>
      <w:lvlJc w:val="left"/>
      <w:pPr>
        <w:ind w:left="5213" w:hanging="473"/>
      </w:pPr>
      <w:rPr>
        <w:rFonts w:hint="default"/>
        <w:lang w:val="zh-CN" w:eastAsia="zh-CN" w:bidi="zh-CN"/>
      </w:rPr>
    </w:lvl>
    <w:lvl w:ilvl="6" w:tentative="0">
      <w:start w:val="0"/>
      <w:numFmt w:val="bullet"/>
      <w:lvlText w:val="•"/>
      <w:lvlJc w:val="left"/>
      <w:pPr>
        <w:ind w:left="6191" w:hanging="473"/>
      </w:pPr>
      <w:rPr>
        <w:rFonts w:hint="default"/>
        <w:lang w:val="zh-CN" w:eastAsia="zh-CN" w:bidi="zh-CN"/>
      </w:rPr>
    </w:lvl>
    <w:lvl w:ilvl="7" w:tentative="0">
      <w:start w:val="0"/>
      <w:numFmt w:val="bullet"/>
      <w:lvlText w:val="•"/>
      <w:lvlJc w:val="left"/>
      <w:pPr>
        <w:ind w:left="7170" w:hanging="473"/>
      </w:pPr>
      <w:rPr>
        <w:rFonts w:hint="default"/>
        <w:lang w:val="zh-CN" w:eastAsia="zh-CN" w:bidi="zh-CN"/>
      </w:rPr>
    </w:lvl>
    <w:lvl w:ilvl="8" w:tentative="0">
      <w:start w:val="0"/>
      <w:numFmt w:val="bullet"/>
      <w:lvlText w:val="•"/>
      <w:lvlJc w:val="left"/>
      <w:pPr>
        <w:ind w:left="8148" w:hanging="473"/>
      </w:pPr>
      <w:rPr>
        <w:rFonts w:hint="default"/>
        <w:lang w:val="zh-CN" w:eastAsia="zh-CN" w:bidi="zh-CN"/>
      </w:rPr>
    </w:lvl>
  </w:abstractNum>
  <w:abstractNum w:abstractNumId="12">
    <w:nsid w:val="463A2AAC"/>
    <w:multiLevelType w:val="singleLevel"/>
    <w:tmpl w:val="463A2AAC"/>
    <w:lvl w:ilvl="0" w:tentative="0">
      <w:start w:val="1"/>
      <w:numFmt w:val="decimal"/>
      <w:suff w:val="nothing"/>
      <w:lvlText w:val="%1、"/>
      <w:lvlJc w:val="left"/>
      <w:pPr>
        <w:ind w:left="340"/>
      </w:pPr>
    </w:lvl>
  </w:abstractNum>
  <w:abstractNum w:abstractNumId="13">
    <w:nsid w:val="4BE95B84"/>
    <w:multiLevelType w:val="multilevel"/>
    <w:tmpl w:val="4BE95B84"/>
    <w:lvl w:ilvl="0" w:tentative="0">
      <w:start w:val="1"/>
      <w:numFmt w:val="decimal"/>
      <w:lvlText w:val="（%1）"/>
      <w:lvlJc w:val="left"/>
      <w:pPr>
        <w:ind w:left="1270" w:hanging="528"/>
      </w:pPr>
      <w:rPr>
        <w:rFonts w:hint="default" w:cs="华文仿宋"/>
        <w:b w:val="0"/>
        <w:color w:val="auto"/>
      </w:rPr>
    </w:lvl>
    <w:lvl w:ilvl="1" w:tentative="0">
      <w:start w:val="1"/>
      <w:numFmt w:val="lowerLetter"/>
      <w:lvlText w:val="%2)"/>
      <w:lvlJc w:val="left"/>
      <w:pPr>
        <w:ind w:left="1622" w:hanging="440"/>
      </w:pPr>
    </w:lvl>
    <w:lvl w:ilvl="2" w:tentative="0">
      <w:start w:val="1"/>
      <w:numFmt w:val="lowerRoman"/>
      <w:lvlText w:val="%3."/>
      <w:lvlJc w:val="right"/>
      <w:pPr>
        <w:ind w:left="2062" w:hanging="440"/>
      </w:pPr>
    </w:lvl>
    <w:lvl w:ilvl="3" w:tentative="0">
      <w:start w:val="1"/>
      <w:numFmt w:val="decimal"/>
      <w:lvlText w:val="%4."/>
      <w:lvlJc w:val="left"/>
      <w:pPr>
        <w:ind w:left="2502" w:hanging="440"/>
      </w:pPr>
    </w:lvl>
    <w:lvl w:ilvl="4" w:tentative="0">
      <w:start w:val="1"/>
      <w:numFmt w:val="lowerLetter"/>
      <w:lvlText w:val="%5)"/>
      <w:lvlJc w:val="left"/>
      <w:pPr>
        <w:ind w:left="2942" w:hanging="440"/>
      </w:pPr>
    </w:lvl>
    <w:lvl w:ilvl="5" w:tentative="0">
      <w:start w:val="1"/>
      <w:numFmt w:val="lowerRoman"/>
      <w:lvlText w:val="%6."/>
      <w:lvlJc w:val="right"/>
      <w:pPr>
        <w:ind w:left="3382" w:hanging="440"/>
      </w:pPr>
    </w:lvl>
    <w:lvl w:ilvl="6" w:tentative="0">
      <w:start w:val="1"/>
      <w:numFmt w:val="decimal"/>
      <w:lvlText w:val="%7."/>
      <w:lvlJc w:val="left"/>
      <w:pPr>
        <w:ind w:left="3822" w:hanging="440"/>
      </w:pPr>
    </w:lvl>
    <w:lvl w:ilvl="7" w:tentative="0">
      <w:start w:val="1"/>
      <w:numFmt w:val="lowerLetter"/>
      <w:lvlText w:val="%8)"/>
      <w:lvlJc w:val="left"/>
      <w:pPr>
        <w:ind w:left="4262" w:hanging="440"/>
      </w:pPr>
    </w:lvl>
    <w:lvl w:ilvl="8" w:tentative="0">
      <w:start w:val="1"/>
      <w:numFmt w:val="lowerRoman"/>
      <w:lvlText w:val="%9."/>
      <w:lvlJc w:val="right"/>
      <w:pPr>
        <w:ind w:left="4702" w:hanging="440"/>
      </w:pPr>
    </w:lvl>
  </w:abstractNum>
  <w:abstractNum w:abstractNumId="14">
    <w:nsid w:val="4D63189B"/>
    <w:multiLevelType w:val="multilevel"/>
    <w:tmpl w:val="4D63189B"/>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5">
    <w:nsid w:val="54701CA1"/>
    <w:multiLevelType w:val="multilevel"/>
    <w:tmpl w:val="54701CA1"/>
    <w:lvl w:ilvl="0" w:tentative="0">
      <w:start w:val="1"/>
      <w:numFmt w:val="decimal"/>
      <w:lvlText w:val="（%1）"/>
      <w:lvlJc w:val="left"/>
      <w:pPr>
        <w:ind w:left="1270" w:hanging="527"/>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62" w:hanging="527"/>
      </w:pPr>
      <w:rPr>
        <w:rFonts w:hint="default"/>
        <w:lang w:val="zh-CN" w:eastAsia="zh-CN" w:bidi="zh-CN"/>
      </w:rPr>
    </w:lvl>
    <w:lvl w:ilvl="2" w:tentative="0">
      <w:start w:val="0"/>
      <w:numFmt w:val="bullet"/>
      <w:lvlText w:val="•"/>
      <w:lvlJc w:val="left"/>
      <w:pPr>
        <w:ind w:left="3045" w:hanging="527"/>
      </w:pPr>
      <w:rPr>
        <w:rFonts w:hint="default"/>
        <w:lang w:val="zh-CN" w:eastAsia="zh-CN" w:bidi="zh-CN"/>
      </w:rPr>
    </w:lvl>
    <w:lvl w:ilvl="3" w:tentative="0">
      <w:start w:val="0"/>
      <w:numFmt w:val="bullet"/>
      <w:lvlText w:val="•"/>
      <w:lvlJc w:val="left"/>
      <w:pPr>
        <w:ind w:left="3927" w:hanging="527"/>
      </w:pPr>
      <w:rPr>
        <w:rFonts w:hint="default"/>
        <w:lang w:val="zh-CN" w:eastAsia="zh-CN" w:bidi="zh-CN"/>
      </w:rPr>
    </w:lvl>
    <w:lvl w:ilvl="4" w:tentative="0">
      <w:start w:val="0"/>
      <w:numFmt w:val="bullet"/>
      <w:lvlText w:val="•"/>
      <w:lvlJc w:val="left"/>
      <w:pPr>
        <w:ind w:left="4810" w:hanging="527"/>
      </w:pPr>
      <w:rPr>
        <w:rFonts w:hint="default"/>
        <w:lang w:val="zh-CN" w:eastAsia="zh-CN" w:bidi="zh-CN"/>
      </w:rPr>
    </w:lvl>
    <w:lvl w:ilvl="5" w:tentative="0">
      <w:start w:val="0"/>
      <w:numFmt w:val="bullet"/>
      <w:lvlText w:val="•"/>
      <w:lvlJc w:val="left"/>
      <w:pPr>
        <w:ind w:left="5693" w:hanging="527"/>
      </w:pPr>
      <w:rPr>
        <w:rFonts w:hint="default"/>
        <w:lang w:val="zh-CN" w:eastAsia="zh-CN" w:bidi="zh-CN"/>
      </w:rPr>
    </w:lvl>
    <w:lvl w:ilvl="6" w:tentative="0">
      <w:start w:val="0"/>
      <w:numFmt w:val="bullet"/>
      <w:lvlText w:val="•"/>
      <w:lvlJc w:val="left"/>
      <w:pPr>
        <w:ind w:left="6575" w:hanging="527"/>
      </w:pPr>
      <w:rPr>
        <w:rFonts w:hint="default"/>
        <w:lang w:val="zh-CN" w:eastAsia="zh-CN" w:bidi="zh-CN"/>
      </w:rPr>
    </w:lvl>
    <w:lvl w:ilvl="7" w:tentative="0">
      <w:start w:val="0"/>
      <w:numFmt w:val="bullet"/>
      <w:lvlText w:val="•"/>
      <w:lvlJc w:val="left"/>
      <w:pPr>
        <w:ind w:left="7458" w:hanging="527"/>
      </w:pPr>
      <w:rPr>
        <w:rFonts w:hint="default"/>
        <w:lang w:val="zh-CN" w:eastAsia="zh-CN" w:bidi="zh-CN"/>
      </w:rPr>
    </w:lvl>
    <w:lvl w:ilvl="8" w:tentative="0">
      <w:start w:val="0"/>
      <w:numFmt w:val="bullet"/>
      <w:lvlText w:val="•"/>
      <w:lvlJc w:val="left"/>
      <w:pPr>
        <w:ind w:left="8340" w:hanging="527"/>
      </w:pPr>
      <w:rPr>
        <w:rFonts w:hint="default"/>
        <w:lang w:val="zh-CN" w:eastAsia="zh-CN" w:bidi="zh-CN"/>
      </w:rPr>
    </w:lvl>
  </w:abstractNum>
  <w:abstractNum w:abstractNumId="16">
    <w:nsid w:val="610EFE5C"/>
    <w:multiLevelType w:val="multilevel"/>
    <w:tmpl w:val="610EFE5C"/>
    <w:lvl w:ilvl="0" w:tentative="0">
      <w:start w:val="1"/>
      <w:numFmt w:val="decimal"/>
      <w:lvlText w:val="%1."/>
      <w:lvlJc w:val="left"/>
      <w:pPr>
        <w:ind w:left="902" w:hanging="159"/>
      </w:pPr>
      <w:rPr>
        <w:rFonts w:hint="default" w:ascii="Times New Roman" w:hAnsi="Times New Roman" w:eastAsia="Times New Roman" w:cs="Times New Roman"/>
        <w:b/>
        <w:bCs/>
        <w:spacing w:val="0"/>
        <w:w w:val="99"/>
        <w:sz w:val="19"/>
        <w:szCs w:val="19"/>
        <w:lang w:val="zh-CN" w:eastAsia="zh-CN" w:bidi="zh-CN"/>
      </w:rPr>
    </w:lvl>
    <w:lvl w:ilvl="1" w:tentative="0">
      <w:start w:val="1"/>
      <w:numFmt w:val="decimal"/>
      <w:lvlText w:val="%1.%2"/>
      <w:lvlJc w:val="left"/>
      <w:pPr>
        <w:ind w:left="323" w:hanging="370"/>
      </w:pPr>
      <w:rPr>
        <w:rFonts w:hint="default" w:ascii="Times New Roman" w:hAnsi="Times New Roman" w:eastAsia="Times New Roman" w:cs="Times New Roman"/>
        <w:spacing w:val="0"/>
        <w:w w:val="99"/>
        <w:sz w:val="21"/>
        <w:szCs w:val="21"/>
        <w:lang w:val="zh-CN" w:eastAsia="zh-CN" w:bidi="zh-CN"/>
      </w:rPr>
    </w:lvl>
    <w:lvl w:ilvl="2" w:tentative="0">
      <w:start w:val="0"/>
      <w:numFmt w:val="bullet"/>
      <w:lvlText w:val="•"/>
      <w:lvlJc w:val="left"/>
      <w:pPr>
        <w:ind w:left="1922" w:hanging="370"/>
      </w:pPr>
      <w:rPr>
        <w:rFonts w:hint="default"/>
        <w:lang w:val="zh-CN" w:eastAsia="zh-CN" w:bidi="zh-CN"/>
      </w:rPr>
    </w:lvl>
    <w:lvl w:ilvl="3" w:tentative="0">
      <w:start w:val="0"/>
      <w:numFmt w:val="bullet"/>
      <w:lvlText w:val="•"/>
      <w:lvlJc w:val="left"/>
      <w:pPr>
        <w:ind w:left="2945" w:hanging="370"/>
      </w:pPr>
      <w:rPr>
        <w:rFonts w:hint="default"/>
        <w:lang w:val="zh-CN" w:eastAsia="zh-CN" w:bidi="zh-CN"/>
      </w:rPr>
    </w:lvl>
    <w:lvl w:ilvl="4" w:tentative="0">
      <w:start w:val="0"/>
      <w:numFmt w:val="bullet"/>
      <w:lvlText w:val="•"/>
      <w:lvlJc w:val="left"/>
      <w:pPr>
        <w:ind w:left="3968" w:hanging="370"/>
      </w:pPr>
      <w:rPr>
        <w:rFonts w:hint="default"/>
        <w:lang w:val="zh-CN" w:eastAsia="zh-CN" w:bidi="zh-CN"/>
      </w:rPr>
    </w:lvl>
    <w:lvl w:ilvl="5" w:tentative="0">
      <w:start w:val="0"/>
      <w:numFmt w:val="bullet"/>
      <w:lvlText w:val="•"/>
      <w:lvlJc w:val="left"/>
      <w:pPr>
        <w:ind w:left="4991" w:hanging="370"/>
      </w:pPr>
      <w:rPr>
        <w:rFonts w:hint="default"/>
        <w:lang w:val="zh-CN" w:eastAsia="zh-CN" w:bidi="zh-CN"/>
      </w:rPr>
    </w:lvl>
    <w:lvl w:ilvl="6" w:tentative="0">
      <w:start w:val="0"/>
      <w:numFmt w:val="bullet"/>
      <w:lvlText w:val="•"/>
      <w:lvlJc w:val="left"/>
      <w:pPr>
        <w:ind w:left="6014" w:hanging="370"/>
      </w:pPr>
      <w:rPr>
        <w:rFonts w:hint="default"/>
        <w:lang w:val="zh-CN" w:eastAsia="zh-CN" w:bidi="zh-CN"/>
      </w:rPr>
    </w:lvl>
    <w:lvl w:ilvl="7" w:tentative="0">
      <w:start w:val="0"/>
      <w:numFmt w:val="bullet"/>
      <w:lvlText w:val="•"/>
      <w:lvlJc w:val="left"/>
      <w:pPr>
        <w:ind w:left="7037" w:hanging="370"/>
      </w:pPr>
      <w:rPr>
        <w:rFonts w:hint="default"/>
        <w:lang w:val="zh-CN" w:eastAsia="zh-CN" w:bidi="zh-CN"/>
      </w:rPr>
    </w:lvl>
    <w:lvl w:ilvl="8" w:tentative="0">
      <w:start w:val="0"/>
      <w:numFmt w:val="bullet"/>
      <w:lvlText w:val="•"/>
      <w:lvlJc w:val="left"/>
      <w:pPr>
        <w:ind w:left="8060" w:hanging="370"/>
      </w:pPr>
      <w:rPr>
        <w:rFonts w:hint="default"/>
        <w:lang w:val="zh-CN" w:eastAsia="zh-CN" w:bidi="zh-CN"/>
      </w:rPr>
    </w:lvl>
  </w:abstractNum>
  <w:num w:numId="1">
    <w:abstractNumId w:val="12"/>
  </w:num>
  <w:num w:numId="2">
    <w:abstractNumId w:val="16"/>
  </w:num>
  <w:num w:numId="3">
    <w:abstractNumId w:val="0"/>
  </w:num>
  <w:num w:numId="4">
    <w:abstractNumId w:val="1"/>
  </w:num>
  <w:num w:numId="5">
    <w:abstractNumId w:val="13"/>
  </w:num>
  <w:num w:numId="6">
    <w:abstractNumId w:val="5"/>
  </w:num>
  <w:num w:numId="7">
    <w:abstractNumId w:val="15"/>
  </w:num>
  <w:num w:numId="8">
    <w:abstractNumId w:val="4"/>
  </w:num>
  <w:num w:numId="9">
    <w:abstractNumId w:val="3"/>
  </w:num>
  <w:num w:numId="10">
    <w:abstractNumId w:val="9"/>
  </w:num>
  <w:num w:numId="11">
    <w:abstractNumId w:val="6"/>
  </w:num>
  <w:num w:numId="12">
    <w:abstractNumId w:val="2"/>
  </w:num>
  <w:num w:numId="13">
    <w:abstractNumId w:val="8"/>
  </w:num>
  <w:num w:numId="14">
    <w:abstractNumId w:val="11"/>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599272b-9b1c-4d02-bdb9-21b383ae6329"/>
  </w:docVars>
  <w:rsids>
    <w:rsidRoot w:val="00F438DC"/>
    <w:rsid w:val="000148C9"/>
    <w:rsid w:val="00044503"/>
    <w:rsid w:val="00062722"/>
    <w:rsid w:val="000766E6"/>
    <w:rsid w:val="00076CE3"/>
    <w:rsid w:val="000A2776"/>
    <w:rsid w:val="000A4F60"/>
    <w:rsid w:val="000B1EB8"/>
    <w:rsid w:val="000C74B2"/>
    <w:rsid w:val="000D675D"/>
    <w:rsid w:val="000F26F1"/>
    <w:rsid w:val="000F7C9D"/>
    <w:rsid w:val="00106842"/>
    <w:rsid w:val="001275FB"/>
    <w:rsid w:val="00133248"/>
    <w:rsid w:val="00134122"/>
    <w:rsid w:val="00134F01"/>
    <w:rsid w:val="00141527"/>
    <w:rsid w:val="001423FA"/>
    <w:rsid w:val="00143AD6"/>
    <w:rsid w:val="0016260D"/>
    <w:rsid w:val="00163245"/>
    <w:rsid w:val="00165878"/>
    <w:rsid w:val="001861B3"/>
    <w:rsid w:val="001879CA"/>
    <w:rsid w:val="001A655E"/>
    <w:rsid w:val="001B454E"/>
    <w:rsid w:val="001C6D4A"/>
    <w:rsid w:val="00206581"/>
    <w:rsid w:val="00207C3C"/>
    <w:rsid w:val="002108AC"/>
    <w:rsid w:val="00210E31"/>
    <w:rsid w:val="00211CF3"/>
    <w:rsid w:val="0022083C"/>
    <w:rsid w:val="00221031"/>
    <w:rsid w:val="00225ECA"/>
    <w:rsid w:val="00234D6E"/>
    <w:rsid w:val="00255F66"/>
    <w:rsid w:val="00280505"/>
    <w:rsid w:val="00294FA5"/>
    <w:rsid w:val="002C2F41"/>
    <w:rsid w:val="002C407A"/>
    <w:rsid w:val="002C60B4"/>
    <w:rsid w:val="002D2FBA"/>
    <w:rsid w:val="002D3D19"/>
    <w:rsid w:val="002D50A3"/>
    <w:rsid w:val="002E1B43"/>
    <w:rsid w:val="00332E0E"/>
    <w:rsid w:val="00354C94"/>
    <w:rsid w:val="00375ABC"/>
    <w:rsid w:val="0038157B"/>
    <w:rsid w:val="00391740"/>
    <w:rsid w:val="003B5BB1"/>
    <w:rsid w:val="003C5181"/>
    <w:rsid w:val="003D31C6"/>
    <w:rsid w:val="003D7D7F"/>
    <w:rsid w:val="004166E2"/>
    <w:rsid w:val="00431023"/>
    <w:rsid w:val="00467C1D"/>
    <w:rsid w:val="00472761"/>
    <w:rsid w:val="00480CD4"/>
    <w:rsid w:val="00484BF3"/>
    <w:rsid w:val="00492B54"/>
    <w:rsid w:val="004955A0"/>
    <w:rsid w:val="0049629D"/>
    <w:rsid w:val="00497E8D"/>
    <w:rsid w:val="004A2D01"/>
    <w:rsid w:val="004C34E7"/>
    <w:rsid w:val="004E5AFF"/>
    <w:rsid w:val="005021A5"/>
    <w:rsid w:val="00503EB3"/>
    <w:rsid w:val="0052592B"/>
    <w:rsid w:val="00537A95"/>
    <w:rsid w:val="00537B8D"/>
    <w:rsid w:val="00555531"/>
    <w:rsid w:val="0057488F"/>
    <w:rsid w:val="00574997"/>
    <w:rsid w:val="0058344B"/>
    <w:rsid w:val="005977A9"/>
    <w:rsid w:val="005A779C"/>
    <w:rsid w:val="005D11EB"/>
    <w:rsid w:val="005D6F0D"/>
    <w:rsid w:val="005F5AFE"/>
    <w:rsid w:val="00604B3E"/>
    <w:rsid w:val="0061295D"/>
    <w:rsid w:val="00612B61"/>
    <w:rsid w:val="00614D44"/>
    <w:rsid w:val="006159C6"/>
    <w:rsid w:val="00620B2B"/>
    <w:rsid w:val="00625ABC"/>
    <w:rsid w:val="00627F8B"/>
    <w:rsid w:val="00632548"/>
    <w:rsid w:val="00640E4E"/>
    <w:rsid w:val="006442C6"/>
    <w:rsid w:val="00666C45"/>
    <w:rsid w:val="00671D50"/>
    <w:rsid w:val="00677BEE"/>
    <w:rsid w:val="00682DCE"/>
    <w:rsid w:val="006924D6"/>
    <w:rsid w:val="00697EFF"/>
    <w:rsid w:val="006B23F3"/>
    <w:rsid w:val="006F3CDB"/>
    <w:rsid w:val="006F6410"/>
    <w:rsid w:val="006F6C44"/>
    <w:rsid w:val="00707FF4"/>
    <w:rsid w:val="00716808"/>
    <w:rsid w:val="00722E30"/>
    <w:rsid w:val="00730108"/>
    <w:rsid w:val="007369CE"/>
    <w:rsid w:val="00741B7F"/>
    <w:rsid w:val="00751668"/>
    <w:rsid w:val="007668AC"/>
    <w:rsid w:val="007668FE"/>
    <w:rsid w:val="00766B86"/>
    <w:rsid w:val="0079649F"/>
    <w:rsid w:val="007B43C8"/>
    <w:rsid w:val="007C2BC0"/>
    <w:rsid w:val="007C32AC"/>
    <w:rsid w:val="007C76E7"/>
    <w:rsid w:val="007D443B"/>
    <w:rsid w:val="007E2AC3"/>
    <w:rsid w:val="00800EA1"/>
    <w:rsid w:val="00806D96"/>
    <w:rsid w:val="00815E7C"/>
    <w:rsid w:val="0082754E"/>
    <w:rsid w:val="00846023"/>
    <w:rsid w:val="008B68B7"/>
    <w:rsid w:val="008C757A"/>
    <w:rsid w:val="008D63BC"/>
    <w:rsid w:val="0091071A"/>
    <w:rsid w:val="00927C4F"/>
    <w:rsid w:val="009305B8"/>
    <w:rsid w:val="0094137A"/>
    <w:rsid w:val="009436E8"/>
    <w:rsid w:val="00955C3C"/>
    <w:rsid w:val="00956457"/>
    <w:rsid w:val="00965C1B"/>
    <w:rsid w:val="00970F56"/>
    <w:rsid w:val="0098416C"/>
    <w:rsid w:val="009C6903"/>
    <w:rsid w:val="00A05121"/>
    <w:rsid w:val="00A12996"/>
    <w:rsid w:val="00A257D4"/>
    <w:rsid w:val="00A31F9B"/>
    <w:rsid w:val="00A6049B"/>
    <w:rsid w:val="00A65139"/>
    <w:rsid w:val="00A71E91"/>
    <w:rsid w:val="00A71F8F"/>
    <w:rsid w:val="00A91368"/>
    <w:rsid w:val="00A926E3"/>
    <w:rsid w:val="00A936A3"/>
    <w:rsid w:val="00AC0108"/>
    <w:rsid w:val="00AC0BD8"/>
    <w:rsid w:val="00AD48AC"/>
    <w:rsid w:val="00AE2CD6"/>
    <w:rsid w:val="00AE6EBF"/>
    <w:rsid w:val="00B14E92"/>
    <w:rsid w:val="00B47207"/>
    <w:rsid w:val="00B475FA"/>
    <w:rsid w:val="00B52D75"/>
    <w:rsid w:val="00B6300F"/>
    <w:rsid w:val="00B65BE2"/>
    <w:rsid w:val="00B66FE9"/>
    <w:rsid w:val="00B844AB"/>
    <w:rsid w:val="00B863DD"/>
    <w:rsid w:val="00B9083B"/>
    <w:rsid w:val="00B958CD"/>
    <w:rsid w:val="00B96D96"/>
    <w:rsid w:val="00B97DCA"/>
    <w:rsid w:val="00BB0FE9"/>
    <w:rsid w:val="00BC5CBC"/>
    <w:rsid w:val="00BC6457"/>
    <w:rsid w:val="00BE7889"/>
    <w:rsid w:val="00BF4A12"/>
    <w:rsid w:val="00C00626"/>
    <w:rsid w:val="00C22F4C"/>
    <w:rsid w:val="00C26E4A"/>
    <w:rsid w:val="00C301B1"/>
    <w:rsid w:val="00C61E97"/>
    <w:rsid w:val="00C624BB"/>
    <w:rsid w:val="00C64069"/>
    <w:rsid w:val="00C64EF5"/>
    <w:rsid w:val="00C767F4"/>
    <w:rsid w:val="00C921EA"/>
    <w:rsid w:val="00C94A8B"/>
    <w:rsid w:val="00CB04C7"/>
    <w:rsid w:val="00CD6804"/>
    <w:rsid w:val="00D145B6"/>
    <w:rsid w:val="00D3654A"/>
    <w:rsid w:val="00D51432"/>
    <w:rsid w:val="00D53D10"/>
    <w:rsid w:val="00D603C3"/>
    <w:rsid w:val="00D6520C"/>
    <w:rsid w:val="00D70A9D"/>
    <w:rsid w:val="00D7135E"/>
    <w:rsid w:val="00D7243C"/>
    <w:rsid w:val="00DB7073"/>
    <w:rsid w:val="00DC331D"/>
    <w:rsid w:val="00DD1379"/>
    <w:rsid w:val="00DD35E2"/>
    <w:rsid w:val="00DF3E59"/>
    <w:rsid w:val="00DF4280"/>
    <w:rsid w:val="00DF6AC1"/>
    <w:rsid w:val="00E2308B"/>
    <w:rsid w:val="00E27471"/>
    <w:rsid w:val="00E30AA3"/>
    <w:rsid w:val="00E72C4E"/>
    <w:rsid w:val="00E75D7D"/>
    <w:rsid w:val="00E80D3F"/>
    <w:rsid w:val="00E87E09"/>
    <w:rsid w:val="00E9132F"/>
    <w:rsid w:val="00EA46D2"/>
    <w:rsid w:val="00EC769B"/>
    <w:rsid w:val="00EE7AB8"/>
    <w:rsid w:val="00EE7BDA"/>
    <w:rsid w:val="00EF5A9B"/>
    <w:rsid w:val="00F03314"/>
    <w:rsid w:val="00F03E3B"/>
    <w:rsid w:val="00F438DC"/>
    <w:rsid w:val="00F5257F"/>
    <w:rsid w:val="00F5498E"/>
    <w:rsid w:val="00F564AC"/>
    <w:rsid w:val="00F66F91"/>
    <w:rsid w:val="00F71D24"/>
    <w:rsid w:val="00F73E94"/>
    <w:rsid w:val="00F932CE"/>
    <w:rsid w:val="00F9357F"/>
    <w:rsid w:val="00FD3355"/>
    <w:rsid w:val="00FE49CC"/>
    <w:rsid w:val="00FE6DA2"/>
    <w:rsid w:val="010C693C"/>
    <w:rsid w:val="017460A8"/>
    <w:rsid w:val="01ED458D"/>
    <w:rsid w:val="02084828"/>
    <w:rsid w:val="022C1359"/>
    <w:rsid w:val="027F4D04"/>
    <w:rsid w:val="034F0B7A"/>
    <w:rsid w:val="039147B9"/>
    <w:rsid w:val="04293EB0"/>
    <w:rsid w:val="043A5387"/>
    <w:rsid w:val="056D52E8"/>
    <w:rsid w:val="05A27FB2"/>
    <w:rsid w:val="05D12C45"/>
    <w:rsid w:val="05EE1D70"/>
    <w:rsid w:val="063A6F44"/>
    <w:rsid w:val="0670499F"/>
    <w:rsid w:val="06915006"/>
    <w:rsid w:val="06D96EDB"/>
    <w:rsid w:val="070E4C9A"/>
    <w:rsid w:val="0733430F"/>
    <w:rsid w:val="0742791B"/>
    <w:rsid w:val="076042F7"/>
    <w:rsid w:val="077D3F31"/>
    <w:rsid w:val="083D5445"/>
    <w:rsid w:val="08493DEA"/>
    <w:rsid w:val="087B2E44"/>
    <w:rsid w:val="08A76D63"/>
    <w:rsid w:val="08FB591B"/>
    <w:rsid w:val="09200D1C"/>
    <w:rsid w:val="09532A47"/>
    <w:rsid w:val="095E5E38"/>
    <w:rsid w:val="09602E22"/>
    <w:rsid w:val="098C2BD4"/>
    <w:rsid w:val="09C7254B"/>
    <w:rsid w:val="09DC42DC"/>
    <w:rsid w:val="0A620261"/>
    <w:rsid w:val="0A8C6210"/>
    <w:rsid w:val="0ACD0E05"/>
    <w:rsid w:val="0B1D1FE3"/>
    <w:rsid w:val="0B305850"/>
    <w:rsid w:val="0B363DDC"/>
    <w:rsid w:val="0B41349E"/>
    <w:rsid w:val="0B53731D"/>
    <w:rsid w:val="0B5444D9"/>
    <w:rsid w:val="0B642E35"/>
    <w:rsid w:val="0B644A93"/>
    <w:rsid w:val="0B86206A"/>
    <w:rsid w:val="0B987986"/>
    <w:rsid w:val="0BB04180"/>
    <w:rsid w:val="0BB92EE4"/>
    <w:rsid w:val="0BE37AEB"/>
    <w:rsid w:val="0BE80777"/>
    <w:rsid w:val="0C0F5E88"/>
    <w:rsid w:val="0C601702"/>
    <w:rsid w:val="0C923718"/>
    <w:rsid w:val="0C974D4F"/>
    <w:rsid w:val="0E0C7F93"/>
    <w:rsid w:val="0E5A28DD"/>
    <w:rsid w:val="0F3218B2"/>
    <w:rsid w:val="0F3A0931"/>
    <w:rsid w:val="0F554635"/>
    <w:rsid w:val="0F620051"/>
    <w:rsid w:val="0F703E25"/>
    <w:rsid w:val="0FC226D4"/>
    <w:rsid w:val="0FE12B5A"/>
    <w:rsid w:val="0FFC570C"/>
    <w:rsid w:val="10867635"/>
    <w:rsid w:val="10873CF6"/>
    <w:rsid w:val="10A65B52"/>
    <w:rsid w:val="10D10E21"/>
    <w:rsid w:val="111967C2"/>
    <w:rsid w:val="114B426F"/>
    <w:rsid w:val="11980F59"/>
    <w:rsid w:val="11CE0435"/>
    <w:rsid w:val="123D098C"/>
    <w:rsid w:val="12580A95"/>
    <w:rsid w:val="126A2663"/>
    <w:rsid w:val="12A97AF7"/>
    <w:rsid w:val="12C5296B"/>
    <w:rsid w:val="12F108FF"/>
    <w:rsid w:val="12FF7805"/>
    <w:rsid w:val="135D7F2F"/>
    <w:rsid w:val="1437543F"/>
    <w:rsid w:val="14D92F95"/>
    <w:rsid w:val="14E1350B"/>
    <w:rsid w:val="14EA7D79"/>
    <w:rsid w:val="14EF7E3A"/>
    <w:rsid w:val="156A01EB"/>
    <w:rsid w:val="15744470"/>
    <w:rsid w:val="15C9656A"/>
    <w:rsid w:val="164637E0"/>
    <w:rsid w:val="165878EE"/>
    <w:rsid w:val="16894D2E"/>
    <w:rsid w:val="16917DF7"/>
    <w:rsid w:val="173043C7"/>
    <w:rsid w:val="17463BEB"/>
    <w:rsid w:val="175B72AF"/>
    <w:rsid w:val="179E57D5"/>
    <w:rsid w:val="17D96556"/>
    <w:rsid w:val="17FD65D0"/>
    <w:rsid w:val="18F20E01"/>
    <w:rsid w:val="193C52A5"/>
    <w:rsid w:val="198349AA"/>
    <w:rsid w:val="198C0D25"/>
    <w:rsid w:val="19D21C27"/>
    <w:rsid w:val="1A974E89"/>
    <w:rsid w:val="1AA44FA5"/>
    <w:rsid w:val="1AFD31A9"/>
    <w:rsid w:val="1B0F0EC3"/>
    <w:rsid w:val="1B222279"/>
    <w:rsid w:val="1B2F50C2"/>
    <w:rsid w:val="1B9019AB"/>
    <w:rsid w:val="1B904839"/>
    <w:rsid w:val="1BF97EFD"/>
    <w:rsid w:val="1C330F98"/>
    <w:rsid w:val="1C8A354A"/>
    <w:rsid w:val="1CF738C0"/>
    <w:rsid w:val="1D264D8E"/>
    <w:rsid w:val="1D3369BF"/>
    <w:rsid w:val="1DB05824"/>
    <w:rsid w:val="1E036392"/>
    <w:rsid w:val="1E25455A"/>
    <w:rsid w:val="1E5D02C5"/>
    <w:rsid w:val="1EF36235"/>
    <w:rsid w:val="1F554436"/>
    <w:rsid w:val="1F683D02"/>
    <w:rsid w:val="205D622D"/>
    <w:rsid w:val="20B20F2A"/>
    <w:rsid w:val="20EB1EB0"/>
    <w:rsid w:val="214303A5"/>
    <w:rsid w:val="214E5B76"/>
    <w:rsid w:val="21751354"/>
    <w:rsid w:val="217A2E0F"/>
    <w:rsid w:val="21EB5CE6"/>
    <w:rsid w:val="22B8599C"/>
    <w:rsid w:val="22B950A1"/>
    <w:rsid w:val="22F9729B"/>
    <w:rsid w:val="23177F0A"/>
    <w:rsid w:val="23241284"/>
    <w:rsid w:val="23757D31"/>
    <w:rsid w:val="237D0ABE"/>
    <w:rsid w:val="23A17F1B"/>
    <w:rsid w:val="23EF168A"/>
    <w:rsid w:val="2432352D"/>
    <w:rsid w:val="24455956"/>
    <w:rsid w:val="24643238"/>
    <w:rsid w:val="2465335D"/>
    <w:rsid w:val="249652C5"/>
    <w:rsid w:val="24A073E8"/>
    <w:rsid w:val="24C06D8A"/>
    <w:rsid w:val="24C309E8"/>
    <w:rsid w:val="24F079C0"/>
    <w:rsid w:val="250443AC"/>
    <w:rsid w:val="2507093D"/>
    <w:rsid w:val="250C1FD0"/>
    <w:rsid w:val="25143B12"/>
    <w:rsid w:val="25186BC6"/>
    <w:rsid w:val="25263FDE"/>
    <w:rsid w:val="254C2E10"/>
    <w:rsid w:val="25BD776E"/>
    <w:rsid w:val="25F077C1"/>
    <w:rsid w:val="26216F03"/>
    <w:rsid w:val="26876E95"/>
    <w:rsid w:val="26AA7235"/>
    <w:rsid w:val="26FE1C15"/>
    <w:rsid w:val="271D3DC8"/>
    <w:rsid w:val="27595274"/>
    <w:rsid w:val="28327F9F"/>
    <w:rsid w:val="283727E1"/>
    <w:rsid w:val="286B5C54"/>
    <w:rsid w:val="28C60E8D"/>
    <w:rsid w:val="28CB3E86"/>
    <w:rsid w:val="291F01F3"/>
    <w:rsid w:val="2977172B"/>
    <w:rsid w:val="29DA6B40"/>
    <w:rsid w:val="2A0227DD"/>
    <w:rsid w:val="2A3B7CEA"/>
    <w:rsid w:val="2A57354E"/>
    <w:rsid w:val="2B1A4D1A"/>
    <w:rsid w:val="2BA00CC7"/>
    <w:rsid w:val="2BC5112A"/>
    <w:rsid w:val="2C351579"/>
    <w:rsid w:val="2CD849B0"/>
    <w:rsid w:val="2D105BE6"/>
    <w:rsid w:val="2D4F514F"/>
    <w:rsid w:val="2D79041E"/>
    <w:rsid w:val="2ECD0A22"/>
    <w:rsid w:val="2EF56CE0"/>
    <w:rsid w:val="2F0D7658"/>
    <w:rsid w:val="2F3E191F"/>
    <w:rsid w:val="2F4B08F2"/>
    <w:rsid w:val="2F93741A"/>
    <w:rsid w:val="30130901"/>
    <w:rsid w:val="30742D96"/>
    <w:rsid w:val="30B773CC"/>
    <w:rsid w:val="3103392C"/>
    <w:rsid w:val="31076A06"/>
    <w:rsid w:val="310F6F56"/>
    <w:rsid w:val="31AA4BFA"/>
    <w:rsid w:val="31AC5C63"/>
    <w:rsid w:val="324F79A0"/>
    <w:rsid w:val="325B00F2"/>
    <w:rsid w:val="326E6078"/>
    <w:rsid w:val="328C0BF4"/>
    <w:rsid w:val="32CC0FF0"/>
    <w:rsid w:val="32D22AAA"/>
    <w:rsid w:val="32DF5298"/>
    <w:rsid w:val="333B2067"/>
    <w:rsid w:val="33886230"/>
    <w:rsid w:val="33C5616B"/>
    <w:rsid w:val="33E40147"/>
    <w:rsid w:val="348C6C89"/>
    <w:rsid w:val="348F22D5"/>
    <w:rsid w:val="34FD7A6B"/>
    <w:rsid w:val="35C075BF"/>
    <w:rsid w:val="35E13004"/>
    <w:rsid w:val="362870FA"/>
    <w:rsid w:val="366538A6"/>
    <w:rsid w:val="367C6565"/>
    <w:rsid w:val="370E7E29"/>
    <w:rsid w:val="374D42AF"/>
    <w:rsid w:val="37CB1876"/>
    <w:rsid w:val="37CB7AC8"/>
    <w:rsid w:val="37DE3B2B"/>
    <w:rsid w:val="37EB1F18"/>
    <w:rsid w:val="380509AA"/>
    <w:rsid w:val="3842422E"/>
    <w:rsid w:val="384653A1"/>
    <w:rsid w:val="385E21BC"/>
    <w:rsid w:val="386046B4"/>
    <w:rsid w:val="38782C04"/>
    <w:rsid w:val="38A7743D"/>
    <w:rsid w:val="38DC04DB"/>
    <w:rsid w:val="38DF7CCF"/>
    <w:rsid w:val="39F727BE"/>
    <w:rsid w:val="3AE3337B"/>
    <w:rsid w:val="3AF57C58"/>
    <w:rsid w:val="3B8B0AF6"/>
    <w:rsid w:val="3B93481F"/>
    <w:rsid w:val="3B9D7603"/>
    <w:rsid w:val="3BD3479F"/>
    <w:rsid w:val="3C07516C"/>
    <w:rsid w:val="3C201B02"/>
    <w:rsid w:val="3C3F7A3C"/>
    <w:rsid w:val="3C5C248D"/>
    <w:rsid w:val="3CBD773B"/>
    <w:rsid w:val="3D470456"/>
    <w:rsid w:val="3D536B4A"/>
    <w:rsid w:val="3D55540A"/>
    <w:rsid w:val="3D6C13D5"/>
    <w:rsid w:val="3D7D1865"/>
    <w:rsid w:val="3DA60DBB"/>
    <w:rsid w:val="3DD84CED"/>
    <w:rsid w:val="3E0E68AD"/>
    <w:rsid w:val="3E216FE9"/>
    <w:rsid w:val="3E9C3F6D"/>
    <w:rsid w:val="3F193E2E"/>
    <w:rsid w:val="3F4D5267"/>
    <w:rsid w:val="3F5E7474"/>
    <w:rsid w:val="3F9200B9"/>
    <w:rsid w:val="3FEC4A80"/>
    <w:rsid w:val="3FF41403"/>
    <w:rsid w:val="3FFC1167"/>
    <w:rsid w:val="400B51A6"/>
    <w:rsid w:val="4013200C"/>
    <w:rsid w:val="40BF1A9A"/>
    <w:rsid w:val="41AC581E"/>
    <w:rsid w:val="41D53137"/>
    <w:rsid w:val="42302661"/>
    <w:rsid w:val="42337727"/>
    <w:rsid w:val="423A41C8"/>
    <w:rsid w:val="42537038"/>
    <w:rsid w:val="42D53B65"/>
    <w:rsid w:val="42F75C15"/>
    <w:rsid w:val="433A1E82"/>
    <w:rsid w:val="433F136A"/>
    <w:rsid w:val="436B7F8D"/>
    <w:rsid w:val="443F5AC6"/>
    <w:rsid w:val="444B0F5E"/>
    <w:rsid w:val="44543077"/>
    <w:rsid w:val="445A3A94"/>
    <w:rsid w:val="446E7DEB"/>
    <w:rsid w:val="449A2070"/>
    <w:rsid w:val="44DC7733"/>
    <w:rsid w:val="45120AE5"/>
    <w:rsid w:val="452B7DF8"/>
    <w:rsid w:val="45611A6C"/>
    <w:rsid w:val="45E95270"/>
    <w:rsid w:val="46053C70"/>
    <w:rsid w:val="46386C71"/>
    <w:rsid w:val="463A3EB9"/>
    <w:rsid w:val="46BA6F22"/>
    <w:rsid w:val="46DD5C23"/>
    <w:rsid w:val="4703102D"/>
    <w:rsid w:val="4723347D"/>
    <w:rsid w:val="48254FD3"/>
    <w:rsid w:val="484C255F"/>
    <w:rsid w:val="4867383D"/>
    <w:rsid w:val="488B1DD6"/>
    <w:rsid w:val="488B6532"/>
    <w:rsid w:val="48AA2464"/>
    <w:rsid w:val="48CD4344"/>
    <w:rsid w:val="49050A1B"/>
    <w:rsid w:val="490C4958"/>
    <w:rsid w:val="496E6505"/>
    <w:rsid w:val="49FC7FB5"/>
    <w:rsid w:val="4A4150D7"/>
    <w:rsid w:val="4A7B7A15"/>
    <w:rsid w:val="4AA06B93"/>
    <w:rsid w:val="4B3748C5"/>
    <w:rsid w:val="4B5E4FF7"/>
    <w:rsid w:val="4BA02254"/>
    <w:rsid w:val="4BCD4365"/>
    <w:rsid w:val="4BDB1D65"/>
    <w:rsid w:val="4C59524B"/>
    <w:rsid w:val="4C9B3AB5"/>
    <w:rsid w:val="4CA50490"/>
    <w:rsid w:val="4CAA019C"/>
    <w:rsid w:val="4CF052CF"/>
    <w:rsid w:val="4DCA696D"/>
    <w:rsid w:val="4DDE1EAC"/>
    <w:rsid w:val="4DE1199C"/>
    <w:rsid w:val="4E01203E"/>
    <w:rsid w:val="4E16502C"/>
    <w:rsid w:val="4E2306DA"/>
    <w:rsid w:val="4E6D76D3"/>
    <w:rsid w:val="4E8477F5"/>
    <w:rsid w:val="4F0C5B74"/>
    <w:rsid w:val="4F2D5C6D"/>
    <w:rsid w:val="4F756840"/>
    <w:rsid w:val="4F7F4EB2"/>
    <w:rsid w:val="4FC34247"/>
    <w:rsid w:val="50C2704A"/>
    <w:rsid w:val="50DB26D2"/>
    <w:rsid w:val="51B33A0C"/>
    <w:rsid w:val="52236C8C"/>
    <w:rsid w:val="52817600"/>
    <w:rsid w:val="5294763D"/>
    <w:rsid w:val="52E4174F"/>
    <w:rsid w:val="535D3DF7"/>
    <w:rsid w:val="536125FC"/>
    <w:rsid w:val="53850738"/>
    <w:rsid w:val="53B04032"/>
    <w:rsid w:val="54CF07A0"/>
    <w:rsid w:val="54E35FFA"/>
    <w:rsid w:val="553C7BCB"/>
    <w:rsid w:val="55D342C0"/>
    <w:rsid w:val="55FC63EC"/>
    <w:rsid w:val="56147E28"/>
    <w:rsid w:val="561D378D"/>
    <w:rsid w:val="56DF417F"/>
    <w:rsid w:val="56F52014"/>
    <w:rsid w:val="57B476CF"/>
    <w:rsid w:val="57C93842"/>
    <w:rsid w:val="57CF2390"/>
    <w:rsid w:val="57D36BA2"/>
    <w:rsid w:val="58075E05"/>
    <w:rsid w:val="5860579F"/>
    <w:rsid w:val="589079BC"/>
    <w:rsid w:val="589715D5"/>
    <w:rsid w:val="58F05189"/>
    <w:rsid w:val="590A1874"/>
    <w:rsid w:val="59142C25"/>
    <w:rsid w:val="591A2206"/>
    <w:rsid w:val="5A135113"/>
    <w:rsid w:val="5A335284"/>
    <w:rsid w:val="5A6661D0"/>
    <w:rsid w:val="5A67147B"/>
    <w:rsid w:val="5A722AEF"/>
    <w:rsid w:val="5AC471C8"/>
    <w:rsid w:val="5ACB7C5C"/>
    <w:rsid w:val="5AD016BE"/>
    <w:rsid w:val="5B124F52"/>
    <w:rsid w:val="5C001B87"/>
    <w:rsid w:val="5C1D7992"/>
    <w:rsid w:val="5C4A2E02"/>
    <w:rsid w:val="5D333896"/>
    <w:rsid w:val="5D437F7D"/>
    <w:rsid w:val="5DD30179"/>
    <w:rsid w:val="5DF14EBD"/>
    <w:rsid w:val="5E1503D6"/>
    <w:rsid w:val="5E3A15F7"/>
    <w:rsid w:val="5E5F0DE7"/>
    <w:rsid w:val="5E804305"/>
    <w:rsid w:val="5E8727F8"/>
    <w:rsid w:val="5EC450EE"/>
    <w:rsid w:val="5ED23841"/>
    <w:rsid w:val="5F73441E"/>
    <w:rsid w:val="5F8C53BF"/>
    <w:rsid w:val="60432042"/>
    <w:rsid w:val="60827675"/>
    <w:rsid w:val="608B09D2"/>
    <w:rsid w:val="608D1C38"/>
    <w:rsid w:val="609C52DB"/>
    <w:rsid w:val="60BE791B"/>
    <w:rsid w:val="616A1D28"/>
    <w:rsid w:val="619248A7"/>
    <w:rsid w:val="61972646"/>
    <w:rsid w:val="61F0772C"/>
    <w:rsid w:val="62A763D4"/>
    <w:rsid w:val="62BC7E32"/>
    <w:rsid w:val="62C16DEA"/>
    <w:rsid w:val="62E9458C"/>
    <w:rsid w:val="63247F09"/>
    <w:rsid w:val="632F4AEB"/>
    <w:rsid w:val="63381C06"/>
    <w:rsid w:val="63951711"/>
    <w:rsid w:val="63EB6C79"/>
    <w:rsid w:val="641C5084"/>
    <w:rsid w:val="644350DB"/>
    <w:rsid w:val="648358A3"/>
    <w:rsid w:val="656767D3"/>
    <w:rsid w:val="660B1881"/>
    <w:rsid w:val="66355663"/>
    <w:rsid w:val="663B24CE"/>
    <w:rsid w:val="66637FB2"/>
    <w:rsid w:val="671A4F61"/>
    <w:rsid w:val="67FD00C7"/>
    <w:rsid w:val="684828EC"/>
    <w:rsid w:val="686B482C"/>
    <w:rsid w:val="686C237F"/>
    <w:rsid w:val="68700178"/>
    <w:rsid w:val="68803354"/>
    <w:rsid w:val="68D3743D"/>
    <w:rsid w:val="69144EB0"/>
    <w:rsid w:val="691551E4"/>
    <w:rsid w:val="694842F5"/>
    <w:rsid w:val="694A1784"/>
    <w:rsid w:val="695F613F"/>
    <w:rsid w:val="696142FC"/>
    <w:rsid w:val="696C085C"/>
    <w:rsid w:val="697E2F2B"/>
    <w:rsid w:val="69DD41F0"/>
    <w:rsid w:val="69EC54F9"/>
    <w:rsid w:val="69F70D87"/>
    <w:rsid w:val="6A317D67"/>
    <w:rsid w:val="6A390501"/>
    <w:rsid w:val="6AA84B94"/>
    <w:rsid w:val="6B150E28"/>
    <w:rsid w:val="6B460314"/>
    <w:rsid w:val="6B6566ED"/>
    <w:rsid w:val="6BA53BB1"/>
    <w:rsid w:val="6BA62802"/>
    <w:rsid w:val="6C3824C9"/>
    <w:rsid w:val="6C7E2657"/>
    <w:rsid w:val="6CB56076"/>
    <w:rsid w:val="6D513FF0"/>
    <w:rsid w:val="6E2D1719"/>
    <w:rsid w:val="6E6715F2"/>
    <w:rsid w:val="6E707590"/>
    <w:rsid w:val="6E8300C9"/>
    <w:rsid w:val="6E942723"/>
    <w:rsid w:val="6EAD16FA"/>
    <w:rsid w:val="6F210DAB"/>
    <w:rsid w:val="6FE50F85"/>
    <w:rsid w:val="70071A4D"/>
    <w:rsid w:val="702F68CE"/>
    <w:rsid w:val="70355B98"/>
    <w:rsid w:val="70F60F5C"/>
    <w:rsid w:val="71097329"/>
    <w:rsid w:val="71412853"/>
    <w:rsid w:val="71565AB6"/>
    <w:rsid w:val="71A71A2C"/>
    <w:rsid w:val="71D52B42"/>
    <w:rsid w:val="71F13D46"/>
    <w:rsid w:val="720C2BDC"/>
    <w:rsid w:val="72856D9A"/>
    <w:rsid w:val="729606F7"/>
    <w:rsid w:val="72B1796F"/>
    <w:rsid w:val="72C3479D"/>
    <w:rsid w:val="72D740DE"/>
    <w:rsid w:val="72FD42D3"/>
    <w:rsid w:val="74371495"/>
    <w:rsid w:val="7439488A"/>
    <w:rsid w:val="743F507D"/>
    <w:rsid w:val="74406B6D"/>
    <w:rsid w:val="74753096"/>
    <w:rsid w:val="74C06179"/>
    <w:rsid w:val="74CD787B"/>
    <w:rsid w:val="753300A9"/>
    <w:rsid w:val="75862CA5"/>
    <w:rsid w:val="758B3E18"/>
    <w:rsid w:val="75B94E29"/>
    <w:rsid w:val="75E35A02"/>
    <w:rsid w:val="7612404B"/>
    <w:rsid w:val="761E07C6"/>
    <w:rsid w:val="765E0FEC"/>
    <w:rsid w:val="76A01B45"/>
    <w:rsid w:val="770025E3"/>
    <w:rsid w:val="77441B2F"/>
    <w:rsid w:val="779C67B0"/>
    <w:rsid w:val="77A25449"/>
    <w:rsid w:val="78011004"/>
    <w:rsid w:val="780770F9"/>
    <w:rsid w:val="781C68DB"/>
    <w:rsid w:val="78AB15B9"/>
    <w:rsid w:val="78AF7473"/>
    <w:rsid w:val="78E154B8"/>
    <w:rsid w:val="78F61296"/>
    <w:rsid w:val="79106CC7"/>
    <w:rsid w:val="79740D09"/>
    <w:rsid w:val="797A05F4"/>
    <w:rsid w:val="79D23612"/>
    <w:rsid w:val="7A2A38C7"/>
    <w:rsid w:val="7A326F58"/>
    <w:rsid w:val="7A5E4818"/>
    <w:rsid w:val="7A911ED0"/>
    <w:rsid w:val="7ABE79C2"/>
    <w:rsid w:val="7ADD72A3"/>
    <w:rsid w:val="7B047DB8"/>
    <w:rsid w:val="7B14665D"/>
    <w:rsid w:val="7BE215B8"/>
    <w:rsid w:val="7BF73BBE"/>
    <w:rsid w:val="7C122B9D"/>
    <w:rsid w:val="7C22076D"/>
    <w:rsid w:val="7CAA05CB"/>
    <w:rsid w:val="7CF245B2"/>
    <w:rsid w:val="7D056BA5"/>
    <w:rsid w:val="7D4B5E96"/>
    <w:rsid w:val="7DAF266D"/>
    <w:rsid w:val="7DFF1847"/>
    <w:rsid w:val="7EF24F07"/>
    <w:rsid w:val="7F4A6AAE"/>
    <w:rsid w:val="7FBB6017"/>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8"/>
      <w:jc w:val="center"/>
      <w:outlineLvl w:val="0"/>
    </w:pPr>
    <w:rPr>
      <w:rFonts w:ascii="黑体" w:hAnsi="黑体" w:eastAsia="黑体" w:cs="黑体"/>
      <w:sz w:val="30"/>
      <w:szCs w:val="30"/>
    </w:rPr>
  </w:style>
  <w:style w:type="paragraph" w:styleId="3">
    <w:name w:val="heading 2"/>
    <w:basedOn w:val="1"/>
    <w:next w:val="1"/>
    <w:qFormat/>
    <w:uiPriority w:val="1"/>
    <w:pPr>
      <w:ind w:left="323"/>
      <w:outlineLvl w:val="1"/>
    </w:pPr>
    <w:rPr>
      <w:b/>
      <w:bCs/>
      <w:sz w:val="21"/>
      <w:szCs w:val="21"/>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6"/>
    <w:qFormat/>
    <w:uiPriority w:val="1"/>
    <w:rPr>
      <w:sz w:val="21"/>
      <w:szCs w:val="21"/>
    </w:rPr>
  </w:style>
  <w:style w:type="paragraph" w:styleId="7">
    <w:name w:val="Plain Text"/>
    <w:basedOn w:val="1"/>
    <w:qFormat/>
    <w:uiPriority w:val="0"/>
    <w:rPr>
      <w:rFonts w:hAnsi="Courier New" w:cs="楷体_GB2312"/>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1"/>
    <w:pPr>
      <w:spacing w:before="43"/>
      <w:ind w:left="323"/>
    </w:pPr>
    <w:rPr>
      <w:rFonts w:ascii="黑体" w:hAnsi="黑体" w:eastAsia="黑体" w:cs="黑体"/>
      <w:sz w:val="21"/>
      <w:szCs w:val="21"/>
    </w:rPr>
  </w:style>
  <w:style w:type="paragraph" w:styleId="11">
    <w:name w:val="toc 2"/>
    <w:basedOn w:val="1"/>
    <w:next w:val="1"/>
    <w:qFormat/>
    <w:uiPriority w:val="1"/>
    <w:pPr>
      <w:spacing w:before="43"/>
      <w:ind w:left="743"/>
    </w:pPr>
    <w:rPr>
      <w:sz w:val="21"/>
      <w:szCs w:val="21"/>
    </w:rPr>
  </w:style>
  <w:style w:type="paragraph" w:styleId="12">
    <w:name w:val="Normal (Web)"/>
    <w:basedOn w:val="1"/>
    <w:qFormat/>
    <w:uiPriority w:val="0"/>
    <w:pPr>
      <w:widowControl/>
      <w:spacing w:before="100" w:beforeAutospacing="1" w:after="100"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paragraph" w:styleId="17">
    <w:name w:val="List Paragraph"/>
    <w:basedOn w:val="1"/>
    <w:next w:val="1"/>
    <w:qFormat/>
    <w:uiPriority w:val="1"/>
    <w:pPr>
      <w:ind w:left="323" w:firstLine="420"/>
    </w:pPr>
  </w:style>
  <w:style w:type="paragraph" w:customStyle="1" w:styleId="18">
    <w:name w:val="正文1"/>
    <w:basedOn w:val="1"/>
    <w:qFormat/>
    <w:uiPriority w:val="0"/>
    <w:pPr>
      <w:widowControl/>
      <w:spacing w:line="440" w:lineRule="exact"/>
      <w:ind w:right="-167" w:rightChars="-167"/>
    </w:pPr>
    <w:rPr>
      <w:rFonts w:ascii="Times New Roman" w:hAnsi="Times New Roman" w:eastAsia="宋体" w:cs="Times New Roman"/>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customStyle="1" w:styleId="20">
    <w:name w:val="Table Paragraph"/>
    <w:basedOn w:val="1"/>
    <w:qFormat/>
    <w:uiPriority w:val="1"/>
  </w:style>
  <w:style w:type="paragraph" w:customStyle="1" w:styleId="21">
    <w:name w:val="TOC 标题1"/>
    <w:basedOn w:val="2"/>
    <w:next w:val="1"/>
    <w:qFormat/>
    <w:uiPriority w:val="0"/>
    <w:pPr>
      <w:outlineLvl w:val="9"/>
    </w:pPr>
  </w:style>
  <w:style w:type="paragraph" w:customStyle="1" w:styleId="22">
    <w:name w:val="Body text|1"/>
    <w:basedOn w:val="1"/>
    <w:qFormat/>
    <w:uiPriority w:val="0"/>
    <w:pPr>
      <w:spacing w:line="377" w:lineRule="auto"/>
      <w:ind w:firstLine="400"/>
    </w:pPr>
    <w:rPr>
      <w:lang w:val="zh-TW" w:eastAsia="zh-TW" w:bidi="zh-TW"/>
    </w:rPr>
  </w:style>
  <w:style w:type="paragraph" w:customStyle="1" w:styleId="23">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4">
    <w:name w:val="首行缩进"/>
    <w:basedOn w:val="1"/>
    <w:qFormat/>
    <w:uiPriority w:val="99"/>
    <w:pPr>
      <w:ind w:firstLine="480" w:firstLineChars="200"/>
    </w:pPr>
    <w:rPr>
      <w:rFonts w:ascii="Calibri" w:hAnsi="Calibri" w:cs="Times New Roman"/>
      <w:szCs w:val="20"/>
    </w:rPr>
  </w:style>
  <w:style w:type="character" w:customStyle="1" w:styleId="25">
    <w:name w:val="页眉 字符"/>
    <w:basedOn w:val="15"/>
    <w:link w:val="9"/>
    <w:qFormat/>
    <w:uiPriority w:val="0"/>
    <w:rPr>
      <w:rFonts w:ascii="宋体" w:hAnsi="宋体" w:eastAsia="宋体" w:cs="宋体"/>
      <w:sz w:val="18"/>
      <w:szCs w:val="18"/>
      <w:lang w:val="zh-CN" w:bidi="zh-CN"/>
    </w:rPr>
  </w:style>
  <w:style w:type="character" w:customStyle="1" w:styleId="26">
    <w:name w:val="正文文本 字符"/>
    <w:basedOn w:val="15"/>
    <w:link w:val="6"/>
    <w:qFormat/>
    <w:uiPriority w:val="1"/>
    <w:rPr>
      <w:rFonts w:ascii="宋体" w:hAnsi="宋体" w:eastAsia="宋体" w:cs="宋体"/>
      <w:sz w:val="21"/>
      <w:szCs w:val="21"/>
      <w:lang w:val="zh-CN" w:bidi="zh-CN"/>
    </w:rPr>
  </w:style>
  <w:style w:type="paragraph" w:customStyle="1" w:styleId="27">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列出段落11"/>
    <w:basedOn w:val="1"/>
    <w:qFormat/>
    <w:uiPriority w:val="0"/>
    <w:pPr>
      <w:ind w:firstLine="420" w:firstLineChars="200"/>
    </w:pPr>
    <w:rPr>
      <w:rFonts w:ascii="Calibri" w:hAnsi="Calibri"/>
    </w:rPr>
  </w:style>
  <w:style w:type="character" w:customStyle="1" w:styleId="29">
    <w:name w:val="font01"/>
    <w:basedOn w:val="15"/>
    <w:qFormat/>
    <w:uiPriority w:val="0"/>
    <w:rPr>
      <w:rFonts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2"/>
      <w:szCs w:val="22"/>
      <w:u w:val="none"/>
    </w:rPr>
  </w:style>
  <w:style w:type="character" w:customStyle="1" w:styleId="31">
    <w:name w:val="font21"/>
    <w:basedOn w:val="15"/>
    <w:qFormat/>
    <w:uiPriority w:val="0"/>
    <w:rPr>
      <w:rFonts w:hint="eastAsia" w:ascii="宋体" w:hAnsi="宋体" w:eastAsia="宋体" w:cs="宋体"/>
      <w:color w:val="000000"/>
      <w:sz w:val="23"/>
      <w:szCs w:val="23"/>
      <w:u w:val="none"/>
    </w:rPr>
  </w:style>
  <w:style w:type="character" w:customStyle="1" w:styleId="32">
    <w:name w:val="font31"/>
    <w:basedOn w:val="15"/>
    <w:qFormat/>
    <w:uiPriority w:val="0"/>
    <w:rPr>
      <w:rFonts w:hint="eastAsia" w:ascii="宋体" w:hAnsi="宋体" w:eastAsia="宋体" w:cs="宋体"/>
      <w:b/>
      <w:bCs/>
      <w:color w:val="000000"/>
      <w:sz w:val="40"/>
      <w:szCs w:val="40"/>
      <w:u w:val="none"/>
    </w:rPr>
  </w:style>
  <w:style w:type="character" w:customStyle="1" w:styleId="33">
    <w:name w:val="font112"/>
    <w:basedOn w:val="15"/>
    <w:qFormat/>
    <w:uiPriority w:val="0"/>
    <w:rPr>
      <w:rFonts w:hint="eastAsia" w:ascii="宋体" w:hAnsi="宋体" w:eastAsia="宋体" w:cs="宋体"/>
      <w:b/>
      <w:bCs/>
      <w:color w:val="000000"/>
      <w:sz w:val="40"/>
      <w:szCs w:val="40"/>
      <w:u w:val="single"/>
    </w:rPr>
  </w:style>
  <w:style w:type="character" w:customStyle="1" w:styleId="34">
    <w:name w:val="font51"/>
    <w:basedOn w:val="15"/>
    <w:qFormat/>
    <w:uiPriority w:val="0"/>
    <w:rPr>
      <w:rFonts w:hint="eastAsia" w:ascii="宋体" w:hAnsi="宋体" w:eastAsia="宋体" w:cs="宋体"/>
      <w:color w:val="000000"/>
      <w:sz w:val="21"/>
      <w:szCs w:val="21"/>
      <w:u w:val="none"/>
    </w:rPr>
  </w:style>
  <w:style w:type="character" w:customStyle="1" w:styleId="35">
    <w:name w:val="font81"/>
    <w:basedOn w:val="15"/>
    <w:qFormat/>
    <w:uiPriority w:val="0"/>
    <w:rPr>
      <w:rFonts w:hint="default" w:ascii="Calibri" w:hAnsi="Calibri" w:cs="Calibri"/>
      <w:color w:val="000000"/>
      <w:sz w:val="21"/>
      <w:szCs w:val="21"/>
      <w:u w:val="none"/>
    </w:rPr>
  </w:style>
  <w:style w:type="character" w:customStyle="1" w:styleId="36">
    <w:name w:val="font111"/>
    <w:basedOn w:val="15"/>
    <w:qFormat/>
    <w:uiPriority w:val="0"/>
    <w:rPr>
      <w:rFonts w:hint="eastAsia" w:ascii="宋体" w:hAnsi="宋体" w:eastAsia="宋体" w:cs="宋体"/>
      <w:b/>
      <w:bCs/>
      <w:color w:val="000000"/>
      <w:sz w:val="40"/>
      <w:szCs w:val="40"/>
      <w:u w:val="single"/>
    </w:rPr>
  </w:style>
  <w:style w:type="character" w:customStyle="1" w:styleId="37">
    <w:name w:val="font41"/>
    <w:basedOn w:val="15"/>
    <w:qFormat/>
    <w:uiPriority w:val="0"/>
    <w:rPr>
      <w:rFonts w:hint="default" w:ascii="方正小标宋简体" w:hAnsi="方正小标宋简体" w:eastAsia="方正小标宋简体" w:cs="方正小标宋简体"/>
      <w:color w:val="000000"/>
      <w:sz w:val="20"/>
      <w:szCs w:val="20"/>
      <w:u w:val="none"/>
    </w:rPr>
  </w:style>
  <w:style w:type="paragraph" w:customStyle="1" w:styleId="3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39">
    <w:name w:val="Table Text"/>
    <w:basedOn w:val="1"/>
    <w:semiHidden/>
    <w:qFormat/>
    <w:uiPriority w:val="0"/>
    <w:rPr>
      <w:rFonts w:ascii="宋体" w:hAnsi="宋体" w:eastAsia="宋体" w:cs="宋体"/>
      <w:sz w:val="23"/>
      <w:szCs w:val="23"/>
      <w:lang w:val="en-US" w:eastAsia="en-US" w:bidi="ar-SA"/>
    </w:rPr>
  </w:style>
  <w:style w:type="paragraph" w:customStyle="1" w:styleId="40">
    <w:name w:val="正文缩进1"/>
    <w:basedOn w:val="1"/>
    <w:qFormat/>
    <w:uiPriority w:val="0"/>
    <w:pPr>
      <w:ind w:firstLine="420"/>
    </w:pPr>
    <w:rPr>
      <w:szCs w:val="20"/>
    </w:rPr>
  </w:style>
  <w:style w:type="paragraph" w:customStyle="1" w:styleId="41">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9730</Words>
  <Characters>10163</Characters>
  <Lines>29</Lines>
  <Paragraphs>49</Paragraphs>
  <TotalTime>24</TotalTime>
  <ScaleCrop>false</ScaleCrop>
  <LinksUpToDate>false</LinksUpToDate>
  <CharactersWithSpaces>10331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2024-11-08T08:40:00Z</dcterms:created>
  <dc:creator>Administrator</dc:creator>
  <cp:lastModifiedBy>WPS_1613791631</cp:lastModifiedBy>
  <cp:lastPrinted>2025-04-09T06:09:00Z</cp:lastPrinted>
  <dcterms:modified xsi:type="dcterms:W3CDTF">2026-04-28T08:54:46Z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2052-12.1.0.25865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