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00C8D">
      <w:pPr>
        <w:autoSpaceDE/>
        <w:autoSpaceDN/>
        <w:spacing w:line="360" w:lineRule="auto"/>
        <w:rPr>
          <w:b/>
          <w:bCs/>
          <w:color w:val="auto"/>
          <w:sz w:val="36"/>
          <w:szCs w:val="36"/>
          <w:highlight w:val="none"/>
          <w:lang w:eastAsia="zh-CN"/>
        </w:rPr>
      </w:pPr>
    </w:p>
    <w:p w14:paraId="751384FC">
      <w:pPr>
        <w:autoSpaceDE/>
        <w:autoSpaceDN/>
        <w:spacing w:line="360" w:lineRule="auto"/>
        <w:rPr>
          <w:b/>
          <w:bCs/>
          <w:color w:val="auto"/>
          <w:sz w:val="36"/>
          <w:szCs w:val="36"/>
          <w:highlight w:val="none"/>
          <w:lang w:eastAsia="zh-CN"/>
        </w:rPr>
      </w:pPr>
    </w:p>
    <w:p w14:paraId="092A1212">
      <w:pPr>
        <w:widowControl/>
        <w:spacing w:line="360" w:lineRule="auto"/>
        <w:jc w:val="center"/>
        <w:rPr>
          <w:rFonts w:hint="eastAsia" w:cs="宋体"/>
          <w:b/>
          <w:bCs/>
          <w:color w:val="auto"/>
          <w:sz w:val="60"/>
          <w:szCs w:val="60"/>
          <w:highlight w:val="none"/>
          <w:lang w:eastAsia="zh-CN"/>
        </w:rPr>
      </w:pPr>
      <w:r>
        <w:rPr>
          <w:rFonts w:hint="eastAsia" w:cs="宋体"/>
          <w:b/>
          <w:bCs/>
          <w:color w:val="auto"/>
          <w:sz w:val="60"/>
          <w:szCs w:val="60"/>
          <w:highlight w:val="none"/>
          <w:lang w:eastAsia="zh-CN"/>
        </w:rPr>
        <w:t>瓦殿村市级和美乡村建设附属项目</w:t>
      </w:r>
    </w:p>
    <w:p w14:paraId="23E08E5B">
      <w:pPr>
        <w:widowControl/>
        <w:spacing w:line="360" w:lineRule="auto"/>
        <w:jc w:val="center"/>
        <w:rPr>
          <w:rFonts w:hint="eastAsia"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项目编号：JSZN-2026-00</w:t>
      </w:r>
      <w:r>
        <w:rPr>
          <w:rFonts w:hint="eastAsia" w:cs="宋体"/>
          <w:b/>
          <w:bCs/>
          <w:color w:val="auto"/>
          <w:sz w:val="32"/>
          <w:szCs w:val="32"/>
          <w:highlight w:val="none"/>
          <w:lang w:val="en-US" w:eastAsia="zh-CN"/>
        </w:rPr>
        <w:t>6</w:t>
      </w:r>
    </w:p>
    <w:p w14:paraId="4CE58AC0">
      <w:pPr>
        <w:pStyle w:val="44"/>
        <w:rPr>
          <w:rFonts w:hint="eastAsia"/>
          <w:color w:val="auto"/>
          <w:highlight w:val="none"/>
        </w:rPr>
      </w:pPr>
    </w:p>
    <w:p w14:paraId="50BA1A01">
      <w:pPr>
        <w:autoSpaceDE/>
        <w:autoSpaceDN/>
        <w:spacing w:line="360" w:lineRule="auto"/>
        <w:jc w:val="center"/>
        <w:rPr>
          <w:color w:val="auto"/>
          <w:sz w:val="36"/>
          <w:szCs w:val="36"/>
          <w:highlight w:val="none"/>
          <w:lang w:eastAsia="zh-CN"/>
        </w:rPr>
      </w:pPr>
    </w:p>
    <w:p w14:paraId="7E8808CF">
      <w:pPr>
        <w:autoSpaceDE w:val="0"/>
        <w:autoSpaceDN w:val="0"/>
        <w:spacing w:line="360" w:lineRule="auto"/>
        <w:jc w:val="center"/>
        <w:rPr>
          <w:rFonts w:hint="eastAsia" w:ascii="宋体" w:hAnsi="宋体" w:eastAsia="宋体" w:cs="宋体"/>
          <w:b/>
          <w:bCs/>
          <w:color w:val="auto"/>
          <w:kern w:val="2"/>
          <w:sz w:val="112"/>
          <w:szCs w:val="112"/>
          <w:highlight w:val="none"/>
          <w:lang w:eastAsia="zh-CN"/>
        </w:rPr>
      </w:pPr>
      <w:bookmarkStart w:id="0" w:name="_Hlk9977054"/>
      <w:r>
        <w:rPr>
          <w:rFonts w:hint="eastAsia" w:ascii="宋体" w:hAnsi="宋体" w:eastAsia="宋体" w:cs="宋体"/>
          <w:b/>
          <w:bCs/>
          <w:color w:val="auto"/>
          <w:kern w:val="2"/>
          <w:sz w:val="112"/>
          <w:szCs w:val="112"/>
          <w:highlight w:val="none"/>
          <w:lang w:eastAsia="zh-CN"/>
        </w:rPr>
        <w:t>竞争性磋商文件</w:t>
      </w:r>
    </w:p>
    <w:bookmarkEnd w:id="0"/>
    <w:p w14:paraId="28E07587">
      <w:pPr>
        <w:pStyle w:val="18"/>
        <w:rPr>
          <w:rFonts w:hint="eastAsia"/>
          <w:color w:val="auto"/>
          <w:highlight w:val="none"/>
          <w:lang w:eastAsia="zh-CN"/>
        </w:rPr>
      </w:pPr>
    </w:p>
    <w:p w14:paraId="2A09C6F7">
      <w:pPr>
        <w:pStyle w:val="18"/>
        <w:jc w:val="center"/>
        <w:rPr>
          <w:rFonts w:hint="eastAsia"/>
          <w:color w:val="auto"/>
          <w:highlight w:val="none"/>
          <w:lang w:eastAsia="zh-CN"/>
        </w:rPr>
      </w:pPr>
    </w:p>
    <w:p w14:paraId="33FE58D8">
      <w:pPr>
        <w:pStyle w:val="18"/>
        <w:rPr>
          <w:rFonts w:hint="eastAsia"/>
          <w:color w:val="auto"/>
          <w:highlight w:val="none"/>
          <w:lang w:eastAsia="zh-CN"/>
        </w:rPr>
      </w:pPr>
    </w:p>
    <w:p w14:paraId="723E1296">
      <w:pPr>
        <w:pStyle w:val="18"/>
        <w:rPr>
          <w:rFonts w:hint="eastAsia"/>
          <w:color w:val="auto"/>
          <w:highlight w:val="none"/>
          <w:lang w:eastAsia="zh-CN"/>
        </w:rPr>
      </w:pPr>
    </w:p>
    <w:p w14:paraId="4BF38FE0">
      <w:pPr>
        <w:pStyle w:val="18"/>
        <w:rPr>
          <w:rFonts w:hint="eastAsia"/>
          <w:color w:val="auto"/>
          <w:highlight w:val="none"/>
          <w:lang w:eastAsia="zh-CN"/>
        </w:rPr>
      </w:pPr>
    </w:p>
    <w:p w14:paraId="17AE4D3D">
      <w:pPr>
        <w:pStyle w:val="18"/>
        <w:rPr>
          <w:rFonts w:hint="eastAsia"/>
          <w:color w:val="auto"/>
          <w:highlight w:val="none"/>
          <w:lang w:eastAsia="zh-CN"/>
        </w:rPr>
      </w:pPr>
    </w:p>
    <w:p w14:paraId="6D1B1103">
      <w:pPr>
        <w:pStyle w:val="18"/>
        <w:rPr>
          <w:rFonts w:hint="eastAsia"/>
          <w:color w:val="auto"/>
          <w:highlight w:val="none"/>
          <w:lang w:eastAsia="zh-CN"/>
        </w:rPr>
      </w:pPr>
    </w:p>
    <w:p w14:paraId="2B28E9BD">
      <w:pPr>
        <w:pStyle w:val="18"/>
        <w:rPr>
          <w:rFonts w:hint="eastAsia"/>
          <w:color w:val="auto"/>
          <w:highlight w:val="none"/>
          <w:lang w:eastAsia="zh-CN"/>
        </w:rPr>
      </w:pPr>
    </w:p>
    <w:p w14:paraId="48364C9F">
      <w:pPr>
        <w:pStyle w:val="45"/>
        <w:rPr>
          <w:color w:val="auto"/>
          <w:highlight w:val="none"/>
          <w:lang w:eastAsia="zh-CN"/>
        </w:rPr>
      </w:pPr>
    </w:p>
    <w:p w14:paraId="2BC0B4C7">
      <w:pPr>
        <w:spacing w:line="360" w:lineRule="auto"/>
        <w:jc w:val="center"/>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38"/>
          <w:sz w:val="40"/>
          <w:szCs w:val="40"/>
          <w:highlight w:val="none"/>
        </w:rPr>
        <w:t>采购人</w:t>
      </w:r>
      <w:r>
        <w:rPr>
          <w:rFonts w:hint="eastAsia" w:ascii="宋体" w:hAnsi="宋体" w:eastAsia="宋体" w:cs="宋体"/>
          <w:b/>
          <w:bCs/>
          <w:color w:val="auto"/>
          <w:sz w:val="40"/>
          <w:szCs w:val="40"/>
          <w:highlight w:val="none"/>
        </w:rPr>
        <w:t>：</w:t>
      </w:r>
      <w:r>
        <w:rPr>
          <w:rFonts w:hint="eastAsia" w:cs="宋体"/>
          <w:b/>
          <w:bCs/>
          <w:color w:val="auto"/>
          <w:sz w:val="40"/>
          <w:szCs w:val="40"/>
          <w:highlight w:val="none"/>
          <w:lang w:eastAsia="zh-CN"/>
        </w:rPr>
        <w:t>南京市浦口区人民政府汤泉街道办事处</w:t>
      </w:r>
    </w:p>
    <w:p w14:paraId="1C3E1D69">
      <w:pPr>
        <w:spacing w:line="360" w:lineRule="auto"/>
        <w:jc w:val="center"/>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20"/>
          <w:sz w:val="40"/>
          <w:szCs w:val="40"/>
          <w:highlight w:val="none"/>
        </w:rPr>
        <w:t>采购代理机构：</w:t>
      </w:r>
      <w:r>
        <w:rPr>
          <w:rFonts w:hint="eastAsia" w:cs="宋体"/>
          <w:b/>
          <w:bCs/>
          <w:color w:val="auto"/>
          <w:spacing w:val="20"/>
          <w:sz w:val="40"/>
          <w:szCs w:val="40"/>
          <w:highlight w:val="none"/>
          <w:lang w:eastAsia="zh-CN"/>
        </w:rPr>
        <w:t>江苏中诺鸿远项目管理有限公司</w:t>
      </w:r>
    </w:p>
    <w:p w14:paraId="7624A8F0">
      <w:pPr>
        <w:spacing w:line="360" w:lineRule="auto"/>
        <w:jc w:val="center"/>
        <w:rPr>
          <w:rFonts w:hint="eastAsia" w:ascii="宋体" w:hAnsi="宋体" w:eastAsia="宋体" w:cs="宋体"/>
          <w:color w:val="auto"/>
          <w:spacing w:val="-20"/>
          <w:sz w:val="40"/>
          <w:szCs w:val="40"/>
          <w:highlight w:val="none"/>
          <w:lang w:eastAsia="zh-CN"/>
        </w:rPr>
      </w:pPr>
      <w:r>
        <w:rPr>
          <w:rFonts w:hint="eastAsia" w:ascii="宋体" w:hAnsi="宋体" w:eastAsia="宋体" w:cs="宋体"/>
          <w:b/>
          <w:bCs/>
          <w:color w:val="auto"/>
          <w:w w:val="98"/>
          <w:sz w:val="40"/>
          <w:szCs w:val="40"/>
          <w:highlight w:val="none"/>
        </w:rPr>
        <w:t>日期</w:t>
      </w:r>
      <w:r>
        <w:rPr>
          <w:rFonts w:hint="eastAsia" w:ascii="宋体" w:hAnsi="宋体" w:eastAsia="宋体" w:cs="宋体"/>
          <w:b/>
          <w:bCs/>
          <w:color w:val="auto"/>
          <w:sz w:val="40"/>
          <w:szCs w:val="40"/>
          <w:highlight w:val="none"/>
        </w:rPr>
        <w:t>：</w:t>
      </w:r>
      <w:r>
        <w:rPr>
          <w:rFonts w:hint="eastAsia" w:cs="宋体"/>
          <w:b/>
          <w:bCs/>
          <w:color w:val="auto"/>
          <w:w w:val="98"/>
          <w:sz w:val="40"/>
          <w:szCs w:val="40"/>
          <w:highlight w:val="none"/>
          <w:lang w:eastAsia="zh-CN"/>
        </w:rPr>
        <w:t>202</w:t>
      </w:r>
      <w:r>
        <w:rPr>
          <w:rFonts w:hint="eastAsia" w:cs="宋体"/>
          <w:b/>
          <w:bCs/>
          <w:color w:val="auto"/>
          <w:w w:val="98"/>
          <w:sz w:val="40"/>
          <w:szCs w:val="40"/>
          <w:highlight w:val="none"/>
          <w:lang w:val="en-US" w:eastAsia="zh-CN"/>
        </w:rPr>
        <w:t>6</w:t>
      </w:r>
      <w:r>
        <w:rPr>
          <w:rFonts w:hint="eastAsia" w:cs="宋体"/>
          <w:b/>
          <w:bCs/>
          <w:color w:val="auto"/>
          <w:w w:val="98"/>
          <w:sz w:val="40"/>
          <w:szCs w:val="40"/>
          <w:highlight w:val="none"/>
          <w:lang w:eastAsia="zh-CN"/>
        </w:rPr>
        <w:t>年</w:t>
      </w:r>
      <w:r>
        <w:rPr>
          <w:rFonts w:hint="eastAsia" w:cs="宋体"/>
          <w:b/>
          <w:bCs/>
          <w:color w:val="auto"/>
          <w:w w:val="98"/>
          <w:sz w:val="40"/>
          <w:szCs w:val="40"/>
          <w:highlight w:val="none"/>
          <w:lang w:val="en-US" w:eastAsia="zh-CN"/>
        </w:rPr>
        <w:t>04</w:t>
      </w:r>
      <w:r>
        <w:rPr>
          <w:rFonts w:hint="eastAsia" w:cs="宋体"/>
          <w:b/>
          <w:bCs/>
          <w:color w:val="auto"/>
          <w:w w:val="98"/>
          <w:sz w:val="40"/>
          <w:szCs w:val="40"/>
          <w:highlight w:val="none"/>
          <w:lang w:eastAsia="zh-CN"/>
        </w:rPr>
        <w:t>月</w:t>
      </w:r>
      <w:r>
        <w:rPr>
          <w:rFonts w:hint="eastAsia" w:cs="宋体"/>
          <w:b/>
          <w:bCs/>
          <w:color w:val="auto"/>
          <w:w w:val="98"/>
          <w:sz w:val="40"/>
          <w:szCs w:val="40"/>
          <w:highlight w:val="none"/>
          <w:lang w:val="en-US" w:eastAsia="zh-CN"/>
        </w:rPr>
        <w:t>29</w:t>
      </w:r>
      <w:r>
        <w:rPr>
          <w:rFonts w:hint="eastAsia" w:cs="宋体"/>
          <w:b/>
          <w:bCs/>
          <w:color w:val="auto"/>
          <w:w w:val="98"/>
          <w:sz w:val="40"/>
          <w:szCs w:val="40"/>
          <w:highlight w:val="none"/>
          <w:lang w:eastAsia="zh-CN"/>
        </w:rPr>
        <w:t>日</w:t>
      </w:r>
    </w:p>
    <w:p w14:paraId="2651C499">
      <w:pPr>
        <w:widowControl/>
        <w:autoSpaceDE/>
        <w:autoSpaceDN/>
        <w:spacing w:line="360" w:lineRule="auto"/>
        <w:jc w:val="both"/>
        <w:rPr>
          <w:rFonts w:hint="eastAsia" w:ascii="宋体" w:hAnsi="宋体" w:eastAsia="宋体" w:cs="宋体"/>
          <w:b/>
          <w:bCs/>
          <w:color w:val="auto"/>
          <w:kern w:val="44"/>
          <w:sz w:val="60"/>
          <w:szCs w:val="240"/>
          <w:highlight w:val="none"/>
          <w:lang w:val="zh-CN" w:eastAsia="zh-CN" w:bidi="ar-SA"/>
        </w:rPr>
        <w:sectPr>
          <w:headerReference r:id="rId3" w:type="default"/>
          <w:pgSz w:w="12240" w:h="15840"/>
          <w:pgMar w:top="1134" w:right="1134" w:bottom="1134" w:left="1134" w:header="720" w:footer="720" w:gutter="0"/>
          <w:cols w:space="720" w:num="1"/>
          <w:docGrid w:linePitch="299" w:charSpace="0"/>
        </w:sectPr>
      </w:pPr>
    </w:p>
    <w:p w14:paraId="3F8B8A03">
      <w:pPr>
        <w:widowControl/>
        <w:autoSpaceDE/>
        <w:autoSpaceDN/>
        <w:spacing w:line="360" w:lineRule="auto"/>
        <w:jc w:val="center"/>
        <w:rPr>
          <w:color w:val="auto"/>
          <w:sz w:val="24"/>
          <w:szCs w:val="24"/>
          <w:highlight w:val="none"/>
        </w:rPr>
      </w:pPr>
      <w:r>
        <w:rPr>
          <w:rFonts w:hint="eastAsia" w:ascii="宋体" w:hAnsi="宋体" w:eastAsia="宋体" w:cs="宋体"/>
          <w:b/>
          <w:bCs/>
          <w:color w:val="auto"/>
          <w:kern w:val="44"/>
          <w:sz w:val="72"/>
          <w:szCs w:val="260"/>
          <w:highlight w:val="none"/>
          <w:lang w:val="zh-CN" w:eastAsia="zh-CN" w:bidi="ar-SA"/>
        </w:rPr>
        <w:t>目</w:t>
      </w:r>
      <w:r>
        <w:rPr>
          <w:rFonts w:hint="eastAsia" w:ascii="宋体" w:hAnsi="宋体" w:eastAsia="宋体" w:cs="宋体"/>
          <w:b/>
          <w:bCs/>
          <w:color w:val="auto"/>
          <w:kern w:val="44"/>
          <w:sz w:val="72"/>
          <w:szCs w:val="260"/>
          <w:highlight w:val="none"/>
          <w:lang w:val="en-US" w:eastAsia="zh-CN" w:bidi="ar-SA"/>
        </w:rPr>
        <w:t xml:space="preserve">  </w:t>
      </w:r>
      <w:r>
        <w:rPr>
          <w:rFonts w:hint="eastAsia" w:ascii="宋体" w:hAnsi="宋体" w:eastAsia="宋体" w:cs="宋体"/>
          <w:b/>
          <w:bCs/>
          <w:color w:val="auto"/>
          <w:kern w:val="44"/>
          <w:sz w:val="72"/>
          <w:szCs w:val="260"/>
          <w:highlight w:val="none"/>
          <w:lang w:val="zh-CN" w:eastAsia="zh-CN" w:bidi="ar-SA"/>
        </w:rPr>
        <w:t>录</w:t>
      </w:r>
    </w:p>
    <w:p w14:paraId="72069618">
      <w:pPr>
        <w:pStyle w:val="21"/>
        <w:tabs>
          <w:tab w:val="right" w:leader="dot" w:pos="9972"/>
          <w:tab w:val="clear" w:pos="8630"/>
        </w:tabs>
        <w:spacing w:line="480" w:lineRule="auto"/>
        <w:rPr>
          <w:rFonts w:hint="eastAsia" w:ascii="宋体" w:hAnsi="宋体" w:eastAsia="宋体" w:cs="宋体"/>
          <w:color w:val="auto"/>
          <w:sz w:val="36"/>
          <w:szCs w:val="36"/>
          <w:highlight w:val="none"/>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 TOC \o "1-3" \h \z \u </w:instrText>
      </w:r>
      <w:r>
        <w:rPr>
          <w:rFonts w:hint="eastAsia" w:ascii="宋体" w:hAnsi="宋体" w:cs="宋体"/>
          <w:b/>
          <w:bCs/>
          <w:color w:val="auto"/>
          <w:sz w:val="36"/>
          <w:szCs w:val="36"/>
          <w:highlight w:val="none"/>
        </w:rPr>
        <w:fldChar w:fldCharType="separate"/>
      </w:r>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 HYPERLINK \l _Toc11006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lang w:eastAsia="zh-CN"/>
        </w:rPr>
        <w:t>第一章  竞争性磋商公告</w:t>
      </w:r>
      <w:r>
        <w:rPr>
          <w:rFonts w:hint="eastAsia" w:ascii="宋体" w:hAnsi="宋体" w:eastAsia="宋体" w:cs="宋体"/>
          <w:color w:val="auto"/>
          <w:sz w:val="36"/>
          <w:szCs w:val="36"/>
          <w:highlight w:val="none"/>
        </w:rPr>
        <w:tab/>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PAGEREF _Toc11006 \h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t>2</w:t>
      </w:r>
      <w:r>
        <w:rPr>
          <w:rFonts w:hint="eastAsia" w:ascii="宋体" w:hAnsi="宋体" w:eastAsia="宋体" w:cs="宋体"/>
          <w:color w:val="auto"/>
          <w:sz w:val="36"/>
          <w:szCs w:val="36"/>
          <w:highlight w:val="none"/>
        </w:rPr>
        <w:fldChar w:fldCharType="end"/>
      </w:r>
      <w:r>
        <w:rPr>
          <w:rFonts w:hint="eastAsia" w:ascii="宋体" w:hAnsi="宋体" w:eastAsia="宋体" w:cs="宋体"/>
          <w:bCs/>
          <w:color w:val="auto"/>
          <w:sz w:val="36"/>
          <w:szCs w:val="36"/>
          <w:highlight w:val="none"/>
        </w:rPr>
        <w:fldChar w:fldCharType="end"/>
      </w:r>
    </w:p>
    <w:p w14:paraId="349AEA7F">
      <w:pPr>
        <w:pStyle w:val="21"/>
        <w:tabs>
          <w:tab w:val="right" w:leader="dot" w:pos="9972"/>
          <w:tab w:val="clear" w:pos="8630"/>
        </w:tabs>
        <w:spacing w:line="480" w:lineRule="auto"/>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 HYPERLINK \l _Toc13806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lang w:eastAsia="zh-CN"/>
        </w:rPr>
        <w:t xml:space="preserve">第二章 </w:t>
      </w:r>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lang w:eastAsia="zh-CN"/>
        </w:rPr>
        <w:t>竞争性磋商须知</w:t>
      </w:r>
      <w:r>
        <w:rPr>
          <w:rFonts w:hint="eastAsia" w:ascii="宋体" w:hAnsi="宋体" w:eastAsia="宋体" w:cs="宋体"/>
          <w:color w:val="auto"/>
          <w:sz w:val="36"/>
          <w:szCs w:val="36"/>
          <w:highlight w:val="none"/>
        </w:rPr>
        <w:tab/>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PAGEREF _Toc13806 \h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t>2</w:t>
      </w:r>
      <w:r>
        <w:rPr>
          <w:rFonts w:hint="eastAsia" w:ascii="宋体" w:hAnsi="宋体" w:eastAsia="宋体" w:cs="宋体"/>
          <w:color w:val="auto"/>
          <w:sz w:val="36"/>
          <w:szCs w:val="36"/>
          <w:highlight w:val="none"/>
        </w:rPr>
        <w:fldChar w:fldCharType="end"/>
      </w:r>
      <w:r>
        <w:rPr>
          <w:rFonts w:hint="eastAsia" w:ascii="宋体" w:hAnsi="宋体" w:eastAsia="宋体" w:cs="宋体"/>
          <w:bCs/>
          <w:color w:val="auto"/>
          <w:sz w:val="36"/>
          <w:szCs w:val="36"/>
          <w:highlight w:val="none"/>
        </w:rPr>
        <w:fldChar w:fldCharType="end"/>
      </w:r>
    </w:p>
    <w:p w14:paraId="150B4D15">
      <w:pPr>
        <w:pStyle w:val="21"/>
        <w:tabs>
          <w:tab w:val="right" w:leader="dot" w:pos="9972"/>
          <w:tab w:val="clear" w:pos="8630"/>
        </w:tabs>
        <w:spacing w:line="480" w:lineRule="auto"/>
        <w:rPr>
          <w:rFonts w:hint="eastAsia" w:ascii="宋体" w:hAnsi="宋体" w:eastAsia="宋体" w:cs="宋体"/>
          <w:color w:val="auto"/>
          <w:sz w:val="36"/>
          <w:szCs w:val="36"/>
          <w:highlight w:val="none"/>
          <w:lang w:val="en-US" w:eastAsia="zh-CN"/>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 HYPERLINK \l _Toc14421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lang w:eastAsia="zh-CN"/>
        </w:rPr>
        <w:t xml:space="preserve">第三章 </w:t>
      </w:r>
      <w:r>
        <w:rPr>
          <w:rFonts w:hint="eastAsia" w:ascii="宋体" w:hAnsi="宋体" w:cs="宋体"/>
          <w:bCs/>
          <w:color w:val="auto"/>
          <w:sz w:val="36"/>
          <w:szCs w:val="36"/>
          <w:highlight w:val="none"/>
          <w:lang w:val="en-US" w:eastAsia="zh-CN"/>
        </w:rPr>
        <w:t xml:space="preserve"> 评审标准</w:t>
      </w:r>
      <w:r>
        <w:rPr>
          <w:rFonts w:hint="eastAsia" w:ascii="宋体" w:hAnsi="宋体" w:eastAsia="宋体" w:cs="宋体"/>
          <w:color w:val="auto"/>
          <w:sz w:val="36"/>
          <w:szCs w:val="36"/>
          <w:highlight w:val="none"/>
        </w:rPr>
        <w:tab/>
      </w:r>
      <w:r>
        <w:rPr>
          <w:rFonts w:hint="eastAsia" w:ascii="宋体" w:hAnsi="宋体" w:cs="宋体"/>
          <w:color w:val="auto"/>
          <w:sz w:val="36"/>
          <w:szCs w:val="36"/>
          <w:highlight w:val="none"/>
          <w:lang w:val="en-US" w:eastAsia="zh-CN"/>
        </w:rPr>
        <w:t>2</w:t>
      </w:r>
      <w:r>
        <w:rPr>
          <w:rFonts w:hint="eastAsia" w:ascii="宋体" w:hAnsi="宋体" w:eastAsia="宋体" w:cs="宋体"/>
          <w:bCs/>
          <w:color w:val="auto"/>
          <w:sz w:val="36"/>
          <w:szCs w:val="36"/>
          <w:highlight w:val="none"/>
        </w:rPr>
        <w:fldChar w:fldCharType="end"/>
      </w:r>
      <w:r>
        <w:rPr>
          <w:rFonts w:hint="eastAsia" w:ascii="宋体" w:hAnsi="宋体" w:cs="宋体"/>
          <w:bCs/>
          <w:color w:val="auto"/>
          <w:sz w:val="36"/>
          <w:szCs w:val="36"/>
          <w:highlight w:val="none"/>
          <w:lang w:val="en-US" w:eastAsia="zh-CN"/>
        </w:rPr>
        <w:t>0</w:t>
      </w:r>
    </w:p>
    <w:p w14:paraId="54882A5D">
      <w:pPr>
        <w:pStyle w:val="21"/>
        <w:tabs>
          <w:tab w:val="right" w:leader="dot" w:pos="9972"/>
          <w:tab w:val="clear" w:pos="8630"/>
        </w:tabs>
        <w:spacing w:line="480" w:lineRule="auto"/>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 HYPERLINK \l _Toc18835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lang w:eastAsia="zh-CN"/>
        </w:rPr>
        <w:t xml:space="preserve">第四章 </w:t>
      </w:r>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lang w:eastAsia="zh-CN"/>
        </w:rPr>
        <w:t>采购需求</w:t>
      </w:r>
      <w:r>
        <w:rPr>
          <w:rFonts w:hint="eastAsia" w:ascii="宋体" w:hAnsi="宋体" w:eastAsia="宋体" w:cs="宋体"/>
          <w:color w:val="auto"/>
          <w:sz w:val="36"/>
          <w:szCs w:val="36"/>
          <w:highlight w:val="none"/>
        </w:rPr>
        <w:tab/>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PAGEREF _Toc18835 \h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t>22</w:t>
      </w:r>
      <w:r>
        <w:rPr>
          <w:rFonts w:hint="eastAsia" w:ascii="宋体" w:hAnsi="宋体" w:eastAsia="宋体" w:cs="宋体"/>
          <w:color w:val="auto"/>
          <w:sz w:val="36"/>
          <w:szCs w:val="36"/>
          <w:highlight w:val="none"/>
        </w:rPr>
        <w:fldChar w:fldCharType="end"/>
      </w:r>
      <w:r>
        <w:rPr>
          <w:rFonts w:hint="eastAsia" w:ascii="宋体" w:hAnsi="宋体" w:eastAsia="宋体" w:cs="宋体"/>
          <w:bCs/>
          <w:color w:val="auto"/>
          <w:sz w:val="36"/>
          <w:szCs w:val="36"/>
          <w:highlight w:val="none"/>
        </w:rPr>
        <w:fldChar w:fldCharType="end"/>
      </w:r>
    </w:p>
    <w:p w14:paraId="0C870B6F">
      <w:pPr>
        <w:pStyle w:val="21"/>
        <w:tabs>
          <w:tab w:val="right" w:leader="dot" w:pos="9972"/>
          <w:tab w:val="clear" w:pos="8630"/>
        </w:tabs>
        <w:spacing w:line="480" w:lineRule="auto"/>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 HYPERLINK \l _Toc7484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lang w:eastAsia="zh-CN"/>
        </w:rPr>
        <w:t xml:space="preserve">第五章 </w:t>
      </w:r>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lang w:eastAsia="zh-CN"/>
        </w:rPr>
        <w:t>合同条款</w:t>
      </w:r>
      <w:r>
        <w:rPr>
          <w:rFonts w:hint="eastAsia" w:ascii="宋体" w:hAnsi="宋体" w:eastAsia="宋体" w:cs="宋体"/>
          <w:color w:val="auto"/>
          <w:sz w:val="36"/>
          <w:szCs w:val="36"/>
          <w:highlight w:val="none"/>
        </w:rPr>
        <w:tab/>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PAGEREF _Toc7484 \h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t>28</w:t>
      </w:r>
      <w:r>
        <w:rPr>
          <w:rFonts w:hint="eastAsia" w:ascii="宋体" w:hAnsi="宋体" w:eastAsia="宋体" w:cs="宋体"/>
          <w:color w:val="auto"/>
          <w:sz w:val="36"/>
          <w:szCs w:val="36"/>
          <w:highlight w:val="none"/>
        </w:rPr>
        <w:fldChar w:fldCharType="end"/>
      </w:r>
      <w:r>
        <w:rPr>
          <w:rFonts w:hint="eastAsia" w:ascii="宋体" w:hAnsi="宋体" w:eastAsia="宋体" w:cs="宋体"/>
          <w:bCs/>
          <w:color w:val="auto"/>
          <w:sz w:val="36"/>
          <w:szCs w:val="36"/>
          <w:highlight w:val="none"/>
        </w:rPr>
        <w:fldChar w:fldCharType="end"/>
      </w:r>
    </w:p>
    <w:p w14:paraId="1C3E9722">
      <w:pPr>
        <w:pStyle w:val="21"/>
        <w:tabs>
          <w:tab w:val="right" w:leader="dot" w:pos="9972"/>
          <w:tab w:val="clear" w:pos="8630"/>
        </w:tabs>
        <w:spacing w:line="480" w:lineRule="auto"/>
        <w:rPr>
          <w:color w:val="auto"/>
          <w:sz w:val="28"/>
          <w:szCs w:val="28"/>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 HYPERLINK \l _Toc17554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lang w:eastAsia="zh-CN"/>
        </w:rPr>
        <w:t xml:space="preserve">第六章 </w:t>
      </w:r>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lang w:eastAsia="zh-CN"/>
        </w:rPr>
        <w:t>响应文件格式及附件</w:t>
      </w:r>
      <w:r>
        <w:rPr>
          <w:rFonts w:hint="eastAsia" w:ascii="宋体" w:hAnsi="宋体" w:eastAsia="宋体" w:cs="宋体"/>
          <w:color w:val="auto"/>
          <w:sz w:val="36"/>
          <w:szCs w:val="36"/>
          <w:highlight w:val="none"/>
        </w:rPr>
        <w:tab/>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PAGEREF _Toc17554 \h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t>33</w:t>
      </w:r>
      <w:r>
        <w:rPr>
          <w:rFonts w:hint="eastAsia" w:ascii="宋体" w:hAnsi="宋体" w:eastAsia="宋体" w:cs="宋体"/>
          <w:color w:val="auto"/>
          <w:sz w:val="36"/>
          <w:szCs w:val="36"/>
          <w:highlight w:val="none"/>
        </w:rPr>
        <w:fldChar w:fldCharType="end"/>
      </w:r>
      <w:r>
        <w:rPr>
          <w:rFonts w:hint="eastAsia" w:ascii="宋体" w:hAnsi="宋体" w:eastAsia="宋体" w:cs="宋体"/>
          <w:bCs/>
          <w:color w:val="auto"/>
          <w:sz w:val="36"/>
          <w:szCs w:val="36"/>
          <w:highlight w:val="none"/>
        </w:rPr>
        <w:fldChar w:fldCharType="end"/>
      </w:r>
    </w:p>
    <w:p w14:paraId="374EA3F9">
      <w:pPr>
        <w:pStyle w:val="3"/>
        <w:autoSpaceDE/>
        <w:autoSpaceDN/>
        <w:spacing w:line="360" w:lineRule="auto"/>
        <w:jc w:val="center"/>
        <w:rPr>
          <w:rFonts w:hint="eastAsia"/>
          <w:bCs/>
          <w:color w:val="auto"/>
          <w:szCs w:val="28"/>
          <w:highlight w:val="none"/>
        </w:rPr>
        <w:sectPr>
          <w:footerReference r:id="rId4" w:type="default"/>
          <w:pgSz w:w="12240" w:h="15840"/>
          <w:pgMar w:top="1134" w:right="1134" w:bottom="1134" w:left="1134" w:header="720" w:footer="720" w:gutter="0"/>
          <w:pgNumType w:start="1"/>
          <w:cols w:space="720" w:num="1"/>
          <w:docGrid w:linePitch="299" w:charSpace="0"/>
        </w:sectPr>
      </w:pPr>
      <w:r>
        <w:rPr>
          <w:rFonts w:hint="eastAsia"/>
          <w:bCs/>
          <w:color w:val="auto"/>
          <w:sz w:val="32"/>
          <w:szCs w:val="36"/>
          <w:highlight w:val="none"/>
        </w:rPr>
        <w:fldChar w:fldCharType="end"/>
      </w:r>
      <w:bookmarkStart w:id="1" w:name="_Toc23083"/>
      <w:bookmarkStart w:id="2" w:name="_Toc12763"/>
    </w:p>
    <w:p w14:paraId="4330EC41">
      <w:pPr>
        <w:pStyle w:val="3"/>
        <w:autoSpaceDE/>
        <w:autoSpaceDN/>
        <w:spacing w:line="360" w:lineRule="auto"/>
        <w:jc w:val="center"/>
        <w:rPr>
          <w:b/>
          <w:bCs/>
          <w:color w:val="auto"/>
          <w:sz w:val="32"/>
          <w:szCs w:val="32"/>
          <w:highlight w:val="none"/>
          <w:lang w:eastAsia="zh-CN"/>
        </w:rPr>
      </w:pPr>
      <w:bookmarkStart w:id="3" w:name="_Toc11006"/>
      <w:r>
        <w:rPr>
          <w:rFonts w:hint="eastAsia"/>
          <w:b/>
          <w:bCs/>
          <w:color w:val="auto"/>
          <w:sz w:val="32"/>
          <w:szCs w:val="32"/>
          <w:highlight w:val="none"/>
          <w:lang w:eastAsia="zh-CN"/>
        </w:rPr>
        <w:t xml:space="preserve">第一章  </w:t>
      </w:r>
      <w:bookmarkEnd w:id="1"/>
      <w:r>
        <w:rPr>
          <w:rFonts w:hint="eastAsia"/>
          <w:b/>
          <w:bCs/>
          <w:color w:val="auto"/>
          <w:sz w:val="32"/>
          <w:szCs w:val="32"/>
          <w:highlight w:val="none"/>
          <w:lang w:eastAsia="zh-CN"/>
        </w:rPr>
        <w:t>竞争性磋商公告</w:t>
      </w:r>
      <w:bookmarkEnd w:id="2"/>
      <w:bookmarkEnd w:id="3"/>
    </w:p>
    <w:p w14:paraId="0175B028">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highlight w:val="none"/>
        </w:rPr>
      </w:pPr>
      <w:bookmarkStart w:id="4" w:name="_Toc11605"/>
      <w:bookmarkStart w:id="5" w:name="_Toc13806"/>
      <w:r>
        <w:rPr>
          <w:rStyle w:val="32"/>
          <w:rFonts w:hint="eastAsia" w:ascii="宋体" w:hAnsi="宋体" w:eastAsia="宋体" w:cs="宋体"/>
          <w:i w:val="0"/>
          <w:iCs w:val="0"/>
          <w:caps w:val="0"/>
          <w:color w:val="auto"/>
          <w:spacing w:val="0"/>
          <w:kern w:val="0"/>
          <w:sz w:val="24"/>
          <w:szCs w:val="24"/>
          <w:highlight w:val="none"/>
          <w:shd w:val="clear" w:fill="FFFFFF"/>
          <w:lang w:val="en-US" w:eastAsia="zh-CN" w:bidi="ar"/>
        </w:rPr>
        <w:t>项目概况</w:t>
      </w:r>
    </w:p>
    <w:p w14:paraId="6FA34C52">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cs="宋体"/>
          <w:b w:val="0"/>
          <w:bCs w:val="0"/>
          <w:color w:val="auto"/>
          <w:sz w:val="24"/>
          <w:szCs w:val="24"/>
          <w:highlight w:val="none"/>
          <w:u w:val="single"/>
          <w:lang w:eastAsia="zh-CN"/>
        </w:rPr>
        <w:t>瓦殿村市级和美乡村建设附属项目</w:t>
      </w:r>
      <w:r>
        <w:rPr>
          <w:rFonts w:hint="eastAsia" w:ascii="宋体" w:hAnsi="宋体" w:eastAsia="宋体" w:cs="宋体"/>
          <w:i w:val="0"/>
          <w:iCs w:val="0"/>
          <w:caps w:val="0"/>
          <w:color w:val="auto"/>
          <w:spacing w:val="0"/>
          <w:kern w:val="0"/>
          <w:sz w:val="24"/>
          <w:szCs w:val="24"/>
          <w:highlight w:val="none"/>
          <w:shd w:val="clear" w:fill="FFFFFF"/>
          <w:lang w:val="en-US" w:eastAsia="zh-CN" w:bidi="ar"/>
        </w:rPr>
        <w:t>的潜在供应商应在</w:t>
      </w:r>
      <w:r>
        <w:rPr>
          <w:rFonts w:hint="eastAsia" w:cs="宋体"/>
          <w:i w:val="0"/>
          <w:iCs w:val="0"/>
          <w:caps w:val="0"/>
          <w:color w:val="auto"/>
          <w:spacing w:val="0"/>
          <w:kern w:val="0"/>
          <w:sz w:val="24"/>
          <w:szCs w:val="24"/>
          <w:highlight w:val="none"/>
          <w:u w:val="single"/>
          <w:shd w:val="clear" w:fill="FFFFFF"/>
          <w:lang w:val="en-US" w:eastAsia="zh-CN" w:bidi="ar"/>
        </w:rPr>
        <w:t>江苏中诺鸿远项目管理有限公司</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w:t>
      </w:r>
      <w:r>
        <w:rPr>
          <w:rFonts w:hint="eastAsia" w:cs="宋体"/>
          <w:i w:val="0"/>
          <w:iCs w:val="0"/>
          <w:caps w:val="0"/>
          <w:color w:val="auto"/>
          <w:spacing w:val="0"/>
          <w:kern w:val="0"/>
          <w:sz w:val="24"/>
          <w:szCs w:val="24"/>
          <w:highlight w:val="none"/>
          <w:u w:val="single"/>
          <w:shd w:val="clear" w:fill="FFFFFF"/>
          <w:lang w:val="en-US" w:eastAsia="zh-CN" w:bidi="ar"/>
        </w:rPr>
        <w:t>南京市浦口区双垅南路与柳园路交叉口（浦口体育中心）5楼501室</w:t>
      </w:r>
      <w:r>
        <w:rPr>
          <w:rFonts w:hint="eastAsia" w:ascii="宋体" w:hAnsi="宋体" w:eastAsia="宋体" w:cs="宋体"/>
          <w:i w:val="0"/>
          <w:iCs w:val="0"/>
          <w:caps w:val="0"/>
          <w:color w:val="auto"/>
          <w:spacing w:val="0"/>
          <w:kern w:val="0"/>
          <w:sz w:val="24"/>
          <w:szCs w:val="24"/>
          <w:highlight w:val="none"/>
          <w:shd w:val="clear" w:fill="FFFFFF"/>
          <w:lang w:val="en-US" w:eastAsia="zh-CN" w:bidi="ar"/>
        </w:rPr>
        <w:t>获取</w:t>
      </w:r>
      <w:r>
        <w:rPr>
          <w:rFonts w:hint="eastAsia" w:cs="宋体"/>
          <w:i w:val="0"/>
          <w:iCs w:val="0"/>
          <w:caps w:val="0"/>
          <w:color w:val="auto"/>
          <w:spacing w:val="0"/>
          <w:kern w:val="0"/>
          <w:sz w:val="24"/>
          <w:szCs w:val="24"/>
          <w:highlight w:val="none"/>
          <w:shd w:val="clear" w:fill="FFFFFF"/>
          <w:lang w:val="en-US" w:eastAsia="zh-CN" w:bidi="ar"/>
        </w:rPr>
        <w:t>采购</w:t>
      </w:r>
      <w:r>
        <w:rPr>
          <w:rFonts w:hint="eastAsia" w:ascii="宋体" w:hAnsi="宋体" w:eastAsia="宋体" w:cs="宋体"/>
          <w:i w:val="0"/>
          <w:iCs w:val="0"/>
          <w:caps w:val="0"/>
          <w:color w:val="auto"/>
          <w:spacing w:val="0"/>
          <w:kern w:val="0"/>
          <w:sz w:val="24"/>
          <w:szCs w:val="24"/>
          <w:highlight w:val="none"/>
          <w:shd w:val="clear" w:fill="FFFFFF"/>
          <w:lang w:val="en-US" w:eastAsia="zh-CN" w:bidi="ar"/>
        </w:rPr>
        <w:t>文件，并于</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2026年</w:t>
      </w:r>
      <w:r>
        <w:rPr>
          <w:rFonts w:hint="eastAsia" w:cs="宋体"/>
          <w:i w:val="0"/>
          <w:iCs w:val="0"/>
          <w:caps w:val="0"/>
          <w:color w:val="auto"/>
          <w:spacing w:val="0"/>
          <w:kern w:val="0"/>
          <w:sz w:val="24"/>
          <w:szCs w:val="24"/>
          <w:highlight w:val="none"/>
          <w:u w:val="single"/>
          <w:shd w:val="clear" w:fill="FFFFFF"/>
          <w:lang w:val="en-US" w:eastAsia="zh-CN" w:bidi="ar"/>
        </w:rPr>
        <w:t>05</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月</w:t>
      </w:r>
      <w:r>
        <w:rPr>
          <w:rFonts w:hint="eastAsia" w:cs="宋体"/>
          <w:i w:val="0"/>
          <w:iCs w:val="0"/>
          <w:caps w:val="0"/>
          <w:color w:val="auto"/>
          <w:spacing w:val="0"/>
          <w:kern w:val="0"/>
          <w:sz w:val="24"/>
          <w:szCs w:val="24"/>
          <w:highlight w:val="none"/>
          <w:u w:val="single"/>
          <w:shd w:val="clear" w:fill="FFFFFF"/>
          <w:lang w:val="en-US" w:eastAsia="zh-CN" w:bidi="ar"/>
        </w:rPr>
        <w:t>13</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日</w:t>
      </w:r>
      <w:r>
        <w:rPr>
          <w:rFonts w:hint="eastAsia" w:cs="宋体"/>
          <w:i w:val="0"/>
          <w:iCs w:val="0"/>
          <w:caps w:val="0"/>
          <w:color w:val="auto"/>
          <w:spacing w:val="0"/>
          <w:kern w:val="0"/>
          <w:sz w:val="24"/>
          <w:szCs w:val="24"/>
          <w:highlight w:val="none"/>
          <w:u w:val="single"/>
          <w:shd w:val="clear" w:fill="FFFFFF"/>
          <w:lang w:val="en-US" w:eastAsia="zh-CN" w:bidi="ar"/>
        </w:rPr>
        <w:t>14</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时</w:t>
      </w:r>
      <w:r>
        <w:rPr>
          <w:rFonts w:hint="eastAsia" w:cs="宋体"/>
          <w:i w:val="0"/>
          <w:iCs w:val="0"/>
          <w:caps w:val="0"/>
          <w:color w:val="auto"/>
          <w:spacing w:val="0"/>
          <w:kern w:val="0"/>
          <w:sz w:val="24"/>
          <w:szCs w:val="24"/>
          <w:highlight w:val="none"/>
          <w:u w:val="single"/>
          <w:shd w:val="clear" w:fill="FFFFFF"/>
          <w:lang w:val="en-US" w:eastAsia="zh-CN" w:bidi="ar"/>
        </w:rPr>
        <w:t>30</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分</w:t>
      </w:r>
      <w:r>
        <w:rPr>
          <w:rFonts w:hint="eastAsia" w:ascii="宋体" w:hAnsi="宋体" w:eastAsia="宋体" w:cs="宋体"/>
          <w:i w:val="0"/>
          <w:iCs w:val="0"/>
          <w:caps w:val="0"/>
          <w:color w:val="auto"/>
          <w:spacing w:val="0"/>
          <w:kern w:val="0"/>
          <w:sz w:val="24"/>
          <w:szCs w:val="24"/>
          <w:highlight w:val="none"/>
          <w:shd w:val="clear" w:fill="FFFFFF"/>
          <w:lang w:val="en-US" w:eastAsia="zh-CN" w:bidi="ar"/>
        </w:rPr>
        <w:t>（北京时间）前提交响应文件。</w:t>
      </w:r>
    </w:p>
    <w:p w14:paraId="258A3D63">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一、项目基本情况</w:t>
      </w:r>
    </w:p>
    <w:p w14:paraId="43A493FB">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1、项目编号：</w:t>
      </w:r>
      <w:r>
        <w:rPr>
          <w:rFonts w:hint="eastAsia" w:cs="宋体"/>
          <w:i w:val="0"/>
          <w:iCs w:val="0"/>
          <w:caps w:val="0"/>
          <w:color w:val="auto"/>
          <w:spacing w:val="0"/>
          <w:kern w:val="0"/>
          <w:sz w:val="24"/>
          <w:szCs w:val="24"/>
          <w:highlight w:val="none"/>
          <w:shd w:val="clear" w:fill="FFFFFF"/>
          <w:lang w:val="en-US" w:eastAsia="zh-CN" w:bidi="ar"/>
        </w:rPr>
        <w:t>JSZN-2026-006</w:t>
      </w:r>
    </w:p>
    <w:p w14:paraId="22CE2BD2">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2、项目名称：</w:t>
      </w:r>
      <w:r>
        <w:rPr>
          <w:rFonts w:hint="eastAsia" w:cs="宋体"/>
          <w:b w:val="0"/>
          <w:bCs w:val="0"/>
          <w:color w:val="auto"/>
          <w:sz w:val="24"/>
          <w:szCs w:val="24"/>
          <w:highlight w:val="none"/>
          <w:u w:val="none"/>
          <w:lang w:eastAsia="zh-CN"/>
        </w:rPr>
        <w:t>瓦殿村市级和美乡村建设附属项目</w:t>
      </w:r>
    </w:p>
    <w:p w14:paraId="3AE571BC">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3、预算金额：</w:t>
      </w:r>
      <w:r>
        <w:rPr>
          <w:rFonts w:hint="eastAsia" w:cs="宋体"/>
          <w:i w:val="0"/>
          <w:iCs w:val="0"/>
          <w:caps w:val="0"/>
          <w:color w:val="auto"/>
          <w:spacing w:val="0"/>
          <w:kern w:val="0"/>
          <w:sz w:val="24"/>
          <w:szCs w:val="24"/>
          <w:highlight w:val="none"/>
          <w:shd w:val="clear" w:fill="FFFFFF"/>
          <w:lang w:val="en-US" w:eastAsia="zh-CN" w:bidi="ar"/>
        </w:rPr>
        <w:t>430049.22</w:t>
      </w:r>
      <w:r>
        <w:rPr>
          <w:rFonts w:hint="eastAsia" w:ascii="宋体" w:hAnsi="宋体" w:eastAsia="宋体" w:cs="宋体"/>
          <w:i w:val="0"/>
          <w:iCs w:val="0"/>
          <w:caps w:val="0"/>
          <w:color w:val="auto"/>
          <w:spacing w:val="0"/>
          <w:kern w:val="0"/>
          <w:sz w:val="24"/>
          <w:szCs w:val="24"/>
          <w:highlight w:val="none"/>
          <w:shd w:val="clear" w:fill="FFFFFF"/>
          <w:lang w:val="en-US" w:eastAsia="zh-CN" w:bidi="ar"/>
        </w:rPr>
        <w:t>元</w:t>
      </w:r>
    </w:p>
    <w:p w14:paraId="025C7E51">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4、最高限价：</w:t>
      </w:r>
      <w:r>
        <w:rPr>
          <w:rFonts w:hint="eastAsia" w:cs="宋体"/>
          <w:color w:val="auto"/>
          <w:sz w:val="24"/>
          <w:szCs w:val="24"/>
          <w:highlight w:val="none"/>
          <w:lang w:val="en-US" w:eastAsia="zh-CN"/>
        </w:rPr>
        <w:t>430049.22</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kern w:val="2"/>
          <w:sz w:val="24"/>
          <w:szCs w:val="24"/>
          <w:highlight w:val="none"/>
          <w:lang w:val="zh-CN" w:eastAsia="zh-CN"/>
        </w:rPr>
        <w:t>，超出此投标限价作无效投标处理</w:t>
      </w:r>
      <w:r>
        <w:rPr>
          <w:rFonts w:hint="eastAsia" w:ascii="宋体" w:hAnsi="宋体" w:eastAsia="宋体" w:cs="宋体"/>
          <w:b w:val="0"/>
          <w:bCs w:val="0"/>
          <w:color w:val="auto"/>
          <w:sz w:val="24"/>
          <w:szCs w:val="24"/>
          <w:highlight w:val="none"/>
          <w:lang w:val="zh-CN" w:eastAsia="zh-CN"/>
        </w:rPr>
        <w:t>。</w:t>
      </w:r>
    </w:p>
    <w:p w14:paraId="6768196C">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5、采购需求：</w:t>
      </w:r>
      <w:r>
        <w:rPr>
          <w:rFonts w:hint="eastAsia" w:cs="宋体"/>
          <w:b w:val="0"/>
          <w:bCs w:val="0"/>
          <w:color w:val="auto"/>
          <w:sz w:val="24"/>
          <w:szCs w:val="24"/>
          <w:highlight w:val="none"/>
          <w:u w:val="none"/>
          <w:lang w:eastAsia="zh-CN"/>
        </w:rPr>
        <w:t>瓦殿村市级和美乡村建设附属项目</w:t>
      </w:r>
      <w:r>
        <w:rPr>
          <w:rFonts w:hint="eastAsia"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single"/>
          <w:lang w:val="en-US" w:eastAsia="zh-CN"/>
        </w:rPr>
        <w:t>具体详见竞争性磋商文件</w:t>
      </w:r>
      <w:r>
        <w:rPr>
          <w:rFonts w:hint="eastAsia" w:ascii="宋体" w:hAnsi="宋体" w:eastAsia="宋体" w:cs="宋体"/>
          <w:b w:val="0"/>
          <w:bCs w:val="0"/>
          <w:color w:val="auto"/>
          <w:sz w:val="24"/>
          <w:szCs w:val="24"/>
          <w:highlight w:val="none"/>
          <w:lang w:val="en-US" w:eastAsia="zh-CN"/>
        </w:rPr>
        <w:t>。</w:t>
      </w:r>
    </w:p>
    <w:p w14:paraId="396163FB">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6、合同履行期限：合同签订之日起</w:t>
      </w:r>
      <w:r>
        <w:rPr>
          <w:rFonts w:hint="eastAsia" w:cs="宋体"/>
          <w:i w:val="0"/>
          <w:iCs w:val="0"/>
          <w:caps w:val="0"/>
          <w:color w:val="auto"/>
          <w:spacing w:val="0"/>
          <w:kern w:val="0"/>
          <w:sz w:val="24"/>
          <w:szCs w:val="24"/>
          <w:highlight w:val="none"/>
          <w:shd w:val="clear" w:fill="FFFFFF"/>
          <w:lang w:val="en-US" w:eastAsia="zh-CN" w:bidi="ar"/>
        </w:rPr>
        <w:t>100日历天</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5D9BF535">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7、</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是/否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w:t>
      </w:r>
    </w:p>
    <w:p w14:paraId="2383EF7A">
      <w:pPr>
        <w:keepNext w:val="0"/>
        <w:keepLines w:val="0"/>
        <w:pageBreakBefore w:val="0"/>
        <w:numPr>
          <w:ilvl w:val="0"/>
          <w:numId w:val="0"/>
        </w:numPr>
        <w:kinsoku/>
        <w:wordWrap/>
        <w:overflowPunct/>
        <w:topLinePunct w:val="0"/>
        <w:bidi w:val="0"/>
        <w:spacing w:line="360" w:lineRule="auto"/>
        <w:ind w:lef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二、申请人资格要求</w:t>
      </w:r>
      <w:r>
        <w:rPr>
          <w:rFonts w:hint="eastAsia" w:ascii="宋体" w:hAnsi="宋体" w:eastAsia="宋体" w:cs="宋体"/>
          <w:b/>
          <w:bCs/>
          <w:color w:val="auto"/>
          <w:sz w:val="24"/>
          <w:szCs w:val="24"/>
          <w:highlight w:val="none"/>
          <w:lang w:eastAsia="zh-CN"/>
        </w:rPr>
        <w:t xml:space="preserve"> </w:t>
      </w:r>
    </w:p>
    <w:p w14:paraId="07389145">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1、满足《中华人民共和国政府采购法》第二十二条规定：</w:t>
      </w:r>
    </w:p>
    <w:p w14:paraId="4AD5E219">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（1）具有独立承担民事责任的能力</w:t>
      </w:r>
      <w:r>
        <w:rPr>
          <w:rFonts w:hint="eastAsia"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color w:val="auto"/>
          <w:kern w:val="2"/>
          <w:sz w:val="24"/>
          <w:szCs w:val="24"/>
          <w:highlight w:val="none"/>
          <w:lang w:val="en-US" w:eastAsia="zh-CN" w:bidi="ar-SA"/>
        </w:rPr>
        <w:t>法人或者其他组织提供营业执照等证明文件，自然人提供身份证明；提供相应的证明材料</w:t>
      </w:r>
      <w:r>
        <w:rPr>
          <w:rFonts w:hint="eastAsia" w:ascii="宋体" w:hAnsi="宋体" w:eastAsia="宋体" w:cs="宋体"/>
          <w:i w:val="0"/>
          <w:iCs w:val="0"/>
          <w:caps w:val="0"/>
          <w:color w:val="auto"/>
          <w:spacing w:val="0"/>
          <w:kern w:val="0"/>
          <w:sz w:val="24"/>
          <w:szCs w:val="24"/>
          <w:highlight w:val="none"/>
          <w:shd w:val="clear" w:fill="FFFFFF"/>
          <w:lang w:val="en-US" w:eastAsia="zh-CN" w:bidi="ar"/>
        </w:rPr>
        <w:t>复印件加盖供应商公章）；</w:t>
      </w:r>
    </w:p>
    <w:p w14:paraId="39B1EECC">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（2）具有良好的商业信誉和健全的财务会计制度</w:t>
      </w:r>
      <w:r>
        <w:rPr>
          <w:rFonts w:hint="eastAsia"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color w:val="auto"/>
          <w:sz w:val="24"/>
          <w:szCs w:val="24"/>
          <w:highlight w:val="none"/>
          <w:lang w:val="en-US" w:eastAsia="zh-CN"/>
        </w:rPr>
        <w:t>提供南京市政府采购供应商信用记录表暨信用承诺书</w:t>
      </w:r>
      <w:r>
        <w:rPr>
          <w:rFonts w:hint="eastAsia" w:ascii="宋体" w:hAnsi="宋体" w:eastAsia="宋体" w:cs="宋体"/>
          <w:i w:val="0"/>
          <w:iCs w:val="0"/>
          <w:caps w:val="0"/>
          <w:color w:val="auto"/>
          <w:spacing w:val="0"/>
          <w:kern w:val="0"/>
          <w:sz w:val="24"/>
          <w:szCs w:val="24"/>
          <w:highlight w:val="none"/>
          <w:shd w:val="clear" w:fill="FFFFFF"/>
          <w:lang w:val="en-US" w:eastAsia="zh-CN" w:bidi="ar"/>
        </w:rPr>
        <w:t>加盖供应商公章）；</w:t>
      </w:r>
    </w:p>
    <w:p w14:paraId="482C120F">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（3）具有履行合同所必需的设备和专业技术能力</w:t>
      </w:r>
      <w:r>
        <w:rPr>
          <w:rFonts w:hint="eastAsia"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color w:val="auto"/>
          <w:sz w:val="24"/>
          <w:szCs w:val="24"/>
          <w:highlight w:val="none"/>
          <w:lang w:val="en-US" w:eastAsia="zh-CN"/>
        </w:rPr>
        <w:t>提供南京市政府采购供应商信用记录表暨信用承诺书</w:t>
      </w:r>
      <w:r>
        <w:rPr>
          <w:rFonts w:hint="eastAsia" w:ascii="宋体" w:hAnsi="宋体" w:eastAsia="宋体" w:cs="宋体"/>
          <w:i w:val="0"/>
          <w:iCs w:val="0"/>
          <w:caps w:val="0"/>
          <w:color w:val="auto"/>
          <w:spacing w:val="0"/>
          <w:kern w:val="0"/>
          <w:sz w:val="24"/>
          <w:szCs w:val="24"/>
          <w:highlight w:val="none"/>
          <w:shd w:val="clear" w:fill="FFFFFF"/>
          <w:lang w:val="en-US" w:eastAsia="zh-CN" w:bidi="ar"/>
        </w:rPr>
        <w:t>加盖供应商公章）；</w:t>
      </w:r>
    </w:p>
    <w:p w14:paraId="1BBDD38E">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（4）有依法缴纳税收和社会保障资金的良好记录</w:t>
      </w:r>
      <w:r>
        <w:rPr>
          <w:rFonts w:hint="eastAsia"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color w:val="auto"/>
          <w:sz w:val="24"/>
          <w:szCs w:val="24"/>
          <w:highlight w:val="none"/>
          <w:lang w:val="en-US" w:eastAsia="zh-CN"/>
        </w:rPr>
        <w:t>提供南京市政府采购供应商信用记录表暨信用承诺书</w:t>
      </w:r>
      <w:r>
        <w:rPr>
          <w:rFonts w:hint="eastAsia" w:ascii="宋体" w:hAnsi="宋体" w:eastAsia="宋体" w:cs="宋体"/>
          <w:i w:val="0"/>
          <w:iCs w:val="0"/>
          <w:caps w:val="0"/>
          <w:color w:val="auto"/>
          <w:spacing w:val="0"/>
          <w:kern w:val="0"/>
          <w:sz w:val="24"/>
          <w:szCs w:val="24"/>
          <w:highlight w:val="none"/>
          <w:shd w:val="clear" w:fill="FFFFFF"/>
          <w:lang w:val="en-US" w:eastAsia="zh-CN" w:bidi="ar"/>
        </w:rPr>
        <w:t>加盖供应商公章）；</w:t>
      </w:r>
    </w:p>
    <w:p w14:paraId="0B090993">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（5）参加政府采购活动前三年内，在经营活动中没有重大违法记录</w:t>
      </w:r>
      <w:r>
        <w:rPr>
          <w:rFonts w:hint="eastAsia"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color w:val="auto"/>
          <w:sz w:val="24"/>
          <w:szCs w:val="24"/>
          <w:highlight w:val="none"/>
          <w:lang w:val="en-US" w:eastAsia="zh-CN"/>
        </w:rPr>
        <w:t>提供南京市政府采购供应商信用记录表暨信用承诺书</w:t>
      </w:r>
      <w:r>
        <w:rPr>
          <w:rFonts w:hint="eastAsia" w:ascii="宋体" w:hAnsi="宋体" w:eastAsia="宋体" w:cs="宋体"/>
          <w:i w:val="0"/>
          <w:iCs w:val="0"/>
          <w:caps w:val="0"/>
          <w:color w:val="auto"/>
          <w:spacing w:val="0"/>
          <w:kern w:val="0"/>
          <w:sz w:val="24"/>
          <w:szCs w:val="24"/>
          <w:highlight w:val="none"/>
          <w:shd w:val="clear" w:fill="FFFFFF"/>
          <w:lang w:val="en-US" w:eastAsia="zh-CN" w:bidi="ar"/>
        </w:rPr>
        <w:t>加盖供应商公章）；</w:t>
      </w:r>
    </w:p>
    <w:p w14:paraId="3AF8A624">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（提供南京市政府采购供应商信用记录表暨信用承诺书加盖供应商公章）。</w:t>
      </w:r>
    </w:p>
    <w:p w14:paraId="12E8F999">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cs="宋体"/>
          <w:b/>
          <w:bCs/>
          <w:i w:val="0"/>
          <w:iCs w:val="0"/>
          <w:caps w:val="0"/>
          <w:color w:val="auto"/>
          <w:spacing w:val="0"/>
          <w:kern w:val="0"/>
          <w:sz w:val="24"/>
          <w:szCs w:val="24"/>
          <w:highlight w:val="none"/>
          <w:shd w:val="clear" w:fill="FFFFFF"/>
          <w:lang w:val="en-US" w:eastAsia="zh-CN" w:bidi="ar"/>
        </w:rPr>
        <w:t>2</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、本项目的特定资格要求：</w:t>
      </w:r>
    </w:p>
    <w:p w14:paraId="1185C77C">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（1）投标人资质等级及范围：施工总承包市政公用工程三级(含)以上，并提供有效的安全生产许可证。（提供相关证书复印件加盖公章）</w:t>
      </w:r>
    </w:p>
    <w:p w14:paraId="4881C26A">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（2）项目经理资质类别和等级：注册建造师证市政公用工程二级(含)以上，并且须取得项目负责人安全生产考核合格证（B类）。（提供相关证书及投标人为项目经理缴纳的近6个月（202</w:t>
      </w:r>
      <w:r>
        <w:rPr>
          <w:rFonts w:hint="eastAsia" w:cs="宋体"/>
          <w:b/>
          <w:bCs/>
          <w:i w:val="0"/>
          <w:iCs w:val="0"/>
          <w:caps w:val="0"/>
          <w:color w:val="auto"/>
          <w:spacing w:val="0"/>
          <w:kern w:val="0"/>
          <w:sz w:val="24"/>
          <w:szCs w:val="24"/>
          <w:highlight w:val="none"/>
          <w:shd w:val="clear" w:fill="FFFFFF"/>
          <w:lang w:val="en-US" w:eastAsia="zh-CN" w:bidi="ar"/>
        </w:rPr>
        <w:t>5</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年</w:t>
      </w:r>
      <w:r>
        <w:rPr>
          <w:rFonts w:hint="eastAsia" w:cs="宋体"/>
          <w:b/>
          <w:bCs/>
          <w:i w:val="0"/>
          <w:iCs w:val="0"/>
          <w:caps w:val="0"/>
          <w:color w:val="auto"/>
          <w:spacing w:val="0"/>
          <w:kern w:val="0"/>
          <w:sz w:val="24"/>
          <w:szCs w:val="24"/>
          <w:highlight w:val="none"/>
          <w:shd w:val="clear" w:fill="FFFFFF"/>
          <w:lang w:val="en-US" w:eastAsia="zh-CN" w:bidi="ar"/>
        </w:rPr>
        <w:t>11</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月至202</w:t>
      </w:r>
      <w:r>
        <w:rPr>
          <w:rFonts w:hint="eastAsia" w:cs="宋体"/>
          <w:b/>
          <w:bCs/>
          <w:i w:val="0"/>
          <w:iCs w:val="0"/>
          <w:caps w:val="0"/>
          <w:color w:val="auto"/>
          <w:spacing w:val="0"/>
          <w:kern w:val="0"/>
          <w:sz w:val="24"/>
          <w:szCs w:val="24"/>
          <w:highlight w:val="none"/>
          <w:shd w:val="clear" w:fill="FFFFFF"/>
          <w:lang w:val="en-US" w:eastAsia="zh-CN" w:bidi="ar"/>
        </w:rPr>
        <w:t>6</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年</w:t>
      </w:r>
      <w:r>
        <w:rPr>
          <w:rFonts w:hint="eastAsia" w:cs="宋体"/>
          <w:b/>
          <w:bCs/>
          <w:i w:val="0"/>
          <w:iCs w:val="0"/>
          <w:caps w:val="0"/>
          <w:color w:val="auto"/>
          <w:spacing w:val="0"/>
          <w:kern w:val="0"/>
          <w:sz w:val="24"/>
          <w:szCs w:val="24"/>
          <w:highlight w:val="none"/>
          <w:shd w:val="clear" w:fill="FFFFFF"/>
          <w:lang w:val="en-US" w:eastAsia="zh-CN" w:bidi="ar"/>
        </w:rPr>
        <w:t>04</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月）任意一个月的社会养老保险证明材料复印件加盖公章）</w:t>
      </w:r>
    </w:p>
    <w:p w14:paraId="19A6B65C">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kern w:val="0"/>
          <w:sz w:val="24"/>
          <w:szCs w:val="24"/>
          <w:highlight w:val="none"/>
          <w:shd w:val="clear" w:fill="FFFFFF"/>
          <w:lang w:val="en-US" w:eastAsia="zh-CN" w:bidi="ar"/>
        </w:rPr>
        <w:t>3</w:t>
      </w:r>
      <w:r>
        <w:rPr>
          <w:rFonts w:hint="eastAsia" w:ascii="宋体" w:hAnsi="宋体" w:eastAsia="宋体" w:cs="宋体"/>
          <w:i w:val="0"/>
          <w:iCs w:val="0"/>
          <w:caps w:val="0"/>
          <w:color w:val="auto"/>
          <w:spacing w:val="0"/>
          <w:kern w:val="0"/>
          <w:sz w:val="24"/>
          <w:szCs w:val="24"/>
          <w:highlight w:val="none"/>
          <w:shd w:val="clear" w:fill="FFFFFF"/>
          <w:lang w:val="en-US" w:eastAsia="zh-CN" w:bidi="ar"/>
        </w:rPr>
        <w:t>、落实政府采购政策需满足的资格要求：（如属于专门面向中小企业采购的项目，供应商应为中小微企业、监狱企业、残疾人福利性单位）本项目按照采用以下第</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（4）</w:t>
      </w:r>
      <w:r>
        <w:rPr>
          <w:rFonts w:hint="eastAsia" w:ascii="宋体" w:hAnsi="宋体" w:eastAsia="宋体" w:cs="宋体"/>
          <w:i w:val="0"/>
          <w:iCs w:val="0"/>
          <w:caps w:val="0"/>
          <w:color w:val="auto"/>
          <w:spacing w:val="0"/>
          <w:kern w:val="0"/>
          <w:sz w:val="24"/>
          <w:szCs w:val="24"/>
          <w:highlight w:val="none"/>
          <w:shd w:val="clear" w:fill="FFFFFF"/>
          <w:lang w:val="en-US" w:eastAsia="zh-CN" w:bidi="ar"/>
        </w:rPr>
        <w:t>种方式落实政府采购促进中小企业发展的要求：</w:t>
      </w:r>
    </w:p>
    <w:p w14:paraId="2E58C9DB">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（1）本项目整体专门面向中小企业采购服务。</w:t>
      </w:r>
    </w:p>
    <w:p w14:paraId="55A18382">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（2）本项目整体专门面向小微企业采购服务。</w:t>
      </w:r>
    </w:p>
    <w:p w14:paraId="5FFFCD2F">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（3）本项目通过以下第（）种方式预留部分采购份额采购中小企业服务：</w:t>
      </w:r>
    </w:p>
    <w:p w14:paraId="1FE25642">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①本项目要求供应商以联合体形式参加，中小企业合同金额应当达到的比例为</w:t>
      </w:r>
      <w:r>
        <w:rPr>
          <w:rFonts w:hint="eastAsia" w:cs="宋体"/>
          <w:i w:val="0"/>
          <w:iCs w:val="0"/>
          <w:caps w:val="0"/>
          <w:color w:val="auto"/>
          <w:spacing w:val="0"/>
          <w:kern w:val="0"/>
          <w:sz w:val="24"/>
          <w:szCs w:val="24"/>
          <w:highlight w:val="none"/>
          <w:u w:val="single"/>
          <w:shd w:val="clear" w:fill="FFFFFF"/>
          <w:lang w:val="en-US" w:eastAsia="zh-CN" w:bidi="ar"/>
        </w:rPr>
        <w:t xml:space="preserve"> </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71B40559">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②本项目要求供应商进行合同分包，中小企业合同金额应当达到的比例为</w:t>
      </w:r>
      <w:r>
        <w:rPr>
          <w:rFonts w:hint="eastAsia" w:cs="宋体"/>
          <w:i w:val="0"/>
          <w:iCs w:val="0"/>
          <w:caps w:val="0"/>
          <w:color w:val="auto"/>
          <w:spacing w:val="0"/>
          <w:kern w:val="0"/>
          <w:sz w:val="24"/>
          <w:szCs w:val="24"/>
          <w:highlight w:val="none"/>
          <w:u w:val="single"/>
          <w:shd w:val="clear" w:fill="FFFFFF"/>
          <w:lang w:val="en-US" w:eastAsia="zh-CN" w:bidi="ar"/>
        </w:rPr>
        <w:t xml:space="preserve"> </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7408A6DE">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（4）本项目为非预留份额的采购项目或采购包，执行价格扣除优惠政策，具体详见第三章评审标准。</w:t>
      </w:r>
    </w:p>
    <w:p w14:paraId="1D5239C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cs="宋体"/>
          <w:i w:val="0"/>
          <w:iCs w:val="0"/>
          <w:caps w:val="0"/>
          <w:color w:val="auto"/>
          <w:spacing w:val="0"/>
          <w:kern w:val="0"/>
          <w:sz w:val="24"/>
          <w:szCs w:val="24"/>
          <w:highlight w:val="none"/>
          <w:shd w:val="clear" w:fill="FFFFFF"/>
          <w:lang w:val="en-US" w:eastAsia="zh-CN" w:bidi="ar"/>
        </w:rPr>
        <w:t>4</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color w:val="auto"/>
          <w:sz w:val="24"/>
          <w:szCs w:val="24"/>
          <w:highlight w:val="none"/>
        </w:rPr>
        <w:t>拒绝下述供应商参加本次采购活动</w:t>
      </w:r>
      <w:r>
        <w:rPr>
          <w:rFonts w:hint="eastAsia" w:ascii="宋体" w:hAnsi="宋体" w:eastAsia="宋体" w:cs="宋体"/>
          <w:color w:val="auto"/>
          <w:sz w:val="24"/>
          <w:szCs w:val="24"/>
          <w:highlight w:val="none"/>
          <w:lang w:val="en-US" w:eastAsia="zh-CN"/>
        </w:rPr>
        <w:t>（提供符合要求的书面声明并加盖公章）</w:t>
      </w:r>
    </w:p>
    <w:p w14:paraId="5B4606C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单位负责人为同一人或者存在直接控股、管理关系的不同供应商，不得参加同一合同项下的政府采购活动。</w:t>
      </w:r>
    </w:p>
    <w:p w14:paraId="7A3930C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为采购项目提供整体设计、规范编制或者项目管理、监理、检测等服务的供应商，不得参加本项目的采购活动。</w:t>
      </w:r>
    </w:p>
    <w:p w14:paraId="1E0E278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供应商被“信用中国”网站（www.creditchina.gov.cn）列入失信被执行人、重大税收违法案件当事人名单、政府采购严重失信行为记录名单。</w:t>
      </w:r>
    </w:p>
    <w:p w14:paraId="52F9E955">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 xml:space="preserve">三、磋商文件的获取 </w:t>
      </w:r>
    </w:p>
    <w:p w14:paraId="1F0D82B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获取时间：2026年</w:t>
      </w:r>
      <w:r>
        <w:rPr>
          <w:rFonts w:hint="eastAsia" w:cs="宋体"/>
          <w:b w:val="0"/>
          <w:bCs w:val="0"/>
          <w:color w:val="auto"/>
          <w:sz w:val="24"/>
          <w:szCs w:val="24"/>
          <w:highlight w:val="none"/>
          <w:lang w:val="en-US" w:eastAsia="zh-CN"/>
        </w:rPr>
        <w:t>04</w:t>
      </w:r>
      <w:r>
        <w:rPr>
          <w:rFonts w:hint="eastAsia" w:ascii="宋体" w:hAnsi="宋体" w:eastAsia="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lang w:val="en-US" w:eastAsia="zh-CN"/>
        </w:rPr>
        <w:t>日至2026年</w:t>
      </w:r>
      <w:r>
        <w:rPr>
          <w:rFonts w:hint="eastAsia"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lang w:val="en-US" w:eastAsia="zh-CN"/>
        </w:rPr>
        <w:t>日，上午9：00-11：30，下午13：30--17：00（北京时间，</w:t>
      </w:r>
      <w:r>
        <w:rPr>
          <w:rFonts w:hint="eastAsia" w:ascii="宋体" w:hAnsi="宋体" w:eastAsia="宋体" w:cs="宋体"/>
          <w:b w:val="0"/>
          <w:bCs w:val="0"/>
          <w:color w:val="auto"/>
          <w:sz w:val="24"/>
          <w:szCs w:val="24"/>
          <w:highlight w:val="none"/>
          <w:lang w:val="zh-CN" w:eastAsia="zh-CN"/>
        </w:rPr>
        <w:t>法定节假日除外</w:t>
      </w:r>
      <w:r>
        <w:rPr>
          <w:rFonts w:hint="eastAsia" w:ascii="宋体" w:hAnsi="宋体" w:eastAsia="宋体" w:cs="宋体"/>
          <w:b w:val="0"/>
          <w:bCs w:val="0"/>
          <w:color w:val="auto"/>
          <w:sz w:val="24"/>
          <w:szCs w:val="24"/>
          <w:highlight w:val="none"/>
          <w:lang w:val="en-US" w:eastAsia="zh-CN"/>
        </w:rPr>
        <w:t>）；</w:t>
      </w:r>
    </w:p>
    <w:p w14:paraId="721F9FF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获取方式：</w:t>
      </w:r>
      <w:r>
        <w:rPr>
          <w:rFonts w:hint="eastAsia"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现场获取；1、凡符合上述条件、且有意参加本项目的供应商，其单位的法定代表人或其授权的委托代理人持①个人身份证原件及复印件加盖公章、②单位介绍信或授权委托书加盖公章（如是法定代表人无需此项材料）、③营业执照复印件加盖公章，至</w:t>
      </w:r>
      <w:r>
        <w:rPr>
          <w:rFonts w:hint="eastAsia" w:cs="宋体"/>
          <w:b w:val="0"/>
          <w:bCs w:val="0"/>
          <w:color w:val="auto"/>
          <w:sz w:val="24"/>
          <w:szCs w:val="24"/>
          <w:highlight w:val="none"/>
          <w:lang w:val="en-US" w:eastAsia="zh-CN"/>
        </w:rPr>
        <w:t>江苏中诺鸿远项目管理有限公司</w:t>
      </w:r>
      <w:r>
        <w:rPr>
          <w:rFonts w:hint="eastAsia" w:ascii="宋体" w:hAnsi="宋体" w:eastAsia="宋体" w:cs="宋体"/>
          <w:b w:val="0"/>
          <w:bCs w:val="0"/>
          <w:color w:val="auto"/>
          <w:sz w:val="24"/>
          <w:szCs w:val="24"/>
          <w:highlight w:val="none"/>
          <w:lang w:val="en-US" w:eastAsia="zh-CN"/>
        </w:rPr>
        <w:t>（南京市浦口区双垅南路与柳园路交叉口（浦口体育中心）5楼</w:t>
      </w:r>
      <w:r>
        <w:rPr>
          <w:rFonts w:hint="eastAsia" w:cs="宋体"/>
          <w:b w:val="0"/>
          <w:bCs w:val="0"/>
          <w:color w:val="auto"/>
          <w:sz w:val="24"/>
          <w:szCs w:val="24"/>
          <w:highlight w:val="none"/>
          <w:lang w:val="en-US" w:eastAsia="zh-CN"/>
        </w:rPr>
        <w:t>501室</w:t>
      </w:r>
      <w:r>
        <w:rPr>
          <w:rFonts w:hint="eastAsia" w:ascii="宋体" w:hAnsi="宋体" w:eastAsia="宋体" w:cs="宋体"/>
          <w:b w:val="0"/>
          <w:bCs w:val="0"/>
          <w:color w:val="auto"/>
          <w:sz w:val="24"/>
          <w:szCs w:val="24"/>
          <w:highlight w:val="none"/>
          <w:lang w:val="en-US" w:eastAsia="zh-CN"/>
        </w:rPr>
        <w:t>）获取磋商文件。2、文件工本费：</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00元/份，任何情况不予退还。</w:t>
      </w:r>
    </w:p>
    <w:p w14:paraId="297D00B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线上获取，提供以上资料加盖公章，扫描件发送至邮箱</w:t>
      </w:r>
      <w:r>
        <w:rPr>
          <w:rFonts w:hint="eastAsia" w:cs="宋体"/>
          <w:b w:val="0"/>
          <w:bCs w:val="0"/>
          <w:color w:val="auto"/>
          <w:sz w:val="24"/>
          <w:szCs w:val="24"/>
          <w:highlight w:val="none"/>
          <w:lang w:val="en-US" w:eastAsia="zh-CN"/>
        </w:rPr>
        <w:t>347772247@qq.com</w:t>
      </w:r>
      <w:r>
        <w:rPr>
          <w:rFonts w:hint="eastAsia" w:ascii="宋体" w:hAnsi="宋体" w:eastAsia="宋体" w:cs="宋体"/>
          <w:b w:val="0"/>
          <w:bCs w:val="0"/>
          <w:color w:val="auto"/>
          <w:sz w:val="24"/>
          <w:szCs w:val="24"/>
          <w:highlight w:val="none"/>
          <w:lang w:val="en-US" w:eastAsia="zh-CN"/>
        </w:rPr>
        <w:t>m,邮件主题为“项目名称+单位名称+联系人+联系电话”。（付款信息：支付宝账户：15056146339，姓名：葛凤昌）</w:t>
      </w:r>
    </w:p>
    <w:p w14:paraId="5459016D">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四、响应文件的递交</w:t>
      </w:r>
    </w:p>
    <w:p w14:paraId="1546161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递交开始时间：2026年</w:t>
      </w:r>
      <w:r>
        <w:rPr>
          <w:rFonts w:hint="eastAsia"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日</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时</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0分（北京时间）</w:t>
      </w:r>
    </w:p>
    <w:p w14:paraId="269438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递交截止时间：2026年</w:t>
      </w:r>
      <w:r>
        <w:rPr>
          <w:rFonts w:hint="eastAsia"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日</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时30分（北京时间）</w:t>
      </w:r>
    </w:p>
    <w:p w14:paraId="4117992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递交方式：南京市浦口区双垅南路与柳园路交叉口（浦口体育中心）5楼</w:t>
      </w:r>
      <w:r>
        <w:rPr>
          <w:rFonts w:hint="eastAsia" w:cs="宋体"/>
          <w:b w:val="0"/>
          <w:bCs w:val="0"/>
          <w:color w:val="auto"/>
          <w:sz w:val="24"/>
          <w:szCs w:val="24"/>
          <w:highlight w:val="none"/>
          <w:lang w:val="en-US" w:eastAsia="zh-CN"/>
        </w:rPr>
        <w:t>501室</w:t>
      </w:r>
      <w:r>
        <w:rPr>
          <w:rFonts w:hint="eastAsia" w:ascii="宋体" w:hAnsi="宋体" w:eastAsia="宋体" w:cs="宋体"/>
          <w:b w:val="0"/>
          <w:bCs w:val="0"/>
          <w:color w:val="auto"/>
          <w:sz w:val="24"/>
          <w:szCs w:val="24"/>
          <w:highlight w:val="none"/>
          <w:lang w:val="en-US" w:eastAsia="zh-CN"/>
        </w:rPr>
        <w:t>，纸质文件现场递交，逾期送达的或者未送达指定地点的响应文件，采购人不予受理。</w:t>
      </w:r>
    </w:p>
    <w:p w14:paraId="7CACA8C0">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 xml:space="preserve">五、开启时间及地点 </w:t>
      </w:r>
    </w:p>
    <w:p w14:paraId="774E741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开启时间：2026年</w:t>
      </w:r>
      <w:r>
        <w:rPr>
          <w:rFonts w:hint="eastAsia"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日</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时30分（北京时间）</w:t>
      </w:r>
    </w:p>
    <w:p w14:paraId="38FEE85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开启地点：</w:t>
      </w:r>
      <w:r>
        <w:rPr>
          <w:rFonts w:hint="eastAsia" w:cs="宋体"/>
          <w:b w:val="0"/>
          <w:bCs w:val="0"/>
          <w:color w:val="auto"/>
          <w:sz w:val="24"/>
          <w:szCs w:val="24"/>
          <w:highlight w:val="none"/>
          <w:lang w:val="en-US" w:eastAsia="zh-CN"/>
        </w:rPr>
        <w:t>江苏中诺鸿远项目管理有限公司</w:t>
      </w:r>
      <w:r>
        <w:rPr>
          <w:rFonts w:hint="eastAsia" w:ascii="宋体" w:hAnsi="宋体" w:eastAsia="宋体" w:cs="宋体"/>
          <w:b w:val="0"/>
          <w:bCs w:val="0"/>
          <w:color w:val="auto"/>
          <w:sz w:val="24"/>
          <w:szCs w:val="24"/>
          <w:highlight w:val="none"/>
          <w:lang w:val="en-US" w:eastAsia="zh-CN"/>
        </w:rPr>
        <w:t>（南京市浦口区双垅南路与柳园路交叉口（浦口体育中心）5楼</w:t>
      </w:r>
      <w:r>
        <w:rPr>
          <w:rFonts w:hint="eastAsia" w:cs="宋体"/>
          <w:b w:val="0"/>
          <w:bCs w:val="0"/>
          <w:color w:val="auto"/>
          <w:sz w:val="24"/>
          <w:szCs w:val="24"/>
          <w:highlight w:val="none"/>
          <w:lang w:val="en-US" w:eastAsia="zh-CN"/>
        </w:rPr>
        <w:t>501室</w:t>
      </w:r>
      <w:r>
        <w:rPr>
          <w:rFonts w:hint="eastAsia" w:ascii="宋体" w:hAnsi="宋体" w:eastAsia="宋体" w:cs="宋体"/>
          <w:b w:val="0"/>
          <w:bCs w:val="0"/>
          <w:color w:val="auto"/>
          <w:sz w:val="24"/>
          <w:szCs w:val="24"/>
          <w:highlight w:val="none"/>
          <w:lang w:val="en-US" w:eastAsia="zh-CN"/>
        </w:rPr>
        <w:t>）</w:t>
      </w:r>
    </w:p>
    <w:p w14:paraId="4030D2EC">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六、其他</w:t>
      </w:r>
    </w:p>
    <w:p w14:paraId="1B42A83B">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1、公告期限</w:t>
      </w:r>
      <w:r>
        <w:rPr>
          <w:rFonts w:hint="eastAsia"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自本公告发布之日起5个工作日内</w:t>
      </w:r>
      <w:r>
        <w:rPr>
          <w:rFonts w:hint="eastAsia" w:cs="宋体"/>
          <w:i w:val="0"/>
          <w:iCs w:val="0"/>
          <w:caps w:val="0"/>
          <w:color w:val="auto"/>
          <w:spacing w:val="0"/>
          <w:kern w:val="0"/>
          <w:sz w:val="24"/>
          <w:szCs w:val="24"/>
          <w:highlight w:val="none"/>
          <w:shd w:val="clear" w:fill="FFFFFF"/>
          <w:lang w:val="en-US" w:eastAsia="zh-CN" w:bidi="ar"/>
        </w:rPr>
        <w:t>。</w:t>
      </w:r>
    </w:p>
    <w:p w14:paraId="2CE38F79">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根据《南京市政府采购供应商信用管理工作暂行办法》（宁财规[2018]10号）有关规定，凡在南京地区参加政府采购活动的供应商，应当事先登陆“信用南京”（www.njcredit.gov.cn）或“南京公共采购信息网”（https://njgc.jfh.com/）主页“南京市政府采购供应商诚信档案”栏目进行注册登记。由于特殊原因未及时注册的供应商可先行获取采购文件，但必须在提交投标（响应）文件截止日2天前办理登记注册手续。</w:t>
      </w:r>
    </w:p>
    <w:p w14:paraId="36650DDB">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3、供应商申请网上注册的，应当按以下程序进行：</w:t>
      </w:r>
    </w:p>
    <w:p w14:paraId="1FFF654F">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（1）登陆“信用南京”或“南京公共采购信息网”网站，点击“南京市政府采购供应商诚信档案”图标，在弹出的登录入口界面，点击“供应商注册点这里”。</w:t>
      </w:r>
    </w:p>
    <w:p w14:paraId="27301898">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在“供应商注册”界面，供应商自行设置用户名、登录密码，如实填写“南京市政府采购供应商诚信档案注册登记表”，根据本办法的规定上传相关资料，并进行信用承诺确认后，提交注册申请;系统审核后，供应商即可登录系统进行相关功能操作。</w:t>
      </w:r>
    </w:p>
    <w:p w14:paraId="5A566BEF">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注册成功后，供应商参加本次政府采购活动时，在采购文件发布之日起至递交响应文件截止日前，应在线打印“南京市政府采购供应商信用记录表暨信用承诺书”，经法定代表人签名及供应商盖章后作为响应文件的组成部分“南京市政府采购供应商信用记录表暨信用承诺书”是其参加本次政府采购活动的必备材料。</w:t>
      </w:r>
    </w:p>
    <w:p w14:paraId="2A0106FD">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（4）南京市政府采购供应商诚信档案管理系统客服电话：025-52718366-622；供应商可就用户注册与打印“南京市政府采购供应商信用记录表暨信用承诺书”等事宜进行咨询。</w:t>
      </w:r>
    </w:p>
    <w:p w14:paraId="3C3E3A87">
      <w:pPr>
        <w:pStyle w:val="49"/>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i w:val="0"/>
          <w:iCs w:val="0"/>
          <w:caps w:val="0"/>
          <w:color w:val="auto"/>
          <w:spacing w:val="0"/>
          <w:kern w:val="0"/>
          <w:sz w:val="24"/>
          <w:szCs w:val="24"/>
          <w:highlight w:val="none"/>
          <w:shd w:val="clear"/>
          <w:lang w:val="en-US" w:eastAsia="zh-CN" w:bidi="ar"/>
        </w:rPr>
      </w:pPr>
      <w:r>
        <w:rPr>
          <w:rFonts w:hint="eastAsia" w:ascii="宋体" w:hAnsi="宋体" w:eastAsia="宋体" w:cs="宋体"/>
          <w:i w:val="0"/>
          <w:iCs w:val="0"/>
          <w:caps w:val="0"/>
          <w:color w:val="auto"/>
          <w:spacing w:val="0"/>
          <w:kern w:val="0"/>
          <w:sz w:val="24"/>
          <w:szCs w:val="24"/>
          <w:highlight w:val="none"/>
          <w:shd w:val="clear"/>
          <w:lang w:val="en-US" w:eastAsia="zh-CN" w:bidi="ar"/>
        </w:rPr>
        <w:t>4、依据南京市财政局“关于在政府采购中推行信用承诺制的通知”，政府采购供应商只需在资格审查环节提供《南京市政府采购供应商信用记录表暨信用承诺书》，不再需要提供《中华人民共和国政府采购法》第二十二条规定：</w:t>
      </w:r>
      <w:r>
        <w:rPr>
          <w:rFonts w:hint="eastAsia" w:cs="宋体"/>
          <w:i w:val="0"/>
          <w:iCs w:val="0"/>
          <w:caps w:val="0"/>
          <w:color w:val="auto"/>
          <w:spacing w:val="0"/>
          <w:kern w:val="0"/>
          <w:sz w:val="24"/>
          <w:szCs w:val="24"/>
          <w:highlight w:val="none"/>
          <w:shd w:val="clear"/>
          <w:lang w:val="en-US" w:eastAsia="zh-CN" w:bidi="ar"/>
        </w:rPr>
        <w:t>（2）至（5）项</w:t>
      </w:r>
      <w:r>
        <w:rPr>
          <w:rFonts w:hint="eastAsia" w:ascii="宋体" w:hAnsi="宋体" w:eastAsia="宋体" w:cs="宋体"/>
          <w:i w:val="0"/>
          <w:iCs w:val="0"/>
          <w:caps w:val="0"/>
          <w:color w:val="auto"/>
          <w:spacing w:val="0"/>
          <w:kern w:val="0"/>
          <w:sz w:val="24"/>
          <w:szCs w:val="24"/>
          <w:highlight w:val="none"/>
          <w:shd w:val="clear"/>
          <w:lang w:val="en-US" w:eastAsia="zh-CN" w:bidi="ar"/>
        </w:rPr>
        <w:t>证明材料。供应商在中标（成交）后，应按采购文件要求，将由信用承诺书替代的证明材料提交采购代理机构核验。经核验无误后，由采购人或采购代理机构发出中标（成交）通知书。供应商对信用承诺内容的真实性、合法性、有效性负责。如作出虚假信用承诺，视同为“提供虚假材料谋取中标、成交”的违法行为。</w:t>
      </w:r>
    </w:p>
    <w:p w14:paraId="6161D5A4">
      <w:pPr>
        <w:pStyle w:val="49"/>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kern w:val="0"/>
          <w:sz w:val="24"/>
          <w:szCs w:val="24"/>
          <w:highlight w:val="none"/>
          <w:shd w:val="clear"/>
          <w:lang w:val="en-US" w:eastAsia="zh-CN" w:bidi="ar"/>
        </w:rPr>
        <w:t>5、供应商涉及以下情形的，</w:t>
      </w:r>
      <w:r>
        <w:rPr>
          <w:rFonts w:hint="eastAsia" w:ascii="宋体" w:hAnsi="宋体" w:eastAsia="宋体" w:cs="宋体"/>
          <w:b/>
          <w:bCs/>
          <w:i w:val="0"/>
          <w:iCs w:val="0"/>
          <w:caps w:val="0"/>
          <w:color w:val="auto"/>
          <w:spacing w:val="0"/>
          <w:kern w:val="0"/>
          <w:sz w:val="24"/>
          <w:szCs w:val="24"/>
          <w:highlight w:val="none"/>
          <w:u w:val="double"/>
          <w:shd w:val="clear"/>
          <w:lang w:val="en-US" w:eastAsia="zh-CN" w:bidi="ar"/>
        </w:rPr>
        <w:t>不适用</w:t>
      </w:r>
      <w:r>
        <w:rPr>
          <w:rFonts w:hint="eastAsia" w:ascii="宋体" w:hAnsi="宋体" w:eastAsia="宋体" w:cs="宋体"/>
          <w:i w:val="0"/>
          <w:iCs w:val="0"/>
          <w:caps w:val="0"/>
          <w:color w:val="auto"/>
          <w:spacing w:val="0"/>
          <w:kern w:val="0"/>
          <w:sz w:val="24"/>
          <w:szCs w:val="24"/>
          <w:highlight w:val="none"/>
          <w:shd w:val="clear"/>
          <w:lang w:val="en-US" w:eastAsia="zh-CN" w:bidi="ar"/>
        </w:rPr>
        <w:t>信用承诺，</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lang w:eastAsia="zh-CN"/>
        </w:rPr>
        <w:t>审查环节</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b/>
          <w:bCs/>
          <w:color w:val="auto"/>
          <w:sz w:val="24"/>
          <w:szCs w:val="24"/>
          <w:highlight w:val="none"/>
          <w:u w:val="double"/>
          <w:lang w:eastAsia="zh-CN"/>
        </w:rPr>
        <w:t>仍须提供</w:t>
      </w:r>
      <w:r>
        <w:rPr>
          <w:rFonts w:hint="eastAsia" w:ascii="宋体" w:hAnsi="宋体" w:eastAsia="宋体" w:cs="宋体"/>
          <w:color w:val="auto"/>
          <w:sz w:val="24"/>
          <w:szCs w:val="24"/>
          <w:highlight w:val="none"/>
          <w:lang w:val="en-US" w:eastAsia="zh-CN"/>
        </w:rPr>
        <w:t>申请人资格要求的</w:t>
      </w:r>
      <w:r>
        <w:rPr>
          <w:rFonts w:hint="eastAsia" w:ascii="宋体" w:hAnsi="宋体" w:eastAsia="宋体" w:cs="宋体"/>
          <w:color w:val="auto"/>
          <w:sz w:val="24"/>
          <w:szCs w:val="24"/>
          <w:highlight w:val="none"/>
          <w:lang w:eastAsia="zh-CN"/>
        </w:rPr>
        <w:t>证明材料</w:t>
      </w:r>
      <w:r>
        <w:rPr>
          <w:rFonts w:hint="eastAsia" w:ascii="宋体" w:hAnsi="宋体" w:eastAsia="宋体" w:cs="宋体"/>
          <w:i w:val="0"/>
          <w:iCs w:val="0"/>
          <w:caps w:val="0"/>
          <w:color w:val="auto"/>
          <w:spacing w:val="0"/>
          <w:kern w:val="0"/>
          <w:sz w:val="24"/>
          <w:szCs w:val="24"/>
          <w:highlight w:val="none"/>
          <w:shd w:val="clear"/>
          <w:lang w:val="en-US" w:eastAsia="zh-CN" w:bidi="ar"/>
        </w:rPr>
        <w:t>：</w:t>
      </w:r>
    </w:p>
    <w:p w14:paraId="6A9A33D2">
      <w:pPr>
        <w:pStyle w:val="49"/>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kern w:val="0"/>
          <w:sz w:val="24"/>
          <w:szCs w:val="24"/>
          <w:highlight w:val="none"/>
          <w:shd w:val="clear"/>
          <w:lang w:val="en-US" w:eastAsia="zh-CN" w:bidi="ar"/>
        </w:rPr>
        <w:t>（1）供应商被列入严重失信主体名单；</w:t>
      </w:r>
    </w:p>
    <w:p w14:paraId="2B79333E">
      <w:pPr>
        <w:pStyle w:val="49"/>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kern w:val="0"/>
          <w:sz w:val="24"/>
          <w:szCs w:val="24"/>
          <w:highlight w:val="none"/>
          <w:shd w:val="clear"/>
          <w:lang w:val="en-US" w:eastAsia="zh-CN" w:bidi="ar"/>
        </w:rPr>
        <w:t>（2）被相关监管部门作出行政处罚且尚在处罚有效期内；</w:t>
      </w:r>
    </w:p>
    <w:p w14:paraId="6B511293">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lang w:val="en-US" w:eastAsia="zh-CN" w:bidi="ar"/>
        </w:rPr>
        <w:t>（3）其他法律、行政法规规定的不适用信用承诺的情形。</w:t>
      </w:r>
    </w:p>
    <w:p w14:paraId="1D77E898">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七、凡对本次采购提出疑问，请按以下方式联系</w:t>
      </w:r>
    </w:p>
    <w:p w14:paraId="2F51F9E8">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采购人信息</w:t>
      </w:r>
    </w:p>
    <w:p w14:paraId="2A696076">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cs="宋体"/>
          <w:b w:val="0"/>
          <w:bCs w:val="0"/>
          <w:color w:val="auto"/>
          <w:sz w:val="24"/>
          <w:szCs w:val="24"/>
          <w:highlight w:val="none"/>
          <w:lang w:val="zh-CN" w:eastAsia="zh-CN"/>
        </w:rPr>
        <w:t>南京市浦口区人民政府汤泉街道办事处</w:t>
      </w:r>
      <w:r>
        <w:rPr>
          <w:rFonts w:hint="eastAsia" w:ascii="宋体" w:hAnsi="宋体" w:eastAsia="宋体" w:cs="宋体"/>
          <w:b w:val="0"/>
          <w:bCs w:val="0"/>
          <w:color w:val="auto"/>
          <w:sz w:val="24"/>
          <w:szCs w:val="24"/>
          <w:highlight w:val="none"/>
          <w:lang w:val="en-US" w:eastAsia="zh-CN"/>
        </w:rPr>
        <w:t xml:space="preserve"> </w:t>
      </w:r>
    </w:p>
    <w:p w14:paraId="2AD363D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bookmarkStart w:id="6" w:name="OLE_LINK25"/>
      <w:r>
        <w:rPr>
          <w:rFonts w:hint="eastAsia" w:ascii="宋体" w:hAnsi="宋体" w:eastAsia="宋体" w:cs="宋体"/>
          <w:snapToGrid w:val="0"/>
          <w:color w:val="auto"/>
          <w:sz w:val="24"/>
          <w:szCs w:val="24"/>
          <w:highlight w:val="none"/>
          <w:lang w:eastAsia="zh-CN"/>
        </w:rPr>
        <w:t>地址：南京市浦口区假日路1号</w:t>
      </w:r>
    </w:p>
    <w:p w14:paraId="19DB501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联系人：</w:t>
      </w:r>
      <w:r>
        <w:rPr>
          <w:rFonts w:hint="eastAsia" w:cs="宋体"/>
          <w:b w:val="0"/>
          <w:bCs w:val="0"/>
          <w:color w:val="auto"/>
          <w:sz w:val="24"/>
          <w:szCs w:val="24"/>
          <w:highlight w:val="none"/>
          <w:lang w:val="en-US" w:eastAsia="zh-CN"/>
        </w:rPr>
        <w:t>张工</w:t>
      </w:r>
      <w:r>
        <w:rPr>
          <w:rFonts w:hint="eastAsia" w:ascii="宋体" w:hAnsi="宋体" w:eastAsia="宋体" w:cs="宋体"/>
          <w:snapToGrid w:val="0"/>
          <w:color w:val="auto"/>
          <w:sz w:val="24"/>
          <w:szCs w:val="24"/>
          <w:highlight w:val="none"/>
          <w:lang w:eastAsia="zh-CN"/>
        </w:rPr>
        <w:t xml:space="preserve"> </w:t>
      </w:r>
    </w:p>
    <w:p w14:paraId="2E2AF71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电 话：</w:t>
      </w:r>
      <w:r>
        <w:rPr>
          <w:rFonts w:hint="eastAsia" w:cs="宋体"/>
          <w:snapToGrid w:val="0"/>
          <w:color w:val="auto"/>
          <w:sz w:val="24"/>
          <w:szCs w:val="24"/>
          <w:highlight w:val="none"/>
          <w:lang w:val="en-US" w:eastAsia="zh-CN"/>
        </w:rPr>
        <w:t xml:space="preserve"> 13851856966</w:t>
      </w:r>
    </w:p>
    <w:bookmarkEnd w:id="6"/>
    <w:p w14:paraId="0F48766C">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采购代理机构信息</w:t>
      </w:r>
    </w:p>
    <w:p w14:paraId="4990B090">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cs="宋体"/>
          <w:b w:val="0"/>
          <w:bCs w:val="0"/>
          <w:color w:val="auto"/>
          <w:sz w:val="24"/>
          <w:szCs w:val="24"/>
          <w:highlight w:val="none"/>
          <w:lang w:eastAsia="zh-CN"/>
        </w:rPr>
        <w:t>江苏中诺鸿远项目管理有限公司</w:t>
      </w:r>
    </w:p>
    <w:p w14:paraId="5E9110F2">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b w:val="0"/>
          <w:bCs w:val="0"/>
          <w:color w:val="auto"/>
          <w:sz w:val="24"/>
          <w:szCs w:val="24"/>
          <w:highlight w:val="none"/>
          <w:lang w:eastAsia="zh-CN"/>
        </w:rPr>
        <w:t>南京市浦口区双垅南路与柳园路交叉口（浦口体育中心）5楼</w:t>
      </w:r>
      <w:r>
        <w:rPr>
          <w:rFonts w:hint="eastAsia" w:cs="宋体"/>
          <w:b w:val="0"/>
          <w:bCs w:val="0"/>
          <w:color w:val="auto"/>
          <w:sz w:val="24"/>
          <w:szCs w:val="24"/>
          <w:highlight w:val="none"/>
          <w:lang w:eastAsia="zh-CN"/>
        </w:rPr>
        <w:t>501室</w:t>
      </w:r>
    </w:p>
    <w:p w14:paraId="7625F877">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联系人：祝工</w:t>
      </w:r>
    </w:p>
    <w:p w14:paraId="6DBC29CD">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eastAsia="zh-CN"/>
        </w:rPr>
        <w:t>13770558809</w:t>
      </w:r>
    </w:p>
    <w:p w14:paraId="6F585554">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项目联系方式</w:t>
      </w:r>
    </w:p>
    <w:p w14:paraId="36211CD8">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kern w:val="2"/>
          <w:sz w:val="24"/>
          <w:szCs w:val="24"/>
          <w:highlight w:val="none"/>
          <w:lang w:val="en-US" w:eastAsia="zh-CN"/>
        </w:rPr>
        <w:t>祝工</w:t>
      </w:r>
    </w:p>
    <w:p w14:paraId="33B2BBA4">
      <w:pPr>
        <w:keepNext w:val="0"/>
        <w:keepLines w:val="0"/>
        <w:pageBreakBefore w:val="0"/>
        <w:widowControl/>
        <w:shd w:val="clear" w:color="auto" w:fill="FFFFFF"/>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cs="宋体"/>
          <w:color w:val="auto"/>
          <w:kern w:val="2"/>
          <w:sz w:val="24"/>
          <w:szCs w:val="24"/>
          <w:highlight w:val="none"/>
          <w:lang w:val="en-US" w:eastAsia="zh-CN"/>
        </w:rPr>
        <w:t>13770558809</w:t>
      </w:r>
    </w:p>
    <w:p w14:paraId="453D777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auto"/>
          <w:sz w:val="24"/>
          <w:szCs w:val="24"/>
          <w:highlight w:val="none"/>
          <w:u w:val="none"/>
          <w:lang w:eastAsia="zh-CN"/>
        </w:rPr>
      </w:pPr>
    </w:p>
    <w:p w14:paraId="53C95899">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3929AE4C">
      <w:pPr>
        <w:pStyle w:val="3"/>
        <w:autoSpaceDE/>
        <w:autoSpaceDN/>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第二章 供应商须知</w:t>
      </w:r>
      <w:bookmarkEnd w:id="4"/>
      <w:bookmarkEnd w:id="5"/>
    </w:p>
    <w:p w14:paraId="4F5D0411">
      <w:pPr>
        <w:widowControl/>
        <w:autoSpaceDE/>
        <w:autoSpaceDN/>
        <w:spacing w:line="360" w:lineRule="auto"/>
        <w:jc w:val="center"/>
        <w:outlineLvl w:val="1"/>
        <w:rPr>
          <w:b/>
          <w:bCs/>
          <w:color w:val="auto"/>
          <w:spacing w:val="8"/>
          <w:sz w:val="24"/>
          <w:szCs w:val="24"/>
          <w:highlight w:val="none"/>
          <w:lang w:eastAsia="zh-CN"/>
        </w:rPr>
      </w:pPr>
      <w:bookmarkStart w:id="7" w:name="_Toc17488"/>
      <w:bookmarkStart w:id="8" w:name="_Toc6704"/>
      <w:bookmarkStart w:id="9" w:name="_Toc9739"/>
      <w:bookmarkStart w:id="10" w:name="_Toc1460"/>
      <w:bookmarkStart w:id="11" w:name="_Toc96264994"/>
      <w:bookmarkStart w:id="12" w:name="_Toc16222"/>
      <w:bookmarkStart w:id="13" w:name="_Toc27714"/>
      <w:r>
        <w:rPr>
          <w:rFonts w:hint="eastAsia"/>
          <w:b/>
          <w:bCs/>
          <w:color w:val="auto"/>
          <w:spacing w:val="8"/>
          <w:sz w:val="28"/>
          <w:szCs w:val="28"/>
          <w:highlight w:val="none"/>
          <w:lang w:eastAsia="zh-CN"/>
        </w:rPr>
        <w:t>供应商须知前附表</w:t>
      </w:r>
      <w:bookmarkEnd w:id="7"/>
      <w:bookmarkEnd w:id="8"/>
      <w:bookmarkEnd w:id="9"/>
      <w:bookmarkEnd w:id="10"/>
      <w:bookmarkEnd w:id="11"/>
      <w:bookmarkEnd w:id="12"/>
      <w:bookmarkEnd w:id="13"/>
    </w:p>
    <w:p w14:paraId="7744B97A">
      <w:pPr>
        <w:autoSpaceDE/>
        <w:autoSpaceDN/>
        <w:adjustRightInd w:val="0"/>
        <w:spacing w:line="360" w:lineRule="auto"/>
        <w:ind w:firstLine="420"/>
        <w:jc w:val="both"/>
        <w:rPr>
          <w:color w:val="auto"/>
          <w:kern w:val="2"/>
          <w:sz w:val="24"/>
          <w:szCs w:val="24"/>
          <w:highlight w:val="none"/>
          <w:lang w:val="zh-CN" w:eastAsia="zh-CN"/>
        </w:rPr>
      </w:pPr>
      <w:r>
        <w:rPr>
          <w:rFonts w:hint="eastAsia"/>
          <w:color w:val="auto"/>
          <w:kern w:val="2"/>
          <w:sz w:val="24"/>
          <w:szCs w:val="24"/>
          <w:highlight w:val="none"/>
          <w:u w:val="single"/>
          <w:lang w:val="zh-CN" w:eastAsia="zh-CN"/>
        </w:rPr>
        <w:t>江苏中诺鸿远项目管理有限公司</w:t>
      </w:r>
      <w:r>
        <w:rPr>
          <w:rFonts w:hint="eastAsia"/>
          <w:color w:val="auto"/>
          <w:kern w:val="2"/>
          <w:sz w:val="24"/>
          <w:szCs w:val="24"/>
          <w:highlight w:val="none"/>
          <w:lang w:val="zh-CN" w:eastAsia="zh-CN"/>
        </w:rPr>
        <w:t>（以下简称“采购代理机构”）受</w:t>
      </w:r>
      <w:r>
        <w:rPr>
          <w:rFonts w:hint="eastAsia"/>
          <w:color w:val="auto"/>
          <w:kern w:val="2"/>
          <w:sz w:val="24"/>
          <w:szCs w:val="24"/>
          <w:highlight w:val="none"/>
          <w:u w:val="single"/>
          <w:lang w:val="zh-CN" w:eastAsia="zh-CN"/>
        </w:rPr>
        <w:t>南京市浦口区人民政府汤泉街道办事处</w:t>
      </w:r>
      <w:r>
        <w:rPr>
          <w:rFonts w:hint="eastAsia"/>
          <w:color w:val="auto"/>
          <w:kern w:val="2"/>
          <w:sz w:val="24"/>
          <w:szCs w:val="24"/>
          <w:highlight w:val="none"/>
          <w:lang w:val="zh-CN" w:eastAsia="zh-CN"/>
        </w:rPr>
        <w:t>（采购单位名称，以下简称“采购人”）委托，就“</w:t>
      </w:r>
      <w:r>
        <w:rPr>
          <w:rFonts w:hint="eastAsia"/>
          <w:color w:val="auto"/>
          <w:kern w:val="2"/>
          <w:sz w:val="24"/>
          <w:szCs w:val="24"/>
          <w:highlight w:val="none"/>
          <w:u w:val="single"/>
          <w:lang w:val="zh-CN" w:eastAsia="zh-CN"/>
        </w:rPr>
        <w:t>瓦殿村市级和美乡村建设附属项目项目</w:t>
      </w:r>
      <w:r>
        <w:rPr>
          <w:rFonts w:hint="eastAsia"/>
          <w:color w:val="auto"/>
          <w:kern w:val="2"/>
          <w:sz w:val="24"/>
          <w:szCs w:val="24"/>
          <w:highlight w:val="none"/>
          <w:lang w:val="zh-CN" w:eastAsia="zh-CN"/>
        </w:rPr>
        <w:t>”采用</w:t>
      </w:r>
      <w:r>
        <w:rPr>
          <w:rFonts w:hint="eastAsia"/>
          <w:color w:val="auto"/>
          <w:kern w:val="2"/>
          <w:sz w:val="24"/>
          <w:szCs w:val="24"/>
          <w:highlight w:val="none"/>
          <w:u w:val="single"/>
          <w:lang w:val="zh-CN" w:eastAsia="zh-CN"/>
        </w:rPr>
        <w:t>竞争性磋商</w:t>
      </w:r>
      <w:r>
        <w:rPr>
          <w:rFonts w:hint="eastAsia"/>
          <w:color w:val="auto"/>
          <w:kern w:val="2"/>
          <w:sz w:val="24"/>
          <w:szCs w:val="24"/>
          <w:highlight w:val="none"/>
          <w:lang w:val="zh-CN" w:eastAsia="zh-CN"/>
        </w:rPr>
        <w:t>方式采购，兹邀请符合资格条件的供应商提交响应文件和磋商。</w:t>
      </w:r>
    </w:p>
    <w:tbl>
      <w:tblPr>
        <w:tblStyle w:val="29"/>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2149"/>
        <w:gridCol w:w="6353"/>
      </w:tblGrid>
      <w:tr w14:paraId="5AE7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jc w:val="center"/>
        </w:trPr>
        <w:tc>
          <w:tcPr>
            <w:tcW w:w="760" w:type="dxa"/>
            <w:vAlign w:val="center"/>
          </w:tcPr>
          <w:p w14:paraId="7BCD73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序号</w:t>
            </w:r>
          </w:p>
        </w:tc>
        <w:tc>
          <w:tcPr>
            <w:tcW w:w="2149" w:type="dxa"/>
            <w:vAlign w:val="center"/>
          </w:tcPr>
          <w:p w14:paraId="1EAAD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项目</w:t>
            </w:r>
          </w:p>
        </w:tc>
        <w:tc>
          <w:tcPr>
            <w:tcW w:w="6353" w:type="dxa"/>
            <w:vAlign w:val="center"/>
          </w:tcPr>
          <w:p w14:paraId="7B6546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具体内容</w:t>
            </w:r>
          </w:p>
        </w:tc>
      </w:tr>
      <w:tr w14:paraId="7340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jc w:val="center"/>
        </w:trPr>
        <w:tc>
          <w:tcPr>
            <w:tcW w:w="760" w:type="dxa"/>
            <w:vAlign w:val="center"/>
          </w:tcPr>
          <w:p w14:paraId="4F4448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w:t>
            </w:r>
          </w:p>
        </w:tc>
        <w:tc>
          <w:tcPr>
            <w:tcW w:w="2149" w:type="dxa"/>
            <w:vAlign w:val="center"/>
          </w:tcPr>
          <w:p w14:paraId="5090C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项目名称</w:t>
            </w:r>
          </w:p>
        </w:tc>
        <w:tc>
          <w:tcPr>
            <w:tcW w:w="6353" w:type="dxa"/>
            <w:vAlign w:val="center"/>
          </w:tcPr>
          <w:p w14:paraId="106EC4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cs="宋体"/>
                <w:color w:val="auto"/>
                <w:kern w:val="2"/>
                <w:sz w:val="24"/>
                <w:szCs w:val="24"/>
                <w:highlight w:val="none"/>
                <w:lang w:val="en-US" w:eastAsia="zh-CN"/>
              </w:rPr>
              <w:t>瓦殿村市级和美乡村建设附属项目</w:t>
            </w:r>
          </w:p>
        </w:tc>
      </w:tr>
      <w:tr w14:paraId="36BD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Header/>
          <w:jc w:val="center"/>
        </w:trPr>
        <w:tc>
          <w:tcPr>
            <w:tcW w:w="760" w:type="dxa"/>
            <w:vAlign w:val="center"/>
          </w:tcPr>
          <w:p w14:paraId="26D17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2</w:t>
            </w:r>
          </w:p>
        </w:tc>
        <w:tc>
          <w:tcPr>
            <w:tcW w:w="2149" w:type="dxa"/>
            <w:vAlign w:val="center"/>
          </w:tcPr>
          <w:p w14:paraId="4F0C6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采购方式</w:t>
            </w:r>
          </w:p>
        </w:tc>
        <w:tc>
          <w:tcPr>
            <w:tcW w:w="6353" w:type="dxa"/>
            <w:vAlign w:val="center"/>
          </w:tcPr>
          <w:p w14:paraId="5E0F27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竞争性磋商</w:t>
            </w:r>
          </w:p>
        </w:tc>
      </w:tr>
      <w:tr w14:paraId="7189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blHeader/>
          <w:jc w:val="center"/>
        </w:trPr>
        <w:tc>
          <w:tcPr>
            <w:tcW w:w="760" w:type="dxa"/>
            <w:vAlign w:val="center"/>
          </w:tcPr>
          <w:p w14:paraId="69CE0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3</w:t>
            </w:r>
          </w:p>
        </w:tc>
        <w:tc>
          <w:tcPr>
            <w:tcW w:w="2149" w:type="dxa"/>
            <w:vAlign w:val="center"/>
          </w:tcPr>
          <w:p w14:paraId="7C4A4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项目编号</w:t>
            </w:r>
          </w:p>
        </w:tc>
        <w:tc>
          <w:tcPr>
            <w:tcW w:w="6353" w:type="dxa"/>
            <w:vAlign w:val="center"/>
          </w:tcPr>
          <w:p w14:paraId="02349C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JSZN-2026-006</w:t>
            </w:r>
          </w:p>
        </w:tc>
      </w:tr>
      <w:tr w14:paraId="7D9A2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blHeader/>
          <w:jc w:val="center"/>
        </w:trPr>
        <w:tc>
          <w:tcPr>
            <w:tcW w:w="760" w:type="dxa"/>
            <w:vAlign w:val="center"/>
          </w:tcPr>
          <w:p w14:paraId="7FC69F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4</w:t>
            </w:r>
          </w:p>
        </w:tc>
        <w:tc>
          <w:tcPr>
            <w:tcW w:w="2149" w:type="dxa"/>
            <w:shd w:val="clear" w:color="auto" w:fill="auto"/>
            <w:vAlign w:val="center"/>
          </w:tcPr>
          <w:p w14:paraId="5A829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rPr>
              <w:t>磋商文件获取</w:t>
            </w:r>
          </w:p>
        </w:tc>
        <w:tc>
          <w:tcPr>
            <w:tcW w:w="6353" w:type="dxa"/>
            <w:shd w:val="clear" w:color="auto" w:fill="auto"/>
            <w:vAlign w:val="center"/>
          </w:tcPr>
          <w:p w14:paraId="691775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rPr>
              <w:t>详见竞争性磋商公告</w:t>
            </w:r>
          </w:p>
        </w:tc>
      </w:tr>
      <w:tr w14:paraId="6493F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blHeader/>
          <w:jc w:val="center"/>
        </w:trPr>
        <w:tc>
          <w:tcPr>
            <w:tcW w:w="760" w:type="dxa"/>
            <w:vAlign w:val="center"/>
          </w:tcPr>
          <w:p w14:paraId="7BD3A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5</w:t>
            </w:r>
          </w:p>
        </w:tc>
        <w:tc>
          <w:tcPr>
            <w:tcW w:w="2149" w:type="dxa"/>
            <w:vAlign w:val="center"/>
          </w:tcPr>
          <w:p w14:paraId="1B3C54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采购代理机构</w:t>
            </w:r>
          </w:p>
        </w:tc>
        <w:tc>
          <w:tcPr>
            <w:tcW w:w="6353" w:type="dxa"/>
            <w:vAlign w:val="center"/>
          </w:tcPr>
          <w:p w14:paraId="38F048F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名称：</w:t>
            </w:r>
            <w:r>
              <w:rPr>
                <w:rFonts w:hint="eastAsia" w:cs="宋体"/>
                <w:color w:val="auto"/>
                <w:kern w:val="2"/>
                <w:sz w:val="24"/>
                <w:szCs w:val="24"/>
                <w:highlight w:val="none"/>
                <w:lang w:val="zh-CN" w:eastAsia="zh-CN"/>
              </w:rPr>
              <w:t>江苏中诺鸿远项目管理有限公司</w:t>
            </w:r>
          </w:p>
          <w:p w14:paraId="613312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联系人：</w:t>
            </w:r>
            <w:r>
              <w:rPr>
                <w:rFonts w:hint="eastAsia" w:cs="宋体"/>
                <w:color w:val="auto"/>
                <w:kern w:val="2"/>
                <w:sz w:val="24"/>
                <w:szCs w:val="24"/>
                <w:highlight w:val="none"/>
                <w:lang w:val="en-US" w:eastAsia="zh-CN"/>
              </w:rPr>
              <w:t>祝工</w:t>
            </w:r>
          </w:p>
          <w:p w14:paraId="178559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联系方式：</w:t>
            </w:r>
            <w:r>
              <w:rPr>
                <w:rFonts w:hint="eastAsia" w:cs="宋体"/>
                <w:color w:val="auto"/>
                <w:kern w:val="2"/>
                <w:sz w:val="24"/>
                <w:szCs w:val="24"/>
                <w:highlight w:val="none"/>
                <w:lang w:val="en-US" w:eastAsia="zh-CN"/>
              </w:rPr>
              <w:t>13770558809</w:t>
            </w:r>
          </w:p>
        </w:tc>
      </w:tr>
      <w:tr w14:paraId="1146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blHeader/>
          <w:jc w:val="center"/>
        </w:trPr>
        <w:tc>
          <w:tcPr>
            <w:tcW w:w="760" w:type="dxa"/>
            <w:vAlign w:val="center"/>
          </w:tcPr>
          <w:p w14:paraId="74A05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6</w:t>
            </w:r>
          </w:p>
        </w:tc>
        <w:tc>
          <w:tcPr>
            <w:tcW w:w="2149" w:type="dxa"/>
            <w:vAlign w:val="center"/>
          </w:tcPr>
          <w:p w14:paraId="4B581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采购人</w:t>
            </w:r>
          </w:p>
        </w:tc>
        <w:tc>
          <w:tcPr>
            <w:tcW w:w="6353" w:type="dxa"/>
            <w:vAlign w:val="center"/>
          </w:tcPr>
          <w:p w14:paraId="6229DD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名称：</w:t>
            </w:r>
            <w:r>
              <w:rPr>
                <w:rFonts w:hint="eastAsia" w:cs="宋体"/>
                <w:color w:val="auto"/>
                <w:kern w:val="2"/>
                <w:sz w:val="24"/>
                <w:szCs w:val="24"/>
                <w:highlight w:val="none"/>
                <w:lang w:val="zh-CN" w:eastAsia="zh-CN"/>
              </w:rPr>
              <w:t>南京市浦口区人民政府汤泉街道办事处</w:t>
            </w:r>
          </w:p>
          <w:p w14:paraId="62838F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联系</w:t>
            </w:r>
            <w:r>
              <w:rPr>
                <w:rFonts w:hint="eastAsia" w:ascii="宋体" w:hAnsi="宋体" w:eastAsia="宋体" w:cs="宋体"/>
                <w:snapToGrid w:val="0"/>
                <w:color w:val="auto"/>
                <w:sz w:val="24"/>
                <w:szCs w:val="24"/>
                <w:highlight w:val="none"/>
                <w:lang w:val="zh-CN" w:eastAsia="zh-CN"/>
              </w:rPr>
              <w:t>人：</w:t>
            </w:r>
            <w:r>
              <w:rPr>
                <w:rFonts w:hint="eastAsia" w:cs="宋体"/>
                <w:snapToGrid w:val="0"/>
                <w:color w:val="auto"/>
                <w:sz w:val="24"/>
                <w:szCs w:val="24"/>
                <w:highlight w:val="none"/>
                <w:lang w:val="en-US" w:eastAsia="zh-CN"/>
              </w:rPr>
              <w:t>张工</w:t>
            </w:r>
          </w:p>
          <w:p w14:paraId="22815F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eastAsia="zh-CN"/>
              </w:rPr>
              <w:t>电 话：</w:t>
            </w:r>
            <w:r>
              <w:rPr>
                <w:rFonts w:hint="eastAsia" w:cs="宋体"/>
                <w:snapToGrid w:val="0"/>
                <w:color w:val="auto"/>
                <w:sz w:val="24"/>
                <w:szCs w:val="24"/>
                <w:highlight w:val="none"/>
                <w:lang w:val="en-US" w:eastAsia="zh-CN"/>
              </w:rPr>
              <w:t xml:space="preserve"> 13851856966</w:t>
            </w:r>
          </w:p>
        </w:tc>
      </w:tr>
      <w:tr w14:paraId="4E55F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Header/>
          <w:jc w:val="center"/>
        </w:trPr>
        <w:tc>
          <w:tcPr>
            <w:tcW w:w="760" w:type="dxa"/>
            <w:vAlign w:val="center"/>
          </w:tcPr>
          <w:p w14:paraId="6B8304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7</w:t>
            </w:r>
          </w:p>
        </w:tc>
        <w:tc>
          <w:tcPr>
            <w:tcW w:w="2149" w:type="dxa"/>
            <w:vAlign w:val="center"/>
          </w:tcPr>
          <w:p w14:paraId="03484A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最高限价</w:t>
            </w:r>
          </w:p>
        </w:tc>
        <w:tc>
          <w:tcPr>
            <w:tcW w:w="6353" w:type="dxa"/>
            <w:vAlign w:val="center"/>
          </w:tcPr>
          <w:p w14:paraId="248E28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cs="宋体"/>
                <w:b/>
                <w:bCs/>
                <w:color w:val="auto"/>
                <w:kern w:val="2"/>
                <w:sz w:val="24"/>
                <w:szCs w:val="24"/>
                <w:highlight w:val="none"/>
                <w:u w:val="single"/>
                <w:lang w:val="en-US" w:eastAsia="zh-CN"/>
              </w:rPr>
              <w:t>430049.22</w:t>
            </w:r>
            <w:r>
              <w:rPr>
                <w:rFonts w:hint="eastAsia" w:ascii="宋体" w:hAnsi="宋体" w:eastAsia="宋体" w:cs="宋体"/>
                <w:b/>
                <w:bCs/>
                <w:color w:val="auto"/>
                <w:kern w:val="2"/>
                <w:sz w:val="24"/>
                <w:szCs w:val="24"/>
                <w:highlight w:val="none"/>
                <w:u w:val="single"/>
                <w:lang w:val="zh-CN" w:eastAsia="zh-CN"/>
              </w:rPr>
              <w:t>元，超出此投标限价作无效投标处理</w:t>
            </w:r>
            <w:r>
              <w:rPr>
                <w:rFonts w:hint="eastAsia" w:ascii="宋体" w:hAnsi="宋体" w:eastAsia="宋体" w:cs="宋体"/>
                <w:b/>
                <w:bCs/>
                <w:color w:val="auto"/>
                <w:sz w:val="24"/>
                <w:szCs w:val="24"/>
                <w:highlight w:val="none"/>
                <w:u w:val="single"/>
                <w:lang w:val="zh-CN" w:eastAsia="zh-CN"/>
              </w:rPr>
              <w:t>。</w:t>
            </w:r>
          </w:p>
        </w:tc>
      </w:tr>
      <w:tr w14:paraId="3AF3F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blHeader/>
          <w:jc w:val="center"/>
        </w:trPr>
        <w:tc>
          <w:tcPr>
            <w:tcW w:w="760" w:type="dxa"/>
            <w:vAlign w:val="center"/>
          </w:tcPr>
          <w:p w14:paraId="7C1C6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8</w:t>
            </w:r>
          </w:p>
        </w:tc>
        <w:tc>
          <w:tcPr>
            <w:tcW w:w="2149" w:type="dxa"/>
            <w:vAlign w:val="center"/>
          </w:tcPr>
          <w:p w14:paraId="60C05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磋商保证金</w:t>
            </w:r>
          </w:p>
        </w:tc>
        <w:tc>
          <w:tcPr>
            <w:tcW w:w="6353" w:type="dxa"/>
            <w:vAlign w:val="center"/>
          </w:tcPr>
          <w:p w14:paraId="51D532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w:t>
            </w:r>
            <w:r>
              <w:rPr>
                <w:rFonts w:hint="eastAsia" w:cs="宋体"/>
                <w:color w:val="auto"/>
                <w:kern w:val="2"/>
                <w:sz w:val="24"/>
                <w:szCs w:val="24"/>
                <w:highlight w:val="none"/>
                <w:lang w:val="en-US" w:eastAsia="zh-CN"/>
              </w:rPr>
              <w:t>不收取</w:t>
            </w:r>
            <w:r>
              <w:rPr>
                <w:rFonts w:hint="eastAsia" w:ascii="宋体" w:hAnsi="宋体" w:eastAsia="宋体" w:cs="宋体"/>
                <w:color w:val="auto"/>
                <w:kern w:val="2"/>
                <w:sz w:val="24"/>
                <w:szCs w:val="24"/>
                <w:highlight w:val="none"/>
                <w:lang w:val="en-US" w:eastAsia="zh-CN"/>
              </w:rPr>
              <w:t>磋商保证金</w:t>
            </w:r>
          </w:p>
        </w:tc>
      </w:tr>
      <w:tr w14:paraId="3E91F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blHeader/>
          <w:jc w:val="center"/>
        </w:trPr>
        <w:tc>
          <w:tcPr>
            <w:tcW w:w="760" w:type="dxa"/>
            <w:vAlign w:val="center"/>
          </w:tcPr>
          <w:p w14:paraId="72455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9</w:t>
            </w:r>
          </w:p>
        </w:tc>
        <w:tc>
          <w:tcPr>
            <w:tcW w:w="2149" w:type="dxa"/>
            <w:shd w:val="clear" w:color="auto" w:fill="auto"/>
            <w:vAlign w:val="center"/>
          </w:tcPr>
          <w:p w14:paraId="070499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rPr>
              <w:t>评审专家人数</w:t>
            </w:r>
          </w:p>
        </w:tc>
        <w:tc>
          <w:tcPr>
            <w:tcW w:w="6353" w:type="dxa"/>
            <w:shd w:val="clear" w:color="auto" w:fill="auto"/>
            <w:vAlign w:val="center"/>
          </w:tcPr>
          <w:p w14:paraId="77F141A1">
            <w:pPr>
              <w:pStyle w:val="18"/>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人</w:t>
            </w:r>
            <w:r>
              <w:rPr>
                <w:rFonts w:hint="eastAsia" w:cs="宋体"/>
                <w:color w:val="auto"/>
                <w:kern w:val="2"/>
                <w:sz w:val="24"/>
                <w:szCs w:val="24"/>
                <w:highlight w:val="none"/>
                <w:lang w:val="zh-CN" w:eastAsia="zh-CN" w:bidi="ar-SA"/>
              </w:rPr>
              <w:t>（</w:t>
            </w:r>
            <w:r>
              <w:rPr>
                <w:rFonts w:hint="eastAsia" w:cs="宋体"/>
                <w:color w:val="auto"/>
                <w:kern w:val="2"/>
                <w:sz w:val="24"/>
                <w:szCs w:val="24"/>
                <w:highlight w:val="none"/>
                <w:lang w:val="en-US" w:eastAsia="zh-CN" w:bidi="ar-SA"/>
              </w:rPr>
              <w:t>含</w:t>
            </w:r>
            <w:r>
              <w:rPr>
                <w:rFonts w:hint="eastAsia"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以上单数</w:t>
            </w:r>
          </w:p>
        </w:tc>
      </w:tr>
      <w:tr w14:paraId="7A63C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60" w:type="dxa"/>
            <w:vAlign w:val="center"/>
          </w:tcPr>
          <w:p w14:paraId="5E5A0B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10</w:t>
            </w:r>
          </w:p>
        </w:tc>
        <w:tc>
          <w:tcPr>
            <w:tcW w:w="2149" w:type="dxa"/>
            <w:vAlign w:val="center"/>
          </w:tcPr>
          <w:p w14:paraId="5A13AC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勘察现场或答疑</w:t>
            </w:r>
          </w:p>
        </w:tc>
        <w:tc>
          <w:tcPr>
            <w:tcW w:w="6353" w:type="dxa"/>
            <w:vAlign w:val="center"/>
          </w:tcPr>
          <w:p w14:paraId="158841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采购人不组织，供应商可自行踏勘。</w:t>
            </w:r>
          </w:p>
        </w:tc>
      </w:tr>
      <w:tr w14:paraId="0302F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blHeader/>
          <w:jc w:val="center"/>
        </w:trPr>
        <w:tc>
          <w:tcPr>
            <w:tcW w:w="760" w:type="dxa"/>
            <w:vAlign w:val="center"/>
          </w:tcPr>
          <w:p w14:paraId="441E06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11</w:t>
            </w:r>
          </w:p>
        </w:tc>
        <w:tc>
          <w:tcPr>
            <w:tcW w:w="2149" w:type="dxa"/>
            <w:vAlign w:val="center"/>
          </w:tcPr>
          <w:p w14:paraId="70BDE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响应文件接收</w:t>
            </w:r>
          </w:p>
        </w:tc>
        <w:tc>
          <w:tcPr>
            <w:tcW w:w="6353" w:type="dxa"/>
            <w:vAlign w:val="center"/>
          </w:tcPr>
          <w:p w14:paraId="328D8F6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响应文件提交截止时间：</w:t>
            </w:r>
            <w:r>
              <w:rPr>
                <w:rFonts w:hint="eastAsia" w:ascii="宋体" w:hAnsi="宋体" w:eastAsia="宋体" w:cs="宋体"/>
                <w:b w:val="0"/>
                <w:bCs w:val="0"/>
                <w:color w:val="auto"/>
                <w:sz w:val="24"/>
                <w:szCs w:val="24"/>
                <w:highlight w:val="none"/>
                <w:lang w:val="en-US" w:eastAsia="zh-CN"/>
              </w:rPr>
              <w:t>202</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年</w:t>
            </w:r>
            <w:r>
              <w:rPr>
                <w:rFonts w:hint="eastAsia"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日</w:t>
            </w:r>
            <w:r>
              <w:rPr>
                <w:rFonts w:hint="eastAsia"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时30分（北京时间）</w:t>
            </w:r>
          </w:p>
          <w:p w14:paraId="72FFB71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响应文件接收地点：</w:t>
            </w:r>
            <w:r>
              <w:rPr>
                <w:rFonts w:hint="eastAsia" w:ascii="宋体" w:hAnsi="宋体" w:eastAsia="宋体" w:cs="宋体"/>
                <w:b w:val="0"/>
                <w:bCs w:val="0"/>
                <w:color w:val="auto"/>
                <w:sz w:val="24"/>
                <w:szCs w:val="24"/>
                <w:highlight w:val="none"/>
                <w:lang w:val="en-US" w:eastAsia="zh-CN"/>
              </w:rPr>
              <w:t>南京市浦口区双垅南路与柳园路交叉口（浦口体育中心）5楼</w:t>
            </w:r>
            <w:r>
              <w:rPr>
                <w:rFonts w:hint="eastAsia" w:cs="宋体"/>
                <w:b w:val="0"/>
                <w:bCs w:val="0"/>
                <w:color w:val="auto"/>
                <w:sz w:val="24"/>
                <w:szCs w:val="24"/>
                <w:highlight w:val="none"/>
                <w:lang w:val="en-US" w:eastAsia="zh-CN"/>
              </w:rPr>
              <w:t>501室</w:t>
            </w:r>
            <w:r>
              <w:rPr>
                <w:rFonts w:hint="eastAsia" w:ascii="宋体" w:hAnsi="宋体" w:eastAsia="宋体" w:cs="宋体"/>
                <w:b w:val="0"/>
                <w:bCs w:val="0"/>
                <w:color w:val="auto"/>
                <w:sz w:val="24"/>
                <w:szCs w:val="24"/>
                <w:highlight w:val="none"/>
                <w:lang w:val="en-US" w:eastAsia="zh-CN"/>
              </w:rPr>
              <w:t>。</w:t>
            </w:r>
          </w:p>
        </w:tc>
      </w:tr>
      <w:tr w14:paraId="650EF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6" w:hRule="atLeast"/>
          <w:tblHeader/>
          <w:jc w:val="center"/>
        </w:trPr>
        <w:tc>
          <w:tcPr>
            <w:tcW w:w="760" w:type="dxa"/>
            <w:vAlign w:val="center"/>
          </w:tcPr>
          <w:p w14:paraId="28B5CF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12</w:t>
            </w:r>
          </w:p>
        </w:tc>
        <w:tc>
          <w:tcPr>
            <w:tcW w:w="2149" w:type="dxa"/>
            <w:shd w:val="clear" w:color="auto" w:fill="auto"/>
            <w:vAlign w:val="center"/>
          </w:tcPr>
          <w:p w14:paraId="529B5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开启时间及地址</w:t>
            </w:r>
          </w:p>
        </w:tc>
        <w:tc>
          <w:tcPr>
            <w:tcW w:w="6353" w:type="dxa"/>
            <w:shd w:val="clear" w:color="auto" w:fill="auto"/>
            <w:vAlign w:val="center"/>
          </w:tcPr>
          <w:p w14:paraId="40C8CF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时间：202</w:t>
            </w: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zh-CN" w:eastAsia="zh-CN"/>
              </w:rPr>
              <w:t>年</w:t>
            </w:r>
            <w:r>
              <w:rPr>
                <w:rFonts w:hint="eastAsia" w:cs="宋体"/>
                <w:color w:val="auto"/>
                <w:kern w:val="2"/>
                <w:sz w:val="24"/>
                <w:szCs w:val="24"/>
                <w:highlight w:val="none"/>
                <w:lang w:val="en-US" w:eastAsia="zh-CN"/>
              </w:rPr>
              <w:t>05</w:t>
            </w:r>
            <w:r>
              <w:rPr>
                <w:rFonts w:hint="eastAsia" w:ascii="宋体" w:hAnsi="宋体" w:eastAsia="宋体" w:cs="宋体"/>
                <w:color w:val="auto"/>
                <w:kern w:val="2"/>
                <w:sz w:val="24"/>
                <w:szCs w:val="24"/>
                <w:highlight w:val="none"/>
                <w:lang w:val="zh-CN" w:eastAsia="zh-CN"/>
              </w:rPr>
              <w:t>月</w:t>
            </w:r>
            <w:r>
              <w:rPr>
                <w:rFonts w:hint="eastAsia"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lang w:val="zh-CN" w:eastAsia="zh-CN"/>
              </w:rPr>
              <w:t>日</w:t>
            </w:r>
            <w:r>
              <w:rPr>
                <w:rFonts w:hint="eastAsia" w:cs="宋体"/>
                <w:color w:val="auto"/>
                <w:kern w:val="2"/>
                <w:sz w:val="24"/>
                <w:szCs w:val="24"/>
                <w:highlight w:val="none"/>
                <w:lang w:val="en-US" w:eastAsia="zh-CN"/>
              </w:rPr>
              <w:t>14</w:t>
            </w:r>
            <w:r>
              <w:rPr>
                <w:rFonts w:hint="eastAsia" w:ascii="宋体" w:hAnsi="宋体" w:eastAsia="宋体" w:cs="宋体"/>
                <w:color w:val="auto"/>
                <w:kern w:val="2"/>
                <w:sz w:val="24"/>
                <w:szCs w:val="24"/>
                <w:highlight w:val="none"/>
                <w:lang w:val="zh-CN" w:eastAsia="zh-CN"/>
              </w:rPr>
              <w:t>时30分（北京时间）</w:t>
            </w:r>
          </w:p>
          <w:p w14:paraId="058327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地点：</w:t>
            </w:r>
            <w:r>
              <w:rPr>
                <w:rFonts w:hint="eastAsia" w:cs="宋体"/>
                <w:b w:val="0"/>
                <w:bCs w:val="0"/>
                <w:color w:val="auto"/>
                <w:sz w:val="24"/>
                <w:szCs w:val="24"/>
                <w:highlight w:val="none"/>
                <w:lang w:val="en-US" w:eastAsia="zh-CN"/>
              </w:rPr>
              <w:t>南京市浦口区双垅南路与柳园路交叉口（浦口体育中心）5楼501室</w:t>
            </w:r>
          </w:p>
          <w:p w14:paraId="3B3B7C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磋商要求：</w:t>
            </w:r>
            <w:r>
              <w:rPr>
                <w:rFonts w:hint="eastAsia" w:ascii="宋体" w:hAnsi="宋体" w:eastAsia="宋体" w:cs="宋体"/>
                <w:b/>
                <w:bCs/>
                <w:color w:val="auto"/>
                <w:kern w:val="2"/>
                <w:sz w:val="24"/>
                <w:szCs w:val="24"/>
                <w:highlight w:val="none"/>
                <w:lang w:val="zh-CN" w:eastAsia="zh-CN"/>
              </w:rPr>
              <w:t>参加磋商的代表应携带有效身份证</w:t>
            </w:r>
            <w:r>
              <w:rPr>
                <w:rFonts w:hint="eastAsia" w:ascii="宋体" w:hAnsi="宋体" w:eastAsia="宋体" w:cs="宋体"/>
                <w:b/>
                <w:bCs/>
                <w:color w:val="auto"/>
                <w:kern w:val="2"/>
                <w:sz w:val="24"/>
                <w:szCs w:val="24"/>
                <w:highlight w:val="none"/>
                <w:lang w:val="en-US" w:eastAsia="zh-CN"/>
              </w:rPr>
              <w:t>原件并随响应文件一并递交</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bCs/>
                <w:color w:val="auto"/>
                <w:kern w:val="2"/>
                <w:sz w:val="24"/>
                <w:szCs w:val="24"/>
                <w:highlight w:val="none"/>
                <w:lang w:val="en-US" w:eastAsia="zh-CN"/>
              </w:rPr>
              <w:t>否则</w:t>
            </w:r>
            <w:r>
              <w:rPr>
                <w:rFonts w:hint="eastAsia" w:ascii="宋体" w:hAnsi="宋体" w:eastAsia="宋体" w:cs="宋体"/>
                <w:b/>
                <w:bCs/>
                <w:color w:val="auto"/>
                <w:kern w:val="2"/>
                <w:sz w:val="24"/>
                <w:szCs w:val="24"/>
                <w:highlight w:val="none"/>
                <w:lang w:val="zh-CN" w:eastAsia="zh-CN"/>
              </w:rPr>
              <w:t>视为自动放弃</w:t>
            </w:r>
            <w:r>
              <w:rPr>
                <w:rFonts w:hint="eastAsia" w:ascii="宋体" w:hAnsi="宋体" w:eastAsia="宋体" w:cs="宋体"/>
                <w:b/>
                <w:bCs/>
                <w:color w:val="auto"/>
                <w:kern w:val="2"/>
                <w:sz w:val="24"/>
                <w:szCs w:val="24"/>
                <w:highlight w:val="none"/>
                <w:lang w:val="en-US" w:eastAsia="zh-CN"/>
              </w:rPr>
              <w:t>磋商</w:t>
            </w:r>
            <w:r>
              <w:rPr>
                <w:rFonts w:hint="eastAsia" w:ascii="宋体" w:hAnsi="宋体" w:eastAsia="宋体" w:cs="宋体"/>
                <w:b/>
                <w:bCs/>
                <w:color w:val="auto"/>
                <w:kern w:val="2"/>
                <w:sz w:val="24"/>
                <w:szCs w:val="24"/>
                <w:highlight w:val="none"/>
                <w:lang w:val="zh-CN" w:eastAsia="zh-CN"/>
              </w:rPr>
              <w:t>。</w:t>
            </w:r>
          </w:p>
        </w:tc>
      </w:tr>
      <w:tr w14:paraId="430D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9" w:hRule="atLeast"/>
          <w:tblHeader/>
          <w:jc w:val="center"/>
        </w:trPr>
        <w:tc>
          <w:tcPr>
            <w:tcW w:w="760" w:type="dxa"/>
            <w:vAlign w:val="center"/>
          </w:tcPr>
          <w:p w14:paraId="3DEB5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c>
          <w:tcPr>
            <w:tcW w:w="2149" w:type="dxa"/>
            <w:shd w:val="clear" w:color="auto" w:fill="auto"/>
            <w:vAlign w:val="center"/>
          </w:tcPr>
          <w:p w14:paraId="24A68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响应文件份数和编制要求</w:t>
            </w:r>
          </w:p>
        </w:tc>
        <w:tc>
          <w:tcPr>
            <w:tcW w:w="6353" w:type="dxa"/>
            <w:shd w:val="clear" w:color="auto" w:fill="auto"/>
            <w:vAlign w:val="center"/>
          </w:tcPr>
          <w:p w14:paraId="11D0E5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响应文件份数：正本1份，副本</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份，包含所有投标内容的电子版响应文件壹份【</w:t>
            </w:r>
            <w:r>
              <w:rPr>
                <w:rFonts w:hint="eastAsia" w:ascii="宋体" w:hAnsi="宋体" w:eastAsia="宋体" w:cs="宋体"/>
                <w:b/>
                <w:bCs/>
                <w:color w:val="auto"/>
                <w:kern w:val="2"/>
                <w:sz w:val="24"/>
                <w:szCs w:val="24"/>
                <w:highlight w:val="none"/>
                <w:lang w:val="zh-CN" w:eastAsia="zh-CN"/>
              </w:rPr>
              <w:t>电子文档为整套正本响应文件pdf盖章版，U盘形式】</w:t>
            </w:r>
          </w:p>
          <w:p w14:paraId="08D7A9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响应文件密封：</w:t>
            </w:r>
            <w:r>
              <w:rPr>
                <w:rFonts w:hint="eastAsia" w:ascii="宋体" w:hAnsi="宋体" w:eastAsia="宋体" w:cs="宋体"/>
                <w:color w:val="auto"/>
                <w:kern w:val="2"/>
                <w:sz w:val="24"/>
                <w:szCs w:val="24"/>
                <w:highlight w:val="none"/>
                <w:lang w:val="zh-CN" w:eastAsia="zh-CN"/>
              </w:rPr>
              <w:t>响应文件的正本、副本、电子文档U盘应密封包装，</w:t>
            </w:r>
            <w:r>
              <w:rPr>
                <w:rFonts w:hint="eastAsia" w:ascii="宋体" w:hAnsi="宋体" w:eastAsia="宋体" w:cs="宋体"/>
                <w:color w:val="auto"/>
                <w:kern w:val="2"/>
                <w:sz w:val="24"/>
                <w:szCs w:val="24"/>
                <w:highlight w:val="none"/>
                <w:lang w:val="en-US" w:eastAsia="zh-CN"/>
              </w:rPr>
              <w:t>在</w:t>
            </w:r>
            <w:r>
              <w:rPr>
                <w:rFonts w:hint="eastAsia" w:ascii="宋体" w:hAnsi="宋体" w:eastAsia="宋体" w:cs="宋体"/>
                <w:color w:val="auto"/>
                <w:kern w:val="2"/>
                <w:sz w:val="24"/>
                <w:szCs w:val="24"/>
                <w:highlight w:val="none"/>
                <w:lang w:val="zh-CN" w:eastAsia="zh-CN"/>
              </w:rPr>
              <w:t>响应文件提交截止时间</w:t>
            </w:r>
            <w:r>
              <w:rPr>
                <w:rFonts w:hint="eastAsia" w:ascii="宋体" w:hAnsi="宋体" w:eastAsia="宋体" w:cs="宋体"/>
                <w:color w:val="auto"/>
                <w:kern w:val="2"/>
                <w:sz w:val="24"/>
                <w:szCs w:val="24"/>
                <w:highlight w:val="none"/>
                <w:lang w:val="en-US" w:eastAsia="zh-CN"/>
              </w:rPr>
              <w:t>前</w:t>
            </w:r>
            <w:r>
              <w:rPr>
                <w:rFonts w:hint="eastAsia" w:ascii="宋体" w:hAnsi="宋体" w:eastAsia="宋体" w:cs="宋体"/>
                <w:color w:val="auto"/>
                <w:kern w:val="2"/>
                <w:sz w:val="24"/>
                <w:szCs w:val="24"/>
                <w:highlight w:val="none"/>
                <w:lang w:val="zh-CN" w:eastAsia="zh-CN"/>
              </w:rPr>
              <w:t>一并提交。</w:t>
            </w:r>
          </w:p>
          <w:p w14:paraId="0F89FB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响应文件制作应满足以下要求：</w:t>
            </w:r>
          </w:p>
          <w:p w14:paraId="6E31A9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zh-CN" w:eastAsia="zh-CN"/>
              </w:rPr>
              <w:t>）响应文件须以普通胶装形式装订（不得使用拉杆夹、合页夹或打孔装订等），商务部分、技术文件可以胶装在一起。</w:t>
            </w:r>
          </w:p>
          <w:p w14:paraId="201D76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）字号及图片可适度缩小，内容清晰、满足阅读需要即可。</w:t>
            </w:r>
          </w:p>
          <w:p w14:paraId="7C2702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zh-CN" w:eastAsia="zh-CN"/>
              </w:rPr>
              <w:t>）响应文件电子版U盘应使用质量可靠产品，保证响应文件电子文档可读性，预防数据丢失。电子版响应文件用于辅助评标和电子存档，</w:t>
            </w:r>
            <w:r>
              <w:rPr>
                <w:rFonts w:hint="eastAsia" w:ascii="宋体" w:hAnsi="宋体" w:eastAsia="宋体" w:cs="宋体"/>
                <w:color w:val="auto"/>
                <w:kern w:val="2"/>
                <w:sz w:val="24"/>
                <w:szCs w:val="24"/>
                <w:highlight w:val="none"/>
                <w:lang w:val="en-US" w:eastAsia="zh-CN"/>
              </w:rPr>
              <w:t>供应商自行</w:t>
            </w:r>
            <w:r>
              <w:rPr>
                <w:rFonts w:hint="eastAsia" w:ascii="宋体" w:hAnsi="宋体" w:eastAsia="宋体" w:cs="宋体"/>
                <w:color w:val="auto"/>
                <w:kern w:val="2"/>
                <w:sz w:val="24"/>
                <w:szCs w:val="24"/>
                <w:highlight w:val="none"/>
                <w:lang w:val="zh-CN" w:eastAsia="zh-CN"/>
              </w:rPr>
              <w:t>承担电子</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lang w:val="zh-CN" w:eastAsia="zh-CN"/>
              </w:rPr>
              <w:t>文件和纸质文件不一致</w:t>
            </w:r>
            <w:r>
              <w:rPr>
                <w:rFonts w:hint="eastAsia" w:ascii="宋体" w:hAnsi="宋体" w:eastAsia="宋体" w:cs="宋体"/>
                <w:color w:val="auto"/>
                <w:kern w:val="2"/>
                <w:sz w:val="24"/>
                <w:szCs w:val="24"/>
                <w:highlight w:val="none"/>
                <w:lang w:val="en-US" w:eastAsia="zh-CN"/>
              </w:rPr>
              <w:t>而</w:t>
            </w:r>
            <w:r>
              <w:rPr>
                <w:rFonts w:hint="eastAsia" w:ascii="宋体" w:hAnsi="宋体" w:eastAsia="宋体" w:cs="宋体"/>
                <w:color w:val="auto"/>
                <w:kern w:val="2"/>
                <w:sz w:val="24"/>
                <w:szCs w:val="24"/>
                <w:highlight w:val="none"/>
                <w:lang w:val="zh-CN" w:eastAsia="zh-CN"/>
              </w:rPr>
              <w:t>造成的不利后果。</w:t>
            </w:r>
          </w:p>
          <w:p w14:paraId="3F8207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备注：</w:t>
            </w:r>
            <w:r>
              <w:rPr>
                <w:rFonts w:hint="eastAsia" w:ascii="宋体" w:hAnsi="宋体" w:eastAsia="宋体" w:cs="宋体"/>
                <w:color w:val="auto"/>
                <w:kern w:val="2"/>
                <w:sz w:val="24"/>
                <w:szCs w:val="24"/>
                <w:highlight w:val="none"/>
                <w:lang w:val="en-US" w:eastAsia="en-US"/>
              </w:rPr>
              <w:t>当副本和正本不一致或电子版文件和纸质版正本文件不一致时，以纸质版正本文件为准。</w:t>
            </w:r>
          </w:p>
        </w:tc>
      </w:tr>
      <w:tr w14:paraId="6A1B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760" w:type="dxa"/>
            <w:vAlign w:val="center"/>
          </w:tcPr>
          <w:p w14:paraId="65402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14</w:t>
            </w:r>
          </w:p>
        </w:tc>
        <w:tc>
          <w:tcPr>
            <w:tcW w:w="2149" w:type="dxa"/>
            <w:vAlign w:val="center"/>
          </w:tcPr>
          <w:p w14:paraId="67A77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响应文件完整性</w:t>
            </w:r>
          </w:p>
        </w:tc>
        <w:tc>
          <w:tcPr>
            <w:tcW w:w="6353" w:type="dxa"/>
            <w:vAlign w:val="center"/>
          </w:tcPr>
          <w:p w14:paraId="7E2960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磋商文件中有明确规定需要签字和盖章的必须要有签字和盖章，否则响应无效。</w:t>
            </w:r>
          </w:p>
        </w:tc>
      </w:tr>
      <w:tr w14:paraId="4CE8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blHeader/>
          <w:jc w:val="center"/>
        </w:trPr>
        <w:tc>
          <w:tcPr>
            <w:tcW w:w="760" w:type="dxa"/>
            <w:vAlign w:val="center"/>
          </w:tcPr>
          <w:p w14:paraId="7FC24D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w:t>
            </w:r>
            <w:r>
              <w:rPr>
                <w:rFonts w:hint="eastAsia" w:cs="宋体"/>
                <w:color w:val="auto"/>
                <w:kern w:val="2"/>
                <w:sz w:val="24"/>
                <w:szCs w:val="24"/>
                <w:highlight w:val="none"/>
                <w:lang w:val="en-US" w:eastAsia="zh-CN"/>
              </w:rPr>
              <w:t>5</w:t>
            </w:r>
          </w:p>
        </w:tc>
        <w:tc>
          <w:tcPr>
            <w:tcW w:w="2149" w:type="dxa"/>
            <w:vAlign w:val="center"/>
          </w:tcPr>
          <w:p w14:paraId="77714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关于联合体磋商</w:t>
            </w:r>
          </w:p>
        </w:tc>
        <w:tc>
          <w:tcPr>
            <w:tcW w:w="6353" w:type="dxa"/>
            <w:vAlign w:val="center"/>
          </w:tcPr>
          <w:p w14:paraId="11CBDB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本项目</w:t>
            </w:r>
            <w:r>
              <w:rPr>
                <w:rFonts w:hint="eastAsia" w:ascii="宋体" w:hAnsi="宋体" w:eastAsia="宋体" w:cs="宋体"/>
                <w:b/>
                <w:bCs/>
                <w:color w:val="auto"/>
                <w:kern w:val="2"/>
                <w:sz w:val="24"/>
                <w:szCs w:val="24"/>
                <w:highlight w:val="none"/>
                <w:lang w:val="zh-CN" w:eastAsia="zh-CN"/>
              </w:rPr>
              <w:t>不接受</w:t>
            </w:r>
            <w:r>
              <w:rPr>
                <w:rFonts w:hint="eastAsia" w:ascii="宋体" w:hAnsi="宋体" w:eastAsia="宋体" w:cs="宋体"/>
                <w:color w:val="auto"/>
                <w:kern w:val="2"/>
                <w:sz w:val="24"/>
                <w:szCs w:val="24"/>
                <w:highlight w:val="none"/>
                <w:lang w:val="zh-CN" w:eastAsia="zh-CN"/>
              </w:rPr>
              <w:t>联合体磋商</w:t>
            </w:r>
          </w:p>
        </w:tc>
      </w:tr>
      <w:tr w14:paraId="4A80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blHeader/>
          <w:jc w:val="center"/>
        </w:trPr>
        <w:tc>
          <w:tcPr>
            <w:tcW w:w="760" w:type="dxa"/>
            <w:vAlign w:val="center"/>
          </w:tcPr>
          <w:p w14:paraId="1E6672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w:t>
            </w:r>
            <w:r>
              <w:rPr>
                <w:rFonts w:hint="eastAsia" w:cs="宋体"/>
                <w:color w:val="auto"/>
                <w:kern w:val="2"/>
                <w:sz w:val="24"/>
                <w:szCs w:val="24"/>
                <w:highlight w:val="none"/>
                <w:lang w:val="en-US" w:eastAsia="zh-CN"/>
              </w:rPr>
              <w:t>6</w:t>
            </w:r>
          </w:p>
        </w:tc>
        <w:tc>
          <w:tcPr>
            <w:tcW w:w="2149" w:type="dxa"/>
            <w:shd w:val="clear" w:color="auto" w:fill="auto"/>
            <w:vAlign w:val="center"/>
          </w:tcPr>
          <w:p w14:paraId="5913CE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rPr>
              <w:t>申请人的资格要求</w:t>
            </w:r>
          </w:p>
        </w:tc>
        <w:tc>
          <w:tcPr>
            <w:tcW w:w="6353" w:type="dxa"/>
            <w:shd w:val="clear" w:color="auto" w:fill="auto"/>
            <w:vAlign w:val="center"/>
          </w:tcPr>
          <w:p w14:paraId="225E814C">
            <w:pPr>
              <w:pStyle w:val="18"/>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详见第一章</w:t>
            </w:r>
            <w:r>
              <w:rPr>
                <w:rFonts w:hint="eastAsia"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CN" w:eastAsia="zh-CN" w:bidi="ar-SA"/>
              </w:rPr>
              <w:t>竞争性磋商公告</w:t>
            </w:r>
          </w:p>
        </w:tc>
      </w:tr>
      <w:tr w14:paraId="19A0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blHeader/>
          <w:jc w:val="center"/>
        </w:trPr>
        <w:tc>
          <w:tcPr>
            <w:tcW w:w="760" w:type="dxa"/>
            <w:vAlign w:val="center"/>
          </w:tcPr>
          <w:p w14:paraId="5055D0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w:t>
            </w:r>
            <w:r>
              <w:rPr>
                <w:rFonts w:hint="eastAsia" w:cs="宋体"/>
                <w:color w:val="auto"/>
                <w:kern w:val="2"/>
                <w:sz w:val="24"/>
                <w:szCs w:val="24"/>
                <w:highlight w:val="none"/>
                <w:lang w:val="en-US" w:eastAsia="zh-CN"/>
              </w:rPr>
              <w:t>7</w:t>
            </w:r>
          </w:p>
        </w:tc>
        <w:tc>
          <w:tcPr>
            <w:tcW w:w="2149" w:type="dxa"/>
            <w:shd w:val="clear" w:color="auto" w:fill="auto"/>
            <w:vAlign w:val="center"/>
          </w:tcPr>
          <w:p w14:paraId="657D3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rPr>
              <w:t>采购</w:t>
            </w:r>
            <w:r>
              <w:rPr>
                <w:rFonts w:hint="eastAsia" w:ascii="宋体" w:hAnsi="宋体" w:eastAsia="宋体" w:cs="宋体"/>
                <w:color w:val="auto"/>
                <w:kern w:val="2"/>
                <w:sz w:val="24"/>
                <w:szCs w:val="24"/>
                <w:highlight w:val="none"/>
                <w:lang w:val="zh-CN" w:eastAsia="zh-CN"/>
              </w:rPr>
              <w:t>服务费</w:t>
            </w:r>
          </w:p>
        </w:tc>
        <w:tc>
          <w:tcPr>
            <w:tcW w:w="6353" w:type="dxa"/>
            <w:shd w:val="clear" w:color="auto" w:fill="auto"/>
            <w:vAlign w:val="center"/>
          </w:tcPr>
          <w:p w14:paraId="248620CC">
            <w:pPr>
              <w:pStyle w:val="18"/>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本次采购，成交供应商招标代理服务费参照【</w:t>
            </w:r>
            <w:r>
              <w:rPr>
                <w:rFonts w:hint="eastAsia" w:cs="宋体"/>
                <w:color w:val="auto"/>
                <w:kern w:val="2"/>
                <w:sz w:val="24"/>
                <w:szCs w:val="24"/>
                <w:highlight w:val="none"/>
                <w:lang w:val="en-US" w:eastAsia="zh-CN" w:bidi="ar-SA"/>
              </w:rPr>
              <w:t>1980</w:t>
            </w:r>
            <w:r>
              <w:rPr>
                <w:rFonts w:hint="eastAsia" w:ascii="宋体" w:hAnsi="宋体" w:eastAsia="宋体" w:cs="宋体"/>
                <w:color w:val="auto"/>
                <w:kern w:val="2"/>
                <w:sz w:val="24"/>
                <w:szCs w:val="24"/>
                <w:highlight w:val="none"/>
                <w:lang w:val="zh-CN" w:eastAsia="zh-CN" w:bidi="ar-SA"/>
              </w:rPr>
              <w:t>】号文件规定的80%计取，不足3000元按3000元收取，基数为中标价；清单编制费参照《江苏省工程造价咨询服务收费指导意见》（苏建价协[2022]7号）文件规定的80%计取，不足3000元按3000元收取，基础为招标控制价。</w:t>
            </w:r>
          </w:p>
        </w:tc>
      </w:tr>
      <w:tr w14:paraId="078F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7" w:hRule="atLeast"/>
          <w:tblHeader/>
          <w:jc w:val="center"/>
        </w:trPr>
        <w:tc>
          <w:tcPr>
            <w:tcW w:w="760" w:type="dxa"/>
            <w:vAlign w:val="center"/>
          </w:tcPr>
          <w:p w14:paraId="1A5F42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w:t>
            </w:r>
            <w:r>
              <w:rPr>
                <w:rFonts w:hint="eastAsia" w:cs="宋体"/>
                <w:color w:val="auto"/>
                <w:kern w:val="2"/>
                <w:sz w:val="24"/>
                <w:szCs w:val="24"/>
                <w:highlight w:val="none"/>
                <w:lang w:val="en-US" w:eastAsia="zh-CN"/>
              </w:rPr>
              <w:t>8</w:t>
            </w:r>
          </w:p>
        </w:tc>
        <w:tc>
          <w:tcPr>
            <w:tcW w:w="2149" w:type="dxa"/>
            <w:shd w:val="clear" w:color="auto" w:fill="auto"/>
            <w:vAlign w:val="center"/>
          </w:tcPr>
          <w:p w14:paraId="07D0D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磋商文件的澄清或者修改</w:t>
            </w:r>
          </w:p>
        </w:tc>
        <w:tc>
          <w:tcPr>
            <w:tcW w:w="6353" w:type="dxa"/>
            <w:shd w:val="clear" w:color="auto" w:fill="auto"/>
            <w:vAlign w:val="center"/>
          </w:tcPr>
          <w:p w14:paraId="7219BA53">
            <w:pPr>
              <w:pStyle w:val="18"/>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供应商首次提交响应文件截止之日前，采购代理机构经采购人认可后可以对已发出的磋商文件进行必要的澄清或者修改，澄清或者修改的内容作为磋商文件的组成部分。澄清或者修改的内容可能影响响应文件编制的，在首次提交响应文件截止时间至少5日前，以书面形式通知所有获取磋商文件的供应商；不足5日的，顺延提交首次响应文件截止时间。</w:t>
            </w:r>
          </w:p>
        </w:tc>
      </w:tr>
      <w:tr w14:paraId="5D383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1" w:hRule="atLeast"/>
          <w:tblHeader/>
          <w:jc w:val="center"/>
        </w:trPr>
        <w:tc>
          <w:tcPr>
            <w:tcW w:w="760" w:type="dxa"/>
            <w:vAlign w:val="center"/>
          </w:tcPr>
          <w:p w14:paraId="482F32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19</w:t>
            </w:r>
          </w:p>
        </w:tc>
        <w:tc>
          <w:tcPr>
            <w:tcW w:w="2149" w:type="dxa"/>
            <w:vAlign w:val="center"/>
          </w:tcPr>
          <w:p w14:paraId="0C721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报价须知</w:t>
            </w:r>
          </w:p>
        </w:tc>
        <w:tc>
          <w:tcPr>
            <w:tcW w:w="6353" w:type="dxa"/>
            <w:vAlign w:val="center"/>
          </w:tcPr>
          <w:p w14:paraId="42965A80">
            <w:pPr>
              <w:pStyle w:val="18"/>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zh-CN" w:eastAsia="zh-CN" w:bidi="ar-SA"/>
              </w:rPr>
              <w:t>（</w:t>
            </w:r>
            <w:r>
              <w:rPr>
                <w:rFonts w:hint="eastAsia" w:cs="宋体"/>
                <w:color w:val="auto"/>
                <w:kern w:val="2"/>
                <w:sz w:val="24"/>
                <w:szCs w:val="24"/>
                <w:highlight w:val="none"/>
                <w:lang w:val="en-US" w:eastAsia="zh-CN" w:bidi="ar-SA"/>
              </w:rPr>
              <w:t>1</w:t>
            </w:r>
            <w:r>
              <w:rPr>
                <w:rFonts w:hint="eastAsia"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须将本前附表第1</w:t>
            </w:r>
            <w:r>
              <w:rPr>
                <w:rFonts w:hint="eastAsia"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zh-CN" w:eastAsia="zh-CN" w:bidi="ar-SA"/>
              </w:rPr>
              <w:t>项所述费用</w:t>
            </w:r>
            <w:r>
              <w:rPr>
                <w:rFonts w:hint="eastAsia" w:ascii="宋体" w:hAnsi="宋体" w:eastAsia="宋体" w:cs="宋体"/>
                <w:color w:val="auto"/>
                <w:kern w:val="2"/>
                <w:sz w:val="24"/>
                <w:szCs w:val="24"/>
                <w:highlight w:val="none"/>
                <w:lang w:val="en-US" w:eastAsia="zh-CN" w:bidi="ar-SA"/>
              </w:rPr>
              <w:t>综合考虑</w:t>
            </w:r>
            <w:r>
              <w:rPr>
                <w:rFonts w:hint="eastAsia" w:ascii="宋体" w:hAnsi="宋体" w:eastAsia="宋体" w:cs="宋体"/>
                <w:color w:val="auto"/>
                <w:kern w:val="2"/>
                <w:sz w:val="24"/>
                <w:szCs w:val="24"/>
                <w:highlight w:val="none"/>
                <w:lang w:val="zh-CN" w:eastAsia="zh-CN" w:bidi="ar-SA"/>
              </w:rPr>
              <w:t>计入</w:t>
            </w:r>
            <w:r>
              <w:rPr>
                <w:rFonts w:hint="eastAsia" w:ascii="宋体" w:hAnsi="宋体" w:eastAsia="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zh-CN" w:eastAsia="zh-CN" w:bidi="ar-SA"/>
              </w:rPr>
              <w:t>报价</w:t>
            </w:r>
            <w:r>
              <w:rPr>
                <w:rFonts w:hint="eastAsia" w:ascii="宋体" w:hAnsi="宋体" w:eastAsia="宋体" w:cs="宋体"/>
                <w:color w:val="auto"/>
                <w:kern w:val="2"/>
                <w:sz w:val="24"/>
                <w:szCs w:val="24"/>
                <w:highlight w:val="none"/>
                <w:lang w:val="en-US" w:eastAsia="zh-CN" w:bidi="ar-SA"/>
              </w:rPr>
              <w:t>综合</w:t>
            </w:r>
            <w:r>
              <w:rPr>
                <w:rFonts w:hint="eastAsia" w:cs="宋体"/>
                <w:color w:val="auto"/>
                <w:kern w:val="2"/>
                <w:sz w:val="24"/>
                <w:szCs w:val="24"/>
                <w:highlight w:val="none"/>
                <w:lang w:val="en-US" w:eastAsia="zh-CN" w:bidi="ar-SA"/>
              </w:rPr>
              <w:t>报</w:t>
            </w:r>
            <w:r>
              <w:rPr>
                <w:rFonts w:hint="eastAsia" w:ascii="宋体" w:hAnsi="宋体" w:eastAsia="宋体" w:cs="宋体"/>
                <w:color w:val="auto"/>
                <w:kern w:val="2"/>
                <w:sz w:val="24"/>
                <w:szCs w:val="24"/>
                <w:highlight w:val="none"/>
                <w:lang w:val="en-US" w:eastAsia="zh-CN" w:bidi="ar-SA"/>
              </w:rPr>
              <w:t>价</w:t>
            </w:r>
            <w:r>
              <w:rPr>
                <w:rFonts w:hint="eastAsia" w:ascii="宋体" w:hAnsi="宋体" w:eastAsia="宋体" w:cs="宋体"/>
                <w:color w:val="auto"/>
                <w:kern w:val="2"/>
                <w:sz w:val="24"/>
                <w:szCs w:val="24"/>
                <w:highlight w:val="none"/>
                <w:lang w:val="zh-CN" w:eastAsia="zh-CN" w:bidi="ar-SA"/>
              </w:rPr>
              <w:t>中，不计视为优惠。</w:t>
            </w:r>
          </w:p>
          <w:p w14:paraId="65276E93">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报价应包含与本次采购项目有关的所有费用。包含但不限于人员、设备、安装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调试、验收、</w:t>
            </w:r>
            <w:r>
              <w:rPr>
                <w:rFonts w:hint="eastAsia" w:ascii="宋体" w:hAnsi="宋体" w:eastAsia="宋体" w:cs="宋体"/>
                <w:color w:val="auto"/>
                <w:sz w:val="24"/>
                <w:szCs w:val="24"/>
                <w:highlight w:val="none"/>
                <w:lang w:val="en-US" w:eastAsia="zh-CN"/>
              </w:rPr>
              <w:t>配套</w:t>
            </w:r>
            <w:r>
              <w:rPr>
                <w:rFonts w:hint="eastAsia" w:ascii="宋体" w:hAnsi="宋体" w:eastAsia="宋体" w:cs="宋体"/>
                <w:color w:val="auto"/>
                <w:sz w:val="24"/>
                <w:szCs w:val="24"/>
                <w:highlight w:val="none"/>
              </w:rPr>
              <w:t>服务等所有含税费用。同时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还应包含支付给员工的工资和国家强制缴纳的各种社会保障资金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以及供应商认为需要的其他费用等。</w:t>
            </w:r>
          </w:p>
          <w:p w14:paraId="52525A8C">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供应商的任何错漏、优惠、竞争性报价不得作为减轻责任、减少服务、增加收费、降低服务质量的理由。</w:t>
            </w:r>
          </w:p>
          <w:p w14:paraId="0D44A4E0">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供应商报价除包含</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中列明的项目外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还应包括保障服务正常运行应当具有的物资和服务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对服务正常运行应当具有的物资和服务理解不一致的以采购单位理解为准。</w:t>
            </w:r>
          </w:p>
        </w:tc>
      </w:tr>
      <w:tr w14:paraId="41D8B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blHeader/>
          <w:jc w:val="center"/>
        </w:trPr>
        <w:tc>
          <w:tcPr>
            <w:tcW w:w="760" w:type="dxa"/>
            <w:vAlign w:val="center"/>
          </w:tcPr>
          <w:p w14:paraId="10B62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149" w:type="dxa"/>
            <w:vAlign w:val="center"/>
          </w:tcPr>
          <w:p w14:paraId="009808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项目属性</w:t>
            </w:r>
          </w:p>
        </w:tc>
        <w:tc>
          <w:tcPr>
            <w:tcW w:w="6353" w:type="dxa"/>
            <w:vAlign w:val="center"/>
          </w:tcPr>
          <w:p w14:paraId="052287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zh-CN" w:eastAsia="zh-CN" w:bidi="ar-SA"/>
              </w:rPr>
            </w:pPr>
            <w:r>
              <w:rPr>
                <w:rFonts w:hint="eastAsia"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lang w:eastAsia="zh-CN"/>
              </w:rPr>
              <w:t>类项目。</w:t>
            </w:r>
          </w:p>
        </w:tc>
      </w:tr>
    </w:tbl>
    <w:p w14:paraId="776F9CF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一、总则</w:t>
      </w:r>
    </w:p>
    <w:p w14:paraId="690CBDE2">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参照</w:t>
      </w:r>
      <w:r>
        <w:rPr>
          <w:rFonts w:hint="eastAsia" w:ascii="宋体" w:hAnsi="宋体" w:eastAsia="宋体" w:cs="宋体"/>
          <w:b/>
          <w:sz w:val="24"/>
          <w:szCs w:val="24"/>
          <w:highlight w:val="none"/>
        </w:rPr>
        <w:t>法律</w:t>
      </w:r>
    </w:p>
    <w:p w14:paraId="04CB4DA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政府采购货物和服务招标投标管理办法》等有关法律、规章和规定。</w:t>
      </w:r>
    </w:p>
    <w:p w14:paraId="22B2648D">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2、定义</w:t>
      </w:r>
    </w:p>
    <w:p w14:paraId="44B20EF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bCs/>
          <w:sz w:val="24"/>
          <w:szCs w:val="24"/>
          <w:highlight w:val="none"/>
        </w:rPr>
        <w:t>供应商</w:t>
      </w:r>
      <w:r>
        <w:rPr>
          <w:rFonts w:hint="eastAsia" w:ascii="宋体" w:hAnsi="宋体" w:eastAsia="宋体" w:cs="宋体"/>
          <w:sz w:val="24"/>
          <w:szCs w:val="24"/>
          <w:highlight w:val="none"/>
        </w:rPr>
        <w:t>”是指响应招标、参加投标竞争的法人、其他组织或者自然人。</w:t>
      </w:r>
    </w:p>
    <w:p w14:paraId="7535693D">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”指本</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中所述</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w:t>
      </w:r>
    </w:p>
    <w:p w14:paraId="163495F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2.3“用户或使用单位”是指本项目采购人。</w:t>
      </w:r>
    </w:p>
    <w:p w14:paraId="1D4EB3AD">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3、政策功能</w:t>
      </w:r>
    </w:p>
    <w:p w14:paraId="2CB895E9">
      <w:pPr>
        <w:spacing w:line="360" w:lineRule="auto"/>
        <w:ind w:firstLine="48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3.1中小企业政策</w:t>
      </w:r>
    </w:p>
    <w:p w14:paraId="221414B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（1）中小企业（含中型、小型、微型企业）应当符合《政府采购促进中小企业发展暂行办法》（财库〔2011〕181号）</w:t>
      </w:r>
      <w:r>
        <w:rPr>
          <w:rFonts w:hint="eastAsia" w:ascii="宋体" w:hAnsi="宋体" w:eastAsia="宋体" w:cs="宋体"/>
          <w:color w:val="auto"/>
          <w:sz w:val="24"/>
          <w:szCs w:val="24"/>
          <w:highlight w:val="none"/>
          <w:lang w:eastAsia="zh-CN"/>
        </w:rPr>
        <w:t>第二条，</w:t>
      </w:r>
      <w:r>
        <w:rPr>
          <w:rFonts w:hint="eastAsia" w:ascii="宋体" w:hAnsi="宋体" w:eastAsia="宋体" w:cs="宋体"/>
          <w:color w:val="auto"/>
          <w:sz w:val="24"/>
          <w:szCs w:val="24"/>
          <w:highlight w:val="none"/>
        </w:rPr>
        <w:t>《关于政府采购支持监狱企业发展有关问题的通知》（财库〔2014〕68号）第一条或《关于促进残疾人就业政府采购政策的通知》（财库〔2017〕141号）第一条的规定。</w:t>
      </w:r>
    </w:p>
    <w:p w14:paraId="774478B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（2）对于专门面向中小企业或小型、微型企业的项目，只面向中小企业或小型、微型企业采购。对于非专门面向中小企业的项目，对小型和微型企业提供的报价价格给予对应</w:t>
      </w:r>
      <w:r>
        <w:rPr>
          <w:rFonts w:hint="eastAsia" w:ascii="宋体" w:hAnsi="宋体" w:eastAsia="宋体" w:cs="宋体"/>
          <w:b/>
          <w:bCs/>
          <w:color w:val="auto"/>
          <w:sz w:val="24"/>
          <w:szCs w:val="24"/>
          <w:highlight w:val="none"/>
          <w:u w:val="single"/>
        </w:rPr>
        <w:t>（工程5%</w:t>
      </w:r>
      <w:r>
        <w:rPr>
          <w:rFonts w:hint="eastAsia" w:ascii="宋体" w:hAnsi="宋体" w:eastAsia="宋体" w:cs="宋体"/>
          <w:b/>
          <w:bCs/>
          <w:color w:val="auto"/>
          <w:sz w:val="24"/>
          <w:szCs w:val="24"/>
          <w:highlight w:val="none"/>
        </w:rPr>
        <w:t>、货物10%、服务10%）</w:t>
      </w:r>
      <w:r>
        <w:rPr>
          <w:rFonts w:hint="eastAsia" w:ascii="宋体" w:hAnsi="宋体" w:eastAsia="宋体" w:cs="宋体"/>
          <w:color w:val="auto"/>
          <w:sz w:val="24"/>
          <w:szCs w:val="24"/>
          <w:highlight w:val="none"/>
        </w:rPr>
        <w:t>的扣除，用扣除后的价格参与评审。</w:t>
      </w:r>
    </w:p>
    <w:p w14:paraId="1DC8395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（3）参加政府采购活动的中小企业应当提供《中小企业声明函》或由省级以上监狱管理局戒毒管理局(含新疆生产建设兵团)出具的属于监狱企业的证明文件或《残疾人福利性单位声明函》。</w:t>
      </w:r>
    </w:p>
    <w:p w14:paraId="5D1501D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（4）中小企业依据《政府采购促进中小企业发展暂行办法》（财库〔2011〕181号）规定的政策获取政府采购合同后，小型、微型企业不得分包或转包给大型、中型企业，中型企业不得分包或转包给大型企业。</w:t>
      </w:r>
    </w:p>
    <w:p w14:paraId="7C25F827">
      <w:pPr>
        <w:spacing w:line="360" w:lineRule="auto"/>
        <w:ind w:firstLine="480"/>
        <w:rPr>
          <w:rFonts w:hint="eastAsia" w:ascii="宋体" w:hAnsi="宋体" w:eastAsia="宋体" w:cs="宋体"/>
          <w:bCs/>
          <w:sz w:val="24"/>
          <w:szCs w:val="24"/>
          <w:highlight w:val="none"/>
          <w:lang w:val="en-US"/>
        </w:rPr>
      </w:pPr>
      <w:r>
        <w:rPr>
          <w:rFonts w:hint="eastAsia" w:ascii="宋体" w:hAnsi="宋体" w:eastAsia="宋体" w:cs="宋体"/>
          <w:color w:val="auto"/>
          <w:sz w:val="24"/>
          <w:szCs w:val="24"/>
          <w:highlight w:val="none"/>
        </w:rPr>
        <w:t>（5）未按要求提供相关材料的，不享受相关政策。</w:t>
      </w:r>
    </w:p>
    <w:p w14:paraId="618D6A94">
      <w:pPr>
        <w:keepNext w:val="0"/>
        <w:keepLines w:val="0"/>
        <w:pageBreakBefore w:val="0"/>
        <w:widowControl/>
        <w:tabs>
          <w:tab w:val="left" w:pos="630"/>
        </w:tabs>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项目所属行业：根据《关于印发中小企业划型标准规定的通知》（工信部联企业〔2011〕300号）及《国家统计局关于印发&lt;统计上大中小微型企业划分办法〔2017〕〉的通知》（国统字〔2017〕213号）等文件规定，本项目所属行业为</w:t>
      </w:r>
      <w:r>
        <w:rPr>
          <w:rFonts w:hint="eastAsia" w:ascii="宋体" w:hAnsi="宋体" w:cs="宋体"/>
          <w:b/>
          <w:bCs/>
          <w:color w:val="auto"/>
          <w:sz w:val="24"/>
          <w:szCs w:val="24"/>
          <w:highlight w:val="none"/>
          <w:u w:val="single"/>
          <w:lang w:val="zh-CN"/>
        </w:rPr>
        <w:t>建筑业</w:t>
      </w:r>
      <w:r>
        <w:rPr>
          <w:rFonts w:hint="eastAsia" w:ascii="宋体" w:hAnsi="宋体" w:cs="宋体"/>
          <w:color w:val="auto"/>
          <w:sz w:val="24"/>
          <w:szCs w:val="24"/>
          <w:highlight w:val="none"/>
          <w:lang w:val="zh-CN"/>
        </w:rPr>
        <w:t>。</w:t>
      </w:r>
    </w:p>
    <w:p w14:paraId="070FF869">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强制采购节能产品、信息安全产品，优先采购环境标志产品。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14:paraId="3FEC1373">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提供的产品属于信息安全产品的，供应商应当选择经国家认证的信息安全产品，并提供由中国信息安全认证中心按国家标准认证颁发的有效认证证书复印件。</w:t>
      </w:r>
    </w:p>
    <w:p w14:paraId="412C5740">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（2）提供的产品属于政府强制采购节能产品的，供应商应当选择《节能产品政府采购清单》中的产品，并提供有效的节能产品认证证书复印件。</w:t>
      </w:r>
    </w:p>
    <w:p w14:paraId="034DA3CA">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（3）提供的产品属于环境标志产品的,供应商应当选择《环境标志产品政府采购清单》中的,且经过认证的环境标志产品投标,并提供有效的环境标志产品认证证书复印件</w:t>
      </w:r>
      <w:r>
        <w:rPr>
          <w:rFonts w:hint="eastAsia" w:ascii="宋体" w:hAnsi="宋体" w:eastAsia="宋体" w:cs="宋体"/>
          <w:sz w:val="24"/>
          <w:szCs w:val="24"/>
          <w:highlight w:val="none"/>
          <w:lang w:val="zh-CN"/>
        </w:rPr>
        <w:t>。</w:t>
      </w:r>
    </w:p>
    <w:p w14:paraId="206D25CB">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采购文件中的参考产品品牌或型号，是采购人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14:paraId="6D717062">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eastAsia="zh-CN"/>
        </w:rPr>
        <w:t>竞争性磋商文件</w:t>
      </w:r>
      <w:r>
        <w:rPr>
          <w:rFonts w:hint="eastAsia" w:ascii="宋体" w:hAnsi="宋体" w:eastAsia="宋体" w:cs="宋体"/>
          <w:b/>
          <w:sz w:val="24"/>
          <w:szCs w:val="24"/>
          <w:highlight w:val="none"/>
        </w:rPr>
        <w:t>的约束力</w:t>
      </w:r>
    </w:p>
    <w:p w14:paraId="3D9BF94A">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4.1供应商一旦领取了本</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并参加投标，即被认为接受了本</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中的所有条件和规定。</w:t>
      </w:r>
    </w:p>
    <w:p w14:paraId="6572FE33">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竞争性磋商文件</w:t>
      </w:r>
      <w:r>
        <w:rPr>
          <w:rFonts w:hint="eastAsia" w:ascii="宋体" w:hAnsi="宋体" w:eastAsia="宋体" w:cs="宋体"/>
          <w:b/>
          <w:bCs/>
          <w:sz w:val="24"/>
          <w:szCs w:val="24"/>
          <w:highlight w:val="none"/>
        </w:rPr>
        <w:t>构成</w:t>
      </w:r>
    </w:p>
    <w:p w14:paraId="450FD3A3">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w:t>
      </w:r>
      <w:r>
        <w:rPr>
          <w:rFonts w:hint="eastAsia" w:ascii="宋体" w:hAnsi="宋体" w:eastAsia="宋体" w:cs="宋体"/>
          <w:b/>
          <w:bCs/>
          <w:sz w:val="24"/>
          <w:szCs w:val="24"/>
          <w:highlight w:val="none"/>
          <w:lang w:eastAsia="zh-CN"/>
        </w:rPr>
        <w:t>竞争性磋商文件</w:t>
      </w:r>
      <w:r>
        <w:rPr>
          <w:rFonts w:hint="eastAsia" w:ascii="宋体" w:hAnsi="宋体" w:eastAsia="宋体" w:cs="宋体"/>
          <w:b/>
          <w:bCs/>
          <w:sz w:val="24"/>
          <w:szCs w:val="24"/>
          <w:highlight w:val="none"/>
        </w:rPr>
        <w:t>组成</w:t>
      </w:r>
    </w:p>
    <w:p w14:paraId="7FA171FA">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磋商邀请公告</w:t>
      </w:r>
    </w:p>
    <w:p w14:paraId="0268001E">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5.2</w:t>
      </w:r>
      <w:r>
        <w:rPr>
          <w:rFonts w:hint="eastAsia" w:ascii="宋体" w:hAnsi="宋体" w:eastAsia="宋体" w:cs="宋体"/>
          <w:sz w:val="24"/>
          <w:szCs w:val="24"/>
          <w:highlight w:val="none"/>
        </w:rPr>
        <w:t>供应商须知</w:t>
      </w:r>
    </w:p>
    <w:p w14:paraId="0F49762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5.3</w:t>
      </w:r>
      <w:r>
        <w:rPr>
          <w:rFonts w:hint="eastAsia" w:ascii="宋体" w:hAnsi="宋体" w:eastAsia="宋体" w:cs="宋体"/>
          <w:sz w:val="24"/>
          <w:szCs w:val="24"/>
          <w:highlight w:val="none"/>
          <w:lang w:val="en-US" w:eastAsia="zh-CN"/>
        </w:rPr>
        <w:t>纪律和职责</w:t>
      </w:r>
    </w:p>
    <w:p w14:paraId="0E1B3ABC">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5.4</w:t>
      </w:r>
      <w:r>
        <w:rPr>
          <w:rFonts w:hint="eastAsia" w:ascii="宋体" w:hAnsi="宋体" w:eastAsia="宋体" w:cs="宋体"/>
          <w:sz w:val="24"/>
          <w:szCs w:val="24"/>
          <w:highlight w:val="none"/>
          <w:lang w:val="en-US" w:eastAsia="zh-CN"/>
        </w:rPr>
        <w:t>评标标准</w:t>
      </w:r>
    </w:p>
    <w:p w14:paraId="52B98F3F">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5.5</w:t>
      </w:r>
      <w:r>
        <w:rPr>
          <w:rFonts w:hint="eastAsia" w:ascii="宋体" w:hAnsi="宋体" w:eastAsia="宋体" w:cs="宋体"/>
          <w:sz w:val="24"/>
          <w:szCs w:val="24"/>
          <w:highlight w:val="none"/>
        </w:rPr>
        <w:t>采购项目需求</w:t>
      </w:r>
    </w:p>
    <w:p w14:paraId="51B57C23">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5.6</w:t>
      </w:r>
      <w:r>
        <w:rPr>
          <w:rFonts w:hint="eastAsia" w:ascii="宋体" w:hAnsi="宋体" w:eastAsia="宋体" w:cs="宋体"/>
          <w:sz w:val="24"/>
          <w:szCs w:val="24"/>
          <w:highlight w:val="none"/>
        </w:rPr>
        <w:t>合同主要条款及格式</w:t>
      </w:r>
    </w:p>
    <w:p w14:paraId="18CF9D5A">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5.7</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格式</w:t>
      </w:r>
    </w:p>
    <w:p w14:paraId="13F963BA">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5.8</w:t>
      </w:r>
      <w:r>
        <w:rPr>
          <w:rFonts w:hint="eastAsia" w:ascii="宋体" w:hAnsi="宋体" w:eastAsia="宋体" w:cs="宋体"/>
          <w:sz w:val="24"/>
          <w:szCs w:val="24"/>
          <w:highlight w:val="none"/>
        </w:rPr>
        <w:t>附件</w:t>
      </w:r>
    </w:p>
    <w:p w14:paraId="411B5BB1">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6.磋商文件的澄清、修改</w:t>
      </w:r>
    </w:p>
    <w:p w14:paraId="495B1A24">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6.1任何要求对磋商文件进行澄清的供应商，应在磋商文件规定的响应性文件提交截止日期五天前按磋商文件中的联系方式以书面形式（如传真等）通知采购代理机构，采购代理机构将及时予以答复；在磋商文件公布期间，采购代理机构可主动对磋商文件进行澄清，磋商文件实质性变动的除外。</w:t>
      </w:r>
    </w:p>
    <w:p w14:paraId="3998A79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624F7F7F">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6.3供应商应在投标截止时间前关注原采购信息发布媒体上有关本招标项目有无变更公告。</w:t>
      </w:r>
    </w:p>
    <w:p w14:paraId="551279E3">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三、投标</w:t>
      </w:r>
    </w:p>
    <w:p w14:paraId="0142E751">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的语言、计量单位、货币</w:t>
      </w:r>
    </w:p>
    <w:p w14:paraId="47727F6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7.1供应商提交的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、技术文件和资料，包括相关说明，以及供应商与采购代理机构就有关投标的所有来往函电均应使用中文。</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中若有英文或其他语言文字的资料，应提供相应的中文翻译资料。对不同文本</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的解释发生异议的，以中文文本为准。</w:t>
      </w:r>
    </w:p>
    <w:p w14:paraId="5948C770">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7.2供应商所使用的计量单位应为国家法定计量单位。</w:t>
      </w:r>
    </w:p>
    <w:p w14:paraId="5E619D7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7.3供应商应用人民币报价</w:t>
      </w:r>
      <w:r>
        <w:rPr>
          <w:rFonts w:hint="eastAsia" w:ascii="宋体" w:hAnsi="宋体" w:eastAsia="宋体" w:cs="宋体"/>
          <w:bCs/>
          <w:sz w:val="24"/>
          <w:szCs w:val="24"/>
          <w:highlight w:val="none"/>
        </w:rPr>
        <w:t>。</w:t>
      </w:r>
    </w:p>
    <w:p w14:paraId="0073261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8、联合投标</w:t>
      </w:r>
    </w:p>
    <w:p w14:paraId="55359216">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本项目不接受联合体投标。</w:t>
      </w:r>
    </w:p>
    <w:p w14:paraId="3543733D">
      <w:pPr>
        <w:keepNext w:val="0"/>
        <w:keepLines w:val="0"/>
        <w:pageBreakBefore w:val="0"/>
        <w:numPr>
          <w:ilvl w:val="0"/>
          <w:numId w:val="1"/>
        </w:numPr>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磋商费用</w:t>
      </w:r>
    </w:p>
    <w:p w14:paraId="0856FB58">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.1供应商应承担所有与准备和参加磋商有关的费用，无论采购结果如何，采购代理和采购人在任何情况下均无义务和责任承担这些费用。</w:t>
      </w:r>
    </w:p>
    <w:p w14:paraId="5616EFD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.2</w:t>
      </w:r>
      <w:r>
        <w:rPr>
          <w:rFonts w:hint="eastAsia" w:ascii="宋体" w:hAnsi="宋体" w:eastAsia="宋体" w:cs="宋体"/>
          <w:b/>
          <w:bCs/>
          <w:color w:val="auto"/>
          <w:sz w:val="24"/>
          <w:szCs w:val="24"/>
          <w:highlight w:val="none"/>
          <w:lang w:val="zh-CN"/>
        </w:rPr>
        <w:t>本次采购，成交供应商招标代理服务费参照【</w:t>
      </w:r>
      <w:r>
        <w:rPr>
          <w:rFonts w:hint="eastAsia" w:cs="宋体"/>
          <w:b/>
          <w:bCs/>
          <w:color w:val="auto"/>
          <w:sz w:val="24"/>
          <w:szCs w:val="24"/>
          <w:highlight w:val="none"/>
          <w:lang w:val="en-US" w:eastAsia="zh-CN"/>
        </w:rPr>
        <w:t>1980</w:t>
      </w:r>
      <w:r>
        <w:rPr>
          <w:rFonts w:hint="eastAsia" w:ascii="宋体" w:hAnsi="宋体" w:eastAsia="宋体" w:cs="宋体"/>
          <w:b/>
          <w:bCs/>
          <w:color w:val="auto"/>
          <w:sz w:val="24"/>
          <w:szCs w:val="24"/>
          <w:highlight w:val="none"/>
          <w:lang w:val="zh-CN"/>
        </w:rPr>
        <w:t>】号文件规定的80%计取</w:t>
      </w:r>
      <w:r>
        <w:rPr>
          <w:rFonts w:hint="eastAsia" w:cs="宋体"/>
          <w:b/>
          <w:bCs/>
          <w:color w:val="auto"/>
          <w:sz w:val="24"/>
          <w:szCs w:val="24"/>
          <w:highlight w:val="none"/>
          <w:lang w:val="zh-CN"/>
        </w:rPr>
        <w:t>，</w:t>
      </w:r>
      <w:r>
        <w:rPr>
          <w:rFonts w:hint="eastAsia" w:ascii="宋体" w:hAnsi="宋体" w:eastAsia="宋体" w:cs="宋体"/>
          <w:b/>
          <w:bCs/>
          <w:color w:val="auto"/>
          <w:sz w:val="24"/>
          <w:szCs w:val="24"/>
          <w:highlight w:val="none"/>
          <w:lang w:val="zh-CN"/>
        </w:rPr>
        <w:t>不足3000元按3000元收取，</w:t>
      </w:r>
      <w:r>
        <w:rPr>
          <w:rFonts w:hint="eastAsia" w:cs="宋体"/>
          <w:b/>
          <w:bCs/>
          <w:color w:val="auto"/>
          <w:sz w:val="24"/>
          <w:szCs w:val="24"/>
          <w:highlight w:val="none"/>
          <w:lang w:val="en-US" w:eastAsia="zh-CN"/>
        </w:rPr>
        <w:t>基数为中标价；</w:t>
      </w:r>
      <w:r>
        <w:rPr>
          <w:rFonts w:hint="eastAsia" w:ascii="宋体" w:hAnsi="宋体" w:eastAsia="宋体" w:cs="宋体"/>
          <w:b/>
          <w:bCs/>
          <w:color w:val="auto"/>
          <w:sz w:val="24"/>
          <w:szCs w:val="24"/>
          <w:highlight w:val="none"/>
          <w:lang w:val="zh-CN"/>
        </w:rPr>
        <w:t>清单编制费参照《江苏省工程造价咨询服务收费指导意见》（苏建价协[2022]7号）文件规定的80%计取</w:t>
      </w:r>
      <w:r>
        <w:rPr>
          <w:rFonts w:hint="eastAsia" w:cs="宋体"/>
          <w:b/>
          <w:bCs/>
          <w:color w:val="auto"/>
          <w:sz w:val="24"/>
          <w:szCs w:val="24"/>
          <w:highlight w:val="none"/>
          <w:lang w:val="zh-CN"/>
        </w:rPr>
        <w:t>，</w:t>
      </w:r>
      <w:r>
        <w:rPr>
          <w:rFonts w:hint="eastAsia" w:ascii="宋体" w:hAnsi="宋体" w:eastAsia="宋体" w:cs="宋体"/>
          <w:b/>
          <w:bCs/>
          <w:color w:val="auto"/>
          <w:sz w:val="24"/>
          <w:szCs w:val="24"/>
          <w:highlight w:val="none"/>
          <w:lang w:val="zh-CN"/>
        </w:rPr>
        <w:t>不足3000元按3000元收取</w:t>
      </w:r>
      <w:r>
        <w:rPr>
          <w:rFonts w:hint="eastAsia" w:cs="宋体"/>
          <w:b/>
          <w:bCs/>
          <w:color w:val="auto"/>
          <w:sz w:val="24"/>
          <w:szCs w:val="24"/>
          <w:highlight w:val="none"/>
          <w:lang w:val="zh-CN"/>
        </w:rPr>
        <w:t>，</w:t>
      </w:r>
      <w:r>
        <w:rPr>
          <w:rFonts w:hint="eastAsia" w:cs="宋体"/>
          <w:b/>
          <w:bCs/>
          <w:color w:val="auto"/>
          <w:sz w:val="24"/>
          <w:szCs w:val="24"/>
          <w:highlight w:val="none"/>
          <w:lang w:val="en-US" w:eastAsia="zh-CN"/>
        </w:rPr>
        <w:t>基础为招标控制价。</w:t>
      </w:r>
    </w:p>
    <w:p w14:paraId="57DA7926">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以上费用不纳入结算依据，由中标单位自行支付，分项报价表中不得出现此项服务报价。必须在领取中标通知书前向采购代理机构支付。</w:t>
      </w:r>
    </w:p>
    <w:p w14:paraId="529D2F9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组成</w:t>
      </w:r>
    </w:p>
    <w:p w14:paraId="04655B05">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10.1供应商应当根据</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要求编制</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应对</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提出的要求和条件作出实质性响应，并在《商务条款偏离表》和《技术条款偏离表》等处逐条标明满足与否。</w:t>
      </w:r>
    </w:p>
    <w:p w14:paraId="4208F67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供应商根据</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的规定和采购项目的实际情况，拟在中标后将中标项目的非主体、非关键性工作分包的，应当在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中载明分包承担主体，分包承担主体应当具备相应资质条件且不得再次分包。</w:t>
      </w:r>
    </w:p>
    <w:p w14:paraId="41A03FE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由商务部分、技术部分、价格部分，以及其他部分组成。</w:t>
      </w:r>
    </w:p>
    <w:p w14:paraId="432AB9D2">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的商务部分</w:t>
      </w:r>
    </w:p>
    <w:p w14:paraId="41271DD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11.1商务部分是证明供应商有资格参加投标和中标后有能力履行合同的文件，这些文件应能满足招标的要求，包括但不限于下列文件，</w:t>
      </w:r>
      <w:r>
        <w:rPr>
          <w:rFonts w:hint="eastAsia" w:ascii="宋体" w:hAnsi="宋体" w:eastAsia="宋体" w:cs="宋体"/>
          <w:b/>
          <w:bCs/>
          <w:sz w:val="24"/>
          <w:szCs w:val="24"/>
          <w:highlight w:val="none"/>
        </w:rPr>
        <w:t>其中加</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rPr>
        <w:t>项目不得有缺失或无效：</w:t>
      </w:r>
    </w:p>
    <w:p w14:paraId="2ED78AA4">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投标函（投标申请及声明）</w:t>
      </w:r>
    </w:p>
    <w:p w14:paraId="73F51945">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身份证复印件、</w:t>
      </w:r>
      <w:r>
        <w:rPr>
          <w:rFonts w:hint="eastAsia" w:ascii="宋体" w:hAnsi="宋体" w:eastAsia="宋体" w:cs="宋体"/>
          <w:sz w:val="24"/>
          <w:szCs w:val="24"/>
          <w:highlight w:val="none"/>
        </w:rPr>
        <w:t>授权委托书</w:t>
      </w:r>
      <w:r>
        <w:rPr>
          <w:rFonts w:hint="eastAsia" w:ascii="宋体" w:hAnsi="宋体" w:eastAsia="宋体" w:cs="宋体"/>
          <w:sz w:val="24"/>
          <w:szCs w:val="24"/>
          <w:highlight w:val="none"/>
          <w:lang w:eastAsia="zh-CN"/>
        </w:rPr>
        <w:t>原件</w:t>
      </w:r>
      <w:r>
        <w:rPr>
          <w:rFonts w:hint="eastAsia" w:ascii="宋体" w:hAnsi="宋体" w:eastAsia="宋体" w:cs="宋体"/>
          <w:sz w:val="24"/>
          <w:szCs w:val="24"/>
          <w:highlight w:val="none"/>
        </w:rPr>
        <w:t>及委托代理人身份证复印件</w:t>
      </w:r>
    </w:p>
    <w:p w14:paraId="0868EDBC">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报价表</w:t>
      </w:r>
    </w:p>
    <w:p w14:paraId="61BDD83B">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项目组成人员一览表</w:t>
      </w:r>
    </w:p>
    <w:p w14:paraId="4C8FD655">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业绩情况一览表</w:t>
      </w:r>
    </w:p>
    <w:p w14:paraId="0AC9E9DC">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商务条款偏离表</w:t>
      </w:r>
    </w:p>
    <w:p w14:paraId="00886DE0">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（8）★满足《中华人民共和国政府采购法政府采购法》第二十二条的相关规定，投标人提供《南京市政府采购供应商信用记录表暨信用承诺书》详见附件。</w:t>
      </w:r>
    </w:p>
    <w:p w14:paraId="1A05C5DC">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（9）中小企业声明函</w:t>
      </w:r>
    </w:p>
    <w:p w14:paraId="729157DF">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（10）残疾人福利性单位声明函（如果有）</w:t>
      </w:r>
    </w:p>
    <w:p w14:paraId="71F7F775">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（11）供应商基本情况表</w:t>
      </w:r>
    </w:p>
    <w:p w14:paraId="05305BC0">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（12）资格预审响应表</w:t>
      </w:r>
    </w:p>
    <w:p w14:paraId="6537DFFC">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的技术部分</w:t>
      </w:r>
    </w:p>
    <w:p w14:paraId="7D56A11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12.1技术部分是证明供应商提供的服务是合格的、并符合</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要求的证明文件，以及对投标报价表中的服务的详细说明，这些文件可以是文字资料、图纸（表）和数据等。</w:t>
      </w:r>
    </w:p>
    <w:p w14:paraId="52FC199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12.2若技术性能无特殊说明，则按国家有关部门最新颁布的标准及规范为准；</w:t>
      </w:r>
    </w:p>
    <w:p w14:paraId="75148356">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12.3提供的服务如与</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要求有不符之处，应说明其差别之所在，并在《技术条款偏离表》中逐条予以说明。</w:t>
      </w:r>
    </w:p>
    <w:p w14:paraId="70DBCBA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要求提供技术资料、文件和有关证明，包括但不限于下列文件</w:t>
      </w:r>
      <w:r>
        <w:rPr>
          <w:rFonts w:hint="eastAsia" w:ascii="宋体" w:hAnsi="宋体" w:eastAsia="宋体" w:cs="宋体"/>
          <w:sz w:val="24"/>
          <w:szCs w:val="24"/>
          <w:highlight w:val="none"/>
          <w:lang w:eastAsia="zh-CN"/>
        </w:rPr>
        <w:t>，</w:t>
      </w:r>
      <w:r>
        <w:rPr>
          <w:rFonts w:hint="eastAsia" w:ascii="宋体" w:hAnsi="宋体" w:eastAsia="宋体" w:cs="宋体"/>
          <w:b/>
          <w:sz w:val="24"/>
          <w:szCs w:val="24"/>
          <w:highlight w:val="none"/>
        </w:rPr>
        <w:t>其中加</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项目不得有缺失或无效</w:t>
      </w:r>
      <w:r>
        <w:rPr>
          <w:rFonts w:hint="eastAsia" w:ascii="宋体" w:hAnsi="宋体" w:eastAsia="宋体" w:cs="宋体"/>
          <w:sz w:val="24"/>
          <w:szCs w:val="24"/>
          <w:highlight w:val="none"/>
          <w:lang w:eastAsia="zh-CN"/>
        </w:rPr>
        <w:t>：</w:t>
      </w:r>
    </w:p>
    <w:p w14:paraId="4E6B8B7C">
      <w:pPr>
        <w:keepNext w:val="0"/>
        <w:keepLines w:val="0"/>
        <w:pageBreakBefore w:val="0"/>
        <w:widowControl/>
        <w:numPr>
          <w:ilvl w:val="0"/>
          <w:numId w:val="2"/>
        </w:numPr>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★技术条款偏离表</w:t>
      </w:r>
    </w:p>
    <w:p w14:paraId="6E59B746">
      <w:pPr>
        <w:keepNext w:val="0"/>
        <w:keepLines w:val="0"/>
        <w:pageBreakBefore w:val="0"/>
        <w:widowControl/>
        <w:numPr>
          <w:ilvl w:val="0"/>
          <w:numId w:val="0"/>
        </w:numPr>
        <w:kinsoku/>
        <w:wordWrap/>
        <w:overflowPunct/>
        <w:topLinePunct w:val="0"/>
        <w:bidi w:val="0"/>
        <w:adjustRightInd w:val="0"/>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（14）投标人任务需要提供的其他相关材料</w:t>
      </w:r>
    </w:p>
    <w:p w14:paraId="06019C3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的价格部分</w:t>
      </w:r>
    </w:p>
    <w:p w14:paraId="4349F9C1">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.1价格部分是对</w:t>
      </w:r>
      <w:r>
        <w:rPr>
          <w:rFonts w:hint="eastAsia" w:ascii="宋体" w:hAnsi="宋体" w:eastAsia="宋体" w:cs="宋体"/>
          <w:sz w:val="24"/>
          <w:szCs w:val="24"/>
          <w:highlight w:val="none"/>
          <w:lang w:val="en-US" w:eastAsia="zh-CN"/>
        </w:rPr>
        <w:t>项目完成的</w:t>
      </w:r>
      <w:r>
        <w:rPr>
          <w:rFonts w:hint="eastAsia" w:ascii="宋体" w:hAnsi="宋体" w:eastAsia="宋体" w:cs="宋体"/>
          <w:sz w:val="24"/>
          <w:szCs w:val="24"/>
          <w:highlight w:val="none"/>
          <w:lang w:val="zh-CN"/>
        </w:rPr>
        <w:t>说明，竞争性磋商文件如没有特别说明的话，对</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lang w:val="zh-CN"/>
        </w:rPr>
        <w:t>仅接受一个价格。</w:t>
      </w:r>
    </w:p>
    <w:p w14:paraId="7033BB43">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.2磋商报价是磋商文件所确定的采购范围内的全部</w:t>
      </w:r>
      <w:r>
        <w:rPr>
          <w:rFonts w:hint="eastAsia" w:ascii="宋体" w:hAnsi="宋体" w:eastAsia="宋体" w:cs="宋体"/>
          <w:sz w:val="24"/>
          <w:szCs w:val="24"/>
          <w:highlight w:val="none"/>
          <w:lang w:val="en-US" w:eastAsia="zh-CN"/>
        </w:rPr>
        <w:t>完成项目</w:t>
      </w:r>
      <w:r>
        <w:rPr>
          <w:rFonts w:hint="eastAsia" w:ascii="宋体" w:hAnsi="宋体" w:eastAsia="宋体" w:cs="宋体"/>
          <w:sz w:val="24"/>
          <w:szCs w:val="24"/>
          <w:highlight w:val="none"/>
          <w:lang w:val="zh-CN"/>
        </w:rPr>
        <w:t>的价格体现。</w:t>
      </w:r>
    </w:p>
    <w:p w14:paraId="34CD3B5B">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报价：包括但不限于人员劳资、交通费、风险评估费等，应包括供应商为完成维修改造直至调试运行的全部费用、利润、税金、政策性文件规定及合同包含内的所有风险、责任等各项应有费用，不论其在采购文件中是否有提及。响应供应商应根据上述因素自行考虑磋商报价。</w:t>
      </w:r>
    </w:p>
    <w:p w14:paraId="71C3F093">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.3供应商应充分考虑市场价格变动，以及项目实施过程中的不可预见因素。如果有漏项，视同让利。</w:t>
      </w:r>
    </w:p>
    <w:p w14:paraId="408A0DB6">
      <w:pPr>
        <w:bidi w:val="0"/>
        <w:spacing w:line="360" w:lineRule="auto"/>
        <w:rPr>
          <w:rFonts w:hint="eastAsia" w:ascii="宋体" w:hAnsi="宋体" w:eastAsia="宋体" w:cs="宋体"/>
          <w:b/>
          <w:bCs/>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.4</w:t>
      </w:r>
      <w:r>
        <w:rPr>
          <w:rFonts w:hint="eastAsia" w:ascii="宋体" w:hAnsi="宋体" w:eastAsia="宋体" w:cs="宋体"/>
          <w:b/>
          <w:bCs/>
          <w:sz w:val="24"/>
          <w:szCs w:val="24"/>
          <w:highlight w:val="none"/>
          <w:lang w:val="zh-CN"/>
        </w:rPr>
        <w:t>本项目有二次磋商报价，经磋商后，如果成交价高于或低于供应商在磋商响应文件报价的话，分项报价同比例调整。</w:t>
      </w:r>
    </w:p>
    <w:p w14:paraId="7179AD85">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.5报价表必须由供应商法定代表人或委托授权人签字或加盖单位公章。如有优惠条款，请单独列明，但不得影响报价，影响整体功能。</w:t>
      </w:r>
    </w:p>
    <w:p w14:paraId="48199BF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w:t>
      </w:r>
      <w:r>
        <w:rPr>
          <w:rFonts w:hint="eastAsia" w:ascii="宋体" w:hAnsi="宋体" w:eastAsia="宋体" w:cs="宋体"/>
          <w:b/>
          <w:bCs/>
          <w:sz w:val="24"/>
          <w:szCs w:val="24"/>
          <w:highlight w:val="none"/>
        </w:rPr>
        <w:t>政府采购提倡公平竞争，反对盲目压价参与磋商，任何盲目压价和低于成本报价将会被拒绝。</w:t>
      </w:r>
    </w:p>
    <w:p w14:paraId="24F25224">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供应商的任何错漏、优惠、竞争性报价不得作为减轻责任、减少服务、增加收费、降低质量的理由。</w:t>
      </w:r>
    </w:p>
    <w:p w14:paraId="0E6CEF49">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val="0"/>
          <w:bCs w:val="0"/>
          <w:highlight w:val="none"/>
          <w:lang w:eastAsia="zh-CN"/>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供应商应在《开标一览表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投标分项报价》等标明提供服务的</w:t>
      </w:r>
      <w:r>
        <w:rPr>
          <w:rFonts w:hint="eastAsia" w:ascii="宋体" w:hAnsi="宋体" w:eastAsia="宋体" w:cs="宋体"/>
          <w:bCs/>
          <w:sz w:val="24"/>
          <w:szCs w:val="24"/>
          <w:highlight w:val="none"/>
        </w:rPr>
        <w:t>总价以及分项报价。供应商系小企业（含小型、微型企业），</w:t>
      </w:r>
      <w:r>
        <w:rPr>
          <w:rFonts w:hint="eastAsia" w:ascii="宋体" w:hAnsi="宋体" w:eastAsia="宋体" w:cs="宋体"/>
          <w:sz w:val="24"/>
          <w:szCs w:val="24"/>
          <w:highlight w:val="none"/>
        </w:rPr>
        <w:t>须在《开标一览表》中注明，如无法划分计算的，将不予认可。</w:t>
      </w:r>
    </w:p>
    <w:p w14:paraId="7D8FCB6F">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14、</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的其他部分</w:t>
      </w:r>
    </w:p>
    <w:p w14:paraId="727DF7F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14.1其他部分由供应商根据编制</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需要提供的其他相关文件。</w:t>
      </w:r>
    </w:p>
    <w:p w14:paraId="3AB6352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15、投标保证金</w:t>
      </w:r>
    </w:p>
    <w:p w14:paraId="0EF1E94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124F6B99">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16、投标有效期</w:t>
      </w:r>
    </w:p>
    <w:p w14:paraId="0018782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16.1自提交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截止之日起</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val="en-US"/>
        </w:rPr>
        <w:t>0</w:t>
      </w:r>
      <w:r>
        <w:rPr>
          <w:rFonts w:hint="eastAsia" w:ascii="宋体" w:hAnsi="宋体" w:eastAsia="宋体" w:cs="宋体"/>
          <w:b/>
          <w:bCs/>
          <w:sz w:val="24"/>
          <w:szCs w:val="24"/>
          <w:highlight w:val="none"/>
        </w:rPr>
        <w:t>日</w:t>
      </w:r>
      <w:r>
        <w:rPr>
          <w:rFonts w:hint="eastAsia" w:ascii="宋体" w:hAnsi="宋体" w:eastAsia="宋体" w:cs="宋体"/>
          <w:sz w:val="24"/>
          <w:szCs w:val="24"/>
          <w:highlight w:val="none"/>
        </w:rPr>
        <w:t>。</w:t>
      </w:r>
    </w:p>
    <w:p w14:paraId="153D5224">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在特殊情况下，在原投标有效期截止之前，采购代理机构可要求供应商同意延长投标有效期，这种要求与答复均以书面形式提交。供应商可拒绝这种要求。接收延长投标有效期的供应商将不会要求和允许修正其投标。</w:t>
      </w:r>
    </w:p>
    <w:p w14:paraId="10B9779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签署</w:t>
      </w:r>
    </w:p>
    <w:p w14:paraId="01B72269">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的正本和副本均由供应商法定代表人或经正式授权并对供应商有约束力的委托代理人用不褪色墨水书写签署。</w:t>
      </w:r>
    </w:p>
    <w:p w14:paraId="70752DF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的编制、密封、递交</w:t>
      </w:r>
    </w:p>
    <w:p w14:paraId="547E297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18.1</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的编制应按照</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统一规定的格式，供应商可根据自身实际情况进行添加调整。</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统一用A4规格（相关设计方案、图纸除外）幅面打印、装订成册并编制目录，由于编排混乱导致</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被误读或查找不到，责任由供应商承担。</w:t>
      </w:r>
    </w:p>
    <w:p w14:paraId="1BCEDF4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18.2</w:t>
      </w:r>
      <w:r>
        <w:rPr>
          <w:rFonts w:hint="eastAsia" w:ascii="宋体" w:hAnsi="宋体" w:eastAsia="宋体" w:cs="宋体"/>
          <w:sz w:val="24"/>
          <w:szCs w:val="24"/>
          <w:highlight w:val="none"/>
        </w:rPr>
        <w:t>供应商应在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中写清相应的项目采购编号、项目名称、供应商全称、地址、电话、传真等，如有必要，可以增加附页，作为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的组成部分。</w:t>
      </w:r>
    </w:p>
    <w:p w14:paraId="4E23F08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供应商应将</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用档案袋或封套密封，封面并注明项目采购编号、项目名称、供应商地址、供应商全称等。</w:t>
      </w:r>
    </w:p>
    <w:p w14:paraId="11559BC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18.4</w:t>
      </w:r>
      <w:r>
        <w:rPr>
          <w:rFonts w:hint="eastAsia" w:ascii="宋体" w:hAnsi="宋体" w:eastAsia="宋体" w:cs="宋体"/>
          <w:sz w:val="24"/>
          <w:szCs w:val="24"/>
          <w:highlight w:val="none"/>
        </w:rPr>
        <w:t>档案袋或封套内应提供纸质版</w:t>
      </w:r>
      <w:r>
        <w:rPr>
          <w:rFonts w:hint="eastAsia" w:ascii="宋体" w:hAnsi="宋体" w:eastAsia="宋体" w:cs="宋体"/>
          <w:sz w:val="24"/>
          <w:szCs w:val="24"/>
          <w:highlight w:val="none"/>
          <w:lang w:eastAsia="zh-CN"/>
        </w:rPr>
        <w:t>磋商响应文件一式叁份</w:t>
      </w:r>
      <w:r>
        <w:rPr>
          <w:rFonts w:hint="eastAsia" w:ascii="宋体" w:hAnsi="宋体" w:eastAsia="宋体" w:cs="宋体"/>
          <w:sz w:val="24"/>
          <w:szCs w:val="24"/>
          <w:highlight w:val="none"/>
        </w:rPr>
        <w:t>（壹份正本、</w:t>
      </w:r>
      <w:r>
        <w:rPr>
          <w:rFonts w:hint="eastAsia" w:ascii="宋体" w:hAnsi="宋体" w:eastAsia="宋体" w:cs="宋体"/>
          <w:sz w:val="24"/>
          <w:szCs w:val="24"/>
          <w:highlight w:val="none"/>
          <w:lang w:eastAsia="zh-CN"/>
        </w:rPr>
        <w:t>贰份副本</w:t>
      </w:r>
      <w:r>
        <w:rPr>
          <w:rFonts w:hint="eastAsia" w:ascii="宋体" w:hAnsi="宋体" w:eastAsia="宋体" w:cs="宋体"/>
          <w:sz w:val="24"/>
          <w:szCs w:val="24"/>
          <w:highlight w:val="none"/>
        </w:rPr>
        <w:t>），电子版</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壹份（一般应为PDF格式、U盘形式，随纸质正本文件一并提交）。</w:t>
      </w:r>
      <w:r>
        <w:rPr>
          <w:rFonts w:hint="eastAsia" w:ascii="宋体" w:hAnsi="宋体" w:eastAsia="宋体" w:cs="宋体"/>
          <w:sz w:val="24"/>
          <w:szCs w:val="24"/>
          <w:highlight w:val="none"/>
          <w:lang w:val="en-US" w:eastAsia="zh-CN"/>
        </w:rPr>
        <w:t>电子版与纸质版正本内容需保持一致</w:t>
      </w:r>
      <w:r>
        <w:rPr>
          <w:rFonts w:hint="eastAsia" w:ascii="宋体" w:hAnsi="宋体" w:eastAsia="宋体" w:cs="宋体"/>
          <w:sz w:val="24"/>
          <w:szCs w:val="24"/>
          <w:highlight w:val="none"/>
        </w:rPr>
        <w:t>。电子版文件用于存档，供应商须承担前述不一致造成的不利后果。每份纸质文件须清楚标明“正本”或“副本”字样。</w:t>
      </w:r>
    </w:p>
    <w:p w14:paraId="7AFCC1BD">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不应有涂改、增删之处，如必须修改时，修改处必须有供应商公章或供应商法定代表人或授权代表签字，但技术标部分除外，任何情况下不予修改。</w:t>
      </w:r>
    </w:p>
    <w:p w14:paraId="00DF251F">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供应商应当在</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的截止时间前，将密封的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送达指定投标地点。</w:t>
      </w:r>
    </w:p>
    <w:p w14:paraId="32C1BF1F">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19、有下列情形之一的</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将拒收：</w:t>
      </w:r>
    </w:p>
    <w:p w14:paraId="0A815A3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19.1</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未按投标邀请规定的要求提供“南京市政府采购供应商信用记录表”的；</w:t>
      </w:r>
    </w:p>
    <w:p w14:paraId="5D58B6B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rPr>
        <w:t>19.</w:t>
      </w:r>
      <w:r>
        <w:rPr>
          <w:rFonts w:hint="eastAsia" w:ascii="宋体" w:hAnsi="宋体" w:eastAsia="宋体" w:cs="宋体"/>
          <w:b/>
          <w:bCs/>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逾期送达或者未按照</w:t>
      </w:r>
      <w:r>
        <w:rPr>
          <w:rFonts w:hint="eastAsia" w:ascii="宋体" w:hAnsi="宋体" w:eastAsia="宋体" w:cs="宋体"/>
          <w:b/>
          <w:bCs/>
          <w:sz w:val="24"/>
          <w:szCs w:val="24"/>
          <w:highlight w:val="none"/>
          <w:lang w:val="en-US" w:eastAsia="zh-CN"/>
        </w:rPr>
        <w:t>竞争性磋商文件</w:t>
      </w:r>
      <w:r>
        <w:rPr>
          <w:rFonts w:hint="eastAsia" w:ascii="宋体" w:hAnsi="宋体" w:eastAsia="宋体" w:cs="宋体"/>
          <w:b/>
          <w:bCs/>
          <w:sz w:val="24"/>
          <w:szCs w:val="24"/>
          <w:highlight w:val="none"/>
          <w:lang w:val="en-US"/>
        </w:rPr>
        <w:t>要求密封的</w:t>
      </w:r>
      <w:r>
        <w:rPr>
          <w:rFonts w:hint="eastAsia" w:ascii="宋体" w:hAnsi="宋体" w:eastAsia="宋体" w:cs="宋体"/>
          <w:b/>
          <w:bCs/>
          <w:sz w:val="24"/>
          <w:szCs w:val="24"/>
          <w:highlight w:val="none"/>
          <w:lang w:val="en-US" w:eastAsia="zh-CN"/>
        </w:rPr>
        <w:t>磋商响应文件</w:t>
      </w:r>
      <w:r>
        <w:rPr>
          <w:rFonts w:hint="eastAsia" w:ascii="宋体" w:hAnsi="宋体" w:eastAsia="宋体" w:cs="宋体"/>
          <w:b/>
          <w:bCs/>
          <w:sz w:val="24"/>
          <w:szCs w:val="24"/>
          <w:highlight w:val="none"/>
          <w:lang w:val="en-US"/>
        </w:rPr>
        <w:t>的。</w:t>
      </w:r>
    </w:p>
    <w:p w14:paraId="446C3589">
      <w:pPr>
        <w:pStyle w:val="85"/>
        <w:spacing w:line="360" w:lineRule="auto"/>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19.3</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开标一览表未单独密封。</w:t>
      </w:r>
    </w:p>
    <w:p w14:paraId="7FA389C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20、</w:t>
      </w:r>
      <w:r>
        <w:rPr>
          <w:rFonts w:hint="eastAsia" w:ascii="宋体" w:hAnsi="宋体" w:eastAsia="宋体" w:cs="宋体"/>
          <w:b/>
          <w:bCs/>
          <w:sz w:val="24"/>
          <w:szCs w:val="24"/>
          <w:highlight w:val="none"/>
          <w:lang w:val="en-US" w:eastAsia="zh-CN"/>
        </w:rPr>
        <w:t>磋商响应文件</w:t>
      </w:r>
      <w:r>
        <w:rPr>
          <w:rFonts w:hint="eastAsia" w:ascii="宋体" w:hAnsi="宋体" w:eastAsia="宋体" w:cs="宋体"/>
          <w:b/>
          <w:bCs/>
          <w:sz w:val="24"/>
          <w:szCs w:val="24"/>
          <w:highlight w:val="none"/>
          <w:lang w:val="en-US"/>
        </w:rPr>
        <w:t>的修改和撤回</w:t>
      </w:r>
    </w:p>
    <w:p w14:paraId="75867276">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20.1供应商在投标截止时间前，可以对所递交的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进行补充、修改或者撤回，并书面通知采购代理机构。补充、修改的内容应当按照</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要求签署、盖章、密封后，作为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的组成部分。</w:t>
      </w:r>
    </w:p>
    <w:p w14:paraId="4E35A6D7">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投标截止时间之后且在投标有效期内，</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不得撤回；</w:t>
      </w:r>
    </w:p>
    <w:p w14:paraId="5D606E56">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四、</w:t>
      </w:r>
      <w:r>
        <w:rPr>
          <w:rFonts w:hint="eastAsia" w:ascii="宋体" w:hAnsi="宋体" w:eastAsia="宋体" w:cs="宋体"/>
          <w:b/>
          <w:bCs/>
          <w:sz w:val="24"/>
          <w:szCs w:val="24"/>
          <w:highlight w:val="none"/>
          <w:lang w:val="en-US" w:eastAsia="zh-CN"/>
        </w:rPr>
        <w:t>磋商响应文件</w:t>
      </w:r>
      <w:r>
        <w:rPr>
          <w:rFonts w:hint="eastAsia" w:ascii="宋体" w:hAnsi="宋体" w:eastAsia="宋体" w:cs="宋体"/>
          <w:b/>
          <w:bCs/>
          <w:sz w:val="24"/>
          <w:szCs w:val="24"/>
          <w:highlight w:val="none"/>
          <w:lang w:val="en-US"/>
        </w:rPr>
        <w:t>的接收、开标、评标与确定中标人</w:t>
      </w:r>
    </w:p>
    <w:p w14:paraId="61AC3D5F">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21、</w:t>
      </w:r>
      <w:r>
        <w:rPr>
          <w:rFonts w:hint="eastAsia" w:ascii="宋体" w:hAnsi="宋体" w:eastAsia="宋体" w:cs="宋体"/>
          <w:b/>
          <w:bCs/>
          <w:sz w:val="24"/>
          <w:szCs w:val="24"/>
          <w:highlight w:val="none"/>
          <w:lang w:val="en-US" w:eastAsia="zh-CN"/>
        </w:rPr>
        <w:t>磋商响应文件</w:t>
      </w:r>
      <w:r>
        <w:rPr>
          <w:rFonts w:hint="eastAsia" w:ascii="宋体" w:hAnsi="宋体" w:eastAsia="宋体" w:cs="宋体"/>
          <w:b/>
          <w:bCs/>
          <w:sz w:val="24"/>
          <w:szCs w:val="24"/>
          <w:highlight w:val="none"/>
          <w:lang w:val="en-US"/>
        </w:rPr>
        <w:t>的接收</w:t>
      </w:r>
    </w:p>
    <w:p w14:paraId="3A2CD10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21.1采购代理机构收到</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后，将现场如实记载</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的送达时间和密封情况，签收保存。</w:t>
      </w:r>
    </w:p>
    <w:p w14:paraId="5FDAD594">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21.2任何单位和个人不得在开标前开启</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w:t>
      </w:r>
    </w:p>
    <w:p w14:paraId="773F334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2</w:t>
      </w:r>
      <w:r>
        <w:rPr>
          <w:rFonts w:hint="eastAsia" w:ascii="宋体" w:hAnsi="宋体" w:eastAsia="宋体" w:cs="宋体"/>
          <w:b/>
          <w:bCs/>
          <w:sz w:val="24"/>
          <w:szCs w:val="24"/>
          <w:highlight w:val="none"/>
        </w:rPr>
        <w:t>、开标</w:t>
      </w:r>
    </w:p>
    <w:p w14:paraId="6A84F1C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.1采购代理机构将在</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确定的时间和地点进行公开开标。供应商应委派代表准时参加，参加开标的代表须签名报到以证明其出席。</w:t>
      </w:r>
    </w:p>
    <w:p w14:paraId="5DE3E27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22.2采购代理机构将对开标、评标现场活动进行全程录音录像，音像资料将作为采购文件一并存档。</w:t>
      </w:r>
    </w:p>
    <w:p w14:paraId="7D191B5E">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22.3</w:t>
      </w:r>
      <w:r>
        <w:rPr>
          <w:rFonts w:hint="eastAsia" w:ascii="宋体" w:hAnsi="宋体" w:eastAsia="宋体" w:cs="宋体"/>
          <w:sz w:val="24"/>
          <w:szCs w:val="24"/>
          <w:highlight w:val="none"/>
        </w:rPr>
        <w:t>开标活动由采购代理机构主持并邀请各签到供应商参加。</w:t>
      </w:r>
    </w:p>
    <w:p w14:paraId="1436BF79">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22.4开标时，采购代理机构将邀请供应商或者其推选的代表检查</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的密封情况；经确认无误后，由采购代理机构工作人员当众拆封，宣布供应商名称以及</w:t>
      </w:r>
      <w:r>
        <w:rPr>
          <w:rFonts w:hint="eastAsia" w:ascii="宋体" w:hAnsi="宋体" w:eastAsia="宋体" w:cs="宋体"/>
          <w:sz w:val="24"/>
          <w:szCs w:val="24"/>
          <w:highlight w:val="none"/>
          <w:lang w:val="en-US" w:eastAsia="zh-CN"/>
        </w:rPr>
        <w:t>竞争性磋商文件</w:t>
      </w:r>
      <w:r>
        <w:rPr>
          <w:rFonts w:hint="eastAsia" w:ascii="宋体" w:hAnsi="宋体" w:eastAsia="宋体" w:cs="宋体"/>
          <w:sz w:val="24"/>
          <w:szCs w:val="24"/>
          <w:highlight w:val="none"/>
          <w:lang w:val="en-US"/>
        </w:rPr>
        <w:t>规定的需要宣布的其他内容。</w:t>
      </w:r>
    </w:p>
    <w:p w14:paraId="403AFF50">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22.5</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报价出现前后不一致的，按照下列规定修正：</w:t>
      </w:r>
    </w:p>
    <w:p w14:paraId="1D97A630">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开标一览表内容与</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中相应内容不一致的，以开标一览表为准；</w:t>
      </w:r>
    </w:p>
    <w:p w14:paraId="2F61701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）大写金额和小写金额不一致的，以大写金额为准；</w:t>
      </w:r>
    </w:p>
    <w:p w14:paraId="2DB18B4C">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）单价金额小数点或者百分比有明显错位的，以开标一览表的总价为准，并修改单价；</w:t>
      </w:r>
    </w:p>
    <w:p w14:paraId="4B536D40">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）总价金额与按单价汇总金额不一致的，以单价金额计算结果为准。</w:t>
      </w:r>
    </w:p>
    <w:p w14:paraId="442EFA46">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）同时出现两种以上不一致的，按照前款规定的顺序修正。修正后的报价按照本</w:t>
      </w:r>
      <w:r>
        <w:rPr>
          <w:rFonts w:hint="eastAsia" w:ascii="宋体" w:hAnsi="宋体" w:eastAsia="宋体" w:cs="宋体"/>
          <w:sz w:val="24"/>
          <w:szCs w:val="24"/>
          <w:highlight w:val="none"/>
          <w:lang w:eastAsia="zh-CN"/>
        </w:rPr>
        <w:t>章</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.2.3要求的规定经供应商确认后产生约束力，供应商不确认的，其投标无效。</w:t>
      </w:r>
    </w:p>
    <w:p w14:paraId="06E0DFC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未宣读开标一览表等实质性内容，评标时不予承认。</w:t>
      </w:r>
    </w:p>
    <w:p w14:paraId="02632201">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22.7</w:t>
      </w:r>
      <w:r>
        <w:rPr>
          <w:rFonts w:hint="eastAsia" w:ascii="宋体" w:hAnsi="宋体" w:eastAsia="宋体" w:cs="宋体"/>
          <w:sz w:val="24"/>
          <w:szCs w:val="24"/>
          <w:highlight w:val="none"/>
        </w:rPr>
        <w:t>开标过程由采购代理机构负责记录，由参加开标的各供应商代表和相关工作人员签字确认后随采购文件一并存档。供应商代表对开标过程和开标记录有疑义，以及认为采购人、采购代理机构相关工作人员有需要回避的情形的，应当场提出询问或者回避申请。采购人、采购代理机构会对供应商代表提出的询问或者回避申请及时处理。</w:t>
      </w:r>
    </w:p>
    <w:p w14:paraId="3078879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22.8</w:t>
      </w:r>
      <w:r>
        <w:rPr>
          <w:rFonts w:hint="eastAsia" w:ascii="宋体" w:hAnsi="宋体" w:eastAsia="宋体" w:cs="宋体"/>
          <w:sz w:val="24"/>
          <w:szCs w:val="24"/>
          <w:highlight w:val="none"/>
        </w:rPr>
        <w:t>供应商未参加开标的，视同认可开标结果。</w:t>
      </w:r>
    </w:p>
    <w:p w14:paraId="26F9EB72">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投标截止时间结束后参加投标的供应商不足三家的，除采购任务取消情形外，采购代理机构报经监管部门批准后，可变更为竞争性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或者单一来源方式采购。本次</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中对供应商资格条件要求、技术要求和商务等要求，将作为竞争性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或者单一来源方式采购的基本要求和</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依据。原评标委员会改为</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小组，并根据政府采购法等法律法规进行</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。参加投标的供应商，根据自愿原则，选择参加竞争性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或单一来源方式采购。</w:t>
      </w:r>
    </w:p>
    <w:p w14:paraId="608115FF">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、评标</w:t>
      </w:r>
    </w:p>
    <w:p w14:paraId="2E8CA1F9">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.1评标组织</w:t>
      </w:r>
    </w:p>
    <w:p w14:paraId="76ADAB0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.1.1评标工作由采购代理机构负责组织，具体评标事务由依法组建的评标委员会负责，并独立履行下列职责：</w:t>
      </w:r>
    </w:p>
    <w:p w14:paraId="08FEDFDC">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）审查、评价</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是否符合</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的商务、技术等实质性要求；</w:t>
      </w:r>
    </w:p>
    <w:p w14:paraId="47049954">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）要求供应商对</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有关事项作出澄清或者说明；</w:t>
      </w:r>
    </w:p>
    <w:p w14:paraId="641E587B">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进行比较和评价；</w:t>
      </w:r>
    </w:p>
    <w:p w14:paraId="79092E6F">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）确定中标候选人名单，以及根据采购人委托直接确定中标人；</w:t>
      </w:r>
    </w:p>
    <w:p w14:paraId="4BDDBA0A">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）向采购人、采购代理机构或者有关部门报告评标中发现的违法行为。</w:t>
      </w:r>
    </w:p>
    <w:p w14:paraId="0379ACA3">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.1.2评标委员会由采购人代表及财政部门设立的政府采购评审专家库中随机方式抽取的评审专家组成，独立开展评审工作。</w:t>
      </w:r>
    </w:p>
    <w:p w14:paraId="3AA33442">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.2评标程序</w:t>
      </w:r>
    </w:p>
    <w:p w14:paraId="5B494525">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rPr>
        <w:t>3</w:t>
      </w:r>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的资格性检查。</w:t>
      </w:r>
      <w:r>
        <w:rPr>
          <w:rFonts w:hint="eastAsia" w:ascii="宋体" w:hAnsi="宋体" w:eastAsia="宋体" w:cs="宋体"/>
          <w:bCs/>
          <w:sz w:val="24"/>
          <w:szCs w:val="24"/>
          <w:highlight w:val="none"/>
        </w:rPr>
        <w:t>开标结束后，由采购人或者采购代理机构根据法律法规和</w:t>
      </w:r>
      <w:r>
        <w:rPr>
          <w:rFonts w:hint="eastAsia" w:ascii="宋体" w:hAnsi="宋体" w:eastAsia="宋体" w:cs="宋体"/>
          <w:bCs/>
          <w:sz w:val="24"/>
          <w:szCs w:val="24"/>
          <w:highlight w:val="none"/>
          <w:lang w:eastAsia="zh-CN"/>
        </w:rPr>
        <w:t>竞争性磋商文件</w:t>
      </w:r>
      <w:r>
        <w:rPr>
          <w:rFonts w:hint="eastAsia" w:ascii="宋体" w:hAnsi="宋体" w:eastAsia="宋体" w:cs="宋体"/>
          <w:bCs/>
          <w:sz w:val="24"/>
          <w:szCs w:val="24"/>
          <w:highlight w:val="none"/>
        </w:rPr>
        <w:t>的规定依法对供应商的资格进行审查</w:t>
      </w:r>
      <w:r>
        <w:rPr>
          <w:rFonts w:hint="eastAsia" w:ascii="宋体" w:hAnsi="宋体" w:eastAsia="宋体" w:cs="宋体"/>
          <w:sz w:val="24"/>
          <w:szCs w:val="24"/>
          <w:highlight w:val="none"/>
        </w:rPr>
        <w:t>，以确定供应商是否具备投标资格。</w:t>
      </w:r>
    </w:p>
    <w:p w14:paraId="31D9CBDB">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有下列情况之一的，在资格性检查时按照投标无效处理：</w:t>
      </w:r>
    </w:p>
    <w:p w14:paraId="4661010F">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rPr>
        <w:t>（1）本章</w:t>
      </w:r>
      <w:r>
        <w:rPr>
          <w:rFonts w:hint="eastAsia" w:ascii="宋体" w:hAnsi="宋体" w:eastAsia="宋体" w:cs="宋体"/>
          <w:b/>
          <w:bCs/>
          <w:sz w:val="24"/>
          <w:szCs w:val="24"/>
          <w:highlight w:val="none"/>
        </w:rPr>
        <w:t>11</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lang w:val="en-US" w:eastAsia="zh-CN"/>
        </w:rPr>
        <w:t>和12.1</w:t>
      </w:r>
      <w:r>
        <w:rPr>
          <w:rFonts w:hint="eastAsia" w:ascii="宋体" w:hAnsi="宋体" w:eastAsia="宋体" w:cs="宋体"/>
          <w:b/>
          <w:bCs/>
          <w:sz w:val="24"/>
          <w:szCs w:val="24"/>
          <w:highlight w:val="none"/>
          <w:lang w:val="en-US"/>
        </w:rPr>
        <w:t>加</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项要求提供的证明材料缺失或无效的；</w:t>
      </w:r>
    </w:p>
    <w:p w14:paraId="6C0A3B25">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rPr>
        <w:t>3</w:t>
      </w:r>
      <w:r>
        <w:rPr>
          <w:rFonts w:hint="eastAsia" w:ascii="宋体" w:hAnsi="宋体" w:eastAsia="宋体" w:cs="宋体"/>
          <w:b/>
          <w:sz w:val="24"/>
          <w:szCs w:val="24"/>
          <w:highlight w:val="none"/>
        </w:rPr>
        <w:t>.2.2</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的符合性检查</w:t>
      </w:r>
      <w:r>
        <w:rPr>
          <w:rFonts w:hint="eastAsia" w:ascii="宋体" w:hAnsi="宋体" w:eastAsia="宋体" w:cs="宋体"/>
          <w:sz w:val="24"/>
          <w:szCs w:val="24"/>
          <w:highlight w:val="none"/>
        </w:rPr>
        <w:t>。评标委员会应当对符合资格的供应商的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进行符合性审查，以确定其是否满足</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的实质性要求，</w:t>
      </w:r>
      <w:r>
        <w:rPr>
          <w:rFonts w:hint="eastAsia" w:ascii="宋体" w:hAnsi="宋体" w:eastAsia="宋体" w:cs="宋体"/>
          <w:b/>
          <w:bCs/>
          <w:sz w:val="24"/>
          <w:szCs w:val="24"/>
          <w:highlight w:val="none"/>
        </w:rPr>
        <w:t>实质性要求是指本采购文件第</w:t>
      </w:r>
      <w:r>
        <w:rPr>
          <w:rFonts w:hint="eastAsia" w:cs="宋体"/>
          <w:b/>
          <w:bCs/>
          <w:sz w:val="24"/>
          <w:szCs w:val="24"/>
          <w:highlight w:val="none"/>
          <w:lang w:val="en-US" w:eastAsia="zh-CN"/>
        </w:rPr>
        <w:t>四</w:t>
      </w:r>
      <w:r>
        <w:rPr>
          <w:rFonts w:hint="eastAsia" w:ascii="宋体" w:hAnsi="宋体" w:eastAsia="宋体" w:cs="宋体"/>
          <w:b/>
          <w:bCs/>
          <w:sz w:val="24"/>
          <w:szCs w:val="24"/>
          <w:highlight w:val="none"/>
        </w:rPr>
        <w:t>章采购项目需求中所有要求。</w:t>
      </w:r>
    </w:p>
    <w:p w14:paraId="239A9647">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有下列情况之一的，在符合性检查时按照投标无效处理：</w:t>
      </w:r>
    </w:p>
    <w:p w14:paraId="0CC42943">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（1）本章加</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项要求提供的证明材料缺失或无效的；</w:t>
      </w:r>
    </w:p>
    <w:p w14:paraId="5716F95E">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w:t>
      </w:r>
      <w:r>
        <w:rPr>
          <w:rFonts w:hint="eastAsia" w:ascii="宋体" w:hAnsi="宋体" w:eastAsia="宋体" w:cs="宋体"/>
          <w:b/>
          <w:bCs/>
          <w:sz w:val="24"/>
          <w:szCs w:val="24"/>
          <w:highlight w:val="none"/>
          <w:lang w:val="en-US" w:eastAsia="zh-CN"/>
        </w:rPr>
        <w:t>磋商响应文件</w:t>
      </w:r>
      <w:r>
        <w:rPr>
          <w:rFonts w:hint="eastAsia" w:ascii="宋体" w:hAnsi="宋体" w:eastAsia="宋体" w:cs="宋体"/>
          <w:b/>
          <w:bCs/>
          <w:sz w:val="24"/>
          <w:szCs w:val="24"/>
          <w:highlight w:val="none"/>
          <w:lang w:val="en-US"/>
        </w:rPr>
        <w:t>中未响应采购项目需求中规定要求的实质性要求的；</w:t>
      </w:r>
      <w:bookmarkStart w:id="637" w:name="_GoBack"/>
      <w:bookmarkEnd w:id="637"/>
    </w:p>
    <w:p w14:paraId="37736FB4">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）不同供应商的</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由同一单位或者个人编制；</w:t>
      </w:r>
    </w:p>
    <w:p w14:paraId="13DAB41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4</w:t>
      </w:r>
      <w:r>
        <w:rPr>
          <w:rFonts w:hint="eastAsia" w:ascii="宋体" w:hAnsi="宋体" w:eastAsia="宋体" w:cs="宋体"/>
          <w:b/>
          <w:bCs/>
          <w:sz w:val="24"/>
          <w:szCs w:val="24"/>
          <w:highlight w:val="none"/>
        </w:rPr>
        <w:t>）不同供应商委托同一单位或者个人办理投标事宜；</w:t>
      </w:r>
    </w:p>
    <w:p w14:paraId="57F01DB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5</w:t>
      </w:r>
      <w:r>
        <w:rPr>
          <w:rFonts w:hint="eastAsia" w:ascii="宋体" w:hAnsi="宋体" w:eastAsia="宋体" w:cs="宋体"/>
          <w:b/>
          <w:bCs/>
          <w:sz w:val="24"/>
          <w:szCs w:val="24"/>
          <w:highlight w:val="none"/>
        </w:rPr>
        <w:t>）不同供应商的</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载明的项目管理成员或者联系人员为同一人；</w:t>
      </w:r>
    </w:p>
    <w:p w14:paraId="6E4BE3C0">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6</w:t>
      </w:r>
      <w:r>
        <w:rPr>
          <w:rFonts w:hint="eastAsia" w:ascii="宋体" w:hAnsi="宋体" w:eastAsia="宋体" w:cs="宋体"/>
          <w:b/>
          <w:bCs/>
          <w:sz w:val="24"/>
          <w:szCs w:val="24"/>
          <w:highlight w:val="none"/>
        </w:rPr>
        <w:t>）不同供应商的</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异常一致或者投标报价呈规律性差异；</w:t>
      </w:r>
    </w:p>
    <w:p w14:paraId="3E1C11E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）不同供应商的</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相互混装；</w:t>
      </w:r>
    </w:p>
    <w:p w14:paraId="7005A6E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）报价超过</w:t>
      </w:r>
      <w:r>
        <w:rPr>
          <w:rFonts w:hint="eastAsia" w:ascii="宋体" w:hAnsi="宋体" w:eastAsia="宋体" w:cs="宋体"/>
          <w:b/>
          <w:bCs/>
          <w:sz w:val="24"/>
          <w:szCs w:val="24"/>
          <w:highlight w:val="none"/>
          <w:lang w:eastAsia="zh-CN"/>
        </w:rPr>
        <w:t>竞争性磋商文件</w:t>
      </w:r>
      <w:r>
        <w:rPr>
          <w:rFonts w:hint="eastAsia" w:ascii="宋体" w:hAnsi="宋体" w:eastAsia="宋体" w:cs="宋体"/>
          <w:b/>
          <w:bCs/>
          <w:sz w:val="24"/>
          <w:szCs w:val="24"/>
          <w:highlight w:val="none"/>
        </w:rPr>
        <w:t>中规定的项目预算或者最高限价的；</w:t>
      </w:r>
    </w:p>
    <w:p w14:paraId="1BEE941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含有采购人不能接受的附加条件的；</w:t>
      </w:r>
    </w:p>
    <w:p w14:paraId="2619B6F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）不同供应商的法定代表人或委托代理人有夫妻、直系血亲关系的；</w:t>
      </w:r>
    </w:p>
    <w:p w14:paraId="44CC493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）不同供应商的负责人为同一人或者存在控股、管理关系的；</w:t>
      </w:r>
    </w:p>
    <w:p w14:paraId="55A8EFB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）不同供应商的委托代理人(或法定代表人、项目经理、项目总监、项目负责人等)在采购文件发布日上月至投标截止日当月在同一单位缴纳社会保险的；</w:t>
      </w:r>
    </w:p>
    <w:p w14:paraId="4521421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供应商具有《南京市政府采购供应商信用管理工作暂行办法》宁财规</w:t>
      </w:r>
      <w:r>
        <w:rPr>
          <w:rFonts w:hint="eastAsia" w:ascii="宋体" w:hAnsi="宋体" w:eastAsia="宋体" w:cs="宋体"/>
          <w:b/>
          <w:bCs/>
          <w:sz w:val="24"/>
          <w:szCs w:val="24"/>
          <w:highlight w:val="none"/>
          <w:lang w:eastAsia="zh-CN"/>
        </w:rPr>
        <w:t>〔2018〕10号</w:t>
      </w:r>
      <w:r>
        <w:rPr>
          <w:rFonts w:hint="eastAsia" w:ascii="宋体" w:hAnsi="宋体" w:eastAsia="宋体" w:cs="宋体"/>
          <w:b/>
          <w:bCs/>
          <w:sz w:val="24"/>
          <w:szCs w:val="24"/>
          <w:highlight w:val="none"/>
        </w:rPr>
        <w:t>第十一条、十二条所列严重失信行为的；</w:t>
      </w:r>
    </w:p>
    <w:p w14:paraId="150CFB6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）电子标书与正本纸质文件不一致，内容残缺、文档打不开。</w:t>
      </w:r>
    </w:p>
    <w:p w14:paraId="799931A1">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lang w:eastAsia="zh-CN"/>
        </w:rPr>
        <w:t>）法律法规</w:t>
      </w:r>
      <w:r>
        <w:rPr>
          <w:rFonts w:hint="eastAsia" w:ascii="宋体" w:hAnsi="宋体" w:eastAsia="宋体" w:cs="宋体"/>
          <w:b/>
          <w:bCs/>
          <w:sz w:val="24"/>
          <w:szCs w:val="24"/>
          <w:highlight w:val="none"/>
        </w:rPr>
        <w:t>和</w:t>
      </w:r>
      <w:r>
        <w:rPr>
          <w:rFonts w:hint="eastAsia" w:ascii="宋体" w:hAnsi="宋体" w:eastAsia="宋体" w:cs="宋体"/>
          <w:b/>
          <w:bCs/>
          <w:sz w:val="24"/>
          <w:szCs w:val="24"/>
          <w:highlight w:val="none"/>
          <w:lang w:eastAsia="zh-CN"/>
        </w:rPr>
        <w:t>竞争性磋商文件</w:t>
      </w:r>
      <w:r>
        <w:rPr>
          <w:rFonts w:hint="eastAsia" w:ascii="宋体" w:hAnsi="宋体" w:eastAsia="宋体" w:cs="宋体"/>
          <w:b/>
          <w:bCs/>
          <w:sz w:val="24"/>
          <w:szCs w:val="24"/>
          <w:highlight w:val="none"/>
        </w:rPr>
        <w:t>规定的其他无效情形。</w:t>
      </w:r>
    </w:p>
    <w:p w14:paraId="5D2B6968">
      <w:pPr>
        <w:pStyle w:val="44"/>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.2.2.</w:t>
      </w:r>
      <w:r>
        <w:rPr>
          <w:rFonts w:hint="eastAsia" w:ascii="宋体" w:hAnsi="宋体" w:eastAsia="宋体" w:cs="宋体"/>
          <w:bCs/>
          <w:sz w:val="24"/>
          <w:szCs w:val="24"/>
          <w:highlight w:val="none"/>
          <w:lang w:val="en-US"/>
        </w:rPr>
        <w:t>1</w:t>
      </w:r>
      <w:r>
        <w:rPr>
          <w:rFonts w:hint="eastAsia" w:ascii="宋体" w:hAnsi="宋体" w:eastAsia="宋体" w:cs="宋体"/>
          <w:sz w:val="24"/>
          <w:szCs w:val="24"/>
          <w:highlight w:val="none"/>
        </w:rPr>
        <w:t>有下列情形之一的予以废标，同时将废标理由通知所有供应商：</w:t>
      </w:r>
    </w:p>
    <w:p w14:paraId="118E671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）出现影响采购公正的违法、违规行为的；</w:t>
      </w:r>
    </w:p>
    <w:p w14:paraId="67B9DF9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）供应商的报价均超过了项目预算，采购人不能支付的；</w:t>
      </w:r>
    </w:p>
    <w:p w14:paraId="2A1CC679">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）因重大变故，采购任务取消的。</w:t>
      </w:r>
    </w:p>
    <w:p w14:paraId="68BE46D9">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澄清有关问题。对于</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的范围或者改变</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的实质性内容。</w:t>
      </w:r>
    </w:p>
    <w:p w14:paraId="4B56CCFA">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比较与评价。评标委员会应当按照</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中规定的评标方法和标准，对符合性审查合格的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进行商务和技术评估，综合比较与评价。</w:t>
      </w:r>
    </w:p>
    <w:p w14:paraId="709B60BB">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.3评标方法和标准</w:t>
      </w:r>
    </w:p>
    <w:p w14:paraId="7BAF3933">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.3.1</w:t>
      </w:r>
      <w:r>
        <w:rPr>
          <w:rFonts w:hint="eastAsia" w:ascii="宋体" w:hAnsi="宋体" w:eastAsia="宋体" w:cs="宋体"/>
          <w:b/>
          <w:bCs/>
          <w:sz w:val="24"/>
          <w:szCs w:val="24"/>
          <w:highlight w:val="none"/>
        </w:rPr>
        <w:t>采用综合评分法</w:t>
      </w:r>
      <w:r>
        <w:rPr>
          <w:rFonts w:hint="eastAsia" w:ascii="宋体" w:hAnsi="宋体" w:eastAsia="宋体" w:cs="宋体"/>
          <w:sz w:val="24"/>
          <w:szCs w:val="24"/>
          <w:highlight w:val="none"/>
        </w:rPr>
        <w:t>。即</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满足</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全部实质性要求，且按照评审因素的量化指标评审得分最高的供应商为中标候选人的评标方法。</w:t>
      </w:r>
    </w:p>
    <w:p w14:paraId="4C5A9564">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评标标准及评审因素详见采购文件第四章。</w:t>
      </w:r>
    </w:p>
    <w:p w14:paraId="66A79A0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23.4特别说明</w:t>
      </w:r>
    </w:p>
    <w:p w14:paraId="23972F45">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23.4.1评审委员会启动异常低价投标（响应）审查的情形和具体要求，包括：</w:t>
      </w:r>
    </w:p>
    <w:p w14:paraId="65A966B5">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（一）评审过程中出现下列情形之一的，评审委员会应当启动异常低价投标（响应）审查程序：</w:t>
      </w:r>
    </w:p>
    <w:p w14:paraId="4B567B68">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 xml:space="preserve">（1）投标（响应）报价低于采购项目预算50%的，即投标（响应）报价＜采购项目预算×50%； </w:t>
      </w:r>
    </w:p>
    <w:p w14:paraId="26ED512E">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 xml:space="preserve">（2）投标（响应）报价低于采购项目最高限价45%的，即投标（响应）报价＜采购项目最高限价×45%； </w:t>
      </w:r>
    </w:p>
    <w:p w14:paraId="1117015E">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 xml:space="preserve">（3）评审委员会认定的供应商报价过低、有可能影响产品质量或者不能诚信履约的其他情形。 </w:t>
      </w:r>
    </w:p>
    <w:p w14:paraId="6DB701BB">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6185C21">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23.4.2如发生上述情形的，供应商应保持其投标文件上联系方式的通讯畅通；供应商法定代表人或授权代表也可以直接在开标大厅等候。如采购代理机构或评标委员会联系未果（</w:t>
      </w:r>
      <w:r>
        <w:rPr>
          <w:rFonts w:hint="eastAsia" w:ascii="宋体" w:hAnsi="宋体" w:eastAsia="宋体" w:cs="宋体"/>
          <w:b/>
          <w:bCs/>
          <w:sz w:val="24"/>
          <w:szCs w:val="24"/>
          <w:highlight w:val="none"/>
          <w:lang w:val="en-US"/>
        </w:rPr>
        <w:t>在十分钟内联系五次</w:t>
      </w:r>
      <w:r>
        <w:rPr>
          <w:rFonts w:hint="eastAsia" w:ascii="宋体" w:hAnsi="宋体" w:eastAsia="宋体" w:cs="宋体"/>
          <w:sz w:val="24"/>
          <w:szCs w:val="24"/>
          <w:highlight w:val="none"/>
          <w:lang w:val="en-US"/>
        </w:rPr>
        <w:t>）或者供应商在二十分钟内未按时提交书面说明，则视为供应商放弃上述权利，</w:t>
      </w:r>
      <w:r>
        <w:rPr>
          <w:rFonts w:hint="eastAsia" w:ascii="宋体" w:hAnsi="宋体" w:eastAsia="宋体" w:cs="宋体"/>
          <w:b/>
          <w:bCs/>
          <w:sz w:val="24"/>
          <w:szCs w:val="24"/>
          <w:highlight w:val="none"/>
          <w:lang w:val="en-US"/>
        </w:rPr>
        <w:t>评标委员会将其作为无效投标处理。</w:t>
      </w:r>
    </w:p>
    <w:p w14:paraId="7F2A65C7">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23.4.2如发生上述情形的，供应商应保持其</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上联系方式的</w:t>
      </w:r>
      <w:r>
        <w:rPr>
          <w:rFonts w:hint="eastAsia" w:ascii="宋体" w:hAnsi="宋体" w:eastAsia="宋体" w:cs="宋体"/>
          <w:sz w:val="24"/>
          <w:szCs w:val="24"/>
          <w:highlight w:val="none"/>
          <w:lang w:val="en-US" w:eastAsia="zh-CN"/>
        </w:rPr>
        <w:t>通信畅通</w:t>
      </w:r>
      <w:r>
        <w:rPr>
          <w:rFonts w:hint="eastAsia" w:ascii="宋体" w:hAnsi="宋体" w:eastAsia="宋体" w:cs="宋体"/>
          <w:sz w:val="24"/>
          <w:szCs w:val="24"/>
          <w:highlight w:val="none"/>
          <w:lang w:val="en-US"/>
        </w:rPr>
        <w:t>；供应商法定代表人或授权代表也可以直接在开标大厅等候。如采购代理机构或评标委员会联系未果（</w:t>
      </w:r>
      <w:r>
        <w:rPr>
          <w:rFonts w:hint="eastAsia" w:ascii="宋体" w:hAnsi="宋体" w:eastAsia="宋体" w:cs="宋体"/>
          <w:b/>
          <w:bCs/>
          <w:sz w:val="24"/>
          <w:szCs w:val="24"/>
          <w:highlight w:val="none"/>
          <w:lang w:val="en-US"/>
        </w:rPr>
        <w:t>在十分钟内联系五次</w:t>
      </w:r>
      <w:r>
        <w:rPr>
          <w:rFonts w:hint="eastAsia" w:ascii="宋体" w:hAnsi="宋体" w:eastAsia="宋体" w:cs="宋体"/>
          <w:sz w:val="24"/>
          <w:szCs w:val="24"/>
          <w:highlight w:val="none"/>
          <w:lang w:val="en-US"/>
        </w:rPr>
        <w:t>）或者供应商在二十分钟内未按时提交书面说明，则视为供应商放弃上述权利，</w:t>
      </w:r>
      <w:r>
        <w:rPr>
          <w:rFonts w:hint="eastAsia" w:ascii="宋体" w:hAnsi="宋体" w:eastAsia="宋体" w:cs="宋体"/>
          <w:b/>
          <w:bCs/>
          <w:sz w:val="24"/>
          <w:szCs w:val="24"/>
          <w:highlight w:val="none"/>
          <w:lang w:val="en-US"/>
        </w:rPr>
        <w:t>评标委员会将其作为无效投标处理。</w:t>
      </w:r>
    </w:p>
    <w:p w14:paraId="3DF0879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4</w:t>
      </w:r>
      <w:r>
        <w:rPr>
          <w:rFonts w:hint="eastAsia" w:ascii="宋体" w:hAnsi="宋体" w:eastAsia="宋体" w:cs="宋体"/>
          <w:b/>
          <w:bCs/>
          <w:sz w:val="24"/>
          <w:szCs w:val="24"/>
          <w:highlight w:val="none"/>
        </w:rPr>
        <w:t>、确定中标候选人</w:t>
      </w:r>
    </w:p>
    <w:p w14:paraId="484A867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.1评标时，评标委员会各成员将独立对每个供应商的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进行评价，并汇总每个供应商的得分。</w:t>
      </w:r>
    </w:p>
    <w:p w14:paraId="653A3E8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24.2评标结果按评审后得分由高到低顺序排列。得分相同的，按投标报价由低到高顺序排列。得分且投标报价相同的并列。</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lang w:val="en-US"/>
        </w:rPr>
        <w:t>满足</w:t>
      </w:r>
      <w:r>
        <w:rPr>
          <w:rFonts w:hint="eastAsia" w:ascii="宋体" w:hAnsi="宋体" w:eastAsia="宋体" w:cs="宋体"/>
          <w:sz w:val="24"/>
          <w:szCs w:val="24"/>
          <w:highlight w:val="none"/>
          <w:lang w:val="en-US" w:eastAsia="zh-CN"/>
        </w:rPr>
        <w:t>竞争性磋商文件</w:t>
      </w:r>
      <w:r>
        <w:rPr>
          <w:rFonts w:hint="eastAsia" w:ascii="宋体" w:hAnsi="宋体" w:eastAsia="宋体" w:cs="宋体"/>
          <w:sz w:val="24"/>
          <w:szCs w:val="24"/>
          <w:highlight w:val="none"/>
          <w:lang w:val="en-US"/>
        </w:rPr>
        <w:t>全部实质性要求，且按照评审因素的量化指标评审得分最高的供应商为排名</w:t>
      </w:r>
      <w:r>
        <w:rPr>
          <w:rFonts w:hint="eastAsia" w:ascii="宋体" w:hAnsi="宋体" w:eastAsia="宋体" w:cs="宋体"/>
          <w:sz w:val="24"/>
          <w:szCs w:val="24"/>
          <w:highlight w:val="none"/>
          <w:lang w:val="en-US" w:eastAsia="zh-CN"/>
        </w:rPr>
        <w:t>前三</w:t>
      </w:r>
      <w:r>
        <w:rPr>
          <w:rFonts w:hint="eastAsia" w:ascii="宋体" w:hAnsi="宋体" w:eastAsia="宋体" w:cs="宋体"/>
          <w:sz w:val="24"/>
          <w:szCs w:val="24"/>
          <w:highlight w:val="none"/>
          <w:lang w:val="en-US"/>
        </w:rPr>
        <w:t>的中标候选人。</w:t>
      </w:r>
    </w:p>
    <w:p w14:paraId="62D47A94">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评标委员会根据全体评标成员签字的原始评标记录和评标结果编写评标报告。</w:t>
      </w:r>
    </w:p>
    <w:p w14:paraId="0E68C878">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25、确定中标人</w:t>
      </w:r>
    </w:p>
    <w:p w14:paraId="6B6DA03B">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25.1评标结果确定后，采购人在评标现场可根据中标候选人名单委托直接确定中标人。</w:t>
      </w:r>
    </w:p>
    <w:p w14:paraId="2C411FD4">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25.2采购人如未委托直接确定中标人的，采购代理机构在评标结束后2个工作日内将评标报告送采购人。采购人在收到评标报告5个工作日内，在评标报告确定的中标候选人名单中按顺序确定中标人。中标候选人并列的，由采购人或者采购人委托评标委员会按照随机抽取的方式确定。</w:t>
      </w:r>
    </w:p>
    <w:p w14:paraId="12629966">
      <w:pPr>
        <w:keepNext w:val="0"/>
        <w:keepLines w:val="0"/>
        <w:pageBreakBefore w:val="0"/>
        <w:widowControl/>
        <w:kinsoku/>
        <w:wordWrap/>
        <w:overflowPunct/>
        <w:topLinePunct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5.3采购代理机构自</w:t>
      </w:r>
      <w:r>
        <w:rPr>
          <w:rFonts w:hint="eastAsia" w:ascii="宋体" w:hAnsi="宋体" w:eastAsia="宋体" w:cs="宋体"/>
          <w:sz w:val="24"/>
          <w:szCs w:val="24"/>
          <w:highlight w:val="none"/>
        </w:rPr>
        <w:t>中标人确定之日起2个工作日内，将中标结果在原采购公告发布媒体进行公示，</w:t>
      </w:r>
      <w:r>
        <w:rPr>
          <w:rFonts w:hint="eastAsia" w:ascii="宋体" w:hAnsi="宋体" w:eastAsia="宋体" w:cs="宋体"/>
          <w:b/>
          <w:bCs/>
          <w:sz w:val="24"/>
          <w:szCs w:val="24"/>
          <w:highlight w:val="none"/>
        </w:rPr>
        <w:t>公示期为</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个工作日</w:t>
      </w:r>
      <w:r>
        <w:rPr>
          <w:rFonts w:hint="eastAsia" w:ascii="宋体" w:hAnsi="宋体" w:eastAsia="宋体" w:cs="宋体"/>
          <w:sz w:val="24"/>
          <w:szCs w:val="24"/>
          <w:highlight w:val="none"/>
        </w:rPr>
        <w:t>，公示的同时向中标供应商发出中标通知书。</w:t>
      </w:r>
    </w:p>
    <w:p w14:paraId="639107A4">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所有</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都将作为档案保存，不论中标与否，采购代理机构均不退回。</w:t>
      </w:r>
    </w:p>
    <w:p w14:paraId="281736A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rPr>
        <w:t>6</w:t>
      </w:r>
      <w:r>
        <w:rPr>
          <w:rFonts w:hint="eastAsia" w:ascii="宋体" w:hAnsi="宋体" w:eastAsia="宋体" w:cs="宋体"/>
          <w:b/>
          <w:sz w:val="24"/>
          <w:szCs w:val="24"/>
          <w:highlight w:val="none"/>
        </w:rPr>
        <w:t>、评标过程的保密性</w:t>
      </w:r>
    </w:p>
    <w:p w14:paraId="550A3C4F">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.1采购代理机构将采取必要措施，保证评标在严格保密的情况下进行。</w:t>
      </w:r>
    </w:p>
    <w:p w14:paraId="5C6007F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26.2</w:t>
      </w:r>
      <w:r>
        <w:rPr>
          <w:rFonts w:hint="eastAsia" w:ascii="宋体" w:hAnsi="宋体" w:eastAsia="宋体" w:cs="宋体"/>
          <w:sz w:val="24"/>
          <w:szCs w:val="24"/>
          <w:highlight w:val="none"/>
        </w:rPr>
        <w:t>除采购人代表、评标现场组织人员外，采购人的其他工作人员以及与评标工作无关的人员不得进入评标现场。</w:t>
      </w:r>
    </w:p>
    <w:p w14:paraId="0BA40DBD">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26.3</w:t>
      </w:r>
      <w:r>
        <w:rPr>
          <w:rFonts w:hint="eastAsia" w:ascii="宋体" w:hAnsi="宋体" w:eastAsia="宋体" w:cs="宋体"/>
          <w:sz w:val="24"/>
          <w:szCs w:val="24"/>
          <w:highlight w:val="none"/>
        </w:rPr>
        <w:t>有关人员对评标情况以及在评标过程中获悉的国家秘密、商业秘密负有保密责任。</w:t>
      </w:r>
    </w:p>
    <w:p w14:paraId="4715964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五、签订合同</w:t>
      </w:r>
    </w:p>
    <w:p w14:paraId="7196B384">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、签订合同</w:t>
      </w:r>
    </w:p>
    <w:p w14:paraId="0AE2074A">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27.1</w:t>
      </w:r>
      <w:r>
        <w:rPr>
          <w:rFonts w:hint="eastAsia" w:ascii="宋体" w:hAnsi="宋体" w:eastAsia="宋体" w:cs="宋体"/>
          <w:sz w:val="24"/>
          <w:szCs w:val="24"/>
          <w:highlight w:val="none"/>
        </w:rPr>
        <w:t>中标人应当自中标通知书发出之日起30日内，按照</w:t>
      </w:r>
      <w:r>
        <w:rPr>
          <w:rFonts w:hint="eastAsia" w:ascii="宋体" w:hAnsi="宋体" w:eastAsia="宋体" w:cs="宋体"/>
          <w:sz w:val="24"/>
          <w:szCs w:val="24"/>
          <w:highlight w:val="none"/>
          <w:lang w:eastAsia="zh-CN"/>
        </w:rPr>
        <w:t>竞争性磋商文件和磋商响应文件</w:t>
      </w:r>
      <w:r>
        <w:rPr>
          <w:rFonts w:hint="eastAsia" w:ascii="宋体" w:hAnsi="宋体" w:eastAsia="宋体" w:cs="宋体"/>
          <w:sz w:val="24"/>
          <w:szCs w:val="24"/>
          <w:highlight w:val="none"/>
        </w:rPr>
        <w:t>的规定，与采购人签订政府采购合同。所签订的合同不得对</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确定的事项和中标人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作实质性修改。</w:t>
      </w:r>
    </w:p>
    <w:p w14:paraId="645FDECD">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27.2</w:t>
      </w:r>
      <w:r>
        <w:rPr>
          <w:rFonts w:hint="eastAsia" w:ascii="宋体" w:hAnsi="宋体" w:eastAsia="宋体" w:cs="宋体"/>
          <w:sz w:val="24"/>
          <w:szCs w:val="24"/>
          <w:highlight w:val="none"/>
        </w:rPr>
        <w:t>中标通知书对采购人和中标人均具有法律效力。</w:t>
      </w:r>
    </w:p>
    <w:p w14:paraId="6F6919E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27.3</w:t>
      </w:r>
      <w:r>
        <w:rPr>
          <w:rFonts w:hint="eastAsia" w:ascii="宋体" w:hAnsi="宋体" w:eastAsia="宋体" w:cs="宋体"/>
          <w:sz w:val="24"/>
          <w:szCs w:val="24"/>
          <w:highlight w:val="none"/>
        </w:rPr>
        <w:t>采购人不得向中标人提出任何不合理的要求作为签订合同的条件。</w:t>
      </w:r>
    </w:p>
    <w:p w14:paraId="4193C095">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中标人拒绝与采购人签订合同的，采购人可以按照评审报告推荐的中标候选人名单排序，确定下一候选人为中标人，也可以重新开展政府采购活动。</w:t>
      </w:r>
    </w:p>
    <w:p w14:paraId="4E73F6DE">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5成交供应商除发生法律规定的不能预见、不能避免并不能克服的客观情况外不得放弃或拒绝签订合同的。放弃或拒绝签订合同的，采购人、采购代理机构视情将其列入不良行为名单，在一至三年内不得参加政府采购活动。</w:t>
      </w:r>
    </w:p>
    <w:p w14:paraId="3147F6C5">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政府采购合同履行中，采购人需追加与合同标的相同的服务的，在不改变合同其他条款的前提下，可以与供应商协商签订补充合同，但所有补充合同的采购金额不得超过原合同采购金额的</w:t>
      </w: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w:t>
      </w:r>
    </w:p>
    <w:p w14:paraId="4F8320F0">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六、询问、质疑、投诉和诚实信用</w:t>
      </w:r>
    </w:p>
    <w:p w14:paraId="3B93FE52">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.询问</w:t>
      </w:r>
    </w:p>
    <w:p w14:paraId="0B0AE04C">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8</w:t>
      </w:r>
      <w:r>
        <w:rPr>
          <w:rFonts w:hint="eastAsia" w:ascii="宋体" w:hAnsi="宋体" w:eastAsia="宋体" w:cs="宋体"/>
          <w:sz w:val="24"/>
          <w:szCs w:val="24"/>
          <w:highlight w:val="none"/>
        </w:rPr>
        <w:t>.1供应商对招标活动事项有疑问的，可以依法向采购代理机构、采购人提出询问，采购人、采购代理机构在三个工作日内对供应商依法提出的询问作出答复，但答复的内容不涉及商业秘密</w:t>
      </w:r>
      <w:r>
        <w:rPr>
          <w:rFonts w:hint="eastAsia" w:ascii="宋体" w:hAnsi="宋体" w:eastAsia="宋体" w:cs="宋体"/>
          <w:bCs/>
          <w:sz w:val="24"/>
          <w:szCs w:val="24"/>
          <w:highlight w:val="none"/>
        </w:rPr>
        <w:t>。</w:t>
      </w:r>
    </w:p>
    <w:p w14:paraId="4CC23125">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9</w:t>
      </w:r>
      <w:r>
        <w:rPr>
          <w:rFonts w:hint="eastAsia" w:ascii="宋体" w:hAnsi="宋体" w:eastAsia="宋体" w:cs="宋体"/>
          <w:b/>
          <w:bCs/>
          <w:sz w:val="24"/>
          <w:szCs w:val="24"/>
          <w:highlight w:val="none"/>
        </w:rPr>
        <w:t>、质疑</w:t>
      </w:r>
    </w:p>
    <w:p w14:paraId="29006C1B">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.1供应商认为采购文件、采购过程、中标结果使自己的权益受到损害的，可以在知道或者应知其权益受到损害之日起</w:t>
      </w:r>
      <w:r>
        <w:rPr>
          <w:rFonts w:hint="eastAsia" w:ascii="宋体" w:hAnsi="宋体" w:eastAsia="宋体" w:cs="宋体"/>
          <w:b/>
          <w:bCs/>
          <w:sz w:val="24"/>
          <w:szCs w:val="24"/>
          <w:highlight w:val="none"/>
        </w:rPr>
        <w:t>七个工作日内</w:t>
      </w:r>
      <w:r>
        <w:rPr>
          <w:rFonts w:hint="eastAsia" w:ascii="宋体" w:hAnsi="宋体" w:eastAsia="宋体" w:cs="宋体"/>
          <w:sz w:val="24"/>
          <w:szCs w:val="24"/>
          <w:highlight w:val="none"/>
        </w:rPr>
        <w:t>，以</w:t>
      </w:r>
      <w:r>
        <w:rPr>
          <w:rFonts w:hint="eastAsia" w:ascii="宋体" w:hAnsi="宋体" w:eastAsia="宋体" w:cs="宋体"/>
          <w:b/>
          <w:bCs/>
          <w:sz w:val="24"/>
          <w:szCs w:val="24"/>
          <w:highlight w:val="none"/>
        </w:rPr>
        <w:t>书面形式</w:t>
      </w:r>
      <w:r>
        <w:rPr>
          <w:rFonts w:hint="eastAsia" w:ascii="宋体" w:hAnsi="宋体" w:eastAsia="宋体" w:cs="宋体"/>
          <w:sz w:val="24"/>
          <w:szCs w:val="24"/>
          <w:highlight w:val="none"/>
        </w:rPr>
        <w:t>向采购人、采购代理机构提出质疑。供应商应在法定质疑期内一次性提出针对同一采购程序环节的质疑。</w:t>
      </w:r>
    </w:p>
    <w:p w14:paraId="1AED7AC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29.2质疑文件接收信息：</w:t>
      </w:r>
    </w:p>
    <w:p w14:paraId="70AAD930">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（1）接收单位：采购代理机构</w:t>
      </w:r>
    </w:p>
    <w:p w14:paraId="225C715A">
      <w:pPr>
        <w:keepNext w:val="0"/>
        <w:keepLines w:val="0"/>
        <w:pageBreakBefore w:val="0"/>
        <w:widowControl/>
        <w:kinsoku/>
        <w:wordWrap/>
        <w:overflowPunct/>
        <w:topLinePunct w:val="0"/>
        <w:bidi w:val="0"/>
        <w:snapToGrid/>
        <w:spacing w:line="360" w:lineRule="auto"/>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（2）联系人：</w:t>
      </w:r>
      <w:r>
        <w:rPr>
          <w:rFonts w:hint="eastAsia" w:ascii="宋体" w:hAnsi="宋体" w:eastAsia="宋体" w:cs="宋体"/>
          <w:sz w:val="24"/>
          <w:szCs w:val="24"/>
          <w:highlight w:val="none"/>
          <w:lang w:val="en-US" w:eastAsia="zh-CN"/>
        </w:rPr>
        <w:t>祝工</w:t>
      </w:r>
    </w:p>
    <w:p w14:paraId="15D4F7D7">
      <w:pPr>
        <w:keepNext w:val="0"/>
        <w:keepLines w:val="0"/>
        <w:pageBreakBefore w:val="0"/>
        <w:kinsoku/>
        <w:wordWrap/>
        <w:overflowPunct/>
        <w:topLinePunct w:val="0"/>
        <w:bidi w:val="0"/>
        <w:snapToGrid/>
        <w:spacing w:line="360" w:lineRule="auto"/>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（3）联系电话：</w:t>
      </w:r>
      <w:r>
        <w:rPr>
          <w:rFonts w:hint="eastAsia" w:ascii="宋体" w:hAnsi="宋体" w:eastAsia="宋体" w:cs="宋体"/>
          <w:color w:val="auto"/>
          <w:sz w:val="24"/>
          <w:szCs w:val="24"/>
          <w:highlight w:val="none"/>
          <w:u w:val="none"/>
          <w:lang w:val="en-US" w:eastAsia="zh-CN"/>
        </w:rPr>
        <w:t>13770558809</w:t>
      </w:r>
    </w:p>
    <w:p w14:paraId="5F138829">
      <w:pPr>
        <w:keepNext w:val="0"/>
        <w:keepLines w:val="0"/>
        <w:pageBreakBefore w:val="0"/>
        <w:kinsoku/>
        <w:wordWrap/>
        <w:overflowPunct/>
        <w:topLinePunct w:val="0"/>
        <w:bidi w:val="0"/>
        <w:snapToGrid/>
        <w:spacing w:line="360" w:lineRule="auto"/>
        <w:ind w:firstLine="0" w:firstLineChars="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rPr>
        <w:t>（4）联系邮箱：</w:t>
      </w:r>
      <w:r>
        <w:rPr>
          <w:rFonts w:hint="eastAsia" w:ascii="宋体" w:hAnsi="宋体" w:eastAsia="宋体" w:cs="宋体"/>
          <w:sz w:val="24"/>
          <w:szCs w:val="24"/>
          <w:highlight w:val="none"/>
          <w:lang w:val="en-US" w:eastAsia="zh-CN"/>
        </w:rPr>
        <w:t xml:space="preserve">347772247@qq.com </w:t>
      </w:r>
    </w:p>
    <w:p w14:paraId="32AC0CBD">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（5）接收地址：</w:t>
      </w:r>
      <w:r>
        <w:rPr>
          <w:rFonts w:hint="eastAsia" w:ascii="宋体" w:hAnsi="宋体" w:eastAsia="宋体" w:cs="宋体"/>
          <w:sz w:val="24"/>
          <w:szCs w:val="24"/>
          <w:highlight w:val="none"/>
          <w:lang w:val="en-US" w:eastAsia="zh-CN"/>
        </w:rPr>
        <w:t>南京市浦口区双垅南路与柳园路交叉口（浦口体育中心）5楼</w:t>
      </w:r>
      <w:r>
        <w:rPr>
          <w:rFonts w:hint="eastAsia" w:cs="宋体"/>
          <w:sz w:val="24"/>
          <w:szCs w:val="24"/>
          <w:highlight w:val="none"/>
          <w:lang w:val="en-US" w:eastAsia="zh-CN"/>
        </w:rPr>
        <w:t>501室</w:t>
      </w:r>
    </w:p>
    <w:p w14:paraId="30023514">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（6）邮编：2100</w:t>
      </w:r>
      <w:r>
        <w:rPr>
          <w:rFonts w:hint="eastAsia" w:ascii="宋体" w:hAnsi="宋体" w:eastAsia="宋体" w:cs="宋体"/>
          <w:sz w:val="24"/>
          <w:szCs w:val="24"/>
          <w:highlight w:val="none"/>
          <w:lang w:val="en-US" w:eastAsia="zh-CN"/>
        </w:rPr>
        <w:t>00</w:t>
      </w:r>
    </w:p>
    <w:p w14:paraId="1D5FBA15">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质疑文件应包括以下主要内容，并按照“谁主张、谁举证”的原则，附上相关证明材料。否则，采购代理机构不予受理：</w:t>
      </w:r>
    </w:p>
    <w:p w14:paraId="06E4C18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）质疑供应商的姓名或者名称、地址、邮编、联系人及联系电话；</w:t>
      </w:r>
    </w:p>
    <w:p w14:paraId="1EBD2B88">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）质疑项目的名称、编号、公告发布时间、开标时间</w:t>
      </w:r>
    </w:p>
    <w:p w14:paraId="5CC4C424">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）具体、明确的质疑事项和与质疑事项相关的请求；</w:t>
      </w:r>
    </w:p>
    <w:p w14:paraId="099AD760">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）事实依据；</w:t>
      </w:r>
    </w:p>
    <w:p w14:paraId="4B41697B">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）必要的法律依据；</w:t>
      </w:r>
    </w:p>
    <w:p w14:paraId="30FC3525">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）提出质疑的日期。</w:t>
      </w:r>
    </w:p>
    <w:p w14:paraId="1519E8D6">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）质疑供应商可以委托代理人进行质疑和投诉。其授权委托书应当载明代理人的姓名或者名称、代理事项、具体权限、期限和相关事项，代理人提出质疑和投诉，应当提交质疑供应商签署的授权委托书。</w:t>
      </w:r>
    </w:p>
    <w:p w14:paraId="4267943F">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8</w:t>
      </w:r>
      <w:r>
        <w:rPr>
          <w:rFonts w:hint="eastAsia" w:ascii="宋体" w:hAnsi="宋体" w:eastAsia="宋体" w:cs="宋体"/>
          <w:sz w:val="24"/>
          <w:szCs w:val="24"/>
          <w:highlight w:val="none"/>
        </w:rPr>
        <w:t>）质疑供应商为自然人的，应当由本人签字；供应商为法人或者其他组织的，应当由法定代表人、主要负责人，或者其授权代表签字或者盖章，并加盖公章。</w:t>
      </w:r>
    </w:p>
    <w:p w14:paraId="464EB013">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质疑的供应商是参与所质疑项目采购活动的供应商；对采购文件提出质疑的，应自供应商获得采购文件之日起计算，且应当在投标截止之日前提出；对采购过程提出质疑的，自采购程序环节结束之日起计算；对中标结果提出质疑的，自中标结果公告期限届满之日起计算。</w:t>
      </w:r>
    </w:p>
    <w:p w14:paraId="3DE0BF09">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供应商提出的询问或者质疑超出采购人对采购代理机构委托授权范围的，供应商应向采购人提出。</w:t>
      </w:r>
    </w:p>
    <w:p w14:paraId="3562A9BF">
      <w:pPr>
        <w:keepNext w:val="0"/>
        <w:keepLines w:val="0"/>
        <w:pageBreakBefore w:val="0"/>
        <w:widowControl/>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7E7E85B8">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7采购</w:t>
      </w:r>
      <w:r>
        <w:rPr>
          <w:rFonts w:hint="eastAsia" w:ascii="宋体" w:hAnsi="宋体" w:eastAsia="宋体" w:cs="宋体"/>
          <w:sz w:val="24"/>
          <w:szCs w:val="24"/>
          <w:highlight w:val="none"/>
        </w:rPr>
        <w:t>代理机构在收到供应商的书面质疑后将及时组织调查核实，在七个工作日内作出答复，并以书面或电子邮件形式通知质疑供应商和其他有关供应商，答复的内容不涉及商业秘密。采购代理机构遵循“谁过错谁负担”的原则，有过错的一方承担调查论证费用。</w:t>
      </w:r>
    </w:p>
    <w:p w14:paraId="4F7E986B">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rPr>
        <w:t>30</w:t>
      </w:r>
      <w:r>
        <w:rPr>
          <w:rFonts w:hint="eastAsia" w:ascii="宋体" w:hAnsi="宋体" w:eastAsia="宋体" w:cs="宋体"/>
          <w:b/>
          <w:bCs/>
          <w:sz w:val="24"/>
          <w:szCs w:val="24"/>
          <w:highlight w:val="none"/>
        </w:rPr>
        <w:t>、投诉</w:t>
      </w:r>
    </w:p>
    <w:p w14:paraId="2C03E927">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30</w:t>
      </w:r>
      <w:r>
        <w:rPr>
          <w:rFonts w:hint="eastAsia" w:ascii="宋体" w:hAnsi="宋体" w:eastAsia="宋体" w:cs="宋体"/>
          <w:sz w:val="24"/>
          <w:szCs w:val="24"/>
          <w:highlight w:val="none"/>
        </w:rPr>
        <w:t>.1质疑供应商对采购人、采购代理机构的答复不满意或者采购人、采购代理机构未在规定的时间内作出答复的，可以在答复期满后十五个工作日内向同级政府采购监督管理部门投诉。</w:t>
      </w:r>
    </w:p>
    <w:p w14:paraId="37C1A553">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rPr>
        <w:t>、诚实信用</w:t>
      </w:r>
    </w:p>
    <w:p w14:paraId="52EB0452">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.1供应商之间不得相互串通投标报价，不得妨碍其他供应商的公平竞争，不得损害采购人和其他供应商的合法权益。</w:t>
      </w:r>
    </w:p>
    <w:p w14:paraId="783D24AF">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.2供应商</w:t>
      </w:r>
      <w:r>
        <w:rPr>
          <w:rFonts w:hint="eastAsia" w:ascii="宋体" w:hAnsi="宋体" w:eastAsia="宋体" w:cs="宋体"/>
          <w:sz w:val="24"/>
          <w:szCs w:val="24"/>
          <w:highlight w:val="none"/>
          <w:lang w:eastAsia="zh-CN"/>
        </w:rPr>
        <w:t>不得</w:t>
      </w:r>
      <w:r>
        <w:rPr>
          <w:rFonts w:hint="eastAsia" w:ascii="宋体" w:hAnsi="宋体" w:eastAsia="宋体" w:cs="宋体"/>
          <w:sz w:val="24"/>
          <w:szCs w:val="24"/>
          <w:highlight w:val="none"/>
        </w:rPr>
        <w:t>向采购代理机构工作人员、评标委员会成员行贿或者采取其他不正当手段谋取中标。经查实供应商有此行为的，政府采购监督管理部门将供应商列入不良行为记录名单，按照政府采购法有关规定处理。</w:t>
      </w:r>
    </w:p>
    <w:p w14:paraId="6CC6FFE4">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供应商不得虚假承诺，否则，按照提供虚假材料谋取中标成交处理。</w:t>
      </w:r>
    </w:p>
    <w:p w14:paraId="0D8772A5">
      <w:pPr>
        <w:keepNext w:val="0"/>
        <w:keepLines w:val="0"/>
        <w:pageBreakBefore w:val="0"/>
        <w:kinsoku/>
        <w:wordWrap/>
        <w:overflowPunct/>
        <w:topLinePunct w:val="0"/>
        <w:bidi w:val="0"/>
        <w:snapToGrid/>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供应商应自觉遵守开标、评标纪律，扰乱开标评标现场秩序的，属于失信行为，根据《南京市政府采购供应商信用管理工作暂行办法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江苏省政府采购供应商监督管理暂行办法》，失信行为将被记入供应商诚信档案。</w:t>
      </w:r>
    </w:p>
    <w:p w14:paraId="3D470C9A">
      <w:pPr>
        <w:pStyle w:val="3"/>
        <w:bidi w:val="0"/>
        <w:spacing w:line="360" w:lineRule="auto"/>
        <w:jc w:val="center"/>
        <w:outlineLvl w:val="9"/>
        <w:rPr>
          <w:rFonts w:hint="eastAsia" w:ascii="宋体" w:hAnsi="宋体" w:eastAsia="宋体" w:cs="宋体"/>
          <w:highlight w:val="none"/>
          <w:lang w:val="zh-CN"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DB795D">
      <w:pPr>
        <w:pStyle w:val="3"/>
        <w:autoSpaceDE/>
        <w:autoSpaceDN/>
        <w:spacing w:line="360" w:lineRule="auto"/>
        <w:jc w:val="center"/>
        <w:rPr>
          <w:rFonts w:hint="eastAsia" w:ascii="宋体" w:hAnsi="宋体" w:eastAsia="宋体" w:cs="宋体"/>
          <w:b/>
          <w:bCs/>
          <w:color w:val="auto"/>
          <w:sz w:val="32"/>
          <w:szCs w:val="32"/>
          <w:highlight w:val="none"/>
          <w:lang w:eastAsia="zh-CN"/>
        </w:rPr>
      </w:pPr>
      <w:bookmarkStart w:id="14" w:name="_Toc14223"/>
      <w:r>
        <w:rPr>
          <w:rFonts w:hint="eastAsia" w:ascii="宋体" w:hAnsi="宋体" w:eastAsia="宋体" w:cs="宋体"/>
          <w:b/>
          <w:bCs/>
          <w:color w:val="auto"/>
          <w:sz w:val="32"/>
          <w:szCs w:val="32"/>
          <w:highlight w:val="none"/>
          <w:lang w:eastAsia="zh-CN"/>
        </w:rPr>
        <w:t>第</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eastAsia="zh-CN"/>
        </w:rPr>
        <w:t>章评标标准</w:t>
      </w:r>
      <w:bookmarkEnd w:id="14"/>
    </w:p>
    <w:p w14:paraId="4E21545A">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p w14:paraId="2B046D87">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2、磋商小组应当根据报价情况，按照评审得分由高到低顺序推荐成交候选供应商，并编写评审报告。磋商小组会对所有合格供应</w:t>
      </w:r>
      <w:r>
        <w:rPr>
          <w:rFonts w:hint="eastAsia" w:ascii="宋体" w:hAnsi="宋体" w:eastAsia="宋体" w:cs="宋体"/>
          <w:sz w:val="24"/>
          <w:szCs w:val="24"/>
          <w:highlight w:val="none"/>
          <w:lang w:eastAsia="zh-CN"/>
        </w:rPr>
        <w:t>商第</w:t>
      </w:r>
      <w:r>
        <w:rPr>
          <w:rFonts w:hint="eastAsia" w:ascii="宋体" w:hAnsi="宋体" w:eastAsia="宋体" w:cs="宋体"/>
          <w:sz w:val="24"/>
          <w:szCs w:val="24"/>
          <w:highlight w:val="none"/>
        </w:rPr>
        <w:t>二次报价进行单一磋商，最终报价以第二次报价为准。</w:t>
      </w:r>
    </w:p>
    <w:p w14:paraId="5DD41946">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3、评审报告应当由磋商小组全体人员签字认可。磋商小组成员对评审报告有异议的，磋商小组按照少数服从多数的原则推荐成交</w:t>
      </w:r>
      <w:r>
        <w:rPr>
          <w:rFonts w:hint="eastAsia" w:ascii="宋体" w:hAnsi="宋体" w:eastAsia="宋体" w:cs="宋体"/>
          <w:sz w:val="24"/>
          <w:szCs w:val="24"/>
          <w:highlight w:val="none"/>
          <w:lang w:eastAsia="zh-CN"/>
        </w:rPr>
        <w:t>备选供应商</w:t>
      </w:r>
      <w:r>
        <w:rPr>
          <w:rFonts w:hint="eastAsia" w:ascii="宋体" w:hAnsi="宋体" w:eastAsia="宋体" w:cs="宋体"/>
          <w:sz w:val="24"/>
          <w:szCs w:val="24"/>
          <w:highlight w:val="none"/>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894E40">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3BD859">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5、采购人或者采购代理机构应当在成交供应商确定后2个工作日内，在财政部门指定的政府采购信息发布媒体上公告成交结果，同时向成交供应商发出成交通知书，并将磋商文件随成交结果同时公告。</w:t>
      </w:r>
    </w:p>
    <w:p w14:paraId="40730AC9">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6、采购人与成交供应商应当在成交通知书发出之日起30日内，按照磋商文件确定的合同文本以及服务要求等事项签订政府采购合同。</w:t>
      </w:r>
    </w:p>
    <w:p w14:paraId="086913DB">
      <w:pPr>
        <w:pStyle w:val="44"/>
        <w:spacing w:line="360" w:lineRule="auto"/>
        <w:rPr>
          <w:rFonts w:hint="eastAsia" w:ascii="宋体" w:hAnsi="宋体" w:eastAsia="宋体" w:cs="宋体"/>
          <w:sz w:val="24"/>
          <w:szCs w:val="24"/>
          <w:highlight w:val="none"/>
        </w:rPr>
      </w:pPr>
    </w:p>
    <w:p w14:paraId="78608515">
      <w:pPr>
        <w:pStyle w:val="44"/>
        <w:spacing w:line="360" w:lineRule="auto"/>
        <w:rPr>
          <w:rFonts w:hint="eastAsia" w:ascii="宋体" w:hAnsi="宋体" w:eastAsia="宋体" w:cs="宋体"/>
          <w:sz w:val="24"/>
          <w:szCs w:val="24"/>
          <w:highlight w:val="none"/>
        </w:rPr>
      </w:pPr>
    </w:p>
    <w:p w14:paraId="2E279A6B">
      <w:pPr>
        <w:pStyle w:val="44"/>
        <w:spacing w:line="360" w:lineRule="auto"/>
        <w:rPr>
          <w:rFonts w:hint="eastAsia" w:ascii="宋体" w:hAnsi="宋体" w:eastAsia="宋体" w:cs="宋体"/>
          <w:sz w:val="24"/>
          <w:szCs w:val="24"/>
          <w:highlight w:val="none"/>
        </w:rPr>
      </w:pPr>
    </w:p>
    <w:p w14:paraId="0C5E08CA">
      <w:pPr>
        <w:pStyle w:val="44"/>
        <w:spacing w:line="360" w:lineRule="auto"/>
        <w:rPr>
          <w:rFonts w:hint="eastAsia" w:ascii="宋体" w:hAnsi="宋体" w:eastAsia="宋体" w:cs="宋体"/>
          <w:sz w:val="24"/>
          <w:szCs w:val="24"/>
          <w:highlight w:val="none"/>
        </w:rPr>
      </w:pPr>
    </w:p>
    <w:p w14:paraId="340489EE">
      <w:pPr>
        <w:pStyle w:val="44"/>
        <w:spacing w:line="360" w:lineRule="auto"/>
        <w:rPr>
          <w:rFonts w:hint="eastAsia" w:ascii="宋体" w:hAnsi="宋体" w:eastAsia="宋体" w:cs="宋体"/>
          <w:sz w:val="24"/>
          <w:szCs w:val="24"/>
          <w:highlight w:val="none"/>
        </w:rPr>
      </w:pPr>
    </w:p>
    <w:p w14:paraId="637B4C68">
      <w:pPr>
        <w:pStyle w:val="44"/>
        <w:spacing w:line="360" w:lineRule="auto"/>
        <w:rPr>
          <w:rFonts w:hint="eastAsia" w:ascii="宋体" w:hAnsi="宋体" w:eastAsia="宋体" w:cs="宋体"/>
          <w:sz w:val="24"/>
          <w:szCs w:val="24"/>
          <w:highlight w:val="none"/>
        </w:rPr>
      </w:pPr>
    </w:p>
    <w:p w14:paraId="62F41DD5">
      <w:pPr>
        <w:pStyle w:val="44"/>
        <w:spacing w:line="360" w:lineRule="auto"/>
        <w:rPr>
          <w:rFonts w:hint="eastAsia" w:ascii="宋体" w:hAnsi="宋体" w:eastAsia="宋体" w:cs="宋体"/>
          <w:sz w:val="24"/>
          <w:szCs w:val="24"/>
          <w:highlight w:val="none"/>
        </w:rPr>
      </w:pPr>
    </w:p>
    <w:tbl>
      <w:tblPr>
        <w:tblStyle w:val="29"/>
        <w:tblpPr w:leftFromText="180" w:rightFromText="180" w:vertAnchor="text" w:horzAnchor="page" w:tblpX="967" w:tblpY="464"/>
        <w:tblOverlap w:val="never"/>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549"/>
        <w:gridCol w:w="1903"/>
        <w:gridCol w:w="6984"/>
        <w:gridCol w:w="720"/>
      </w:tblGrid>
      <w:tr w14:paraId="2D3D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838" w:hRule="atLeast"/>
        </w:trPr>
        <w:tc>
          <w:tcPr>
            <w:tcW w:w="549" w:type="dxa"/>
            <w:shd w:val="clear" w:color="auto" w:fill="auto"/>
            <w:noWrap w:val="0"/>
            <w:vAlign w:val="center"/>
          </w:tcPr>
          <w:p w14:paraId="74C98C66">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序号</w:t>
            </w:r>
          </w:p>
        </w:tc>
        <w:tc>
          <w:tcPr>
            <w:tcW w:w="1903" w:type="dxa"/>
            <w:shd w:val="clear" w:color="auto" w:fill="auto"/>
            <w:noWrap w:val="0"/>
            <w:vAlign w:val="center"/>
          </w:tcPr>
          <w:p w14:paraId="34B479B8">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评分因素</w:t>
            </w:r>
          </w:p>
        </w:tc>
        <w:tc>
          <w:tcPr>
            <w:tcW w:w="6984" w:type="dxa"/>
            <w:shd w:val="clear" w:color="auto" w:fill="auto"/>
            <w:noWrap w:val="0"/>
            <w:vAlign w:val="center"/>
          </w:tcPr>
          <w:p w14:paraId="20F3C55C">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评审标准</w:t>
            </w:r>
          </w:p>
        </w:tc>
        <w:tc>
          <w:tcPr>
            <w:tcW w:w="720" w:type="dxa"/>
            <w:shd w:val="clear" w:color="auto" w:fill="auto"/>
            <w:noWrap w:val="0"/>
            <w:vAlign w:val="center"/>
          </w:tcPr>
          <w:p w14:paraId="023CC249">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分值</w:t>
            </w:r>
          </w:p>
        </w:tc>
      </w:tr>
      <w:tr w14:paraId="27D7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1026" w:hRule="atLeast"/>
        </w:trPr>
        <w:tc>
          <w:tcPr>
            <w:tcW w:w="549" w:type="dxa"/>
            <w:shd w:val="clear" w:color="auto" w:fill="auto"/>
            <w:noWrap w:val="0"/>
            <w:vAlign w:val="center"/>
          </w:tcPr>
          <w:p w14:paraId="334AB606">
            <w:pPr>
              <w:pStyle w:val="85"/>
              <w:keepNext w:val="0"/>
              <w:keepLines w:val="0"/>
              <w:pageBreakBefore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03" w:type="dxa"/>
            <w:shd w:val="clear" w:color="auto" w:fill="auto"/>
            <w:noWrap w:val="0"/>
            <w:vAlign w:val="center"/>
          </w:tcPr>
          <w:p w14:paraId="50AF1DFB">
            <w:pPr>
              <w:pStyle w:val="85"/>
              <w:keepNext w:val="0"/>
              <w:keepLines w:val="0"/>
              <w:pageBreakBefore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价格</w:t>
            </w:r>
          </w:p>
        </w:tc>
        <w:tc>
          <w:tcPr>
            <w:tcW w:w="6984" w:type="dxa"/>
            <w:shd w:val="clear" w:color="auto" w:fill="auto"/>
            <w:noWrap w:val="0"/>
            <w:vAlign w:val="center"/>
          </w:tcPr>
          <w:p w14:paraId="2E366011">
            <w:pPr>
              <w:pStyle w:val="25"/>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right="13" w:rightChars="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olor w:val="000000"/>
                <w:sz w:val="24"/>
                <w:szCs w:val="24"/>
                <w:highlight w:val="none"/>
              </w:rPr>
              <w:t>采用低价优先法计算，即满足</w:t>
            </w:r>
            <w:r>
              <w:rPr>
                <w:rFonts w:hint="eastAsia" w:ascii="宋体" w:hAnsi="宋体" w:eastAsia="宋体"/>
                <w:color w:val="000000"/>
                <w:sz w:val="24"/>
                <w:szCs w:val="24"/>
                <w:highlight w:val="none"/>
                <w:lang w:eastAsia="zh-CN"/>
              </w:rPr>
              <w:t>竞争性磋商文件</w:t>
            </w:r>
            <w:r>
              <w:rPr>
                <w:rFonts w:hint="eastAsia" w:ascii="宋体" w:hAnsi="宋体" w:eastAsia="宋体"/>
                <w:color w:val="000000"/>
                <w:sz w:val="24"/>
                <w:szCs w:val="24"/>
                <w:highlight w:val="none"/>
              </w:rPr>
              <w:t>要求且投标价格最低的投标报价为评标基准价，其价格分为满分。其他供应商的价格分统一按照下列公式计算（小数点保留两位）：投标报价得分=(评标基准价／投标报价)×</w:t>
            </w:r>
            <w:r>
              <w:rPr>
                <w:rFonts w:hint="eastAsia"/>
                <w:color w:val="000000"/>
                <w:sz w:val="24"/>
                <w:szCs w:val="24"/>
                <w:highlight w:val="none"/>
                <w:lang w:val="en-US" w:eastAsia="zh-CN"/>
              </w:rPr>
              <w:t>3</w:t>
            </w:r>
            <w:r>
              <w:rPr>
                <w:rFonts w:hint="eastAsia" w:ascii="宋体" w:hAnsi="宋体" w:eastAsia="宋体"/>
                <w:color w:val="000000"/>
                <w:sz w:val="24"/>
                <w:szCs w:val="24"/>
                <w:highlight w:val="none"/>
                <w:lang w:val="en-US"/>
              </w:rPr>
              <w:t>0</w:t>
            </w:r>
            <w:r>
              <w:rPr>
                <w:rFonts w:hint="eastAsia" w:ascii="宋体" w:hAnsi="宋体" w:eastAsia="宋体"/>
                <w:color w:val="000000"/>
                <w:sz w:val="24"/>
                <w:szCs w:val="24"/>
                <w:highlight w:val="none"/>
              </w:rPr>
              <w:t>。</w:t>
            </w:r>
          </w:p>
        </w:tc>
        <w:tc>
          <w:tcPr>
            <w:tcW w:w="720" w:type="dxa"/>
            <w:shd w:val="clear" w:color="auto" w:fill="auto"/>
            <w:noWrap w:val="0"/>
            <w:vAlign w:val="center"/>
          </w:tcPr>
          <w:p w14:paraId="10261063">
            <w:pPr>
              <w:pStyle w:val="25"/>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13" w:right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en-US" w:eastAsia="zh-CN" w:bidi="ar-SA"/>
              </w:rPr>
              <w:t>0</w:t>
            </w:r>
          </w:p>
        </w:tc>
      </w:tr>
      <w:tr w14:paraId="157D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1061BCF9">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rPr>
              <w:t>2</w:t>
            </w:r>
          </w:p>
        </w:tc>
        <w:tc>
          <w:tcPr>
            <w:tcW w:w="1903" w:type="dxa"/>
            <w:shd w:val="clear" w:color="auto" w:fill="auto"/>
            <w:noWrap w:val="0"/>
            <w:vAlign w:val="center"/>
          </w:tcPr>
          <w:p w14:paraId="6F436146">
            <w:pPr>
              <w:pStyle w:val="85"/>
              <w:spacing w:line="360" w:lineRule="auto"/>
              <w:ind w:firstLine="0" w:firstLineChars="0"/>
              <w:jc w:val="center"/>
              <w:rPr>
                <w:rFonts w:hint="eastAsia" w:ascii="宋体" w:hAnsi="宋体" w:cs="宋体"/>
                <w:bCs/>
                <w:color w:val="auto"/>
                <w:kern w:val="2"/>
                <w:sz w:val="24"/>
                <w:szCs w:val="24"/>
                <w:highlight w:val="none"/>
                <w:lang w:val="en-US" w:bidi="ar"/>
              </w:rPr>
            </w:pPr>
            <w:r>
              <w:rPr>
                <w:rFonts w:hint="eastAsia" w:ascii="宋体" w:hAnsi="宋体" w:cs="宋体"/>
                <w:bCs/>
                <w:color w:val="auto"/>
                <w:kern w:val="2"/>
                <w:sz w:val="24"/>
                <w:szCs w:val="24"/>
                <w:highlight w:val="none"/>
                <w:lang w:val="en-US" w:bidi="ar"/>
              </w:rPr>
              <w:t>施工方案与</w:t>
            </w:r>
            <w:r>
              <w:rPr>
                <w:rFonts w:hint="eastAsia" w:ascii="宋体" w:hAnsi="宋体" w:cs="宋体"/>
                <w:bCs/>
                <w:color w:val="auto"/>
                <w:kern w:val="2"/>
                <w:sz w:val="24"/>
                <w:szCs w:val="24"/>
                <w:highlight w:val="none"/>
                <w:lang w:val="en-US" w:eastAsia="zh-CN" w:bidi="ar"/>
              </w:rPr>
              <w:t>技术</w:t>
            </w:r>
          </w:p>
          <w:p w14:paraId="78622899">
            <w:pPr>
              <w:pStyle w:val="85"/>
              <w:spacing w:line="360" w:lineRule="auto"/>
              <w:ind w:firstLine="0" w:firstLineChars="0"/>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Cs/>
                <w:color w:val="auto"/>
                <w:kern w:val="2"/>
                <w:sz w:val="24"/>
                <w:szCs w:val="24"/>
                <w:highlight w:val="none"/>
                <w:lang w:val="en-US" w:bidi="ar"/>
              </w:rPr>
              <w:t>术措施</w:t>
            </w:r>
          </w:p>
        </w:tc>
        <w:tc>
          <w:tcPr>
            <w:tcW w:w="6984" w:type="dxa"/>
            <w:shd w:val="clear" w:color="auto" w:fill="auto"/>
            <w:noWrap w:val="0"/>
            <w:vAlign w:val="center"/>
          </w:tcPr>
          <w:p w14:paraId="3A471760">
            <w:pPr>
              <w:pStyle w:val="85"/>
              <w:spacing w:line="360" w:lineRule="auto"/>
              <w:ind w:firstLine="0" w:firstLineChars="0"/>
              <w:rPr>
                <w:rFonts w:hint="eastAsia" w:ascii="宋体" w:hAnsi="宋体" w:cs="宋体"/>
                <w:bCs/>
                <w:color w:val="auto"/>
                <w:kern w:val="2"/>
                <w:sz w:val="24"/>
                <w:szCs w:val="24"/>
                <w:highlight w:val="none"/>
                <w:lang w:val="en-US" w:bidi="ar"/>
              </w:rPr>
            </w:pPr>
            <w:r>
              <w:rPr>
                <w:rFonts w:hint="eastAsia" w:ascii="宋体" w:hAnsi="宋体" w:cs="宋体"/>
                <w:bCs/>
                <w:color w:val="auto"/>
                <w:kern w:val="2"/>
                <w:sz w:val="24"/>
                <w:szCs w:val="24"/>
                <w:highlight w:val="none"/>
                <w:lang w:val="en-US" w:bidi="ar"/>
              </w:rPr>
              <w:t>根据供应商的施工方案与技术措施进行评审和比较，并量化打分：</w:t>
            </w:r>
          </w:p>
          <w:p w14:paraId="4E411C71">
            <w:pPr>
              <w:pStyle w:val="85"/>
              <w:spacing w:line="360" w:lineRule="auto"/>
              <w:ind w:firstLine="0" w:firstLineChars="0"/>
              <w:rPr>
                <w:rFonts w:hint="eastAsia" w:ascii="宋体" w:hAnsi="宋体" w:eastAsia="宋体" w:cs="宋体"/>
                <w:bCs/>
                <w:color w:val="auto"/>
                <w:kern w:val="2"/>
                <w:sz w:val="24"/>
                <w:szCs w:val="24"/>
                <w:highlight w:val="none"/>
                <w:lang w:val="en-US" w:eastAsia="zh-CN" w:bidi="ar"/>
              </w:rPr>
            </w:pPr>
            <w:r>
              <w:rPr>
                <w:rFonts w:hint="eastAsia" w:ascii="宋体" w:hAnsi="宋体" w:cs="宋体"/>
                <w:bCs/>
                <w:color w:val="auto"/>
                <w:kern w:val="2"/>
                <w:sz w:val="24"/>
                <w:szCs w:val="24"/>
                <w:highlight w:val="none"/>
                <w:lang w:val="en-US" w:bidi="ar"/>
              </w:rPr>
              <w:t>1.有完善的施工方案与技术措施，方案科学、合理、可行性高、有利于采购人实现项目目标的得</w:t>
            </w:r>
            <w:r>
              <w:rPr>
                <w:rFonts w:hint="eastAsia" w:cs="宋体"/>
                <w:bCs/>
                <w:color w:val="auto"/>
                <w:kern w:val="2"/>
                <w:sz w:val="24"/>
                <w:szCs w:val="24"/>
                <w:highlight w:val="none"/>
                <w:lang w:val="en-US" w:eastAsia="zh-CN" w:bidi="ar"/>
              </w:rPr>
              <w:t>9</w:t>
            </w:r>
            <w:r>
              <w:rPr>
                <w:rFonts w:hint="eastAsia" w:ascii="宋体" w:hAnsi="宋体" w:cs="宋体"/>
                <w:bCs/>
                <w:color w:val="auto"/>
                <w:kern w:val="2"/>
                <w:sz w:val="24"/>
                <w:szCs w:val="24"/>
                <w:highlight w:val="none"/>
                <w:lang w:val="en-US" w:bidi="ar"/>
              </w:rPr>
              <w:t>分；</w:t>
            </w:r>
          </w:p>
          <w:p w14:paraId="6A684367">
            <w:pPr>
              <w:pStyle w:val="85"/>
              <w:spacing w:line="360" w:lineRule="auto"/>
              <w:ind w:firstLine="0" w:firstLineChars="0"/>
              <w:rPr>
                <w:rFonts w:hint="eastAsia" w:ascii="宋体" w:hAnsi="宋体" w:cs="宋体"/>
                <w:bCs/>
                <w:color w:val="auto"/>
                <w:kern w:val="2"/>
                <w:sz w:val="24"/>
                <w:szCs w:val="24"/>
                <w:highlight w:val="none"/>
                <w:lang w:val="en-US" w:bidi="ar"/>
              </w:rPr>
            </w:pPr>
            <w:r>
              <w:rPr>
                <w:rFonts w:hint="eastAsia" w:ascii="宋体" w:hAnsi="宋体" w:cs="宋体"/>
                <w:bCs/>
                <w:color w:val="auto"/>
                <w:kern w:val="2"/>
                <w:sz w:val="24"/>
                <w:szCs w:val="24"/>
                <w:highlight w:val="none"/>
                <w:lang w:val="en-US" w:bidi="ar"/>
              </w:rPr>
              <w:t>2.施工方案与技术措施方案较科学、较合理、有一定可行性的得</w:t>
            </w:r>
            <w:r>
              <w:rPr>
                <w:rFonts w:hint="eastAsia" w:cs="宋体"/>
                <w:bCs/>
                <w:color w:val="auto"/>
                <w:kern w:val="2"/>
                <w:sz w:val="24"/>
                <w:szCs w:val="24"/>
                <w:highlight w:val="none"/>
                <w:lang w:val="en-US" w:eastAsia="zh-CN" w:bidi="ar"/>
              </w:rPr>
              <w:t>6</w:t>
            </w:r>
            <w:r>
              <w:rPr>
                <w:rFonts w:hint="eastAsia" w:ascii="宋体" w:hAnsi="宋体" w:cs="宋体"/>
                <w:bCs/>
                <w:color w:val="auto"/>
                <w:kern w:val="2"/>
                <w:sz w:val="24"/>
                <w:szCs w:val="24"/>
                <w:highlight w:val="none"/>
                <w:lang w:val="en-US" w:bidi="ar"/>
              </w:rPr>
              <w:t>分；</w:t>
            </w:r>
          </w:p>
          <w:p w14:paraId="2ACD598D">
            <w:pPr>
              <w:pStyle w:val="85"/>
              <w:spacing w:line="360" w:lineRule="auto"/>
              <w:ind w:firstLine="0" w:firstLineChars="0"/>
              <w:rPr>
                <w:rFonts w:hint="eastAsia" w:ascii="宋体" w:hAnsi="宋体" w:cs="宋体"/>
                <w:bCs/>
                <w:color w:val="auto"/>
                <w:kern w:val="2"/>
                <w:sz w:val="24"/>
                <w:szCs w:val="24"/>
                <w:highlight w:val="none"/>
                <w:lang w:val="en-US" w:bidi="ar"/>
              </w:rPr>
            </w:pPr>
            <w:r>
              <w:rPr>
                <w:rFonts w:hint="eastAsia" w:ascii="宋体" w:hAnsi="宋体" w:cs="宋体"/>
                <w:bCs/>
                <w:color w:val="auto"/>
                <w:kern w:val="2"/>
                <w:sz w:val="24"/>
                <w:szCs w:val="24"/>
                <w:highlight w:val="none"/>
                <w:lang w:val="en-US" w:bidi="ar"/>
              </w:rPr>
              <w:t>3.施工方案与技术措施方案有明显的瑕疵的得</w:t>
            </w:r>
            <w:r>
              <w:rPr>
                <w:rFonts w:hint="eastAsia" w:cs="宋体"/>
                <w:bCs/>
                <w:color w:val="auto"/>
                <w:kern w:val="2"/>
                <w:sz w:val="24"/>
                <w:szCs w:val="24"/>
                <w:highlight w:val="none"/>
                <w:lang w:val="en-US" w:eastAsia="zh-CN" w:bidi="ar"/>
              </w:rPr>
              <w:t>3</w:t>
            </w:r>
            <w:r>
              <w:rPr>
                <w:rFonts w:hint="eastAsia" w:ascii="宋体" w:hAnsi="宋体" w:cs="宋体"/>
                <w:bCs/>
                <w:color w:val="auto"/>
                <w:kern w:val="2"/>
                <w:sz w:val="24"/>
                <w:szCs w:val="24"/>
                <w:highlight w:val="none"/>
                <w:lang w:val="en-US" w:bidi="ar"/>
              </w:rPr>
              <w:t>分；</w:t>
            </w:r>
          </w:p>
          <w:p w14:paraId="2888496C">
            <w:pPr>
              <w:pStyle w:val="85"/>
              <w:spacing w:line="360" w:lineRule="auto"/>
              <w:ind w:firstLine="0" w:firstLineChars="0"/>
              <w:rPr>
                <w:rFonts w:ascii="宋体" w:hAnsi="宋体" w:cs="宋体"/>
                <w:bCs/>
                <w:color w:val="auto"/>
                <w:kern w:val="2"/>
                <w:sz w:val="24"/>
                <w:szCs w:val="24"/>
                <w:highlight w:val="none"/>
                <w:lang w:val="en-US" w:bidi="ar"/>
              </w:rPr>
            </w:pPr>
            <w:r>
              <w:rPr>
                <w:rFonts w:hint="eastAsia" w:ascii="宋体" w:hAnsi="宋体" w:cs="宋体"/>
                <w:bCs/>
                <w:color w:val="auto"/>
                <w:kern w:val="2"/>
                <w:sz w:val="24"/>
                <w:szCs w:val="24"/>
                <w:highlight w:val="none"/>
                <w:lang w:val="en-US" w:bidi="ar"/>
              </w:rPr>
              <w:t>4.施工方案与技术措施方案基本满足采购人要求的得1分；</w:t>
            </w:r>
          </w:p>
          <w:p w14:paraId="74248249">
            <w:pPr>
              <w:pStyle w:val="85"/>
              <w:spacing w:line="360" w:lineRule="auto"/>
              <w:ind w:firstLine="0" w:firstLineChars="0"/>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Cs/>
                <w:color w:val="auto"/>
                <w:kern w:val="2"/>
                <w:sz w:val="24"/>
                <w:szCs w:val="24"/>
                <w:highlight w:val="none"/>
                <w:lang w:val="en-US" w:bidi="ar"/>
              </w:rPr>
              <w:t>5.不提供不得分。</w:t>
            </w:r>
          </w:p>
        </w:tc>
        <w:tc>
          <w:tcPr>
            <w:tcW w:w="720" w:type="dxa"/>
            <w:shd w:val="clear" w:color="auto" w:fill="auto"/>
            <w:noWrap w:val="0"/>
            <w:vAlign w:val="center"/>
          </w:tcPr>
          <w:p w14:paraId="5C16A490">
            <w:pPr>
              <w:pStyle w:val="85"/>
              <w:spacing w:line="360" w:lineRule="auto"/>
              <w:ind w:firstLine="0" w:firstLineChars="0"/>
              <w:jc w:val="center"/>
              <w:rPr>
                <w:rFonts w:hint="default" w:ascii="宋体" w:hAnsi="宋体" w:eastAsia="宋体" w:cs="宋体"/>
                <w:color w:val="auto"/>
                <w:sz w:val="24"/>
                <w:szCs w:val="24"/>
                <w:highlight w:val="none"/>
                <w:lang w:val="en-US" w:eastAsia="zh-CN"/>
              </w:rPr>
            </w:pPr>
            <w:r>
              <w:rPr>
                <w:rFonts w:hint="eastAsia" w:cs="宋体"/>
                <w:color w:val="auto"/>
                <w:kern w:val="2"/>
                <w:sz w:val="24"/>
                <w:szCs w:val="24"/>
                <w:highlight w:val="none"/>
                <w:lang w:val="en-US" w:eastAsia="zh-CN"/>
              </w:rPr>
              <w:t>9</w:t>
            </w:r>
          </w:p>
        </w:tc>
      </w:tr>
      <w:tr w14:paraId="6DA5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6DFF7C00">
            <w:pPr>
              <w:pStyle w:val="85"/>
              <w:spacing w:line="360" w:lineRule="auto"/>
              <w:ind w:firstLine="0" w:firstLineChars="0"/>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color w:val="auto"/>
                <w:sz w:val="24"/>
                <w:szCs w:val="24"/>
                <w:highlight w:val="none"/>
                <w:lang w:val="en-US"/>
              </w:rPr>
              <w:t>3</w:t>
            </w:r>
          </w:p>
        </w:tc>
        <w:tc>
          <w:tcPr>
            <w:tcW w:w="1903" w:type="dxa"/>
            <w:shd w:val="clear" w:color="auto" w:fill="auto"/>
            <w:noWrap w:val="0"/>
            <w:vAlign w:val="center"/>
          </w:tcPr>
          <w:p w14:paraId="321E51A1">
            <w:pPr>
              <w:pStyle w:val="85"/>
              <w:spacing w:line="360" w:lineRule="auto"/>
              <w:ind w:firstLine="0" w:firstLineChars="0"/>
              <w:jc w:val="center"/>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质量管理体系</w:t>
            </w:r>
          </w:p>
          <w:p w14:paraId="3794E40D">
            <w:pPr>
              <w:pStyle w:val="85"/>
              <w:spacing w:line="360" w:lineRule="auto"/>
              <w:ind w:firstLine="0" w:firstLineChars="0"/>
              <w:jc w:val="center"/>
              <w:rPr>
                <w:color w:val="auto"/>
                <w:highlight w:val="none"/>
              </w:rPr>
            </w:pPr>
            <w:r>
              <w:rPr>
                <w:rFonts w:hint="eastAsia" w:ascii="宋体" w:hAnsi="宋体" w:cs="宋体"/>
                <w:color w:val="auto"/>
                <w:kern w:val="2"/>
                <w:sz w:val="24"/>
                <w:szCs w:val="24"/>
                <w:highlight w:val="none"/>
                <w:lang w:val="en-US" w:bidi="ar"/>
              </w:rPr>
              <w:t>与措施</w:t>
            </w:r>
          </w:p>
        </w:tc>
        <w:tc>
          <w:tcPr>
            <w:tcW w:w="6984" w:type="dxa"/>
            <w:shd w:val="clear" w:color="auto" w:fill="auto"/>
            <w:noWrap w:val="0"/>
            <w:vAlign w:val="center"/>
          </w:tcPr>
          <w:p w14:paraId="448537DC">
            <w:pPr>
              <w:spacing w:line="360" w:lineRule="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根据供应商的质量管理体系与措施进行评审和比较，并量化打分：</w:t>
            </w:r>
          </w:p>
          <w:p w14:paraId="53EB4122">
            <w:pPr>
              <w:spacing w:line="360" w:lineRule="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1.有完善的质量管理体系与措施，方案科学、合理、完全可行的得</w:t>
            </w:r>
            <w:r>
              <w:rPr>
                <w:rFonts w:hint="eastAsia" w:cs="宋体"/>
                <w:color w:val="auto"/>
                <w:kern w:val="2"/>
                <w:sz w:val="24"/>
                <w:szCs w:val="24"/>
                <w:highlight w:val="none"/>
                <w:lang w:val="en-US" w:eastAsia="zh-CN" w:bidi="ar"/>
              </w:rPr>
              <w:t>8</w:t>
            </w:r>
            <w:r>
              <w:rPr>
                <w:rFonts w:hint="eastAsia" w:ascii="宋体" w:hAnsi="宋体" w:cs="宋体"/>
                <w:color w:val="auto"/>
                <w:kern w:val="2"/>
                <w:sz w:val="24"/>
                <w:szCs w:val="24"/>
                <w:highlight w:val="none"/>
                <w:lang w:bidi="ar"/>
              </w:rPr>
              <w:t>分；</w:t>
            </w:r>
          </w:p>
          <w:p w14:paraId="09075550">
            <w:pPr>
              <w:spacing w:line="360" w:lineRule="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2.质量管理体系与措施方案较科学、较合理可行的得</w:t>
            </w:r>
            <w:r>
              <w:rPr>
                <w:rFonts w:hint="eastAsia" w:cs="宋体"/>
                <w:color w:val="auto"/>
                <w:kern w:val="2"/>
                <w:sz w:val="24"/>
                <w:szCs w:val="24"/>
                <w:highlight w:val="none"/>
                <w:lang w:val="en-US" w:eastAsia="zh-CN" w:bidi="ar"/>
              </w:rPr>
              <w:t>5</w:t>
            </w:r>
            <w:r>
              <w:rPr>
                <w:rFonts w:hint="eastAsia" w:ascii="宋体" w:hAnsi="宋体" w:cs="宋体"/>
                <w:color w:val="auto"/>
                <w:kern w:val="2"/>
                <w:sz w:val="24"/>
                <w:szCs w:val="24"/>
                <w:highlight w:val="none"/>
                <w:lang w:bidi="ar"/>
              </w:rPr>
              <w:t>分；</w:t>
            </w:r>
          </w:p>
          <w:p w14:paraId="4F1CF3FC">
            <w:pPr>
              <w:spacing w:line="360" w:lineRule="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3.质量管理体系与措施方案科学性和合理性有明显的瑕疵的得</w:t>
            </w:r>
            <w:r>
              <w:rPr>
                <w:rFonts w:hint="eastAsia" w:cs="宋体"/>
                <w:color w:val="auto"/>
                <w:kern w:val="2"/>
                <w:sz w:val="24"/>
                <w:szCs w:val="24"/>
                <w:highlight w:val="none"/>
                <w:lang w:val="en-US" w:eastAsia="zh-CN" w:bidi="ar"/>
              </w:rPr>
              <w:t>2</w:t>
            </w:r>
            <w:r>
              <w:rPr>
                <w:rFonts w:hint="eastAsia" w:ascii="宋体" w:hAnsi="宋体" w:cs="宋体"/>
                <w:color w:val="auto"/>
                <w:kern w:val="2"/>
                <w:sz w:val="24"/>
                <w:szCs w:val="24"/>
                <w:highlight w:val="none"/>
                <w:lang w:bidi="ar"/>
              </w:rPr>
              <w:t>分；</w:t>
            </w:r>
          </w:p>
          <w:p w14:paraId="17A3FB3E">
            <w:pPr>
              <w:spacing w:line="360" w:lineRule="auto"/>
              <w:rPr>
                <w:color w:val="auto"/>
                <w:highlight w:val="none"/>
              </w:rPr>
            </w:pPr>
            <w:r>
              <w:rPr>
                <w:rFonts w:hint="eastAsia" w:ascii="宋体" w:hAnsi="宋体" w:cs="宋体"/>
                <w:color w:val="auto"/>
                <w:kern w:val="2"/>
                <w:sz w:val="24"/>
                <w:szCs w:val="24"/>
                <w:highlight w:val="none"/>
                <w:lang w:bidi="ar"/>
              </w:rPr>
              <w:t>4.质量管理体系与措施方案基本满足采购人要求的得1分；</w:t>
            </w:r>
          </w:p>
          <w:p w14:paraId="3C1BA225">
            <w:pPr>
              <w:spacing w:line="360" w:lineRule="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color w:val="auto"/>
                <w:kern w:val="2"/>
                <w:sz w:val="24"/>
                <w:szCs w:val="24"/>
                <w:highlight w:val="none"/>
                <w:lang w:bidi="ar"/>
              </w:rPr>
              <w:t>5.不提供不得分。</w:t>
            </w:r>
          </w:p>
        </w:tc>
        <w:tc>
          <w:tcPr>
            <w:tcW w:w="720" w:type="dxa"/>
            <w:shd w:val="clear" w:color="auto" w:fill="auto"/>
            <w:noWrap w:val="0"/>
            <w:vAlign w:val="center"/>
          </w:tcPr>
          <w:p w14:paraId="08AEF07D">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r>
      <w:tr w14:paraId="16F9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2FEA4375">
            <w:pPr>
              <w:pStyle w:val="85"/>
              <w:spacing w:line="360" w:lineRule="auto"/>
              <w:ind w:firstLine="0" w:firstLineChars="0"/>
              <w:jc w:val="center"/>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4</w:t>
            </w:r>
          </w:p>
        </w:tc>
        <w:tc>
          <w:tcPr>
            <w:tcW w:w="1903" w:type="dxa"/>
            <w:shd w:val="clear" w:color="auto" w:fill="auto"/>
            <w:noWrap w:val="0"/>
            <w:vAlign w:val="center"/>
          </w:tcPr>
          <w:p w14:paraId="02F446BA">
            <w:pPr>
              <w:pStyle w:val="85"/>
              <w:spacing w:line="360" w:lineRule="auto"/>
              <w:ind w:firstLine="0" w:firstLineChars="0"/>
              <w:jc w:val="center"/>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项目进度计划</w:t>
            </w:r>
          </w:p>
          <w:p w14:paraId="46959983">
            <w:pPr>
              <w:pStyle w:val="85"/>
              <w:spacing w:line="360" w:lineRule="auto"/>
              <w:ind w:firstLine="0" w:firstLineChars="0"/>
              <w:jc w:val="center"/>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及保证措施</w:t>
            </w:r>
          </w:p>
        </w:tc>
        <w:tc>
          <w:tcPr>
            <w:tcW w:w="6984" w:type="dxa"/>
            <w:shd w:val="clear" w:color="auto" w:fill="auto"/>
            <w:noWrap w:val="0"/>
            <w:vAlign w:val="center"/>
          </w:tcPr>
          <w:p w14:paraId="7E2307D9">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根据供应商的项目进度计划及保证措施进行评审和比较，并量化打分：</w:t>
            </w:r>
          </w:p>
          <w:p w14:paraId="5230C7FA">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1.有完善的项目进度计划安排及保证措施方案，方案科学、合理、完全可行的得</w:t>
            </w:r>
            <w:r>
              <w:rPr>
                <w:rFonts w:hint="eastAsia" w:cs="宋体"/>
                <w:color w:val="auto"/>
                <w:kern w:val="2"/>
                <w:sz w:val="24"/>
                <w:szCs w:val="24"/>
                <w:highlight w:val="none"/>
                <w:lang w:val="en-US" w:eastAsia="zh-CN" w:bidi="ar"/>
              </w:rPr>
              <w:t>8</w:t>
            </w:r>
            <w:r>
              <w:rPr>
                <w:rFonts w:hint="eastAsia" w:ascii="宋体" w:hAnsi="宋体" w:cs="宋体"/>
                <w:color w:val="auto"/>
                <w:kern w:val="2"/>
                <w:sz w:val="24"/>
                <w:szCs w:val="24"/>
                <w:highlight w:val="none"/>
                <w:lang w:val="en-US" w:bidi="ar"/>
              </w:rPr>
              <w:t>分；</w:t>
            </w:r>
          </w:p>
          <w:p w14:paraId="409D0B4F">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2.项目进度计划安排及保证措施方案较科学、较合理可行的得</w:t>
            </w:r>
            <w:r>
              <w:rPr>
                <w:rFonts w:hint="eastAsia" w:cs="宋体"/>
                <w:color w:val="auto"/>
                <w:kern w:val="2"/>
                <w:sz w:val="24"/>
                <w:szCs w:val="24"/>
                <w:highlight w:val="none"/>
                <w:lang w:val="en-US" w:eastAsia="zh-CN" w:bidi="ar"/>
              </w:rPr>
              <w:t>5</w:t>
            </w:r>
            <w:r>
              <w:rPr>
                <w:rFonts w:hint="eastAsia" w:ascii="宋体" w:hAnsi="宋体" w:cs="宋体"/>
                <w:color w:val="auto"/>
                <w:kern w:val="2"/>
                <w:sz w:val="24"/>
                <w:szCs w:val="24"/>
                <w:highlight w:val="none"/>
                <w:lang w:val="en-US" w:bidi="ar"/>
              </w:rPr>
              <w:t>分；</w:t>
            </w:r>
          </w:p>
          <w:p w14:paraId="4605E4F6">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3.项目进度计划安排及保证措施方案有明显的瑕疵的得</w:t>
            </w:r>
            <w:r>
              <w:rPr>
                <w:rFonts w:hint="eastAsia" w:cs="宋体"/>
                <w:color w:val="auto"/>
                <w:kern w:val="2"/>
                <w:sz w:val="24"/>
                <w:szCs w:val="24"/>
                <w:highlight w:val="none"/>
                <w:lang w:val="en-US" w:eastAsia="zh-CN" w:bidi="ar"/>
              </w:rPr>
              <w:t>2</w:t>
            </w:r>
            <w:r>
              <w:rPr>
                <w:rFonts w:hint="eastAsia" w:ascii="宋体" w:hAnsi="宋体" w:cs="宋体"/>
                <w:color w:val="auto"/>
                <w:kern w:val="2"/>
                <w:sz w:val="24"/>
                <w:szCs w:val="24"/>
                <w:highlight w:val="none"/>
                <w:lang w:val="en-US" w:bidi="ar"/>
              </w:rPr>
              <w:t>分；</w:t>
            </w:r>
          </w:p>
          <w:p w14:paraId="7D827DC8">
            <w:pPr>
              <w:pStyle w:val="85"/>
              <w:spacing w:line="360" w:lineRule="auto"/>
              <w:ind w:firstLine="0" w:firstLineChars="0"/>
              <w:jc w:val="left"/>
              <w:rPr>
                <w:rFonts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4.项目进度计划安排及保证措施方案基本满足采购人要求的得1分；</w:t>
            </w:r>
          </w:p>
          <w:p w14:paraId="662A2C3F">
            <w:pPr>
              <w:pStyle w:val="85"/>
              <w:spacing w:line="360" w:lineRule="auto"/>
              <w:ind w:firstLine="0" w:firstLineChars="0"/>
              <w:jc w:val="left"/>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val="en-US" w:bidi="ar"/>
              </w:rPr>
              <w:t>5.不提供不得分。</w:t>
            </w:r>
          </w:p>
        </w:tc>
        <w:tc>
          <w:tcPr>
            <w:tcW w:w="720" w:type="dxa"/>
            <w:shd w:val="clear" w:color="auto" w:fill="auto"/>
            <w:noWrap w:val="0"/>
            <w:vAlign w:val="center"/>
          </w:tcPr>
          <w:p w14:paraId="5FB21DE8">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r>
      <w:tr w14:paraId="42F2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6CF8D56D">
            <w:pPr>
              <w:pStyle w:val="85"/>
              <w:spacing w:line="360" w:lineRule="auto"/>
              <w:ind w:firstLine="0" w:firstLineChars="0"/>
              <w:jc w:val="center"/>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5</w:t>
            </w:r>
          </w:p>
        </w:tc>
        <w:tc>
          <w:tcPr>
            <w:tcW w:w="1903" w:type="dxa"/>
            <w:shd w:val="clear" w:color="auto" w:fill="auto"/>
            <w:noWrap w:val="0"/>
            <w:vAlign w:val="center"/>
          </w:tcPr>
          <w:p w14:paraId="117BE9BE">
            <w:pPr>
              <w:spacing w:line="360" w:lineRule="auto"/>
              <w:jc w:val="center"/>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bidi="ar"/>
              </w:rPr>
              <w:t>重点、难点及合理化建议</w:t>
            </w:r>
          </w:p>
        </w:tc>
        <w:tc>
          <w:tcPr>
            <w:tcW w:w="6984" w:type="dxa"/>
            <w:shd w:val="clear" w:color="auto" w:fill="auto"/>
            <w:noWrap w:val="0"/>
            <w:vAlign w:val="top"/>
          </w:tcPr>
          <w:p w14:paraId="0F5D11B8">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评委根据供应商针对本项目关键施工技术的重点、难点的分析及针对性合理化建议（措施）的科学性、可行性、全面性及有效性等进行评分：</w:t>
            </w:r>
          </w:p>
          <w:p w14:paraId="6C3DF6BD">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1、针对本项目关键施工技术的重点、难点的分析及针对性合理化建议（措施）表述全面、科学合理，可行性和针对性强的得</w:t>
            </w:r>
            <w:r>
              <w:rPr>
                <w:rFonts w:hint="eastAsia" w:cs="宋体"/>
                <w:color w:val="auto"/>
                <w:kern w:val="2"/>
                <w:sz w:val="24"/>
                <w:szCs w:val="24"/>
                <w:highlight w:val="none"/>
                <w:lang w:val="en-US" w:eastAsia="zh-CN" w:bidi="ar"/>
              </w:rPr>
              <w:t>8</w:t>
            </w:r>
            <w:r>
              <w:rPr>
                <w:rFonts w:hint="eastAsia" w:ascii="宋体" w:hAnsi="宋体" w:cs="宋体"/>
                <w:color w:val="auto"/>
                <w:kern w:val="2"/>
                <w:sz w:val="24"/>
                <w:szCs w:val="24"/>
                <w:highlight w:val="none"/>
                <w:lang w:val="en-US" w:bidi="ar"/>
              </w:rPr>
              <w:t>分；</w:t>
            </w:r>
          </w:p>
          <w:p w14:paraId="2056FBA1">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2、针对本项目关键施工技术的重点、难点的分析及针对性合理化建议（措施）表述较全面、较科学合理，可行性和针对性较强的得</w:t>
            </w:r>
            <w:r>
              <w:rPr>
                <w:rFonts w:hint="eastAsia" w:cs="宋体"/>
                <w:color w:val="auto"/>
                <w:kern w:val="2"/>
                <w:sz w:val="24"/>
                <w:szCs w:val="24"/>
                <w:highlight w:val="none"/>
                <w:lang w:val="en-US" w:eastAsia="zh-CN" w:bidi="ar"/>
              </w:rPr>
              <w:t>5</w:t>
            </w:r>
            <w:r>
              <w:rPr>
                <w:rFonts w:hint="eastAsia" w:ascii="宋体" w:hAnsi="宋体" w:cs="宋体"/>
                <w:color w:val="auto"/>
                <w:kern w:val="2"/>
                <w:sz w:val="24"/>
                <w:szCs w:val="24"/>
                <w:highlight w:val="none"/>
                <w:lang w:val="en-US" w:bidi="ar"/>
              </w:rPr>
              <w:t>分；</w:t>
            </w:r>
          </w:p>
          <w:p w14:paraId="5F3F577F">
            <w:pPr>
              <w:pStyle w:val="85"/>
              <w:spacing w:line="360" w:lineRule="auto"/>
              <w:ind w:firstLine="0" w:firstLineChars="0"/>
              <w:jc w:val="left"/>
              <w:rPr>
                <w:rFonts w:hint="eastAsia"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3、针对本项目关键施工技术的重点、难点的分析及针对性合理化建议（措施）可行性一般的得</w:t>
            </w:r>
            <w:r>
              <w:rPr>
                <w:rFonts w:hint="eastAsia" w:cs="宋体"/>
                <w:color w:val="auto"/>
                <w:kern w:val="2"/>
                <w:sz w:val="24"/>
                <w:szCs w:val="24"/>
                <w:highlight w:val="none"/>
                <w:lang w:val="en-US" w:eastAsia="zh-CN" w:bidi="ar"/>
              </w:rPr>
              <w:t>2</w:t>
            </w:r>
            <w:r>
              <w:rPr>
                <w:rFonts w:hint="eastAsia" w:ascii="宋体" w:hAnsi="宋体" w:cs="宋体"/>
                <w:color w:val="auto"/>
                <w:kern w:val="2"/>
                <w:sz w:val="24"/>
                <w:szCs w:val="24"/>
                <w:highlight w:val="none"/>
                <w:lang w:val="en-US" w:bidi="ar"/>
              </w:rPr>
              <w:t>分；</w:t>
            </w:r>
          </w:p>
          <w:p w14:paraId="53DA2EF9">
            <w:pPr>
              <w:pStyle w:val="85"/>
              <w:spacing w:line="360" w:lineRule="auto"/>
              <w:ind w:firstLine="0" w:firstLineChars="0"/>
              <w:jc w:val="left"/>
              <w:rPr>
                <w:rFonts w:ascii="宋体" w:hAnsi="宋体" w:cs="宋体"/>
                <w:color w:val="auto"/>
                <w:kern w:val="2"/>
                <w:sz w:val="24"/>
                <w:szCs w:val="24"/>
                <w:highlight w:val="none"/>
                <w:lang w:val="en-US" w:bidi="ar"/>
              </w:rPr>
            </w:pPr>
            <w:r>
              <w:rPr>
                <w:rFonts w:hint="eastAsia" w:ascii="宋体" w:hAnsi="宋体" w:cs="宋体"/>
                <w:color w:val="auto"/>
                <w:kern w:val="2"/>
                <w:sz w:val="24"/>
                <w:szCs w:val="24"/>
                <w:highlight w:val="none"/>
                <w:lang w:val="en-US" w:bidi="ar"/>
              </w:rPr>
              <w:t>4.针对本项目关键施工技术的重点、难点的分析及针对性合理化建议（措施）基本满足采购人需求的得1分；</w:t>
            </w:r>
          </w:p>
          <w:p w14:paraId="224194A4">
            <w:pPr>
              <w:pStyle w:val="85"/>
              <w:spacing w:line="360" w:lineRule="auto"/>
              <w:ind w:firstLine="0" w:firstLineChars="0"/>
              <w:jc w:val="left"/>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val="en-US" w:bidi="ar"/>
              </w:rPr>
              <w:t>5、不提供不得分。</w:t>
            </w:r>
          </w:p>
        </w:tc>
        <w:tc>
          <w:tcPr>
            <w:tcW w:w="720" w:type="dxa"/>
            <w:shd w:val="clear" w:color="auto" w:fill="auto"/>
            <w:noWrap w:val="0"/>
            <w:vAlign w:val="center"/>
          </w:tcPr>
          <w:p w14:paraId="6B985F2D">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r>
      <w:tr w14:paraId="3FBD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3E1A8357">
            <w:pPr>
              <w:pStyle w:val="85"/>
              <w:spacing w:line="360" w:lineRule="auto"/>
              <w:ind w:firstLine="0" w:firstLineChars="0"/>
              <w:jc w:val="center"/>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6</w:t>
            </w:r>
          </w:p>
        </w:tc>
        <w:tc>
          <w:tcPr>
            <w:tcW w:w="1903" w:type="dxa"/>
            <w:shd w:val="clear" w:color="auto" w:fill="auto"/>
            <w:noWrap w:val="0"/>
            <w:vAlign w:val="center"/>
          </w:tcPr>
          <w:p w14:paraId="249FA222">
            <w:pPr>
              <w:pStyle w:val="85"/>
              <w:spacing w:line="360" w:lineRule="auto"/>
              <w:ind w:firstLine="0" w:firstLineChars="0"/>
              <w:jc w:val="center"/>
              <w:rPr>
                <w:rFonts w:hint="eastAsia" w:ascii="宋体" w:hAnsi="宋体" w:cs="宋体"/>
                <w:color w:val="auto"/>
                <w:kern w:val="2"/>
                <w:sz w:val="24"/>
                <w:szCs w:val="24"/>
                <w:highlight w:val="none"/>
                <w:lang w:val="en-US" w:bidi="ar"/>
              </w:rPr>
            </w:pPr>
            <w:r>
              <w:rPr>
                <w:rFonts w:hint="eastAsia" w:ascii="宋体" w:hAnsi="宋体" w:cs="宋体"/>
                <w:bCs/>
                <w:color w:val="auto"/>
                <w:kern w:val="2"/>
                <w:sz w:val="24"/>
                <w:szCs w:val="24"/>
                <w:highlight w:val="none"/>
                <w:lang w:val="en-US" w:bidi="ar"/>
              </w:rPr>
              <w:t>现场管理</w:t>
            </w:r>
          </w:p>
        </w:tc>
        <w:tc>
          <w:tcPr>
            <w:tcW w:w="6984" w:type="dxa"/>
            <w:shd w:val="clear" w:color="auto" w:fill="auto"/>
            <w:noWrap w:val="0"/>
            <w:vAlign w:val="top"/>
          </w:tcPr>
          <w:p w14:paraId="38547FEA">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评委根据供应商提供的现场临时设施管理</w:t>
            </w:r>
            <w:r>
              <w:rPr>
                <w:rFonts w:hint="eastAsia" w:ascii="宋体" w:hAnsi="宋体" w:cs="宋体"/>
                <w:color w:val="auto"/>
                <w:kern w:val="2"/>
                <w:sz w:val="24"/>
                <w:szCs w:val="24"/>
                <w:highlight w:val="none"/>
                <w:lang w:bidi="ar"/>
              </w:rPr>
              <w:t>进行评审和比较，并量化打分：</w:t>
            </w:r>
          </w:p>
          <w:p w14:paraId="4BE6C0C7">
            <w:pPr>
              <w:numPr>
                <w:ilvl w:val="0"/>
                <w:numId w:val="3"/>
              </w:num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设施布置分区合理，主要临时设施考虑全面，标识清晰，扰民问题解决方案或措施完善的得</w:t>
            </w:r>
            <w:r>
              <w:rPr>
                <w:rFonts w:hint="eastAsia" w:cs="宋体"/>
                <w:bCs/>
                <w:color w:val="auto"/>
                <w:sz w:val="24"/>
                <w:szCs w:val="24"/>
                <w:highlight w:val="none"/>
                <w:lang w:val="en-US" w:eastAsia="zh-CN"/>
              </w:rPr>
              <w:t>8</w:t>
            </w:r>
            <w:r>
              <w:rPr>
                <w:rFonts w:hint="eastAsia" w:ascii="宋体" w:hAnsi="宋体" w:cs="宋体"/>
                <w:bCs/>
                <w:color w:val="auto"/>
                <w:sz w:val="24"/>
                <w:szCs w:val="24"/>
                <w:highlight w:val="none"/>
              </w:rPr>
              <w:t>分；</w:t>
            </w:r>
          </w:p>
          <w:p w14:paraId="6F1A9607">
            <w:pPr>
              <w:pStyle w:val="8"/>
              <w:spacing w:line="360" w:lineRule="auto"/>
              <w:ind w:left="0" w:leftChars="0"/>
              <w:rPr>
                <w:color w:val="auto"/>
                <w:highlight w:val="none"/>
              </w:rPr>
            </w:pPr>
            <w:r>
              <w:rPr>
                <w:rFonts w:hint="eastAsia" w:ascii="宋体" w:hAnsi="宋体" w:cs="宋体"/>
                <w:bCs/>
                <w:color w:val="auto"/>
                <w:sz w:val="24"/>
                <w:szCs w:val="24"/>
                <w:highlight w:val="none"/>
              </w:rPr>
              <w:t>2.设施布置分区较合理，现场主要临时设施摆放较合理，无基本安全隐患，扰民问题解决方案或措施较完善的得</w:t>
            </w:r>
            <w:r>
              <w:rPr>
                <w:rFonts w:hint="eastAsia" w:cs="宋体"/>
                <w:bCs/>
                <w:color w:val="auto"/>
                <w:sz w:val="24"/>
                <w:szCs w:val="24"/>
                <w:highlight w:val="none"/>
                <w:lang w:val="en-US" w:eastAsia="zh-CN"/>
              </w:rPr>
              <w:t>5</w:t>
            </w:r>
            <w:r>
              <w:rPr>
                <w:rFonts w:hint="eastAsia" w:ascii="宋体" w:hAnsi="宋体" w:cs="宋体"/>
                <w:bCs/>
                <w:color w:val="auto"/>
                <w:sz w:val="24"/>
                <w:szCs w:val="24"/>
                <w:highlight w:val="none"/>
              </w:rPr>
              <w:t>分；</w:t>
            </w:r>
          </w:p>
          <w:p w14:paraId="375A8CA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3.有明显瑕疵的（如平面布置严重不合理、临时设施考虑不全面、标识不清晰、扰民问题解决方案无可行性、不符合项目需求等）得</w:t>
            </w:r>
            <w:r>
              <w:rPr>
                <w:rFonts w:hint="eastAsia" w:cs="宋体"/>
                <w:bCs/>
                <w:color w:val="auto"/>
                <w:sz w:val="24"/>
                <w:szCs w:val="24"/>
                <w:highlight w:val="none"/>
                <w:lang w:val="en-US" w:eastAsia="zh-CN"/>
              </w:rPr>
              <w:t>2</w:t>
            </w:r>
            <w:r>
              <w:rPr>
                <w:rFonts w:hint="eastAsia" w:ascii="宋体" w:hAnsi="宋体" w:cs="宋体"/>
                <w:bCs/>
                <w:color w:val="auto"/>
                <w:sz w:val="24"/>
                <w:szCs w:val="24"/>
                <w:highlight w:val="none"/>
              </w:rPr>
              <w:t>分；</w:t>
            </w:r>
          </w:p>
          <w:p w14:paraId="291D1F68">
            <w:pPr>
              <w:pStyle w:val="85"/>
              <w:spacing w:line="360" w:lineRule="auto"/>
              <w:ind w:firstLine="0" w:firstLineChars="0"/>
              <w:rPr>
                <w:color w:val="auto"/>
                <w:highlight w:val="none"/>
                <w:lang w:val="en-US"/>
              </w:rPr>
            </w:pPr>
            <w:r>
              <w:rPr>
                <w:rFonts w:hint="eastAsia" w:ascii="宋体" w:hAnsi="宋体" w:cs="宋体"/>
                <w:bCs/>
                <w:color w:val="auto"/>
                <w:sz w:val="24"/>
                <w:szCs w:val="24"/>
                <w:highlight w:val="none"/>
                <w:lang w:val="en-US"/>
              </w:rPr>
              <w:t>4.现场临时设施管理方案基本满足采购人要求的得1分；</w:t>
            </w:r>
          </w:p>
          <w:p w14:paraId="1251C966">
            <w:pPr>
              <w:spacing w:line="360" w:lineRule="auto"/>
              <w:rPr>
                <w:rFonts w:hint="eastAsia" w:ascii="宋体" w:hAnsi="宋体" w:cs="宋体"/>
                <w:color w:val="auto"/>
                <w:kern w:val="2"/>
                <w:sz w:val="24"/>
                <w:szCs w:val="24"/>
                <w:highlight w:val="none"/>
                <w:lang w:bidi="ar"/>
              </w:rPr>
            </w:pPr>
            <w:r>
              <w:rPr>
                <w:rFonts w:hint="eastAsia" w:ascii="宋体" w:hAnsi="宋体" w:cs="宋体"/>
                <w:bCs/>
                <w:color w:val="auto"/>
                <w:sz w:val="24"/>
                <w:szCs w:val="24"/>
                <w:highlight w:val="none"/>
              </w:rPr>
              <w:t>5.不提供不得分。</w:t>
            </w:r>
          </w:p>
        </w:tc>
        <w:tc>
          <w:tcPr>
            <w:tcW w:w="720" w:type="dxa"/>
            <w:shd w:val="clear" w:color="auto" w:fill="auto"/>
            <w:noWrap w:val="0"/>
            <w:vAlign w:val="center"/>
          </w:tcPr>
          <w:p w14:paraId="00804895">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r>
      <w:tr w14:paraId="1A43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06C4A8D4">
            <w:pPr>
              <w:pStyle w:val="85"/>
              <w:spacing w:line="360" w:lineRule="auto"/>
              <w:ind w:firstLine="0" w:firstLineChars="0"/>
              <w:jc w:val="center"/>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7</w:t>
            </w:r>
          </w:p>
        </w:tc>
        <w:tc>
          <w:tcPr>
            <w:tcW w:w="1903" w:type="dxa"/>
            <w:shd w:val="clear" w:color="auto" w:fill="auto"/>
            <w:noWrap w:val="0"/>
            <w:vAlign w:val="center"/>
          </w:tcPr>
          <w:p w14:paraId="1DDA0DDD">
            <w:pPr>
              <w:spacing w:line="360" w:lineRule="auto"/>
              <w:jc w:val="center"/>
              <w:rPr>
                <w:rFonts w:hint="eastAsia" w:ascii="宋体" w:hAnsi="宋体" w:cs="宋体"/>
                <w:color w:val="auto"/>
                <w:kern w:val="2"/>
                <w:sz w:val="24"/>
                <w:szCs w:val="24"/>
                <w:highlight w:val="none"/>
                <w:lang w:val="en-US" w:bidi="ar"/>
              </w:rPr>
            </w:pPr>
            <w:r>
              <w:rPr>
                <w:rFonts w:hint="eastAsia" w:ascii="宋体" w:hAnsi="宋体" w:cs="宋体"/>
                <w:bCs/>
                <w:color w:val="auto"/>
                <w:kern w:val="2"/>
                <w:sz w:val="24"/>
                <w:szCs w:val="24"/>
                <w:highlight w:val="none"/>
                <w:lang w:bidi="ar"/>
              </w:rPr>
              <w:t>安全文明施工及环境保护</w:t>
            </w:r>
          </w:p>
        </w:tc>
        <w:tc>
          <w:tcPr>
            <w:tcW w:w="6984" w:type="dxa"/>
            <w:shd w:val="clear" w:color="auto" w:fill="auto"/>
            <w:noWrap w:val="0"/>
            <w:vAlign w:val="center"/>
          </w:tcPr>
          <w:p w14:paraId="450F6548">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评委根据供应商提供的</w:t>
            </w:r>
            <w:r>
              <w:rPr>
                <w:rFonts w:hint="eastAsia" w:ascii="宋体" w:hAnsi="宋体" w:cs="宋体"/>
                <w:bCs/>
                <w:color w:val="auto"/>
                <w:kern w:val="2"/>
                <w:sz w:val="24"/>
                <w:szCs w:val="24"/>
                <w:highlight w:val="none"/>
                <w:lang w:bidi="ar"/>
              </w:rPr>
              <w:t>安全文明施工及环境保护方案</w:t>
            </w:r>
            <w:r>
              <w:rPr>
                <w:rFonts w:hint="eastAsia" w:ascii="宋体" w:hAnsi="宋体" w:cs="宋体"/>
                <w:bCs/>
                <w:color w:val="auto"/>
                <w:sz w:val="24"/>
                <w:szCs w:val="24"/>
                <w:highlight w:val="none"/>
              </w:rPr>
              <w:t>等评分：</w:t>
            </w:r>
          </w:p>
          <w:p w14:paraId="22E10E5D">
            <w:pPr>
              <w:numPr>
                <w:ilvl w:val="0"/>
                <w:numId w:val="4"/>
              </w:num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安全文明施工总体计划周密，环境保护、环境卫生管理制度完善，责任清晰、措施到位的得</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分；</w:t>
            </w:r>
          </w:p>
          <w:p w14:paraId="49D692E2">
            <w:pPr>
              <w:numPr>
                <w:ilvl w:val="0"/>
                <w:numId w:val="4"/>
              </w:num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有一般瑕疵的（如安全文明施工总体计划较周密、完整，环境保护、环境卫生管理制度较完善等）得</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分；</w:t>
            </w:r>
          </w:p>
          <w:p w14:paraId="3B44D114">
            <w:pPr>
              <w:numPr>
                <w:ilvl w:val="0"/>
                <w:numId w:val="4"/>
              </w:numPr>
              <w:spacing w:line="360" w:lineRule="auto"/>
              <w:rPr>
                <w:rFonts w:hint="eastAsia" w:ascii="宋体" w:hAnsi="宋体" w:cs="宋体"/>
                <w:color w:val="auto"/>
                <w:sz w:val="24"/>
                <w:highlight w:val="none"/>
              </w:rPr>
            </w:pPr>
            <w:r>
              <w:rPr>
                <w:rFonts w:hint="eastAsia" w:ascii="宋体" w:hAnsi="宋体" w:cs="宋体"/>
                <w:bCs/>
                <w:color w:val="auto"/>
                <w:sz w:val="24"/>
                <w:szCs w:val="24"/>
                <w:highlight w:val="none"/>
              </w:rPr>
              <w:t>有明显瑕疵的（如安全文明施工总体计划周密性不足、环境保护、环境卫生管理制度设置不规范、不满足项目需求）得</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分；</w:t>
            </w:r>
          </w:p>
          <w:p w14:paraId="03F95A6D">
            <w:pPr>
              <w:pStyle w:val="85"/>
              <w:spacing w:line="360" w:lineRule="auto"/>
              <w:ind w:firstLine="0" w:firstLineChars="0"/>
              <w:rPr>
                <w:color w:val="auto"/>
                <w:highlight w:val="none"/>
                <w:lang w:val="en-US"/>
              </w:rPr>
            </w:pPr>
            <w:r>
              <w:rPr>
                <w:rFonts w:hint="eastAsia" w:ascii="宋体" w:hAnsi="宋体" w:cs="宋体"/>
                <w:bCs/>
                <w:color w:val="auto"/>
                <w:sz w:val="24"/>
                <w:szCs w:val="24"/>
                <w:highlight w:val="none"/>
                <w:lang w:val="en-US"/>
              </w:rPr>
              <w:t>4.</w:t>
            </w:r>
            <w:r>
              <w:rPr>
                <w:rFonts w:hint="eastAsia" w:ascii="宋体" w:hAnsi="宋体" w:cs="宋体"/>
                <w:bCs/>
                <w:color w:val="auto"/>
                <w:kern w:val="2"/>
                <w:sz w:val="24"/>
                <w:szCs w:val="24"/>
                <w:highlight w:val="none"/>
                <w:lang w:val="en-US" w:bidi="ar"/>
              </w:rPr>
              <w:t>安全文明施工及环境保护方案基本满足采购人要求的得1分；</w:t>
            </w:r>
          </w:p>
          <w:p w14:paraId="025BFDBA">
            <w:pPr>
              <w:spacing w:line="360" w:lineRule="auto"/>
              <w:rPr>
                <w:rFonts w:hint="eastAsia" w:ascii="宋体" w:hAnsi="宋体" w:cs="宋体"/>
                <w:color w:val="auto"/>
                <w:kern w:val="2"/>
                <w:sz w:val="24"/>
                <w:szCs w:val="24"/>
                <w:highlight w:val="none"/>
                <w:lang w:bidi="ar"/>
              </w:rPr>
            </w:pPr>
            <w:r>
              <w:rPr>
                <w:rFonts w:hint="eastAsia" w:ascii="宋体" w:hAnsi="宋体" w:cs="宋体"/>
                <w:bCs/>
                <w:color w:val="auto"/>
                <w:sz w:val="24"/>
                <w:szCs w:val="24"/>
                <w:highlight w:val="none"/>
              </w:rPr>
              <w:t>5.不提供不得分。</w:t>
            </w:r>
          </w:p>
        </w:tc>
        <w:tc>
          <w:tcPr>
            <w:tcW w:w="720" w:type="dxa"/>
            <w:shd w:val="clear" w:color="auto" w:fill="auto"/>
            <w:noWrap w:val="0"/>
            <w:vAlign w:val="center"/>
          </w:tcPr>
          <w:p w14:paraId="0996B6ED">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9</w:t>
            </w:r>
          </w:p>
        </w:tc>
      </w:tr>
      <w:tr w14:paraId="59BF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4EBA9043">
            <w:pPr>
              <w:pStyle w:val="85"/>
              <w:spacing w:line="360" w:lineRule="auto"/>
              <w:ind w:firstLine="0" w:firstLineChars="0"/>
              <w:jc w:val="center"/>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8</w:t>
            </w:r>
          </w:p>
        </w:tc>
        <w:tc>
          <w:tcPr>
            <w:tcW w:w="1903" w:type="dxa"/>
            <w:shd w:val="clear" w:color="auto" w:fill="auto"/>
            <w:noWrap w:val="0"/>
            <w:vAlign w:val="center"/>
          </w:tcPr>
          <w:p w14:paraId="317DC53C">
            <w:pPr>
              <w:spacing w:line="360" w:lineRule="auto"/>
              <w:jc w:val="center"/>
              <w:rPr>
                <w:rFonts w:hint="eastAsia" w:ascii="宋体" w:hAnsi="宋体" w:cs="宋体"/>
                <w:color w:val="auto"/>
                <w:kern w:val="2"/>
                <w:sz w:val="24"/>
                <w:szCs w:val="24"/>
                <w:highlight w:val="none"/>
                <w:lang w:val="en-US" w:bidi="ar"/>
              </w:rPr>
            </w:pPr>
            <w:r>
              <w:rPr>
                <w:rFonts w:hint="eastAsia" w:ascii="宋体" w:hAnsi="宋体" w:cs="宋体"/>
                <w:color w:val="auto"/>
                <w:sz w:val="24"/>
                <w:szCs w:val="24"/>
                <w:highlight w:val="none"/>
              </w:rPr>
              <w:t>突发事件的应急情况及相关应急措施</w:t>
            </w:r>
          </w:p>
        </w:tc>
        <w:tc>
          <w:tcPr>
            <w:tcW w:w="6984" w:type="dxa"/>
            <w:shd w:val="clear" w:color="auto" w:fill="auto"/>
            <w:noWrap w:val="0"/>
            <w:vAlign w:val="center"/>
          </w:tcPr>
          <w:p w14:paraId="286DA01B">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评委根据供应商提供的</w:t>
            </w:r>
            <w:r>
              <w:rPr>
                <w:rFonts w:hint="eastAsia" w:ascii="宋体" w:hAnsi="宋体" w:cs="宋体"/>
                <w:color w:val="auto"/>
                <w:sz w:val="24"/>
                <w:szCs w:val="24"/>
                <w:highlight w:val="none"/>
              </w:rPr>
              <w:t>突发事件的应急情况及相关应急措施</w:t>
            </w:r>
            <w:r>
              <w:rPr>
                <w:rFonts w:hint="eastAsia" w:ascii="宋体" w:hAnsi="宋体" w:cs="宋体"/>
                <w:color w:val="auto"/>
                <w:kern w:val="2"/>
                <w:sz w:val="24"/>
                <w:szCs w:val="24"/>
                <w:highlight w:val="none"/>
                <w:lang w:bidi="ar"/>
              </w:rPr>
              <w:t>进行评审和比较，并量化打分：</w:t>
            </w:r>
          </w:p>
          <w:p w14:paraId="5A96DC07">
            <w:pPr>
              <w:numPr>
                <w:ilvl w:val="0"/>
                <w:numId w:val="5"/>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突发事件的应急情况及相关应急预案完善，有效，应急保障措施可行性高的得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04F34E01">
            <w:pPr>
              <w:numPr>
                <w:ilvl w:val="0"/>
                <w:numId w:val="5"/>
              </w:num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应急预案及措施较完整、科学、合理的得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7E020F0D">
            <w:pPr>
              <w:numPr>
                <w:ilvl w:val="0"/>
                <w:numId w:val="5"/>
              </w:num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应急措施不够完整、科学、合理</w:t>
            </w:r>
            <w:r>
              <w:rPr>
                <w:rFonts w:hint="eastAsia" w:ascii="宋体" w:hAnsi="宋体" w:cs="宋体"/>
                <w:color w:val="auto"/>
                <w:sz w:val="24"/>
                <w:szCs w:val="24"/>
                <w:highlight w:val="none"/>
                <w:lang w:eastAsia="zh-CN"/>
              </w:rPr>
              <w:t>且</w:t>
            </w:r>
            <w:r>
              <w:rPr>
                <w:rFonts w:hint="eastAsia" w:ascii="宋体" w:hAnsi="宋体" w:cs="宋体"/>
                <w:color w:val="auto"/>
                <w:sz w:val="24"/>
                <w:szCs w:val="24"/>
                <w:highlight w:val="none"/>
              </w:rPr>
              <w:t>有明显瑕疵的得2分；</w:t>
            </w:r>
          </w:p>
          <w:p w14:paraId="1D5A7457">
            <w:pPr>
              <w:numPr>
                <w:ilvl w:val="0"/>
                <w:numId w:val="5"/>
              </w:num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应急情况及相关应急措施基本满足采购人要求的得1分；</w:t>
            </w:r>
          </w:p>
          <w:p w14:paraId="3DDF0E60">
            <w:pPr>
              <w:numPr>
                <w:ilvl w:val="0"/>
                <w:numId w:val="5"/>
              </w:numPr>
              <w:spacing w:line="360" w:lineRule="auto"/>
              <w:rPr>
                <w:rFonts w:hint="eastAsia" w:ascii="宋体" w:hAnsi="宋体" w:cs="宋体"/>
                <w:color w:val="auto"/>
                <w:kern w:val="2"/>
                <w:sz w:val="24"/>
                <w:szCs w:val="24"/>
                <w:highlight w:val="none"/>
                <w:lang w:bidi="ar"/>
              </w:rPr>
            </w:pPr>
            <w:r>
              <w:rPr>
                <w:rFonts w:hint="eastAsia" w:ascii="宋体" w:hAnsi="宋体" w:cs="宋体"/>
                <w:color w:val="auto"/>
                <w:sz w:val="24"/>
                <w:szCs w:val="24"/>
                <w:highlight w:val="none"/>
              </w:rPr>
              <w:t>不提供不得分。</w:t>
            </w:r>
          </w:p>
        </w:tc>
        <w:tc>
          <w:tcPr>
            <w:tcW w:w="720" w:type="dxa"/>
            <w:shd w:val="clear" w:color="auto" w:fill="auto"/>
            <w:noWrap w:val="0"/>
            <w:vAlign w:val="center"/>
          </w:tcPr>
          <w:p w14:paraId="27B1D8E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8</w:t>
            </w:r>
          </w:p>
        </w:tc>
      </w:tr>
      <w:tr w14:paraId="0C75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176" w:hRule="atLeast"/>
        </w:trPr>
        <w:tc>
          <w:tcPr>
            <w:tcW w:w="549" w:type="dxa"/>
            <w:shd w:val="clear" w:color="auto" w:fill="auto"/>
            <w:noWrap w:val="0"/>
            <w:vAlign w:val="center"/>
          </w:tcPr>
          <w:p w14:paraId="67A43723">
            <w:pPr>
              <w:pStyle w:val="85"/>
              <w:spacing w:line="360" w:lineRule="auto"/>
              <w:ind w:firstLine="0" w:firstLineChars="0"/>
              <w:jc w:val="center"/>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9</w:t>
            </w:r>
          </w:p>
        </w:tc>
        <w:tc>
          <w:tcPr>
            <w:tcW w:w="1903" w:type="dxa"/>
            <w:shd w:val="clear" w:color="auto" w:fill="auto"/>
            <w:noWrap w:val="0"/>
            <w:vAlign w:val="center"/>
          </w:tcPr>
          <w:p w14:paraId="7AF72EE4">
            <w:pPr>
              <w:spacing w:line="360" w:lineRule="auto"/>
              <w:jc w:val="center"/>
              <w:rPr>
                <w:rFonts w:hint="eastAsia" w:ascii="宋体" w:hAnsi="宋体" w:cs="宋体"/>
                <w:color w:val="auto"/>
                <w:kern w:val="2"/>
                <w:sz w:val="24"/>
                <w:szCs w:val="24"/>
                <w:highlight w:val="none"/>
                <w:lang w:val="en-US" w:bidi="ar"/>
              </w:rPr>
            </w:pPr>
            <w:r>
              <w:rPr>
                <w:rFonts w:hint="eastAsia" w:ascii="宋体" w:hAnsi="宋体" w:cs="宋体"/>
                <w:bCs/>
                <w:color w:val="auto"/>
                <w:kern w:val="2"/>
                <w:sz w:val="24"/>
                <w:szCs w:val="24"/>
                <w:highlight w:val="none"/>
                <w:lang w:bidi="ar"/>
              </w:rPr>
              <w:t>企业业绩</w:t>
            </w:r>
          </w:p>
        </w:tc>
        <w:tc>
          <w:tcPr>
            <w:tcW w:w="6984" w:type="dxa"/>
            <w:shd w:val="clear" w:color="auto" w:fill="auto"/>
            <w:noWrap w:val="0"/>
            <w:vAlign w:val="center"/>
          </w:tcPr>
          <w:p w14:paraId="3E48F2E8">
            <w:pPr>
              <w:pStyle w:val="25"/>
              <w:widowControl w:val="0"/>
              <w:spacing w:before="0" w:beforeAutospacing="0" w:after="0" w:afterAutospacing="0" w:line="360" w:lineRule="auto"/>
              <w:ind w:right="13"/>
              <w:jc w:val="both"/>
              <w:rPr>
                <w:rFonts w:hint="eastAsia"/>
                <w:color w:val="auto"/>
                <w:highlight w:val="none"/>
                <w:lang w:bidi="ar"/>
              </w:rPr>
            </w:pPr>
            <w:r>
              <w:rPr>
                <w:rFonts w:hint="eastAsia"/>
                <w:color w:val="auto"/>
                <w:highlight w:val="none"/>
                <w:lang w:bidi="ar"/>
              </w:rPr>
              <w:t>投标人</w:t>
            </w:r>
            <w:r>
              <w:rPr>
                <w:rFonts w:hint="eastAsia"/>
                <w:color w:val="auto"/>
                <w:highlight w:val="none"/>
                <w:lang w:val="en-US" w:eastAsia="zh-CN" w:bidi="ar"/>
              </w:rPr>
              <w:t>近三年</w:t>
            </w:r>
            <w:r>
              <w:rPr>
                <w:rFonts w:hint="eastAsia"/>
                <w:color w:val="auto"/>
                <w:highlight w:val="none"/>
                <w:lang w:bidi="ar"/>
              </w:rPr>
              <w:t>以来（含）承担过类似工程业绩的，有一项得</w:t>
            </w:r>
            <w:r>
              <w:rPr>
                <w:rFonts w:hint="eastAsia"/>
                <w:color w:val="auto"/>
                <w:highlight w:val="none"/>
                <w:lang w:val="en-US" w:eastAsia="zh-CN" w:bidi="ar"/>
              </w:rPr>
              <w:t>3</w:t>
            </w:r>
            <w:r>
              <w:rPr>
                <w:rFonts w:hint="eastAsia"/>
                <w:color w:val="auto"/>
                <w:highlight w:val="none"/>
                <w:lang w:bidi="ar"/>
              </w:rPr>
              <w:t>分，最高得</w:t>
            </w:r>
            <w:r>
              <w:rPr>
                <w:rFonts w:hint="eastAsia"/>
                <w:color w:val="auto"/>
                <w:highlight w:val="none"/>
                <w:lang w:val="en-US" w:eastAsia="zh-CN" w:bidi="ar"/>
              </w:rPr>
              <w:t>6</w:t>
            </w:r>
            <w:r>
              <w:rPr>
                <w:rFonts w:hint="eastAsia"/>
                <w:color w:val="auto"/>
                <w:highlight w:val="none"/>
                <w:lang w:bidi="ar"/>
              </w:rPr>
              <w:t>分。（</w:t>
            </w:r>
            <w:r>
              <w:rPr>
                <w:bCs/>
                <w:color w:val="auto"/>
                <w:highlight w:val="none"/>
              </w:rPr>
              <w:t>提供合同复印件加盖公章，否则视为未提供</w:t>
            </w:r>
            <w:r>
              <w:rPr>
                <w:rFonts w:hint="eastAsia"/>
                <w:color w:val="auto"/>
                <w:highlight w:val="none"/>
                <w:lang w:bidi="ar"/>
              </w:rPr>
              <w:t>）</w:t>
            </w:r>
          </w:p>
          <w:p w14:paraId="48834D37">
            <w:pPr>
              <w:pStyle w:val="25"/>
              <w:widowControl w:val="0"/>
              <w:spacing w:before="0" w:beforeAutospacing="0" w:after="0" w:afterAutospacing="0" w:line="360" w:lineRule="auto"/>
              <w:ind w:right="13" w:rightChars="0"/>
              <w:jc w:val="both"/>
              <w:rPr>
                <w:rFonts w:hint="eastAsia" w:ascii="宋体" w:hAnsi="宋体" w:eastAsia="宋体" w:cs="宋体"/>
                <w:color w:val="auto"/>
                <w:kern w:val="2"/>
                <w:sz w:val="24"/>
                <w:szCs w:val="24"/>
                <w:highlight w:val="none"/>
                <w:lang w:eastAsia="zh-CN" w:bidi="ar"/>
              </w:rPr>
            </w:pPr>
            <w:r>
              <w:rPr>
                <w:rFonts w:hint="eastAsia"/>
                <w:bCs/>
                <w:color w:val="auto"/>
                <w:highlight w:val="none"/>
              </w:rPr>
              <w:t>注：</w:t>
            </w:r>
            <w:r>
              <w:rPr>
                <w:bCs/>
                <w:color w:val="auto"/>
                <w:highlight w:val="none"/>
              </w:rPr>
              <w:t>企业业绩与项目负责人业绩不可兼得。</w:t>
            </w:r>
          </w:p>
        </w:tc>
        <w:tc>
          <w:tcPr>
            <w:tcW w:w="720" w:type="dxa"/>
            <w:shd w:val="clear" w:color="auto" w:fill="auto"/>
            <w:noWrap w:val="0"/>
            <w:vAlign w:val="center"/>
          </w:tcPr>
          <w:p w14:paraId="1F820049">
            <w:pPr>
              <w:pStyle w:val="85"/>
              <w:spacing w:line="36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6</w:t>
            </w:r>
          </w:p>
        </w:tc>
      </w:tr>
      <w:tr w14:paraId="09FD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549" w:type="dxa"/>
            <w:shd w:val="clear" w:color="auto" w:fill="auto"/>
            <w:noWrap w:val="0"/>
            <w:vAlign w:val="center"/>
          </w:tcPr>
          <w:p w14:paraId="7AB553C8">
            <w:pPr>
              <w:pStyle w:val="85"/>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rPr>
              <w:t>1</w:t>
            </w:r>
            <w:r>
              <w:rPr>
                <w:rFonts w:hint="eastAsia" w:cs="宋体"/>
                <w:color w:val="auto"/>
                <w:sz w:val="24"/>
                <w:szCs w:val="24"/>
                <w:highlight w:val="none"/>
                <w:lang w:val="en-US" w:eastAsia="zh-CN"/>
              </w:rPr>
              <w:t>0</w:t>
            </w:r>
          </w:p>
        </w:tc>
        <w:tc>
          <w:tcPr>
            <w:tcW w:w="1903" w:type="dxa"/>
            <w:shd w:val="clear" w:color="auto" w:fill="auto"/>
            <w:noWrap w:val="0"/>
            <w:vAlign w:val="center"/>
          </w:tcPr>
          <w:p w14:paraId="6A476414">
            <w:pPr>
              <w:spacing w:line="360" w:lineRule="auto"/>
              <w:jc w:val="center"/>
              <w:rPr>
                <w:rFonts w:hint="eastAsia" w:ascii="宋体" w:hAnsi="宋体" w:cs="宋体"/>
                <w:bCs/>
                <w:color w:val="auto"/>
                <w:kern w:val="2"/>
                <w:sz w:val="24"/>
                <w:szCs w:val="24"/>
                <w:highlight w:val="none"/>
                <w:lang w:bidi="ar"/>
              </w:rPr>
            </w:pPr>
            <w:r>
              <w:rPr>
                <w:rFonts w:hint="eastAsia" w:ascii="宋体" w:hAnsi="宋体" w:cs="宋体"/>
                <w:color w:val="auto"/>
                <w:sz w:val="24"/>
                <w:highlight w:val="none"/>
                <w:lang w:bidi="ar"/>
              </w:rPr>
              <w:t>项目组其他成员</w:t>
            </w:r>
          </w:p>
        </w:tc>
        <w:tc>
          <w:tcPr>
            <w:tcW w:w="6984" w:type="dxa"/>
            <w:shd w:val="clear" w:color="auto" w:fill="auto"/>
            <w:noWrap w:val="0"/>
            <w:vAlign w:val="center"/>
          </w:tcPr>
          <w:p w14:paraId="32CF8C7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1、拟投入本项目人员(项目经理除外）中，具有二级建造师及以上的，每提供一人得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分，最多得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分;(人员不能重复得分）。</w:t>
            </w:r>
          </w:p>
          <w:p w14:paraId="4ECE3A2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rPr>
                <w:rFonts w:hint="eastAsia" w:eastAsia="宋体"/>
                <w:bCs/>
                <w:color w:val="auto"/>
                <w:highlight w:val="none"/>
                <w:lang w:eastAsia="zh-CN"/>
              </w:rPr>
            </w:pPr>
            <w:r>
              <w:rPr>
                <w:rFonts w:hint="eastAsia" w:ascii="宋体" w:hAnsi="宋体" w:cs="宋体"/>
                <w:color w:val="auto"/>
                <w:kern w:val="2"/>
                <w:sz w:val="24"/>
                <w:szCs w:val="24"/>
                <w:highlight w:val="none"/>
              </w:rPr>
              <w:t>2、拟投入本项目的人员包括施工员、安全员、质量员（质检员）、资料员、材料员具有对应的岗位证书的得</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rPr>
              <w:t>分，缺1人扣</w:t>
            </w:r>
            <w:r>
              <w:rPr>
                <w:rFonts w:hint="eastAsia" w:ascii="宋体" w:hAnsi="宋体" w:cs="宋体"/>
                <w:color w:val="auto"/>
                <w:kern w:val="2"/>
                <w:sz w:val="24"/>
                <w:szCs w:val="24"/>
                <w:highlight w:val="none"/>
                <w:lang w:val="en-US" w:eastAsia="zh-CN"/>
              </w:rPr>
              <w:t>1</w:t>
            </w:r>
            <w:r>
              <w:rPr>
                <w:rFonts w:hint="eastAsia" w:ascii="宋体" w:hAnsi="宋体" w:cs="宋体"/>
                <w:color w:val="auto"/>
                <w:kern w:val="2"/>
                <w:sz w:val="24"/>
                <w:szCs w:val="24"/>
                <w:highlight w:val="none"/>
              </w:rPr>
              <w:t>分，扣完为止；</w:t>
            </w:r>
          </w:p>
        </w:tc>
        <w:tc>
          <w:tcPr>
            <w:tcW w:w="720" w:type="dxa"/>
            <w:shd w:val="clear" w:color="auto" w:fill="auto"/>
            <w:noWrap w:val="0"/>
            <w:vAlign w:val="center"/>
          </w:tcPr>
          <w:p w14:paraId="6B2C24D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bl>
    <w:p w14:paraId="0FC109CF">
      <w:pPr>
        <w:bidi w:val="0"/>
        <w:jc w:val="center"/>
        <w:rPr>
          <w:b/>
          <w:bCs/>
          <w:sz w:val="28"/>
          <w:szCs w:val="28"/>
          <w:highlight w:val="none"/>
        </w:rPr>
      </w:pPr>
      <w:r>
        <w:rPr>
          <w:rFonts w:hint="eastAsia"/>
          <w:b/>
          <w:bCs/>
          <w:sz w:val="28"/>
          <w:szCs w:val="28"/>
          <w:highlight w:val="none"/>
        </w:rPr>
        <w:t>说明：</w:t>
      </w:r>
    </w:p>
    <w:p w14:paraId="20A5914B">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1.价格部分优惠政策如下：</w:t>
      </w:r>
    </w:p>
    <w:p w14:paraId="4A5168B7">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（1）中小企业划型标准按照《关于印发中小企业划型标准规定的通知（工信部联企业〔2011〕300号）》文件的相关规定认定。</w:t>
      </w:r>
    </w:p>
    <w:p w14:paraId="0BE954D5">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2）根据《政府采购促进中小企业发展暂行办法》的相关规定，本项目对小型和微型企业产品的价格给予10%的扣除，对联合投标企业产品的价格给予2%的扣除（联合协议中约定，小型、微型企业的协议合同金额占到联合体协议合同总金额30%以上的，可给予联合体2%的价格扣除），以扣除后的价格作为评审价格。</w:t>
      </w:r>
    </w:p>
    <w:p w14:paraId="7060340E">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3）根据《财库〔2014〕68号》监狱企业视同小型、微型企业，享受中小企业发展的政府采购政策（监狱企业参加政府采购活动时，应当提供由省级以上监狱管理局、戒毒管理局（含新疆生产建设兵团）出具的属于监狱企业的证明文件）。</w:t>
      </w:r>
    </w:p>
    <w:p w14:paraId="6E0D7AD6">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（4）根据《财库〔2017〕141号》符合条件的残疾人福利性单位视同小型、微型企业，享受中小企业发展的政府采购政策。残疾人福利性单位属于小型、微型企业的，不重复享受政策。</w:t>
      </w:r>
    </w:p>
    <w:p w14:paraId="5E220117">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（5）小型、微型企业提供中型或大型企业制造的货物的，视同为中型或大型企业。</w:t>
      </w:r>
    </w:p>
    <w:p w14:paraId="0C35EE3F">
      <w:pPr>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zh-CN"/>
        </w:rPr>
        <w:t>（6）参加政府采购活动的中小企业应当按“关于印发《政府采购促进中小企业发展暂行办法》的通知[财库〔2011〕181号]”和《财库〔2017〕141号》的规定提供《中小企业声明函》《残疾人福利性单位声明函》和《属于监狱企业的证明文件》。未提供上述资料的报价，其价格不予扣除。</w:t>
      </w:r>
      <w:r>
        <w:rPr>
          <w:rFonts w:hint="eastAsia" w:ascii="宋体" w:hAnsi="宋体"/>
          <w:color w:val="auto"/>
          <w:sz w:val="24"/>
          <w:highlight w:val="none"/>
          <w:lang w:val="en-US" w:eastAsia="zh-CN"/>
        </w:rPr>
        <w:t xml:space="preserve"> </w:t>
      </w:r>
    </w:p>
    <w:p w14:paraId="551F34F8">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7）节能环保产品(如有)：1)在满足采购需求、质量和服务相等的情况下，对属于国家认定的节能和环保产品在评审时分别给予其对应的投标产品报价5%、5%的价格扣除。2)节能和环保产品必须纳入“中国政府采购网http：//www.ccgp.gov.cn”等官方网站“节能、环保产品查询系统”，且以提供的相应页面截图或相关认证证明材料为准。</w:t>
      </w:r>
    </w:p>
    <w:p w14:paraId="7C7016FB">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2.所有证书、证明和业绩均以有效的证明文件的复印件并加盖公章为依据。所有参评人员注册证书均须注册在供应商本单位，否则不得分。</w:t>
      </w:r>
    </w:p>
    <w:p w14:paraId="29CCA9A9">
      <w:pPr>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3.评标委员会成员按照上述评分细则进行评审、打分，由评委各自独立打分，打分的平均值即为该供应商该项的得分，最后根据各供应商的总分汇总进行排名，推荐三名中标候选人。综合得分相同的，以报价低的优先；得分且投标报价相同的并列，先提交投标文件的供应商为中标供应商。</w:t>
      </w:r>
    </w:p>
    <w:p w14:paraId="0692C0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368F9F5">
      <w:pPr>
        <w:pStyle w:val="3"/>
        <w:numPr>
          <w:ilvl w:val="0"/>
          <w:numId w:val="0"/>
        </w:numPr>
        <w:bidi w:val="0"/>
        <w:spacing w:line="360" w:lineRule="auto"/>
        <w:jc w:val="center"/>
        <w:rPr>
          <w:rFonts w:hint="eastAsia" w:ascii="宋体" w:hAnsi="宋体" w:eastAsia="宋体" w:cs="宋体"/>
          <w:highlight w:val="none"/>
        </w:rPr>
      </w:pPr>
      <w:bookmarkStart w:id="15" w:name="_Toc14830"/>
      <w:r>
        <w:rPr>
          <w:rFonts w:hint="eastAsia" w:ascii="宋体" w:hAnsi="宋体" w:eastAsia="宋体" w:cs="宋体"/>
          <w:highlight w:val="none"/>
          <w:lang w:val="en-US" w:eastAsia="zh-CN"/>
        </w:rPr>
        <w:t>第四章</w:t>
      </w:r>
      <w:r>
        <w:rPr>
          <w:rFonts w:hint="eastAsia" w:ascii="宋体" w:hAnsi="宋体" w:eastAsia="宋体" w:cs="宋体"/>
          <w:highlight w:val="none"/>
        </w:rPr>
        <w:t>采购项目需求</w:t>
      </w:r>
      <w:bookmarkEnd w:id="15"/>
    </w:p>
    <w:p w14:paraId="179754B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项目概况：</w:t>
      </w:r>
    </w:p>
    <w:p w14:paraId="2A45F82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cs="宋体"/>
          <w:sz w:val="24"/>
          <w:szCs w:val="24"/>
          <w:highlight w:val="none"/>
          <w:lang w:val="en-US" w:eastAsia="zh-CN"/>
        </w:rPr>
        <w:t>瓦殿村市级和美乡村建设附属项目</w:t>
      </w:r>
    </w:p>
    <w:p w14:paraId="72A1CD0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r>
        <w:rPr>
          <w:rFonts w:hint="eastAsia" w:cs="宋体"/>
          <w:sz w:val="24"/>
          <w:szCs w:val="24"/>
          <w:highlight w:val="none"/>
          <w:lang w:val="en-US" w:eastAsia="zh-CN"/>
        </w:rPr>
        <w:t>瓦殿村市级和美乡村建设附属项目</w:t>
      </w:r>
      <w:r>
        <w:rPr>
          <w:rFonts w:hint="eastAsia" w:ascii="宋体" w:hAnsi="宋体" w:eastAsia="宋体" w:cs="宋体"/>
          <w:sz w:val="24"/>
          <w:szCs w:val="24"/>
          <w:highlight w:val="none"/>
          <w:lang w:val="en-US" w:eastAsia="zh-CN"/>
        </w:rPr>
        <w:t>，具体详见工程量清单。（另附）。</w:t>
      </w:r>
    </w:p>
    <w:p w14:paraId="140C553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位置：南京市浦口区汤泉街瓦殿村内。</w:t>
      </w:r>
    </w:p>
    <w:p w14:paraId="135C892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w:t>
      </w:r>
      <w:r>
        <w:rPr>
          <w:rFonts w:hint="eastAsia" w:cs="宋体"/>
          <w:sz w:val="24"/>
          <w:szCs w:val="24"/>
          <w:highlight w:val="none"/>
          <w:lang w:val="en-US" w:eastAsia="zh-CN"/>
        </w:rPr>
        <w:t>100</w:t>
      </w:r>
      <w:r>
        <w:rPr>
          <w:rFonts w:hint="eastAsia" w:ascii="宋体" w:hAnsi="宋体" w:eastAsia="宋体" w:cs="宋体"/>
          <w:sz w:val="24"/>
          <w:szCs w:val="24"/>
          <w:highlight w:val="none"/>
          <w:lang w:val="en-US" w:eastAsia="zh-CN"/>
        </w:rPr>
        <w:t>天</w:t>
      </w:r>
    </w:p>
    <w:p w14:paraId="4C3A0C5F">
      <w:pPr>
        <w:pStyle w:val="85"/>
        <w:spacing w:line="360" w:lineRule="auto"/>
        <w:ind w:left="0" w:leftChars="0" w:firstLine="0" w:firstLineChars="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二、报价说明</w:t>
      </w:r>
    </w:p>
    <w:p w14:paraId="3D921BF0">
      <w:pPr>
        <w:pStyle w:val="44"/>
        <w:spacing w:line="360" w:lineRule="auto"/>
        <w:ind w:left="0" w:leftChars="0" w:firstLine="0" w:firstLineChars="0"/>
        <w:rPr>
          <w:rFonts w:hint="eastAsia" w:ascii="宋体" w:hAnsi="宋体" w:eastAsia="宋体" w:cs="宋体"/>
          <w:b/>
          <w:bCs w:val="0"/>
          <w:color w:val="auto"/>
          <w:sz w:val="24"/>
          <w:szCs w:val="24"/>
          <w:highlight w:val="none"/>
          <w:lang w:val="en-US"/>
        </w:rPr>
      </w:pPr>
      <w:r>
        <w:rPr>
          <w:rFonts w:hint="eastAsia" w:ascii="宋体" w:hAnsi="宋体" w:eastAsia="宋体" w:cs="宋体"/>
          <w:b w:val="0"/>
          <w:bCs/>
          <w:kern w:val="2"/>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rPr>
        <w:t>、</w:t>
      </w:r>
      <w:r>
        <w:rPr>
          <w:rFonts w:hint="eastAsia" w:ascii="宋体" w:hAnsi="宋体" w:eastAsia="宋体" w:cs="宋体"/>
          <w:b w:val="0"/>
          <w:bCs/>
          <w:color w:val="auto"/>
          <w:sz w:val="24"/>
          <w:szCs w:val="24"/>
          <w:highlight w:val="none"/>
        </w:rPr>
        <w:t>报价为全包费用报价。投标报价应是本采购文件所包含确定的全部工作内容及本采购文件未说明但完成该项目必须包含的所有全包费用的价格体现。</w:t>
      </w:r>
      <w:r>
        <w:rPr>
          <w:rFonts w:hint="eastAsia" w:ascii="宋体" w:hAnsi="宋体" w:eastAsia="宋体" w:cs="宋体"/>
          <w:b/>
          <w:bCs w:val="0"/>
          <w:kern w:val="2"/>
          <w:sz w:val="24"/>
          <w:szCs w:val="24"/>
          <w:highlight w:val="none"/>
          <w:lang w:val="en-US" w:eastAsia="zh-CN" w:bidi="ar-SA"/>
        </w:rPr>
        <w:t>（提供承诺书，格式自拟，不提供作无效标处理）</w:t>
      </w:r>
    </w:p>
    <w:p w14:paraId="4AE5D2EF">
      <w:pPr>
        <w:pStyle w:val="44"/>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kern w:val="2"/>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rPr>
        <w:t>、</w:t>
      </w:r>
      <w:r>
        <w:rPr>
          <w:rFonts w:hint="eastAsia" w:ascii="宋体" w:hAnsi="宋体" w:eastAsia="宋体" w:cs="宋体"/>
          <w:b w:val="0"/>
          <w:bCs/>
          <w:color w:val="auto"/>
          <w:sz w:val="24"/>
          <w:szCs w:val="24"/>
          <w:highlight w:val="none"/>
        </w:rPr>
        <w:t>投标供应商的任何错漏、优惠、竞争性报价不得作为减轻责任、减少服务、增加收费、降低质量的理由。</w:t>
      </w:r>
      <w:r>
        <w:rPr>
          <w:rFonts w:hint="eastAsia" w:ascii="宋体" w:hAnsi="宋体" w:eastAsia="宋体" w:cs="宋体"/>
          <w:b/>
          <w:bCs w:val="0"/>
          <w:kern w:val="2"/>
          <w:sz w:val="24"/>
          <w:szCs w:val="24"/>
          <w:highlight w:val="none"/>
          <w:lang w:val="en-US" w:eastAsia="zh-CN" w:bidi="ar-SA"/>
        </w:rPr>
        <w:t>（提供承诺书，格式自拟，不提供作无效标处理）</w:t>
      </w:r>
    </w:p>
    <w:p w14:paraId="2F215A6E">
      <w:pPr>
        <w:pStyle w:val="85"/>
        <w:pageBreakBefore w:val="0"/>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三、项目质量要求</w:t>
      </w:r>
    </w:p>
    <w:p w14:paraId="12282BFD">
      <w:pPr>
        <w:keepNext w:val="0"/>
        <w:keepLines w:val="0"/>
        <w:pageBreakBefore w:val="0"/>
        <w:widowControl/>
        <w:kinsoku/>
        <w:wordWrap/>
        <w:overflowPunct/>
        <w:topLinePunct w:val="0"/>
        <w:autoSpaceDE/>
        <w:autoSpaceDN/>
        <w:bidi w:val="0"/>
        <w:adjustRightInd/>
        <w:snapToGrid/>
        <w:spacing w:line="300" w:lineRule="auto"/>
        <w:ind w:firstLine="0" w:firstLineChars="0"/>
        <w:jc w:val="both"/>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b w:val="0"/>
          <w:bCs/>
          <w:sz w:val="24"/>
          <w:szCs w:val="24"/>
          <w:highlight w:val="none"/>
          <w:lang w:val="en-US" w:eastAsia="zh-CN"/>
        </w:rPr>
        <w:t>1、本项目质量要求：合格。</w:t>
      </w:r>
    </w:p>
    <w:p w14:paraId="285CB4F0">
      <w:pPr>
        <w:pStyle w:val="85"/>
        <w:spacing w:line="360" w:lineRule="auto"/>
        <w:ind w:left="0" w:leftChars="0" w:firstLine="0" w:firstLineChars="0"/>
        <w:rPr>
          <w:rFonts w:hint="eastAsia" w:ascii="宋体" w:hAnsi="宋体" w:eastAsia="宋体" w:cs="宋体"/>
          <w:b/>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kern w:val="2"/>
          <w:sz w:val="24"/>
          <w:szCs w:val="24"/>
          <w:highlight w:val="none"/>
          <w:lang w:val="en-US" w:eastAsia="zh-CN" w:bidi="ar-SA"/>
        </w:rPr>
        <w:t>项目说明</w:t>
      </w:r>
    </w:p>
    <w:p w14:paraId="2050702A">
      <w:pPr>
        <w:keepNext w:val="0"/>
        <w:keepLines w:val="0"/>
        <w:pageBreakBefore w:val="0"/>
        <w:widowControl/>
        <w:kinsoku/>
        <w:wordWrap/>
        <w:overflowPunct/>
        <w:topLinePunct w:val="0"/>
        <w:autoSpaceDE/>
        <w:autoSpaceDN/>
        <w:bidi w:val="0"/>
        <w:adjustRightInd/>
        <w:snapToGrid/>
        <w:spacing w:line="300" w:lineRule="auto"/>
        <w:ind w:firstLine="0" w:firstLine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1、本项目施工工程量清单作为投标报价依据，具体工作量以本项目的</w:t>
      </w:r>
      <w:r>
        <w:rPr>
          <w:rFonts w:hint="eastAsia" w:ascii="宋体" w:hAnsi="宋体" w:eastAsia="宋体" w:cs="宋体"/>
          <w:b w:val="0"/>
          <w:bCs/>
          <w:sz w:val="24"/>
          <w:szCs w:val="24"/>
          <w:highlight w:val="none"/>
          <w:lang w:eastAsia="zh-CN"/>
        </w:rPr>
        <w:t>磋商</w:t>
      </w:r>
      <w:r>
        <w:rPr>
          <w:rFonts w:hint="eastAsia" w:ascii="宋体" w:hAnsi="宋体" w:eastAsia="宋体" w:cs="宋体"/>
          <w:b w:val="0"/>
          <w:bCs/>
          <w:sz w:val="24"/>
          <w:szCs w:val="24"/>
          <w:highlight w:val="none"/>
          <w:lang w:val="en-US" w:eastAsia="zh-CN"/>
        </w:rPr>
        <w:t>文件及招标清单以及图纸和现场实际情况为准。</w:t>
      </w:r>
    </w:p>
    <w:p w14:paraId="50D3DB17">
      <w:pPr>
        <w:keepNext w:val="0"/>
        <w:keepLines w:val="0"/>
        <w:pageBreakBefore w:val="0"/>
        <w:widowControl/>
        <w:kinsoku/>
        <w:wordWrap/>
        <w:overflowPunct/>
        <w:topLinePunct w:val="0"/>
        <w:autoSpaceDE/>
        <w:autoSpaceDN/>
        <w:bidi w:val="0"/>
        <w:adjustRightInd/>
        <w:snapToGrid/>
        <w:spacing w:line="300" w:lineRule="auto"/>
        <w:ind w:firstLine="0" w:firstLine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2、报价方式为综合报价，单价包干，实际数量以现场发生为准。（综合单价指完成此项工作的所有费用，包括人工费、材料费、机械费、其他直接、间接费等）。</w:t>
      </w:r>
    </w:p>
    <w:p w14:paraId="49745AB6">
      <w:pPr>
        <w:keepNext w:val="0"/>
        <w:keepLines w:val="0"/>
        <w:pageBreakBefore w:val="0"/>
        <w:widowControl/>
        <w:kinsoku/>
        <w:wordWrap/>
        <w:overflowPunct/>
        <w:topLinePunct w:val="0"/>
        <w:autoSpaceDE/>
        <w:autoSpaceDN/>
        <w:bidi w:val="0"/>
        <w:adjustRightInd/>
        <w:snapToGrid/>
        <w:spacing w:line="300" w:lineRule="auto"/>
        <w:ind w:firstLine="0" w:firstLine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3、实施期间的供水、供电情况：供应商自行勘察考虑，现场发生水电、相关费用均包含在报价范围。</w:t>
      </w:r>
    </w:p>
    <w:p w14:paraId="7D90BAB2">
      <w:pPr>
        <w:keepNext w:val="0"/>
        <w:keepLines w:val="0"/>
        <w:pageBreakBefore w:val="0"/>
        <w:widowControl/>
        <w:kinsoku/>
        <w:wordWrap/>
        <w:overflowPunct/>
        <w:topLinePunct w:val="0"/>
        <w:autoSpaceDE/>
        <w:autoSpaceDN/>
        <w:bidi w:val="0"/>
        <w:adjustRightInd/>
        <w:snapToGrid/>
        <w:spacing w:line="300" w:lineRule="auto"/>
        <w:ind w:firstLine="0" w:firstLineChars="0"/>
        <w:jc w:val="both"/>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★4、项目经理无在建（提供承诺书，格式自拟，不提供作无效标处理）</w:t>
      </w:r>
    </w:p>
    <w:p w14:paraId="5AD8CB54">
      <w:pPr>
        <w:pStyle w:val="85"/>
        <w:pageBreakBefore w:val="0"/>
        <w:kinsoku/>
        <w:wordWrap/>
        <w:overflowPunct/>
        <w:topLinePunct w:val="0"/>
        <w:autoSpaceDE/>
        <w:autoSpaceDN/>
        <w:bidi w:val="0"/>
        <w:adjustRightInd/>
        <w:snapToGrid/>
        <w:spacing w:line="300" w:lineRule="auto"/>
        <w:ind w:left="0" w:leftChars="0" w:firstLine="0" w:firstLine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五、质保期</w:t>
      </w:r>
    </w:p>
    <w:p w14:paraId="6C8066E7">
      <w:pPr>
        <w:keepNext w:val="0"/>
        <w:keepLines w:val="0"/>
        <w:pageBreakBefore w:val="0"/>
        <w:widowControl/>
        <w:kinsoku/>
        <w:wordWrap/>
        <w:overflowPunct/>
        <w:topLinePunct w:val="0"/>
        <w:autoSpaceDE/>
        <w:autoSpaceDN/>
        <w:bidi w:val="0"/>
        <w:adjustRightInd/>
        <w:snapToGrid/>
        <w:spacing w:line="300" w:lineRule="auto"/>
        <w:ind w:firstLine="0" w:firstLineChars="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本项目不得低于二年质保期（自竣工验收报告签字确认日起，开始进入质保期）。</w:t>
      </w:r>
    </w:p>
    <w:p w14:paraId="2C7534DC">
      <w:pPr>
        <w:pStyle w:val="85"/>
        <w:spacing w:line="360" w:lineRule="auto"/>
        <w:ind w:left="0" w:leftChars="0" w:firstLine="0" w:firstLineChars="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六、付款方式</w:t>
      </w:r>
    </w:p>
    <w:p w14:paraId="7B8FE31D">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（1）工程竣工验收合格后30日内付至合同总额的60%，验收不合格，甲方有权不付款；</w:t>
      </w:r>
    </w:p>
    <w:p w14:paraId="3593ABD7">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（2）经审计结束后付至审定价的80%；</w:t>
      </w:r>
    </w:p>
    <w:p w14:paraId="42884E5F">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（3）结束一年以后付款至审定价的90%；</w:t>
      </w:r>
    </w:p>
    <w:p w14:paraId="28448EF9">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（4）余款转为预留金，质保期满后一次性付清（不计利息）。</w:t>
      </w:r>
    </w:p>
    <w:p w14:paraId="0AE8CF57">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备注：以上款项支付时间，甲方有权根据乙方在服务过程中质量、安全及进度的控制情况，优先或滞后安排款项的支付。</w:t>
      </w:r>
    </w:p>
    <w:p w14:paraId="6283D0EE">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注：对施工单位编制的工程结算存在高估冒算的，凡审计核减率为5%（含5%）以上的，由施工单位承担全部审计费用。</w:t>
      </w:r>
    </w:p>
    <w:p w14:paraId="1A8B8D00">
      <w:pPr>
        <w:pStyle w:val="85"/>
        <w:spacing w:line="360" w:lineRule="auto"/>
        <w:ind w:left="0" w:leftChars="0" w:firstLine="0" w:firstLineChars="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特别说明：</w:t>
      </w:r>
    </w:p>
    <w:p w14:paraId="1ADDCDC3">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1、本章带★均为实质性要求，不允许负偏离，否则作为无效报价。</w:t>
      </w:r>
    </w:p>
    <w:p w14:paraId="2BF68D52">
      <w:pPr>
        <w:pStyle w:val="85"/>
        <w:spacing w:line="360" w:lineRule="auto"/>
        <w:ind w:left="0" w:leftChars="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2、如有疑问请与采购人联系。</w:t>
      </w:r>
    </w:p>
    <w:p w14:paraId="750D42AA">
      <w:pPr>
        <w:rPr>
          <w:rFonts w:hint="eastAsia" w:ascii="宋体" w:hAnsi="宋体" w:eastAsia="宋体" w:cs="宋体"/>
          <w:highlight w:val="none"/>
        </w:rPr>
      </w:pPr>
    </w:p>
    <w:p w14:paraId="1FB2705A">
      <w:pPr>
        <w:spacing w:line="360" w:lineRule="auto"/>
        <w:rPr>
          <w:rFonts w:hint="eastAsia" w:ascii="宋体" w:hAnsi="宋体" w:eastAsia="宋体" w:cs="宋体"/>
          <w:highlight w:val="none"/>
        </w:rPr>
      </w:pPr>
    </w:p>
    <w:p w14:paraId="551D66A1">
      <w:pPr>
        <w:pStyle w:val="85"/>
        <w:spacing w:line="360" w:lineRule="auto"/>
        <w:rPr>
          <w:rFonts w:hint="eastAsia" w:ascii="宋体" w:hAnsi="宋体" w:eastAsia="宋体" w:cs="宋体"/>
          <w:highlight w:val="none"/>
        </w:rPr>
      </w:pPr>
    </w:p>
    <w:p w14:paraId="198EC5DB">
      <w:pPr>
        <w:pStyle w:val="85"/>
        <w:spacing w:line="360" w:lineRule="auto"/>
        <w:rPr>
          <w:rFonts w:hint="eastAsia" w:ascii="宋体" w:hAnsi="宋体" w:eastAsia="宋体" w:cs="宋体"/>
          <w:highlight w:val="none"/>
        </w:rPr>
      </w:pPr>
    </w:p>
    <w:p w14:paraId="525A5CA9">
      <w:pPr>
        <w:pStyle w:val="85"/>
        <w:spacing w:line="360" w:lineRule="auto"/>
        <w:rPr>
          <w:rFonts w:hint="eastAsia" w:ascii="宋体" w:hAnsi="宋体" w:eastAsia="宋体" w:cs="宋体"/>
          <w:highlight w:val="none"/>
        </w:rPr>
      </w:pPr>
    </w:p>
    <w:p w14:paraId="58488E29">
      <w:pPr>
        <w:pStyle w:val="85"/>
        <w:spacing w:line="360" w:lineRule="auto"/>
        <w:rPr>
          <w:rFonts w:hint="eastAsia" w:ascii="宋体" w:hAnsi="宋体" w:eastAsia="宋体" w:cs="宋体"/>
          <w:highlight w:val="none"/>
        </w:rPr>
      </w:pPr>
    </w:p>
    <w:p w14:paraId="36CACF03">
      <w:pPr>
        <w:pStyle w:val="3"/>
        <w:bidi w:val="0"/>
        <w:spacing w:line="360" w:lineRule="auto"/>
        <w:outlineLvl w:val="9"/>
        <w:rPr>
          <w:rFonts w:hint="eastAsia" w:ascii="宋体" w:hAnsi="宋体" w:eastAsia="宋体" w:cs="宋体"/>
          <w:highlight w:val="none"/>
          <w:lang w:val="en-US" w:eastAsia="zh-CN"/>
        </w:rPr>
        <w:sectPr>
          <w:footerReference r:id="rId5" w:type="default"/>
          <w:pgSz w:w="11906" w:h="16838"/>
          <w:pgMar w:top="1440" w:right="1080" w:bottom="1440" w:left="1080" w:header="851" w:footer="992" w:gutter="0"/>
          <w:pgNumType w:fmt="decimal"/>
          <w:cols w:space="720" w:num="1"/>
          <w:docGrid w:type="lines" w:linePitch="312" w:charSpace="0"/>
        </w:sectPr>
      </w:pPr>
    </w:p>
    <w:p w14:paraId="4AFD8295">
      <w:pPr>
        <w:pStyle w:val="3"/>
        <w:bidi w:val="0"/>
        <w:spacing w:line="360" w:lineRule="auto"/>
        <w:rPr>
          <w:rFonts w:hint="eastAsia" w:ascii="宋体" w:hAnsi="宋体" w:eastAsia="宋体" w:cs="宋体"/>
          <w:highlight w:val="none"/>
          <w:lang w:val="en-US" w:eastAsia="zh-CN"/>
        </w:rPr>
      </w:pPr>
      <w:bookmarkStart w:id="16" w:name="_Toc12778"/>
      <w:r>
        <w:rPr>
          <w:rFonts w:hint="eastAsia" w:ascii="宋体" w:hAnsi="宋体" w:eastAsia="宋体" w:cs="宋体"/>
          <w:highlight w:val="none"/>
          <w:lang w:val="en-US" w:eastAsia="zh-CN"/>
        </w:rPr>
        <w:t>第五章合同草案条款及格式</w:t>
      </w:r>
      <w:bookmarkEnd w:id="16"/>
    </w:p>
    <w:p w14:paraId="4B04D577">
      <w:pPr>
        <w:jc w:val="center"/>
        <w:rPr>
          <w:rFonts w:ascii="宋体" w:hAnsi="宋体" w:eastAsia="宋体"/>
          <w:bCs/>
          <w:sz w:val="32"/>
          <w:szCs w:val="32"/>
          <w:highlight w:val="none"/>
        </w:rPr>
      </w:pPr>
      <w:r>
        <w:rPr>
          <w:rFonts w:ascii="宋体" w:hAnsi="宋体" w:eastAsia="宋体"/>
          <w:bCs/>
          <w:sz w:val="32"/>
          <w:szCs w:val="32"/>
          <w:highlight w:val="none"/>
        </w:rPr>
        <w:t>（GF—201</w:t>
      </w:r>
      <w:r>
        <w:rPr>
          <w:rFonts w:hint="eastAsia" w:ascii="宋体" w:hAnsi="宋体" w:eastAsia="宋体"/>
          <w:bCs/>
          <w:sz w:val="32"/>
          <w:szCs w:val="32"/>
          <w:highlight w:val="none"/>
        </w:rPr>
        <w:t>7</w:t>
      </w:r>
      <w:r>
        <w:rPr>
          <w:rFonts w:ascii="宋体" w:hAnsi="宋体" w:eastAsia="宋体"/>
          <w:bCs/>
          <w:sz w:val="32"/>
          <w:szCs w:val="32"/>
          <w:highlight w:val="none"/>
        </w:rPr>
        <w:t>—</w:t>
      </w:r>
      <w:r>
        <w:rPr>
          <w:rFonts w:hint="eastAsia" w:ascii="宋体" w:hAnsi="宋体" w:eastAsia="宋体"/>
          <w:bCs/>
          <w:sz w:val="32"/>
          <w:szCs w:val="32"/>
          <w:highlight w:val="none"/>
        </w:rPr>
        <w:t>0201）</w:t>
      </w:r>
    </w:p>
    <w:p w14:paraId="1927EF9C">
      <w:pPr>
        <w:jc w:val="center"/>
        <w:rPr>
          <w:rFonts w:ascii="宋体" w:hAnsi="宋体" w:eastAsia="宋体"/>
          <w:b/>
          <w:sz w:val="52"/>
          <w:szCs w:val="52"/>
          <w:highlight w:val="none"/>
        </w:rPr>
      </w:pPr>
    </w:p>
    <w:p w14:paraId="39EEA292">
      <w:pPr>
        <w:jc w:val="center"/>
        <w:rPr>
          <w:rFonts w:ascii="宋体" w:hAnsi="宋体" w:eastAsia="宋体"/>
          <w:b/>
          <w:sz w:val="52"/>
          <w:szCs w:val="52"/>
          <w:highlight w:val="none"/>
        </w:rPr>
      </w:pPr>
    </w:p>
    <w:p w14:paraId="02E01C59">
      <w:pPr>
        <w:jc w:val="center"/>
        <w:rPr>
          <w:rFonts w:ascii="宋体" w:hAnsi="宋体" w:eastAsia="宋体"/>
          <w:b/>
          <w:sz w:val="52"/>
          <w:szCs w:val="52"/>
          <w:highlight w:val="none"/>
        </w:rPr>
      </w:pPr>
    </w:p>
    <w:p w14:paraId="4F3D9B23">
      <w:pPr>
        <w:jc w:val="center"/>
        <w:rPr>
          <w:rFonts w:hint="eastAsia" w:ascii="宋体" w:hAnsi="宋体" w:eastAsia="宋体"/>
          <w:b/>
          <w:sz w:val="72"/>
          <w:szCs w:val="52"/>
          <w:highlight w:val="none"/>
          <w:lang w:eastAsia="zh-CN"/>
        </w:rPr>
      </w:pPr>
      <w:r>
        <w:rPr>
          <w:rFonts w:ascii="宋体" w:hAnsi="宋体" w:eastAsia="宋体"/>
          <w:b/>
          <w:sz w:val="72"/>
          <w:szCs w:val="52"/>
          <w:highlight w:val="none"/>
        </w:rPr>
        <w:t>建设工程施工合同</w:t>
      </w:r>
    </w:p>
    <w:p w14:paraId="31728FF1">
      <w:pPr>
        <w:jc w:val="center"/>
        <w:rPr>
          <w:rFonts w:ascii="宋体" w:hAnsi="宋体" w:eastAsia="宋体"/>
          <w:b/>
          <w:sz w:val="52"/>
          <w:szCs w:val="52"/>
          <w:highlight w:val="none"/>
        </w:rPr>
      </w:pPr>
      <w:r>
        <w:rPr>
          <w:rFonts w:ascii="宋体" w:hAnsi="宋体" w:eastAsia="宋体"/>
          <w:b/>
          <w:sz w:val="52"/>
          <w:szCs w:val="52"/>
          <w:highlight w:val="none"/>
        </w:rPr>
        <w:t>（示范文本）</w:t>
      </w:r>
    </w:p>
    <w:p w14:paraId="71E47425">
      <w:pPr>
        <w:jc w:val="center"/>
        <w:rPr>
          <w:rFonts w:ascii="宋体" w:hAnsi="宋体" w:eastAsia="宋体"/>
          <w:b/>
          <w:sz w:val="52"/>
          <w:szCs w:val="52"/>
          <w:highlight w:val="none"/>
        </w:rPr>
      </w:pPr>
    </w:p>
    <w:p w14:paraId="29FF9C0D">
      <w:pPr>
        <w:jc w:val="center"/>
        <w:rPr>
          <w:rFonts w:ascii="宋体" w:hAnsi="宋体" w:eastAsia="宋体"/>
          <w:b/>
          <w:sz w:val="72"/>
          <w:szCs w:val="72"/>
          <w:highlight w:val="none"/>
        </w:rPr>
      </w:pPr>
    </w:p>
    <w:p w14:paraId="6816952D">
      <w:pPr>
        <w:jc w:val="center"/>
        <w:rPr>
          <w:rFonts w:ascii="宋体" w:hAnsi="宋体" w:eastAsia="宋体"/>
          <w:b/>
          <w:sz w:val="52"/>
          <w:szCs w:val="52"/>
          <w:highlight w:val="none"/>
        </w:rPr>
      </w:pPr>
    </w:p>
    <w:p w14:paraId="60A30724">
      <w:pPr>
        <w:rPr>
          <w:rFonts w:ascii="宋体" w:hAnsi="宋体" w:eastAsia="宋体"/>
          <w:b/>
          <w:sz w:val="28"/>
          <w:szCs w:val="28"/>
          <w:highlight w:val="none"/>
        </w:rPr>
      </w:pPr>
    </w:p>
    <w:p w14:paraId="54831BFD">
      <w:pPr>
        <w:rPr>
          <w:rFonts w:ascii="宋体" w:hAnsi="宋体" w:eastAsia="宋体"/>
          <w:b/>
          <w:sz w:val="28"/>
          <w:szCs w:val="28"/>
          <w:highlight w:val="none"/>
        </w:rPr>
      </w:pPr>
    </w:p>
    <w:p w14:paraId="7D357DE6">
      <w:pPr>
        <w:ind w:right="2556" w:rightChars="1162" w:firstLine="2673" w:firstLineChars="1215"/>
        <w:jc w:val="distribute"/>
        <w:rPr>
          <w:rFonts w:ascii="宋体" w:hAnsi="宋体" w:eastAsia="宋体"/>
          <w:b/>
          <w:sz w:val="32"/>
          <w:szCs w:val="28"/>
          <w:highlight w:val="none"/>
        </w:rPr>
      </w:pPr>
      <w:r>
        <w:rPr>
          <w:rFonts w:ascii="宋体" w:hAnsi="宋体" w:eastAsia="宋体"/>
          <w:highlight w:val="none"/>
        </w:rPr>
        <mc:AlternateContent>
          <mc:Choice Requires="wps">
            <w:drawing>
              <wp:anchor distT="0" distB="0" distL="114300" distR="114300" simplePos="0" relativeHeight="251659264" behindDoc="0" locked="0" layoutInCell="1" allowOverlap="1">
                <wp:simplePos x="0" y="0"/>
                <wp:positionH relativeFrom="column">
                  <wp:posOffset>4050030</wp:posOffset>
                </wp:positionH>
                <wp:positionV relativeFrom="paragraph">
                  <wp:posOffset>120015</wp:posOffset>
                </wp:positionV>
                <wp:extent cx="643890" cy="457200"/>
                <wp:effectExtent l="5080" t="4445" r="17780"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43890" cy="457200"/>
                        </a:xfrm>
                        <a:prstGeom prst="rect">
                          <a:avLst/>
                        </a:prstGeom>
                        <a:noFill/>
                        <a:ln w="9525" cmpd="sng">
                          <a:solidFill>
                            <a:srgbClr val="FFFFFF"/>
                          </a:solidFill>
                          <a:miter lim="800000"/>
                        </a:ln>
                        <a:effectLst/>
                      </wps:spPr>
                      <wps:txbx>
                        <w:txbxContent>
                          <w:p w14:paraId="02D04F95">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8.9pt;margin-top:9.45pt;height:36pt;width:50.7pt;z-index:251659264;mso-width-relative:page;mso-height-relative:page;" filled="f" stroked="t" coordsize="21600,21600" o:gfxdata="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tdlM2QAAAAkBAAAPAAAAAAAA&#10;AAEAIAAAACIAAABkcnMvZG93bnJldi54bWxQSwECFAAUAAAACACHTuJAmEMAU0oCAAB2BAAADgAA&#10;AAAAAAABACAAAAAoAQAAZHJzL2Uyb0RvYy54bWxQSwUGAAAAAAYABgBZAQAA5AUAAAAA&#10;">
                <v:fill on="f" focussize="0,0"/>
                <v:stroke color="#FFFFFF" miterlimit="8" joinstyle="miter"/>
                <v:imagedata o:title=""/>
                <o:lock v:ext="edit" aspectratio="f"/>
                <v:textbox>
                  <w:txbxContent>
                    <w:p w14:paraId="02D04F95">
                      <w:pPr>
                        <w:rPr>
                          <w:b/>
                          <w:bCs/>
                          <w:sz w:val="32"/>
                        </w:rPr>
                      </w:pPr>
                      <w:r>
                        <w:rPr>
                          <w:rFonts w:hint="eastAsia"/>
                          <w:b/>
                          <w:bCs/>
                          <w:sz w:val="32"/>
                        </w:rPr>
                        <w:t>制定</w:t>
                      </w:r>
                    </w:p>
                  </w:txbxContent>
                </v:textbox>
              </v:shape>
            </w:pict>
          </mc:Fallback>
        </mc:AlternateContent>
      </w:r>
      <w:r>
        <w:rPr>
          <w:rFonts w:ascii="宋体" w:hAnsi="宋体" w:eastAsia="宋体"/>
          <w:b/>
          <w:sz w:val="32"/>
          <w:szCs w:val="28"/>
          <w:highlight w:val="none"/>
        </w:rPr>
        <w:t>住房和城乡建设部</w:t>
      </w:r>
    </w:p>
    <w:p w14:paraId="5BE36336">
      <w:pPr>
        <w:ind w:right="2556" w:rightChars="1162" w:firstLine="2554" w:firstLineChars="795"/>
        <w:jc w:val="distribute"/>
        <w:rPr>
          <w:rFonts w:ascii="宋体" w:hAnsi="宋体" w:eastAsia="宋体"/>
          <w:b/>
          <w:sz w:val="32"/>
          <w:szCs w:val="28"/>
          <w:highlight w:val="none"/>
        </w:rPr>
      </w:pPr>
      <w:r>
        <w:rPr>
          <w:rFonts w:ascii="宋体" w:hAnsi="宋体" w:eastAsia="宋体"/>
          <w:b/>
          <w:sz w:val="32"/>
          <w:szCs w:val="28"/>
          <w:highlight w:val="none"/>
        </w:rPr>
        <w:t>国家工商行政管理总局</w:t>
      </w:r>
    </w:p>
    <w:p w14:paraId="62767F52">
      <w:pPr>
        <w:pStyle w:val="19"/>
        <w:rPr>
          <w:rFonts w:ascii="宋体" w:hAnsi="宋体" w:eastAsia="宋体"/>
          <w:b/>
          <w:sz w:val="32"/>
          <w:szCs w:val="28"/>
          <w:highlight w:val="none"/>
        </w:rPr>
      </w:pPr>
      <w:r>
        <w:rPr>
          <w:rFonts w:ascii="宋体" w:hAnsi="宋体" w:eastAsia="宋体"/>
          <w:b/>
          <w:sz w:val="32"/>
          <w:szCs w:val="28"/>
          <w:highlight w:val="none"/>
        </w:rPr>
        <w:br w:type="page"/>
      </w:r>
    </w:p>
    <w:p w14:paraId="2C39DFDF">
      <w:pPr>
        <w:pStyle w:val="19"/>
        <w:spacing w:line="360" w:lineRule="auto"/>
        <w:jc w:val="center"/>
        <w:rPr>
          <w:rFonts w:ascii="宋体" w:hAnsi="宋体" w:eastAsia="宋体"/>
          <w:b/>
          <w:sz w:val="32"/>
          <w:szCs w:val="28"/>
          <w:highlight w:val="none"/>
        </w:rPr>
      </w:pPr>
      <w:r>
        <w:rPr>
          <w:rFonts w:hint="eastAsia" w:ascii="宋体" w:hAnsi="宋体" w:eastAsia="宋体"/>
          <w:b/>
          <w:sz w:val="32"/>
          <w:szCs w:val="28"/>
          <w:highlight w:val="none"/>
        </w:rPr>
        <w:t>第一部分合同协议书</w:t>
      </w:r>
    </w:p>
    <w:p w14:paraId="20A99F1A">
      <w:pPr>
        <w:pStyle w:val="19"/>
        <w:spacing w:line="360" w:lineRule="auto"/>
        <w:ind w:firstLine="422" w:firstLineChars="200"/>
        <w:rPr>
          <w:rFonts w:hint="eastAsia" w:ascii="宋体" w:hAnsi="宋体" w:eastAsia="宋体"/>
          <w:b/>
          <w:sz w:val="21"/>
          <w:szCs w:val="21"/>
          <w:highlight w:val="none"/>
          <w:u w:val="single"/>
          <w:lang w:eastAsia="zh-CN"/>
        </w:rPr>
      </w:pPr>
      <w:r>
        <w:rPr>
          <w:rFonts w:ascii="宋体" w:hAnsi="宋体" w:eastAsia="宋体"/>
          <w:b/>
          <w:sz w:val="21"/>
          <w:szCs w:val="21"/>
          <w:highlight w:val="none"/>
        </w:rPr>
        <w:t>发包人（全称）：</w:t>
      </w:r>
      <w:r>
        <w:rPr>
          <w:rFonts w:hint="eastAsia" w:ascii="宋体" w:hAnsi="宋体" w:eastAsia="宋体"/>
          <w:b/>
          <w:color w:val="0000FF"/>
          <w:sz w:val="21"/>
          <w:szCs w:val="21"/>
          <w:highlight w:val="none"/>
          <w:u w:val="single"/>
          <w:lang w:eastAsia="zh-CN"/>
        </w:rPr>
        <w:t>南京市浦口区人民政府汤泉街道办事处</w:t>
      </w:r>
    </w:p>
    <w:p w14:paraId="6BDA43A7">
      <w:pPr>
        <w:pStyle w:val="19"/>
        <w:spacing w:line="360" w:lineRule="auto"/>
        <w:ind w:firstLine="422" w:firstLineChars="200"/>
        <w:rPr>
          <w:rFonts w:ascii="宋体" w:hAnsi="宋体" w:eastAsia="宋体"/>
          <w:b/>
          <w:szCs w:val="21"/>
          <w:highlight w:val="none"/>
          <w:u w:val="single"/>
        </w:rPr>
      </w:pPr>
      <w:r>
        <w:rPr>
          <w:rFonts w:ascii="宋体" w:hAnsi="宋体" w:eastAsia="宋体"/>
          <w:b/>
          <w:sz w:val="21"/>
          <w:szCs w:val="21"/>
          <w:highlight w:val="none"/>
        </w:rPr>
        <w:t>承包人（全称）：</w:t>
      </w:r>
    </w:p>
    <w:p w14:paraId="25625475">
      <w:pPr>
        <w:pStyle w:val="19"/>
        <w:spacing w:line="360" w:lineRule="auto"/>
        <w:ind w:firstLine="420" w:firstLineChars="200"/>
        <w:rPr>
          <w:rFonts w:ascii="宋体" w:hAnsi="宋体" w:eastAsia="宋体"/>
          <w:sz w:val="21"/>
          <w:szCs w:val="21"/>
          <w:highlight w:val="none"/>
        </w:rPr>
      </w:pPr>
      <w:r>
        <w:rPr>
          <w:rFonts w:ascii="宋体" w:hAnsi="宋体" w:eastAsia="宋体"/>
          <w:sz w:val="21"/>
          <w:szCs w:val="21"/>
          <w:highlight w:val="none"/>
        </w:rPr>
        <w:t>根据《中华人民共和国</w:t>
      </w:r>
      <w:r>
        <w:rPr>
          <w:rFonts w:hint="eastAsia" w:ascii="宋体" w:hAnsi="宋体" w:eastAsia="宋体"/>
          <w:sz w:val="21"/>
          <w:szCs w:val="21"/>
          <w:highlight w:val="none"/>
        </w:rPr>
        <w:t>民法典</w:t>
      </w:r>
      <w:r>
        <w:rPr>
          <w:rFonts w:hint="eastAsia" w:ascii="宋体" w:hAnsi="宋体" w:eastAsia="宋体"/>
          <w:sz w:val="21"/>
          <w:szCs w:val="21"/>
          <w:highlight w:val="none"/>
          <w:lang w:eastAsia="zh-CN"/>
        </w:rPr>
        <w:t>》《</w:t>
      </w:r>
      <w:r>
        <w:rPr>
          <w:rFonts w:ascii="宋体" w:hAnsi="宋体" w:eastAsia="宋体"/>
          <w:sz w:val="21"/>
          <w:szCs w:val="21"/>
          <w:highlight w:val="none"/>
        </w:rPr>
        <w:t>中华人民共和国建筑法》及有关法律规定，遵循平等、自愿、公平和诚实信用的原则，双方</w:t>
      </w:r>
      <w:r>
        <w:rPr>
          <w:rFonts w:hint="eastAsia" w:ascii="宋体" w:hAnsi="宋体" w:eastAsia="宋体"/>
          <w:sz w:val="21"/>
          <w:szCs w:val="21"/>
          <w:highlight w:val="none"/>
        </w:rPr>
        <w:t>就</w:t>
      </w:r>
      <w:r>
        <w:rPr>
          <w:rFonts w:hint="eastAsia"/>
          <w:sz w:val="21"/>
          <w:szCs w:val="21"/>
          <w:highlight w:val="none"/>
          <w:lang w:val="en-US" w:eastAsia="zh-CN"/>
        </w:rPr>
        <w:t>瓦殿村市级和美乡村建设附属项目</w:t>
      </w:r>
      <w:r>
        <w:rPr>
          <w:rFonts w:ascii="宋体" w:hAnsi="宋体" w:eastAsia="宋体"/>
          <w:sz w:val="21"/>
          <w:szCs w:val="21"/>
          <w:highlight w:val="none"/>
        </w:rPr>
        <w:t>工程施工及有关事项协商一致</w:t>
      </w:r>
      <w:r>
        <w:rPr>
          <w:rFonts w:hint="eastAsia" w:ascii="宋体" w:hAnsi="宋体" w:eastAsia="宋体"/>
          <w:sz w:val="21"/>
          <w:szCs w:val="21"/>
          <w:highlight w:val="none"/>
        </w:rPr>
        <w:t>，</w:t>
      </w:r>
      <w:r>
        <w:rPr>
          <w:rFonts w:ascii="宋体" w:hAnsi="宋体" w:eastAsia="宋体"/>
          <w:sz w:val="21"/>
          <w:szCs w:val="21"/>
          <w:highlight w:val="none"/>
        </w:rPr>
        <w:t>共同达成如下协议：</w:t>
      </w:r>
    </w:p>
    <w:p w14:paraId="116064A5">
      <w:pPr>
        <w:pStyle w:val="7"/>
        <w:spacing w:before="0" w:after="0" w:line="360" w:lineRule="auto"/>
        <w:ind w:firstLine="560" w:firstLineChars="200"/>
        <w:jc w:val="left"/>
        <w:rPr>
          <w:rFonts w:ascii="宋体" w:hAnsi="宋体" w:eastAsia="宋体"/>
          <w:bCs/>
          <w:sz w:val="24"/>
          <w:highlight w:val="none"/>
        </w:rPr>
      </w:pPr>
      <w:bookmarkStart w:id="17" w:name="_Toc351203481"/>
      <w:r>
        <w:rPr>
          <w:rFonts w:ascii="宋体" w:hAnsi="宋体" w:eastAsia="宋体"/>
          <w:b w:val="0"/>
          <w:szCs w:val="32"/>
          <w:highlight w:val="none"/>
        </w:rPr>
        <w:t>一、工程概况</w:t>
      </w:r>
      <w:bookmarkEnd w:id="17"/>
    </w:p>
    <w:p w14:paraId="3820AF64">
      <w:pPr>
        <w:pStyle w:val="19"/>
        <w:spacing w:line="360" w:lineRule="auto"/>
        <w:ind w:firstLine="420" w:firstLineChars="200"/>
        <w:rPr>
          <w:rFonts w:ascii="宋体" w:hAnsi="宋体" w:eastAsia="宋体"/>
          <w:szCs w:val="21"/>
          <w:highlight w:val="none"/>
          <w:u w:val="single"/>
        </w:rPr>
      </w:pPr>
      <w:r>
        <w:rPr>
          <w:rFonts w:ascii="宋体" w:hAnsi="宋体" w:eastAsia="宋体"/>
          <w:bCs/>
          <w:sz w:val="21"/>
          <w:szCs w:val="21"/>
          <w:highlight w:val="none"/>
        </w:rPr>
        <w:t>1.工程名称</w:t>
      </w:r>
      <w:r>
        <w:rPr>
          <w:rFonts w:hint="eastAsia" w:ascii="宋体" w:hAnsi="宋体" w:eastAsia="宋体"/>
          <w:bCs/>
          <w:sz w:val="21"/>
          <w:szCs w:val="21"/>
          <w:highlight w:val="none"/>
        </w:rPr>
        <w:t>:</w:t>
      </w:r>
      <w:r>
        <w:rPr>
          <w:rFonts w:hint="eastAsia"/>
          <w:bCs/>
          <w:sz w:val="21"/>
          <w:szCs w:val="21"/>
          <w:highlight w:val="none"/>
          <w:lang w:val="en-US" w:eastAsia="zh-CN"/>
        </w:rPr>
        <w:t>瓦殿村市级和美乡村建设附属项目</w:t>
      </w:r>
      <w:r>
        <w:rPr>
          <w:rFonts w:hint="eastAsia" w:ascii="宋体" w:hAnsi="宋体" w:eastAsia="宋体"/>
          <w:bCs/>
          <w:szCs w:val="21"/>
          <w:highlight w:val="none"/>
        </w:rPr>
        <w:t>。</w:t>
      </w:r>
    </w:p>
    <w:p w14:paraId="5C5DB677">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2.工程地点</w:t>
      </w:r>
      <w:r>
        <w:rPr>
          <w:rFonts w:hint="eastAsia" w:ascii="宋体" w:hAnsi="宋体" w:eastAsia="宋体"/>
          <w:bCs/>
          <w:szCs w:val="21"/>
          <w:highlight w:val="none"/>
        </w:rPr>
        <w:t>：</w:t>
      </w:r>
      <w:r>
        <w:rPr>
          <w:rFonts w:hint="eastAsia" w:ascii="宋体" w:hAnsi="宋体" w:eastAsia="宋体"/>
          <w:bCs/>
          <w:color w:val="0000FF"/>
          <w:szCs w:val="21"/>
          <w:highlight w:val="none"/>
          <w:u w:val="single"/>
        </w:rPr>
        <w:t>江苏省南京市</w:t>
      </w:r>
      <w:r>
        <w:rPr>
          <w:rFonts w:hint="eastAsia" w:ascii="宋体" w:hAnsi="宋体" w:eastAsia="宋体"/>
          <w:bCs/>
          <w:color w:val="0000FF"/>
          <w:szCs w:val="21"/>
          <w:highlight w:val="none"/>
          <w:u w:val="single"/>
          <w:lang w:val="en-US" w:eastAsia="zh-CN"/>
        </w:rPr>
        <w:t>浦口区</w:t>
      </w:r>
      <w:r>
        <w:rPr>
          <w:rFonts w:hint="eastAsia" w:ascii="宋体" w:hAnsi="宋体" w:eastAsia="宋体"/>
          <w:bCs/>
          <w:szCs w:val="21"/>
          <w:highlight w:val="none"/>
        </w:rPr>
        <w:t>。</w:t>
      </w:r>
    </w:p>
    <w:p w14:paraId="01FE193F">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3.工程立项批准文号</w:t>
      </w:r>
      <w:r>
        <w:rPr>
          <w:rFonts w:hint="eastAsia" w:ascii="宋体" w:hAnsi="宋体" w:eastAsia="宋体"/>
          <w:bCs/>
          <w:szCs w:val="21"/>
          <w:highlight w:val="none"/>
          <w:lang w:eastAsia="zh-CN"/>
        </w:rPr>
        <w:t>：</w:t>
      </w:r>
    </w:p>
    <w:p w14:paraId="7F9FB54C">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4.资金来源：</w:t>
      </w:r>
      <w:r>
        <w:rPr>
          <w:rFonts w:hint="eastAsia" w:ascii="宋体" w:hAnsi="宋体" w:eastAsia="宋体"/>
          <w:bCs/>
          <w:color w:val="0000FF"/>
          <w:szCs w:val="21"/>
          <w:highlight w:val="none"/>
          <w:u w:val="single"/>
          <w:lang w:val="en-US" w:eastAsia="zh-CN"/>
        </w:rPr>
        <w:t>已完成</w:t>
      </w:r>
      <w:r>
        <w:rPr>
          <w:rFonts w:hint="eastAsia" w:ascii="宋体" w:hAnsi="宋体" w:eastAsia="宋体"/>
          <w:bCs/>
          <w:szCs w:val="21"/>
          <w:highlight w:val="none"/>
        </w:rPr>
        <w:t>。</w:t>
      </w:r>
    </w:p>
    <w:p w14:paraId="085E85DA">
      <w:pPr>
        <w:spacing w:line="360" w:lineRule="auto"/>
        <w:ind w:firstLine="440" w:firstLineChars="200"/>
        <w:jc w:val="left"/>
        <w:rPr>
          <w:rFonts w:ascii="宋体" w:hAnsi="宋体" w:eastAsia="宋体"/>
          <w:bCs/>
          <w:szCs w:val="21"/>
          <w:highlight w:val="none"/>
        </w:rPr>
      </w:pPr>
      <w:r>
        <w:rPr>
          <w:rFonts w:hint="eastAsia" w:ascii="宋体" w:hAnsi="宋体" w:eastAsia="宋体"/>
          <w:bCs/>
          <w:szCs w:val="21"/>
          <w:highlight w:val="none"/>
        </w:rPr>
        <w:t>5.工程内容：</w:t>
      </w:r>
      <w:r>
        <w:rPr>
          <w:rFonts w:hint="eastAsia"/>
          <w:bCs/>
          <w:szCs w:val="21"/>
          <w:highlight w:val="none"/>
          <w:lang w:val="en-US" w:eastAsia="zh-CN"/>
        </w:rPr>
        <w:t>瓦殿村市级和美乡村建设附属项目</w:t>
      </w:r>
      <w:r>
        <w:rPr>
          <w:rFonts w:hint="eastAsia" w:ascii="宋体" w:hAnsi="宋体" w:eastAsia="宋体"/>
          <w:bCs/>
          <w:color w:val="0000FF"/>
          <w:szCs w:val="21"/>
          <w:highlight w:val="none"/>
          <w:u w:val="single"/>
        </w:rPr>
        <w:t>（具体详见工程量清单）</w:t>
      </w:r>
      <w:r>
        <w:rPr>
          <w:rFonts w:hint="eastAsia" w:ascii="宋体" w:hAnsi="宋体" w:eastAsia="宋体"/>
          <w:bCs/>
          <w:szCs w:val="21"/>
          <w:highlight w:val="none"/>
        </w:rPr>
        <w:t>。</w:t>
      </w:r>
    </w:p>
    <w:p w14:paraId="688558B2">
      <w:pPr>
        <w:spacing w:line="360" w:lineRule="auto"/>
        <w:ind w:firstLine="440" w:firstLineChars="200"/>
        <w:jc w:val="left"/>
        <w:rPr>
          <w:rFonts w:ascii="宋体" w:hAnsi="宋体" w:eastAsia="宋体"/>
          <w:bCs/>
          <w:szCs w:val="21"/>
          <w:highlight w:val="none"/>
        </w:rPr>
      </w:pPr>
      <w:r>
        <w:rPr>
          <w:rFonts w:hint="eastAsia" w:ascii="宋体" w:hAnsi="宋体" w:eastAsia="宋体"/>
          <w:szCs w:val="21"/>
          <w:highlight w:val="none"/>
        </w:rPr>
        <w:t>群体工程应附《</w:t>
      </w:r>
      <w:r>
        <w:rPr>
          <w:rFonts w:ascii="宋体" w:hAnsi="宋体" w:eastAsia="宋体"/>
          <w:szCs w:val="21"/>
          <w:highlight w:val="none"/>
        </w:rPr>
        <w:t>承包人承揽工程项目一览表</w:t>
      </w:r>
      <w:r>
        <w:rPr>
          <w:rFonts w:hint="eastAsia" w:ascii="宋体" w:hAnsi="宋体" w:eastAsia="宋体"/>
          <w:szCs w:val="21"/>
          <w:highlight w:val="none"/>
        </w:rPr>
        <w:t>》（附件1）。</w:t>
      </w:r>
    </w:p>
    <w:p w14:paraId="7195934E">
      <w:pPr>
        <w:spacing w:line="360" w:lineRule="auto"/>
        <w:ind w:firstLine="440" w:firstLineChars="200"/>
        <w:jc w:val="left"/>
        <w:rPr>
          <w:rFonts w:ascii="宋体" w:hAnsi="宋体" w:eastAsia="宋体"/>
          <w:bCs/>
          <w:szCs w:val="21"/>
          <w:highlight w:val="none"/>
        </w:rPr>
      </w:pPr>
      <w:r>
        <w:rPr>
          <w:rFonts w:hint="eastAsia" w:ascii="宋体" w:hAnsi="宋体" w:eastAsia="宋体"/>
          <w:bCs/>
          <w:szCs w:val="21"/>
          <w:highlight w:val="none"/>
        </w:rPr>
        <w:t>6</w:t>
      </w:r>
      <w:r>
        <w:rPr>
          <w:rFonts w:ascii="宋体" w:hAnsi="宋体" w:eastAsia="宋体"/>
          <w:bCs/>
          <w:szCs w:val="21"/>
          <w:highlight w:val="none"/>
        </w:rPr>
        <w:t>.工程承包范围：</w:t>
      </w:r>
      <w:r>
        <w:rPr>
          <w:rFonts w:hint="eastAsia"/>
          <w:bCs/>
          <w:szCs w:val="21"/>
          <w:highlight w:val="none"/>
          <w:lang w:val="en-US" w:eastAsia="zh-CN"/>
        </w:rPr>
        <w:t>瓦殿村市级和美乡村建设附属项目</w:t>
      </w:r>
      <w:r>
        <w:rPr>
          <w:rFonts w:hint="eastAsia" w:ascii="宋体" w:hAnsi="宋体" w:eastAsia="宋体"/>
          <w:bCs/>
          <w:color w:val="0000FF"/>
          <w:szCs w:val="21"/>
          <w:highlight w:val="none"/>
          <w:u w:val="single"/>
        </w:rPr>
        <w:t>（具体详见工程量清单）</w:t>
      </w:r>
      <w:r>
        <w:rPr>
          <w:rFonts w:hint="eastAsia" w:ascii="宋体" w:hAnsi="宋体" w:eastAsia="宋体"/>
          <w:bCs/>
          <w:szCs w:val="21"/>
          <w:highlight w:val="none"/>
        </w:rPr>
        <w:t>。</w:t>
      </w:r>
    </w:p>
    <w:p w14:paraId="43480E05">
      <w:pPr>
        <w:pStyle w:val="7"/>
        <w:spacing w:before="0" w:after="0" w:line="360" w:lineRule="auto"/>
        <w:ind w:firstLine="560" w:firstLineChars="200"/>
        <w:jc w:val="left"/>
        <w:rPr>
          <w:rFonts w:ascii="宋体" w:hAnsi="宋体" w:eastAsia="宋体"/>
          <w:b w:val="0"/>
          <w:highlight w:val="none"/>
        </w:rPr>
      </w:pPr>
      <w:bookmarkStart w:id="18" w:name="_Toc351203482"/>
      <w:r>
        <w:rPr>
          <w:rFonts w:ascii="宋体" w:hAnsi="宋体" w:eastAsia="宋体"/>
          <w:b w:val="0"/>
          <w:highlight w:val="none"/>
        </w:rPr>
        <w:t>二、合同工期</w:t>
      </w:r>
      <w:bookmarkEnd w:id="18"/>
    </w:p>
    <w:p w14:paraId="6C42F8B1">
      <w:pPr>
        <w:spacing w:line="360" w:lineRule="auto"/>
        <w:ind w:firstLine="440" w:firstLineChars="200"/>
        <w:jc w:val="left"/>
        <w:rPr>
          <w:rFonts w:ascii="宋体" w:hAnsi="宋体" w:eastAsia="宋体"/>
          <w:bCs/>
          <w:szCs w:val="21"/>
          <w:highlight w:val="none"/>
        </w:rPr>
      </w:pPr>
      <w:r>
        <w:rPr>
          <w:rFonts w:ascii="宋体" w:hAnsi="宋体" w:eastAsia="宋体"/>
          <w:szCs w:val="21"/>
          <w:highlight w:val="none"/>
        </w:rPr>
        <w:t>计划开工日期</w:t>
      </w:r>
      <w:r>
        <w:rPr>
          <w:rFonts w:hint="eastAsia" w:ascii="宋体" w:hAnsi="宋体" w:eastAsia="宋体"/>
          <w:szCs w:val="21"/>
          <w:highlight w:val="none"/>
          <w:lang w:eastAsia="zh-CN"/>
        </w:rPr>
        <w:t>：</w:t>
      </w:r>
    </w:p>
    <w:p w14:paraId="07CCD249">
      <w:pPr>
        <w:spacing w:line="360" w:lineRule="auto"/>
        <w:ind w:firstLine="440" w:firstLineChars="200"/>
        <w:jc w:val="left"/>
        <w:rPr>
          <w:rFonts w:ascii="宋体" w:hAnsi="宋体" w:eastAsia="宋体"/>
          <w:bCs/>
          <w:szCs w:val="21"/>
          <w:highlight w:val="none"/>
        </w:rPr>
      </w:pPr>
      <w:r>
        <w:rPr>
          <w:rFonts w:ascii="宋体" w:hAnsi="宋体" w:eastAsia="宋体"/>
          <w:szCs w:val="21"/>
          <w:highlight w:val="none"/>
        </w:rPr>
        <w:t>计划竣工日期</w:t>
      </w:r>
      <w:r>
        <w:rPr>
          <w:rFonts w:hint="eastAsia" w:ascii="宋体" w:hAnsi="宋体" w:eastAsia="宋体"/>
          <w:szCs w:val="21"/>
          <w:highlight w:val="none"/>
          <w:lang w:eastAsia="zh-CN"/>
        </w:rPr>
        <w:t>：</w:t>
      </w:r>
    </w:p>
    <w:p w14:paraId="3223376F">
      <w:pPr>
        <w:spacing w:line="360" w:lineRule="auto"/>
        <w:ind w:firstLine="440" w:firstLineChars="200"/>
        <w:jc w:val="left"/>
        <w:rPr>
          <w:rFonts w:ascii="宋体" w:hAnsi="宋体" w:eastAsia="宋体"/>
          <w:bCs/>
          <w:szCs w:val="21"/>
          <w:highlight w:val="none"/>
        </w:rPr>
      </w:pPr>
      <w:r>
        <w:rPr>
          <w:rFonts w:ascii="宋体" w:hAnsi="宋体" w:eastAsia="宋体"/>
          <w:szCs w:val="21"/>
          <w:highlight w:val="none"/>
        </w:rPr>
        <w:t>工期总日历天数：</w:t>
      </w:r>
      <w:r>
        <w:rPr>
          <w:rFonts w:hint="eastAsia"/>
          <w:szCs w:val="21"/>
          <w:highlight w:val="none"/>
          <w:lang w:val="en-US" w:eastAsia="zh-CN"/>
        </w:rPr>
        <w:t>100</w:t>
      </w:r>
      <w:r>
        <w:rPr>
          <w:rFonts w:ascii="宋体" w:hAnsi="宋体" w:eastAsia="宋体"/>
          <w:szCs w:val="21"/>
          <w:highlight w:val="none"/>
        </w:rPr>
        <w:t>天。工期总日历天数与根据前述计划开竣工日期计算的工期天数不一致的，以工期总日历天数为准。</w:t>
      </w:r>
    </w:p>
    <w:p w14:paraId="1A589AC1">
      <w:pPr>
        <w:pStyle w:val="7"/>
        <w:spacing w:before="0" w:after="0" w:line="360" w:lineRule="auto"/>
        <w:ind w:firstLine="560" w:firstLineChars="200"/>
        <w:jc w:val="left"/>
        <w:rPr>
          <w:rFonts w:ascii="宋体" w:hAnsi="宋体" w:eastAsia="宋体"/>
          <w:bCs/>
          <w:sz w:val="24"/>
          <w:highlight w:val="none"/>
        </w:rPr>
      </w:pPr>
      <w:bookmarkStart w:id="19" w:name="_Toc351203483"/>
      <w:r>
        <w:rPr>
          <w:rFonts w:ascii="宋体" w:hAnsi="宋体" w:eastAsia="宋体"/>
          <w:b w:val="0"/>
          <w:szCs w:val="32"/>
          <w:highlight w:val="none"/>
        </w:rPr>
        <w:t>三、质量标准</w:t>
      </w:r>
      <w:bookmarkEnd w:id="19"/>
    </w:p>
    <w:p w14:paraId="5ECFFBBB">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工程质量符合</w:t>
      </w:r>
      <w:r>
        <w:rPr>
          <w:rFonts w:hint="eastAsia" w:ascii="宋体" w:hAnsi="宋体" w:eastAsia="宋体"/>
          <w:bCs/>
          <w:color w:val="0000FF"/>
          <w:szCs w:val="21"/>
          <w:highlight w:val="none"/>
          <w:u w:val="single"/>
        </w:rPr>
        <w:t>国家质量验收</w:t>
      </w:r>
      <w:r>
        <w:rPr>
          <w:rFonts w:ascii="宋体" w:hAnsi="宋体" w:eastAsia="宋体"/>
          <w:szCs w:val="21"/>
          <w:highlight w:val="none"/>
        </w:rPr>
        <w:t>标准。</w:t>
      </w:r>
    </w:p>
    <w:p w14:paraId="4CAA5F73">
      <w:pPr>
        <w:pStyle w:val="7"/>
        <w:spacing w:before="0" w:after="0" w:line="360" w:lineRule="auto"/>
        <w:ind w:firstLine="560" w:firstLineChars="200"/>
        <w:jc w:val="left"/>
        <w:rPr>
          <w:rFonts w:ascii="宋体" w:hAnsi="宋体" w:eastAsia="宋体"/>
          <w:bCs/>
          <w:sz w:val="24"/>
          <w:highlight w:val="none"/>
        </w:rPr>
      </w:pPr>
      <w:bookmarkStart w:id="20" w:name="_Toc351203484"/>
      <w:r>
        <w:rPr>
          <w:rFonts w:ascii="宋体" w:hAnsi="宋体" w:eastAsia="宋体"/>
          <w:b w:val="0"/>
          <w:szCs w:val="32"/>
          <w:highlight w:val="none"/>
        </w:rPr>
        <w:t>四、签约合同价与合同价格形式</w:t>
      </w:r>
      <w:bookmarkEnd w:id="20"/>
      <w:r>
        <w:rPr>
          <w:rFonts w:ascii="宋体" w:hAnsi="宋体" w:eastAsia="宋体"/>
          <w:b w:val="0"/>
          <w:szCs w:val="32"/>
          <w:highlight w:val="none"/>
        </w:rPr>
        <w:tab/>
      </w:r>
    </w:p>
    <w:p w14:paraId="6586746E">
      <w:pPr>
        <w:spacing w:line="360" w:lineRule="auto"/>
        <w:ind w:firstLine="440" w:firstLineChars="200"/>
        <w:jc w:val="left"/>
        <w:rPr>
          <w:rFonts w:ascii="宋体" w:hAnsi="宋体" w:eastAsia="宋体"/>
          <w:highlight w:val="none"/>
        </w:rPr>
      </w:pPr>
      <w:r>
        <w:rPr>
          <w:rFonts w:ascii="宋体" w:hAnsi="宋体" w:eastAsia="宋体"/>
          <w:highlight w:val="none"/>
        </w:rPr>
        <w:t>1.签约合同价为</w:t>
      </w:r>
      <w:r>
        <w:rPr>
          <w:rFonts w:hint="eastAsia" w:ascii="宋体" w:hAnsi="宋体" w:eastAsia="宋体"/>
          <w:highlight w:val="none"/>
        </w:rPr>
        <w:t>：</w:t>
      </w:r>
    </w:p>
    <w:p w14:paraId="3D30D206">
      <w:pPr>
        <w:pStyle w:val="97"/>
        <w:snapToGrid w:val="0"/>
        <w:spacing w:before="0" w:after="0" w:line="360" w:lineRule="auto"/>
        <w:ind w:left="0" w:right="0" w:firstLine="420" w:firstLineChars="200"/>
        <w:rPr>
          <w:rFonts w:ascii="宋体" w:hAnsi="宋体"/>
          <w:sz w:val="21"/>
          <w:highlight w:val="none"/>
        </w:rPr>
      </w:pPr>
      <w:r>
        <w:rPr>
          <w:rFonts w:hint="eastAsia" w:ascii="宋体" w:hAnsi="宋体"/>
          <w:sz w:val="21"/>
          <w:highlight w:val="none"/>
        </w:rPr>
        <w:t>人民币（大写）：</w:t>
      </w:r>
      <w:bookmarkStart w:id="21" w:name="Ht18"/>
      <w:bookmarkEnd w:id="21"/>
      <w:r>
        <w:rPr>
          <w:rFonts w:hint="eastAsia" w:ascii="宋体" w:hAnsi="宋体"/>
          <w:sz w:val="21"/>
          <w:highlight w:val="none"/>
        </w:rPr>
        <w:t>（</w:t>
      </w:r>
      <w:r>
        <w:rPr>
          <w:rFonts w:ascii="宋体" w:hAnsi="宋体"/>
          <w:sz w:val="21"/>
          <w:szCs w:val="21"/>
          <w:highlight w:val="none"/>
        </w:rPr>
        <w:t>¥</w:t>
      </w:r>
      <w:bookmarkStart w:id="22" w:name="Ht19"/>
      <w:bookmarkEnd w:id="22"/>
      <w:r>
        <w:rPr>
          <w:rFonts w:hint="eastAsia" w:ascii="宋体" w:hAnsi="宋体"/>
          <w:sz w:val="21"/>
          <w:highlight w:val="none"/>
        </w:rPr>
        <w:t>元）；税率为</w:t>
      </w:r>
      <w:r>
        <w:rPr>
          <w:rFonts w:hint="eastAsia" w:ascii="宋体" w:hAnsi="宋体"/>
          <w:sz w:val="21"/>
          <w:highlight w:val="none"/>
          <w:u w:val="single"/>
        </w:rPr>
        <w:t>%</w:t>
      </w:r>
      <w:r>
        <w:rPr>
          <w:rFonts w:hint="eastAsia" w:ascii="宋体" w:hAnsi="宋体"/>
          <w:sz w:val="21"/>
          <w:highlight w:val="none"/>
        </w:rPr>
        <w:t>；</w:t>
      </w:r>
    </w:p>
    <w:p w14:paraId="04790FA7">
      <w:pPr>
        <w:pStyle w:val="97"/>
        <w:snapToGrid w:val="0"/>
        <w:spacing w:before="0" w:after="0" w:line="360" w:lineRule="auto"/>
        <w:ind w:left="0" w:right="0" w:firstLine="420" w:firstLineChars="200"/>
        <w:rPr>
          <w:rFonts w:ascii="宋体" w:hAnsi="宋体"/>
          <w:sz w:val="21"/>
          <w:highlight w:val="none"/>
        </w:rPr>
      </w:pPr>
      <w:r>
        <w:rPr>
          <w:rFonts w:hint="eastAsia" w:ascii="宋体" w:hAnsi="宋体"/>
          <w:sz w:val="21"/>
          <w:highlight w:val="none"/>
        </w:rPr>
        <w:t>不含税价格（大写）：（</w:t>
      </w:r>
      <w:r>
        <w:rPr>
          <w:rFonts w:ascii="宋体" w:hAnsi="宋体"/>
          <w:sz w:val="21"/>
          <w:szCs w:val="21"/>
          <w:highlight w:val="none"/>
        </w:rPr>
        <w:t>¥</w:t>
      </w:r>
      <w:r>
        <w:rPr>
          <w:rFonts w:hint="eastAsia" w:ascii="宋体" w:hAnsi="宋体"/>
          <w:sz w:val="21"/>
          <w:highlight w:val="none"/>
        </w:rPr>
        <w:t>元）</w:t>
      </w:r>
    </w:p>
    <w:p w14:paraId="33B954AD">
      <w:pPr>
        <w:spacing w:line="360" w:lineRule="auto"/>
        <w:ind w:firstLine="440" w:firstLineChars="200"/>
        <w:jc w:val="left"/>
        <w:rPr>
          <w:rFonts w:ascii="宋体" w:hAnsi="宋体" w:eastAsia="宋体"/>
          <w:highlight w:val="none"/>
        </w:rPr>
      </w:pPr>
      <w:r>
        <w:rPr>
          <w:rFonts w:hint="eastAsia" w:ascii="宋体" w:hAnsi="宋体" w:eastAsia="宋体"/>
          <w:szCs w:val="21"/>
          <w:highlight w:val="none"/>
        </w:rPr>
        <w:t>如国家税收政策变化，税率变更，按不含税价×（1+新税率）计算变化后含税价。</w:t>
      </w:r>
    </w:p>
    <w:p w14:paraId="5DAF8205">
      <w:pPr>
        <w:pStyle w:val="97"/>
        <w:snapToGrid w:val="0"/>
        <w:spacing w:before="0" w:after="0" w:line="360" w:lineRule="auto"/>
        <w:ind w:left="0" w:right="0" w:firstLine="420" w:firstLineChars="200"/>
        <w:rPr>
          <w:rFonts w:ascii="宋体" w:hAnsi="宋体"/>
          <w:sz w:val="21"/>
          <w:highlight w:val="none"/>
        </w:rPr>
      </w:pPr>
      <w:r>
        <w:rPr>
          <w:rFonts w:hint="eastAsia" w:ascii="宋体" w:hAnsi="宋体"/>
          <w:sz w:val="21"/>
          <w:highlight w:val="none"/>
        </w:rPr>
        <w:t>　　　其中：</w:t>
      </w:r>
    </w:p>
    <w:p w14:paraId="44E99E29">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（1）安全文明施工费：</w:t>
      </w:r>
    </w:p>
    <w:p w14:paraId="620BF71E">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人民币（大写）</w:t>
      </w:r>
      <w:bookmarkStart w:id="23" w:name="Ht20"/>
      <w:r>
        <w:rPr>
          <w:rFonts w:hint="eastAsia" w:ascii="宋体" w:hAnsi="宋体" w:eastAsia="宋体"/>
          <w:szCs w:val="21"/>
          <w:highlight w:val="none"/>
          <w:u w:val="single"/>
        </w:rPr>
        <w:t>/</w:t>
      </w:r>
      <w:bookmarkEnd w:id="23"/>
      <w:r>
        <w:rPr>
          <w:rFonts w:ascii="宋体" w:hAnsi="宋体" w:eastAsia="宋体"/>
          <w:szCs w:val="21"/>
          <w:highlight w:val="none"/>
        </w:rPr>
        <w:t>(¥</w:t>
      </w:r>
      <w:bookmarkStart w:id="24" w:name="Ht21"/>
      <w:r>
        <w:rPr>
          <w:rFonts w:hint="eastAsia" w:ascii="宋体" w:hAnsi="宋体" w:eastAsia="宋体"/>
          <w:szCs w:val="21"/>
          <w:highlight w:val="none"/>
          <w:u w:val="single"/>
        </w:rPr>
        <w:t>/</w:t>
      </w:r>
      <w:bookmarkEnd w:id="24"/>
      <w:r>
        <w:rPr>
          <w:rFonts w:ascii="宋体" w:hAnsi="宋体" w:eastAsia="宋体"/>
          <w:szCs w:val="21"/>
          <w:highlight w:val="none"/>
        </w:rPr>
        <w:t>元)</w:t>
      </w:r>
      <w:r>
        <w:rPr>
          <w:rFonts w:hint="eastAsia" w:ascii="宋体" w:hAnsi="宋体" w:eastAsia="宋体"/>
          <w:szCs w:val="21"/>
          <w:highlight w:val="none"/>
        </w:rPr>
        <w:t>；</w:t>
      </w:r>
    </w:p>
    <w:p w14:paraId="48497F6A">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（2）材料和工程设备暂估价金额：</w:t>
      </w:r>
    </w:p>
    <w:p w14:paraId="46F94731">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人民币（大写</w:t>
      </w:r>
      <w:r>
        <w:rPr>
          <w:rFonts w:hint="eastAsia" w:ascii="宋体" w:hAnsi="宋体" w:eastAsia="宋体"/>
          <w:szCs w:val="21"/>
          <w:highlight w:val="none"/>
        </w:rPr>
        <w:t>）</w:t>
      </w:r>
      <w:bookmarkStart w:id="25" w:name="Ht22"/>
      <w:r>
        <w:rPr>
          <w:rFonts w:hint="eastAsia" w:ascii="宋体" w:hAnsi="宋体" w:eastAsia="宋体"/>
          <w:szCs w:val="21"/>
          <w:highlight w:val="none"/>
          <w:u w:val="single"/>
        </w:rPr>
        <w:t>/</w:t>
      </w:r>
      <w:bookmarkEnd w:id="25"/>
      <w:r>
        <w:rPr>
          <w:rFonts w:ascii="宋体" w:hAnsi="宋体" w:eastAsia="宋体"/>
          <w:szCs w:val="21"/>
          <w:highlight w:val="none"/>
        </w:rPr>
        <w:t>(¥</w:t>
      </w:r>
      <w:bookmarkStart w:id="26" w:name="Ht23"/>
      <w:r>
        <w:rPr>
          <w:rFonts w:hint="eastAsia" w:ascii="宋体" w:hAnsi="宋体" w:eastAsia="宋体"/>
          <w:szCs w:val="21"/>
          <w:highlight w:val="none"/>
          <w:u w:val="single"/>
        </w:rPr>
        <w:t>/</w:t>
      </w:r>
      <w:bookmarkEnd w:id="26"/>
      <w:r>
        <w:rPr>
          <w:rFonts w:ascii="宋体" w:hAnsi="宋体" w:eastAsia="宋体"/>
          <w:szCs w:val="21"/>
          <w:highlight w:val="none"/>
        </w:rPr>
        <w:t>元)</w:t>
      </w:r>
      <w:r>
        <w:rPr>
          <w:rFonts w:hint="eastAsia" w:ascii="宋体" w:hAnsi="宋体" w:eastAsia="宋体"/>
          <w:szCs w:val="21"/>
          <w:highlight w:val="none"/>
        </w:rPr>
        <w:t>；</w:t>
      </w:r>
    </w:p>
    <w:p w14:paraId="394F3E49">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（3）专业工程暂估价金额：</w:t>
      </w:r>
    </w:p>
    <w:p w14:paraId="64A0C7F4">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人民币（大写）</w:t>
      </w:r>
      <w:bookmarkStart w:id="27" w:name="Ht24"/>
      <w:r>
        <w:rPr>
          <w:rFonts w:hint="eastAsia" w:ascii="宋体" w:hAnsi="宋体" w:eastAsia="宋体"/>
          <w:szCs w:val="21"/>
          <w:highlight w:val="none"/>
          <w:u w:val="single"/>
        </w:rPr>
        <w:t>/</w:t>
      </w:r>
      <w:bookmarkEnd w:id="27"/>
      <w:r>
        <w:rPr>
          <w:rFonts w:ascii="宋体" w:hAnsi="宋体" w:eastAsia="宋体"/>
          <w:szCs w:val="21"/>
          <w:highlight w:val="none"/>
        </w:rPr>
        <w:t>(¥</w:t>
      </w:r>
      <w:bookmarkStart w:id="28" w:name="Ht25"/>
      <w:r>
        <w:rPr>
          <w:rFonts w:hint="eastAsia" w:ascii="宋体" w:hAnsi="宋体" w:eastAsia="宋体"/>
          <w:szCs w:val="21"/>
          <w:highlight w:val="none"/>
          <w:u w:val="single"/>
        </w:rPr>
        <w:t>/</w:t>
      </w:r>
      <w:bookmarkEnd w:id="28"/>
      <w:r>
        <w:rPr>
          <w:rFonts w:ascii="宋体" w:hAnsi="宋体" w:eastAsia="宋体"/>
          <w:szCs w:val="21"/>
          <w:highlight w:val="none"/>
        </w:rPr>
        <w:t>元)；</w:t>
      </w:r>
    </w:p>
    <w:p w14:paraId="37B05D16">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（4）暂列金额：</w:t>
      </w:r>
    </w:p>
    <w:p w14:paraId="0483334B">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人民币（大写</w:t>
      </w:r>
      <w:r>
        <w:rPr>
          <w:rFonts w:hint="eastAsia" w:ascii="宋体" w:hAnsi="宋体" w:eastAsia="宋体"/>
          <w:szCs w:val="21"/>
          <w:highlight w:val="none"/>
        </w:rPr>
        <w:t>）</w:t>
      </w:r>
      <w:bookmarkStart w:id="29" w:name="Ht26"/>
      <w:bookmarkEnd w:id="29"/>
      <w:r>
        <w:rPr>
          <w:rFonts w:ascii="宋体" w:hAnsi="宋体" w:eastAsia="宋体"/>
          <w:szCs w:val="21"/>
          <w:highlight w:val="none"/>
        </w:rPr>
        <w:t>(¥</w:t>
      </w:r>
      <w:bookmarkStart w:id="30" w:name="Ht27"/>
      <w:bookmarkEnd w:id="30"/>
      <w:r>
        <w:rPr>
          <w:rFonts w:ascii="宋体" w:hAnsi="宋体" w:eastAsia="宋体"/>
          <w:szCs w:val="21"/>
          <w:highlight w:val="none"/>
        </w:rPr>
        <w:t>元)。</w:t>
      </w:r>
    </w:p>
    <w:p w14:paraId="2396D6F2">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2.合同价格形式：</w:t>
      </w:r>
      <w:r>
        <w:rPr>
          <w:rFonts w:hint="eastAsia" w:ascii="宋体" w:hAnsi="宋体" w:eastAsia="宋体"/>
          <w:bCs/>
          <w:color w:val="0000FF"/>
          <w:szCs w:val="21"/>
          <w:highlight w:val="none"/>
          <w:u w:val="single"/>
        </w:rPr>
        <w:t>固定单价合同</w:t>
      </w:r>
      <w:r>
        <w:rPr>
          <w:rFonts w:ascii="宋体" w:hAnsi="宋体" w:eastAsia="宋体"/>
          <w:szCs w:val="21"/>
          <w:highlight w:val="none"/>
        </w:rPr>
        <w:t>。</w:t>
      </w:r>
    </w:p>
    <w:p w14:paraId="3C9F2D9A">
      <w:pPr>
        <w:pStyle w:val="7"/>
        <w:spacing w:before="0" w:after="0" w:line="360" w:lineRule="auto"/>
        <w:ind w:firstLine="560" w:firstLineChars="200"/>
        <w:jc w:val="left"/>
        <w:rPr>
          <w:rFonts w:ascii="宋体" w:hAnsi="宋体" w:eastAsia="宋体"/>
          <w:b w:val="0"/>
          <w:szCs w:val="32"/>
          <w:highlight w:val="none"/>
        </w:rPr>
      </w:pPr>
      <w:bookmarkStart w:id="31" w:name="_Toc351203485"/>
      <w:r>
        <w:rPr>
          <w:rFonts w:ascii="宋体" w:hAnsi="宋体" w:eastAsia="宋体"/>
          <w:b w:val="0"/>
          <w:szCs w:val="32"/>
          <w:highlight w:val="none"/>
        </w:rPr>
        <w:t>五、</w:t>
      </w:r>
      <w:bookmarkEnd w:id="31"/>
      <w:r>
        <w:rPr>
          <w:rFonts w:ascii="宋体" w:hAnsi="宋体" w:eastAsia="宋体"/>
          <w:b w:val="0"/>
          <w:szCs w:val="32"/>
          <w:highlight w:val="none"/>
        </w:rPr>
        <w:t>项目负责人</w:t>
      </w:r>
    </w:p>
    <w:p w14:paraId="672972DE">
      <w:pPr>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承包人项目负责人</w:t>
      </w:r>
      <w:r>
        <w:rPr>
          <w:rFonts w:hint="eastAsia" w:ascii="宋体" w:hAnsi="宋体" w:eastAsia="宋体"/>
          <w:szCs w:val="21"/>
          <w:highlight w:val="none"/>
          <w:lang w:eastAsia="zh-CN"/>
        </w:rPr>
        <w:t>：</w:t>
      </w:r>
    </w:p>
    <w:p w14:paraId="19E46ABF">
      <w:pPr>
        <w:pStyle w:val="7"/>
        <w:spacing w:before="0" w:after="0" w:line="360" w:lineRule="auto"/>
        <w:ind w:firstLine="560" w:firstLineChars="200"/>
        <w:jc w:val="left"/>
        <w:rPr>
          <w:rFonts w:ascii="宋体" w:hAnsi="宋体" w:eastAsia="宋体"/>
          <w:bCs/>
          <w:sz w:val="24"/>
          <w:highlight w:val="none"/>
        </w:rPr>
      </w:pPr>
      <w:bookmarkStart w:id="32" w:name="_Toc351203486"/>
      <w:r>
        <w:rPr>
          <w:rFonts w:ascii="宋体" w:hAnsi="宋体" w:eastAsia="宋体"/>
          <w:b w:val="0"/>
          <w:szCs w:val="32"/>
          <w:highlight w:val="none"/>
        </w:rPr>
        <w:t>六、合同文件构成</w:t>
      </w:r>
      <w:bookmarkEnd w:id="32"/>
    </w:p>
    <w:p w14:paraId="17630E52">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本协议书与下列文件一起构成合同文件：</w:t>
      </w:r>
    </w:p>
    <w:p w14:paraId="4D847621">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（1）中标通知书（如果有）；</w:t>
      </w:r>
    </w:p>
    <w:p w14:paraId="53E27188">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（2）投标函及其附录（如果有）；</w:t>
      </w:r>
    </w:p>
    <w:p w14:paraId="500FF3EC">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（3）专用合同条款及其附件；</w:t>
      </w:r>
    </w:p>
    <w:p w14:paraId="07CA09B1">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（4）通用合同条款；</w:t>
      </w:r>
    </w:p>
    <w:p w14:paraId="2B7F03D6">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（5）技术标准和要求；</w:t>
      </w:r>
    </w:p>
    <w:p w14:paraId="210E01E5">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（6）图纸；</w:t>
      </w:r>
    </w:p>
    <w:p w14:paraId="45EAC770">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（7）已标价工程量清单或预算书；</w:t>
      </w:r>
    </w:p>
    <w:p w14:paraId="59714AA6">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（8）其他合同文件。</w:t>
      </w:r>
    </w:p>
    <w:p w14:paraId="7EE97AFC">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在合同订立及履行过程中形成的与合同有关的文件均构成合同文件组成部分。</w:t>
      </w:r>
    </w:p>
    <w:p w14:paraId="5E10652E">
      <w:pPr>
        <w:autoSpaceDE w:val="0"/>
        <w:autoSpaceDN w:val="0"/>
        <w:adjustRightIn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上述各项合同文件包括合同当事人就该项合同文件所作出的补充和修改，属于同</w:t>
      </w:r>
      <w:r>
        <w:rPr>
          <w:rFonts w:hint="eastAsia" w:ascii="宋体" w:hAnsi="宋体" w:eastAsia="宋体"/>
          <w:szCs w:val="21"/>
          <w:highlight w:val="none"/>
          <w:lang w:eastAsia="zh-CN"/>
        </w:rPr>
        <w:t>一项</w:t>
      </w:r>
      <w:r>
        <w:rPr>
          <w:rFonts w:ascii="宋体" w:hAnsi="宋体" w:eastAsia="宋体"/>
          <w:szCs w:val="21"/>
          <w:highlight w:val="none"/>
        </w:rPr>
        <w:t>内容的文件，应以最新签署的为准。</w:t>
      </w:r>
      <w:r>
        <w:rPr>
          <w:rFonts w:hint="eastAsia" w:ascii="宋体" w:hAnsi="宋体" w:eastAsia="宋体"/>
          <w:szCs w:val="21"/>
          <w:highlight w:val="none"/>
        </w:rPr>
        <w:t>专用合同条款及其附件须经合同当事人签字或盖章。</w:t>
      </w:r>
    </w:p>
    <w:p w14:paraId="7243474B">
      <w:pPr>
        <w:pStyle w:val="7"/>
        <w:spacing w:before="0" w:after="0" w:line="360" w:lineRule="auto"/>
        <w:ind w:firstLine="560" w:firstLineChars="200"/>
        <w:jc w:val="left"/>
        <w:rPr>
          <w:rFonts w:ascii="宋体" w:hAnsi="宋体" w:eastAsia="宋体"/>
          <w:b w:val="0"/>
          <w:bCs/>
          <w:highlight w:val="none"/>
        </w:rPr>
      </w:pPr>
      <w:bookmarkStart w:id="33" w:name="_Toc351203487"/>
      <w:r>
        <w:rPr>
          <w:rFonts w:ascii="宋体" w:hAnsi="宋体" w:eastAsia="宋体"/>
          <w:b w:val="0"/>
          <w:highlight w:val="none"/>
        </w:rPr>
        <w:t>七、承诺</w:t>
      </w:r>
      <w:bookmarkEnd w:id="33"/>
    </w:p>
    <w:p w14:paraId="34B4292A">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1.发包人承诺按照法律规定履行项目审批手续、筹集工程建设资金并按照合同约定的期限和方式支付合同价款。</w:t>
      </w:r>
    </w:p>
    <w:p w14:paraId="3686F2F3">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2.承包人承诺按照法律规定及合同约定组织完成工程施工，确保工程质量和安全，不进行转包及违法分包，并在缺陷责任期及保修期内承担相应的工程维修责任。</w:t>
      </w:r>
    </w:p>
    <w:p w14:paraId="08331D81">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3.发包人和承包人通过招投标形式签订合同的，双方理解并</w:t>
      </w:r>
      <w:r>
        <w:rPr>
          <w:rFonts w:hint="eastAsia" w:ascii="宋体" w:hAnsi="宋体" w:eastAsia="宋体"/>
          <w:bCs/>
          <w:szCs w:val="21"/>
          <w:highlight w:val="none"/>
        </w:rPr>
        <w:t>承诺</w:t>
      </w:r>
      <w:r>
        <w:rPr>
          <w:rFonts w:ascii="宋体" w:hAnsi="宋体" w:eastAsia="宋体"/>
          <w:bCs/>
          <w:szCs w:val="21"/>
          <w:highlight w:val="none"/>
        </w:rPr>
        <w:t>不再就同一工程另行签订与合同实质性内容相背离的协议。</w:t>
      </w:r>
    </w:p>
    <w:p w14:paraId="5556C4E4">
      <w:pPr>
        <w:spacing w:line="360" w:lineRule="auto"/>
        <w:ind w:firstLine="440" w:firstLineChars="200"/>
        <w:jc w:val="left"/>
        <w:rPr>
          <w:rFonts w:ascii="宋体" w:hAnsi="宋体" w:eastAsia="宋体"/>
          <w:bCs/>
          <w:szCs w:val="21"/>
          <w:highlight w:val="none"/>
        </w:rPr>
      </w:pPr>
      <w:r>
        <w:rPr>
          <w:rFonts w:hint="eastAsia" w:ascii="宋体" w:hAnsi="宋体" w:eastAsia="宋体"/>
          <w:bCs/>
          <w:szCs w:val="21"/>
          <w:highlight w:val="none"/>
        </w:rPr>
        <w:t>4.承包人承诺在施工现场禁止使用国一及以下和排放不达标的非道路移动机械。施工现场全部使用水性建筑涂料。</w:t>
      </w:r>
    </w:p>
    <w:p w14:paraId="7C4D4948">
      <w:pPr>
        <w:spacing w:line="360" w:lineRule="auto"/>
        <w:ind w:firstLine="560" w:firstLineChars="200"/>
        <w:jc w:val="left"/>
        <w:rPr>
          <w:rFonts w:ascii="宋体" w:hAnsi="宋体" w:eastAsia="宋体"/>
          <w:bCs/>
          <w:sz w:val="28"/>
          <w:szCs w:val="32"/>
          <w:highlight w:val="none"/>
        </w:rPr>
      </w:pPr>
      <w:bookmarkStart w:id="34" w:name="_Toc351203488"/>
      <w:r>
        <w:rPr>
          <w:rFonts w:ascii="宋体" w:hAnsi="宋体" w:eastAsia="宋体"/>
          <w:sz w:val="28"/>
          <w:szCs w:val="32"/>
          <w:highlight w:val="none"/>
        </w:rPr>
        <w:t>八、词语含义</w:t>
      </w:r>
      <w:bookmarkEnd w:id="34"/>
    </w:p>
    <w:p w14:paraId="7F7190BF">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本协议书中词语含义与第二部分通用合同条款中赋予的含义相同。</w:t>
      </w:r>
    </w:p>
    <w:p w14:paraId="3C525558">
      <w:pPr>
        <w:pStyle w:val="7"/>
        <w:spacing w:before="0" w:after="0" w:line="360" w:lineRule="auto"/>
        <w:ind w:firstLine="560" w:firstLineChars="200"/>
        <w:jc w:val="left"/>
        <w:rPr>
          <w:rFonts w:ascii="宋体" w:hAnsi="宋体" w:eastAsia="宋体"/>
          <w:bCs/>
          <w:sz w:val="24"/>
          <w:highlight w:val="none"/>
        </w:rPr>
      </w:pPr>
      <w:bookmarkStart w:id="35" w:name="_Toc351203489"/>
      <w:r>
        <w:rPr>
          <w:rFonts w:ascii="宋体" w:hAnsi="宋体" w:eastAsia="宋体"/>
          <w:b w:val="0"/>
          <w:szCs w:val="32"/>
          <w:highlight w:val="none"/>
        </w:rPr>
        <w:t>九、签订时间</w:t>
      </w:r>
      <w:bookmarkEnd w:id="35"/>
    </w:p>
    <w:p w14:paraId="1FA4A42F">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本合同于年月日签订。</w:t>
      </w:r>
    </w:p>
    <w:p w14:paraId="34A3BB4B">
      <w:pPr>
        <w:pStyle w:val="7"/>
        <w:spacing w:before="0" w:after="0" w:line="360" w:lineRule="auto"/>
        <w:ind w:firstLine="560" w:firstLineChars="200"/>
        <w:jc w:val="left"/>
        <w:rPr>
          <w:rFonts w:ascii="宋体" w:hAnsi="宋体" w:eastAsia="宋体"/>
          <w:bCs/>
          <w:sz w:val="24"/>
          <w:highlight w:val="none"/>
        </w:rPr>
      </w:pPr>
      <w:bookmarkStart w:id="36" w:name="_Toc351203490"/>
      <w:r>
        <w:rPr>
          <w:rFonts w:ascii="宋体" w:hAnsi="宋体" w:eastAsia="宋体"/>
          <w:b w:val="0"/>
          <w:szCs w:val="32"/>
          <w:highlight w:val="none"/>
        </w:rPr>
        <w:t>十、签订地点</w:t>
      </w:r>
      <w:bookmarkEnd w:id="36"/>
    </w:p>
    <w:p w14:paraId="34A1B378">
      <w:pPr>
        <w:spacing w:line="360" w:lineRule="auto"/>
        <w:ind w:firstLine="440" w:firstLineChars="200"/>
        <w:jc w:val="left"/>
        <w:rPr>
          <w:rFonts w:ascii="宋体" w:hAnsi="宋体" w:eastAsia="宋体"/>
          <w:bCs/>
          <w:szCs w:val="21"/>
          <w:highlight w:val="none"/>
        </w:rPr>
      </w:pPr>
      <w:r>
        <w:rPr>
          <w:rFonts w:hint="eastAsia" w:ascii="宋体" w:hAnsi="宋体" w:eastAsia="宋体"/>
          <w:bCs/>
          <w:szCs w:val="21"/>
          <w:highlight w:val="none"/>
          <w:lang w:eastAsia="zh-CN"/>
        </w:rPr>
        <w:t>本合同</w:t>
      </w:r>
      <w:r>
        <w:rPr>
          <w:rFonts w:ascii="宋体" w:hAnsi="宋体" w:eastAsia="宋体"/>
          <w:bCs/>
          <w:szCs w:val="21"/>
          <w:highlight w:val="none"/>
        </w:rPr>
        <w:t>签订。</w:t>
      </w:r>
    </w:p>
    <w:p w14:paraId="12651308">
      <w:pPr>
        <w:pStyle w:val="7"/>
        <w:spacing w:before="0" w:after="0" w:line="360" w:lineRule="auto"/>
        <w:ind w:firstLine="560" w:firstLineChars="200"/>
        <w:jc w:val="left"/>
        <w:rPr>
          <w:rFonts w:ascii="宋体" w:hAnsi="宋体" w:eastAsia="宋体"/>
          <w:bCs/>
          <w:sz w:val="24"/>
          <w:highlight w:val="none"/>
        </w:rPr>
      </w:pPr>
      <w:bookmarkStart w:id="37" w:name="_Toc351203491"/>
      <w:r>
        <w:rPr>
          <w:rFonts w:ascii="宋体" w:hAnsi="宋体" w:eastAsia="宋体"/>
          <w:b w:val="0"/>
          <w:szCs w:val="32"/>
          <w:highlight w:val="none"/>
        </w:rPr>
        <w:t>十一、补充协议</w:t>
      </w:r>
      <w:bookmarkEnd w:id="37"/>
    </w:p>
    <w:p w14:paraId="6FA6DE7B">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合同未尽事宜，合同当事人另行签订补充协议</w:t>
      </w:r>
      <w:r>
        <w:rPr>
          <w:rFonts w:hint="eastAsia" w:ascii="宋体" w:hAnsi="宋体" w:eastAsia="宋体"/>
          <w:bCs/>
          <w:szCs w:val="21"/>
          <w:highlight w:val="none"/>
        </w:rPr>
        <w:t>，</w:t>
      </w:r>
      <w:r>
        <w:rPr>
          <w:rFonts w:ascii="宋体" w:hAnsi="宋体" w:eastAsia="宋体"/>
          <w:bCs/>
          <w:szCs w:val="21"/>
          <w:highlight w:val="none"/>
        </w:rPr>
        <w:t>补充协议是合同的组成部分。</w:t>
      </w:r>
      <w:bookmarkStart w:id="38" w:name="_Toc351203492"/>
    </w:p>
    <w:p w14:paraId="03D2E559">
      <w:pPr>
        <w:pStyle w:val="7"/>
        <w:spacing w:before="0" w:after="0" w:line="360" w:lineRule="auto"/>
        <w:ind w:firstLine="560" w:firstLineChars="200"/>
        <w:jc w:val="left"/>
        <w:rPr>
          <w:rFonts w:ascii="宋体" w:hAnsi="宋体" w:eastAsia="宋体"/>
          <w:b w:val="0"/>
          <w:szCs w:val="32"/>
          <w:highlight w:val="none"/>
        </w:rPr>
      </w:pPr>
      <w:r>
        <w:rPr>
          <w:rFonts w:ascii="宋体" w:hAnsi="宋体" w:eastAsia="宋体"/>
          <w:b w:val="0"/>
          <w:szCs w:val="32"/>
          <w:highlight w:val="none"/>
        </w:rPr>
        <w:t>十二、合同生效</w:t>
      </w:r>
      <w:bookmarkEnd w:id="38"/>
    </w:p>
    <w:p w14:paraId="7B34B662">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本合同自生效。</w:t>
      </w:r>
    </w:p>
    <w:p w14:paraId="74135C35">
      <w:pPr>
        <w:pStyle w:val="7"/>
        <w:spacing w:before="0" w:after="0" w:line="360" w:lineRule="auto"/>
        <w:ind w:firstLine="560" w:firstLineChars="200"/>
        <w:jc w:val="left"/>
        <w:rPr>
          <w:rFonts w:ascii="宋体" w:hAnsi="宋体" w:eastAsia="宋体"/>
          <w:bCs/>
          <w:sz w:val="24"/>
          <w:highlight w:val="none"/>
        </w:rPr>
      </w:pPr>
      <w:bookmarkStart w:id="39" w:name="_Toc351203493"/>
      <w:r>
        <w:rPr>
          <w:rFonts w:ascii="宋体" w:hAnsi="宋体" w:eastAsia="宋体"/>
          <w:b w:val="0"/>
          <w:szCs w:val="32"/>
          <w:highlight w:val="none"/>
        </w:rPr>
        <w:t>十三、合同份数</w:t>
      </w:r>
      <w:bookmarkEnd w:id="39"/>
    </w:p>
    <w:p w14:paraId="3D795767">
      <w:pPr>
        <w:spacing w:line="360" w:lineRule="auto"/>
        <w:ind w:firstLine="440" w:firstLineChars="200"/>
        <w:jc w:val="left"/>
        <w:rPr>
          <w:rFonts w:ascii="宋体" w:hAnsi="宋体" w:eastAsia="宋体"/>
          <w:bCs/>
          <w:szCs w:val="21"/>
          <w:highlight w:val="none"/>
        </w:rPr>
      </w:pPr>
      <w:r>
        <w:rPr>
          <w:rFonts w:ascii="宋体" w:hAnsi="宋体" w:eastAsia="宋体"/>
          <w:bCs/>
          <w:szCs w:val="21"/>
          <w:highlight w:val="none"/>
        </w:rPr>
        <w:t>本合同一式份，均具有同等法律效力，发包人执份，承包人执份。</w:t>
      </w:r>
    </w:p>
    <w:p w14:paraId="2CEF7462">
      <w:pPr>
        <w:spacing w:line="360" w:lineRule="auto"/>
        <w:ind w:firstLine="440" w:firstLineChars="200"/>
        <w:jc w:val="left"/>
        <w:rPr>
          <w:rFonts w:ascii="宋体" w:hAnsi="宋体" w:eastAsia="宋体"/>
          <w:szCs w:val="21"/>
          <w:highlight w:val="none"/>
        </w:rPr>
      </w:pPr>
    </w:p>
    <w:p w14:paraId="12E720B5">
      <w:pPr>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发包人：</w:t>
      </w:r>
      <w:r>
        <w:rPr>
          <w:rFonts w:ascii="宋体" w:hAnsi="宋体" w:eastAsia="宋体"/>
          <w:szCs w:val="21"/>
          <w:highlight w:val="none"/>
        </w:rPr>
        <w:t>(公章)</w:t>
      </w:r>
    </w:p>
    <w:p w14:paraId="2C7CD4C7">
      <w:pPr>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法定代表人或其委托代理人：（签字）</w:t>
      </w:r>
    </w:p>
    <w:p w14:paraId="5FFC27A9">
      <w:pPr>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时间</w:t>
      </w:r>
      <w:r>
        <w:rPr>
          <w:rFonts w:ascii="宋体" w:hAnsi="宋体" w:eastAsia="宋体"/>
          <w:szCs w:val="21"/>
          <w:highlight w:val="none"/>
        </w:rPr>
        <w:t>：</w:t>
      </w:r>
    </w:p>
    <w:p w14:paraId="7A507D3F">
      <w:pPr>
        <w:spacing w:line="360" w:lineRule="auto"/>
        <w:ind w:firstLine="440" w:firstLineChars="200"/>
        <w:jc w:val="left"/>
        <w:rPr>
          <w:rFonts w:ascii="宋体" w:hAnsi="宋体" w:eastAsia="宋体"/>
          <w:szCs w:val="21"/>
          <w:highlight w:val="none"/>
        </w:rPr>
      </w:pPr>
    </w:p>
    <w:p w14:paraId="605860F2">
      <w:pPr>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承包人：</w:t>
      </w:r>
      <w:r>
        <w:rPr>
          <w:rFonts w:ascii="宋体" w:hAnsi="宋体" w:eastAsia="宋体"/>
          <w:szCs w:val="21"/>
          <w:highlight w:val="none"/>
        </w:rPr>
        <w:t>(公章)</w:t>
      </w:r>
    </w:p>
    <w:p w14:paraId="70F33601">
      <w:pPr>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法定代表人或其委托代理人：（签字）</w:t>
      </w:r>
    </w:p>
    <w:p w14:paraId="67655B4C">
      <w:pPr>
        <w:spacing w:line="360" w:lineRule="auto"/>
        <w:ind w:firstLine="440" w:firstLineChars="200"/>
        <w:jc w:val="center"/>
        <w:rPr>
          <w:rFonts w:ascii="宋体" w:hAnsi="宋体" w:eastAsia="宋体"/>
          <w:b/>
          <w:sz w:val="32"/>
          <w:szCs w:val="32"/>
          <w:highlight w:val="none"/>
        </w:rPr>
      </w:pPr>
      <w:r>
        <w:rPr>
          <w:rFonts w:hint="eastAsia" w:ascii="宋体" w:hAnsi="宋体" w:eastAsia="宋体"/>
          <w:szCs w:val="21"/>
          <w:highlight w:val="none"/>
        </w:rPr>
        <w:t>时间</w:t>
      </w:r>
      <w:r>
        <w:rPr>
          <w:rFonts w:ascii="宋体" w:hAnsi="宋体" w:eastAsia="宋体"/>
          <w:szCs w:val="21"/>
          <w:highlight w:val="none"/>
        </w:rPr>
        <w:t>：</w:t>
      </w:r>
      <w:r>
        <w:rPr>
          <w:rFonts w:ascii="宋体" w:hAnsi="宋体" w:eastAsia="宋体"/>
          <w:b/>
          <w:sz w:val="44"/>
          <w:szCs w:val="44"/>
          <w:highlight w:val="none"/>
        </w:rPr>
        <w:br w:type="page"/>
      </w:r>
      <w:bookmarkStart w:id="40" w:name="_Toc351203494"/>
      <w:r>
        <w:rPr>
          <w:rFonts w:ascii="宋体" w:hAnsi="宋体" w:eastAsia="宋体"/>
          <w:b/>
          <w:sz w:val="32"/>
          <w:szCs w:val="32"/>
          <w:highlight w:val="none"/>
        </w:rPr>
        <w:t>第二部分通用合同条款</w:t>
      </w:r>
      <w:bookmarkEnd w:id="40"/>
      <w:bookmarkStart w:id="41" w:name="_Toc337558727"/>
    </w:p>
    <w:bookmarkEnd w:id="41"/>
    <w:p w14:paraId="2D3E17BA">
      <w:pPr>
        <w:spacing w:before="340" w:after="320" w:line="576" w:lineRule="auto"/>
        <w:jc w:val="center"/>
        <w:rPr>
          <w:rFonts w:ascii="宋体" w:hAnsi="宋体" w:eastAsia="宋体"/>
          <w:b/>
          <w:sz w:val="30"/>
          <w:szCs w:val="44"/>
          <w:highlight w:val="none"/>
        </w:rPr>
      </w:pPr>
      <w:bookmarkStart w:id="42" w:name="_Toc351203632"/>
      <w:r>
        <w:rPr>
          <w:rFonts w:ascii="宋体" w:hAnsi="宋体" w:eastAsia="宋体"/>
          <w:b/>
          <w:sz w:val="30"/>
          <w:szCs w:val="44"/>
          <w:highlight w:val="none"/>
        </w:rPr>
        <w:t>第三部分</w:t>
      </w:r>
      <w:r>
        <w:rPr>
          <w:rFonts w:hint="eastAsia" w:ascii="宋体" w:hAnsi="宋体" w:eastAsia="宋体"/>
          <w:b/>
          <w:sz w:val="30"/>
          <w:szCs w:val="44"/>
          <w:highlight w:val="none"/>
        </w:rPr>
        <w:t>专用合同条款</w:t>
      </w:r>
      <w:bookmarkEnd w:id="42"/>
    </w:p>
    <w:p w14:paraId="6CF064CB">
      <w:pPr>
        <w:pStyle w:val="7"/>
        <w:adjustRightInd w:val="0"/>
        <w:snapToGrid w:val="0"/>
        <w:spacing w:before="0" w:after="0" w:line="360" w:lineRule="auto"/>
        <w:ind w:firstLine="560" w:firstLineChars="200"/>
        <w:jc w:val="left"/>
        <w:rPr>
          <w:rFonts w:ascii="宋体" w:hAnsi="宋体" w:eastAsia="宋体"/>
          <w:b w:val="0"/>
          <w:highlight w:val="none"/>
        </w:rPr>
      </w:pPr>
      <w:bookmarkStart w:id="43" w:name="_Toc351203633"/>
      <w:r>
        <w:rPr>
          <w:rFonts w:ascii="宋体" w:hAnsi="宋体" w:eastAsia="宋体"/>
          <w:b w:val="0"/>
          <w:highlight w:val="none"/>
        </w:rPr>
        <w:t>1</w:t>
      </w:r>
      <w:bookmarkStart w:id="44" w:name="_Toc297120456"/>
      <w:bookmarkStart w:id="45" w:name="_Toc292559866"/>
      <w:bookmarkStart w:id="46" w:name="_Toc296891196"/>
      <w:bookmarkStart w:id="47" w:name="_Toc296503156"/>
      <w:bookmarkStart w:id="48" w:name="_Toc297048342"/>
      <w:bookmarkStart w:id="49" w:name="_Toc296890984"/>
      <w:bookmarkStart w:id="50" w:name="_Toc296346657"/>
      <w:bookmarkStart w:id="51" w:name="_Toc296347155"/>
      <w:bookmarkStart w:id="52" w:name="_Toc292559361"/>
      <w:bookmarkStart w:id="53" w:name="_Toc296944495"/>
      <w:r>
        <w:rPr>
          <w:rFonts w:ascii="宋体" w:hAnsi="宋体" w:eastAsia="宋体"/>
          <w:b w:val="0"/>
          <w:highlight w:val="none"/>
        </w:rPr>
        <w:t>.一般约定</w:t>
      </w:r>
      <w:bookmarkEnd w:id="43"/>
    </w:p>
    <w:bookmarkEnd w:id="44"/>
    <w:bookmarkEnd w:id="45"/>
    <w:bookmarkEnd w:id="46"/>
    <w:bookmarkEnd w:id="47"/>
    <w:bookmarkEnd w:id="48"/>
    <w:bookmarkEnd w:id="49"/>
    <w:bookmarkEnd w:id="50"/>
    <w:bookmarkEnd w:id="51"/>
    <w:bookmarkEnd w:id="52"/>
    <w:bookmarkEnd w:id="53"/>
    <w:p w14:paraId="24FDDE4C">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1.1词语定义</w:t>
      </w:r>
    </w:p>
    <w:p w14:paraId="25C7081C">
      <w:pPr>
        <w:adjustRightInd w:val="0"/>
        <w:snapToGrid w:val="0"/>
        <w:spacing w:line="360" w:lineRule="auto"/>
        <w:ind w:firstLine="480" w:firstLineChars="200"/>
        <w:jc w:val="left"/>
        <w:rPr>
          <w:rFonts w:ascii="宋体" w:hAnsi="宋体" w:eastAsia="宋体"/>
          <w:kern w:val="0"/>
          <w:sz w:val="24"/>
          <w:szCs w:val="32"/>
          <w:highlight w:val="none"/>
        </w:rPr>
      </w:pPr>
      <w:r>
        <w:rPr>
          <w:rFonts w:ascii="宋体" w:hAnsi="宋体" w:eastAsia="宋体"/>
          <w:kern w:val="0"/>
          <w:sz w:val="24"/>
          <w:szCs w:val="32"/>
          <w:highlight w:val="none"/>
        </w:rPr>
        <w:t>1.1.1合同</w:t>
      </w:r>
    </w:p>
    <w:p w14:paraId="5E41B6C1">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1.1.1.10其他合同文件包括：</w:t>
      </w:r>
      <w:r>
        <w:rPr>
          <w:rFonts w:hint="eastAsia" w:ascii="宋体" w:hAnsi="宋体" w:eastAsia="宋体"/>
          <w:bCs/>
          <w:color w:val="0000FF"/>
          <w:szCs w:val="21"/>
          <w:highlight w:val="none"/>
          <w:u w:val="single"/>
        </w:rPr>
        <w:t>（1）明确双方权利、义务的纪要、协议；（2）标准、规范及有关技术文件、技术要求；双方有关工程的合同、变更等书面协议或文件视为本合同的组成部分；（3）委托人相应的管理办法</w:t>
      </w:r>
      <w:r>
        <w:rPr>
          <w:rFonts w:ascii="宋体" w:hAnsi="宋体" w:eastAsia="宋体"/>
          <w:szCs w:val="21"/>
          <w:highlight w:val="none"/>
        </w:rPr>
        <w:t>。</w:t>
      </w:r>
    </w:p>
    <w:p w14:paraId="6CA72DBB">
      <w:pPr>
        <w:adjustRightInd w:val="0"/>
        <w:snapToGrid w:val="0"/>
        <w:spacing w:line="360" w:lineRule="auto"/>
        <w:ind w:firstLine="480" w:firstLineChars="200"/>
        <w:jc w:val="left"/>
        <w:rPr>
          <w:rFonts w:ascii="宋体" w:hAnsi="宋体" w:eastAsia="宋体"/>
          <w:kern w:val="0"/>
          <w:sz w:val="24"/>
          <w:szCs w:val="32"/>
          <w:highlight w:val="none"/>
        </w:rPr>
      </w:pPr>
      <w:r>
        <w:rPr>
          <w:rFonts w:ascii="宋体" w:hAnsi="宋体" w:eastAsia="宋体"/>
          <w:kern w:val="0"/>
          <w:sz w:val="24"/>
          <w:szCs w:val="32"/>
          <w:highlight w:val="none"/>
        </w:rPr>
        <w:t>1.1.2合同当事人及其他相关方</w:t>
      </w:r>
    </w:p>
    <w:p w14:paraId="3121B87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1.1.2.4监理人：</w:t>
      </w:r>
    </w:p>
    <w:p w14:paraId="3E853B7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名称</w:t>
      </w:r>
      <w:r>
        <w:rPr>
          <w:rFonts w:hint="eastAsia" w:ascii="宋体" w:hAnsi="宋体" w:eastAsia="宋体"/>
          <w:szCs w:val="21"/>
          <w:highlight w:val="none"/>
          <w:lang w:eastAsia="zh-CN"/>
        </w:rPr>
        <w:t>：</w:t>
      </w:r>
    </w:p>
    <w:p w14:paraId="5E3A58D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资质类别和等级</w:t>
      </w:r>
      <w:r>
        <w:rPr>
          <w:rFonts w:hint="eastAsia" w:ascii="宋体" w:hAnsi="宋体" w:eastAsia="宋体"/>
          <w:szCs w:val="21"/>
          <w:highlight w:val="none"/>
          <w:lang w:eastAsia="zh-CN"/>
        </w:rPr>
        <w:t>：</w:t>
      </w:r>
    </w:p>
    <w:p w14:paraId="74FAD25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联系电话</w:t>
      </w:r>
      <w:r>
        <w:rPr>
          <w:rFonts w:hint="eastAsia" w:ascii="宋体" w:hAnsi="宋体" w:eastAsia="宋体"/>
          <w:szCs w:val="21"/>
          <w:highlight w:val="none"/>
          <w:lang w:eastAsia="zh-CN"/>
        </w:rPr>
        <w:t>：</w:t>
      </w:r>
    </w:p>
    <w:p w14:paraId="0D45AED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电子信箱</w:t>
      </w:r>
      <w:r>
        <w:rPr>
          <w:rFonts w:hint="eastAsia" w:ascii="宋体" w:hAnsi="宋体" w:eastAsia="宋体"/>
          <w:szCs w:val="21"/>
          <w:highlight w:val="none"/>
          <w:lang w:eastAsia="zh-CN"/>
        </w:rPr>
        <w:t>：</w:t>
      </w:r>
    </w:p>
    <w:p w14:paraId="017C7FD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通信地址</w:t>
      </w:r>
      <w:r>
        <w:rPr>
          <w:rFonts w:hint="eastAsia" w:ascii="宋体" w:hAnsi="宋体" w:eastAsia="宋体"/>
          <w:szCs w:val="21"/>
          <w:highlight w:val="none"/>
          <w:lang w:eastAsia="zh-CN"/>
        </w:rPr>
        <w:t>：</w:t>
      </w:r>
    </w:p>
    <w:p w14:paraId="4E6EC33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1.1.2.5设计人：</w:t>
      </w:r>
    </w:p>
    <w:p w14:paraId="2381171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名称</w:t>
      </w:r>
      <w:r>
        <w:rPr>
          <w:rFonts w:hint="eastAsia" w:ascii="宋体" w:hAnsi="宋体" w:eastAsia="宋体"/>
          <w:szCs w:val="21"/>
          <w:highlight w:val="none"/>
          <w:lang w:eastAsia="zh-CN"/>
        </w:rPr>
        <w:t>：</w:t>
      </w:r>
    </w:p>
    <w:p w14:paraId="0C02DE1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资质类别和等级</w:t>
      </w:r>
      <w:r>
        <w:rPr>
          <w:rFonts w:hint="eastAsia" w:ascii="宋体" w:hAnsi="宋体" w:eastAsia="宋体"/>
          <w:szCs w:val="21"/>
          <w:highlight w:val="none"/>
          <w:lang w:eastAsia="zh-CN"/>
        </w:rPr>
        <w:t>：</w:t>
      </w:r>
    </w:p>
    <w:p w14:paraId="4DA2852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联系电话</w:t>
      </w:r>
      <w:r>
        <w:rPr>
          <w:rFonts w:hint="eastAsia" w:ascii="宋体" w:hAnsi="宋体" w:eastAsia="宋体"/>
          <w:szCs w:val="21"/>
          <w:highlight w:val="none"/>
          <w:lang w:eastAsia="zh-CN"/>
        </w:rPr>
        <w:t>：</w:t>
      </w:r>
    </w:p>
    <w:p w14:paraId="08D5FFE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电子信箱</w:t>
      </w:r>
      <w:r>
        <w:rPr>
          <w:rFonts w:hint="eastAsia" w:ascii="宋体" w:hAnsi="宋体" w:eastAsia="宋体"/>
          <w:szCs w:val="21"/>
          <w:highlight w:val="none"/>
          <w:lang w:eastAsia="zh-CN"/>
        </w:rPr>
        <w:t>：</w:t>
      </w:r>
    </w:p>
    <w:p w14:paraId="622DB37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通信地址</w:t>
      </w:r>
      <w:r>
        <w:rPr>
          <w:rFonts w:hint="eastAsia" w:ascii="宋体" w:hAnsi="宋体" w:eastAsia="宋体"/>
          <w:szCs w:val="21"/>
          <w:highlight w:val="none"/>
          <w:lang w:eastAsia="zh-CN"/>
        </w:rPr>
        <w:t>：</w:t>
      </w:r>
    </w:p>
    <w:p w14:paraId="39358863">
      <w:pPr>
        <w:adjustRightInd w:val="0"/>
        <w:snapToGrid w:val="0"/>
        <w:spacing w:line="360" w:lineRule="auto"/>
        <w:ind w:firstLine="480" w:firstLineChars="200"/>
        <w:jc w:val="left"/>
        <w:rPr>
          <w:rFonts w:ascii="宋体" w:hAnsi="宋体" w:eastAsia="宋体"/>
          <w:kern w:val="0"/>
          <w:sz w:val="24"/>
          <w:szCs w:val="32"/>
          <w:highlight w:val="none"/>
        </w:rPr>
      </w:pPr>
      <w:r>
        <w:rPr>
          <w:rFonts w:ascii="宋体" w:hAnsi="宋体" w:eastAsia="宋体"/>
          <w:kern w:val="0"/>
          <w:sz w:val="24"/>
          <w:szCs w:val="32"/>
          <w:highlight w:val="none"/>
        </w:rPr>
        <w:t>1.1.3工程和设备</w:t>
      </w:r>
    </w:p>
    <w:p w14:paraId="6811736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1.1.3.7作为施工现场组成部分的其他场所包括</w:t>
      </w:r>
      <w:r>
        <w:rPr>
          <w:rFonts w:hint="eastAsia" w:ascii="宋体" w:hAnsi="宋体" w:eastAsia="宋体"/>
          <w:szCs w:val="21"/>
          <w:highlight w:val="none"/>
          <w:lang w:eastAsia="zh-CN"/>
        </w:rPr>
        <w:t>：</w:t>
      </w:r>
    </w:p>
    <w:p w14:paraId="5326B06B">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1.1.3.9永久占地包括：</w:t>
      </w:r>
      <w:r>
        <w:rPr>
          <w:rFonts w:hint="eastAsia" w:ascii="宋体" w:hAnsi="宋体" w:eastAsia="宋体"/>
          <w:bCs/>
          <w:color w:val="0000FF"/>
          <w:szCs w:val="21"/>
          <w:highlight w:val="none"/>
          <w:u w:val="single"/>
        </w:rPr>
        <w:t>红线范围内</w:t>
      </w:r>
      <w:r>
        <w:rPr>
          <w:rFonts w:ascii="宋体" w:hAnsi="宋体" w:eastAsia="宋体"/>
          <w:kern w:val="0"/>
          <w:szCs w:val="21"/>
          <w:highlight w:val="none"/>
        </w:rPr>
        <w:t>。</w:t>
      </w:r>
    </w:p>
    <w:p w14:paraId="24EA85F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1.1.3.10临时占地包括：</w:t>
      </w:r>
      <w:r>
        <w:rPr>
          <w:rFonts w:hint="eastAsia" w:ascii="宋体" w:hAnsi="宋体" w:eastAsia="宋体"/>
          <w:bCs/>
          <w:color w:val="0000FF"/>
          <w:szCs w:val="21"/>
          <w:highlight w:val="none"/>
          <w:u w:val="single"/>
        </w:rPr>
        <w:t>发包人指定的场所</w:t>
      </w:r>
      <w:r>
        <w:rPr>
          <w:rFonts w:ascii="宋体" w:hAnsi="宋体" w:eastAsia="宋体"/>
          <w:kern w:val="0"/>
          <w:szCs w:val="21"/>
          <w:highlight w:val="none"/>
        </w:rPr>
        <w:t>。</w:t>
      </w:r>
    </w:p>
    <w:p w14:paraId="3B49B08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1.3法律</w:t>
      </w:r>
    </w:p>
    <w:p w14:paraId="48786A0F">
      <w:pPr>
        <w:autoSpaceDE w:val="0"/>
        <w:autoSpaceDN w:val="0"/>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适用于合同的其他规范性文件：</w:t>
      </w:r>
      <w:r>
        <w:rPr>
          <w:rFonts w:hint="eastAsia" w:ascii="宋体" w:hAnsi="宋体" w:eastAsia="宋体"/>
          <w:bCs/>
          <w:color w:val="0000FF"/>
          <w:szCs w:val="21"/>
          <w:highlight w:val="none"/>
          <w:u w:val="single"/>
        </w:rPr>
        <w:t>《中华人民共和国</w:t>
      </w:r>
      <w:r>
        <w:rPr>
          <w:rFonts w:hint="eastAsia" w:ascii="宋体" w:hAnsi="宋体" w:eastAsia="宋体"/>
          <w:bCs/>
          <w:color w:val="0000FF"/>
          <w:szCs w:val="21"/>
          <w:highlight w:val="none"/>
          <w:u w:val="single"/>
          <w:lang w:val="en-US" w:eastAsia="zh-CN"/>
        </w:rPr>
        <w:t>民</w:t>
      </w:r>
      <w:r>
        <w:rPr>
          <w:rFonts w:hint="eastAsia" w:ascii="宋体" w:hAnsi="宋体" w:eastAsia="宋体"/>
          <w:bCs/>
          <w:color w:val="0000FF"/>
          <w:szCs w:val="21"/>
          <w:highlight w:val="none"/>
          <w:u w:val="single"/>
        </w:rPr>
        <w:t>法</w:t>
      </w:r>
      <w:r>
        <w:rPr>
          <w:rFonts w:hint="eastAsia" w:ascii="宋体" w:hAnsi="宋体" w:eastAsia="宋体"/>
          <w:bCs/>
          <w:color w:val="0000FF"/>
          <w:szCs w:val="21"/>
          <w:highlight w:val="none"/>
          <w:u w:val="single"/>
          <w:lang w:val="en-US" w:eastAsia="zh-CN"/>
        </w:rPr>
        <w:t>典</w:t>
      </w:r>
      <w:r>
        <w:rPr>
          <w:rFonts w:hint="eastAsia" w:ascii="宋体" w:hAnsi="宋体" w:eastAsia="宋体"/>
          <w:bCs/>
          <w:color w:val="0000FF"/>
          <w:szCs w:val="21"/>
          <w:highlight w:val="none"/>
          <w:u w:val="single"/>
        </w:rPr>
        <w:t>》《中华人民共和国建筑法》《中华人民共和国招标投标法》《中华人民共和国安全生产法》《建设工程质量管理条例》，以及其他有关</w:t>
      </w:r>
      <w:r>
        <w:rPr>
          <w:rFonts w:hint="eastAsia" w:ascii="宋体" w:hAnsi="宋体" w:eastAsia="宋体"/>
          <w:bCs/>
          <w:color w:val="0000FF"/>
          <w:szCs w:val="21"/>
          <w:highlight w:val="none"/>
          <w:u w:val="single"/>
          <w:lang w:eastAsia="zh-CN"/>
        </w:rPr>
        <w:t>法律法规</w:t>
      </w:r>
      <w:r>
        <w:rPr>
          <w:rFonts w:ascii="宋体" w:hAnsi="宋体" w:eastAsia="宋体"/>
          <w:szCs w:val="21"/>
          <w:highlight w:val="none"/>
        </w:rPr>
        <w:t>。</w:t>
      </w:r>
    </w:p>
    <w:p w14:paraId="6BE86160">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1.4标准和规范</w:t>
      </w:r>
    </w:p>
    <w:p w14:paraId="63DB1E66">
      <w:pPr>
        <w:adjustRightInd w:val="0"/>
        <w:snapToGrid w:val="0"/>
        <w:spacing w:line="360" w:lineRule="auto"/>
        <w:ind w:firstLine="480" w:firstLineChars="200"/>
        <w:jc w:val="left"/>
        <w:rPr>
          <w:rFonts w:ascii="宋体" w:hAnsi="宋体" w:eastAsia="宋体"/>
          <w:kern w:val="0"/>
          <w:sz w:val="24"/>
          <w:szCs w:val="32"/>
          <w:highlight w:val="none"/>
        </w:rPr>
      </w:pPr>
      <w:r>
        <w:rPr>
          <w:rFonts w:ascii="宋体" w:hAnsi="宋体" w:eastAsia="宋体"/>
          <w:kern w:val="0"/>
          <w:sz w:val="24"/>
          <w:szCs w:val="32"/>
          <w:highlight w:val="none"/>
        </w:rPr>
        <w:t>1.4.1适用于工程的标准规范包括：</w:t>
      </w:r>
      <w:r>
        <w:rPr>
          <w:rFonts w:hint="eastAsia" w:ascii="宋体" w:hAnsi="宋体" w:eastAsia="宋体"/>
          <w:bCs/>
          <w:color w:val="0000FF"/>
          <w:szCs w:val="21"/>
          <w:highlight w:val="none"/>
          <w:u w:val="single"/>
        </w:rPr>
        <w:t>现行国家、行业、专业、江苏省和南京市的有关标准、规范、规定和条例、强制性标准、详细施工图等</w:t>
      </w:r>
      <w:r>
        <w:rPr>
          <w:rFonts w:ascii="宋体" w:hAnsi="宋体" w:eastAsia="宋体"/>
          <w:kern w:val="0"/>
          <w:sz w:val="24"/>
          <w:szCs w:val="32"/>
          <w:highlight w:val="none"/>
        </w:rPr>
        <w:t>。</w:t>
      </w:r>
    </w:p>
    <w:p w14:paraId="275EEE24">
      <w:pPr>
        <w:adjustRightInd w:val="0"/>
        <w:snapToGrid w:val="0"/>
        <w:spacing w:line="360" w:lineRule="auto"/>
        <w:ind w:firstLine="480" w:firstLineChars="200"/>
        <w:jc w:val="left"/>
        <w:rPr>
          <w:rFonts w:ascii="宋体" w:hAnsi="宋体" w:eastAsia="宋体"/>
          <w:kern w:val="0"/>
          <w:sz w:val="24"/>
          <w:szCs w:val="32"/>
          <w:highlight w:val="none"/>
        </w:rPr>
      </w:pPr>
      <w:r>
        <w:rPr>
          <w:rFonts w:ascii="宋体" w:hAnsi="宋体" w:eastAsia="宋体"/>
          <w:kern w:val="0"/>
          <w:sz w:val="24"/>
          <w:szCs w:val="32"/>
          <w:highlight w:val="none"/>
        </w:rPr>
        <w:t>1.4.2发包人提供国外标准、规范的名称：</w:t>
      </w:r>
      <w:r>
        <w:rPr>
          <w:rFonts w:hint="eastAsia" w:ascii="宋体" w:hAnsi="宋体" w:eastAsia="宋体"/>
          <w:bCs/>
          <w:color w:val="0000FF"/>
          <w:szCs w:val="21"/>
          <w:highlight w:val="none"/>
          <w:u w:val="single"/>
        </w:rPr>
        <w:t>不提供</w:t>
      </w:r>
      <w:r>
        <w:rPr>
          <w:rFonts w:ascii="宋体" w:hAnsi="宋体" w:eastAsia="宋体"/>
          <w:kern w:val="0"/>
          <w:sz w:val="24"/>
          <w:szCs w:val="32"/>
          <w:highlight w:val="none"/>
        </w:rPr>
        <w:t>；</w:t>
      </w:r>
    </w:p>
    <w:p w14:paraId="324E2879">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发包人提供国外标准、规范的份数：</w:t>
      </w:r>
      <w:r>
        <w:rPr>
          <w:rFonts w:hint="eastAsia" w:ascii="宋体" w:hAnsi="宋体" w:eastAsia="宋体"/>
          <w:bCs/>
          <w:color w:val="0000FF"/>
          <w:szCs w:val="21"/>
          <w:highlight w:val="none"/>
          <w:u w:val="single"/>
        </w:rPr>
        <w:t>不提供</w:t>
      </w:r>
      <w:r>
        <w:rPr>
          <w:rFonts w:ascii="宋体" w:hAnsi="宋体" w:eastAsia="宋体"/>
          <w:kern w:val="0"/>
          <w:szCs w:val="21"/>
          <w:highlight w:val="none"/>
        </w:rPr>
        <w:t>；</w:t>
      </w:r>
    </w:p>
    <w:p w14:paraId="047003A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发包人提供国外标准、规范的名称：</w:t>
      </w:r>
      <w:r>
        <w:rPr>
          <w:rFonts w:hint="eastAsia" w:ascii="宋体" w:hAnsi="宋体" w:eastAsia="宋体"/>
          <w:bCs/>
          <w:color w:val="0000FF"/>
          <w:szCs w:val="21"/>
          <w:highlight w:val="none"/>
          <w:u w:val="single"/>
        </w:rPr>
        <w:t>无</w:t>
      </w:r>
      <w:r>
        <w:rPr>
          <w:rFonts w:ascii="宋体" w:hAnsi="宋体" w:eastAsia="宋体"/>
          <w:kern w:val="0"/>
          <w:szCs w:val="21"/>
          <w:highlight w:val="none"/>
        </w:rPr>
        <w:t>。</w:t>
      </w:r>
    </w:p>
    <w:p w14:paraId="15DB9C52">
      <w:pPr>
        <w:adjustRightInd w:val="0"/>
        <w:snapToGrid w:val="0"/>
        <w:spacing w:line="360" w:lineRule="auto"/>
        <w:ind w:firstLine="480" w:firstLineChars="200"/>
        <w:jc w:val="left"/>
        <w:rPr>
          <w:rFonts w:ascii="宋体" w:hAnsi="宋体" w:eastAsia="宋体"/>
          <w:kern w:val="0"/>
          <w:sz w:val="24"/>
          <w:szCs w:val="32"/>
          <w:highlight w:val="none"/>
        </w:rPr>
      </w:pPr>
      <w:r>
        <w:rPr>
          <w:rFonts w:ascii="宋体" w:hAnsi="宋体" w:eastAsia="宋体"/>
          <w:kern w:val="0"/>
          <w:sz w:val="24"/>
          <w:szCs w:val="32"/>
          <w:highlight w:val="none"/>
        </w:rPr>
        <w:t>1.4.3发包人对工程的技术标准和功能要求的特殊要求：</w:t>
      </w:r>
      <w:r>
        <w:rPr>
          <w:rFonts w:hint="eastAsia" w:ascii="宋体" w:hAnsi="宋体" w:eastAsia="宋体"/>
          <w:bCs/>
          <w:color w:val="0000FF"/>
          <w:szCs w:val="21"/>
          <w:highlight w:val="none"/>
          <w:u w:val="single"/>
        </w:rPr>
        <w:t>如有，双方协商解决</w:t>
      </w:r>
      <w:r>
        <w:rPr>
          <w:rFonts w:ascii="宋体" w:hAnsi="宋体" w:eastAsia="宋体"/>
          <w:kern w:val="0"/>
          <w:sz w:val="24"/>
          <w:szCs w:val="32"/>
          <w:highlight w:val="none"/>
        </w:rPr>
        <w:t>。</w:t>
      </w:r>
    </w:p>
    <w:p w14:paraId="047BDE2F">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1.5合同文件的优先顺序</w:t>
      </w:r>
    </w:p>
    <w:p w14:paraId="6CB5B51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合同文件组成及优先顺序为：</w:t>
      </w:r>
      <w:r>
        <w:rPr>
          <w:rFonts w:hint="eastAsia" w:ascii="宋体" w:hAnsi="宋体" w:eastAsia="宋体"/>
          <w:bCs/>
          <w:color w:val="0000FF"/>
          <w:szCs w:val="21"/>
          <w:highlight w:val="none"/>
          <w:u w:val="single"/>
        </w:rPr>
        <w:t>（1）本合同协议书；（2）中标通知书；（3）本合同专用条款（包括承诺书）；（4）招标文件及其修改澄清（含答疑）；（5）本合同通用条款；（6）标准、规范及有关技术文件、技术要求；（7）施工图纸；（8）标价的工程量清单；（9）投标文件及其附件；（10）工程报价单或预算书；（11）构成本合同组成部分的其他文件；在工程实施过程中，双方有关工程的洽商、变更等书面协议或文件视为本合同的组成部分，以发生时间的逆顺序优先。上述文件应认为是互为补充和解释的，但如有歧义或互相矛盾之处，以上面所列顺序在前的为准</w:t>
      </w:r>
      <w:r>
        <w:rPr>
          <w:rFonts w:ascii="宋体" w:hAnsi="宋体" w:eastAsia="宋体"/>
          <w:szCs w:val="21"/>
          <w:highlight w:val="none"/>
        </w:rPr>
        <w:t>。</w:t>
      </w:r>
    </w:p>
    <w:p w14:paraId="15E8C22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1.6图纸和承包人文件</w:t>
      </w:r>
      <w:r>
        <w:rPr>
          <w:rFonts w:ascii="宋体" w:hAnsi="宋体" w:eastAsia="宋体"/>
          <w:sz w:val="24"/>
          <w:szCs w:val="24"/>
          <w:highlight w:val="none"/>
        </w:rPr>
        <w:tab/>
      </w:r>
    </w:p>
    <w:p w14:paraId="42B06BF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1.6.1图纸的提供</w:t>
      </w:r>
    </w:p>
    <w:p w14:paraId="7A01C80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发包人向承包人提供图纸的期限：</w:t>
      </w:r>
      <w:r>
        <w:rPr>
          <w:rFonts w:hint="eastAsia" w:ascii="宋体" w:hAnsi="宋体" w:eastAsia="宋体"/>
          <w:bCs/>
          <w:color w:val="0000FF"/>
          <w:szCs w:val="21"/>
          <w:highlight w:val="none"/>
          <w:u w:val="single"/>
        </w:rPr>
        <w:t>开工前提供</w:t>
      </w:r>
      <w:r>
        <w:rPr>
          <w:rFonts w:ascii="宋体" w:hAnsi="宋体" w:eastAsia="宋体"/>
          <w:szCs w:val="21"/>
          <w:highlight w:val="none"/>
        </w:rPr>
        <w:t>；</w:t>
      </w:r>
    </w:p>
    <w:p w14:paraId="6D825A1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发包人向承包人提供图纸的数量：</w:t>
      </w:r>
      <w:r>
        <w:rPr>
          <w:rFonts w:hint="eastAsia" w:ascii="宋体" w:hAnsi="宋体" w:eastAsia="宋体"/>
          <w:bCs/>
          <w:color w:val="0000FF"/>
          <w:szCs w:val="21"/>
          <w:highlight w:val="none"/>
          <w:u w:val="single"/>
        </w:rPr>
        <w:t>开工前提供经施工图审查后的施工图纸三套（不含竣工图），承包人按照图审后的图纸进行施工。承包人需要增加图纸套数的，发包人可代为复制，复制费用由承包人承担</w:t>
      </w:r>
      <w:r>
        <w:rPr>
          <w:rFonts w:ascii="宋体" w:hAnsi="宋体" w:eastAsia="宋体"/>
          <w:szCs w:val="21"/>
          <w:highlight w:val="none"/>
        </w:rPr>
        <w:t>；</w:t>
      </w:r>
    </w:p>
    <w:p w14:paraId="7093F5C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发包人向承包人提供图纸的内容：</w:t>
      </w:r>
      <w:r>
        <w:rPr>
          <w:rFonts w:hint="eastAsia" w:ascii="宋体" w:hAnsi="宋体" w:eastAsia="宋体"/>
          <w:bCs/>
          <w:color w:val="0000FF"/>
          <w:szCs w:val="21"/>
          <w:highlight w:val="none"/>
          <w:u w:val="single"/>
        </w:rPr>
        <w:t>标段范围内全套施工蓝图</w:t>
      </w:r>
      <w:r>
        <w:rPr>
          <w:rFonts w:ascii="宋体" w:hAnsi="宋体" w:eastAsia="宋体"/>
          <w:szCs w:val="21"/>
          <w:highlight w:val="none"/>
        </w:rPr>
        <w:t>。</w:t>
      </w:r>
    </w:p>
    <w:p w14:paraId="398A93B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1.6.4承包人文件</w:t>
      </w:r>
    </w:p>
    <w:p w14:paraId="363E825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需要由承包人提供的文件，包括：</w:t>
      </w:r>
      <w:r>
        <w:rPr>
          <w:rFonts w:hint="eastAsia" w:ascii="宋体" w:hAnsi="宋体" w:eastAsia="宋体"/>
          <w:bCs/>
          <w:color w:val="0000FF"/>
          <w:szCs w:val="21"/>
          <w:highlight w:val="none"/>
          <w:u w:val="single"/>
        </w:rPr>
        <w:t>用于办理备案的企业及项目部相关人员资质证书、设备的合格证等；开工前提供具体的施工组织设计、施工总进度计划、材料进场总计划、甲供材及设备进场计划。</w:t>
      </w:r>
    </w:p>
    <w:p w14:paraId="6C236D5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根据发包人、监理等相关部门出具的评审意见，合同签订后7日内提供修改后详细的施工总进度计划、劳动力进场计划、机械与材料进场计划、材料投标品牌等。分项的施工组织设计在开工前向发包人提供。</w:t>
      </w:r>
    </w:p>
    <w:p w14:paraId="7E6EB986">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每月25日前按发包人及监理人要求提供已</w:t>
      </w:r>
      <w:r>
        <w:rPr>
          <w:rFonts w:hint="eastAsia" w:ascii="宋体" w:hAnsi="宋体" w:eastAsia="宋体"/>
          <w:bCs/>
          <w:color w:val="0000FF"/>
          <w:szCs w:val="21"/>
          <w:highlight w:val="none"/>
          <w:u w:val="single"/>
          <w:lang w:eastAsia="zh-CN"/>
        </w:rPr>
        <w:t>完成</w:t>
      </w:r>
      <w:r>
        <w:rPr>
          <w:rFonts w:hint="eastAsia" w:ascii="宋体" w:hAnsi="宋体" w:eastAsia="宋体"/>
          <w:bCs/>
          <w:color w:val="0000FF"/>
          <w:szCs w:val="21"/>
          <w:highlight w:val="none"/>
          <w:u w:val="single"/>
        </w:rPr>
        <w:t>工程量报表（含工程变更及签证预算）；每月25日前提供下月施工进度计划、材料供应计划、承包人采购材料计划清单、发包人供应的设备进场计划、劳动力及用款计划等发包人需要的各种报表；每周四报周进度计划；以上计划及报表必须经监理工程师签字认可后报发包人。承包人按要求提供发包人和监理要求的</w:t>
      </w:r>
      <w:r>
        <w:rPr>
          <w:rFonts w:hint="eastAsia" w:ascii="宋体" w:hAnsi="宋体" w:eastAsia="宋体"/>
          <w:bCs/>
          <w:color w:val="0000FF"/>
          <w:szCs w:val="21"/>
          <w:highlight w:val="none"/>
          <w:u w:val="single"/>
          <w:lang w:eastAsia="zh-CN"/>
        </w:rPr>
        <w:t>其他</w:t>
      </w:r>
      <w:r>
        <w:rPr>
          <w:rFonts w:hint="eastAsia" w:ascii="宋体" w:hAnsi="宋体" w:eastAsia="宋体"/>
          <w:bCs/>
          <w:color w:val="0000FF"/>
          <w:szCs w:val="21"/>
          <w:highlight w:val="none"/>
          <w:u w:val="single"/>
        </w:rPr>
        <w:t>报表</w:t>
      </w:r>
      <w:r>
        <w:rPr>
          <w:rFonts w:ascii="宋体" w:hAnsi="宋体" w:eastAsia="宋体"/>
          <w:szCs w:val="21"/>
          <w:highlight w:val="none"/>
        </w:rPr>
        <w:t>；</w:t>
      </w:r>
    </w:p>
    <w:p w14:paraId="130325B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承包人提供的文件的期限为：</w:t>
      </w:r>
      <w:r>
        <w:rPr>
          <w:rFonts w:hint="eastAsia" w:ascii="宋体" w:hAnsi="宋体" w:eastAsia="宋体"/>
          <w:bCs/>
          <w:color w:val="0000FF"/>
          <w:szCs w:val="21"/>
          <w:highlight w:val="none"/>
          <w:u w:val="single"/>
        </w:rPr>
        <w:t>根据承包人提供的文件类型，由发包人、监理单位等相关部门按实际提出不同期限要求</w:t>
      </w:r>
      <w:r>
        <w:rPr>
          <w:rFonts w:ascii="宋体" w:hAnsi="宋体" w:eastAsia="宋体"/>
          <w:szCs w:val="21"/>
          <w:highlight w:val="none"/>
        </w:rPr>
        <w:t>；</w:t>
      </w:r>
    </w:p>
    <w:p w14:paraId="668F842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承包人提供的文件的数量为：</w:t>
      </w:r>
      <w:r>
        <w:rPr>
          <w:rFonts w:hint="eastAsia" w:ascii="宋体" w:hAnsi="宋体" w:eastAsia="宋体"/>
          <w:bCs/>
          <w:color w:val="0000FF"/>
          <w:szCs w:val="21"/>
          <w:highlight w:val="none"/>
          <w:u w:val="single"/>
        </w:rPr>
        <w:t>按发包人要求</w:t>
      </w:r>
      <w:r>
        <w:rPr>
          <w:rFonts w:ascii="宋体" w:hAnsi="宋体" w:eastAsia="宋体"/>
          <w:szCs w:val="21"/>
          <w:highlight w:val="none"/>
        </w:rPr>
        <w:t>；</w:t>
      </w:r>
    </w:p>
    <w:p w14:paraId="7921CBE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承包人提供的文件的形式为：</w:t>
      </w:r>
      <w:r>
        <w:rPr>
          <w:rFonts w:hint="eastAsia" w:ascii="宋体" w:hAnsi="宋体" w:eastAsia="宋体"/>
          <w:bCs/>
          <w:color w:val="0000FF"/>
          <w:szCs w:val="21"/>
          <w:highlight w:val="none"/>
          <w:u w:val="single"/>
        </w:rPr>
        <w:t>纸质加盖承包人公章</w:t>
      </w:r>
      <w:r>
        <w:rPr>
          <w:rFonts w:ascii="宋体" w:hAnsi="宋体" w:eastAsia="宋体"/>
          <w:szCs w:val="21"/>
          <w:highlight w:val="none"/>
        </w:rPr>
        <w:t>；</w:t>
      </w:r>
    </w:p>
    <w:p w14:paraId="13FAC6D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w:t>
      </w:r>
      <w:r>
        <w:rPr>
          <w:rFonts w:hint="eastAsia" w:ascii="宋体" w:hAnsi="宋体" w:eastAsia="宋体"/>
          <w:szCs w:val="21"/>
          <w:highlight w:val="none"/>
        </w:rPr>
        <w:t>审批</w:t>
      </w:r>
      <w:r>
        <w:rPr>
          <w:rFonts w:ascii="宋体" w:hAnsi="宋体" w:eastAsia="宋体"/>
          <w:szCs w:val="21"/>
          <w:highlight w:val="none"/>
        </w:rPr>
        <w:t>承包人文件的期限：</w:t>
      </w:r>
      <w:r>
        <w:rPr>
          <w:rFonts w:hint="eastAsia" w:ascii="宋体" w:hAnsi="宋体" w:eastAsia="宋体"/>
          <w:bCs/>
          <w:color w:val="0000FF"/>
          <w:szCs w:val="21"/>
          <w:highlight w:val="none"/>
          <w:u w:val="single"/>
        </w:rPr>
        <w:t>收到资料后七天</w:t>
      </w:r>
      <w:r>
        <w:rPr>
          <w:rFonts w:ascii="宋体" w:hAnsi="宋体" w:eastAsia="宋体"/>
          <w:szCs w:val="21"/>
          <w:highlight w:val="none"/>
        </w:rPr>
        <w:t>。</w:t>
      </w:r>
    </w:p>
    <w:p w14:paraId="0AEDF81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1.6.5现场图纸准备</w:t>
      </w:r>
    </w:p>
    <w:p w14:paraId="39D7264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关于现场图纸准备的约定：</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5C860782">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1.7联络</w:t>
      </w:r>
    </w:p>
    <w:p w14:paraId="58F97331">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1.7.1发包人和承包人应当在</w:t>
      </w:r>
      <w:r>
        <w:rPr>
          <w:rFonts w:ascii="宋体" w:hAnsi="宋体" w:eastAsia="宋体"/>
          <w:bCs/>
          <w:color w:val="0000FF"/>
          <w:szCs w:val="21"/>
          <w:highlight w:val="none"/>
          <w:u w:val="single"/>
        </w:rPr>
        <w:t>7</w:t>
      </w:r>
      <w:r>
        <w:rPr>
          <w:rFonts w:ascii="宋体" w:hAnsi="宋体" w:eastAsia="宋体"/>
          <w:kern w:val="0"/>
          <w:szCs w:val="21"/>
          <w:highlight w:val="none"/>
        </w:rPr>
        <w:t>天内将与合同有关的通知、批准、证明、证书、指示、指令、要求、请求、同意、意见、确定和决定等书面函件送达对方当事人</w:t>
      </w:r>
      <w:r>
        <w:rPr>
          <w:rFonts w:hint="eastAsia" w:ascii="宋体" w:hAnsi="宋体" w:eastAsia="宋体"/>
          <w:kern w:val="0"/>
          <w:szCs w:val="21"/>
          <w:highlight w:val="none"/>
        </w:rPr>
        <w:t>。</w:t>
      </w:r>
    </w:p>
    <w:p w14:paraId="17C8A198">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1.7.2发包人接收文件的地点：</w:t>
      </w:r>
      <w:r>
        <w:rPr>
          <w:rFonts w:hint="eastAsia" w:ascii="宋体" w:hAnsi="宋体" w:eastAsia="宋体"/>
          <w:bCs/>
          <w:color w:val="0000FF"/>
          <w:szCs w:val="21"/>
          <w:highlight w:val="none"/>
          <w:u w:val="single"/>
        </w:rPr>
        <w:t>发包人代表现场办公室</w:t>
      </w:r>
      <w:r>
        <w:rPr>
          <w:rFonts w:ascii="宋体" w:hAnsi="宋体" w:eastAsia="宋体"/>
          <w:kern w:val="0"/>
          <w:szCs w:val="21"/>
          <w:highlight w:val="none"/>
        </w:rPr>
        <w:t>；</w:t>
      </w:r>
    </w:p>
    <w:p w14:paraId="57ECA342">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发包人指定的接收人为：</w:t>
      </w:r>
      <w:r>
        <w:rPr>
          <w:rFonts w:hint="eastAsia" w:ascii="宋体" w:hAnsi="宋体" w:eastAsia="宋体"/>
          <w:bCs/>
          <w:color w:val="0000FF"/>
          <w:szCs w:val="21"/>
          <w:highlight w:val="none"/>
          <w:u w:val="single"/>
        </w:rPr>
        <w:t>发包人现场代表</w:t>
      </w:r>
      <w:r>
        <w:rPr>
          <w:rFonts w:ascii="宋体" w:hAnsi="宋体" w:eastAsia="宋体"/>
          <w:kern w:val="0"/>
          <w:szCs w:val="21"/>
          <w:highlight w:val="none"/>
        </w:rPr>
        <w:t>。</w:t>
      </w:r>
    </w:p>
    <w:p w14:paraId="0FFF1ADB">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承包人接收文件的地点：</w:t>
      </w:r>
      <w:r>
        <w:rPr>
          <w:rFonts w:hint="eastAsia" w:ascii="宋体" w:hAnsi="宋体" w:eastAsia="宋体"/>
          <w:bCs/>
          <w:color w:val="0000FF"/>
          <w:szCs w:val="21"/>
          <w:highlight w:val="none"/>
          <w:u w:val="single"/>
        </w:rPr>
        <w:t>承包人项目现场办公室</w:t>
      </w:r>
      <w:r>
        <w:rPr>
          <w:rFonts w:ascii="宋体" w:hAnsi="宋体" w:eastAsia="宋体"/>
          <w:kern w:val="0"/>
          <w:szCs w:val="21"/>
          <w:highlight w:val="none"/>
        </w:rPr>
        <w:t>；</w:t>
      </w:r>
    </w:p>
    <w:p w14:paraId="48DE8DAC">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承包人指定的接收人为：</w:t>
      </w:r>
      <w:r>
        <w:rPr>
          <w:rFonts w:hint="eastAsia" w:ascii="宋体" w:hAnsi="宋体" w:eastAsia="宋体"/>
          <w:bCs/>
          <w:color w:val="0000FF"/>
          <w:szCs w:val="21"/>
          <w:highlight w:val="none"/>
          <w:u w:val="single"/>
        </w:rPr>
        <w:t>项目负责人</w:t>
      </w:r>
      <w:r>
        <w:rPr>
          <w:rFonts w:ascii="宋体" w:hAnsi="宋体" w:eastAsia="宋体"/>
          <w:kern w:val="0"/>
          <w:szCs w:val="21"/>
          <w:highlight w:val="none"/>
        </w:rPr>
        <w:t>。</w:t>
      </w:r>
    </w:p>
    <w:p w14:paraId="5BE71B55">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监理人接收文件的地点：</w:t>
      </w:r>
      <w:r>
        <w:rPr>
          <w:rFonts w:hint="eastAsia" w:ascii="宋体" w:hAnsi="宋体" w:eastAsia="宋体"/>
          <w:bCs/>
          <w:color w:val="0000FF"/>
          <w:szCs w:val="21"/>
          <w:highlight w:val="none"/>
          <w:u w:val="single"/>
        </w:rPr>
        <w:t>施工现场项目部</w:t>
      </w:r>
      <w:r>
        <w:rPr>
          <w:rFonts w:ascii="宋体" w:hAnsi="宋体" w:eastAsia="宋体"/>
          <w:kern w:val="0"/>
          <w:szCs w:val="21"/>
          <w:highlight w:val="none"/>
        </w:rPr>
        <w:t>；</w:t>
      </w:r>
    </w:p>
    <w:p w14:paraId="10305012">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监理人指定的接收人为：</w:t>
      </w:r>
      <w:r>
        <w:rPr>
          <w:rFonts w:hint="eastAsia" w:ascii="宋体" w:hAnsi="宋体" w:eastAsia="宋体"/>
          <w:bCs/>
          <w:color w:val="0000FF"/>
          <w:szCs w:val="21"/>
          <w:highlight w:val="none"/>
          <w:u w:val="single"/>
        </w:rPr>
        <w:t>监理人总监理工程师</w:t>
      </w:r>
      <w:r>
        <w:rPr>
          <w:rFonts w:ascii="宋体" w:hAnsi="宋体" w:eastAsia="宋体"/>
          <w:kern w:val="0"/>
          <w:szCs w:val="21"/>
          <w:highlight w:val="none"/>
        </w:rPr>
        <w:t>。</w:t>
      </w:r>
    </w:p>
    <w:p w14:paraId="0B08A6B4">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1.10交通运输</w:t>
      </w:r>
    </w:p>
    <w:p w14:paraId="1F276D2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w:t>
      </w:r>
      <w:bookmarkStart w:id="54" w:name="_Toc303539100"/>
      <w:bookmarkStart w:id="55" w:name="_Toc300934943"/>
      <w:bookmarkStart w:id="56" w:name="_Toc312677986"/>
      <w:bookmarkStart w:id="57" w:name="_Toc318581155"/>
      <w:bookmarkStart w:id="58" w:name="_Toc304295521"/>
      <w:r>
        <w:rPr>
          <w:rFonts w:ascii="宋体" w:hAnsi="宋体" w:eastAsia="宋体"/>
          <w:szCs w:val="21"/>
          <w:highlight w:val="none"/>
        </w:rPr>
        <w:t>.10.1出入现场的权利</w:t>
      </w:r>
    </w:p>
    <w:p w14:paraId="4339352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关于出入现场的权利的约定：</w:t>
      </w:r>
      <w:r>
        <w:rPr>
          <w:rFonts w:hint="eastAsia" w:ascii="宋体" w:hAnsi="宋体" w:eastAsia="宋体"/>
          <w:bCs/>
          <w:color w:val="0000FF"/>
          <w:szCs w:val="21"/>
          <w:highlight w:val="none"/>
          <w:u w:val="single"/>
        </w:rPr>
        <w:t>对进出工地的所有人员进行挂牌持证管理。只有项目施工人员办理许可证才能进入施工现场，禁止与本工程无关人员、车辆进入施工现场，如果擅自进入现场，由此而产生的后果由承包人自行负责</w:t>
      </w:r>
      <w:r>
        <w:rPr>
          <w:rFonts w:ascii="宋体" w:hAnsi="宋体" w:eastAsia="宋体"/>
          <w:szCs w:val="21"/>
          <w:highlight w:val="none"/>
        </w:rPr>
        <w:t>。</w:t>
      </w:r>
    </w:p>
    <w:bookmarkEnd w:id="54"/>
    <w:bookmarkEnd w:id="55"/>
    <w:bookmarkEnd w:id="56"/>
    <w:bookmarkEnd w:id="57"/>
    <w:bookmarkEnd w:id="58"/>
    <w:p w14:paraId="118DF63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w:t>
      </w:r>
      <w:bookmarkStart w:id="59" w:name="_Toc312677987"/>
      <w:bookmarkStart w:id="60" w:name="_Toc300934944"/>
      <w:bookmarkStart w:id="61" w:name="_Toc318581156"/>
      <w:bookmarkStart w:id="62" w:name="_Toc303539101"/>
      <w:bookmarkStart w:id="63" w:name="_Toc304295522"/>
      <w:r>
        <w:rPr>
          <w:rFonts w:ascii="宋体" w:hAnsi="宋体" w:eastAsia="宋体"/>
          <w:szCs w:val="21"/>
          <w:highlight w:val="none"/>
        </w:rPr>
        <w:t>.10.3场内交通</w:t>
      </w:r>
    </w:p>
    <w:p w14:paraId="31BEDC2A">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关于场外交通和场内交通的边界的约定：</w:t>
      </w:r>
      <w:r>
        <w:rPr>
          <w:rFonts w:hint="eastAsia" w:ascii="宋体" w:hAnsi="宋体" w:eastAsia="宋体"/>
          <w:bCs/>
          <w:color w:val="0000FF"/>
          <w:szCs w:val="21"/>
          <w:highlight w:val="none"/>
          <w:u w:val="single"/>
        </w:rPr>
        <w:t>施工现场封闭围挡范围以内为场内交通，范围以外为场外交通，施工场地内和本项目有关的道路情况以投标方现场踏勘情况为准，场外公共道路已开通</w:t>
      </w:r>
      <w:r>
        <w:rPr>
          <w:rFonts w:ascii="宋体" w:hAnsi="宋体" w:eastAsia="宋体"/>
          <w:szCs w:val="21"/>
          <w:highlight w:val="none"/>
        </w:rPr>
        <w:t>。</w:t>
      </w:r>
    </w:p>
    <w:p w14:paraId="1637D6B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关于发包人向承包人免费提供满足工程施工需要的场内道路和交通设施的约定：</w:t>
      </w:r>
      <w:r>
        <w:rPr>
          <w:rFonts w:hint="eastAsia" w:ascii="宋体" w:hAnsi="宋体" w:eastAsia="宋体"/>
          <w:bCs/>
          <w:color w:val="0000FF"/>
          <w:szCs w:val="21"/>
          <w:highlight w:val="none"/>
          <w:u w:val="single"/>
        </w:rPr>
        <w:t>施工现场道路情况以投标方现场踏勘情况为准，承包人可以使用目前场内道路，交通设施由承包人自备。除现有道路外，承包人场内道路的新建和保养，费用包含在投标报价中，结算时不予调整</w:t>
      </w:r>
      <w:r>
        <w:rPr>
          <w:rFonts w:ascii="宋体" w:hAnsi="宋体" w:eastAsia="宋体"/>
          <w:szCs w:val="21"/>
          <w:highlight w:val="none"/>
        </w:rPr>
        <w:t>。</w:t>
      </w:r>
      <w:bookmarkEnd w:id="59"/>
      <w:bookmarkEnd w:id="60"/>
      <w:bookmarkEnd w:id="61"/>
      <w:bookmarkEnd w:id="62"/>
      <w:bookmarkEnd w:id="63"/>
      <w:bookmarkStart w:id="64" w:name="_Toc318581157"/>
    </w:p>
    <w:p w14:paraId="4244DA7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1.10.4超大件和超重件的运输</w:t>
      </w:r>
    </w:p>
    <w:p w14:paraId="5BF457D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运输超大件或超重件所需的道路和桥梁临时加固改造费用和其他有关费用由</w:t>
      </w:r>
      <w:r>
        <w:rPr>
          <w:rFonts w:hint="eastAsia" w:ascii="宋体" w:hAnsi="宋体" w:eastAsia="宋体"/>
          <w:bCs/>
          <w:color w:val="0000FF"/>
          <w:szCs w:val="21"/>
          <w:highlight w:val="none"/>
          <w:u w:val="single"/>
        </w:rPr>
        <w:t>承包人</w:t>
      </w:r>
      <w:r>
        <w:rPr>
          <w:rFonts w:ascii="宋体" w:hAnsi="宋体" w:eastAsia="宋体"/>
          <w:szCs w:val="21"/>
          <w:highlight w:val="none"/>
        </w:rPr>
        <w:t>承担。</w:t>
      </w:r>
    </w:p>
    <w:bookmarkEnd w:id="64"/>
    <w:p w14:paraId="3B47B797">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1.11知识产权</w:t>
      </w:r>
    </w:p>
    <w:p w14:paraId="38817A2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bCs/>
          <w:color w:val="0000FF"/>
          <w:szCs w:val="21"/>
          <w:highlight w:val="none"/>
          <w:u w:val="single"/>
        </w:rPr>
        <w:t>归发包人所有</w:t>
      </w:r>
      <w:r>
        <w:rPr>
          <w:rFonts w:ascii="宋体" w:hAnsi="宋体" w:eastAsia="宋体"/>
          <w:szCs w:val="21"/>
          <w:highlight w:val="none"/>
        </w:rPr>
        <w:t>。</w:t>
      </w:r>
    </w:p>
    <w:p w14:paraId="76F1156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关于发包人提供的上述文件的使用限制的要求：</w:t>
      </w:r>
      <w:r>
        <w:rPr>
          <w:rFonts w:hint="eastAsia" w:ascii="宋体" w:hAnsi="宋体" w:eastAsia="宋体"/>
          <w:bCs/>
          <w:color w:val="0000FF"/>
          <w:szCs w:val="21"/>
          <w:highlight w:val="none"/>
          <w:u w:val="single"/>
        </w:rPr>
        <w:t>承包人履行上述文件的保密义务，承包人未经发包人书面同意，不得将上述文件内容泄露给无关的第三方或将上述文件用于非发包方同意的本工程以外的其他工程（具体方式包括但不限于：出卖、出借、复制等），也不得做除本工程承包工作以外的任何用途；工程质量保修期满后，除存档需要的上述文件外，承包人应将全部上述文件退还给发包人。承包人应对发包人提供的资料、图纸、文件等一切资料，妥善专人保管。若因承包人保管不当、遗失、转借他人、复制等原因造成泄密后果，发包人对此保留终身追究责任的权利</w:t>
      </w:r>
      <w:r>
        <w:rPr>
          <w:rFonts w:ascii="宋体" w:hAnsi="宋体" w:eastAsia="宋体"/>
          <w:szCs w:val="21"/>
          <w:highlight w:val="none"/>
        </w:rPr>
        <w:t>。</w:t>
      </w:r>
    </w:p>
    <w:p w14:paraId="359E790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1.11.2关于承包人为实施工程所编制文件的著作权的归属：</w:t>
      </w:r>
      <w:r>
        <w:rPr>
          <w:rFonts w:hint="eastAsia" w:ascii="宋体" w:hAnsi="宋体" w:eastAsia="宋体"/>
          <w:bCs/>
          <w:color w:val="0000FF"/>
          <w:szCs w:val="21"/>
          <w:highlight w:val="none"/>
          <w:u w:val="single"/>
        </w:rPr>
        <w:t>归承包人所有</w:t>
      </w:r>
      <w:r>
        <w:rPr>
          <w:rFonts w:ascii="宋体" w:hAnsi="宋体" w:eastAsia="宋体"/>
          <w:szCs w:val="21"/>
          <w:highlight w:val="none"/>
        </w:rPr>
        <w:t>。</w:t>
      </w:r>
    </w:p>
    <w:p w14:paraId="5A18D3C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关于承包人提供的上述文件的使用限制的要求：</w:t>
      </w:r>
      <w:r>
        <w:rPr>
          <w:rFonts w:hint="eastAsia" w:ascii="宋体" w:hAnsi="宋体" w:eastAsia="宋体"/>
          <w:bCs/>
          <w:color w:val="0000FF"/>
          <w:szCs w:val="21"/>
          <w:highlight w:val="none"/>
          <w:u w:val="single"/>
        </w:rPr>
        <w:t>不得用于与本工程无关的一切事宜</w:t>
      </w:r>
      <w:r>
        <w:rPr>
          <w:rFonts w:ascii="宋体" w:hAnsi="宋体" w:eastAsia="宋体"/>
          <w:szCs w:val="21"/>
          <w:highlight w:val="none"/>
        </w:rPr>
        <w:t>。</w:t>
      </w:r>
    </w:p>
    <w:p w14:paraId="084EDB79">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szCs w:val="21"/>
          <w:highlight w:val="none"/>
        </w:rPr>
        <w:t>1.11.4承包人在施工过程中所采用的专利、专有技术、技术秘密的使用费的承担方式：</w:t>
      </w:r>
      <w:r>
        <w:rPr>
          <w:rFonts w:hint="eastAsia" w:ascii="宋体" w:hAnsi="宋体" w:eastAsia="宋体"/>
          <w:bCs/>
          <w:color w:val="0000FF"/>
          <w:szCs w:val="21"/>
          <w:highlight w:val="none"/>
          <w:u w:val="single"/>
        </w:rPr>
        <w:t>由承包人承担，结算时不调整</w:t>
      </w:r>
      <w:r>
        <w:rPr>
          <w:rFonts w:ascii="宋体" w:hAnsi="宋体" w:eastAsia="宋体"/>
          <w:kern w:val="0"/>
          <w:szCs w:val="21"/>
          <w:highlight w:val="none"/>
        </w:rPr>
        <w:t>。</w:t>
      </w:r>
    </w:p>
    <w:p w14:paraId="7521890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1.13工程量清单错误的修正</w:t>
      </w:r>
    </w:p>
    <w:p w14:paraId="784FDB1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szCs w:val="21"/>
          <w:highlight w:val="none"/>
        </w:rPr>
        <w:t>出现工程量清单错误时，是否调整合同价格：</w:t>
      </w:r>
      <w:r>
        <w:rPr>
          <w:rFonts w:hint="eastAsia" w:ascii="宋体" w:hAnsi="宋体" w:eastAsia="宋体"/>
          <w:bCs/>
          <w:color w:val="0000FF"/>
          <w:szCs w:val="21"/>
          <w:highlight w:val="none"/>
          <w:u w:val="single"/>
        </w:rPr>
        <w:t>工程量清单存在缺项、漏项或错误时可调整合同价格。因设计变更、工程签证及招标工程量清单误差导致的工程量增减调整规定如下：（1）由于设计变更、工程签证及招标工程量清单误差而导致的清单子目工程量增减，结算时按实际发生的工程量调整，增减部分工程量按招标文件约定采用的清单子目及本省计价表中相应的定额子目工程量计算规则进行计算调整；</w:t>
      </w:r>
    </w:p>
    <w:p w14:paraId="1523C2C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若调整的工程量清单子目在投标文件中已有相同的子目，则按其投标时的综合单价、费用种类、费率标准计价（若投标书中工程量×综合单价≠合价，合价低时则按合价除以工程量得出新的综合单价结算；合价高时则按投标综合单价结算）；</w:t>
      </w:r>
    </w:p>
    <w:p w14:paraId="3FF33AB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（3）若调整的工程量清单子目属于新增清单子目，但投标文件中有适用的类似的清单子目可参照时，则按投标书中的类似清单子目的人材机消耗量、单价、费用种类、费率标准计价；</w:t>
      </w:r>
    </w:p>
    <w:p w14:paraId="70E3CD3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若调整的工程量清单子目属于新增清单子目，且投标文件中没有可适用的类似清单子目时，采用国家和地方现行的有关标准、规范。投标时所参照的定额或其他计价依据资料计算其人材机消耗量，按投标文件中该清单子目所属分部分项工程的单价、费用种类、加权平均费率标准计价；</w:t>
      </w:r>
    </w:p>
    <w:p w14:paraId="06AA8CE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对于投标文件中没有的新增材料单价，其中次要（辅助）材料（含地材）可参照施工期间南京市造价管理部门发布的材料指导价格计算，主要材料或无指导价格的材料由发包人核价后方可采购（发包人保留选择甲供的权利）；</w:t>
      </w:r>
    </w:p>
    <w:p w14:paraId="7A0085D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施工过程中清单子目工程量发生变化时，措施费项目不增加、其费率不调整（模板、支架、脚手架、安全文明措施费除外）；如有新增项目由中标人施工，中标人不得以任何理由拒绝，合同总工期不得增加，并按本条款中“调整的工程量清单子目”计价方式计价。</w:t>
      </w:r>
    </w:p>
    <w:p w14:paraId="2253EB9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（7）非承包人自身原因引起的且经发包人认可的工程变更导致施工方案必须作出变更的，因此引起措施项目发生变化时，措施项目费</w:t>
      </w:r>
      <w:r>
        <w:rPr>
          <w:rFonts w:hint="eastAsia" w:ascii="宋体" w:hAnsi="宋体" w:eastAsia="宋体"/>
          <w:bCs/>
          <w:color w:val="0000FF"/>
          <w:szCs w:val="21"/>
          <w:highlight w:val="none"/>
          <w:u w:val="single"/>
          <w:lang w:eastAsia="zh-CN"/>
        </w:rPr>
        <w:t>做出相应的</w:t>
      </w:r>
      <w:r>
        <w:rPr>
          <w:rFonts w:hint="eastAsia" w:ascii="宋体" w:hAnsi="宋体" w:eastAsia="宋体"/>
          <w:bCs/>
          <w:color w:val="0000FF"/>
          <w:szCs w:val="21"/>
          <w:highlight w:val="none"/>
          <w:u w:val="single"/>
        </w:rPr>
        <w:t>调整。调整部分的工程造价须参照投标下浮率进行下浮。</w:t>
      </w:r>
    </w:p>
    <w:p w14:paraId="18FA771B">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（8）其他事项：双方另行协商</w:t>
      </w:r>
      <w:r>
        <w:rPr>
          <w:rFonts w:ascii="宋体" w:hAnsi="宋体" w:eastAsia="宋体"/>
          <w:kern w:val="0"/>
          <w:szCs w:val="21"/>
          <w:highlight w:val="none"/>
        </w:rPr>
        <w:t>。</w:t>
      </w:r>
    </w:p>
    <w:p w14:paraId="72ADA1B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允许调整合同价格的工程量偏差范围：</w:t>
      </w:r>
      <w:r>
        <w:rPr>
          <w:rFonts w:hint="eastAsia" w:ascii="宋体" w:hAnsi="宋体" w:eastAsia="宋体"/>
          <w:bCs/>
          <w:color w:val="0000FF"/>
          <w:szCs w:val="21"/>
          <w:highlight w:val="none"/>
          <w:u w:val="single"/>
        </w:rPr>
        <w:t>仅调整工程量，不调整单价。（1）经发包人认可的设计变更；（2）发包人、跟踪审计、监理方、承包人均认可的签证（3）增减工程量；（4）发包人可能安排的本项目周边的室外工程、附属工程及其它零星工程</w:t>
      </w:r>
      <w:r>
        <w:rPr>
          <w:rFonts w:ascii="宋体" w:hAnsi="宋体" w:eastAsia="宋体"/>
          <w:kern w:val="0"/>
          <w:szCs w:val="21"/>
          <w:highlight w:val="none"/>
        </w:rPr>
        <w:t>。</w:t>
      </w:r>
    </w:p>
    <w:p w14:paraId="70DF6BE0">
      <w:pPr>
        <w:pStyle w:val="7"/>
        <w:adjustRightInd w:val="0"/>
        <w:snapToGrid w:val="0"/>
        <w:spacing w:before="0" w:after="0" w:line="360" w:lineRule="auto"/>
        <w:ind w:firstLine="560" w:firstLineChars="200"/>
        <w:jc w:val="left"/>
        <w:rPr>
          <w:rFonts w:ascii="宋体" w:hAnsi="宋体" w:eastAsia="宋体"/>
          <w:b w:val="0"/>
          <w:highlight w:val="none"/>
        </w:rPr>
      </w:pPr>
      <w:bookmarkStart w:id="65" w:name="_Toc351203634"/>
      <w:r>
        <w:rPr>
          <w:rFonts w:ascii="宋体" w:hAnsi="宋体" w:eastAsia="宋体"/>
          <w:b w:val="0"/>
          <w:highlight w:val="none"/>
        </w:rPr>
        <w:t>2</w:t>
      </w:r>
      <w:bookmarkStart w:id="66" w:name="_Toc296891197"/>
      <w:bookmarkStart w:id="67" w:name="_Toc296890985"/>
      <w:bookmarkStart w:id="68" w:name="_Toc296347156"/>
      <w:bookmarkStart w:id="69" w:name="_Toc296503157"/>
      <w:bookmarkStart w:id="70" w:name="_Toc297048343"/>
      <w:bookmarkStart w:id="71" w:name="_Toc296346658"/>
      <w:bookmarkStart w:id="72" w:name="_Toc296944496"/>
      <w:bookmarkStart w:id="73" w:name="_Toc292559362"/>
      <w:bookmarkStart w:id="74" w:name="_Toc292559867"/>
      <w:bookmarkStart w:id="75" w:name="_Toc297120457"/>
      <w:r>
        <w:rPr>
          <w:rFonts w:ascii="宋体" w:hAnsi="宋体" w:eastAsia="宋体"/>
          <w:b w:val="0"/>
          <w:highlight w:val="none"/>
        </w:rPr>
        <w:t>.发包人</w:t>
      </w:r>
      <w:bookmarkEnd w:id="65"/>
    </w:p>
    <w:bookmarkEnd w:id="66"/>
    <w:bookmarkEnd w:id="67"/>
    <w:bookmarkEnd w:id="68"/>
    <w:bookmarkEnd w:id="69"/>
    <w:bookmarkEnd w:id="70"/>
    <w:bookmarkEnd w:id="71"/>
    <w:bookmarkEnd w:id="72"/>
    <w:bookmarkEnd w:id="73"/>
    <w:bookmarkEnd w:id="74"/>
    <w:bookmarkEnd w:id="75"/>
    <w:p w14:paraId="2477A9E9">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2.2发包人代表</w:t>
      </w:r>
    </w:p>
    <w:p w14:paraId="6ECF3DC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发包人代表：</w:t>
      </w:r>
    </w:p>
    <w:p w14:paraId="65C13BB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姓名</w:t>
      </w:r>
      <w:r>
        <w:rPr>
          <w:rFonts w:hint="eastAsia" w:ascii="宋体" w:hAnsi="宋体" w:eastAsia="宋体"/>
          <w:szCs w:val="21"/>
          <w:highlight w:val="none"/>
          <w:lang w:eastAsia="zh-CN"/>
        </w:rPr>
        <w:t>：</w:t>
      </w:r>
    </w:p>
    <w:p w14:paraId="0FC14C0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身份证号</w:t>
      </w:r>
      <w:r>
        <w:rPr>
          <w:rFonts w:hint="eastAsia" w:ascii="宋体" w:hAnsi="宋体" w:eastAsia="宋体"/>
          <w:szCs w:val="21"/>
          <w:highlight w:val="none"/>
          <w:lang w:eastAsia="zh-CN"/>
        </w:rPr>
        <w:t>：</w:t>
      </w:r>
    </w:p>
    <w:p w14:paraId="50A51B8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职务</w:t>
      </w:r>
      <w:r>
        <w:rPr>
          <w:rFonts w:hint="eastAsia" w:ascii="宋体" w:hAnsi="宋体" w:eastAsia="宋体"/>
          <w:szCs w:val="21"/>
          <w:highlight w:val="none"/>
          <w:lang w:eastAsia="zh-CN"/>
        </w:rPr>
        <w:t>：</w:t>
      </w:r>
    </w:p>
    <w:p w14:paraId="3747577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联系电话</w:t>
      </w:r>
      <w:r>
        <w:rPr>
          <w:rFonts w:hint="eastAsia" w:ascii="宋体" w:hAnsi="宋体" w:eastAsia="宋体"/>
          <w:szCs w:val="21"/>
          <w:highlight w:val="none"/>
          <w:lang w:eastAsia="zh-CN"/>
        </w:rPr>
        <w:t>：</w:t>
      </w:r>
    </w:p>
    <w:p w14:paraId="74FE5A1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电子信箱</w:t>
      </w:r>
      <w:r>
        <w:rPr>
          <w:rFonts w:hint="eastAsia" w:ascii="宋体" w:hAnsi="宋体" w:eastAsia="宋体"/>
          <w:szCs w:val="21"/>
          <w:highlight w:val="none"/>
          <w:lang w:eastAsia="zh-CN"/>
        </w:rPr>
        <w:t>：</w:t>
      </w:r>
    </w:p>
    <w:p w14:paraId="1F2A497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通信地址</w:t>
      </w:r>
      <w:r>
        <w:rPr>
          <w:rFonts w:hint="eastAsia" w:ascii="宋体" w:hAnsi="宋体" w:eastAsia="宋体"/>
          <w:szCs w:val="21"/>
          <w:highlight w:val="none"/>
          <w:lang w:eastAsia="zh-CN"/>
        </w:rPr>
        <w:t>：</w:t>
      </w:r>
    </w:p>
    <w:p w14:paraId="6CF0453B">
      <w:pPr>
        <w:adjustRightInd w:val="0"/>
        <w:snapToGrid w:val="0"/>
        <w:spacing w:line="360" w:lineRule="auto"/>
        <w:ind w:firstLine="440" w:firstLineChars="200"/>
        <w:jc w:val="left"/>
        <w:rPr>
          <w:rFonts w:ascii="宋体" w:hAnsi="宋体" w:eastAsia="宋体"/>
          <w:b/>
          <w:szCs w:val="21"/>
          <w:highlight w:val="none"/>
        </w:rPr>
      </w:pPr>
      <w:r>
        <w:rPr>
          <w:rFonts w:ascii="宋体" w:hAnsi="宋体" w:eastAsia="宋体"/>
          <w:szCs w:val="21"/>
          <w:highlight w:val="none"/>
        </w:rPr>
        <w:t>发包人对发包人代表的授权范围如下：</w:t>
      </w:r>
      <w:r>
        <w:rPr>
          <w:rFonts w:hint="eastAsia" w:ascii="宋体" w:hAnsi="宋体" w:eastAsia="宋体"/>
          <w:bCs/>
          <w:color w:val="0000FF"/>
          <w:szCs w:val="21"/>
          <w:highlight w:val="none"/>
          <w:u w:val="single"/>
        </w:rPr>
        <w:t>1）审核总监理工程师签发的开工令、停工令、复工令的签发；（2）确认承包人提出的顺延工期的签证；（3）对发生的不可抗力造成工程无法施工的处置；（4）设计变更、工程量及施工条件变更等有关签证的确认；（5）工程竣工验收报告的确认；（6）工程预付款和进度款的审批；（7）处理和协调外部施工条件；（8）主持施工现场发包人的工作；对施工过程中的合同执行情况进行检查监督以及对监理工作的检查；（9）代表发包人行使本合同约定的其他权利和义务</w:t>
      </w:r>
      <w:r>
        <w:rPr>
          <w:rFonts w:ascii="宋体" w:hAnsi="宋体" w:eastAsia="宋体"/>
          <w:szCs w:val="21"/>
          <w:highlight w:val="none"/>
        </w:rPr>
        <w:t>。</w:t>
      </w:r>
    </w:p>
    <w:p w14:paraId="5A8A7DA8">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2.4施工现场、施工条件和基础资料的提供</w:t>
      </w:r>
    </w:p>
    <w:p w14:paraId="2A8445B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2.4.1提供施工现场</w:t>
      </w:r>
    </w:p>
    <w:p w14:paraId="21036EA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关于发包人移交施工现场的期限要求：</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50BFEF6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2.4.2提供施工条件</w:t>
      </w:r>
    </w:p>
    <w:p w14:paraId="28EC18C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关于发包人应负责提供施工</w:t>
      </w:r>
      <w:r>
        <w:rPr>
          <w:rFonts w:hint="eastAsia" w:ascii="宋体" w:hAnsi="宋体" w:eastAsia="宋体"/>
          <w:szCs w:val="21"/>
          <w:highlight w:val="none"/>
        </w:rPr>
        <w:t>所需要的条件，</w:t>
      </w:r>
      <w:r>
        <w:rPr>
          <w:rFonts w:ascii="宋体" w:hAnsi="宋体" w:eastAsia="宋体"/>
          <w:szCs w:val="21"/>
          <w:highlight w:val="none"/>
        </w:rPr>
        <w:t>包括：</w:t>
      </w:r>
      <w:r>
        <w:rPr>
          <w:rFonts w:hint="eastAsia" w:ascii="宋体" w:hAnsi="宋体" w:eastAsia="宋体"/>
          <w:bCs/>
          <w:color w:val="0000FF"/>
          <w:szCs w:val="21"/>
          <w:highlight w:val="none"/>
          <w:u w:val="single"/>
        </w:rPr>
        <w:t>(1)施工场地具备施工条件的要求及完成的时间：已具备条件，请本项目承包人自行踏勘现场。承包人在中标后不得因忽视场地条件而提出费用或工期索赔。</w:t>
      </w:r>
    </w:p>
    <w:p w14:paraId="24AF730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(2)将施工所需的水、电、电讯线路接至施工场地的时间、地点和供应要求：</w:t>
      </w:r>
    </w:p>
    <w:p w14:paraId="4F8B652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开工前承包人应编制施工临时用水</w:t>
      </w:r>
      <w:r>
        <w:rPr>
          <w:rFonts w:hint="eastAsia" w:ascii="宋体" w:hAnsi="宋体" w:eastAsia="宋体"/>
          <w:bCs/>
          <w:color w:val="0000FF"/>
          <w:szCs w:val="21"/>
          <w:highlight w:val="none"/>
          <w:u w:val="single"/>
          <w:lang w:eastAsia="zh-CN"/>
        </w:rPr>
        <w:t>、用</w:t>
      </w:r>
      <w:r>
        <w:rPr>
          <w:rFonts w:hint="eastAsia" w:ascii="宋体" w:hAnsi="宋体" w:eastAsia="宋体"/>
          <w:bCs/>
          <w:color w:val="0000FF"/>
          <w:szCs w:val="21"/>
          <w:highlight w:val="none"/>
          <w:u w:val="single"/>
        </w:rPr>
        <w:t>电方案，方案须经监理批准后，方可施工，承包人自行安装的电力线路、设备，临时用水、供水用水设施等必须分别符合现行有关用水用电的规范要求，承包人对所有用电、供水设施的设计、安装、维修负责，并确保其安全可靠。</w:t>
      </w:r>
    </w:p>
    <w:p w14:paraId="082C366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临时用电：发包人负责提供电源接口到施工现场周边，承包人负责接入施工现场，并由本工程承包人设置电源箱，装表计量。从发包人提供的电源至施工用电设备线路的安装由承包人负责实施，安装费、线路购置费,无论承包人是否在投标报价中单独列支，发包人均认为此项费用包含在投标报价中。</w:t>
      </w:r>
    </w:p>
    <w:p w14:paraId="628A663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电力传输线和配电设施必须符合现行关于电力安装、使用及维修的有关规定，承包人对电力传输线和配电设施的设计、安装、维修和管理负责，并确保其安全可靠。视施工需要，若承包人安装临时供电系统，应将临时供电系统的安装和使用期间的一切费用计入投标报价，竣工结算时不再调整。施工用电设计及备用发电机容量应提前提交监理工程师，以便审查和批准。备用应急发电设施应能保证部分施工机械在一段不确定的时间内处于安全和稳定状态，并保证所有现场施工及照明用电。总承包商还必须提供适当和充足的发电机组，负责日常的维护和保养，以保证发电机组能够随时投入运行。在由于总承包商措施不当、管理不力而造成停电，导致工程发生质量、安全事故的，由此造成的一切直接和间接的经济损失将由总承包商承担，且每次承担违约金10000元。</w:t>
      </w:r>
    </w:p>
    <w:p w14:paraId="7133324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临时用水：发包人负责提供总水源接口到施工现场周边，承包人负责接入施工现场，并由本工程承包人装表计量。从水源接口至施工各用水点的管路安装、布置由承包人负责实施，其安装费、管材购置费，无论承包人是否在投标报价中单独列支，发包人均认为此项费用包含在投标报价中。</w:t>
      </w:r>
    </w:p>
    <w:p w14:paraId="3009B46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供水管路及</w:t>
      </w:r>
      <w:r>
        <w:rPr>
          <w:rFonts w:hint="eastAsia" w:ascii="宋体" w:hAnsi="宋体" w:eastAsia="宋体"/>
          <w:bCs/>
          <w:color w:val="0000FF"/>
          <w:szCs w:val="21"/>
          <w:highlight w:val="none"/>
          <w:u w:val="single"/>
          <w:lang w:eastAsia="zh-CN"/>
        </w:rPr>
        <w:t>供水</w:t>
      </w:r>
      <w:r>
        <w:rPr>
          <w:rFonts w:hint="eastAsia" w:ascii="宋体" w:hAnsi="宋体" w:eastAsia="宋体"/>
          <w:bCs/>
          <w:color w:val="0000FF"/>
          <w:szCs w:val="21"/>
          <w:highlight w:val="none"/>
          <w:u w:val="single"/>
        </w:rPr>
        <w:t>设施必须符合现行关于自来水安装、使用及维修的有关规定，承包人对所有供水设施的设计、安装、维修和管理负责，并确保其安全可靠。由于总承包商措施不当、管理不力而造成停水，导致工程发生质量、安全事故的，由此造成的一切直接和间接的经济损失将由总承包商承担，且每次承担违约金10000元。</w:t>
      </w:r>
    </w:p>
    <w:p w14:paraId="5E21B3A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施工过程中发生的水电费用（含线损费）由承包人承担并按月结算，水电费用由承包人自行缴纳。</w:t>
      </w:r>
    </w:p>
    <w:p w14:paraId="3A0675D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当水、电总表与各分表数量不一致时，以总表数值为准，各分表应按比例分担所用水、电数量的差额部分。</w:t>
      </w:r>
    </w:p>
    <w:p w14:paraId="4565A8A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各分包单位的施工用水、用电由总包单位提供，分别挂表计量并按市场价由各分包单位与本工程承包人（总包单位）自行结算。</w:t>
      </w:r>
    </w:p>
    <w:p w14:paraId="593A4F6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发包人要求增加临时用电使用单位或要求承包人给予其他单位临时用电帮助（电费由使用人自理），对此承包人不得拒绝，且不免除本款承包人应承担的责任。电表及以后的管线由使用单位承担和安装，如各分表用量总和与供水、供电部门计量的差额，按照各分表用户的用量比例分摊，结算时不予调整。非发包人原因导致的停电、停水，承包人不得向发包人提出索赔。</w:t>
      </w:r>
    </w:p>
    <w:p w14:paraId="42E7D43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(3)施工场地与公共道路的通道开通时间和要求：以施工现场已有条件为准，具体情况以承包人现场踏勘为准，场外公共道路已开通。</w:t>
      </w:r>
    </w:p>
    <w:p w14:paraId="5977029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红线范围内临时道路、红线范围内临时道路与红线范围外市政道路连接的道路均由总承包商负责，所有费用均应包括在总报价内，今后结算不再调整。</w:t>
      </w:r>
    </w:p>
    <w:p w14:paraId="7414488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(4)工程地质和地下管线资料的提供时间：承包人认为</w:t>
      </w:r>
      <w:r>
        <w:rPr>
          <w:rFonts w:hint="eastAsia" w:ascii="宋体" w:hAnsi="宋体" w:eastAsia="宋体"/>
          <w:bCs/>
          <w:color w:val="0000FF"/>
          <w:szCs w:val="21"/>
          <w:highlight w:val="none"/>
          <w:u w:val="single"/>
          <w:lang w:eastAsia="zh-CN"/>
        </w:rPr>
        <w:t>必需的</w:t>
      </w:r>
      <w:r>
        <w:rPr>
          <w:rFonts w:hint="eastAsia" w:ascii="宋体" w:hAnsi="宋体" w:eastAsia="宋体"/>
          <w:bCs/>
          <w:color w:val="0000FF"/>
          <w:szCs w:val="21"/>
          <w:highlight w:val="none"/>
          <w:u w:val="single"/>
        </w:rPr>
        <w:t>，开工前提前7天要求发包人提供，发包人开工前三天提供；否则由此产生的一切后果由承包人承担。</w:t>
      </w:r>
    </w:p>
    <w:p w14:paraId="7EC103F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(5)由发包人办理的施工所需证件、批件的名称和完成时间：及时办理相关手续及施工许可证。</w:t>
      </w:r>
    </w:p>
    <w:p w14:paraId="438A7176">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(6)水准点与坐标控制点交验要求：开工前由发包人和承包人双方在监理单位见证下现场交验，并以书面形式提供给承包人。</w:t>
      </w:r>
    </w:p>
    <w:p w14:paraId="300CE74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(7)图纸会审和设计交底时间：开工前7日内。</w:t>
      </w:r>
    </w:p>
    <w:p w14:paraId="2CDF394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(8)双方约定发包人应做</w:t>
      </w:r>
      <w:r>
        <w:rPr>
          <w:rFonts w:hint="eastAsia" w:ascii="宋体" w:hAnsi="宋体" w:eastAsia="宋体"/>
          <w:bCs/>
          <w:color w:val="0000FF"/>
          <w:szCs w:val="21"/>
          <w:highlight w:val="none"/>
          <w:u w:val="single"/>
          <w:lang w:eastAsia="zh-CN"/>
        </w:rPr>
        <w:t>的其他工作</w:t>
      </w:r>
      <w:r>
        <w:rPr>
          <w:rFonts w:hint="eastAsia" w:ascii="宋体" w:hAnsi="宋体" w:eastAsia="宋体"/>
          <w:bCs/>
          <w:color w:val="0000FF"/>
          <w:szCs w:val="21"/>
          <w:highlight w:val="none"/>
          <w:u w:val="single"/>
        </w:rPr>
        <w:t>：协商办理。</w:t>
      </w:r>
    </w:p>
    <w:p w14:paraId="7E7DD774">
      <w:pPr>
        <w:adjustRightInd w:val="0"/>
        <w:snapToGrid w:val="0"/>
        <w:spacing w:line="360" w:lineRule="auto"/>
        <w:ind w:firstLine="440" w:firstLineChars="200"/>
        <w:jc w:val="left"/>
        <w:rPr>
          <w:rFonts w:ascii="宋体" w:hAnsi="宋体" w:eastAsia="宋体"/>
          <w:szCs w:val="21"/>
          <w:highlight w:val="none"/>
          <w:u w:val="single"/>
        </w:rPr>
      </w:pPr>
      <w:r>
        <w:rPr>
          <w:rFonts w:hint="eastAsia" w:ascii="宋体" w:hAnsi="宋体" w:eastAsia="宋体"/>
          <w:bCs/>
          <w:color w:val="0000FF"/>
          <w:szCs w:val="21"/>
          <w:highlight w:val="none"/>
          <w:u w:val="single"/>
        </w:rPr>
        <w:t>(9)发包人委托承包人办理的工作：按有关规定协助办理相关手续</w:t>
      </w:r>
      <w:r>
        <w:rPr>
          <w:rFonts w:ascii="宋体" w:hAnsi="宋体" w:eastAsia="宋体"/>
          <w:szCs w:val="21"/>
          <w:highlight w:val="none"/>
        </w:rPr>
        <w:t>。</w:t>
      </w:r>
    </w:p>
    <w:p w14:paraId="7891F421">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2.5资金来源证明及支付担保</w:t>
      </w:r>
    </w:p>
    <w:p w14:paraId="1CE3559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发包人提供资金来源证明的期限要求：</w:t>
      </w:r>
      <w:r>
        <w:rPr>
          <w:rFonts w:hint="eastAsia" w:ascii="宋体" w:hAnsi="宋体" w:eastAsia="宋体"/>
          <w:bCs/>
          <w:color w:val="0000FF"/>
          <w:szCs w:val="21"/>
          <w:highlight w:val="none"/>
          <w:u w:val="single"/>
        </w:rPr>
        <w:t>不提供</w:t>
      </w:r>
      <w:r>
        <w:rPr>
          <w:rFonts w:ascii="宋体" w:hAnsi="宋体" w:eastAsia="宋体"/>
          <w:szCs w:val="21"/>
          <w:highlight w:val="none"/>
        </w:rPr>
        <w:t>。</w:t>
      </w:r>
    </w:p>
    <w:p w14:paraId="37C464D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发包人是否提供支付担保：</w:t>
      </w:r>
      <w:r>
        <w:rPr>
          <w:rFonts w:hint="eastAsia" w:ascii="宋体" w:hAnsi="宋体" w:eastAsia="宋体"/>
          <w:bCs/>
          <w:color w:val="0000FF"/>
          <w:szCs w:val="21"/>
          <w:highlight w:val="none"/>
          <w:u w:val="single"/>
        </w:rPr>
        <w:t>是</w:t>
      </w:r>
      <w:r>
        <w:rPr>
          <w:rFonts w:ascii="宋体" w:hAnsi="宋体" w:eastAsia="宋体"/>
          <w:szCs w:val="21"/>
          <w:highlight w:val="none"/>
        </w:rPr>
        <w:t>。</w:t>
      </w:r>
    </w:p>
    <w:p w14:paraId="5F0F01E1">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发包人提供支付担保的形式：</w:t>
      </w:r>
      <w:r>
        <w:rPr>
          <w:rFonts w:hint="eastAsia" w:ascii="宋体" w:hAnsi="宋体" w:eastAsia="宋体"/>
          <w:bCs/>
          <w:color w:val="0000FF"/>
          <w:szCs w:val="21"/>
          <w:highlight w:val="none"/>
          <w:u w:val="single"/>
        </w:rPr>
        <w:t>银行保函</w:t>
      </w:r>
      <w:r>
        <w:rPr>
          <w:rFonts w:ascii="宋体" w:hAnsi="宋体" w:eastAsia="宋体"/>
          <w:szCs w:val="21"/>
          <w:highlight w:val="none"/>
        </w:rPr>
        <w:t>。</w:t>
      </w:r>
    </w:p>
    <w:p w14:paraId="5A7B5B2A">
      <w:pPr>
        <w:pStyle w:val="7"/>
        <w:adjustRightInd w:val="0"/>
        <w:snapToGrid w:val="0"/>
        <w:spacing w:before="0" w:after="0" w:line="360" w:lineRule="auto"/>
        <w:ind w:firstLine="560" w:firstLineChars="200"/>
        <w:jc w:val="left"/>
        <w:rPr>
          <w:rFonts w:ascii="宋体" w:hAnsi="宋体" w:eastAsia="宋体"/>
          <w:b w:val="0"/>
          <w:highlight w:val="none"/>
        </w:rPr>
      </w:pPr>
      <w:bookmarkStart w:id="76" w:name="_Toc351203635"/>
      <w:r>
        <w:rPr>
          <w:rFonts w:ascii="宋体" w:hAnsi="宋体" w:eastAsia="宋体"/>
          <w:b w:val="0"/>
          <w:highlight w:val="none"/>
        </w:rPr>
        <w:t>3</w:t>
      </w:r>
      <w:bookmarkStart w:id="77" w:name="_Toc297048344"/>
      <w:bookmarkStart w:id="78" w:name="_Toc297120458"/>
      <w:bookmarkStart w:id="79" w:name="_Toc292559868"/>
      <w:bookmarkStart w:id="80" w:name="_Toc296503158"/>
      <w:bookmarkStart w:id="81" w:name="_Toc296944497"/>
      <w:bookmarkStart w:id="82" w:name="_Toc296347157"/>
      <w:bookmarkStart w:id="83" w:name="_Toc296346659"/>
      <w:bookmarkStart w:id="84" w:name="_Toc296890986"/>
      <w:bookmarkStart w:id="85" w:name="_Toc292559363"/>
      <w:bookmarkStart w:id="86" w:name="_Toc296891198"/>
      <w:r>
        <w:rPr>
          <w:rFonts w:ascii="宋体" w:hAnsi="宋体" w:eastAsia="宋体"/>
          <w:b w:val="0"/>
          <w:highlight w:val="none"/>
        </w:rPr>
        <w:t>.承包人</w:t>
      </w:r>
      <w:bookmarkEnd w:id="76"/>
    </w:p>
    <w:bookmarkEnd w:id="77"/>
    <w:bookmarkEnd w:id="78"/>
    <w:bookmarkEnd w:id="79"/>
    <w:bookmarkEnd w:id="80"/>
    <w:bookmarkEnd w:id="81"/>
    <w:bookmarkEnd w:id="82"/>
    <w:bookmarkEnd w:id="83"/>
    <w:bookmarkEnd w:id="84"/>
    <w:bookmarkEnd w:id="85"/>
    <w:bookmarkEnd w:id="86"/>
    <w:p w14:paraId="30B026F8">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3.1承包人的一般义务</w:t>
      </w:r>
    </w:p>
    <w:p w14:paraId="13CF412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（5）</w:t>
      </w:r>
      <w:r>
        <w:rPr>
          <w:rFonts w:ascii="宋体" w:hAnsi="宋体" w:eastAsia="宋体"/>
          <w:szCs w:val="21"/>
          <w:highlight w:val="none"/>
        </w:rPr>
        <w:t>承包人提交的竣工资料的内容：</w:t>
      </w:r>
      <w:r>
        <w:rPr>
          <w:rFonts w:hint="eastAsia" w:ascii="宋体" w:hAnsi="宋体" w:eastAsia="宋体"/>
          <w:bCs/>
          <w:color w:val="0000FF"/>
          <w:szCs w:val="21"/>
          <w:highlight w:val="none"/>
          <w:u w:val="single"/>
        </w:rPr>
        <w:t>承包人应在工程竣工验收合格后28日内提供经监理工程师签字确认的符合城建档案馆和行政质检监督部门以及发包人档案室要求的陆套完整竣工资料（含竣工图纸陆套及竣工图电子档一份，承包人自身需要的不含在内）。否则，每延迟一天，承包人应向发包人支付1000元的违约金。</w:t>
      </w:r>
    </w:p>
    <w:p w14:paraId="127D2846">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本工程属于总承包合同，总承包单位为施工现场安全管理第一责任人，应对施工现场安全生产负总责，必须对施工现场所有分包单位进行安全管理，专业分包单位须服从总承包单位管理，如专业分包单位不服从管理且拒不整改的，总承包单位有权处置</w:t>
      </w:r>
      <w:r>
        <w:rPr>
          <w:rFonts w:ascii="宋体" w:hAnsi="宋体" w:eastAsia="宋体"/>
          <w:szCs w:val="21"/>
          <w:highlight w:val="none"/>
        </w:rPr>
        <w:t>。</w:t>
      </w:r>
    </w:p>
    <w:p w14:paraId="667355F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承包人需要提交的竣工资料套数：</w:t>
      </w:r>
      <w:r>
        <w:rPr>
          <w:rFonts w:hint="eastAsia" w:ascii="宋体" w:hAnsi="宋体" w:eastAsia="宋体"/>
          <w:bCs/>
          <w:color w:val="0000FF"/>
          <w:szCs w:val="21"/>
          <w:highlight w:val="none"/>
          <w:u w:val="single"/>
        </w:rPr>
        <w:t>一式陆套</w:t>
      </w:r>
      <w:r>
        <w:rPr>
          <w:rFonts w:ascii="宋体" w:hAnsi="宋体" w:eastAsia="宋体"/>
          <w:szCs w:val="21"/>
          <w:highlight w:val="none"/>
        </w:rPr>
        <w:t>。</w:t>
      </w:r>
    </w:p>
    <w:p w14:paraId="4535E6D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承包人提交的竣工资料的费用承担：</w:t>
      </w:r>
      <w:r>
        <w:rPr>
          <w:rFonts w:hint="eastAsia" w:ascii="宋体" w:hAnsi="宋体" w:eastAsia="宋体"/>
          <w:bCs/>
          <w:color w:val="0000FF"/>
          <w:szCs w:val="21"/>
          <w:highlight w:val="none"/>
          <w:u w:val="single"/>
        </w:rPr>
        <w:t>由承包人承担</w:t>
      </w:r>
      <w:r>
        <w:rPr>
          <w:rFonts w:ascii="宋体" w:hAnsi="宋体" w:eastAsia="宋体"/>
          <w:szCs w:val="21"/>
          <w:highlight w:val="none"/>
        </w:rPr>
        <w:t>。</w:t>
      </w:r>
    </w:p>
    <w:p w14:paraId="69E7067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承包人提交的竣工资料移交时间：</w:t>
      </w:r>
      <w:r>
        <w:rPr>
          <w:rFonts w:hint="eastAsia" w:ascii="宋体" w:hAnsi="宋体" w:eastAsia="宋体"/>
          <w:bCs/>
          <w:color w:val="0000FF"/>
          <w:szCs w:val="21"/>
          <w:highlight w:val="none"/>
          <w:u w:val="single"/>
        </w:rPr>
        <w:t>工程竣工验收合格后28日内</w:t>
      </w:r>
      <w:r>
        <w:rPr>
          <w:rFonts w:ascii="宋体" w:hAnsi="宋体" w:eastAsia="宋体"/>
          <w:szCs w:val="21"/>
          <w:highlight w:val="none"/>
        </w:rPr>
        <w:t>。</w:t>
      </w:r>
    </w:p>
    <w:p w14:paraId="1569A95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承包人提交的竣工资料形式要求：</w:t>
      </w:r>
      <w:r>
        <w:rPr>
          <w:rFonts w:hint="eastAsia" w:ascii="宋体" w:hAnsi="宋体" w:eastAsia="宋体"/>
          <w:bCs/>
          <w:color w:val="0000FF"/>
          <w:szCs w:val="21"/>
          <w:highlight w:val="none"/>
          <w:u w:val="single"/>
        </w:rPr>
        <w:t>纸质文件及电子光盘</w:t>
      </w:r>
      <w:r>
        <w:rPr>
          <w:rFonts w:ascii="宋体" w:hAnsi="宋体" w:eastAsia="宋体"/>
          <w:szCs w:val="21"/>
          <w:highlight w:val="none"/>
        </w:rPr>
        <w:t>。</w:t>
      </w:r>
    </w:p>
    <w:p w14:paraId="69999E9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（6）承包人应履行的其他义务：</w:t>
      </w:r>
      <w:r>
        <w:rPr>
          <w:rFonts w:hint="eastAsia" w:ascii="宋体" w:hAnsi="宋体" w:eastAsia="宋体"/>
          <w:kern w:val="0"/>
          <w:szCs w:val="21"/>
          <w:highlight w:val="none"/>
          <w:lang w:eastAsia="zh-CN"/>
        </w:rPr>
        <w:t>1)</w:t>
      </w:r>
      <w:r>
        <w:rPr>
          <w:rFonts w:hint="eastAsia" w:ascii="宋体" w:hAnsi="宋体" w:eastAsia="宋体"/>
          <w:bCs/>
          <w:color w:val="0000FF"/>
          <w:szCs w:val="21"/>
          <w:highlight w:val="none"/>
          <w:u w:val="single"/>
        </w:rPr>
        <w:t>发包人在签订本合同后及时提供用于申办本工程备案、手续报批等所需的必要资料，承包人应在发包人提供上述资料后7天内完成各类备案、手续的办理工作，因承包人原因逾期未办妥的而导致工期延误，工期不予顺延。</w:t>
      </w:r>
    </w:p>
    <w:p w14:paraId="322A14C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2)</w:t>
      </w:r>
      <w:r>
        <w:rPr>
          <w:rFonts w:hint="eastAsia" w:ascii="宋体" w:hAnsi="宋体" w:eastAsia="宋体"/>
          <w:bCs/>
          <w:color w:val="0000FF"/>
          <w:szCs w:val="21"/>
          <w:highlight w:val="none"/>
          <w:u w:val="single"/>
        </w:rPr>
        <w:t>承担发包人上级领导检查、视察工地所需的现场准备工作；配合质监、安监等单位的现场检查，并承担由此引起的相关费用。</w:t>
      </w:r>
    </w:p>
    <w:p w14:paraId="670D088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3)</w:t>
      </w:r>
      <w:r>
        <w:rPr>
          <w:rFonts w:hint="eastAsia" w:ascii="宋体" w:hAnsi="宋体" w:eastAsia="宋体"/>
          <w:bCs/>
          <w:color w:val="0000FF"/>
          <w:szCs w:val="21"/>
          <w:highlight w:val="none"/>
          <w:u w:val="single"/>
        </w:rPr>
        <w:t>承包人必须遵守江苏省及南京市相关规定，服从行业主管部门的管理，凡</w:t>
      </w:r>
      <w:r>
        <w:rPr>
          <w:rFonts w:hint="eastAsia" w:ascii="宋体" w:hAnsi="宋体" w:eastAsia="宋体"/>
          <w:bCs/>
          <w:color w:val="0000FF"/>
          <w:szCs w:val="21"/>
          <w:highlight w:val="none"/>
          <w:u w:val="single"/>
          <w:lang w:eastAsia="zh-CN"/>
        </w:rPr>
        <w:t>涉及</w:t>
      </w:r>
      <w:r>
        <w:rPr>
          <w:rFonts w:hint="eastAsia" w:ascii="宋体" w:hAnsi="宋体" w:eastAsia="宋体"/>
          <w:bCs/>
          <w:color w:val="0000FF"/>
          <w:szCs w:val="21"/>
          <w:highlight w:val="none"/>
          <w:u w:val="single"/>
        </w:rPr>
        <w:t>承包人的安全监督、质量监督、施工备案、车辆准运等有关证、照，均由承包人自行办理，发包人给予配合，发生的费用全部由承包人承担，包括但不限于外地施工单位施工备案费用、排污管理费、噪声管理费、垃圾管理费、降尘措施费等。</w:t>
      </w:r>
    </w:p>
    <w:p w14:paraId="577F9AC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4)</w:t>
      </w:r>
      <w:r>
        <w:rPr>
          <w:rFonts w:hint="eastAsia" w:ascii="宋体" w:hAnsi="宋体" w:eastAsia="宋体"/>
          <w:bCs/>
          <w:color w:val="0000FF"/>
          <w:szCs w:val="21"/>
          <w:highlight w:val="none"/>
          <w:u w:val="single"/>
        </w:rPr>
        <w:t>发包人需要时，可能对施工做出某些限制和配合要求，承包人应按照要求做出必要的配合。</w:t>
      </w:r>
    </w:p>
    <w:p w14:paraId="29F3070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5)</w:t>
      </w:r>
      <w:r>
        <w:rPr>
          <w:rFonts w:hint="eastAsia" w:ascii="宋体" w:hAnsi="宋体" w:eastAsia="宋体"/>
          <w:bCs/>
          <w:color w:val="0000FF"/>
          <w:szCs w:val="21"/>
          <w:highlight w:val="none"/>
          <w:u w:val="single"/>
        </w:rPr>
        <w:t>承包人负责工地现场除由承包人自身施工产生的建筑垃圾和生活垃圾清运工作外，还需负责专业分包单位和公共区域的卫生、清洁、垃圾清运等工作；以及本工程全区域的卫生管理与检查。</w:t>
      </w:r>
    </w:p>
    <w:p w14:paraId="7BE3909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6)</w:t>
      </w:r>
      <w:r>
        <w:rPr>
          <w:rFonts w:hint="eastAsia" w:ascii="宋体" w:hAnsi="宋体" w:eastAsia="宋体"/>
          <w:bCs/>
          <w:color w:val="0000FF"/>
          <w:szCs w:val="21"/>
          <w:highlight w:val="none"/>
          <w:u w:val="single"/>
        </w:rPr>
        <w:t>承包人负责管理施工现场内先期建成的设施，工程施工期间如先期建成的设施被盗窃或损坏，均由承包人负责，整修被盗或损坏设施的费用由承包人支付。负责发包人供应的材料设备的保管，同时还应负责由发包人转交给承包人施工、安装的设备、材料等的安全保卫工作，任何遗失、被盗、损坏均由承包人承担赔偿责任。</w:t>
      </w:r>
    </w:p>
    <w:p w14:paraId="7DEB5B9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7)</w:t>
      </w:r>
      <w:r>
        <w:rPr>
          <w:rFonts w:hint="eastAsia" w:ascii="宋体" w:hAnsi="宋体" w:eastAsia="宋体"/>
          <w:bCs/>
          <w:color w:val="0000FF"/>
          <w:szCs w:val="21"/>
          <w:highlight w:val="none"/>
          <w:u w:val="single"/>
        </w:rPr>
        <w:t>承包人应当服从监理工程师、发包人及跟踪审计单位的现场管理和协调工作，合理调动资源，保障工期、质量目标的实现。</w:t>
      </w:r>
    </w:p>
    <w:p w14:paraId="594CD4C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8)</w:t>
      </w:r>
      <w:r>
        <w:rPr>
          <w:rFonts w:hint="eastAsia" w:ascii="宋体" w:hAnsi="宋体" w:eastAsia="宋体"/>
          <w:bCs/>
          <w:color w:val="0000FF"/>
          <w:szCs w:val="21"/>
          <w:highlight w:val="none"/>
          <w:u w:val="single"/>
        </w:rPr>
        <w:t>承包人必须立刻执行发包人派驻的工程师或本合同授权而发出的书面指令。若承包人没有在规定时间之内执行指令，而在收到发包人催促执行的书面通知后3日之内，承包人仍未执行，发包人可另聘和指派他人执行该指示所要求的工作。其他承包人完成此项工作的相关费用从本合同应付或</w:t>
      </w:r>
      <w:r>
        <w:rPr>
          <w:rFonts w:hint="eastAsia" w:ascii="宋体" w:hAnsi="宋体" w:eastAsia="宋体"/>
          <w:bCs/>
          <w:color w:val="0000FF"/>
          <w:szCs w:val="21"/>
          <w:highlight w:val="none"/>
          <w:u w:val="single"/>
          <w:lang w:eastAsia="zh-CN"/>
        </w:rPr>
        <w:t>将</w:t>
      </w:r>
      <w:r>
        <w:rPr>
          <w:rFonts w:hint="eastAsia" w:ascii="宋体" w:hAnsi="宋体" w:eastAsia="宋体"/>
          <w:bCs/>
          <w:color w:val="0000FF"/>
          <w:szCs w:val="21"/>
          <w:highlight w:val="none"/>
          <w:u w:val="single"/>
        </w:rPr>
        <w:t>付给承包人的款项中扣除而无须承包人认可，由此造成发包人额外损失或间接损失的，作为债务向承包人追讨。</w:t>
      </w:r>
    </w:p>
    <w:p w14:paraId="6A25280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9)</w:t>
      </w:r>
      <w:r>
        <w:rPr>
          <w:rFonts w:hint="eastAsia" w:ascii="宋体" w:hAnsi="宋体" w:eastAsia="宋体"/>
          <w:bCs/>
          <w:color w:val="0000FF"/>
          <w:szCs w:val="21"/>
          <w:highlight w:val="none"/>
          <w:u w:val="single"/>
        </w:rPr>
        <w:t>承包人必须签收监理工程师发出的书面资料，如有异议必须在收文之日起3日内书面回复，否则视同认可，若承包人拒绝接收，处以违约金2000元/次。</w:t>
      </w:r>
    </w:p>
    <w:p w14:paraId="59CEA72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10)</w:t>
      </w:r>
      <w:r>
        <w:rPr>
          <w:rFonts w:hint="eastAsia" w:ascii="宋体" w:hAnsi="宋体" w:eastAsia="宋体"/>
          <w:bCs/>
          <w:color w:val="0000FF"/>
          <w:szCs w:val="21"/>
          <w:highlight w:val="none"/>
          <w:u w:val="single"/>
        </w:rPr>
        <w:t>承包人报给监理部的计划、报表、方案等资料，须同步报发包人，但发包人不会越过监理直接给承包人回复。</w:t>
      </w:r>
    </w:p>
    <w:p w14:paraId="6D0E7A7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11)</w:t>
      </w:r>
      <w:r>
        <w:rPr>
          <w:rFonts w:hint="eastAsia" w:ascii="宋体" w:hAnsi="宋体" w:eastAsia="宋体"/>
          <w:bCs/>
          <w:color w:val="0000FF"/>
          <w:szCs w:val="21"/>
          <w:highlight w:val="none"/>
          <w:u w:val="single"/>
        </w:rPr>
        <w:t>所有临时设施由承包人自行承担建设和日常维护及安全文明管理等责任，相关费用由承包人</w:t>
      </w:r>
      <w:r>
        <w:rPr>
          <w:rFonts w:hint="eastAsia" w:ascii="宋体" w:hAnsi="宋体" w:eastAsia="宋体"/>
          <w:bCs/>
          <w:color w:val="0000FF"/>
          <w:szCs w:val="21"/>
          <w:highlight w:val="none"/>
          <w:u w:val="single"/>
          <w:lang w:eastAsia="zh-CN"/>
        </w:rPr>
        <w:t>自行</w:t>
      </w:r>
      <w:r>
        <w:rPr>
          <w:rFonts w:hint="eastAsia" w:ascii="宋体" w:hAnsi="宋体" w:eastAsia="宋体"/>
          <w:bCs/>
          <w:color w:val="0000FF"/>
          <w:szCs w:val="21"/>
          <w:highlight w:val="none"/>
          <w:u w:val="single"/>
        </w:rPr>
        <w:t>承担。</w:t>
      </w:r>
    </w:p>
    <w:p w14:paraId="2295B67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12)</w:t>
      </w:r>
      <w:r>
        <w:rPr>
          <w:rFonts w:hint="eastAsia" w:ascii="宋体" w:hAnsi="宋体" w:eastAsia="宋体"/>
          <w:bCs/>
          <w:color w:val="0000FF"/>
          <w:szCs w:val="21"/>
          <w:highlight w:val="none"/>
          <w:u w:val="single"/>
        </w:rPr>
        <w:t>双方约定承包人应做的其他工作：本标段承包人将作为总承包商（以下称为总承包商）负责整个工程的日常管理和施工配合工作，同时完成以下工作：</w:t>
      </w:r>
    </w:p>
    <w:p w14:paraId="0B715EA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a.发包人对工程变更，承包人应接受并予以施工，所发生的费用经发包人核实后纳入结算。</w:t>
      </w:r>
    </w:p>
    <w:p w14:paraId="7C2FC72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b.工程完工后，承包人应及时清理现场，不得留有任何料具、垃圾、临时设施等，如有</w:t>
      </w:r>
      <w:r>
        <w:rPr>
          <w:rFonts w:hint="eastAsia" w:ascii="宋体" w:hAnsi="宋体" w:eastAsia="宋体"/>
          <w:bCs/>
          <w:color w:val="0000FF"/>
          <w:szCs w:val="21"/>
          <w:highlight w:val="none"/>
          <w:u w:val="single"/>
          <w:lang w:eastAsia="zh-CN"/>
        </w:rPr>
        <w:t>遗留物作</w:t>
      </w:r>
      <w:r>
        <w:rPr>
          <w:rFonts w:hint="eastAsia" w:ascii="宋体" w:hAnsi="宋体" w:eastAsia="宋体"/>
          <w:bCs/>
          <w:color w:val="0000FF"/>
          <w:szCs w:val="21"/>
          <w:highlight w:val="none"/>
          <w:u w:val="single"/>
        </w:rPr>
        <w:t>无主物处理，清理标准应得发包人同意，否则发生再清理费用由承包人承担。造成的损失在承包人工程款中扣除，赔偿给发包人，施工队伍退场及施工中与四邻的关系、施工场地等有关问题应自行解决，费用自理。</w:t>
      </w:r>
    </w:p>
    <w:p w14:paraId="1B5B64C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c.承包人应在发包人要求的时间内配合监理、审计等部门，及时进行工程量核对及确认。</w:t>
      </w:r>
    </w:p>
    <w:p w14:paraId="143747C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d.承包人应能及时处理好突发事件。</w:t>
      </w:r>
    </w:p>
    <w:p w14:paraId="6393854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e.在施工过程中以及工程移交的质量保修期内，由于承包人出现的质量问题、安全事故或其他原因，受到报纸、电视等媒体曝光或政府有关部门的通报，给本工程社会形象造成严重负面影响时，承包人向发包人支付不少于五万元的违约金，并在当期工程款中扣除。</w:t>
      </w:r>
    </w:p>
    <w:p w14:paraId="1EA5A2E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f．承包人应按照政府相关规定，建立健全的雇员工资发放和劳动保障制度。如因雇员工资发放和劳动保障制度不健全而引发的纠纷，发包人有权垫付民工工资，并从工程款中扣除，并处以50万元罚款，且发包人有权终止施工合同。</w:t>
      </w:r>
    </w:p>
    <w:p w14:paraId="780883C7">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g．承包人应配合处理协调扰民和</w:t>
      </w:r>
      <w:r>
        <w:rPr>
          <w:rFonts w:hint="eastAsia" w:ascii="宋体" w:hAnsi="宋体" w:eastAsia="宋体"/>
          <w:bCs/>
          <w:color w:val="0000FF"/>
          <w:szCs w:val="21"/>
          <w:highlight w:val="none"/>
          <w:u w:val="single"/>
          <w:lang w:eastAsia="zh-CN"/>
        </w:rPr>
        <w:t>扰民</w:t>
      </w:r>
      <w:r>
        <w:rPr>
          <w:rFonts w:hint="eastAsia" w:ascii="宋体" w:hAnsi="宋体" w:eastAsia="宋体"/>
          <w:bCs/>
          <w:color w:val="0000FF"/>
          <w:szCs w:val="21"/>
          <w:highlight w:val="none"/>
          <w:u w:val="single"/>
        </w:rPr>
        <w:t>问题。因场地不善引发的一切纠纷由承包人自行解决，发包人不承担任何责任</w:t>
      </w:r>
      <w:r>
        <w:rPr>
          <w:rFonts w:ascii="宋体" w:hAnsi="宋体" w:eastAsia="宋体"/>
          <w:szCs w:val="21"/>
          <w:highlight w:val="none"/>
        </w:rPr>
        <w:t>。</w:t>
      </w:r>
    </w:p>
    <w:p w14:paraId="58B4AE83">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3.2项目负责人</w:t>
      </w:r>
    </w:p>
    <w:p w14:paraId="6982BA0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3.2.1项目负责人：</w:t>
      </w:r>
    </w:p>
    <w:p w14:paraId="2DED2A1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姓名</w:t>
      </w:r>
      <w:r>
        <w:rPr>
          <w:rFonts w:hint="eastAsia" w:ascii="宋体" w:hAnsi="宋体" w:eastAsia="宋体"/>
          <w:szCs w:val="21"/>
          <w:highlight w:val="none"/>
          <w:lang w:eastAsia="zh-CN"/>
        </w:rPr>
        <w:t>：</w:t>
      </w:r>
    </w:p>
    <w:p w14:paraId="0F8663A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身份证号</w:t>
      </w:r>
      <w:r>
        <w:rPr>
          <w:rFonts w:hint="eastAsia" w:ascii="宋体" w:hAnsi="宋体" w:eastAsia="宋体"/>
          <w:szCs w:val="21"/>
          <w:highlight w:val="none"/>
          <w:lang w:eastAsia="zh-CN"/>
        </w:rPr>
        <w:t>：</w:t>
      </w:r>
    </w:p>
    <w:p w14:paraId="43BE52E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建造师执业资格等级</w:t>
      </w:r>
      <w:r>
        <w:rPr>
          <w:rFonts w:hint="eastAsia" w:ascii="宋体" w:hAnsi="宋体" w:eastAsia="宋体"/>
          <w:szCs w:val="21"/>
          <w:highlight w:val="none"/>
          <w:lang w:eastAsia="zh-CN"/>
        </w:rPr>
        <w:t>：</w:t>
      </w:r>
    </w:p>
    <w:p w14:paraId="74D20DA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建造师注册证书号</w:t>
      </w:r>
      <w:r>
        <w:rPr>
          <w:rFonts w:hint="eastAsia" w:ascii="宋体" w:hAnsi="宋体" w:eastAsia="宋体"/>
          <w:szCs w:val="21"/>
          <w:highlight w:val="none"/>
          <w:lang w:eastAsia="zh-CN"/>
        </w:rPr>
        <w:t>：</w:t>
      </w:r>
    </w:p>
    <w:p w14:paraId="7BADC58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建造师执业印章号</w:t>
      </w:r>
      <w:r>
        <w:rPr>
          <w:rFonts w:hint="eastAsia" w:ascii="宋体" w:hAnsi="宋体" w:eastAsia="宋体"/>
          <w:szCs w:val="21"/>
          <w:highlight w:val="none"/>
          <w:lang w:eastAsia="zh-CN"/>
        </w:rPr>
        <w:t>：</w:t>
      </w:r>
    </w:p>
    <w:p w14:paraId="53B6389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安全生产考核合格证书号</w:t>
      </w:r>
      <w:r>
        <w:rPr>
          <w:rFonts w:hint="eastAsia" w:ascii="宋体" w:hAnsi="宋体" w:eastAsia="宋体"/>
          <w:szCs w:val="21"/>
          <w:highlight w:val="none"/>
          <w:lang w:eastAsia="zh-CN"/>
        </w:rPr>
        <w:t>：</w:t>
      </w:r>
    </w:p>
    <w:p w14:paraId="7387B90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联系电话</w:t>
      </w:r>
      <w:r>
        <w:rPr>
          <w:rFonts w:hint="eastAsia" w:ascii="宋体" w:hAnsi="宋体" w:eastAsia="宋体"/>
          <w:szCs w:val="21"/>
          <w:highlight w:val="none"/>
          <w:lang w:eastAsia="zh-CN"/>
        </w:rPr>
        <w:t>：</w:t>
      </w:r>
    </w:p>
    <w:p w14:paraId="22BA68B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电子信箱</w:t>
      </w:r>
      <w:r>
        <w:rPr>
          <w:rFonts w:hint="eastAsia" w:ascii="宋体" w:hAnsi="宋体" w:eastAsia="宋体"/>
          <w:szCs w:val="21"/>
          <w:highlight w:val="none"/>
          <w:lang w:eastAsia="zh-CN"/>
        </w:rPr>
        <w:t>：</w:t>
      </w:r>
    </w:p>
    <w:p w14:paraId="4972700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通信地址</w:t>
      </w:r>
      <w:r>
        <w:rPr>
          <w:rFonts w:hint="eastAsia" w:ascii="宋体" w:hAnsi="宋体" w:eastAsia="宋体"/>
          <w:szCs w:val="21"/>
          <w:highlight w:val="none"/>
          <w:lang w:eastAsia="zh-CN"/>
        </w:rPr>
        <w:t>：</w:t>
      </w:r>
    </w:p>
    <w:p w14:paraId="7FA0F46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承包人对项目负责人的授权范围如下：</w:t>
      </w:r>
      <w:r>
        <w:rPr>
          <w:rFonts w:hint="eastAsia" w:ascii="宋体" w:hAnsi="宋体" w:eastAsia="宋体"/>
          <w:bCs/>
          <w:color w:val="0000FF"/>
          <w:szCs w:val="21"/>
          <w:highlight w:val="none"/>
          <w:u w:val="single"/>
        </w:rPr>
        <w:t>项目经理经承包人授权后代表承包人负责履行合同，负责并协调现场施工。该项目经理必须是投标的项目经理，不得擅自变更</w:t>
      </w:r>
      <w:r>
        <w:rPr>
          <w:rFonts w:ascii="宋体" w:hAnsi="宋体" w:eastAsia="宋体"/>
          <w:szCs w:val="21"/>
          <w:highlight w:val="none"/>
        </w:rPr>
        <w:t>。</w:t>
      </w:r>
    </w:p>
    <w:p w14:paraId="1EB409B6">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关于项目负责人每月在施工现场的时间要求：</w:t>
      </w:r>
      <w:r>
        <w:rPr>
          <w:rFonts w:hint="eastAsia" w:ascii="宋体" w:hAnsi="宋体" w:eastAsia="宋体"/>
          <w:bCs/>
          <w:color w:val="0000FF"/>
          <w:szCs w:val="21"/>
          <w:highlight w:val="none"/>
          <w:u w:val="single"/>
        </w:rPr>
        <w:t>投标文件中明确的项目经理自收到中标通知后需即进驻施工现场，且必须常驻施工现场。自开工之日起到竣工结束，项目经理每周至少6日，每天必须不少于8小时(上午8:00-</w:t>
      </w:r>
      <w:r>
        <w:rPr>
          <w:rFonts w:hint="eastAsia" w:ascii="宋体" w:hAnsi="宋体" w:eastAsia="宋体"/>
          <w:bCs/>
          <w:color w:val="0000FF"/>
          <w:szCs w:val="21"/>
          <w:highlight w:val="none"/>
          <w:u w:val="single"/>
          <w:lang w:eastAsia="zh-CN"/>
        </w:rPr>
        <w:t>16:00</w:t>
      </w:r>
      <w:r>
        <w:rPr>
          <w:rFonts w:hint="eastAsia" w:ascii="宋体" w:hAnsi="宋体" w:eastAsia="宋体"/>
          <w:bCs/>
          <w:color w:val="0000FF"/>
          <w:szCs w:val="21"/>
          <w:highlight w:val="none"/>
          <w:u w:val="single"/>
        </w:rPr>
        <w:t>)在现场组织施工，且必须参加每周召开的工程例会，离开现场需征得监理及现场甲方代表同意，否则发包人有权要求承包人承担2000元/天的违约金。如项目经理未经发包人同意，违反上述规定三次以上，发包人将约见承包人法定代表人，如承包人拒绝，发包人有权解除合同，承包人负责赔偿由此给发包人带来的一切损失</w:t>
      </w:r>
      <w:r>
        <w:rPr>
          <w:rFonts w:ascii="宋体" w:hAnsi="宋体" w:eastAsia="宋体"/>
          <w:szCs w:val="21"/>
          <w:highlight w:val="none"/>
        </w:rPr>
        <w:t>。</w:t>
      </w:r>
    </w:p>
    <w:p w14:paraId="2A90CC06">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承包人未提交劳动合同，以及没有为项目负责人缴纳社会保险证明的违约责任：</w:t>
      </w:r>
      <w:r>
        <w:rPr>
          <w:rFonts w:hint="eastAsia" w:ascii="宋体" w:hAnsi="宋体" w:eastAsia="宋体"/>
          <w:bCs/>
          <w:color w:val="0000FF"/>
          <w:szCs w:val="21"/>
          <w:highlight w:val="none"/>
          <w:u w:val="single"/>
        </w:rPr>
        <w:t>发包人有权解除合同，承包人负责赔偿由此给发包人带来的一切损失</w:t>
      </w:r>
      <w:r>
        <w:rPr>
          <w:rFonts w:ascii="宋体" w:hAnsi="宋体" w:eastAsia="宋体"/>
          <w:szCs w:val="21"/>
          <w:highlight w:val="none"/>
        </w:rPr>
        <w:t>。</w:t>
      </w:r>
    </w:p>
    <w:p w14:paraId="70F79A75">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kern w:val="0"/>
          <w:szCs w:val="21"/>
          <w:highlight w:val="none"/>
        </w:rPr>
        <w:t>项目负责人未经批准，擅自离开施工现场的违约责任：</w:t>
      </w:r>
      <w:r>
        <w:rPr>
          <w:rFonts w:hint="eastAsia" w:ascii="宋体" w:hAnsi="宋体" w:eastAsia="宋体"/>
          <w:bCs/>
          <w:color w:val="0000FF"/>
          <w:szCs w:val="21"/>
          <w:highlight w:val="none"/>
          <w:u w:val="single"/>
        </w:rPr>
        <w:t>如项目经理未经发包人同意违反上述规定，每缺席一日或缺席一次例会支付违约金2000元整。如一周</w:t>
      </w:r>
      <w:r>
        <w:rPr>
          <w:rFonts w:hint="eastAsia" w:ascii="宋体" w:hAnsi="宋体" w:eastAsia="宋体"/>
          <w:bCs/>
          <w:color w:val="0000FF"/>
          <w:szCs w:val="21"/>
          <w:highlight w:val="none"/>
          <w:u w:val="single"/>
          <w:lang w:eastAsia="zh-CN"/>
        </w:rPr>
        <w:t>有两个</w:t>
      </w:r>
      <w:r>
        <w:rPr>
          <w:rFonts w:hint="eastAsia" w:ascii="宋体" w:hAnsi="宋体" w:eastAsia="宋体"/>
          <w:bCs/>
          <w:color w:val="0000FF"/>
          <w:szCs w:val="21"/>
          <w:highlight w:val="none"/>
          <w:u w:val="single"/>
        </w:rPr>
        <w:t>工作日或二个月累计10天不在现场或二个月缺席例会三次，为严重违约，发包人有权解除合同，并将承包人清退出场，解除合同的同时不免除承包人应当承担的上述违约责任，承包人负责赔偿由此给发包人带来的一切损失</w:t>
      </w:r>
      <w:r>
        <w:rPr>
          <w:rFonts w:ascii="宋体" w:hAnsi="宋体" w:eastAsia="宋体"/>
          <w:szCs w:val="21"/>
          <w:highlight w:val="none"/>
        </w:rPr>
        <w:t>。</w:t>
      </w:r>
    </w:p>
    <w:p w14:paraId="0289B23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3.2.3承包人擅自更换项目负责人的违约责任：</w:t>
      </w:r>
      <w:r>
        <w:rPr>
          <w:rFonts w:hint="eastAsia" w:ascii="宋体" w:hAnsi="宋体" w:eastAsia="宋体"/>
          <w:bCs/>
          <w:color w:val="0000FF"/>
          <w:szCs w:val="21"/>
          <w:highlight w:val="none"/>
          <w:u w:val="single"/>
        </w:rPr>
        <w:t>投标文件中明确的项目经理，未经发包人许可不得擅自变更。若出现更换情况，发包人有权解除合同并责令承包人退场，并有权追回已经支付的款项，同时承包人向发包人支付违约金10万元，并报招标投标管理处备案。（按照苏建规字</w:t>
      </w:r>
      <w:r>
        <w:rPr>
          <w:rFonts w:hint="eastAsia" w:ascii="宋体" w:hAnsi="宋体" w:eastAsia="宋体"/>
          <w:bCs/>
          <w:color w:val="0000FF"/>
          <w:szCs w:val="21"/>
          <w:highlight w:val="none"/>
          <w:u w:val="single"/>
          <w:lang w:eastAsia="zh-CN"/>
        </w:rPr>
        <w:t>〔2017〕1号</w:t>
      </w:r>
      <w:r>
        <w:rPr>
          <w:rFonts w:hint="eastAsia" w:ascii="宋体" w:hAnsi="宋体" w:eastAsia="宋体"/>
          <w:bCs/>
          <w:color w:val="0000FF"/>
          <w:szCs w:val="21"/>
          <w:highlight w:val="none"/>
          <w:u w:val="single"/>
        </w:rPr>
        <w:t>文规定，自备案之日起至原合同工期期满之日止，原中标项目经理不得作为项目负责人承接其他工程，如备案之日至原合同工期期满之日不足六个月，则限制其承接工程的期限为六个月。发包人有权按照规定监督原中标项目经理的行业行为并向建设行政主管部门报告）</w:t>
      </w:r>
    </w:p>
    <w:p w14:paraId="0637BCEF">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如果因苏建招</w:t>
      </w:r>
      <w:r>
        <w:rPr>
          <w:rFonts w:hint="eastAsia" w:ascii="宋体" w:hAnsi="宋体" w:eastAsia="宋体"/>
          <w:bCs/>
          <w:color w:val="0000FF"/>
          <w:szCs w:val="21"/>
          <w:highlight w:val="none"/>
          <w:u w:val="single"/>
          <w:lang w:eastAsia="zh-CN"/>
        </w:rPr>
        <w:t>〔2005〕580号</w:t>
      </w:r>
      <w:r>
        <w:rPr>
          <w:rFonts w:hint="eastAsia" w:ascii="宋体" w:hAnsi="宋体" w:eastAsia="宋体"/>
          <w:bCs/>
          <w:color w:val="0000FF"/>
          <w:szCs w:val="21"/>
          <w:highlight w:val="none"/>
          <w:u w:val="single"/>
        </w:rPr>
        <w:t>文中规定的客观原因更换项目经理，必须得到发包人的批准，并到招投标监管部门备案。更换的项目经理必须是本企业正式员工（出具半年以上本企业的劳保统筹</w:t>
      </w:r>
      <w:r>
        <w:rPr>
          <w:rFonts w:hint="eastAsia" w:ascii="宋体" w:hAnsi="宋体" w:eastAsia="宋体"/>
          <w:bCs/>
          <w:color w:val="0000FF"/>
          <w:szCs w:val="21"/>
          <w:highlight w:val="none"/>
          <w:u w:val="single"/>
          <w:lang w:eastAsia="zh-CN"/>
        </w:rPr>
        <w:t>缴费</w:t>
      </w:r>
      <w:r>
        <w:rPr>
          <w:rFonts w:hint="eastAsia" w:ascii="宋体" w:hAnsi="宋体" w:eastAsia="宋体"/>
          <w:bCs/>
          <w:color w:val="0000FF"/>
          <w:szCs w:val="21"/>
          <w:highlight w:val="none"/>
          <w:u w:val="single"/>
        </w:rPr>
        <w:t>证明原件和劳动合同原件），并且满足本工程招标文件对于投标项目经理的要求如资质、业绩等，否则不予更换</w:t>
      </w:r>
      <w:r>
        <w:rPr>
          <w:rFonts w:ascii="宋体" w:hAnsi="宋体" w:eastAsia="宋体"/>
          <w:szCs w:val="21"/>
          <w:highlight w:val="none"/>
        </w:rPr>
        <w:t>。</w:t>
      </w:r>
    </w:p>
    <w:p w14:paraId="19A7683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3.2.4承包人无正当理由拒绝更换项目负责人的违约责任：</w:t>
      </w:r>
      <w:r>
        <w:rPr>
          <w:rFonts w:hint="eastAsia" w:ascii="宋体" w:hAnsi="宋体" w:eastAsia="宋体"/>
          <w:bCs/>
          <w:color w:val="0000FF"/>
          <w:szCs w:val="21"/>
          <w:highlight w:val="none"/>
          <w:u w:val="single"/>
        </w:rPr>
        <w:t>如发包人认为项目经理不能胜任，有权利要求承包人更换项目经理，承包人无正当理由不得拒绝，否则发包人有权解除合同，并追回已经支付的款项，同时承包人向发包人支付违约金10万元并负责赔偿由此给发包人带来的一切损失，最高金额不超过合同价款的5%</w:t>
      </w:r>
      <w:r>
        <w:rPr>
          <w:rFonts w:ascii="宋体" w:hAnsi="宋体" w:eastAsia="宋体"/>
          <w:szCs w:val="21"/>
          <w:highlight w:val="none"/>
        </w:rPr>
        <w:t>。</w:t>
      </w:r>
    </w:p>
    <w:p w14:paraId="0F380B1A">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3.3承包人人员</w:t>
      </w:r>
    </w:p>
    <w:p w14:paraId="5980D60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3.3.1承包人提交项目管理机构及施工现场管理人员安排报告的期限：</w:t>
      </w:r>
      <w:r>
        <w:rPr>
          <w:rFonts w:hint="eastAsia" w:ascii="宋体" w:hAnsi="宋体" w:eastAsia="宋体"/>
          <w:bCs/>
          <w:color w:val="0000FF"/>
          <w:szCs w:val="21"/>
          <w:highlight w:val="none"/>
          <w:u w:val="single"/>
        </w:rPr>
        <w:t>开工前15天(1)本工程要求进场的项目组主要施工管理成员必须为投标时所报的项目组成员，且在工程项目</w:t>
      </w:r>
      <w:r>
        <w:rPr>
          <w:rFonts w:hint="eastAsia" w:ascii="宋体" w:hAnsi="宋体" w:eastAsia="宋体"/>
          <w:bCs/>
          <w:color w:val="0000FF"/>
          <w:szCs w:val="21"/>
          <w:highlight w:val="none"/>
          <w:u w:val="single"/>
          <w:lang w:eastAsia="zh-CN"/>
        </w:rPr>
        <w:t>尚未</w:t>
      </w:r>
      <w:r>
        <w:rPr>
          <w:rFonts w:hint="eastAsia" w:ascii="宋体" w:hAnsi="宋体" w:eastAsia="宋体"/>
          <w:bCs/>
          <w:color w:val="0000FF"/>
          <w:szCs w:val="21"/>
          <w:highlight w:val="none"/>
          <w:u w:val="single"/>
        </w:rPr>
        <w:t>竣工交付使用前不得更换。除项目经理外，项目管理机构组成至少还须包括技术负责人、专职质检员、施工员、专职安全员、材料员、预算员等，其中技术负责人、专职质检员、施工员、专职安全员不得兼任且须</w:t>
      </w:r>
      <w:r>
        <w:rPr>
          <w:rFonts w:hint="eastAsia" w:ascii="宋体" w:hAnsi="宋体" w:eastAsia="宋体"/>
          <w:bCs/>
          <w:color w:val="0000FF"/>
          <w:szCs w:val="21"/>
          <w:highlight w:val="none"/>
          <w:u w:val="single"/>
          <w:lang w:eastAsia="zh-CN"/>
        </w:rPr>
        <w:t>常驻</w:t>
      </w:r>
      <w:r>
        <w:rPr>
          <w:rFonts w:hint="eastAsia" w:ascii="宋体" w:hAnsi="宋体" w:eastAsia="宋体"/>
          <w:bCs/>
          <w:color w:val="0000FF"/>
          <w:szCs w:val="21"/>
          <w:highlight w:val="none"/>
          <w:u w:val="single"/>
        </w:rPr>
        <w:t>现场，必须具有上岗证且是本企业的正式员工，签订合同时必须出具与企业签订的劳动合同原件和近半年的社保原件。技术负责人、专职质检员、施工员、专职安全员等主要管理人员每周不少于6天，每天不少于8小时在岗处理事务，否则承包人按1000元/人/天．次向发包人支付违约金，违约金在支付工程进度款时直接扣除。(2)如果因客观原因更换上述主要管理人员，必须向监理提出申请，监理审核后，报发包人批准方能更换。更换的管理人员必须是本企业正式员工（须提供劳动合同原件），并且与原岗位的管理人员具有同等条件，如资质、业绩等。(3)发包人有权要求承包人调离不称职或发包人认为其雇用是不恰当的人员，未有发包人书面准许，不可再用此人。(4)承包人主要驻工地管理人员名单及联系方式：技术负责人</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施工员</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安全员</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专职预算员</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资料员</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质检员</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材料员</w:t>
      </w:r>
      <w:r>
        <w:rPr>
          <w:rFonts w:hint="eastAsia" w:ascii="宋体" w:hAnsi="宋体" w:eastAsia="宋体"/>
          <w:bCs/>
          <w:color w:val="0000FF"/>
          <w:szCs w:val="21"/>
          <w:highlight w:val="none"/>
          <w:u w:val="single"/>
          <w:lang w:eastAsia="zh-CN"/>
        </w:rPr>
        <w:t>：</w:t>
      </w:r>
    </w:p>
    <w:p w14:paraId="5BF53B9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3.3.3承包人无正当理由拒绝撤换主要施工管理人员的违约责任：</w:t>
      </w:r>
      <w:r>
        <w:rPr>
          <w:rFonts w:hint="eastAsia" w:ascii="宋体" w:hAnsi="宋体" w:eastAsia="宋体"/>
          <w:bCs/>
          <w:color w:val="0000FF"/>
          <w:szCs w:val="21"/>
          <w:highlight w:val="none"/>
          <w:u w:val="single"/>
        </w:rPr>
        <w:t>承包人以下人员，经发包人提出后，必须在24小时内调离本工程范围，否则向发包人每天每人次支付人民币1000元违约金；同时，承包人应在3天内用发包人批准的合格的人员代替上述调离的任何人员。A.发包人有证据确认无法胜任工作者，包括：对分部分项工程施工进度及施工质量达不到合同要求负有责任的施工人员、不熟悉本专业工作的施工人员等；B.不能积极配合监理及发包人正常工作者；C.违反发包人或承包人工地现场管理规定者；D.无证上岗者（适用于按规定必须有上岗证）；E.与本合同规定名册不符者；F.与本工程施工无关的人员</w:t>
      </w:r>
      <w:r>
        <w:rPr>
          <w:rFonts w:ascii="宋体" w:hAnsi="宋体" w:eastAsia="宋体"/>
          <w:szCs w:val="21"/>
          <w:highlight w:val="none"/>
        </w:rPr>
        <w:t>。</w:t>
      </w:r>
    </w:p>
    <w:p w14:paraId="03CE5E72">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3.3.4承包人主要施工管理人员离开施工现场的批准要求：</w:t>
      </w:r>
      <w:r>
        <w:rPr>
          <w:rFonts w:hint="eastAsia" w:ascii="宋体" w:hAnsi="宋体" w:eastAsia="宋体"/>
          <w:bCs/>
          <w:color w:val="0000FF"/>
          <w:szCs w:val="21"/>
          <w:highlight w:val="none"/>
          <w:u w:val="single"/>
        </w:rPr>
        <w:t>如承包人主要施工管理人员有特殊原因不能保证上述在岗时间的或正常在岗时间离开工地现场的，必须以书面请假条形式报监理审核后，报发包人批准。否则承包人按1000元/人．次向发包人支付违约金，违约金在支付工程进度款时直接扣除</w:t>
      </w:r>
      <w:r>
        <w:rPr>
          <w:rFonts w:ascii="宋体" w:hAnsi="宋体" w:eastAsia="宋体"/>
          <w:szCs w:val="21"/>
          <w:highlight w:val="none"/>
        </w:rPr>
        <w:t>。</w:t>
      </w:r>
    </w:p>
    <w:p w14:paraId="0476832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3.3.5承包人擅自更换主要施工管理人员的违约责任：</w:t>
      </w:r>
      <w:r>
        <w:rPr>
          <w:rFonts w:hint="eastAsia" w:ascii="宋体" w:hAnsi="宋体" w:eastAsia="宋体"/>
          <w:bCs/>
          <w:color w:val="0000FF"/>
          <w:szCs w:val="21"/>
          <w:highlight w:val="none"/>
          <w:u w:val="single"/>
        </w:rPr>
        <w:t>发包人有权要求承包人承担10000元/人/次的违约金，违约金在支付工程进度款时直接扣除</w:t>
      </w:r>
      <w:r>
        <w:rPr>
          <w:rFonts w:ascii="宋体" w:hAnsi="宋体" w:eastAsia="宋体"/>
          <w:szCs w:val="21"/>
          <w:highlight w:val="none"/>
        </w:rPr>
        <w:t>。</w:t>
      </w:r>
    </w:p>
    <w:p w14:paraId="5E08348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承包人主要施工管理人员擅自离开施工现场的违约责任：</w:t>
      </w:r>
      <w:r>
        <w:rPr>
          <w:rFonts w:hint="eastAsia" w:ascii="宋体" w:hAnsi="宋体" w:eastAsia="宋体"/>
          <w:bCs/>
          <w:color w:val="0000FF"/>
          <w:szCs w:val="21"/>
          <w:highlight w:val="none"/>
          <w:u w:val="single"/>
        </w:rPr>
        <w:t>发包人有权要求承包人承担1000元/人/次的违约金，违约金在支付工程进度款时直接扣除</w:t>
      </w:r>
      <w:r>
        <w:rPr>
          <w:rFonts w:ascii="宋体" w:hAnsi="宋体" w:eastAsia="宋体"/>
          <w:szCs w:val="21"/>
          <w:highlight w:val="none"/>
        </w:rPr>
        <w:t>。</w:t>
      </w:r>
    </w:p>
    <w:p w14:paraId="5418E8AF">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3</w:t>
      </w:r>
      <w:bookmarkStart w:id="87" w:name="_Toc300934945"/>
      <w:bookmarkStart w:id="88" w:name="_Toc297048345"/>
      <w:bookmarkStart w:id="89" w:name="_Toc296347158"/>
      <w:bookmarkStart w:id="90" w:name="_Toc292559364"/>
      <w:bookmarkStart w:id="91" w:name="_Toc297120459"/>
      <w:bookmarkStart w:id="92" w:name="_Toc297123492"/>
      <w:bookmarkStart w:id="93" w:name="_Toc296944498"/>
      <w:bookmarkStart w:id="94" w:name="_Toc292559869"/>
      <w:bookmarkStart w:id="95" w:name="_Toc304295523"/>
      <w:bookmarkStart w:id="96" w:name="_Toc312677988"/>
      <w:bookmarkStart w:id="97" w:name="_Toc296890987"/>
      <w:bookmarkStart w:id="98" w:name="_Toc303539102"/>
      <w:bookmarkStart w:id="99" w:name="_Toc296891199"/>
      <w:bookmarkStart w:id="100" w:name="_Toc297216151"/>
      <w:bookmarkStart w:id="101" w:name="_Toc296346660"/>
      <w:bookmarkStart w:id="102" w:name="_Toc296503159"/>
      <w:r>
        <w:rPr>
          <w:rFonts w:ascii="宋体" w:hAnsi="宋体" w:eastAsia="宋体"/>
          <w:sz w:val="24"/>
          <w:szCs w:val="24"/>
          <w:highlight w:val="none"/>
        </w:rPr>
        <w:t>.5分包</w:t>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44DB29F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w:t>
      </w:r>
      <w:bookmarkStart w:id="103" w:name="_Toc300934946"/>
      <w:bookmarkStart w:id="104" w:name="_Toc297120460"/>
      <w:bookmarkStart w:id="105" w:name="_Toc292559870"/>
      <w:bookmarkStart w:id="106" w:name="_Toc296503160"/>
      <w:bookmarkStart w:id="107" w:name="_Toc297048346"/>
      <w:bookmarkStart w:id="108" w:name="_Toc296891200"/>
      <w:bookmarkStart w:id="109" w:name="_Toc296944499"/>
      <w:bookmarkStart w:id="110" w:name="_Toc292559365"/>
      <w:bookmarkStart w:id="111" w:name="_Toc304295524"/>
      <w:bookmarkStart w:id="112" w:name="_Toc296347159"/>
      <w:bookmarkStart w:id="113" w:name="_Toc296346661"/>
      <w:bookmarkStart w:id="114" w:name="_Toc296890988"/>
      <w:bookmarkStart w:id="115" w:name="_Toc297123493"/>
      <w:bookmarkStart w:id="116" w:name="_Toc303539103"/>
      <w:bookmarkStart w:id="117" w:name="_Toc297216152"/>
      <w:bookmarkStart w:id="118" w:name="_Toc312677989"/>
      <w:bookmarkStart w:id="119" w:name="_Toc318581158"/>
      <w:r>
        <w:rPr>
          <w:rFonts w:ascii="宋体" w:hAnsi="宋体" w:eastAsia="宋体"/>
          <w:szCs w:val="21"/>
          <w:highlight w:val="none"/>
        </w:rPr>
        <w:t>.5.1分包的一般约定</w:t>
      </w:r>
    </w:p>
    <w:p w14:paraId="47B25BE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禁止分包的工程包括：</w:t>
      </w:r>
      <w:r>
        <w:rPr>
          <w:rFonts w:hint="eastAsia" w:ascii="宋体" w:hAnsi="宋体" w:eastAsia="宋体"/>
          <w:bCs/>
          <w:color w:val="0000FF"/>
          <w:szCs w:val="21"/>
          <w:highlight w:val="none"/>
          <w:u w:val="single"/>
        </w:rPr>
        <w:t>本工程承包内容及范围内的工程应由承包人自行完成，主体部分及关键性工作严禁擅自转包或分包，若发现擅自转包或分包，发包人有权要求承包人退场，一切损失和后果均由承包人承担，并视情况向建设行政主管部门报告，同时由承包人向发包人支付违约金20万元，并负责赔偿由此给发包人带来的一切损失</w:t>
      </w:r>
      <w:r>
        <w:rPr>
          <w:rFonts w:ascii="宋体" w:hAnsi="宋体" w:eastAsia="宋体"/>
          <w:szCs w:val="21"/>
          <w:highlight w:val="none"/>
        </w:rPr>
        <w:t>。</w:t>
      </w:r>
    </w:p>
    <w:p w14:paraId="10244DB8">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主体结构、关键性工作的范围：</w:t>
      </w:r>
      <w:r>
        <w:rPr>
          <w:rFonts w:hint="eastAsia" w:ascii="宋体" w:hAnsi="宋体" w:eastAsia="宋体"/>
          <w:bCs/>
          <w:color w:val="0000FF"/>
          <w:szCs w:val="21"/>
          <w:highlight w:val="none"/>
          <w:u w:val="single"/>
        </w:rPr>
        <w:t>无</w:t>
      </w:r>
      <w:r>
        <w:rPr>
          <w:rFonts w:ascii="宋体" w:hAnsi="宋体" w:eastAsia="宋体"/>
          <w:szCs w:val="21"/>
          <w:highlight w:val="none"/>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20" w:name="_Toc297048347"/>
      <w:bookmarkStart w:id="121" w:name="_Toc296944500"/>
      <w:bookmarkStart w:id="122" w:name="_Toc296891201"/>
      <w:bookmarkStart w:id="123" w:name="_Toc303539104"/>
      <w:bookmarkStart w:id="124" w:name="_Toc296347160"/>
      <w:bookmarkStart w:id="125" w:name="_Toc296346662"/>
      <w:bookmarkStart w:id="126" w:name="_Toc296503161"/>
      <w:bookmarkStart w:id="127" w:name="_Toc296890989"/>
      <w:bookmarkStart w:id="128" w:name="_Toc300934947"/>
      <w:bookmarkStart w:id="129" w:name="_Toc297120461"/>
      <w:bookmarkStart w:id="130" w:name="_Toc297216153"/>
      <w:bookmarkStart w:id="131" w:name="_Toc304295525"/>
      <w:bookmarkStart w:id="132" w:name="_Toc297123494"/>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132E45A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w:t>
      </w:r>
      <w:bookmarkStart w:id="133" w:name="_Toc312677990"/>
      <w:bookmarkStart w:id="134" w:name="_Toc318581159"/>
      <w:r>
        <w:rPr>
          <w:rFonts w:ascii="宋体" w:hAnsi="宋体" w:eastAsia="宋体"/>
          <w:szCs w:val="21"/>
          <w:highlight w:val="none"/>
        </w:rPr>
        <w:t>.5.2分包的确定</w:t>
      </w:r>
    </w:p>
    <w:p w14:paraId="75F39716">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允许分包的专业工程包括</w:t>
      </w:r>
      <w:r>
        <w:rPr>
          <w:rFonts w:hint="eastAsia" w:ascii="宋体" w:hAnsi="宋体" w:eastAsia="宋体"/>
          <w:szCs w:val="21"/>
          <w:highlight w:val="none"/>
          <w:lang w:eastAsia="zh-CN"/>
        </w:rPr>
        <w:t>：</w:t>
      </w:r>
    </w:p>
    <w:p w14:paraId="068B28D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其他关于分包的约定：</w:t>
      </w:r>
      <w:r>
        <w:rPr>
          <w:rFonts w:hint="eastAsia" w:ascii="宋体" w:hAnsi="宋体" w:eastAsia="宋体"/>
          <w:bCs/>
          <w:color w:val="0000FF"/>
          <w:szCs w:val="21"/>
          <w:highlight w:val="none"/>
          <w:u w:val="single"/>
        </w:rPr>
        <w:t>除主体结构、关键性工作外的专业工程</w:t>
      </w:r>
      <w:r>
        <w:rPr>
          <w:rFonts w:ascii="宋体" w:hAnsi="宋体" w:eastAsia="宋体"/>
          <w:szCs w:val="21"/>
          <w:highlight w:val="none"/>
        </w:rPr>
        <w:t>。</w:t>
      </w:r>
    </w:p>
    <w:p w14:paraId="6E662EB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3.5.4分包合同价款</w:t>
      </w:r>
    </w:p>
    <w:p w14:paraId="5CADFDD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关于分包合同价款支付的约定</w:t>
      </w:r>
      <w:r>
        <w:rPr>
          <w:rFonts w:hint="eastAsia" w:ascii="宋体" w:hAnsi="宋体" w:eastAsia="宋体"/>
          <w:szCs w:val="21"/>
          <w:highlight w:val="none"/>
          <w:lang w:eastAsia="zh-CN"/>
        </w:rPr>
        <w:t>：</w:t>
      </w:r>
    </w:p>
    <w:bookmarkEnd w:id="133"/>
    <w:bookmarkEnd w:id="134"/>
    <w:p w14:paraId="165081A2">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3.6工程照管与成品、半成品保护</w:t>
      </w:r>
    </w:p>
    <w:p w14:paraId="519BA848">
      <w:pPr>
        <w:adjustRightInd w:val="0"/>
        <w:snapToGrid w:val="0"/>
        <w:spacing w:line="360" w:lineRule="auto"/>
        <w:ind w:firstLine="440" w:firstLineChars="200"/>
        <w:jc w:val="left"/>
        <w:rPr>
          <w:rFonts w:ascii="宋体" w:hAnsi="宋体" w:eastAsia="宋体"/>
          <w:kern w:val="0"/>
          <w:szCs w:val="21"/>
          <w:highlight w:val="none"/>
          <w:u w:val="single"/>
        </w:rPr>
      </w:pPr>
      <w:r>
        <w:rPr>
          <w:rFonts w:ascii="宋体" w:hAnsi="宋体" w:eastAsia="宋体"/>
          <w:kern w:val="0"/>
          <w:szCs w:val="21"/>
          <w:highlight w:val="none"/>
        </w:rPr>
        <w:t>承包人负责照管工程及工程相关的材料、工程设备的起始时间：</w:t>
      </w:r>
      <w:r>
        <w:rPr>
          <w:rFonts w:hint="eastAsia" w:ascii="宋体" w:hAnsi="宋体" w:eastAsia="宋体"/>
          <w:bCs/>
          <w:color w:val="0000FF"/>
          <w:szCs w:val="21"/>
          <w:highlight w:val="none"/>
          <w:u w:val="single"/>
        </w:rPr>
        <w:t>承包人后一道工序必须对发包人另行专业发包工程的前一道工序的成品进行有效保护，并对下一道的分包工序做好明确的移交工作，因该移交工作不清，造成的责任由承包人承担。如果承包人后一道工序对发包人另行专业发包工程的前一道工序的成品造成污染、损坏，经发包人和监理确认后，由承包人按照发包人的要求，在规定时间内进行清（处）理或赔偿。承包人应负责采取有效措施对本工程的成品、半成品、材料、施工机械、工器具、周边建筑物和构筑物进行保护，保护费用由承包人支付。对于未正式移交发包人的已完工程，承包人应负责成品保护工作，期间如发生损坏或丢失，承包人负责修复或赔偿</w:t>
      </w:r>
      <w:r>
        <w:rPr>
          <w:rFonts w:ascii="宋体" w:hAnsi="宋体" w:eastAsia="宋体"/>
          <w:kern w:val="0"/>
          <w:szCs w:val="21"/>
          <w:highlight w:val="none"/>
        </w:rPr>
        <w:t>。</w:t>
      </w:r>
    </w:p>
    <w:p w14:paraId="3175584F">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3.7履约担保</w:t>
      </w:r>
    </w:p>
    <w:p w14:paraId="470DE60A">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承包人是否提供履约担保：</w:t>
      </w:r>
      <w:r>
        <w:rPr>
          <w:rFonts w:hint="eastAsia" w:ascii="宋体" w:hAnsi="宋体" w:eastAsia="宋体"/>
          <w:bCs/>
          <w:color w:val="0000FF"/>
          <w:szCs w:val="21"/>
          <w:highlight w:val="none"/>
          <w:u w:val="single"/>
        </w:rPr>
        <w:t>是</w:t>
      </w:r>
      <w:r>
        <w:rPr>
          <w:rFonts w:ascii="宋体" w:hAnsi="宋体" w:eastAsia="宋体"/>
          <w:szCs w:val="21"/>
          <w:highlight w:val="none"/>
        </w:rPr>
        <w:t>。</w:t>
      </w:r>
    </w:p>
    <w:p w14:paraId="7ACF4E1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承包人提供履约担保的形式</w:t>
      </w:r>
      <w:r>
        <w:rPr>
          <w:rFonts w:hint="eastAsia" w:ascii="宋体" w:hAnsi="宋体" w:eastAsia="宋体"/>
          <w:szCs w:val="21"/>
          <w:highlight w:val="none"/>
        </w:rPr>
        <w:t>、金额及期限的</w:t>
      </w:r>
      <w:r>
        <w:rPr>
          <w:rFonts w:ascii="宋体" w:hAnsi="宋体" w:eastAsia="宋体"/>
          <w:szCs w:val="21"/>
          <w:highlight w:val="none"/>
        </w:rPr>
        <w:t>：</w:t>
      </w:r>
      <w:r>
        <w:rPr>
          <w:rFonts w:hint="eastAsia" w:ascii="宋体" w:hAnsi="宋体" w:eastAsia="宋体"/>
          <w:bCs/>
          <w:color w:val="0000FF"/>
          <w:szCs w:val="21"/>
          <w:highlight w:val="none"/>
          <w:u w:val="single"/>
        </w:rPr>
        <w:t>银行汇票、转账支票（到户）、电汇、银行保函（出具保函的银行必须是国有商业银行或股份制商业银行的分行或以上银行且保函项下的保证形式为：见索即付）</w:t>
      </w:r>
      <w:r>
        <w:rPr>
          <w:rFonts w:hint="eastAsia" w:ascii="宋体" w:hAnsi="宋体" w:eastAsia="宋体"/>
          <w:bCs/>
          <w:color w:val="0000FF"/>
          <w:szCs w:val="21"/>
          <w:highlight w:val="none"/>
          <w:u w:val="single"/>
          <w:lang w:val="en-US" w:eastAsia="zh-CN"/>
        </w:rPr>
        <w:t>、其他书面形式</w:t>
      </w:r>
      <w:r>
        <w:rPr>
          <w:rFonts w:hint="eastAsia" w:ascii="宋体" w:hAnsi="宋体" w:eastAsia="宋体"/>
          <w:bCs/>
          <w:color w:val="0000FF"/>
          <w:szCs w:val="21"/>
          <w:highlight w:val="none"/>
          <w:u w:val="single"/>
        </w:rPr>
        <w:t>；担保金额为承发包合同总价的10%。工程结束经验收合格后无息退还履约担保。</w:t>
      </w:r>
    </w:p>
    <w:p w14:paraId="701E9AA4">
      <w:pPr>
        <w:pStyle w:val="7"/>
        <w:adjustRightInd w:val="0"/>
        <w:snapToGrid w:val="0"/>
        <w:spacing w:before="0" w:after="0" w:line="360" w:lineRule="auto"/>
        <w:ind w:firstLine="560" w:firstLineChars="200"/>
        <w:jc w:val="left"/>
        <w:rPr>
          <w:rFonts w:ascii="宋体" w:hAnsi="宋体" w:eastAsia="宋体"/>
          <w:b w:val="0"/>
          <w:highlight w:val="none"/>
        </w:rPr>
      </w:pPr>
      <w:bookmarkStart w:id="135" w:name="_Toc351203636"/>
      <w:r>
        <w:rPr>
          <w:rFonts w:ascii="宋体" w:hAnsi="宋体" w:eastAsia="宋体"/>
          <w:b w:val="0"/>
          <w:highlight w:val="none"/>
        </w:rPr>
        <w:t>4</w:t>
      </w:r>
      <w:bookmarkStart w:id="136" w:name="_Toc296890990"/>
      <w:bookmarkStart w:id="137" w:name="_Toc296347161"/>
      <w:bookmarkStart w:id="138" w:name="_Toc296503162"/>
      <w:bookmarkStart w:id="139" w:name="_Toc296944501"/>
      <w:bookmarkStart w:id="140" w:name="_Toc267251413"/>
      <w:bookmarkStart w:id="141" w:name="_Toc297048348"/>
      <w:bookmarkStart w:id="142" w:name="_Toc292559366"/>
      <w:bookmarkStart w:id="143" w:name="_Toc296891202"/>
      <w:bookmarkStart w:id="144" w:name="_Toc297120462"/>
      <w:bookmarkStart w:id="145" w:name="_Toc296346663"/>
      <w:bookmarkStart w:id="146" w:name="_Toc292559871"/>
      <w:r>
        <w:rPr>
          <w:rFonts w:ascii="宋体" w:hAnsi="宋体" w:eastAsia="宋体"/>
          <w:b w:val="0"/>
          <w:highlight w:val="none"/>
        </w:rPr>
        <w:t>.监</w:t>
      </w:r>
      <w:bookmarkEnd w:id="136"/>
      <w:bookmarkEnd w:id="137"/>
      <w:bookmarkEnd w:id="138"/>
      <w:bookmarkEnd w:id="139"/>
      <w:bookmarkEnd w:id="140"/>
      <w:bookmarkEnd w:id="141"/>
      <w:bookmarkEnd w:id="142"/>
      <w:bookmarkEnd w:id="143"/>
      <w:bookmarkEnd w:id="144"/>
      <w:bookmarkEnd w:id="145"/>
      <w:bookmarkEnd w:id="146"/>
      <w:r>
        <w:rPr>
          <w:rFonts w:ascii="宋体" w:hAnsi="宋体" w:eastAsia="宋体"/>
          <w:b w:val="0"/>
          <w:highlight w:val="none"/>
        </w:rPr>
        <w:t>理人</w:t>
      </w:r>
      <w:bookmarkEnd w:id="135"/>
    </w:p>
    <w:p w14:paraId="1B286B66">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4.1监理人的一般规定</w:t>
      </w:r>
    </w:p>
    <w:p w14:paraId="150A6B3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关于监理人的监理内容：</w:t>
      </w:r>
      <w:r>
        <w:rPr>
          <w:rFonts w:hint="eastAsia" w:ascii="宋体" w:hAnsi="宋体" w:eastAsia="宋体"/>
          <w:bCs/>
          <w:color w:val="0000FF"/>
          <w:szCs w:val="21"/>
          <w:highlight w:val="none"/>
          <w:u w:val="single"/>
        </w:rPr>
        <w:t>工程质量控制、进度控制、造价控制、安全控制、信息管理、合同管理、安全监督、现场协调，监督施工单位对工程施工进行科学管理、安全施工、文明施工，核定完成工作量，负责组织单位及总体工程的初步竣工验收，配合发包人完成工程总体竣工验收，具体见本工程监理合同</w:t>
      </w:r>
      <w:r>
        <w:rPr>
          <w:rFonts w:ascii="宋体" w:hAnsi="宋体" w:eastAsia="宋体"/>
          <w:szCs w:val="21"/>
          <w:highlight w:val="none"/>
        </w:rPr>
        <w:t>。</w:t>
      </w:r>
    </w:p>
    <w:p w14:paraId="1CE6A4D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关于监理人的监理权限：</w:t>
      </w:r>
      <w:r>
        <w:rPr>
          <w:rFonts w:hint="eastAsia" w:ascii="宋体" w:hAnsi="宋体" w:eastAsia="宋体"/>
          <w:bCs/>
          <w:color w:val="0000FF"/>
          <w:szCs w:val="21"/>
          <w:highlight w:val="none"/>
          <w:u w:val="single"/>
        </w:rPr>
        <w:t>需要取得发包人批准才能行使的职权：（1）费用的增加；（2）工程的延期；（3）发布变更指令；（4）所有设计变更及技术核定单；（5）发布开工令，暂停施工或复工令；（6）索赔的支付；（7）分包单位的确定；（8）材料设备价格及品牌的认定。监理工程师给承包人或其项目经理的任何涉及工程造价的指示，必须得到跟踪审计和发包人的书面确认后方可生效，该指示于确</w:t>
      </w:r>
      <w:r>
        <w:rPr>
          <w:rFonts w:hint="eastAsia" w:ascii="宋体" w:hAnsi="宋体" w:eastAsia="宋体"/>
          <w:bCs/>
          <w:color w:val="0000FF"/>
          <w:szCs w:val="21"/>
          <w:highlight w:val="none"/>
          <w:u w:val="single"/>
          <w:lang w:eastAsia="zh-CN"/>
        </w:rPr>
        <w:t>认之</w:t>
      </w:r>
      <w:r>
        <w:rPr>
          <w:rFonts w:hint="eastAsia" w:ascii="宋体" w:hAnsi="宋体" w:eastAsia="宋体"/>
          <w:bCs/>
          <w:color w:val="0000FF"/>
          <w:szCs w:val="21"/>
          <w:highlight w:val="none"/>
          <w:u w:val="single"/>
        </w:rPr>
        <w:t>日起视为发包人的指示</w:t>
      </w:r>
      <w:r>
        <w:rPr>
          <w:rFonts w:ascii="宋体" w:hAnsi="宋体" w:eastAsia="宋体"/>
          <w:szCs w:val="21"/>
          <w:highlight w:val="none"/>
        </w:rPr>
        <w:t>。</w:t>
      </w:r>
    </w:p>
    <w:p w14:paraId="62A351B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关于监理人在施工现场的办公场所、生活场所的提供和费用承担的约定：</w:t>
      </w:r>
      <w:r>
        <w:rPr>
          <w:rFonts w:hint="eastAsia" w:ascii="宋体" w:hAnsi="宋体" w:eastAsia="宋体"/>
          <w:bCs/>
          <w:color w:val="0000FF"/>
          <w:szCs w:val="21"/>
          <w:highlight w:val="none"/>
          <w:u w:val="single"/>
        </w:rPr>
        <w:t>提供现场办公室6间，费用含在报价中</w:t>
      </w:r>
      <w:r>
        <w:rPr>
          <w:rFonts w:ascii="宋体" w:hAnsi="宋体" w:eastAsia="宋体"/>
          <w:szCs w:val="21"/>
          <w:highlight w:val="none"/>
        </w:rPr>
        <w:t>。</w:t>
      </w:r>
    </w:p>
    <w:p w14:paraId="04B2AAE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4.2监理人员</w:t>
      </w:r>
    </w:p>
    <w:p w14:paraId="07C9F6D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总监理工程师：</w:t>
      </w:r>
    </w:p>
    <w:p w14:paraId="27C77C5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姓名</w:t>
      </w:r>
      <w:r>
        <w:rPr>
          <w:rFonts w:hint="eastAsia" w:ascii="宋体" w:hAnsi="宋体" w:eastAsia="宋体"/>
          <w:szCs w:val="21"/>
          <w:highlight w:val="none"/>
          <w:lang w:eastAsia="zh-CN"/>
        </w:rPr>
        <w:t>：</w:t>
      </w:r>
    </w:p>
    <w:p w14:paraId="4FE229A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职务</w:t>
      </w:r>
      <w:r>
        <w:rPr>
          <w:rFonts w:hint="eastAsia" w:ascii="宋体" w:hAnsi="宋体" w:eastAsia="宋体"/>
          <w:szCs w:val="21"/>
          <w:highlight w:val="none"/>
          <w:lang w:eastAsia="zh-CN"/>
        </w:rPr>
        <w:t>：</w:t>
      </w:r>
    </w:p>
    <w:p w14:paraId="000C3A0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监理工程师执业资格证书号</w:t>
      </w:r>
      <w:r>
        <w:rPr>
          <w:rFonts w:hint="eastAsia" w:ascii="宋体" w:hAnsi="宋体" w:eastAsia="宋体"/>
          <w:szCs w:val="21"/>
          <w:highlight w:val="none"/>
          <w:lang w:eastAsia="zh-CN"/>
        </w:rPr>
        <w:t>：</w:t>
      </w:r>
    </w:p>
    <w:p w14:paraId="2D22456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联系电话</w:t>
      </w:r>
      <w:r>
        <w:rPr>
          <w:rFonts w:hint="eastAsia" w:ascii="宋体" w:hAnsi="宋体" w:eastAsia="宋体"/>
          <w:szCs w:val="21"/>
          <w:highlight w:val="none"/>
          <w:lang w:eastAsia="zh-CN"/>
        </w:rPr>
        <w:t>：</w:t>
      </w:r>
    </w:p>
    <w:p w14:paraId="36709FC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电子信箱</w:t>
      </w:r>
      <w:r>
        <w:rPr>
          <w:rFonts w:hint="eastAsia" w:ascii="宋体" w:hAnsi="宋体" w:eastAsia="宋体"/>
          <w:szCs w:val="21"/>
          <w:highlight w:val="none"/>
          <w:lang w:eastAsia="zh-CN"/>
        </w:rPr>
        <w:t>：</w:t>
      </w:r>
    </w:p>
    <w:p w14:paraId="689513D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通信地址</w:t>
      </w:r>
      <w:r>
        <w:rPr>
          <w:rFonts w:hint="eastAsia" w:ascii="宋体" w:hAnsi="宋体" w:eastAsia="宋体"/>
          <w:szCs w:val="21"/>
          <w:highlight w:val="none"/>
          <w:lang w:eastAsia="zh-CN"/>
        </w:rPr>
        <w:t>：</w:t>
      </w:r>
    </w:p>
    <w:p w14:paraId="156708E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关于监理人的其他约定：</w:t>
      </w:r>
      <w:r>
        <w:rPr>
          <w:rFonts w:hint="eastAsia" w:ascii="宋体" w:hAnsi="宋体" w:eastAsia="宋体"/>
          <w:bCs/>
          <w:color w:val="0000FF"/>
          <w:szCs w:val="21"/>
          <w:highlight w:val="none"/>
          <w:u w:val="single"/>
        </w:rPr>
        <w:t>详见监理合同</w:t>
      </w:r>
      <w:r>
        <w:rPr>
          <w:rFonts w:ascii="宋体" w:hAnsi="宋体" w:eastAsia="宋体"/>
          <w:szCs w:val="21"/>
          <w:highlight w:val="none"/>
        </w:rPr>
        <w:t>。</w:t>
      </w:r>
    </w:p>
    <w:p w14:paraId="7CFD6815">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4.4商定或确定</w:t>
      </w:r>
    </w:p>
    <w:p w14:paraId="168B3CA5">
      <w:pPr>
        <w:adjustRightInd w:val="0"/>
        <w:snapToGrid w:val="0"/>
        <w:spacing w:line="360" w:lineRule="auto"/>
        <w:ind w:firstLine="440" w:firstLineChars="200"/>
        <w:jc w:val="left"/>
        <w:rPr>
          <w:rFonts w:ascii="宋体" w:hAnsi="宋体" w:eastAsia="宋体"/>
          <w:szCs w:val="21"/>
          <w:highlight w:val="none"/>
        </w:rPr>
      </w:pPr>
      <w:bookmarkStart w:id="147" w:name="_Toc267251418"/>
      <w:r>
        <w:rPr>
          <w:rFonts w:ascii="宋体" w:hAnsi="宋体" w:eastAsia="宋体"/>
          <w:szCs w:val="21"/>
          <w:highlight w:val="none"/>
        </w:rPr>
        <w:t>在发包人和承包人不能通过协商达成一致意见时，发包人授权监理人对以下事项进行确定：</w:t>
      </w:r>
    </w:p>
    <w:p w14:paraId="469ED532">
      <w:pPr>
        <w:adjustRightInd w:val="0"/>
        <w:snapToGrid w:val="0"/>
        <w:spacing w:line="360" w:lineRule="auto"/>
        <w:ind w:firstLine="440" w:firstLineChars="200"/>
        <w:jc w:val="left"/>
        <w:rPr>
          <w:rFonts w:ascii="宋体" w:hAnsi="宋体" w:eastAsia="宋体"/>
          <w:bCs/>
          <w:color w:val="0000FF"/>
          <w:szCs w:val="21"/>
          <w:highlight w:val="none"/>
          <w:u w:val="single"/>
        </w:rPr>
      </w:pPr>
      <w:bookmarkStart w:id="148" w:name="_Toc351203637"/>
      <w:r>
        <w:rPr>
          <w:rFonts w:hint="eastAsia" w:ascii="宋体" w:hAnsi="宋体" w:eastAsia="宋体"/>
          <w:bCs/>
          <w:color w:val="0000FF"/>
          <w:szCs w:val="21"/>
          <w:highlight w:val="none"/>
          <w:u w:val="single"/>
        </w:rPr>
        <w:t>(1)跟踪审计单位：</w:t>
      </w:r>
    </w:p>
    <w:p w14:paraId="3F8F1FA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跟踪审计实施范围：</w:t>
      </w:r>
    </w:p>
    <w:p w14:paraId="52CDB21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工程造价咨询人委派的造价工程师：姓名：职务：</w:t>
      </w:r>
    </w:p>
    <w:p w14:paraId="40D92C9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发包人委托的职权：造价咨询人负责施工阶段全过程造价跟踪审计，造价工程师行使合同明文规定和必然隐含的职权，代表发包人负责工程计量和计价，工程进度款的调整和核实，签发支付证书，及时向承包人提供合同价款的核实、调整和通知等指令。具体见造价咨询合同。</w:t>
      </w:r>
    </w:p>
    <w:p w14:paraId="30F2956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需要取得发包人批准才能行使的职权：1）使用暂列金额。2）使用计日工。3）使用暂估价。4）提前竣工奖与误期赔偿费。5）因各种事件发生调整的合同价款。6）需发包人批准的其他事项；</w:t>
      </w:r>
    </w:p>
    <w:p w14:paraId="026CCB3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w:t>
      </w:r>
      <w:r>
        <w:rPr>
          <w:rFonts w:hint="eastAsia" w:ascii="宋体" w:hAnsi="宋体" w:eastAsia="宋体"/>
          <w:bCs/>
          <w:color w:val="0000FF"/>
          <w:szCs w:val="21"/>
          <w:highlight w:val="none"/>
          <w:u w:val="single"/>
          <w:lang w:eastAsia="zh-CN"/>
        </w:rPr>
        <w:t>/</w:t>
      </w:r>
    </w:p>
    <w:p w14:paraId="34D4B9A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w:t>
      </w:r>
      <w:r>
        <w:rPr>
          <w:rFonts w:hint="eastAsia" w:ascii="宋体" w:hAnsi="宋体" w:eastAsia="宋体"/>
          <w:bCs/>
          <w:color w:val="0000FF"/>
          <w:szCs w:val="21"/>
          <w:highlight w:val="none"/>
          <w:u w:val="single"/>
          <w:lang w:eastAsia="zh-CN"/>
        </w:rPr>
        <w:t>/</w:t>
      </w:r>
    </w:p>
    <w:p w14:paraId="773E4C8E">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5</w:t>
      </w:r>
      <w:bookmarkEnd w:id="147"/>
      <w:bookmarkStart w:id="149" w:name="_Toc297048349"/>
      <w:bookmarkStart w:id="150" w:name="_Toc296503163"/>
      <w:bookmarkStart w:id="151" w:name="_Toc292559872"/>
      <w:bookmarkStart w:id="152" w:name="_Toc297120463"/>
      <w:bookmarkStart w:id="153" w:name="_Toc296944502"/>
      <w:bookmarkStart w:id="154" w:name="_Toc296346664"/>
      <w:bookmarkStart w:id="155" w:name="_Toc296891203"/>
      <w:bookmarkStart w:id="156" w:name="_Toc292559367"/>
      <w:bookmarkStart w:id="157" w:name="_Toc296347162"/>
      <w:bookmarkStart w:id="158" w:name="_Toc296890991"/>
      <w:r>
        <w:rPr>
          <w:rFonts w:ascii="宋体" w:hAnsi="宋体" w:eastAsia="宋体"/>
          <w:sz w:val="24"/>
          <w:szCs w:val="24"/>
          <w:highlight w:val="none"/>
        </w:rPr>
        <w:t>.工程质量</w:t>
      </w:r>
      <w:bookmarkEnd w:id="148"/>
    </w:p>
    <w:p w14:paraId="7C856CC5">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5.1质量要求</w:t>
      </w:r>
    </w:p>
    <w:p w14:paraId="677B499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5</w:t>
      </w:r>
      <w:bookmarkStart w:id="159" w:name="_Toc297123496"/>
      <w:bookmarkStart w:id="160" w:name="_Toc318581164"/>
      <w:bookmarkStart w:id="161" w:name="_Toc304295527"/>
      <w:bookmarkStart w:id="162" w:name="_Toc300934949"/>
      <w:bookmarkStart w:id="163" w:name="_Toc303539106"/>
      <w:bookmarkStart w:id="164" w:name="_Toc312677997"/>
      <w:bookmarkStart w:id="165" w:name="_Toc297216155"/>
      <w:r>
        <w:rPr>
          <w:rFonts w:ascii="宋体" w:hAnsi="宋体" w:eastAsia="宋体"/>
          <w:szCs w:val="21"/>
          <w:highlight w:val="none"/>
        </w:rPr>
        <w:t>.1.1特殊质量标准和要求：</w:t>
      </w:r>
      <w:r>
        <w:rPr>
          <w:rFonts w:hint="eastAsia" w:ascii="宋体" w:hAnsi="宋体" w:eastAsia="宋体"/>
          <w:bCs/>
          <w:color w:val="0000FF"/>
          <w:szCs w:val="21"/>
          <w:highlight w:val="none"/>
          <w:u w:val="single"/>
        </w:rPr>
        <w:t>工程质量标准按国家、地方现行施工及验收规范执行，各项质量标准必须达到合格以上，达到本合同约定的质量标准且符合设计文件（含施工图）规定要求，同时还须达到以下要求：</w:t>
      </w:r>
    </w:p>
    <w:p w14:paraId="2DF30C6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①承包人应按照GB/T19002－ISO9002质量管理体系标准，建立并保持一个健全的工程质量保证体系，完善质量管理制度，建立质量控制流程。承包人应该严格按照施工规范、技术规程以及经监理工程师和发包人审核批复的实施性施工组织设计精心组织施工，施工过程中，承包人确保工程质量符合设计要求，达到国家施工质量验收评定标准和现行施工验收规范。若承包人阶段性工程质量或者过程性工程质量有2次及以上不符合设计要求或者达不到工程质量合格标准，则发包人有权解除合同。</w:t>
      </w:r>
    </w:p>
    <w:p w14:paraId="07D7AD4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②无论总监理工程师是否进行并通过了各项检验，均不解除承包人对自己承包的工程的质量所负责任，除非质量问题是由于设计原因引起，而此类质量问题承包人须及时通知总监。在采用承包人设计的施工图纸施工时，设计引起的质量责任由承包人承担。</w:t>
      </w:r>
    </w:p>
    <w:p w14:paraId="07592C4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③无论工程材料是由承包人自行供应或是由发包人指定的供应商供应，均不解除承包人所负的工程全面质量的责任，承包人应该对各种材料按规范进行检查，拒绝不符合要求的材料用于工程。无论何种原因，出现不合格材料用于工程的情况，均由承包人承担应有的责任。</w:t>
      </w:r>
    </w:p>
    <w:p w14:paraId="6C91B89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④承包人人员资格的特别规定：所有特殊工种人员、各种领班以上人员均应符合有关规定的资质要求，并且应持有该项工作的上岗证，在施工期间</w:t>
      </w:r>
      <w:r>
        <w:rPr>
          <w:rFonts w:hint="eastAsia" w:ascii="宋体" w:hAnsi="宋体" w:eastAsia="宋体"/>
          <w:bCs/>
          <w:color w:val="0000FF"/>
          <w:szCs w:val="21"/>
          <w:highlight w:val="none"/>
          <w:u w:val="single"/>
          <w:lang w:eastAsia="zh-CN"/>
        </w:rPr>
        <w:t>佩戴</w:t>
      </w:r>
      <w:r>
        <w:rPr>
          <w:rFonts w:hint="eastAsia" w:ascii="宋体" w:hAnsi="宋体" w:eastAsia="宋体"/>
          <w:bCs/>
          <w:color w:val="0000FF"/>
          <w:szCs w:val="21"/>
          <w:highlight w:val="none"/>
          <w:u w:val="single"/>
        </w:rPr>
        <w:t>其上岗证供总监随时检查。</w:t>
      </w:r>
    </w:p>
    <w:p w14:paraId="47A0452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⑤承包人应按招标文件及有关技术规范要求，设置专门的监控测量岗位，完成工程所有的测量工作，并积累完整的技术资料。</w:t>
      </w:r>
    </w:p>
    <w:p w14:paraId="618BB3F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⑥不合格工程，总监不予验收，承包人须按合同规定修补合格。</w:t>
      </w:r>
    </w:p>
    <w:p w14:paraId="013CB3B2">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承包人的工程质量未达到合同约定标准，发包人将对承包人处以金额为工程结算价款2%的违约罚金，违约金将在结算价款中扣除。同时，并不免除承包人通过修补、返工使施工质量达到合同要求质量标准的责任。所发生的一切返工费用及由此给发包人造成的经济损失均由承包人承担。此项赔偿并不能解除承包人完成工程的责任及合同规定的其他责任。如因施工质量导致安全事故，承包人负责承担事故处理的一切费用、工程的恢复费用及因此而造成后续工程延误费用</w:t>
      </w:r>
      <w:r>
        <w:rPr>
          <w:rFonts w:ascii="宋体" w:hAnsi="宋体" w:eastAsia="宋体"/>
          <w:szCs w:val="21"/>
          <w:highlight w:val="none"/>
        </w:rPr>
        <w:t>。</w:t>
      </w:r>
    </w:p>
    <w:p w14:paraId="52AF755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关于工程奖项的约定：</w:t>
      </w:r>
      <w:r>
        <w:rPr>
          <w:rFonts w:hint="eastAsia" w:ascii="宋体" w:hAnsi="宋体" w:eastAsia="宋体"/>
          <w:bCs/>
          <w:color w:val="0000FF"/>
          <w:szCs w:val="21"/>
          <w:highlight w:val="none"/>
          <w:u w:val="single"/>
        </w:rPr>
        <w:t>无</w:t>
      </w:r>
      <w:r>
        <w:rPr>
          <w:rFonts w:ascii="宋体" w:hAnsi="宋体" w:eastAsia="宋体"/>
          <w:szCs w:val="21"/>
          <w:highlight w:val="none"/>
        </w:rPr>
        <w:t>。</w:t>
      </w:r>
    </w:p>
    <w:p w14:paraId="5050D30C">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5.3隐蔽工程检查</w:t>
      </w:r>
    </w:p>
    <w:p w14:paraId="42A1305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5.3.2承包人提前通知监理人隐蔽工程检查的期限的约定：</w:t>
      </w:r>
      <w:r>
        <w:rPr>
          <w:rFonts w:hint="eastAsia" w:ascii="宋体" w:hAnsi="宋体" w:eastAsia="宋体"/>
          <w:bCs/>
          <w:color w:val="0000FF"/>
          <w:szCs w:val="21"/>
          <w:highlight w:val="none"/>
          <w:u w:val="single"/>
        </w:rPr>
        <w:t>24小时前</w:t>
      </w:r>
      <w:r>
        <w:rPr>
          <w:rFonts w:ascii="宋体" w:hAnsi="宋体" w:eastAsia="宋体"/>
          <w:szCs w:val="21"/>
          <w:highlight w:val="none"/>
        </w:rPr>
        <w:t>。</w:t>
      </w:r>
    </w:p>
    <w:p w14:paraId="5B8C7DA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监理人不能按时进行检查时，应提前</w:t>
      </w:r>
      <w:r>
        <w:rPr>
          <w:rFonts w:ascii="宋体" w:hAnsi="宋体" w:eastAsia="宋体"/>
          <w:bCs/>
          <w:color w:val="0000FF"/>
          <w:szCs w:val="21"/>
          <w:highlight w:val="none"/>
          <w:u w:val="single"/>
        </w:rPr>
        <w:t>12</w:t>
      </w:r>
      <w:r>
        <w:rPr>
          <w:rFonts w:ascii="宋体" w:hAnsi="宋体" w:eastAsia="宋体"/>
          <w:szCs w:val="21"/>
          <w:highlight w:val="none"/>
        </w:rPr>
        <w:t>小时提交书面延期要求。</w:t>
      </w:r>
    </w:p>
    <w:p w14:paraId="04EB979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关于延期最长不得超过：</w:t>
      </w:r>
      <w:r>
        <w:rPr>
          <w:rFonts w:ascii="宋体" w:hAnsi="宋体" w:eastAsia="宋体"/>
          <w:bCs/>
          <w:color w:val="0000FF"/>
          <w:szCs w:val="21"/>
          <w:highlight w:val="none"/>
          <w:u w:val="single"/>
        </w:rPr>
        <w:t>48</w:t>
      </w:r>
      <w:r>
        <w:rPr>
          <w:rFonts w:ascii="宋体" w:hAnsi="宋体" w:eastAsia="宋体"/>
          <w:szCs w:val="21"/>
          <w:highlight w:val="none"/>
        </w:rPr>
        <w:t>小时。</w:t>
      </w:r>
    </w:p>
    <w:p w14:paraId="53B2245F">
      <w:pPr>
        <w:pStyle w:val="7"/>
        <w:adjustRightInd w:val="0"/>
        <w:snapToGrid w:val="0"/>
        <w:spacing w:before="0" w:after="0" w:line="360" w:lineRule="auto"/>
        <w:ind w:firstLine="560" w:firstLineChars="200"/>
        <w:jc w:val="left"/>
        <w:rPr>
          <w:rFonts w:ascii="宋体" w:hAnsi="宋体" w:eastAsia="宋体"/>
          <w:b w:val="0"/>
          <w:highlight w:val="none"/>
        </w:rPr>
      </w:pPr>
      <w:bookmarkStart w:id="166" w:name="_Toc351203638"/>
      <w:r>
        <w:rPr>
          <w:rFonts w:ascii="宋体" w:hAnsi="宋体" w:eastAsia="宋体"/>
          <w:b w:val="0"/>
          <w:highlight w:val="none"/>
        </w:rPr>
        <w:t>6.安全文明施工与环境保护</w:t>
      </w:r>
      <w:bookmarkEnd w:id="166"/>
    </w:p>
    <w:p w14:paraId="2E4D85A0">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6.1安全文明施工</w:t>
      </w:r>
    </w:p>
    <w:p w14:paraId="539F087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6.1.1项目安全生产的达标目标及相应事项的约定：</w:t>
      </w:r>
      <w:r>
        <w:rPr>
          <w:rFonts w:hint="eastAsia" w:ascii="宋体" w:hAnsi="宋体" w:eastAsia="宋体"/>
          <w:bCs/>
          <w:color w:val="0000FF"/>
          <w:szCs w:val="21"/>
          <w:highlight w:val="none"/>
          <w:u w:val="single"/>
        </w:rPr>
        <w:t>（1）承包人在现场的安全管理、教育和安全事故责任由承包人负责，费用含在措施费中。</w:t>
      </w:r>
    </w:p>
    <w:p w14:paraId="77ADF7F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在施工检查当中发现现场施工人员存在违规操作、违章指挥</w:t>
      </w:r>
      <w:r>
        <w:rPr>
          <w:rFonts w:hint="eastAsia" w:ascii="宋体" w:hAnsi="宋体" w:eastAsia="宋体"/>
          <w:bCs/>
          <w:color w:val="0000FF"/>
          <w:szCs w:val="21"/>
          <w:highlight w:val="none"/>
          <w:u w:val="single"/>
          <w:lang w:eastAsia="zh-CN"/>
        </w:rPr>
        <w:t>或</w:t>
      </w:r>
      <w:r>
        <w:rPr>
          <w:rFonts w:hint="eastAsia" w:ascii="宋体" w:hAnsi="宋体" w:eastAsia="宋体"/>
          <w:bCs/>
          <w:color w:val="0000FF"/>
          <w:szCs w:val="21"/>
          <w:highlight w:val="none"/>
          <w:u w:val="single"/>
        </w:rPr>
        <w:t>存在事故安全隐患，有权对承包人违章现场提出整改要求，直至消除安全隐患，承包人接到书面整改通知后24小时内未采取相应措施整改的，每次支付违约金1000元。</w:t>
      </w:r>
    </w:p>
    <w:p w14:paraId="08F3745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承包人应对其在施工场地的工作人员进行安全教育，并对他们的安全负责。承包人根据周边条件和环境应按招标文件要求，加强对相邻建筑、道路及人员的安全防护，不得野蛮施工，采取相应措施，确保安全施工，否则后果和损失均由承包人负责。</w:t>
      </w:r>
    </w:p>
    <w:p w14:paraId="37B02BF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在施工场地内禁止使用明火。因施工特殊情况，确需使用明火时，应事先办理审批手续，经发包人及监理人同意后，按用火规定，采取严格防火措施，严禁在有火灾爆炸危险的场所使用明火。建筑工程中采用的电器产品、燃气用具等质量必须符合国家标准或行业标准，具体安装和线路管路的敷设必须符合国家有关消防安全技术规范，对需要安装大功率电器设备，应经三电办同意后方可安装使用。</w:t>
      </w:r>
    </w:p>
    <w:p w14:paraId="29CDDDE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（5）对现场临时消防设施的要求：施工现场消防安全监督管理应符合江苏省建设厅《建设工程施工现场消防安全标准》的要求。</w:t>
      </w:r>
    </w:p>
    <w:p w14:paraId="4B95CEB3">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现场临时消防设施产生的费用被认为包含在承包人的措施费中，如果承包人不能按照江苏省建设厅《建设工程施工现场消防安全标准》的要求设置临时消防系统，发包人将有权另行指派其他单位进行施工及维护，产生的费用在承包人的报价中扣除。由于承包人不能按照本约定设置临时消防设施，发包人由此保留终止合同的权力</w:t>
      </w:r>
      <w:r>
        <w:rPr>
          <w:rFonts w:ascii="宋体" w:hAnsi="宋体" w:eastAsia="宋体"/>
          <w:szCs w:val="21"/>
          <w:highlight w:val="none"/>
        </w:rPr>
        <w:t>。</w:t>
      </w:r>
    </w:p>
    <w:p w14:paraId="4BE009A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6.1.4关于治安保卫的特别约定：</w:t>
      </w:r>
      <w:r>
        <w:rPr>
          <w:rFonts w:hint="eastAsia" w:ascii="宋体" w:hAnsi="宋体" w:eastAsia="宋体"/>
          <w:bCs/>
          <w:color w:val="0000FF"/>
          <w:szCs w:val="21"/>
          <w:highlight w:val="none"/>
          <w:u w:val="single"/>
        </w:rPr>
        <w:t>承包人应自觉遵守发包人门卫的出入制度。</w:t>
      </w:r>
    </w:p>
    <w:p w14:paraId="11BC612F">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在实施和完成本工程过程中，承包人应充分关注和保障所有在场人员的安全，承包人对安全防护工作负全责（包括但不限于责任和费用），并禁止非施工人员、车辆进入现场。为保护本工程免遭损坏，或为现场附近和过往人群的安全与方便，在确有必要的时候和地方，或当监理工程师或有关主管部门要求时，承包人应自费提供照明、警卫、护栅、警告标志等安全防护措施。如承包人未履行上述约定及通用条款相关义务造成工程、财产和人身伤害，由承包人承担责任，赔偿损失及支付发生的费用</w:t>
      </w:r>
      <w:r>
        <w:rPr>
          <w:rFonts w:ascii="宋体" w:hAnsi="宋体" w:eastAsia="宋体"/>
          <w:szCs w:val="21"/>
          <w:highlight w:val="none"/>
        </w:rPr>
        <w:t>。</w:t>
      </w:r>
    </w:p>
    <w:p w14:paraId="46E7BA6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关于编制施工场地治安管理计划的约定：</w:t>
      </w:r>
      <w:r>
        <w:rPr>
          <w:rFonts w:hint="eastAsia" w:ascii="宋体" w:hAnsi="宋体" w:eastAsia="宋体"/>
          <w:bCs/>
          <w:color w:val="0000FF"/>
          <w:szCs w:val="21"/>
          <w:highlight w:val="none"/>
          <w:u w:val="single"/>
        </w:rPr>
        <w:t>必须在进场后或施工合同签署后7日内编写针对本工程的实施性施工组织设计，综合考虑本工程所涉及的一切安全因素编写出施工安全预案，包括但不限于脚手架搭设、临时用电、安全</w:t>
      </w:r>
      <w:r>
        <w:rPr>
          <w:rFonts w:hint="eastAsia" w:ascii="宋体" w:hAnsi="宋体" w:eastAsia="宋体"/>
          <w:bCs/>
          <w:color w:val="0000FF"/>
          <w:szCs w:val="21"/>
          <w:highlight w:val="none"/>
          <w:u w:val="single"/>
          <w:lang w:eastAsia="zh-CN"/>
        </w:rPr>
        <w:t>防护</w:t>
      </w:r>
      <w:r>
        <w:rPr>
          <w:rFonts w:hint="eastAsia" w:ascii="宋体" w:hAnsi="宋体" w:eastAsia="宋体"/>
          <w:bCs/>
          <w:color w:val="0000FF"/>
          <w:szCs w:val="21"/>
          <w:highlight w:val="none"/>
          <w:u w:val="single"/>
        </w:rPr>
        <w:t>、职工安全教育和安全管理、机电设备使用管理办法、突发情况应急方案、明确提出施工现场规范</w:t>
      </w:r>
      <w:r>
        <w:rPr>
          <w:rFonts w:hint="eastAsia" w:ascii="宋体" w:hAnsi="宋体" w:eastAsia="宋体"/>
          <w:bCs/>
          <w:color w:val="0000FF"/>
          <w:szCs w:val="21"/>
          <w:highlight w:val="none"/>
          <w:u w:val="single"/>
          <w:lang w:eastAsia="zh-CN"/>
        </w:rPr>
        <w:t>围挡</w:t>
      </w:r>
      <w:r>
        <w:rPr>
          <w:rFonts w:hint="eastAsia" w:ascii="宋体" w:hAnsi="宋体" w:eastAsia="宋体"/>
          <w:bCs/>
          <w:color w:val="0000FF"/>
          <w:szCs w:val="21"/>
          <w:highlight w:val="none"/>
          <w:u w:val="single"/>
        </w:rPr>
        <w:t>、控制扬尘、治污减排、</w:t>
      </w:r>
      <w:r>
        <w:rPr>
          <w:rFonts w:hint="eastAsia" w:ascii="宋体" w:hAnsi="宋体" w:eastAsia="宋体"/>
          <w:bCs/>
          <w:color w:val="0000FF"/>
          <w:szCs w:val="21"/>
          <w:highlight w:val="none"/>
          <w:u w:val="single"/>
          <w:lang w:eastAsia="zh-CN"/>
        </w:rPr>
        <w:t>降低噪声</w:t>
      </w:r>
      <w:r>
        <w:rPr>
          <w:rFonts w:hint="eastAsia" w:ascii="宋体" w:hAnsi="宋体" w:eastAsia="宋体"/>
          <w:bCs/>
          <w:color w:val="0000FF"/>
          <w:szCs w:val="21"/>
          <w:highlight w:val="none"/>
          <w:u w:val="single"/>
        </w:rPr>
        <w:t>措施等，报送监理工程师和发包人审批之后严格执行。进驻现场后，承包人应及时、严格地按安全规范和安监部门安全管理要求办理一切安全手续承包人，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ascii="宋体" w:hAnsi="宋体" w:eastAsia="宋体"/>
          <w:szCs w:val="21"/>
          <w:highlight w:val="none"/>
        </w:rPr>
        <w:t>。</w:t>
      </w:r>
    </w:p>
    <w:p w14:paraId="61D626B6">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6.1.5文明施工</w:t>
      </w:r>
    </w:p>
    <w:p w14:paraId="34C08DA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szCs w:val="21"/>
          <w:highlight w:val="none"/>
        </w:rPr>
        <w:t>合同当事人对文明施工的要求：</w:t>
      </w:r>
      <w:r>
        <w:rPr>
          <w:rFonts w:hint="eastAsia" w:ascii="宋体" w:hAnsi="宋体" w:eastAsia="宋体"/>
          <w:bCs/>
          <w:color w:val="0000FF"/>
          <w:szCs w:val="21"/>
          <w:highlight w:val="none"/>
          <w:u w:val="single"/>
        </w:rPr>
        <w:t>一、施工安全：（1）承包人报请监理工程师和业主代表审批的施工组织设计中应有安全施工方案，要有安全施工管理系统，配备安全管理人员负责工程、车辆机械和施工人员的安全工作，将施工安全落到实处。（2）承包人要认真做好车辆机械的保养维护工作和驾驶操作人员的安全教育工作，车辆机械不得带病作业，不得违规操作，杜绝机械和车辆事故。二、施工噪音：工程施工期间，噪声对环境的影响必须满足国家和南京市有关法规要求。施工噪声遵守《建筑施工场界噪声限值》（GB12523－90）。在选择施工设备及施工方法时，承包人必须考虑由此产生的噪声标准及对施工人员和周围单位和居民的影响。在工程施工过程中，若发生施工噪声超标扰民事件，由承包人负责解决，业主予以配合。三、污水排放：所有的废水、污水应按批准的方法处理后排入排污系统，不得污染环境，由此而</w:t>
      </w:r>
      <w:r>
        <w:rPr>
          <w:rFonts w:hint="eastAsia" w:ascii="宋体" w:hAnsi="宋体" w:eastAsia="宋体"/>
          <w:bCs/>
          <w:color w:val="0000FF"/>
          <w:szCs w:val="21"/>
          <w:highlight w:val="none"/>
          <w:u w:val="single"/>
          <w:lang w:eastAsia="zh-CN"/>
        </w:rPr>
        <w:t>引起</w:t>
      </w:r>
      <w:r>
        <w:rPr>
          <w:rFonts w:hint="eastAsia" w:ascii="宋体" w:hAnsi="宋体" w:eastAsia="宋体"/>
          <w:bCs/>
          <w:color w:val="0000FF"/>
          <w:szCs w:val="21"/>
          <w:highlight w:val="none"/>
          <w:u w:val="single"/>
        </w:rPr>
        <w:t>的后果由承包人自行负责。所有的施工垃圾应按照批准的方法运往批准的地点进行处理，生活垃圾应按照城市规定每天集中，纳入城市垃圾处理系统。四、夜间施工：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业主尽可能予以协助。</w:t>
      </w:r>
    </w:p>
    <w:p w14:paraId="02336267">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五、各级政府相关管理部门对施工现场进行的有关建筑工程安全防护、文明施工的各种检查而发生的费用，无论在投标报价中是否单独列出均由承包人承担</w:t>
      </w:r>
      <w:r>
        <w:rPr>
          <w:rFonts w:ascii="宋体" w:hAnsi="宋体" w:eastAsia="宋体"/>
          <w:bCs/>
          <w:color w:val="0000FF"/>
          <w:szCs w:val="21"/>
          <w:highlight w:val="none"/>
          <w:u w:val="single"/>
        </w:rPr>
        <w:t>。</w:t>
      </w:r>
    </w:p>
    <w:p w14:paraId="31F5012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6.1.6关于安全文明施工费支付比例和支付期限的约定：</w:t>
      </w:r>
      <w:r>
        <w:rPr>
          <w:rFonts w:hint="eastAsia" w:ascii="宋体" w:hAnsi="宋体" w:eastAsia="宋体"/>
          <w:bCs/>
          <w:color w:val="0000FF"/>
          <w:szCs w:val="21"/>
          <w:highlight w:val="none"/>
          <w:u w:val="single"/>
        </w:rPr>
        <w:t>随工程进度款同期支付</w:t>
      </w:r>
      <w:r>
        <w:rPr>
          <w:rFonts w:ascii="宋体" w:hAnsi="宋体" w:eastAsia="宋体"/>
          <w:szCs w:val="21"/>
          <w:highlight w:val="none"/>
        </w:rPr>
        <w:t>。</w:t>
      </w:r>
    </w:p>
    <w:bookmarkEnd w:id="159"/>
    <w:bookmarkEnd w:id="160"/>
    <w:bookmarkEnd w:id="161"/>
    <w:bookmarkEnd w:id="162"/>
    <w:bookmarkEnd w:id="163"/>
    <w:bookmarkEnd w:id="164"/>
    <w:bookmarkEnd w:id="165"/>
    <w:p w14:paraId="4E70B12B">
      <w:pPr>
        <w:pStyle w:val="7"/>
        <w:adjustRightInd w:val="0"/>
        <w:snapToGrid w:val="0"/>
        <w:spacing w:before="0" w:after="0" w:line="360" w:lineRule="auto"/>
        <w:ind w:firstLine="560" w:firstLineChars="200"/>
        <w:jc w:val="left"/>
        <w:rPr>
          <w:rFonts w:ascii="宋体" w:hAnsi="宋体" w:eastAsia="宋体"/>
          <w:b w:val="0"/>
          <w:highlight w:val="none"/>
        </w:rPr>
      </w:pPr>
      <w:bookmarkStart w:id="167" w:name="_Toc351203639"/>
      <w:r>
        <w:rPr>
          <w:rFonts w:ascii="宋体" w:hAnsi="宋体" w:eastAsia="宋体"/>
          <w:b w:val="0"/>
          <w:highlight w:val="none"/>
        </w:rPr>
        <w:t>7.工期和进度</w:t>
      </w:r>
      <w:bookmarkEnd w:id="167"/>
    </w:p>
    <w:p w14:paraId="5434474A">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7.1施工组织设计</w:t>
      </w:r>
    </w:p>
    <w:p w14:paraId="61B6C4F1">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szCs w:val="21"/>
          <w:highlight w:val="none"/>
        </w:rPr>
        <w:t>7.1.</w:t>
      </w:r>
      <w:r>
        <w:rPr>
          <w:rFonts w:hint="eastAsia" w:ascii="宋体" w:hAnsi="宋体" w:eastAsia="宋体"/>
          <w:szCs w:val="21"/>
          <w:highlight w:val="none"/>
        </w:rPr>
        <w:t>1合</w:t>
      </w:r>
      <w:r>
        <w:rPr>
          <w:rFonts w:hint="eastAsia" w:ascii="宋体" w:hAnsi="宋体" w:eastAsia="宋体"/>
          <w:kern w:val="0"/>
          <w:szCs w:val="21"/>
          <w:highlight w:val="none"/>
        </w:rPr>
        <w:t>同当事人约定的</w:t>
      </w:r>
      <w:r>
        <w:rPr>
          <w:rFonts w:ascii="宋体" w:hAnsi="宋体" w:eastAsia="宋体"/>
          <w:kern w:val="0"/>
          <w:szCs w:val="21"/>
          <w:highlight w:val="none"/>
        </w:rPr>
        <w:t>施工组织设计</w:t>
      </w:r>
      <w:r>
        <w:rPr>
          <w:rFonts w:hint="eastAsia" w:ascii="宋体" w:hAnsi="宋体" w:eastAsia="宋体"/>
          <w:kern w:val="0"/>
          <w:szCs w:val="21"/>
          <w:highlight w:val="none"/>
        </w:rPr>
        <w:t>应包括的其他内容</w:t>
      </w:r>
      <w:r>
        <w:rPr>
          <w:rFonts w:ascii="宋体" w:hAnsi="宋体" w:eastAsia="宋体"/>
          <w:kern w:val="0"/>
          <w:szCs w:val="21"/>
          <w:highlight w:val="none"/>
        </w:rPr>
        <w:t>：</w:t>
      </w:r>
      <w:r>
        <w:rPr>
          <w:rFonts w:hint="eastAsia" w:ascii="宋体" w:hAnsi="宋体" w:eastAsia="宋体"/>
          <w:bCs/>
          <w:color w:val="0000FF"/>
          <w:szCs w:val="21"/>
          <w:highlight w:val="none"/>
          <w:u w:val="single"/>
        </w:rPr>
        <w:t>施工组织设计应包括但不限于以下内容：全部设备、材料、成品、半成品等需求供应进场计划，人员安排、质保体系、安保体系、安全文明施工措施、施工机械设备配置情况，以及施工现场优化布置等内容。其余要求详见通用条款</w:t>
      </w:r>
      <w:r>
        <w:rPr>
          <w:rFonts w:ascii="宋体" w:hAnsi="宋体" w:eastAsia="宋体"/>
          <w:szCs w:val="21"/>
          <w:highlight w:val="none"/>
        </w:rPr>
        <w:t>。</w:t>
      </w:r>
    </w:p>
    <w:p w14:paraId="23B2C920">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szCs w:val="21"/>
          <w:highlight w:val="none"/>
        </w:rPr>
        <w:t>7.1.2</w:t>
      </w:r>
      <w:r>
        <w:rPr>
          <w:rFonts w:ascii="宋体" w:hAnsi="宋体" w:eastAsia="宋体"/>
          <w:kern w:val="0"/>
          <w:szCs w:val="21"/>
          <w:highlight w:val="none"/>
        </w:rPr>
        <w:t>施工组织设计的提交和修改</w:t>
      </w:r>
    </w:p>
    <w:p w14:paraId="03C3932E">
      <w:pPr>
        <w:autoSpaceDE w:val="0"/>
        <w:autoSpaceDN w:val="0"/>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承包人提交详细施工组织设计的期限的约定：</w:t>
      </w:r>
      <w:r>
        <w:rPr>
          <w:rFonts w:hint="eastAsia" w:ascii="宋体" w:hAnsi="宋体" w:eastAsia="宋体"/>
          <w:bCs/>
          <w:color w:val="0000FF"/>
          <w:szCs w:val="21"/>
          <w:highlight w:val="none"/>
          <w:u w:val="single"/>
        </w:rPr>
        <w:t>开工前14天提供</w:t>
      </w:r>
      <w:r>
        <w:rPr>
          <w:rFonts w:ascii="宋体" w:hAnsi="宋体" w:eastAsia="宋体"/>
          <w:szCs w:val="21"/>
          <w:highlight w:val="none"/>
        </w:rPr>
        <w:t>。</w:t>
      </w:r>
    </w:p>
    <w:p w14:paraId="3FE27AF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发包人和监理人在收到</w:t>
      </w:r>
      <w:r>
        <w:rPr>
          <w:rFonts w:hint="eastAsia" w:ascii="宋体" w:hAnsi="宋体" w:eastAsia="宋体"/>
          <w:szCs w:val="21"/>
          <w:highlight w:val="none"/>
        </w:rPr>
        <w:t>详细的施工组织设计</w:t>
      </w:r>
      <w:r>
        <w:rPr>
          <w:rFonts w:ascii="宋体" w:hAnsi="宋体" w:eastAsia="宋体"/>
          <w:szCs w:val="21"/>
          <w:highlight w:val="none"/>
        </w:rPr>
        <w:t>后确认或提出修改意见的期限：</w:t>
      </w:r>
      <w:r>
        <w:rPr>
          <w:rFonts w:hint="eastAsia" w:ascii="宋体" w:hAnsi="宋体" w:eastAsia="宋体"/>
          <w:bCs/>
          <w:color w:val="0000FF"/>
          <w:szCs w:val="21"/>
          <w:highlight w:val="none"/>
          <w:u w:val="single"/>
        </w:rPr>
        <w:t>收到需要确认的文件资料后15日内组织审核批准或提出修改意见。发包人批准的施工组织设计可作为工程款的支付参考依据，承包人不按时送审符合要求的施工组织设计，造成发包人无法判断工程进展顺利与否，发包人可按照现实情况给予承包人5000元的违约金，并可拒付相应部分工程进度款，责任由承包人承担。发包人和监理人对施工组织设计的任何确认、调整和修改意见不免除和减轻承包人的工期责任</w:t>
      </w:r>
      <w:r>
        <w:rPr>
          <w:rFonts w:ascii="宋体" w:hAnsi="宋体" w:eastAsia="宋体"/>
          <w:szCs w:val="21"/>
          <w:highlight w:val="none"/>
        </w:rPr>
        <w:t>。</w:t>
      </w:r>
    </w:p>
    <w:p w14:paraId="73468808">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w:t>
      </w:r>
      <w:bookmarkStart w:id="168" w:name="_Toc304295541"/>
      <w:bookmarkStart w:id="169" w:name="_Toc297123514"/>
      <w:bookmarkStart w:id="170" w:name="_Toc303539123"/>
      <w:bookmarkStart w:id="171" w:name="_Toc312678005"/>
      <w:bookmarkStart w:id="172" w:name="_Toc297216173"/>
      <w:bookmarkStart w:id="173" w:name="_Toc312677479"/>
      <w:bookmarkStart w:id="174" w:name="_Toc300934966"/>
      <w:r>
        <w:rPr>
          <w:rFonts w:ascii="宋体" w:hAnsi="宋体" w:eastAsia="宋体"/>
          <w:sz w:val="24"/>
          <w:szCs w:val="24"/>
          <w:highlight w:val="none"/>
        </w:rPr>
        <w:t>.2施工进度计划</w:t>
      </w:r>
    </w:p>
    <w:p w14:paraId="5ADCD7F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7.2.2施工进度计划的修订</w:t>
      </w:r>
    </w:p>
    <w:p w14:paraId="3E60279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发包人和监理人在收到修订的施工进度计划后确认或提出修改意见的期限：</w:t>
      </w:r>
      <w:r>
        <w:rPr>
          <w:rFonts w:hint="eastAsia" w:ascii="宋体" w:hAnsi="宋体" w:eastAsia="宋体"/>
          <w:bCs/>
          <w:color w:val="0000FF"/>
          <w:szCs w:val="21"/>
          <w:highlight w:val="none"/>
          <w:u w:val="single"/>
        </w:rPr>
        <w:t>收到需要确认的文件资料后15日内组织审核批准或提出修改意见。承包人不按时送审符合要求的施工进度计划，造成发包人无法判断工程进展顺利与否，发包人可按照现实情况处予承包人5000元的违约金，并可拒付相应部分工程进度款，责任由承包人承担。发包人和监理人对施工进度计划的任何确认、调整和修改意见不免除和减轻承包人的工期责任</w:t>
      </w:r>
      <w:r>
        <w:rPr>
          <w:rFonts w:ascii="宋体" w:hAnsi="宋体" w:eastAsia="宋体"/>
          <w:szCs w:val="21"/>
          <w:highlight w:val="none"/>
        </w:rPr>
        <w:t>。</w:t>
      </w:r>
    </w:p>
    <w:p w14:paraId="74D5158C">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7.3开工</w:t>
      </w:r>
    </w:p>
    <w:p w14:paraId="7326192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7.3.1开工准备</w:t>
      </w:r>
    </w:p>
    <w:p w14:paraId="6C92C83E">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关于承包人提交</w:t>
      </w:r>
      <w:r>
        <w:rPr>
          <w:rFonts w:ascii="宋体" w:hAnsi="宋体" w:eastAsia="宋体"/>
          <w:kern w:val="0"/>
          <w:szCs w:val="21"/>
          <w:highlight w:val="none"/>
        </w:rPr>
        <w:t>工程开工报审表的期限：</w:t>
      </w:r>
      <w:r>
        <w:rPr>
          <w:rFonts w:hint="eastAsia" w:ascii="宋体" w:hAnsi="宋体" w:eastAsia="宋体"/>
          <w:bCs/>
          <w:color w:val="0000FF"/>
          <w:szCs w:val="21"/>
          <w:highlight w:val="none"/>
          <w:u w:val="single"/>
        </w:rPr>
        <w:t>开工前7天</w:t>
      </w:r>
      <w:r>
        <w:rPr>
          <w:rFonts w:ascii="宋体" w:hAnsi="宋体" w:eastAsia="宋体"/>
          <w:szCs w:val="21"/>
          <w:highlight w:val="none"/>
        </w:rPr>
        <w:t>。</w:t>
      </w:r>
    </w:p>
    <w:p w14:paraId="17EB637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关于发包人应完成的其他开工准备工作及期限：</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4F6BF7E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关于承包人应完成的其他开工准备工作及期限：</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00B6415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7.3.2开工通知</w:t>
      </w:r>
    </w:p>
    <w:p w14:paraId="1DCDD14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因发包人原因造成监理人未能在计划开工日期之日起</w:t>
      </w:r>
      <w:r>
        <w:rPr>
          <w:rFonts w:ascii="宋体" w:hAnsi="宋体" w:eastAsia="宋体"/>
          <w:bCs/>
          <w:color w:val="0000FF"/>
          <w:szCs w:val="21"/>
          <w:highlight w:val="none"/>
          <w:u w:val="single"/>
        </w:rPr>
        <w:t>7</w:t>
      </w:r>
      <w:r>
        <w:rPr>
          <w:rFonts w:ascii="宋体" w:hAnsi="宋体" w:eastAsia="宋体"/>
          <w:szCs w:val="21"/>
          <w:highlight w:val="none"/>
        </w:rPr>
        <w:t>天内发出开工通知的，承包人有权提出价格调整要求，或者解除合同。</w:t>
      </w:r>
    </w:p>
    <w:bookmarkEnd w:id="168"/>
    <w:bookmarkEnd w:id="169"/>
    <w:bookmarkEnd w:id="170"/>
    <w:bookmarkEnd w:id="171"/>
    <w:bookmarkEnd w:id="172"/>
    <w:bookmarkEnd w:id="173"/>
    <w:bookmarkEnd w:id="174"/>
    <w:p w14:paraId="7BFF00F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7.4测量放线</w:t>
      </w:r>
    </w:p>
    <w:p w14:paraId="1404DBD5">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7.4.1发包人通过监理人向承包人提供测量基准点、基准线和水准点及其书面资料的期限：</w:t>
      </w:r>
      <w:r>
        <w:rPr>
          <w:rFonts w:hint="eastAsia" w:ascii="宋体" w:hAnsi="宋体" w:eastAsia="宋体"/>
          <w:bCs/>
          <w:color w:val="0000FF"/>
          <w:szCs w:val="21"/>
          <w:highlight w:val="none"/>
          <w:u w:val="single"/>
        </w:rPr>
        <w:t>开工前7天由发包人、承包人、监理人及跟踪审计四方现场交验，并提供书面报告交承包人</w:t>
      </w:r>
      <w:r>
        <w:rPr>
          <w:rFonts w:ascii="宋体" w:hAnsi="宋体" w:eastAsia="宋体"/>
          <w:szCs w:val="21"/>
          <w:highlight w:val="none"/>
        </w:rPr>
        <w:t>。</w:t>
      </w:r>
    </w:p>
    <w:p w14:paraId="0BA6EDDE">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w:t>
      </w:r>
      <w:bookmarkStart w:id="175" w:name="_Toc297123516"/>
      <w:bookmarkStart w:id="176" w:name="_Toc304295546"/>
      <w:bookmarkStart w:id="177" w:name="_Toc303539125"/>
      <w:bookmarkStart w:id="178" w:name="_Toc300934968"/>
      <w:bookmarkStart w:id="179" w:name="_Toc312678010"/>
      <w:bookmarkStart w:id="180" w:name="_Toc297216175"/>
      <w:bookmarkStart w:id="181" w:name="_Toc312677484"/>
      <w:r>
        <w:rPr>
          <w:rFonts w:ascii="宋体" w:hAnsi="宋体" w:eastAsia="宋体"/>
          <w:sz w:val="24"/>
          <w:szCs w:val="24"/>
          <w:highlight w:val="none"/>
        </w:rPr>
        <w:t>.5工期延误</w:t>
      </w:r>
    </w:p>
    <w:bookmarkEnd w:id="175"/>
    <w:bookmarkEnd w:id="176"/>
    <w:bookmarkEnd w:id="177"/>
    <w:bookmarkEnd w:id="178"/>
    <w:bookmarkEnd w:id="179"/>
    <w:bookmarkEnd w:id="180"/>
    <w:bookmarkEnd w:id="181"/>
    <w:p w14:paraId="6F8C5CE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7.5.1因发包人原因导致工期延误</w:t>
      </w:r>
    </w:p>
    <w:p w14:paraId="69E6229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（7）因发包人原因导致工期延误的其他情形：</w:t>
      </w:r>
      <w:r>
        <w:rPr>
          <w:rFonts w:hint="eastAsia" w:ascii="宋体" w:hAnsi="宋体" w:eastAsia="宋体"/>
          <w:bCs/>
          <w:color w:val="0000FF"/>
          <w:szCs w:val="21"/>
          <w:highlight w:val="none"/>
          <w:u w:val="single"/>
        </w:rPr>
        <w:t>无</w:t>
      </w:r>
      <w:r>
        <w:rPr>
          <w:rFonts w:ascii="宋体" w:hAnsi="宋体" w:eastAsia="宋体"/>
          <w:szCs w:val="21"/>
          <w:highlight w:val="none"/>
        </w:rPr>
        <w:t>。</w:t>
      </w:r>
    </w:p>
    <w:p w14:paraId="115CA3E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w:t>
      </w:r>
      <w:bookmarkStart w:id="182" w:name="_Toc312678012"/>
      <w:bookmarkStart w:id="183" w:name="_Toc318581169"/>
      <w:bookmarkStart w:id="184" w:name="_Toc312677486"/>
      <w:bookmarkStart w:id="185" w:name="_Toc304295548"/>
      <w:bookmarkStart w:id="186" w:name="_Toc303539127"/>
      <w:bookmarkStart w:id="187" w:name="_Toc297216177"/>
      <w:bookmarkStart w:id="188" w:name="_Toc300934970"/>
      <w:bookmarkStart w:id="189" w:name="_Toc297123518"/>
      <w:r>
        <w:rPr>
          <w:rFonts w:ascii="宋体" w:hAnsi="宋体" w:eastAsia="宋体"/>
          <w:szCs w:val="21"/>
          <w:highlight w:val="none"/>
        </w:rPr>
        <w:t>.5.2因承包人原因导致工期延误</w:t>
      </w:r>
    </w:p>
    <w:bookmarkEnd w:id="182"/>
    <w:bookmarkEnd w:id="183"/>
    <w:bookmarkEnd w:id="184"/>
    <w:p w14:paraId="61124B4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因</w:t>
      </w:r>
      <w:bookmarkStart w:id="190" w:name="_Toc312678013"/>
      <w:bookmarkStart w:id="191" w:name="_Toc312677487"/>
      <w:bookmarkStart w:id="192" w:name="_Toc318581170"/>
      <w:r>
        <w:rPr>
          <w:rFonts w:ascii="宋体" w:hAnsi="宋体" w:eastAsia="宋体"/>
          <w:szCs w:val="21"/>
          <w:highlight w:val="none"/>
        </w:rPr>
        <w:t>承包人原因造成工期延误，逾期竣工违约金的计算方法为：</w:t>
      </w:r>
      <w:r>
        <w:rPr>
          <w:rFonts w:hint="eastAsia" w:ascii="宋体" w:hAnsi="宋体" w:eastAsia="宋体"/>
          <w:bCs/>
          <w:color w:val="0000FF"/>
          <w:szCs w:val="21"/>
          <w:highlight w:val="none"/>
          <w:u w:val="single"/>
        </w:rPr>
        <w:t>①如因承包人原因，导致节点工期延误，承包人按每延误一天赔偿5000元整向发包人支付违约金，此违约金并不能解除承包人应完成的工程责任及合同规定的其他责任。</w:t>
      </w:r>
    </w:p>
    <w:p w14:paraId="75E9754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②如因承包人原因，导致竣工工期滞后于合同工期，承包人按工期每滞后一天赔偿50000元整向发包人支付违约金，累计最多不超过本工程合同价的1%，此违约金并不能解除承包人应完成的工程责任及合同规定的其他责任。</w:t>
      </w:r>
    </w:p>
    <w:p w14:paraId="1FD9C8D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szCs w:val="21"/>
          <w:highlight w:val="none"/>
        </w:rPr>
        <w:t>因承包人原因造成工期延误，逾期竣工违约金的上限：</w:t>
      </w:r>
      <w:r>
        <w:rPr>
          <w:rFonts w:hint="eastAsia" w:ascii="宋体" w:hAnsi="宋体" w:eastAsia="宋体"/>
          <w:bCs/>
          <w:color w:val="0000FF"/>
          <w:szCs w:val="21"/>
          <w:highlight w:val="none"/>
          <w:u w:val="single"/>
        </w:rPr>
        <w:t>如延误工期15天，发包人有权单方面中止合同，承包人必须立即清场并赔偿发包人的损失</w:t>
      </w:r>
      <w:r>
        <w:rPr>
          <w:rFonts w:ascii="宋体" w:hAnsi="宋体" w:eastAsia="宋体"/>
          <w:szCs w:val="21"/>
          <w:highlight w:val="none"/>
        </w:rPr>
        <w:t>。</w:t>
      </w:r>
      <w:bookmarkEnd w:id="185"/>
      <w:bookmarkEnd w:id="186"/>
      <w:bookmarkEnd w:id="187"/>
      <w:bookmarkEnd w:id="188"/>
      <w:bookmarkEnd w:id="189"/>
      <w:bookmarkEnd w:id="190"/>
      <w:bookmarkEnd w:id="191"/>
    </w:p>
    <w:bookmarkEnd w:id="192"/>
    <w:p w14:paraId="00A53C33">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w:t>
      </w:r>
      <w:bookmarkStart w:id="193" w:name="_Toc312678015"/>
      <w:bookmarkStart w:id="194" w:name="_Toc297123519"/>
      <w:bookmarkStart w:id="195" w:name="_Toc297216178"/>
      <w:bookmarkStart w:id="196" w:name="_Toc300934971"/>
      <w:bookmarkStart w:id="197" w:name="_Toc304295549"/>
      <w:bookmarkStart w:id="198" w:name="_Toc303539128"/>
      <w:r>
        <w:rPr>
          <w:rFonts w:ascii="宋体" w:hAnsi="宋体" w:eastAsia="宋体"/>
          <w:sz w:val="24"/>
          <w:szCs w:val="24"/>
          <w:highlight w:val="none"/>
        </w:rPr>
        <w:t>.6不</w:t>
      </w:r>
      <w:bookmarkEnd w:id="193"/>
      <w:bookmarkEnd w:id="194"/>
      <w:bookmarkEnd w:id="195"/>
      <w:bookmarkEnd w:id="196"/>
      <w:bookmarkEnd w:id="197"/>
      <w:bookmarkEnd w:id="198"/>
      <w:r>
        <w:rPr>
          <w:rFonts w:ascii="宋体" w:hAnsi="宋体" w:eastAsia="宋体"/>
          <w:sz w:val="24"/>
          <w:szCs w:val="24"/>
          <w:highlight w:val="none"/>
        </w:rPr>
        <w:t>利物质条件</w:t>
      </w:r>
    </w:p>
    <w:p w14:paraId="0AF644C0">
      <w:pPr>
        <w:adjustRightInd w:val="0"/>
        <w:snapToGrid w:val="0"/>
        <w:spacing w:line="360" w:lineRule="auto"/>
        <w:ind w:firstLine="440" w:firstLineChars="200"/>
        <w:jc w:val="left"/>
        <w:rPr>
          <w:rFonts w:ascii="宋体" w:hAnsi="宋体" w:eastAsia="宋体"/>
          <w:szCs w:val="21"/>
          <w:highlight w:val="none"/>
        </w:rPr>
      </w:pPr>
      <w:bookmarkStart w:id="199" w:name="_Toc304295550"/>
      <w:bookmarkStart w:id="200" w:name="_Toc297216179"/>
      <w:bookmarkStart w:id="201" w:name="_Toc303539129"/>
      <w:bookmarkStart w:id="202" w:name="_Toc312678016"/>
      <w:bookmarkStart w:id="203" w:name="_Toc300934972"/>
      <w:bookmarkStart w:id="204" w:name="_Toc297123520"/>
      <w:bookmarkStart w:id="205" w:name="_Toc318581172"/>
      <w:r>
        <w:rPr>
          <w:rFonts w:ascii="宋体" w:hAnsi="宋体" w:eastAsia="宋体"/>
          <w:szCs w:val="21"/>
          <w:highlight w:val="none"/>
        </w:rPr>
        <w:t>不利物质条件的其他情形和有关约定：</w:t>
      </w:r>
      <w:r>
        <w:rPr>
          <w:rFonts w:hint="eastAsia" w:ascii="宋体" w:hAnsi="宋体" w:eastAsia="宋体"/>
          <w:bCs/>
          <w:color w:val="0000FF"/>
          <w:szCs w:val="21"/>
          <w:highlight w:val="none"/>
          <w:u w:val="single"/>
        </w:rPr>
        <w:t>除地震、洪水等不可抗力</w:t>
      </w:r>
      <w:r>
        <w:rPr>
          <w:rFonts w:hint="eastAsia" w:ascii="宋体" w:hAnsi="宋体" w:eastAsia="宋体"/>
          <w:bCs/>
          <w:color w:val="0000FF"/>
          <w:szCs w:val="21"/>
          <w:highlight w:val="none"/>
          <w:u w:val="single"/>
          <w:lang w:eastAsia="zh-CN"/>
        </w:rPr>
        <w:t>、以</w:t>
      </w:r>
      <w:r>
        <w:rPr>
          <w:rFonts w:hint="eastAsia" w:ascii="宋体" w:hAnsi="宋体" w:eastAsia="宋体"/>
          <w:bCs/>
          <w:color w:val="0000FF"/>
          <w:szCs w:val="21"/>
          <w:highlight w:val="none"/>
          <w:u w:val="single"/>
        </w:rPr>
        <w:t>及发包人书面确认的原因外，承包人不得以任何借口延长工期；其余按通用条款执行，工期的延长并不附带任何的补偿费用</w:t>
      </w:r>
      <w:r>
        <w:rPr>
          <w:rFonts w:ascii="宋体" w:hAnsi="宋体" w:eastAsia="宋体"/>
          <w:szCs w:val="21"/>
          <w:highlight w:val="none"/>
        </w:rPr>
        <w:t>。</w:t>
      </w:r>
    </w:p>
    <w:bookmarkEnd w:id="199"/>
    <w:bookmarkEnd w:id="200"/>
    <w:bookmarkEnd w:id="201"/>
    <w:bookmarkEnd w:id="202"/>
    <w:bookmarkEnd w:id="203"/>
    <w:bookmarkEnd w:id="204"/>
    <w:bookmarkEnd w:id="205"/>
    <w:p w14:paraId="3CD47848">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w:t>
      </w:r>
      <w:bookmarkStart w:id="206" w:name="_Toc304295551"/>
      <w:bookmarkStart w:id="207" w:name="_Toc300934973"/>
      <w:bookmarkStart w:id="208" w:name="_Toc297216180"/>
      <w:bookmarkStart w:id="209" w:name="_Toc303539130"/>
      <w:bookmarkStart w:id="210" w:name="_Toc312678017"/>
      <w:bookmarkStart w:id="211" w:name="_Toc297123521"/>
      <w:r>
        <w:rPr>
          <w:rFonts w:ascii="宋体" w:hAnsi="宋体" w:eastAsia="宋体"/>
          <w:sz w:val="24"/>
          <w:szCs w:val="24"/>
          <w:highlight w:val="none"/>
        </w:rPr>
        <w:t>.7异常恶劣的气候条件</w:t>
      </w:r>
    </w:p>
    <w:bookmarkEnd w:id="206"/>
    <w:bookmarkEnd w:id="207"/>
    <w:bookmarkEnd w:id="208"/>
    <w:bookmarkEnd w:id="209"/>
    <w:bookmarkEnd w:id="210"/>
    <w:bookmarkEnd w:id="211"/>
    <w:p w14:paraId="273CAA0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发包人和承包人同意以下情形视为异常恶劣的气候条件：</w:t>
      </w:r>
    </w:p>
    <w:p w14:paraId="192F69B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w:t>
      </w:r>
      <w:r>
        <w:rPr>
          <w:rFonts w:hint="eastAsia" w:ascii="宋体" w:hAnsi="宋体" w:eastAsia="宋体"/>
          <w:bCs/>
          <w:color w:val="0000FF"/>
          <w:szCs w:val="21"/>
          <w:highlight w:val="none"/>
          <w:u w:val="single"/>
        </w:rPr>
        <w:t>异常恶劣的气候条件的确定由合同双方根据实际情况协商确定</w:t>
      </w:r>
      <w:r>
        <w:rPr>
          <w:rFonts w:ascii="宋体" w:hAnsi="宋体" w:eastAsia="宋体"/>
          <w:szCs w:val="21"/>
          <w:highlight w:val="none"/>
        </w:rPr>
        <w:t>；</w:t>
      </w:r>
    </w:p>
    <w:p w14:paraId="5D46DE0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lang w:eastAsia="zh-CN"/>
        </w:rPr>
        <w:t>/</w:t>
      </w:r>
    </w:p>
    <w:p w14:paraId="3733FCE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lang w:eastAsia="zh-CN"/>
        </w:rPr>
        <w:t>/</w:t>
      </w:r>
    </w:p>
    <w:p w14:paraId="4DB631D2">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7.9提前竣工的奖励</w:t>
      </w:r>
    </w:p>
    <w:p w14:paraId="7F4FFAC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7.9.2提前竣工的奖励：</w:t>
      </w:r>
      <w:r>
        <w:rPr>
          <w:rFonts w:hint="eastAsia" w:ascii="宋体" w:hAnsi="宋体" w:eastAsia="宋体"/>
          <w:bCs/>
          <w:color w:val="0000FF"/>
          <w:szCs w:val="21"/>
          <w:highlight w:val="none"/>
          <w:u w:val="single"/>
        </w:rPr>
        <w:t>无</w:t>
      </w:r>
      <w:r>
        <w:rPr>
          <w:rFonts w:ascii="宋体" w:hAnsi="宋体" w:eastAsia="宋体"/>
          <w:szCs w:val="21"/>
          <w:highlight w:val="none"/>
        </w:rPr>
        <w:t>。</w:t>
      </w:r>
    </w:p>
    <w:p w14:paraId="2AEB4E37">
      <w:pPr>
        <w:pStyle w:val="7"/>
        <w:adjustRightInd w:val="0"/>
        <w:snapToGrid w:val="0"/>
        <w:spacing w:before="0" w:after="0" w:line="360" w:lineRule="auto"/>
        <w:ind w:firstLine="560" w:firstLineChars="200"/>
        <w:jc w:val="left"/>
        <w:rPr>
          <w:rFonts w:ascii="宋体" w:hAnsi="宋体" w:eastAsia="宋体"/>
          <w:b w:val="0"/>
          <w:highlight w:val="none"/>
        </w:rPr>
      </w:pPr>
      <w:bookmarkStart w:id="212" w:name="_Toc351203640"/>
      <w:r>
        <w:rPr>
          <w:rFonts w:ascii="宋体" w:hAnsi="宋体" w:eastAsia="宋体"/>
          <w:b w:val="0"/>
          <w:highlight w:val="none"/>
        </w:rPr>
        <w:t>8.材料与设备</w:t>
      </w:r>
      <w:bookmarkEnd w:id="212"/>
    </w:p>
    <w:bookmarkEnd w:id="149"/>
    <w:bookmarkEnd w:id="150"/>
    <w:bookmarkEnd w:id="151"/>
    <w:bookmarkEnd w:id="152"/>
    <w:bookmarkEnd w:id="153"/>
    <w:bookmarkEnd w:id="154"/>
    <w:bookmarkEnd w:id="155"/>
    <w:bookmarkEnd w:id="156"/>
    <w:bookmarkEnd w:id="157"/>
    <w:bookmarkEnd w:id="158"/>
    <w:p w14:paraId="16A7E7C4">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8</w:t>
      </w:r>
      <w:bookmarkStart w:id="213" w:name="_Toc304295556"/>
      <w:bookmarkStart w:id="214" w:name="_Toc297123527"/>
      <w:bookmarkStart w:id="215" w:name="_Toc292559877"/>
      <w:bookmarkStart w:id="216" w:name="_Toc312678019"/>
      <w:bookmarkStart w:id="217" w:name="_Toc280868654"/>
      <w:bookmarkStart w:id="218" w:name="_Toc297048353"/>
      <w:bookmarkStart w:id="219" w:name="_Toc296347166"/>
      <w:bookmarkStart w:id="220" w:name="_Toc297216186"/>
      <w:bookmarkStart w:id="221" w:name="_Toc312677493"/>
      <w:bookmarkStart w:id="222" w:name="_Toc300934979"/>
      <w:bookmarkStart w:id="223" w:name="_Toc292559372"/>
      <w:bookmarkStart w:id="224" w:name="_Toc296890995"/>
      <w:bookmarkStart w:id="225" w:name="_Toc296503167"/>
      <w:bookmarkStart w:id="226" w:name="_Toc296944506"/>
      <w:bookmarkStart w:id="227" w:name="_Toc296346668"/>
      <w:bookmarkStart w:id="228" w:name="_Toc296891207"/>
      <w:bookmarkStart w:id="229" w:name="_Toc303539136"/>
      <w:bookmarkStart w:id="230" w:name="_Toc297120467"/>
      <w:bookmarkStart w:id="231" w:name="_Toc280868656"/>
      <w:bookmarkStart w:id="232" w:name="_Toc280868655"/>
      <w:bookmarkStart w:id="233" w:name="_Toc267251424"/>
      <w:r>
        <w:rPr>
          <w:rFonts w:ascii="宋体" w:hAnsi="宋体" w:eastAsia="宋体"/>
          <w:sz w:val="24"/>
          <w:szCs w:val="24"/>
          <w:highlight w:val="none"/>
        </w:rPr>
        <w:t>.4材料与工程设备的保管与使用</w:t>
      </w:r>
    </w:p>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573DCC0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8</w:t>
      </w:r>
      <w:bookmarkStart w:id="234" w:name="_Toc292559373"/>
      <w:bookmarkStart w:id="235" w:name="_Toc292559878"/>
      <w:bookmarkStart w:id="236" w:name="_Toc303539137"/>
      <w:bookmarkStart w:id="237" w:name="_Toc296891208"/>
      <w:bookmarkStart w:id="238" w:name="_Toc296346669"/>
      <w:bookmarkStart w:id="239" w:name="_Toc304295557"/>
      <w:bookmarkStart w:id="240" w:name="_Toc297123528"/>
      <w:bookmarkStart w:id="241" w:name="_Toc318581173"/>
      <w:bookmarkStart w:id="242" w:name="_Toc312677494"/>
      <w:bookmarkStart w:id="243" w:name="_Toc312678020"/>
      <w:bookmarkStart w:id="244" w:name="_Toc300934980"/>
      <w:bookmarkStart w:id="245" w:name="_Toc297216187"/>
      <w:bookmarkStart w:id="246" w:name="_Toc296890996"/>
      <w:bookmarkStart w:id="247" w:name="_Toc296503168"/>
      <w:bookmarkStart w:id="248" w:name="_Toc297120468"/>
      <w:bookmarkStart w:id="249" w:name="_Toc296944507"/>
      <w:bookmarkStart w:id="250" w:name="_Toc297048354"/>
      <w:bookmarkStart w:id="251" w:name="_Toc296347167"/>
      <w:r>
        <w:rPr>
          <w:rFonts w:ascii="宋体" w:hAnsi="宋体" w:eastAsia="宋体"/>
          <w:szCs w:val="21"/>
          <w:highlight w:val="none"/>
        </w:rPr>
        <w:t>.4.1发包人供应的材料设备的保管费用的承担：</w:t>
      </w:r>
      <w:r>
        <w:rPr>
          <w:rFonts w:hint="eastAsia" w:ascii="宋体" w:hAnsi="宋体" w:eastAsia="宋体"/>
          <w:bCs/>
          <w:color w:val="0000FF"/>
          <w:szCs w:val="21"/>
          <w:highlight w:val="none"/>
          <w:u w:val="single"/>
        </w:rPr>
        <w:t>发包人按约定的计划提供材料设备，由承包人派人与发包人共同清点。承包人负责发包人供应材料、设备的卸货并承担下力费、保管费，此费用含在合同价内，结算时不再另行收取费用</w:t>
      </w:r>
      <w:r>
        <w:rPr>
          <w:rFonts w:ascii="宋体" w:hAnsi="宋体" w:eastAsia="宋体"/>
          <w:szCs w:val="21"/>
          <w:highlight w:val="none"/>
        </w:rPr>
        <w:t>。</w:t>
      </w:r>
      <w:bookmarkEnd w:id="234"/>
      <w:bookmarkEnd w:id="235"/>
    </w:p>
    <w:p w14:paraId="7655A8C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8.6样品</w:t>
      </w:r>
    </w:p>
    <w:p w14:paraId="07B3182B">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8.6.1</w:t>
      </w:r>
      <w:r>
        <w:rPr>
          <w:rFonts w:ascii="宋体" w:hAnsi="宋体" w:eastAsia="宋体"/>
          <w:kern w:val="0"/>
          <w:szCs w:val="21"/>
          <w:highlight w:val="none"/>
        </w:rPr>
        <w:tab/>
      </w:r>
      <w:r>
        <w:rPr>
          <w:rFonts w:ascii="宋体" w:hAnsi="宋体" w:eastAsia="宋体"/>
          <w:kern w:val="0"/>
          <w:szCs w:val="21"/>
          <w:highlight w:val="none"/>
        </w:rPr>
        <w:t>样品的报送</w:t>
      </w:r>
      <w:r>
        <w:rPr>
          <w:rFonts w:hint="eastAsia" w:ascii="宋体" w:hAnsi="宋体" w:eastAsia="宋体"/>
          <w:kern w:val="0"/>
          <w:szCs w:val="21"/>
          <w:highlight w:val="none"/>
        </w:rPr>
        <w:t>与封存</w:t>
      </w:r>
    </w:p>
    <w:p w14:paraId="37CFDD3B">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需要承包人报送样品的材料或工程设备，样品的种类、名称、规格、数量要求：</w:t>
      </w:r>
      <w:r>
        <w:rPr>
          <w:rFonts w:hint="eastAsia" w:ascii="宋体" w:hAnsi="宋体" w:eastAsia="宋体"/>
          <w:bCs/>
          <w:color w:val="0000FF"/>
          <w:szCs w:val="21"/>
          <w:highlight w:val="none"/>
          <w:u w:val="single"/>
        </w:rPr>
        <w:t>(1)承包商应根据采购需要在其项目经理部中配置专门的、熟悉业务的采购人员；</w:t>
      </w:r>
    </w:p>
    <w:p w14:paraId="01C15A0B">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(2)承包人在项目中使用的采购程序和质量控制办法应报发包人、监理备案；</w:t>
      </w:r>
    </w:p>
    <w:p w14:paraId="03B3D749">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双方约定由承包人采购的材料必须是优质产品，必须符合有关规范、设计图纸规定的质量要求或发包人所要求的标准且经发包人和监理人事先认可。承包人采购的所有主要材料进场必须按照合同规定的流程报监理、发包人审核、批准，只有经发包人、监理批准后承包人方可进行采购，否则承包人所采购之材料不得进场使用，更不得进入中期付款或价款结算，由此所造成的一切费用与损失由承包人自行承担。</w:t>
      </w:r>
    </w:p>
    <w:p w14:paraId="69F44596">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承包人采购进场的材料设备应严格按照设计要求、招标文件要求和有关标准、规范进行检验。承包人采购进场的材料设备要按规定在使用前进行必要的材料检测或复试，不合格的不得使用。如发包人或监理发现不合格的材料设备进场，有权责令其无条件退场。不按要求退场的，造成的损失由承包人负全责。测试结果不合格的材料、设备凡未进场的应立即停止进场；已运至现场的应立即由承包人运出现场；已经使用的，承包人应无条件返工。由此造成的全部材料、设备采购费用及复测费用均由承包人承担，且由此延误的工期不予顺延。</w:t>
      </w:r>
    </w:p>
    <w:p w14:paraId="32C5B785">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(5)材料代用时须经发包人和监理方认可,承包人代用材料的采购价格和品牌必须经发包人确认后方可进行采购,并以此作为调整投标报价中材料价格的依据。</w:t>
      </w:r>
    </w:p>
    <w:p w14:paraId="3F6048A6">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(6)双方约定,除甲供材或甲控乙购材料设备外，</w:t>
      </w:r>
      <w:r>
        <w:rPr>
          <w:rFonts w:hint="eastAsia" w:ascii="宋体" w:hAnsi="宋体" w:eastAsia="宋体"/>
          <w:bCs/>
          <w:color w:val="0000FF"/>
          <w:szCs w:val="21"/>
          <w:highlight w:val="none"/>
          <w:u w:val="single"/>
          <w:lang w:eastAsia="zh-CN"/>
        </w:rPr>
        <w:t>其他材料</w:t>
      </w:r>
      <w:r>
        <w:rPr>
          <w:rFonts w:hint="eastAsia" w:ascii="宋体" w:hAnsi="宋体" w:eastAsia="宋体"/>
          <w:bCs/>
          <w:color w:val="0000FF"/>
          <w:szCs w:val="21"/>
          <w:highlight w:val="none"/>
          <w:u w:val="single"/>
        </w:rPr>
        <w:t>设备均为乙购，所有承包人采购的材料设备进场前，应将拟采购材料设备的产品样本（必要时提供样品）与技术参数提交发包人、监理审核确认。同时应将采购的材料、设备以书面形式对其性能、产地、厂家、品牌、规格型号、价格等向发包人、监理作出说明，须获得发包人、监理书面确认后方可使用，所有承包人采购的材料设备必须向监理提供产品出厂证明、质量说明、合格证书、准用证，进口产品还应提供原产地证明、报关手续等证明资料。</w:t>
      </w:r>
    </w:p>
    <w:p w14:paraId="02FEA95A">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如承包人购进的材料设备与其所提供的样品不一致时，或在施工过程中私自更换的，由承包人无条件退货，因此造成的损失由承包人负全责，并按相关制度接受发包人考核。承包人采购材料设备不符合上述要求，发包人将不予支付相应部分的材料款。</w:t>
      </w:r>
    </w:p>
    <w:p w14:paraId="616DC963">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(8)承包人对其采购的材料设备的数量、规格及供应时间负责，应满足工程进度要求。除发包人已明确采购范围的材料设备，其他材料设备必须选用市场主流品牌厂家的优质产品，否则在工程实施过程中，发包人有权予以变更厂家。如承包人所采购的材料设备的市场价格明显低于投标时所报单价，发包人有权选择：材料设备改由发包人供应或重新核定单价并由承包人采购。</w:t>
      </w:r>
    </w:p>
    <w:p w14:paraId="7455B847">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(9)本工程部分乙供材料设备发包人建议了品牌范围，投标人须在建议的品牌或不低于该档次的品牌中选择，进行市场询价，自主报价，并在投标文件中注明所选择品牌名称。若选择推荐以外的品牌需在招标答疑时提出，经发包人确认后方可使用，否则不予使用；同时，发包人有权要求承包人更换为推荐品牌中任一品牌的同质产品，所报材料单价不调整。所有材料设备进场前必须报发包人和监理确认品牌和质量后方可批量进场，否则一切后果自行承担，材料参考品牌表具体详见下表。</w:t>
      </w:r>
    </w:p>
    <w:p w14:paraId="5D71252B">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(10)发包人、监理有权对材料设备供应商进行考察，并保留对不符合要求的材料设备供应商的否决权；发包人、监理有权对承包人的材料设备采购环节进行监控，并行使最终的质量检验认可权和否决权；如果发包人、监理在监控过程和检验中发现该材料设备不符合规定的质量要求，对此承包人应督促供应商进行整改直至发包人、监理满意，由此造成的工期推迟和费用的增加由承包人承担；</w:t>
      </w:r>
    </w:p>
    <w:p w14:paraId="375AB8DC">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(11)对大宗乙供材料设备，发包人及监理应作为材料供应合同的鉴定方，来控制乙供材的质量、付款及进度。根据工程需要，发包人有权直接从工程款中扣除部分材料设备的供货款，并直接支付给相关材料设备的供货方。</w:t>
      </w:r>
    </w:p>
    <w:p w14:paraId="6AD7C18E">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(12)承包人采购材料设备须按照监理工程师要求以及国家或地方的规定报送样品、厂家、品牌、质保书、出厂合格证书、复试抽验报告、环保检测证明、消防检测证明供应商等，经监理工程师、发包人认可后才能用于本工程。材料设备的检验报告、质量合格证书及使用说明等相关技术文件应完备齐全，与材料进场同时提交，并由承包人妥善保存，竣工时移交监理。如果发包人提出要求，承包人还应提供材料设备的出厂批号和发货清单。</w:t>
      </w:r>
    </w:p>
    <w:p w14:paraId="0CB710BA">
      <w:pPr>
        <w:autoSpaceDE w:val="0"/>
        <w:autoSpaceDN w:val="0"/>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(13)发包人和监理单位对承包人所采购材料设备的认可并不免除承包人对所采购材料的质量责任。</w:t>
      </w:r>
    </w:p>
    <w:p w14:paraId="713BB16C">
      <w:pPr>
        <w:autoSpaceDE w:val="0"/>
        <w:autoSpaceDN w:val="0"/>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发包人和监理工程师的上述要求并不免除承包人对所采购的材料设备按合同规定应承担的责任</w:t>
      </w:r>
      <w:r>
        <w:rPr>
          <w:rFonts w:ascii="宋体" w:hAnsi="宋体" w:eastAsia="宋体"/>
          <w:szCs w:val="21"/>
          <w:highlight w:val="none"/>
        </w:rPr>
        <w:t>。</w:t>
      </w:r>
    </w:p>
    <w:p w14:paraId="13685E58">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8.8施工设备和临时设施</w:t>
      </w:r>
    </w:p>
    <w:p w14:paraId="6C33EFC2">
      <w:pPr>
        <w:autoSpaceDE w:val="0"/>
        <w:autoSpaceDN w:val="0"/>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8.8.1承包人提供的施工设备和临时设施</w:t>
      </w:r>
    </w:p>
    <w:p w14:paraId="079872A6">
      <w:pPr>
        <w:autoSpaceDE w:val="0"/>
        <w:autoSpaceDN w:val="0"/>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关于修建临时设施费用承担的约定：</w:t>
      </w:r>
      <w:r>
        <w:rPr>
          <w:rFonts w:hint="eastAsia" w:ascii="宋体" w:hAnsi="宋体" w:eastAsia="宋体"/>
          <w:bCs/>
          <w:color w:val="0000FF"/>
          <w:szCs w:val="21"/>
          <w:highlight w:val="none"/>
          <w:u w:val="single"/>
        </w:rPr>
        <w:t>一切费用由承包人自行承担（包括塔吊基础等）。工程竣工验收后，承包人的施工人员、材料、机械、设备必须在15天内全部退出现场；临时设施30天之内无条件拆除；如承包人违反以上条件，按每天2000元向发包人支付违约金，并视为承包人放弃以上所有材料、设施的所有权；同时发包人将委托其他单位清理现场，因此产生的清理费用发包人有权直接从结算款项中扣除</w:t>
      </w:r>
      <w:r>
        <w:rPr>
          <w:rFonts w:ascii="宋体" w:hAnsi="宋体" w:eastAsia="宋体"/>
          <w:szCs w:val="21"/>
          <w:highlight w:val="none"/>
        </w:rPr>
        <w:t>。</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7186E902">
      <w:pPr>
        <w:pStyle w:val="7"/>
        <w:adjustRightInd w:val="0"/>
        <w:snapToGrid w:val="0"/>
        <w:spacing w:before="0" w:after="0" w:line="360" w:lineRule="auto"/>
        <w:ind w:firstLine="560" w:firstLineChars="200"/>
        <w:jc w:val="left"/>
        <w:rPr>
          <w:rFonts w:ascii="宋体" w:hAnsi="宋体" w:eastAsia="宋体"/>
          <w:b w:val="0"/>
          <w:highlight w:val="none"/>
        </w:rPr>
      </w:pPr>
      <w:bookmarkStart w:id="252" w:name="_Toc351203641"/>
      <w:r>
        <w:rPr>
          <w:rFonts w:ascii="宋体" w:hAnsi="宋体" w:eastAsia="宋体"/>
          <w:b w:val="0"/>
          <w:highlight w:val="none"/>
        </w:rPr>
        <w:t>9</w:t>
      </w:r>
      <w:bookmarkEnd w:id="231"/>
      <w:bookmarkEnd w:id="232"/>
      <w:bookmarkEnd w:id="233"/>
      <w:bookmarkStart w:id="253" w:name="_Toc303539139"/>
      <w:bookmarkStart w:id="254" w:name="_Toc312678021"/>
      <w:bookmarkStart w:id="255" w:name="_Toc300934982"/>
      <w:bookmarkStart w:id="256" w:name="_Toc297123533"/>
      <w:bookmarkStart w:id="257" w:name="_Toc297216192"/>
      <w:bookmarkStart w:id="258" w:name="_Toc312677495"/>
      <w:bookmarkStart w:id="259" w:name="_Toc304295559"/>
      <w:bookmarkStart w:id="260" w:name="_Toc267251428"/>
      <w:bookmarkStart w:id="261" w:name="_Toc296891213"/>
      <w:bookmarkStart w:id="262" w:name="_Toc296347172"/>
      <w:bookmarkStart w:id="263" w:name="_Toc296944512"/>
      <w:bookmarkStart w:id="264" w:name="_Toc292559378"/>
      <w:bookmarkStart w:id="265" w:name="_Toc297120473"/>
      <w:bookmarkStart w:id="266" w:name="_Toc296346674"/>
      <w:bookmarkStart w:id="267" w:name="_Toc297048359"/>
      <w:bookmarkStart w:id="268" w:name="_Toc296503173"/>
      <w:bookmarkStart w:id="269" w:name="_Toc296891001"/>
      <w:bookmarkStart w:id="270" w:name="_Toc292559883"/>
      <w:bookmarkStart w:id="271" w:name="_Toc267251427"/>
      <w:r>
        <w:rPr>
          <w:rFonts w:ascii="宋体" w:hAnsi="宋体" w:eastAsia="宋体"/>
          <w:b w:val="0"/>
          <w:highlight w:val="none"/>
        </w:rPr>
        <w:t>.试验与检验</w:t>
      </w:r>
      <w:bookmarkEnd w:id="252"/>
    </w:p>
    <w:bookmarkEnd w:id="253"/>
    <w:bookmarkEnd w:id="254"/>
    <w:bookmarkEnd w:id="255"/>
    <w:bookmarkEnd w:id="256"/>
    <w:bookmarkEnd w:id="257"/>
    <w:bookmarkEnd w:id="258"/>
    <w:bookmarkEnd w:id="259"/>
    <w:p w14:paraId="44F131B9">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9</w:t>
      </w:r>
      <w:bookmarkStart w:id="272" w:name="_Toc312677496"/>
      <w:bookmarkStart w:id="273" w:name="_Toc297123534"/>
      <w:bookmarkStart w:id="274" w:name="_Toc303539140"/>
      <w:bookmarkStart w:id="275" w:name="_Toc304295560"/>
      <w:bookmarkStart w:id="276" w:name="_Toc300934983"/>
      <w:bookmarkStart w:id="277" w:name="_Toc312678022"/>
      <w:bookmarkStart w:id="278" w:name="_Toc297216193"/>
      <w:r>
        <w:rPr>
          <w:rFonts w:ascii="宋体" w:hAnsi="宋体" w:eastAsia="宋体"/>
          <w:sz w:val="24"/>
          <w:szCs w:val="24"/>
          <w:highlight w:val="none"/>
        </w:rPr>
        <w:t>.1试验设备与试验人员</w:t>
      </w:r>
    </w:p>
    <w:bookmarkEnd w:id="272"/>
    <w:bookmarkEnd w:id="273"/>
    <w:bookmarkEnd w:id="274"/>
    <w:bookmarkEnd w:id="275"/>
    <w:bookmarkEnd w:id="276"/>
    <w:bookmarkEnd w:id="277"/>
    <w:bookmarkEnd w:id="278"/>
    <w:p w14:paraId="17A5BCE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9</w:t>
      </w:r>
      <w:bookmarkStart w:id="279" w:name="_Toc312677497"/>
      <w:bookmarkStart w:id="280" w:name="_Toc300934984"/>
      <w:bookmarkStart w:id="281" w:name="_Toc304295561"/>
      <w:bookmarkStart w:id="282" w:name="_Toc312678023"/>
      <w:bookmarkStart w:id="283" w:name="_Toc303539141"/>
      <w:bookmarkStart w:id="284" w:name="_Toc297216194"/>
      <w:bookmarkStart w:id="285" w:name="_Toc297123535"/>
      <w:bookmarkStart w:id="286" w:name="_Toc318581174"/>
      <w:r>
        <w:rPr>
          <w:rFonts w:ascii="宋体" w:hAnsi="宋体" w:eastAsia="宋体"/>
          <w:szCs w:val="21"/>
          <w:highlight w:val="none"/>
        </w:rPr>
        <w:t>.1.2试验设备</w:t>
      </w:r>
    </w:p>
    <w:p w14:paraId="3E23FB1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施工现场需要配置的试验场所：</w:t>
      </w:r>
      <w:bookmarkEnd w:id="279"/>
      <w:bookmarkEnd w:id="280"/>
      <w:bookmarkEnd w:id="281"/>
      <w:bookmarkEnd w:id="282"/>
      <w:bookmarkEnd w:id="283"/>
      <w:bookmarkEnd w:id="284"/>
      <w:bookmarkEnd w:id="285"/>
      <w:bookmarkStart w:id="287" w:name="_Toc304295562"/>
      <w:bookmarkStart w:id="288" w:name="_Toc297216195"/>
      <w:bookmarkStart w:id="289" w:name="_Toc303539142"/>
      <w:bookmarkStart w:id="290" w:name="_Toc312677498"/>
      <w:bookmarkStart w:id="291" w:name="_Toc297123536"/>
      <w:bookmarkStart w:id="292" w:name="_Toc312678024"/>
      <w:bookmarkStart w:id="293" w:name="_Toc300934985"/>
      <w:r>
        <w:rPr>
          <w:rFonts w:hint="eastAsia" w:ascii="宋体" w:hAnsi="宋体" w:eastAsia="宋体"/>
          <w:bCs/>
          <w:color w:val="0000FF"/>
          <w:szCs w:val="21"/>
          <w:highlight w:val="none"/>
          <w:u w:val="single"/>
        </w:rPr>
        <w:t>承包人按规定和按投标文件承诺配置</w:t>
      </w:r>
      <w:r>
        <w:rPr>
          <w:rFonts w:ascii="宋体" w:hAnsi="宋体" w:eastAsia="宋体"/>
          <w:szCs w:val="21"/>
          <w:highlight w:val="none"/>
        </w:rPr>
        <w:t>。</w:t>
      </w:r>
    </w:p>
    <w:p w14:paraId="01829C1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施工现场需要配备的试验设备：</w:t>
      </w:r>
      <w:r>
        <w:rPr>
          <w:rFonts w:hint="eastAsia" w:ascii="宋体" w:hAnsi="宋体" w:eastAsia="宋体"/>
          <w:bCs/>
          <w:color w:val="0000FF"/>
          <w:szCs w:val="21"/>
          <w:highlight w:val="none"/>
          <w:u w:val="single"/>
        </w:rPr>
        <w:t>承包人按规定和按投标文件承诺</w:t>
      </w:r>
      <w:r>
        <w:rPr>
          <w:rFonts w:ascii="宋体" w:hAnsi="宋体" w:eastAsia="宋体"/>
          <w:szCs w:val="21"/>
          <w:highlight w:val="none"/>
        </w:rPr>
        <w:t>。</w:t>
      </w:r>
    </w:p>
    <w:p w14:paraId="5899C9D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施工现场需要具备的其他试验条件：</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1FD55F34">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9.4现场工艺试验</w:t>
      </w:r>
    </w:p>
    <w:p w14:paraId="4468125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现场工艺试验的有关约定：</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bookmarkEnd w:id="286"/>
    <w:bookmarkEnd w:id="287"/>
    <w:bookmarkEnd w:id="288"/>
    <w:bookmarkEnd w:id="289"/>
    <w:bookmarkEnd w:id="290"/>
    <w:bookmarkEnd w:id="291"/>
    <w:bookmarkEnd w:id="292"/>
    <w:bookmarkEnd w:id="293"/>
    <w:p w14:paraId="0BC53581">
      <w:pPr>
        <w:pStyle w:val="7"/>
        <w:adjustRightInd w:val="0"/>
        <w:snapToGrid w:val="0"/>
        <w:spacing w:before="0" w:after="0" w:line="360" w:lineRule="auto"/>
        <w:ind w:firstLine="560" w:firstLineChars="200"/>
        <w:jc w:val="left"/>
        <w:rPr>
          <w:rFonts w:ascii="宋体" w:hAnsi="宋体" w:eastAsia="宋体"/>
          <w:b w:val="0"/>
          <w:highlight w:val="none"/>
        </w:rPr>
      </w:pPr>
      <w:bookmarkStart w:id="294" w:name="_Toc351203642"/>
      <w:r>
        <w:rPr>
          <w:rFonts w:ascii="宋体" w:hAnsi="宋体" w:eastAsia="宋体"/>
          <w:b w:val="0"/>
          <w:highlight w:val="none"/>
        </w:rPr>
        <w:t>1</w:t>
      </w:r>
      <w:bookmarkEnd w:id="260"/>
      <w:bookmarkEnd w:id="261"/>
      <w:bookmarkEnd w:id="262"/>
      <w:bookmarkEnd w:id="263"/>
      <w:bookmarkEnd w:id="264"/>
      <w:bookmarkEnd w:id="265"/>
      <w:bookmarkEnd w:id="266"/>
      <w:bookmarkEnd w:id="267"/>
      <w:bookmarkEnd w:id="268"/>
      <w:bookmarkEnd w:id="269"/>
      <w:bookmarkEnd w:id="270"/>
      <w:bookmarkEnd w:id="271"/>
      <w:bookmarkStart w:id="295" w:name="_Toc297216199"/>
      <w:bookmarkStart w:id="296" w:name="_Toc296347192"/>
      <w:bookmarkStart w:id="297" w:name="_Toc296503193"/>
      <w:bookmarkStart w:id="298" w:name="_Toc296891021"/>
      <w:bookmarkStart w:id="299" w:name="_Toc303539146"/>
      <w:bookmarkStart w:id="300" w:name="_Toc296346694"/>
      <w:bookmarkStart w:id="301" w:name="_Toc292559398"/>
      <w:bookmarkStart w:id="302" w:name="_Toc296944532"/>
      <w:bookmarkStart w:id="303" w:name="_Toc296891233"/>
      <w:bookmarkStart w:id="304" w:name="_Toc292559903"/>
      <w:bookmarkStart w:id="305" w:name="_Toc304295566"/>
      <w:bookmarkStart w:id="306" w:name="_Toc297048379"/>
      <w:bookmarkStart w:id="307" w:name="_Toc297120493"/>
      <w:bookmarkStart w:id="308" w:name="_Toc300934989"/>
      <w:bookmarkStart w:id="309" w:name="_Toc297123540"/>
      <w:bookmarkStart w:id="310" w:name="_Toc312678025"/>
      <w:bookmarkStart w:id="311" w:name="_Toc312677499"/>
      <w:bookmarkStart w:id="312" w:name="_Toc267251439"/>
      <w:bookmarkStart w:id="313" w:name="_Toc267251433"/>
      <w:bookmarkStart w:id="314" w:name="_Toc267251435"/>
      <w:bookmarkStart w:id="315" w:name="_Toc267251437"/>
      <w:bookmarkStart w:id="316" w:name="_Toc267251440"/>
      <w:bookmarkStart w:id="317" w:name="_Toc267251441"/>
      <w:bookmarkStart w:id="318" w:name="_Toc267251442"/>
      <w:r>
        <w:rPr>
          <w:rFonts w:ascii="宋体" w:hAnsi="宋体" w:eastAsia="宋体"/>
          <w:b w:val="0"/>
          <w:highlight w:val="none"/>
        </w:rPr>
        <w:t>0.变更</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End w:id="310"/>
    <w:bookmarkEnd w:id="311"/>
    <w:p w14:paraId="313F62A4">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w:t>
      </w:r>
      <w:bookmarkStart w:id="319" w:name="_Toc297123541"/>
      <w:bookmarkStart w:id="320" w:name="_Toc296346695"/>
      <w:bookmarkStart w:id="321" w:name="_Toc292559399"/>
      <w:bookmarkStart w:id="322" w:name="_Toc300934990"/>
      <w:bookmarkStart w:id="323" w:name="_Toc297120494"/>
      <w:bookmarkStart w:id="324" w:name="_Toc296347193"/>
      <w:bookmarkStart w:id="325" w:name="_Toc312677500"/>
      <w:bookmarkStart w:id="326" w:name="_Toc296891022"/>
      <w:bookmarkStart w:id="327" w:name="_Toc296891234"/>
      <w:bookmarkStart w:id="328" w:name="_Toc297048380"/>
      <w:bookmarkStart w:id="329" w:name="_Toc296503194"/>
      <w:bookmarkStart w:id="330" w:name="_Toc296944533"/>
      <w:bookmarkStart w:id="331" w:name="_Toc312678026"/>
      <w:bookmarkStart w:id="332" w:name="_Toc292559904"/>
      <w:bookmarkStart w:id="333" w:name="_Toc297216200"/>
      <w:bookmarkStart w:id="334" w:name="_Toc303539147"/>
      <w:bookmarkStart w:id="335" w:name="_Toc304295567"/>
      <w:r>
        <w:rPr>
          <w:rFonts w:ascii="宋体" w:hAnsi="宋体" w:eastAsia="宋体"/>
          <w:sz w:val="24"/>
          <w:szCs w:val="24"/>
          <w:highlight w:val="none"/>
        </w:rPr>
        <w:t>0.1变更的范围</w:t>
      </w:r>
    </w:p>
    <w:p w14:paraId="09FDDD8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关于变更的范围的约定：</w:t>
      </w:r>
      <w:r>
        <w:rPr>
          <w:rFonts w:hint="eastAsia" w:ascii="宋体" w:hAnsi="宋体" w:eastAsia="宋体"/>
          <w:bCs/>
          <w:color w:val="0000FF"/>
          <w:szCs w:val="21"/>
          <w:highlight w:val="none"/>
          <w:u w:val="single"/>
        </w:rPr>
        <w:t>（1）发包人保留变更或调整工程量的权力，承包人不得拒绝变更，更不得以变更为由提出不合理的要求。</w:t>
      </w:r>
    </w:p>
    <w:p w14:paraId="7D2D486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（2）承包人必须按发包人要求完成变更工作，否则发包人有权交由第三方承包商完成，并按第三方承包商报价的双倍作为违约金扣减承包人的合同价款。</w:t>
      </w:r>
    </w:p>
    <w:p w14:paraId="629640F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（3）变更导致工期的顺延由监理工程师及发包人审核、批准执行。</w:t>
      </w:r>
    </w:p>
    <w:p w14:paraId="2686286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（4）承包人提出的工程变更申请必须严格按照发包人规定的工程变更管理流程执行，涉及主体结构的变更内容必须经设计单位确认。</w:t>
      </w:r>
    </w:p>
    <w:p w14:paraId="6C9895E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设计单位出具的设计变更必须得到发包人的批准。承包人不得直接从设计单位取得设计变更，或者以贿赂等不正当手段影响本工程的设计师进行变更。否则，由此增加的工程费用由承包人承担，工期不予顺延。</w:t>
      </w:r>
    </w:p>
    <w:p w14:paraId="1124C73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（6）所有签证发生时，必须事先经监理、发包人、跟踪审计确认（隐蔽工程必须经现场确认）。</w:t>
      </w:r>
    </w:p>
    <w:p w14:paraId="7355102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按发包人发布的相关规定执行；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w:t>
      </w:r>
    </w:p>
    <w:p w14:paraId="03B0C9E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承包人应按照工程师发出的变更通知及有关要求，进行下列需要的变更：</w:t>
      </w:r>
    </w:p>
    <w:p w14:paraId="044EFB9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①更改工程有关部分的标高、基线、位置和尺寸；</w:t>
      </w:r>
    </w:p>
    <w:p w14:paraId="37F3140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②增减合同中约定的建设内容、工程量；</w:t>
      </w:r>
    </w:p>
    <w:p w14:paraId="57346E2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③改变有关工程的施工时间和顺序；</w:t>
      </w:r>
    </w:p>
    <w:p w14:paraId="25EA548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④其他有关工程变更需要的附加工作。</w:t>
      </w:r>
    </w:p>
    <w:p w14:paraId="0F849C8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因变更导致合同价款的增减，由发包人承担，延误的工期相应顺延。</w:t>
      </w:r>
    </w:p>
    <w:p w14:paraId="15BD96A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8）承包人每周例行提交的每周已完工程量的报告中应有当期的工程变更内容。如果承包人未能按时提交或不提交变更工程价款报告以及每周已完工程量的报告中未能包括当期的工程变更内容，而造成价款审核延误或变更工作内容/工程量核查困难，则由承包人承担由此而引起的对其不利的后果。</w:t>
      </w:r>
    </w:p>
    <w:p w14:paraId="10DFC92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（9）每月5日前，发包人、承包人应就</w:t>
      </w:r>
      <w:r>
        <w:rPr>
          <w:rFonts w:hint="eastAsia" w:ascii="宋体" w:hAnsi="宋体" w:eastAsia="宋体"/>
          <w:bCs/>
          <w:color w:val="0000FF"/>
          <w:szCs w:val="21"/>
          <w:highlight w:val="none"/>
          <w:u w:val="single"/>
          <w:lang w:eastAsia="zh-CN"/>
        </w:rPr>
        <w:t>截至</w:t>
      </w:r>
      <w:r>
        <w:rPr>
          <w:rFonts w:hint="eastAsia" w:ascii="宋体" w:hAnsi="宋体" w:eastAsia="宋体"/>
          <w:bCs/>
          <w:color w:val="0000FF"/>
          <w:szCs w:val="21"/>
          <w:highlight w:val="none"/>
          <w:u w:val="single"/>
        </w:rPr>
        <w:t>上月末尚未确定最终审定价的变更的费用预算书，进行综合性核对和价格商谈，并形成核对与商谈记录清单。</w:t>
      </w:r>
    </w:p>
    <w:p w14:paraId="7DE590C6">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（10）结算时最终以决算审核为准。</w:t>
      </w:r>
    </w:p>
    <w:p w14:paraId="1BAEBFF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（11）设计变更须有设计单位出具的设计变更通知单，并且经发包人代表签字确认后方可执行，因承包人随意更改设计并施工造成发包人损失的，发包人有权要求其承担赔偿责任。</w:t>
      </w:r>
    </w:p>
    <w:p w14:paraId="4FA6506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12）因设计变更而引起的工程量增减变化，必须在五日内报请发包人代表、总监理工程师确认，任何后补签证的请求将被拒绝；因变更内容造成的造价变更必须由承包人在变更发出后7天内向发包人、监理人以书面的形式提出，否则视为不需变更造价；当发包人书面确认的变更项目造成造价增减时，结算时费用相应增减。当变更项目造成造价减少时，即使承包人未提出，发包人也有权在结算时扣除相应费用。</w:t>
      </w:r>
    </w:p>
    <w:p w14:paraId="443E872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13）除非合同另有规定外，承包人须按照发包人发出的有效工程变更指示立即实施，无论此时变更工程价款的金额是否已经给出。如承包人对发包人代表给定的价款有异议，按本合同关于争议的约定处理，但承包人不得以此拒绝执行合理的工程变更指示，如承包人以价款核定数额不明/不足为由而拒绝或延期执行，无论最终相关价款核定/裁定数额怎样，由此所导致的一切后果均由承包人负责。</w:t>
      </w:r>
    </w:p>
    <w:p w14:paraId="3CA6171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（14）承包人不得随意更改设计、随意深化设计及随意施工，因承包人自身原因导致的工程变更等，承包人无权要求追加合同价款；造成发包人损失的，发包人有权要求其承担赔偿责任。</w:t>
      </w:r>
    </w:p>
    <w:p w14:paraId="17BD3E1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（15）承包人提出的不改变原有设计品质但方便施工的变更不作为调增款的依据。</w:t>
      </w:r>
    </w:p>
    <w:p w14:paraId="5ABC9F6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16）变更、签证实施前（提前至少五个工作日）由承包人先报签证申请单，签证申请经监理方、跟踪审计及发包人确认后方可实施；实施完成后承包人及时办理签证确认单，签证确认单上必须有监理工程师、跟踪审计人员、发包人代表、承包人的签字和盖章，最终经发包人盖章后的签证确认单方可作为竣工结算的依据；签证申请单及签证确认单上必须明确签证的原因、位置、尺寸、数量、材料、人工、机械台班、价格等和签证时间，必要（隐蔽工程）时须附照片。监理方或发包人收到承包人变更、费用签证单后30天内须进行回复或确认，否则视为该签证资料已被确认同意进入竣工结算。</w:t>
      </w:r>
    </w:p>
    <w:p w14:paraId="3F83131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（17）关于临时用工、临时用机械的签证事项，双方应在签证通知单上协商确定以下问题：工作内容及工作量、工作时间、工作人数、</w:t>
      </w:r>
      <w:r>
        <w:rPr>
          <w:rFonts w:hint="eastAsia" w:ascii="宋体" w:hAnsi="宋体" w:eastAsia="宋体"/>
          <w:bCs/>
          <w:color w:val="0000FF"/>
          <w:szCs w:val="21"/>
          <w:highlight w:val="none"/>
          <w:u w:val="single"/>
          <w:lang w:eastAsia="zh-CN"/>
        </w:rPr>
        <w:t>确</w:t>
      </w:r>
      <w:r>
        <w:rPr>
          <w:rFonts w:hint="eastAsia" w:ascii="宋体" w:hAnsi="宋体" w:eastAsia="宋体"/>
          <w:bCs/>
          <w:color w:val="0000FF"/>
          <w:szCs w:val="21"/>
          <w:highlight w:val="none"/>
          <w:u w:val="single"/>
        </w:rPr>
        <w:t>定的人工单价或机械单价（是综合单价，已含管理费和利润）；</w:t>
      </w:r>
    </w:p>
    <w:p w14:paraId="29B3693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（18）隐蔽工程的变更签证，必须在覆盖前完成验收手续、工程量的确认和费用的报送，否则发包人可以不予支付；逾期签证的发包人不予认可。</w:t>
      </w:r>
    </w:p>
    <w:p w14:paraId="612F7D5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（19）因工程设计变更和工程量的增加，承包人提出顺延工期的申请，另行协商。</w:t>
      </w:r>
    </w:p>
    <w:p w14:paraId="044A7AE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（20）签证必须编号，无编号的签证不予结算。</w:t>
      </w:r>
    </w:p>
    <w:p w14:paraId="32E11001">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（21）签证原件一式六份，乙方保留二份，监理一份，甲方二份，审计一份，手续齐全的签证单原件作为结算依据，复印件无效</w:t>
      </w:r>
      <w:r>
        <w:rPr>
          <w:rFonts w:hint="eastAsia" w:ascii="宋体" w:hAnsi="宋体" w:eastAsia="宋体"/>
          <w:szCs w:val="21"/>
          <w:highlight w:val="none"/>
        </w:rPr>
        <w:t>。</w:t>
      </w:r>
    </w:p>
    <w:p w14:paraId="5B7BE89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10.4变更估价</w:t>
      </w:r>
    </w:p>
    <w:p w14:paraId="75F27800">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10.4.1变更估价原则</w:t>
      </w:r>
    </w:p>
    <w:p w14:paraId="48B006B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关于变更估价的约定:</w:t>
      </w:r>
      <w:r>
        <w:rPr>
          <w:rFonts w:hint="eastAsia" w:ascii="宋体" w:hAnsi="宋体" w:eastAsia="宋体"/>
          <w:bCs/>
          <w:color w:val="0000FF"/>
          <w:szCs w:val="21"/>
          <w:highlight w:val="none"/>
          <w:u w:val="single"/>
        </w:rPr>
        <w:t>签证、变更、变动后的子目或漏项的综合单价，按以下办法调整：</w:t>
      </w:r>
    </w:p>
    <w:p w14:paraId="1F05476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(1)工程量清单中已有工作内容和价格组成相同于变更子目或单项的综合单价时，按合同已有综合单价执行；</w:t>
      </w:r>
    </w:p>
    <w:p w14:paraId="3A9A058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(2)工程量清单中只有工作内容和价格组成类似于变更子目或单项的综合单价时，可以参照类似综合单价，由双方协商调整后确定变更的综合单价；</w:t>
      </w:r>
    </w:p>
    <w:p w14:paraId="5F93547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(3)工程量清单中没有工作内容和价格组成相同或类似于变更子目或单项的综合单价时，由承包人按投标时的计价标准、投标费率及相应优惠编制变</w:t>
      </w:r>
      <w:r>
        <w:rPr>
          <w:rFonts w:hint="eastAsia" w:ascii="宋体" w:hAnsi="宋体" w:eastAsia="宋体"/>
          <w:bCs/>
          <w:color w:val="0000FF"/>
          <w:szCs w:val="21"/>
          <w:highlight w:val="none"/>
          <w:u w:val="single"/>
          <w:lang w:eastAsia="zh-CN"/>
        </w:rPr>
        <w:t>更的</w:t>
      </w:r>
      <w:r>
        <w:rPr>
          <w:rFonts w:hint="eastAsia" w:ascii="宋体" w:hAnsi="宋体" w:eastAsia="宋体"/>
          <w:bCs/>
          <w:color w:val="0000FF"/>
          <w:szCs w:val="21"/>
          <w:highlight w:val="none"/>
          <w:u w:val="single"/>
        </w:rPr>
        <w:t>综合单价报送监理工程师复核，最终由发包人、监理、跟踪审计共同确定变更的综合单价。除前述约定外，通用合同条款中</w:t>
      </w:r>
      <w:r>
        <w:rPr>
          <w:rFonts w:hint="eastAsia" w:ascii="宋体" w:hAnsi="宋体" w:eastAsia="宋体"/>
          <w:bCs/>
          <w:color w:val="0000FF"/>
          <w:szCs w:val="21"/>
          <w:highlight w:val="none"/>
          <w:u w:val="single"/>
          <w:lang w:eastAsia="zh-CN"/>
        </w:rPr>
        <w:t>的其他</w:t>
      </w:r>
      <w:r>
        <w:rPr>
          <w:rFonts w:hint="eastAsia" w:ascii="宋体" w:hAnsi="宋体" w:eastAsia="宋体"/>
          <w:bCs/>
          <w:color w:val="0000FF"/>
          <w:szCs w:val="21"/>
          <w:highlight w:val="none"/>
          <w:u w:val="single"/>
        </w:rPr>
        <w:t>变更估价的约定不再适用。</w:t>
      </w:r>
    </w:p>
    <w:p w14:paraId="0157520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(4)变更工程单价的优惠比例按承包人投标报价的优惠比例执行。</w:t>
      </w:r>
    </w:p>
    <w:p w14:paraId="69BB94B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(5)因承包人自身原因导致的工程变更，承包人无权要求追加合同价款。</w:t>
      </w:r>
    </w:p>
    <w:p w14:paraId="3342A73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(6)如因承包人投标时，部分清单内容故意低报价，施工过程中利用变更此清单相关内容而达到增加费用的目的，则发包人有权按投标时市场价或参照其他类似报价扣回相关费用</w:t>
      </w:r>
      <w:r>
        <w:rPr>
          <w:rFonts w:ascii="宋体" w:hAnsi="宋体" w:eastAsia="宋体"/>
          <w:szCs w:val="21"/>
          <w:highlight w:val="none"/>
        </w:rPr>
        <w:t>。</w:t>
      </w:r>
    </w:p>
    <w:p w14:paraId="71085B14">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Start w:id="336" w:name="_Toc296891025"/>
      <w:bookmarkStart w:id="337" w:name="_Toc297216203"/>
      <w:bookmarkStart w:id="338" w:name="_Toc296891237"/>
      <w:bookmarkStart w:id="339" w:name="_Toc297048383"/>
      <w:bookmarkStart w:id="340" w:name="_Toc292559907"/>
      <w:bookmarkStart w:id="341" w:name="_Toc296503197"/>
      <w:bookmarkStart w:id="342" w:name="_Toc297123544"/>
      <w:bookmarkStart w:id="343" w:name="_Toc297120497"/>
      <w:bookmarkStart w:id="344" w:name="_Toc303539150"/>
      <w:bookmarkStart w:id="345" w:name="_Toc292559402"/>
      <w:bookmarkStart w:id="346" w:name="_Toc296944536"/>
      <w:bookmarkStart w:id="347" w:name="_Toc296347196"/>
      <w:bookmarkStart w:id="348" w:name="_Toc296346698"/>
      <w:bookmarkStart w:id="349" w:name="_Toc300934993"/>
      <w:bookmarkStart w:id="350" w:name="_Toc312677503"/>
      <w:bookmarkStart w:id="351" w:name="_Toc304295570"/>
      <w:bookmarkStart w:id="352" w:name="_Toc312678029"/>
      <w:r>
        <w:rPr>
          <w:rFonts w:ascii="宋体" w:hAnsi="宋体" w:eastAsia="宋体"/>
          <w:sz w:val="24"/>
          <w:szCs w:val="24"/>
          <w:highlight w:val="none"/>
        </w:rPr>
        <w:t>0.5承</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3" w:name="_Toc303539151"/>
      <w:bookmarkStart w:id="354" w:name="_Toc292559913"/>
      <w:bookmarkStart w:id="355" w:name="_Toc296891031"/>
      <w:bookmarkStart w:id="356" w:name="_Toc297048389"/>
      <w:bookmarkStart w:id="357" w:name="_Toc297216204"/>
      <w:bookmarkStart w:id="358" w:name="_Toc296347202"/>
      <w:bookmarkStart w:id="359" w:name="_Toc300934994"/>
      <w:bookmarkStart w:id="360" w:name="_Toc297123545"/>
      <w:bookmarkStart w:id="361" w:name="_Toc292559408"/>
      <w:bookmarkStart w:id="362" w:name="_Toc296944542"/>
      <w:bookmarkStart w:id="363" w:name="_Toc296891243"/>
      <w:bookmarkStart w:id="364" w:name="_Toc297120503"/>
      <w:bookmarkStart w:id="365" w:name="_Toc296503203"/>
      <w:bookmarkStart w:id="366" w:name="_Toc296346704"/>
      <w:r>
        <w:rPr>
          <w:rFonts w:ascii="宋体" w:hAnsi="宋体" w:eastAsia="宋体"/>
          <w:sz w:val="24"/>
          <w:szCs w:val="24"/>
          <w:highlight w:val="none"/>
        </w:rPr>
        <w:t>包人的合理化建议</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14:paraId="45733DA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监理人审查承包人合理化建议的期限：</w:t>
      </w:r>
      <w:r>
        <w:rPr>
          <w:rFonts w:hint="eastAsia" w:ascii="宋体" w:hAnsi="宋体" w:eastAsia="宋体"/>
          <w:bCs/>
          <w:color w:val="0000FF"/>
          <w:szCs w:val="21"/>
          <w:highlight w:val="none"/>
          <w:u w:val="single"/>
        </w:rPr>
        <w:t>收到合理化建议后三天内</w:t>
      </w:r>
      <w:r>
        <w:rPr>
          <w:rFonts w:ascii="宋体" w:hAnsi="宋体" w:eastAsia="宋体"/>
          <w:szCs w:val="21"/>
          <w:highlight w:val="none"/>
        </w:rPr>
        <w:t>。</w:t>
      </w:r>
    </w:p>
    <w:p w14:paraId="1BC397B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发包人审批承包人合理化建议的期限：</w:t>
      </w:r>
      <w:r>
        <w:rPr>
          <w:rFonts w:hint="eastAsia" w:ascii="宋体" w:hAnsi="宋体" w:eastAsia="宋体"/>
          <w:bCs/>
          <w:color w:val="0000FF"/>
          <w:szCs w:val="21"/>
          <w:highlight w:val="none"/>
          <w:u w:val="single"/>
        </w:rPr>
        <w:t>收到合理化建议后五天内</w:t>
      </w:r>
      <w:r>
        <w:rPr>
          <w:rFonts w:ascii="宋体" w:hAnsi="宋体" w:eastAsia="宋体"/>
          <w:szCs w:val="21"/>
          <w:highlight w:val="none"/>
        </w:rPr>
        <w:t>。</w:t>
      </w:r>
    </w:p>
    <w:p w14:paraId="4223F1DB">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承</w:t>
      </w:r>
      <w:bookmarkStart w:id="367" w:name="_Toc300934995"/>
      <w:bookmarkStart w:id="368" w:name="_Toc297216205"/>
      <w:bookmarkStart w:id="369" w:name="_Toc312678030"/>
      <w:bookmarkStart w:id="370" w:name="_Toc296346705"/>
      <w:bookmarkStart w:id="371" w:name="_Toc297048390"/>
      <w:bookmarkStart w:id="372" w:name="_Toc296347203"/>
      <w:bookmarkStart w:id="373" w:name="_Toc297123546"/>
      <w:bookmarkStart w:id="374" w:name="_Toc296891032"/>
      <w:bookmarkStart w:id="375" w:name="_Toc296891244"/>
      <w:bookmarkStart w:id="376" w:name="_Toc318581175"/>
      <w:bookmarkStart w:id="377" w:name="_Toc312677504"/>
      <w:bookmarkStart w:id="378" w:name="_Toc297120504"/>
      <w:bookmarkStart w:id="379" w:name="_Toc296944543"/>
      <w:bookmarkStart w:id="380" w:name="_Toc296503204"/>
      <w:bookmarkStart w:id="381" w:name="_Toc304295571"/>
      <w:bookmarkStart w:id="382" w:name="_Toc292559914"/>
      <w:bookmarkStart w:id="383" w:name="_Toc303539152"/>
      <w:bookmarkStart w:id="384" w:name="_Toc292559409"/>
      <w:r>
        <w:rPr>
          <w:rFonts w:ascii="宋体" w:hAnsi="宋体" w:eastAsia="宋体"/>
          <w:szCs w:val="21"/>
          <w:highlight w:val="none"/>
        </w:rPr>
        <w:t>包人提出的合理化建议降低了合同价格或者提高了工程经济效益的奖励的方法和金额为：</w:t>
      </w:r>
      <w:r>
        <w:rPr>
          <w:rFonts w:hint="eastAsia" w:ascii="宋体" w:hAnsi="宋体" w:eastAsia="宋体"/>
          <w:bCs/>
          <w:color w:val="0000FF"/>
          <w:szCs w:val="21"/>
          <w:highlight w:val="none"/>
          <w:u w:val="single"/>
        </w:rPr>
        <w:t>发包人酌情给予奖励，另行协商</w:t>
      </w:r>
      <w:r>
        <w:rPr>
          <w:rFonts w:ascii="宋体" w:hAnsi="宋体" w:eastAsia="宋体"/>
          <w:szCs w:val="21"/>
          <w:highlight w:val="none"/>
        </w:rPr>
        <w:t>。</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14:paraId="3776179E">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w:t>
      </w:r>
      <w:bookmarkStart w:id="385" w:name="_Toc296944538"/>
      <w:bookmarkStart w:id="386" w:name="_Toc303539154"/>
      <w:bookmarkStart w:id="387" w:name="_Toc296346700"/>
      <w:bookmarkStart w:id="388" w:name="_Toc292559909"/>
      <w:bookmarkStart w:id="389" w:name="_Toc297120499"/>
      <w:bookmarkStart w:id="390" w:name="_Toc296891239"/>
      <w:bookmarkStart w:id="391" w:name="_Toc297216207"/>
      <w:bookmarkStart w:id="392" w:name="_Toc304295574"/>
      <w:bookmarkStart w:id="393" w:name="_Toc296347198"/>
      <w:bookmarkStart w:id="394" w:name="_Toc297048385"/>
      <w:bookmarkStart w:id="395" w:name="_Toc296503199"/>
      <w:bookmarkStart w:id="396" w:name="_Toc296891027"/>
      <w:bookmarkStart w:id="397" w:name="_Toc292559404"/>
      <w:bookmarkStart w:id="398" w:name="_Toc297123548"/>
      <w:bookmarkStart w:id="399" w:name="_Toc312678033"/>
      <w:bookmarkStart w:id="400" w:name="_Toc300934997"/>
      <w:bookmarkStart w:id="401" w:name="_Toc312677507"/>
      <w:r>
        <w:rPr>
          <w:rFonts w:ascii="宋体" w:hAnsi="宋体" w:eastAsia="宋体"/>
          <w:sz w:val="24"/>
          <w:szCs w:val="24"/>
          <w:highlight w:val="none"/>
        </w:rPr>
        <w:t>0.7暂估价</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6A81F19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暂</w:t>
      </w:r>
      <w:bookmarkStart w:id="402" w:name="_Toc318581176"/>
      <w:bookmarkStart w:id="403" w:name="_Toc312677508"/>
      <w:bookmarkStart w:id="404" w:name="_Toc312678034"/>
      <w:r>
        <w:rPr>
          <w:rFonts w:ascii="宋体" w:hAnsi="宋体" w:eastAsia="宋体"/>
          <w:kern w:val="0"/>
          <w:szCs w:val="21"/>
          <w:highlight w:val="none"/>
        </w:rPr>
        <w:t>估价材料和工程设备的明细详见附件</w:t>
      </w:r>
      <w:r>
        <w:rPr>
          <w:rFonts w:hint="eastAsia" w:ascii="宋体" w:hAnsi="宋体" w:eastAsia="宋体"/>
          <w:kern w:val="0"/>
          <w:szCs w:val="21"/>
          <w:highlight w:val="none"/>
        </w:rPr>
        <w:t>11：《</w:t>
      </w:r>
      <w:r>
        <w:rPr>
          <w:rFonts w:ascii="宋体" w:hAnsi="宋体" w:eastAsia="宋体"/>
          <w:szCs w:val="21"/>
          <w:highlight w:val="none"/>
        </w:rPr>
        <w:t>暂估价一览表</w:t>
      </w:r>
      <w:r>
        <w:rPr>
          <w:rFonts w:hint="eastAsia" w:ascii="宋体" w:hAnsi="宋体" w:eastAsia="宋体"/>
          <w:szCs w:val="21"/>
          <w:highlight w:val="none"/>
        </w:rPr>
        <w:t>》</w:t>
      </w:r>
      <w:r>
        <w:rPr>
          <w:rFonts w:hint="eastAsia" w:ascii="宋体" w:hAnsi="宋体" w:eastAsia="宋体"/>
          <w:kern w:val="0"/>
          <w:szCs w:val="21"/>
          <w:highlight w:val="none"/>
        </w:rPr>
        <w:t>。</w:t>
      </w:r>
    </w:p>
    <w:bookmarkEnd w:id="402"/>
    <w:bookmarkEnd w:id="403"/>
    <w:bookmarkEnd w:id="404"/>
    <w:p w14:paraId="6C48DF4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w:t>
      </w:r>
      <w:bookmarkStart w:id="405" w:name="_Toc318581177"/>
      <w:bookmarkStart w:id="406" w:name="_Toc312678035"/>
      <w:bookmarkStart w:id="407" w:name="_Toc312677509"/>
      <w:r>
        <w:rPr>
          <w:rFonts w:ascii="宋体" w:hAnsi="宋体" w:eastAsia="宋体"/>
          <w:szCs w:val="21"/>
          <w:highlight w:val="none"/>
        </w:rPr>
        <w:t>0.7.1依法必须招标的暂估价项目</w:t>
      </w:r>
    </w:p>
    <w:bookmarkEnd w:id="405"/>
    <w:bookmarkEnd w:id="406"/>
    <w:bookmarkEnd w:id="407"/>
    <w:p w14:paraId="257DADF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对于依法必须招标的暂估价项目的确认和批准采取第</w:t>
      </w:r>
      <w:r>
        <w:rPr>
          <w:rFonts w:ascii="宋体" w:hAnsi="宋体" w:eastAsia="宋体"/>
          <w:bCs/>
          <w:color w:val="0000FF"/>
          <w:szCs w:val="21"/>
          <w:highlight w:val="none"/>
          <w:u w:val="single"/>
        </w:rPr>
        <w:t>/</w:t>
      </w:r>
      <w:r>
        <w:rPr>
          <w:rFonts w:ascii="宋体" w:hAnsi="宋体" w:eastAsia="宋体"/>
          <w:szCs w:val="21"/>
          <w:highlight w:val="none"/>
        </w:rPr>
        <w:t>种方式确定。</w:t>
      </w:r>
    </w:p>
    <w:p w14:paraId="612DF03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10.7.2不属于依法必须招标的暂估价项目</w:t>
      </w:r>
    </w:p>
    <w:p w14:paraId="34ACF4B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对于不属于依法必须招标的暂估价项目的确认和批准采取第</w:t>
      </w:r>
      <w:r>
        <w:rPr>
          <w:rFonts w:ascii="宋体" w:hAnsi="宋体" w:eastAsia="宋体"/>
          <w:bCs/>
          <w:color w:val="0000FF"/>
          <w:szCs w:val="21"/>
          <w:highlight w:val="none"/>
          <w:u w:val="single"/>
        </w:rPr>
        <w:t>/</w:t>
      </w:r>
      <w:r>
        <w:rPr>
          <w:rFonts w:ascii="宋体" w:hAnsi="宋体" w:eastAsia="宋体"/>
          <w:szCs w:val="21"/>
          <w:highlight w:val="none"/>
        </w:rPr>
        <w:t>种方式确定。</w:t>
      </w:r>
    </w:p>
    <w:p w14:paraId="2BB19357">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szCs w:val="21"/>
          <w:highlight w:val="none"/>
        </w:rPr>
        <w:t>第3种方式：</w:t>
      </w:r>
      <w:r>
        <w:rPr>
          <w:rFonts w:ascii="宋体" w:hAnsi="宋体" w:eastAsia="宋体"/>
          <w:kern w:val="0"/>
          <w:szCs w:val="21"/>
          <w:highlight w:val="none"/>
        </w:rPr>
        <w:t>承包人直接实施的暂估价项目</w:t>
      </w:r>
    </w:p>
    <w:p w14:paraId="0D9BF49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承包人直接实施的暂估价项目的约定：</w:t>
      </w:r>
      <w:r>
        <w:rPr>
          <w:rFonts w:hint="eastAsia" w:ascii="宋体" w:hAnsi="宋体" w:eastAsia="宋体"/>
          <w:bCs/>
          <w:color w:val="0000FF"/>
          <w:szCs w:val="21"/>
          <w:highlight w:val="none"/>
          <w:u w:val="single"/>
        </w:rPr>
        <w:t>承包人具备实施暂估价项目的资格和条件的，经发包人同意后，由承包人自行实施</w:t>
      </w:r>
      <w:r>
        <w:rPr>
          <w:rFonts w:ascii="宋体" w:hAnsi="宋体" w:eastAsia="宋体"/>
          <w:szCs w:val="21"/>
          <w:highlight w:val="none"/>
        </w:rPr>
        <w:t>。</w:t>
      </w:r>
    </w:p>
    <w:p w14:paraId="40B5D6A3">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10.8暂列金额</w:t>
      </w:r>
    </w:p>
    <w:p w14:paraId="6FFD2BD8">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kern w:val="0"/>
          <w:szCs w:val="21"/>
          <w:highlight w:val="none"/>
        </w:rPr>
        <w:t>合同当事人关于暂列金额使用的约定：</w:t>
      </w:r>
      <w:r>
        <w:rPr>
          <w:rFonts w:hint="eastAsia" w:ascii="宋体" w:hAnsi="宋体" w:eastAsia="宋体"/>
          <w:bCs/>
          <w:color w:val="0000FF"/>
          <w:szCs w:val="21"/>
          <w:highlight w:val="none"/>
          <w:u w:val="single"/>
        </w:rPr>
        <w:t>在施工过程中由发包人与承包人协商一致后处理</w:t>
      </w:r>
      <w:r>
        <w:rPr>
          <w:rFonts w:hint="eastAsia" w:ascii="宋体" w:hAnsi="宋体" w:eastAsia="宋体"/>
          <w:kern w:val="0"/>
          <w:szCs w:val="21"/>
          <w:highlight w:val="none"/>
        </w:rPr>
        <w:t>。</w:t>
      </w:r>
    </w:p>
    <w:p w14:paraId="2E9B15AB">
      <w:pPr>
        <w:pStyle w:val="7"/>
        <w:adjustRightInd w:val="0"/>
        <w:snapToGrid w:val="0"/>
        <w:spacing w:before="0" w:after="0" w:line="360" w:lineRule="auto"/>
        <w:ind w:firstLine="560" w:firstLineChars="200"/>
        <w:jc w:val="left"/>
        <w:rPr>
          <w:rFonts w:ascii="宋体" w:hAnsi="宋体" w:eastAsia="宋体"/>
          <w:b w:val="0"/>
          <w:highlight w:val="none"/>
        </w:rPr>
      </w:pPr>
      <w:bookmarkStart w:id="408" w:name="_Toc351203643"/>
      <w:r>
        <w:rPr>
          <w:rFonts w:ascii="宋体" w:hAnsi="宋体" w:eastAsia="宋体"/>
          <w:b w:val="0"/>
          <w:highlight w:val="none"/>
        </w:rPr>
        <w:t>11.价格调整</w:t>
      </w:r>
      <w:bookmarkEnd w:id="408"/>
    </w:p>
    <w:p w14:paraId="114876CB">
      <w:pPr>
        <w:adjustRightInd w:val="0"/>
        <w:snapToGrid w:val="0"/>
        <w:spacing w:line="360" w:lineRule="auto"/>
        <w:ind w:firstLine="480" w:firstLineChars="200"/>
        <w:jc w:val="left"/>
        <w:rPr>
          <w:rFonts w:ascii="宋体" w:hAnsi="宋体" w:eastAsia="宋体"/>
          <w:sz w:val="24"/>
          <w:szCs w:val="24"/>
          <w:highlight w:val="none"/>
        </w:rPr>
      </w:pPr>
      <w:bookmarkStart w:id="409" w:name="_Toc292559911"/>
      <w:bookmarkStart w:id="410" w:name="_Toc297048387"/>
      <w:bookmarkStart w:id="411" w:name="_Toc312678039"/>
      <w:bookmarkStart w:id="412" w:name="_Toc296503201"/>
      <w:bookmarkStart w:id="413" w:name="_Toc300935000"/>
      <w:bookmarkStart w:id="414" w:name="_Toc296346702"/>
      <w:bookmarkStart w:id="415" w:name="_Toc297216209"/>
      <w:bookmarkStart w:id="416" w:name="_Toc296347200"/>
      <w:bookmarkStart w:id="417" w:name="_Toc296891029"/>
      <w:bookmarkStart w:id="418" w:name="_Toc296944540"/>
      <w:bookmarkStart w:id="419" w:name="_Toc296891241"/>
      <w:bookmarkStart w:id="420" w:name="_Toc303539157"/>
      <w:bookmarkStart w:id="421" w:name="_Toc292559406"/>
      <w:bookmarkStart w:id="422" w:name="_Toc297123550"/>
      <w:bookmarkStart w:id="423" w:name="_Toc304295577"/>
      <w:bookmarkStart w:id="424" w:name="_Toc297120501"/>
      <w:r>
        <w:rPr>
          <w:rFonts w:ascii="宋体" w:hAnsi="宋体" w:eastAsia="宋体"/>
          <w:sz w:val="24"/>
          <w:szCs w:val="24"/>
          <w:highlight w:val="none"/>
        </w:rPr>
        <w:t>11.1市场价格波动引起的调整</w:t>
      </w: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45C6D7D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市场价格波动是否调整合同价格的约定：</w:t>
      </w:r>
      <w:r>
        <w:rPr>
          <w:rFonts w:hint="eastAsia" w:ascii="宋体" w:hAnsi="宋体" w:eastAsia="宋体"/>
          <w:bCs/>
          <w:color w:val="0000FF"/>
          <w:szCs w:val="21"/>
          <w:highlight w:val="none"/>
          <w:u w:val="single"/>
        </w:rPr>
        <w:t>按苏建价</w:t>
      </w:r>
      <w:r>
        <w:rPr>
          <w:rFonts w:hint="eastAsia" w:ascii="宋体" w:hAnsi="宋体" w:eastAsia="宋体"/>
          <w:bCs/>
          <w:color w:val="0000FF"/>
          <w:szCs w:val="21"/>
          <w:highlight w:val="none"/>
          <w:u w:val="single"/>
          <w:lang w:eastAsia="zh-CN"/>
        </w:rPr>
        <w:t>〔2008〕67号</w:t>
      </w:r>
      <w:r>
        <w:rPr>
          <w:rFonts w:hint="eastAsia" w:ascii="宋体" w:hAnsi="宋体" w:eastAsia="宋体"/>
          <w:bCs/>
          <w:color w:val="0000FF"/>
          <w:szCs w:val="21"/>
          <w:highlight w:val="none"/>
          <w:u w:val="single"/>
        </w:rPr>
        <w:t>文执行</w:t>
      </w:r>
      <w:r>
        <w:rPr>
          <w:rFonts w:ascii="宋体" w:hAnsi="宋体" w:eastAsia="宋体"/>
          <w:szCs w:val="21"/>
          <w:highlight w:val="none"/>
        </w:rPr>
        <w:t>。</w:t>
      </w:r>
    </w:p>
    <w:p w14:paraId="73906A2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因市场价格波动调整合同价格，采用以下第</w:t>
      </w:r>
      <w:r>
        <w:rPr>
          <w:rFonts w:ascii="宋体" w:hAnsi="宋体" w:eastAsia="宋体"/>
          <w:bCs/>
          <w:color w:val="0000FF"/>
          <w:szCs w:val="21"/>
          <w:highlight w:val="none"/>
          <w:u w:val="single"/>
        </w:rPr>
        <w:t>2</w:t>
      </w:r>
      <w:r>
        <w:rPr>
          <w:rFonts w:ascii="宋体" w:hAnsi="宋体" w:eastAsia="宋体"/>
          <w:szCs w:val="21"/>
          <w:highlight w:val="none"/>
        </w:rPr>
        <w:t>种方式对合同价格进行调整：</w:t>
      </w:r>
    </w:p>
    <w:p w14:paraId="0E027BD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第1种方式：采用价格指数</w:t>
      </w:r>
      <w:r>
        <w:rPr>
          <w:rFonts w:hint="eastAsia" w:ascii="宋体" w:hAnsi="宋体" w:eastAsia="宋体"/>
          <w:szCs w:val="21"/>
          <w:highlight w:val="none"/>
        </w:rPr>
        <w:t>进行价格</w:t>
      </w:r>
      <w:r>
        <w:rPr>
          <w:rFonts w:ascii="宋体" w:hAnsi="宋体" w:eastAsia="宋体"/>
          <w:szCs w:val="21"/>
          <w:highlight w:val="none"/>
        </w:rPr>
        <w:t>调整。</w:t>
      </w:r>
    </w:p>
    <w:p w14:paraId="619541C5">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关于各可调因子、定值和变值权重，以及基本价格指数及其来源的约定</w:t>
      </w:r>
      <w:r>
        <w:rPr>
          <w:rFonts w:hint="eastAsia" w:ascii="宋体" w:hAnsi="宋体" w:eastAsia="宋体"/>
          <w:szCs w:val="21"/>
          <w:highlight w:val="none"/>
          <w:lang w:eastAsia="zh-CN"/>
        </w:rPr>
        <w:t>：</w:t>
      </w:r>
    </w:p>
    <w:p w14:paraId="7B89CF4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第2种方式：采用造价信息</w:t>
      </w:r>
      <w:r>
        <w:rPr>
          <w:rFonts w:hint="eastAsia" w:ascii="宋体" w:hAnsi="宋体" w:eastAsia="宋体"/>
          <w:szCs w:val="21"/>
          <w:highlight w:val="none"/>
        </w:rPr>
        <w:t>进行价格</w:t>
      </w:r>
      <w:r>
        <w:rPr>
          <w:rFonts w:ascii="宋体" w:hAnsi="宋体" w:eastAsia="宋体"/>
          <w:szCs w:val="21"/>
          <w:highlight w:val="none"/>
        </w:rPr>
        <w:t>调整。</w:t>
      </w:r>
    </w:p>
    <w:p w14:paraId="7FB4DD9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（2）关于基准价格的约定：</w:t>
      </w:r>
      <w:r>
        <w:rPr>
          <w:rFonts w:hint="eastAsia" w:ascii="宋体" w:hAnsi="宋体" w:eastAsia="宋体"/>
          <w:bCs/>
          <w:color w:val="0000FF"/>
          <w:szCs w:val="21"/>
          <w:highlight w:val="none"/>
          <w:u w:val="single"/>
        </w:rPr>
        <w:t>1、一类主材、二类主材的认定及调整执行苏建价</w:t>
      </w:r>
      <w:r>
        <w:rPr>
          <w:rFonts w:hint="eastAsia" w:ascii="宋体" w:hAnsi="宋体" w:eastAsia="宋体"/>
          <w:bCs/>
          <w:color w:val="0000FF"/>
          <w:szCs w:val="21"/>
          <w:highlight w:val="none"/>
          <w:u w:val="single"/>
          <w:lang w:eastAsia="zh-CN"/>
        </w:rPr>
        <w:t>〔2008〕67号</w:t>
      </w:r>
      <w:r>
        <w:rPr>
          <w:rFonts w:hint="eastAsia" w:ascii="宋体" w:hAnsi="宋体" w:eastAsia="宋体"/>
          <w:bCs/>
          <w:color w:val="0000FF"/>
          <w:szCs w:val="21"/>
          <w:highlight w:val="none"/>
          <w:u w:val="single"/>
        </w:rPr>
        <w:t>文；2、人工工资调整执行苏建价</w:t>
      </w:r>
      <w:r>
        <w:rPr>
          <w:rFonts w:hint="eastAsia" w:ascii="宋体" w:hAnsi="宋体" w:eastAsia="宋体"/>
          <w:bCs/>
          <w:color w:val="0000FF"/>
          <w:szCs w:val="21"/>
          <w:highlight w:val="none"/>
          <w:u w:val="single"/>
          <w:lang w:eastAsia="zh-CN"/>
        </w:rPr>
        <w:t>〔2012〕633号</w:t>
      </w:r>
      <w:r>
        <w:rPr>
          <w:rFonts w:hint="eastAsia" w:ascii="宋体" w:hAnsi="宋体" w:eastAsia="宋体"/>
          <w:bCs/>
          <w:color w:val="0000FF"/>
          <w:szCs w:val="21"/>
          <w:highlight w:val="none"/>
          <w:u w:val="single"/>
        </w:rPr>
        <w:t>文</w:t>
      </w:r>
      <w:r>
        <w:rPr>
          <w:rFonts w:ascii="宋体" w:hAnsi="宋体" w:eastAsia="宋体"/>
          <w:szCs w:val="21"/>
          <w:highlight w:val="none"/>
        </w:rPr>
        <w:t>。</w:t>
      </w:r>
    </w:p>
    <w:p w14:paraId="204C3B6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专用合同条款</w:t>
      </w:r>
      <w:r>
        <w:rPr>
          <w:rFonts w:hint="eastAsia" w:ascii="宋体" w:hAnsi="宋体" w:eastAsia="宋体" w:cs="宋体"/>
          <w:szCs w:val="21"/>
          <w:highlight w:val="none"/>
        </w:rPr>
        <w:t>①</w:t>
      </w:r>
      <w:r>
        <w:rPr>
          <w:rFonts w:ascii="宋体" w:hAnsi="宋体" w:eastAsia="宋体"/>
          <w:szCs w:val="21"/>
          <w:highlight w:val="none"/>
        </w:rPr>
        <w:t>承包人在已标价工程量清单或预算书中载明的材料单价低于基准价格的：专用合同条款合同履行期间材料单价涨幅以基准价格为基础超过</w:t>
      </w:r>
      <w:r>
        <w:rPr>
          <w:rFonts w:ascii="宋体" w:hAnsi="宋体" w:eastAsia="宋体"/>
          <w:bCs/>
          <w:color w:val="0000FF"/>
          <w:szCs w:val="21"/>
          <w:highlight w:val="none"/>
          <w:u w:val="single"/>
        </w:rPr>
        <w:t>5</w:t>
      </w:r>
      <w:r>
        <w:rPr>
          <w:rFonts w:ascii="宋体" w:hAnsi="宋体" w:eastAsia="宋体"/>
          <w:szCs w:val="21"/>
          <w:highlight w:val="none"/>
        </w:rPr>
        <w:t>%时，或材料单价跌幅以已标价工程量清单或预算书中载</w:t>
      </w:r>
      <w:r>
        <w:rPr>
          <w:rFonts w:hint="eastAsia" w:ascii="宋体" w:hAnsi="宋体" w:eastAsia="宋体"/>
          <w:szCs w:val="21"/>
          <w:highlight w:val="none"/>
          <w:lang w:eastAsia="zh-CN"/>
        </w:rPr>
        <w:t>明的</w:t>
      </w:r>
      <w:r>
        <w:rPr>
          <w:rFonts w:ascii="宋体" w:hAnsi="宋体" w:eastAsia="宋体"/>
          <w:szCs w:val="21"/>
          <w:highlight w:val="none"/>
        </w:rPr>
        <w:t>材料单价为基础超过</w:t>
      </w:r>
      <w:r>
        <w:rPr>
          <w:rFonts w:ascii="宋体" w:hAnsi="宋体" w:eastAsia="宋体"/>
          <w:bCs/>
          <w:color w:val="0000FF"/>
          <w:szCs w:val="21"/>
          <w:highlight w:val="none"/>
          <w:u w:val="single"/>
        </w:rPr>
        <w:t>5</w:t>
      </w:r>
      <w:r>
        <w:rPr>
          <w:rFonts w:ascii="宋体" w:hAnsi="宋体" w:eastAsia="宋体"/>
          <w:szCs w:val="21"/>
          <w:highlight w:val="none"/>
        </w:rPr>
        <w:t>%时，其超过部分据实调整。</w:t>
      </w:r>
    </w:p>
    <w:p w14:paraId="1F0F9221">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cs="宋体"/>
          <w:szCs w:val="21"/>
          <w:highlight w:val="none"/>
        </w:rPr>
        <w:t>②</w:t>
      </w:r>
      <w:r>
        <w:rPr>
          <w:rFonts w:ascii="宋体" w:hAnsi="宋体" w:eastAsia="宋体"/>
          <w:szCs w:val="21"/>
          <w:highlight w:val="none"/>
        </w:rPr>
        <w:t>承包人在已标价工程量清单或预算书中载明的材料单价高于基准价格的：专用合同条款合同履行期间材料单价跌幅以基准价格为基础超过</w:t>
      </w:r>
      <w:r>
        <w:rPr>
          <w:rFonts w:ascii="宋体" w:hAnsi="宋体" w:eastAsia="宋体"/>
          <w:bCs/>
          <w:color w:val="0000FF"/>
          <w:szCs w:val="21"/>
          <w:highlight w:val="none"/>
          <w:u w:val="single"/>
        </w:rPr>
        <w:t>5</w:t>
      </w:r>
      <w:r>
        <w:rPr>
          <w:rFonts w:ascii="宋体" w:hAnsi="宋体" w:eastAsia="宋体"/>
          <w:szCs w:val="21"/>
          <w:highlight w:val="none"/>
        </w:rPr>
        <w:t>%时，材料单价涨幅以已标价工程量清单或预算书中载</w:t>
      </w:r>
      <w:r>
        <w:rPr>
          <w:rFonts w:hint="eastAsia" w:ascii="宋体" w:hAnsi="宋体" w:eastAsia="宋体"/>
          <w:szCs w:val="21"/>
          <w:highlight w:val="none"/>
          <w:lang w:eastAsia="zh-CN"/>
        </w:rPr>
        <w:t>明的</w:t>
      </w:r>
      <w:r>
        <w:rPr>
          <w:rFonts w:ascii="宋体" w:hAnsi="宋体" w:eastAsia="宋体"/>
          <w:szCs w:val="21"/>
          <w:highlight w:val="none"/>
        </w:rPr>
        <w:t>材料单价为基础超过</w:t>
      </w:r>
      <w:r>
        <w:rPr>
          <w:rFonts w:ascii="宋体" w:hAnsi="宋体" w:eastAsia="宋体"/>
          <w:bCs/>
          <w:color w:val="0000FF"/>
          <w:szCs w:val="21"/>
          <w:highlight w:val="none"/>
          <w:u w:val="single"/>
        </w:rPr>
        <w:t>5</w:t>
      </w:r>
      <w:r>
        <w:rPr>
          <w:rFonts w:ascii="宋体" w:hAnsi="宋体" w:eastAsia="宋体"/>
          <w:szCs w:val="21"/>
          <w:highlight w:val="none"/>
        </w:rPr>
        <w:t>%时，其超过部分据实调整。</w:t>
      </w:r>
    </w:p>
    <w:p w14:paraId="2157306A">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cs="宋体"/>
          <w:szCs w:val="21"/>
          <w:highlight w:val="none"/>
        </w:rPr>
        <w:t>③</w:t>
      </w:r>
      <w:r>
        <w:rPr>
          <w:rFonts w:ascii="宋体" w:hAnsi="宋体" w:eastAsia="宋体"/>
          <w:szCs w:val="21"/>
          <w:highlight w:val="none"/>
        </w:rPr>
        <w:t>承包人在已标价工程量清单或预算书中载明的材料单价等于基准单价的：专用合同条款合同履行期间材料单价涨跌幅以基准单价为基础超过±</w:t>
      </w:r>
      <w:r>
        <w:rPr>
          <w:rFonts w:ascii="宋体" w:hAnsi="宋体" w:eastAsia="宋体"/>
          <w:bCs/>
          <w:color w:val="0000FF"/>
          <w:szCs w:val="21"/>
          <w:highlight w:val="none"/>
          <w:u w:val="single"/>
        </w:rPr>
        <w:t>5</w:t>
      </w:r>
      <w:r>
        <w:rPr>
          <w:rFonts w:ascii="宋体" w:hAnsi="宋体" w:eastAsia="宋体"/>
          <w:szCs w:val="21"/>
          <w:highlight w:val="none"/>
        </w:rPr>
        <w:t>%时，其超过部分据实调整。</w:t>
      </w:r>
    </w:p>
    <w:p w14:paraId="6E24923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第3种方式：其他价格调整方式</w:t>
      </w:r>
      <w:r>
        <w:rPr>
          <w:rFonts w:hint="eastAsia" w:ascii="宋体" w:hAnsi="宋体" w:eastAsia="宋体"/>
          <w:szCs w:val="21"/>
          <w:highlight w:val="none"/>
          <w:lang w:eastAsia="zh-CN"/>
        </w:rPr>
        <w:t>：</w:t>
      </w:r>
    </w:p>
    <w:bookmarkEnd w:id="312"/>
    <w:bookmarkEnd w:id="313"/>
    <w:bookmarkEnd w:id="314"/>
    <w:bookmarkEnd w:id="315"/>
    <w:bookmarkEnd w:id="316"/>
    <w:bookmarkEnd w:id="317"/>
    <w:p w14:paraId="34E4ED8C">
      <w:pPr>
        <w:pStyle w:val="7"/>
        <w:adjustRightInd w:val="0"/>
        <w:snapToGrid w:val="0"/>
        <w:spacing w:before="0" w:after="0" w:line="360" w:lineRule="auto"/>
        <w:ind w:firstLine="560" w:firstLineChars="200"/>
        <w:jc w:val="left"/>
        <w:rPr>
          <w:rFonts w:ascii="宋体" w:hAnsi="宋体" w:eastAsia="宋体"/>
          <w:b w:val="0"/>
          <w:highlight w:val="none"/>
        </w:rPr>
      </w:pPr>
      <w:bookmarkStart w:id="425" w:name="_Toc296944544"/>
      <w:bookmarkStart w:id="426" w:name="_Toc296891245"/>
      <w:bookmarkStart w:id="427" w:name="_Toc296346706"/>
      <w:bookmarkStart w:id="428" w:name="_Toc296347204"/>
      <w:bookmarkStart w:id="429" w:name="_Toc292559410"/>
      <w:bookmarkStart w:id="430" w:name="_Toc297048391"/>
      <w:bookmarkStart w:id="431" w:name="_Toc296891033"/>
      <w:bookmarkStart w:id="432" w:name="_Toc292559915"/>
      <w:bookmarkStart w:id="433" w:name="_Toc297120505"/>
      <w:bookmarkStart w:id="434" w:name="_Toc296503205"/>
      <w:bookmarkStart w:id="435" w:name="_Toc351203644"/>
      <w:bookmarkStart w:id="436" w:name="_Toc300935002"/>
      <w:bookmarkStart w:id="437" w:name="_Toc312678040"/>
      <w:bookmarkStart w:id="438" w:name="_Toc304295579"/>
      <w:bookmarkStart w:id="439" w:name="_Toc297216211"/>
      <w:bookmarkStart w:id="440" w:name="_Toc297123552"/>
      <w:bookmarkStart w:id="441" w:name="_Toc303539159"/>
      <w:r>
        <w:rPr>
          <w:rFonts w:ascii="宋体" w:hAnsi="宋体" w:eastAsia="宋体"/>
          <w:b w:val="0"/>
          <w:highlight w:val="none"/>
        </w:rPr>
        <w:t>12.</w:t>
      </w:r>
      <w:bookmarkEnd w:id="425"/>
      <w:bookmarkEnd w:id="426"/>
      <w:bookmarkEnd w:id="427"/>
      <w:bookmarkEnd w:id="428"/>
      <w:bookmarkEnd w:id="429"/>
      <w:bookmarkEnd w:id="430"/>
      <w:bookmarkEnd w:id="431"/>
      <w:bookmarkEnd w:id="432"/>
      <w:bookmarkEnd w:id="433"/>
      <w:bookmarkEnd w:id="434"/>
      <w:r>
        <w:rPr>
          <w:rFonts w:ascii="宋体" w:hAnsi="宋体" w:eastAsia="宋体"/>
          <w:b w:val="0"/>
          <w:highlight w:val="none"/>
        </w:rPr>
        <w:t>合同价格、计量与支付</w:t>
      </w:r>
      <w:bookmarkEnd w:id="435"/>
    </w:p>
    <w:bookmarkEnd w:id="436"/>
    <w:bookmarkEnd w:id="437"/>
    <w:bookmarkEnd w:id="438"/>
    <w:bookmarkEnd w:id="439"/>
    <w:bookmarkEnd w:id="440"/>
    <w:bookmarkEnd w:id="441"/>
    <w:p w14:paraId="10233CD0">
      <w:pPr>
        <w:adjustRightInd w:val="0"/>
        <w:snapToGrid w:val="0"/>
        <w:spacing w:line="360" w:lineRule="auto"/>
        <w:ind w:firstLine="480" w:firstLineChars="200"/>
        <w:jc w:val="left"/>
        <w:rPr>
          <w:rFonts w:ascii="宋体" w:hAnsi="宋体" w:eastAsia="宋体"/>
          <w:sz w:val="24"/>
          <w:szCs w:val="24"/>
          <w:highlight w:val="none"/>
        </w:rPr>
      </w:pPr>
      <w:bookmarkStart w:id="442" w:name="_Toc292559916"/>
      <w:bookmarkStart w:id="443" w:name="_Toc292559411"/>
      <w:bookmarkStart w:id="444" w:name="_Toc267251461"/>
      <w:bookmarkStart w:id="445" w:name="_Toc297120506"/>
      <w:bookmarkStart w:id="446" w:name="_Toc296891034"/>
      <w:bookmarkStart w:id="447" w:name="_Toc297048392"/>
      <w:bookmarkStart w:id="448" w:name="_Toc296891246"/>
      <w:bookmarkStart w:id="449" w:name="_Toc296346707"/>
      <w:bookmarkStart w:id="450" w:name="_Toc296503206"/>
      <w:bookmarkStart w:id="451" w:name="_Toc296347205"/>
      <w:bookmarkStart w:id="452" w:name="_Toc296944545"/>
      <w:bookmarkStart w:id="453" w:name="_Toc304295580"/>
      <w:bookmarkStart w:id="454" w:name="_Toc297123553"/>
      <w:bookmarkStart w:id="455" w:name="_Toc300935003"/>
      <w:bookmarkStart w:id="456" w:name="_Toc297216212"/>
      <w:bookmarkStart w:id="457" w:name="_Toc312678041"/>
      <w:bookmarkStart w:id="458" w:name="_Toc303539160"/>
      <w:r>
        <w:rPr>
          <w:rFonts w:ascii="宋体" w:hAnsi="宋体" w:eastAsia="宋体"/>
          <w:sz w:val="24"/>
          <w:szCs w:val="24"/>
          <w:highlight w:val="none"/>
        </w:rPr>
        <w:t>12.1合</w:t>
      </w:r>
      <w:bookmarkEnd w:id="442"/>
      <w:bookmarkEnd w:id="443"/>
      <w:bookmarkEnd w:id="444"/>
      <w:r>
        <w:rPr>
          <w:rFonts w:ascii="宋体" w:hAnsi="宋体" w:eastAsia="宋体"/>
          <w:sz w:val="24"/>
          <w:szCs w:val="24"/>
          <w:highlight w:val="none"/>
        </w:rPr>
        <w:t>同价</w:t>
      </w:r>
      <w:bookmarkEnd w:id="445"/>
      <w:bookmarkEnd w:id="446"/>
      <w:bookmarkEnd w:id="447"/>
      <w:bookmarkEnd w:id="448"/>
      <w:bookmarkEnd w:id="449"/>
      <w:bookmarkEnd w:id="450"/>
      <w:bookmarkEnd w:id="451"/>
      <w:bookmarkEnd w:id="452"/>
      <w:r>
        <w:rPr>
          <w:rFonts w:ascii="宋体" w:hAnsi="宋体" w:eastAsia="宋体"/>
          <w:sz w:val="24"/>
          <w:szCs w:val="24"/>
          <w:highlight w:val="none"/>
        </w:rPr>
        <w:t>格形式</w:t>
      </w:r>
    </w:p>
    <w:bookmarkEnd w:id="453"/>
    <w:bookmarkEnd w:id="454"/>
    <w:bookmarkEnd w:id="455"/>
    <w:bookmarkEnd w:id="456"/>
    <w:bookmarkEnd w:id="457"/>
    <w:bookmarkEnd w:id="458"/>
    <w:p w14:paraId="2669C7B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1、单价合同。</w:t>
      </w:r>
    </w:p>
    <w:p w14:paraId="4C7868C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综合单价包含的风险范围：</w:t>
      </w:r>
      <w:r>
        <w:rPr>
          <w:rFonts w:hint="eastAsia" w:ascii="宋体" w:hAnsi="宋体" w:eastAsia="宋体"/>
          <w:bCs/>
          <w:color w:val="0000FF"/>
          <w:szCs w:val="21"/>
          <w:highlight w:val="none"/>
          <w:u w:val="single"/>
        </w:rPr>
        <w:t>采用固定单价合同，除非经发包人同意的设计变更、现场签证及出现本合同规定的可以调整价款的情形，投标单价一经合同约定，今后不再调整</w:t>
      </w:r>
      <w:r>
        <w:rPr>
          <w:rFonts w:ascii="宋体" w:hAnsi="宋体" w:eastAsia="宋体"/>
          <w:szCs w:val="21"/>
          <w:highlight w:val="none"/>
        </w:rPr>
        <w:t>。</w:t>
      </w:r>
    </w:p>
    <w:p w14:paraId="245338D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szCs w:val="21"/>
          <w:highlight w:val="none"/>
        </w:rPr>
        <w:t>合同价款中包括的风险范围：</w:t>
      </w:r>
      <w:r>
        <w:rPr>
          <w:rFonts w:hint="eastAsia" w:ascii="宋体" w:hAnsi="宋体" w:eastAsia="宋体"/>
          <w:bCs/>
          <w:color w:val="0000FF"/>
          <w:szCs w:val="21"/>
          <w:highlight w:val="none"/>
          <w:u w:val="single"/>
        </w:rPr>
        <w:t>①包括投标报价（除合同条款规定的价格可调整部分）；②包括施工组织设计的技术、安全等措施；③包括机械台班价格浮动的风险调整；④施工期间除一、二类材料外的各类建材的市场风险（一、二类材料的具体调整办法详见11.1条约定）；⑤包括因承包人原因造成工期、费用增加的风险；⑥包括招标文件中明示和暗示的风险费用。</w:t>
      </w:r>
    </w:p>
    <w:p w14:paraId="5D84FB0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说明：（1）人工单价发生变化且符合省级或行业建设主管部门发布的人工费调整规定，合同当事人应按省级或行业建设主管部门或其授权的工程造价管理机构发布的人工费等文件调整合同价格，但承包人的人工费或人工单价报价高于发布价格的除外。（2）政策性调整按照有关部门发布的文件执行）</w:t>
      </w:r>
    </w:p>
    <w:p w14:paraId="477EBAC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A</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施工期间的各类市场风险及各投标人的自身能力。</w:t>
      </w:r>
    </w:p>
    <w:p w14:paraId="28390D8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承包人的投标报价是依据本工程招标文件所规定的工作要求及所附工程量清单结合承包人的施工组织设计，根据投标企业的自身实力和管理水平进行投标报价的。同时，承包人的投标报价中，已将施工期间各类建材的市场价格（除一、二类材料）风险考虑到报价内。上述风险因素除合同中另有约定，今后不导致价格调整。</w:t>
      </w:r>
    </w:p>
    <w:p w14:paraId="34A3842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B</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措施项目费。</w:t>
      </w:r>
    </w:p>
    <w:p w14:paraId="60E5EBA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措施项目费是指为完成工程施工，发生于该工程施工前和施工过程中的技术、生活、安全、环境保护等方面的非工程实体项目费用。根据现行工程量清单计算规范，措施项目费由单价措施项目费和总价措施项目费两部分组成。</w:t>
      </w:r>
    </w:p>
    <w:p w14:paraId="31D61DE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①单价措施项目费中混凝土模板及支架可以按接触面积按实调整，其他单价措施项目由投标人自报，包干使用，无论在工程量清单中是否单独列出承包人都应包含在自己的投标报价中，结算时与分部分项工程量变化、设计变更、现场签证等无关，不再调整。</w:t>
      </w:r>
    </w:p>
    <w:p w14:paraId="0F600B3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②总价措施项目中以费率计取的措施项目，费率固定不变，计取基数按实调整。以总价形式计取的措施项目总价包干，无论在工程量清单中是否单独列出承包人都应包含在自己的投标报价中，结算时与分部分项工程量变化、设计变更、现场签证等无关，不再调整。</w:t>
      </w:r>
    </w:p>
    <w:p w14:paraId="20F8EB9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其中：安全文明施工措施费作为不可竞争费，由基本费和省、市级标化增加费组成。本工程在编制招标控制价和投标报价时已按《江苏省建设工程费用定额》（2014年）营改增版的规定足额</w:t>
      </w:r>
      <w:r>
        <w:rPr>
          <w:rFonts w:hint="eastAsia" w:ascii="宋体" w:hAnsi="宋体" w:eastAsia="宋体"/>
          <w:bCs/>
          <w:color w:val="0000FF"/>
          <w:szCs w:val="21"/>
          <w:highlight w:val="none"/>
          <w:u w:val="single"/>
          <w:lang w:eastAsia="zh-CN"/>
        </w:rPr>
        <w:t>计取</w:t>
      </w:r>
      <w:r>
        <w:rPr>
          <w:rFonts w:hint="eastAsia" w:ascii="宋体" w:hAnsi="宋体" w:eastAsia="宋体"/>
          <w:bCs/>
          <w:color w:val="0000FF"/>
          <w:szCs w:val="21"/>
          <w:highlight w:val="none"/>
          <w:u w:val="single"/>
        </w:rPr>
        <w:t>。</w:t>
      </w:r>
    </w:p>
    <w:p w14:paraId="556F7D6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如发生被市级（含市级）以上建设行政主管部门或有关部门通报批评或发生安全及设备事故的工程，则取消相关级别标化增加费的计取。</w:t>
      </w:r>
    </w:p>
    <w:p w14:paraId="4B48F6F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C</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材料价格风险控制实施细则按照苏建价</w:t>
      </w:r>
      <w:r>
        <w:rPr>
          <w:rFonts w:hint="eastAsia" w:ascii="宋体" w:hAnsi="宋体" w:eastAsia="宋体"/>
          <w:bCs/>
          <w:color w:val="0000FF"/>
          <w:szCs w:val="21"/>
          <w:highlight w:val="none"/>
          <w:u w:val="single"/>
          <w:lang w:eastAsia="zh-CN"/>
        </w:rPr>
        <w:t>〔2008〕</w:t>
      </w:r>
      <w:r>
        <w:rPr>
          <w:rFonts w:hint="eastAsia" w:ascii="宋体" w:hAnsi="宋体" w:eastAsia="宋体"/>
          <w:bCs/>
          <w:color w:val="0000FF"/>
          <w:szCs w:val="21"/>
          <w:highlight w:val="none"/>
          <w:u w:val="single"/>
        </w:rPr>
        <w:t>67号文件规定执行。</w:t>
      </w:r>
    </w:p>
    <w:p w14:paraId="36857CF6">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风险费用的计算方法：</w:t>
      </w:r>
    </w:p>
    <w:p w14:paraId="1777A0A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1、承包人投标时已充分考虑风险范围并计算风险费用计入投标报价。</w:t>
      </w:r>
    </w:p>
    <w:p w14:paraId="00CF8FC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风险范围以外合同价格的调整方法：</w:t>
      </w:r>
    </w:p>
    <w:p w14:paraId="7B05CD5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a</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工程量按竣工图，以清单计价规则计算。</w:t>
      </w:r>
    </w:p>
    <w:p w14:paraId="4907A30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b</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新增经发包人书面确认的工程量清单项目的项目特征与投标报价中项目相同的，按投标报价的综合单价计算。</w:t>
      </w:r>
    </w:p>
    <w:p w14:paraId="79BBFBC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c</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新增经发包人书面确认的工程量清单项目的项目特征与投标报价中项目类似的，综合单价按类似项目投标报价时的人工、材料、机械台班耗用量、类似项目投标报价时的人工、机械台班单价、管理费、利润等费用标准及材料价格（无投标价的材料按信息指导价，无信息指导价的材料按施工时期的市场价）计算，作为结算综合单价。其相应综合单价及材料市场价由承包人提出，经监理人、跟踪审计及发包人审核后确定。</w:t>
      </w:r>
    </w:p>
    <w:p w14:paraId="6D8AF36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上述的“与投标报价中项目类似的”新增项目，指项目特征类似。</w:t>
      </w:r>
    </w:p>
    <w:p w14:paraId="63EA4B6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d</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投标报价中没有综合单价的新的工程量清单项目，新增综合单价按《建设工程工程量清单计价规范》（GB50500-2013）、《江苏省建设工程费用定额》（2014）营改增版、《江苏省建筑与装饰工程计价定额》（2014）、《江苏省安装工程计价定额》（2014）中的人工、材料、机械台班耗用量，按投标报价时的人工、机械台班单价、材料价格（无投标价的材料按信息指导价，无信息指导价的材料按施工时期的市场价），按照计价表相应的管理费和利润标准取费后，综合单价优惠后作为结算综合单价（其中甲供材料不让利）。</w:t>
      </w:r>
    </w:p>
    <w:p w14:paraId="434FB77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1)</w:t>
      </w:r>
      <w:r>
        <w:rPr>
          <w:rFonts w:hint="eastAsia" w:ascii="宋体" w:hAnsi="宋体" w:eastAsia="宋体"/>
          <w:bCs/>
          <w:color w:val="0000FF"/>
          <w:szCs w:val="21"/>
          <w:highlight w:val="none"/>
          <w:u w:val="single"/>
        </w:rPr>
        <w:t>材料变更时材料价格的确定：</w:t>
      </w:r>
    </w:p>
    <w:p w14:paraId="72FD8B6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①、承包人材料价格明细表中没有的材料及清单中约定的暂估材料，由承包人呈报价格,最终经监理、发包人、跟踪审计审核、发包人批准后的价格为准。</w:t>
      </w:r>
    </w:p>
    <w:p w14:paraId="4D8859D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②、如承包人材料价格明细表中已有的材料，在建设过程中因市场原因无法采购，而发生材料代用时，由承包人呈报价格，经监理、发包人、跟踪审计审核、发包人批准后的价格为准据实调整。</w:t>
      </w:r>
    </w:p>
    <w:p w14:paraId="6026690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③、因承包人原因造成材料代换时，除非该代换为工程</w:t>
      </w:r>
      <w:r>
        <w:rPr>
          <w:rFonts w:hint="eastAsia" w:ascii="宋体" w:hAnsi="宋体" w:eastAsia="宋体"/>
          <w:bCs/>
          <w:color w:val="0000FF"/>
          <w:szCs w:val="21"/>
          <w:highlight w:val="none"/>
          <w:u w:val="single"/>
          <w:lang w:eastAsia="zh-CN"/>
        </w:rPr>
        <w:t>所必需的</w:t>
      </w:r>
      <w:r>
        <w:rPr>
          <w:rFonts w:hint="eastAsia" w:ascii="宋体" w:hAnsi="宋体" w:eastAsia="宋体"/>
          <w:bCs/>
          <w:color w:val="0000FF"/>
          <w:szCs w:val="21"/>
          <w:highlight w:val="none"/>
          <w:u w:val="single"/>
        </w:rPr>
        <w:t>，须由承包人呈报价格经设计、监理、发包人、跟踪审计审核确定该材料价格，否则材料代换发生的价格变化不予调整。</w:t>
      </w:r>
    </w:p>
    <w:p w14:paraId="41E57E1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2)</w:t>
      </w:r>
      <w:r>
        <w:rPr>
          <w:rFonts w:hint="eastAsia" w:ascii="宋体" w:hAnsi="宋体" w:eastAsia="宋体"/>
          <w:bCs/>
          <w:color w:val="0000FF"/>
          <w:szCs w:val="21"/>
          <w:highlight w:val="none"/>
          <w:u w:val="single"/>
        </w:rPr>
        <w:t>其他</w:t>
      </w:r>
    </w:p>
    <w:p w14:paraId="267D871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对于各种检测费，按有关文件规定各自承担相关费用，</w:t>
      </w:r>
      <w:r>
        <w:rPr>
          <w:rFonts w:hint="eastAsia" w:ascii="宋体" w:hAnsi="宋体" w:eastAsia="宋体"/>
          <w:bCs/>
          <w:color w:val="0000FF"/>
          <w:szCs w:val="21"/>
          <w:highlight w:val="none"/>
          <w:u w:val="single"/>
          <w:lang w:eastAsia="zh-CN"/>
        </w:rPr>
        <w:t>涉及</w:t>
      </w:r>
      <w:r>
        <w:rPr>
          <w:rFonts w:hint="eastAsia" w:ascii="宋体" w:hAnsi="宋体" w:eastAsia="宋体"/>
          <w:bCs/>
          <w:color w:val="0000FF"/>
          <w:szCs w:val="21"/>
          <w:highlight w:val="none"/>
          <w:u w:val="single"/>
        </w:rPr>
        <w:t>由发包人承担的检测费用时，承包人必须提供相应的最新的文件。</w:t>
      </w:r>
    </w:p>
    <w:p w14:paraId="7D3F6E7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3)</w:t>
      </w:r>
      <w:r>
        <w:rPr>
          <w:rFonts w:hint="eastAsia" w:ascii="宋体" w:hAnsi="宋体" w:eastAsia="宋体"/>
          <w:bCs/>
          <w:color w:val="0000FF"/>
          <w:szCs w:val="21"/>
          <w:highlight w:val="none"/>
          <w:u w:val="single"/>
        </w:rPr>
        <w:t>设计变更、工程签证的价款结算：</w:t>
      </w:r>
    </w:p>
    <w:p w14:paraId="00E4C1E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①、由设计单位出具，经监理工程师、跟踪审计单位确认，发包人批准后的设计变更，方可作为结算依据；</w:t>
      </w:r>
    </w:p>
    <w:p w14:paraId="22A6180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②、经监理工程师、跟踪审计确认，发包人批准后的工程签证(指由承发包双方代表就施工过程中涉及合同价款之外的责任事件所做的签认证明)，方可作为结算的依据：</w:t>
      </w:r>
    </w:p>
    <w:p w14:paraId="5AFAA783">
      <w:pPr>
        <w:adjustRightInd w:val="0"/>
        <w:snapToGrid w:val="0"/>
        <w:spacing w:line="360" w:lineRule="auto"/>
        <w:ind w:firstLine="440" w:firstLineChars="200"/>
        <w:jc w:val="left"/>
        <w:rPr>
          <w:rFonts w:ascii="宋体" w:hAnsi="宋体" w:eastAsia="宋体"/>
          <w:szCs w:val="21"/>
          <w:highlight w:val="none"/>
          <w:u w:val="single"/>
        </w:rPr>
      </w:pPr>
      <w:r>
        <w:rPr>
          <w:rFonts w:hint="eastAsia" w:ascii="宋体" w:hAnsi="宋体" w:eastAsia="宋体"/>
          <w:bCs/>
          <w:color w:val="0000FF"/>
          <w:szCs w:val="21"/>
          <w:highlight w:val="none"/>
          <w:u w:val="single"/>
        </w:rPr>
        <w:t>上述有关设计变更、工程签证等的办理必须符合发包人内部流程及管理办法，并加盖经上述各方单位盖公章方有效。否则不得作为结算依据并不计入结算。</w:t>
      </w:r>
    </w:p>
    <w:p w14:paraId="609A1C7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2、总价合同。</w:t>
      </w:r>
    </w:p>
    <w:p w14:paraId="5601834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总价包含的风险范围</w:t>
      </w:r>
      <w:r>
        <w:rPr>
          <w:rFonts w:hint="eastAsia" w:ascii="宋体" w:hAnsi="宋体" w:eastAsia="宋体"/>
          <w:szCs w:val="21"/>
          <w:highlight w:val="none"/>
          <w:lang w:eastAsia="zh-CN"/>
        </w:rPr>
        <w:t>：</w:t>
      </w:r>
    </w:p>
    <w:p w14:paraId="7471DE0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风险费用的计算方法</w:t>
      </w:r>
      <w:r>
        <w:rPr>
          <w:rFonts w:hint="eastAsia" w:ascii="宋体" w:hAnsi="宋体" w:eastAsia="宋体"/>
          <w:szCs w:val="21"/>
          <w:highlight w:val="none"/>
          <w:lang w:eastAsia="zh-CN"/>
        </w:rPr>
        <w:t>：</w:t>
      </w:r>
    </w:p>
    <w:p w14:paraId="64DEFE2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风险范围以外合同价格的调整方法</w:t>
      </w:r>
      <w:r>
        <w:rPr>
          <w:rFonts w:hint="eastAsia" w:ascii="宋体" w:hAnsi="宋体" w:eastAsia="宋体"/>
          <w:szCs w:val="21"/>
          <w:highlight w:val="none"/>
          <w:lang w:eastAsia="zh-CN"/>
        </w:rPr>
        <w:t>：</w:t>
      </w:r>
    </w:p>
    <w:p w14:paraId="2B6E828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3、其他价格方式</w:t>
      </w:r>
      <w:r>
        <w:rPr>
          <w:rFonts w:hint="eastAsia" w:ascii="宋体" w:hAnsi="宋体" w:eastAsia="宋体"/>
          <w:szCs w:val="21"/>
          <w:highlight w:val="none"/>
          <w:lang w:eastAsia="zh-CN"/>
        </w:rPr>
        <w:t>：</w:t>
      </w:r>
    </w:p>
    <w:p w14:paraId="2C5AB24B">
      <w:pPr>
        <w:adjustRightInd w:val="0"/>
        <w:snapToGrid w:val="0"/>
        <w:spacing w:line="360" w:lineRule="auto"/>
        <w:ind w:firstLine="480" w:firstLineChars="200"/>
        <w:jc w:val="left"/>
        <w:rPr>
          <w:rFonts w:ascii="宋体" w:hAnsi="宋体" w:eastAsia="宋体"/>
          <w:sz w:val="24"/>
          <w:szCs w:val="24"/>
          <w:highlight w:val="none"/>
        </w:rPr>
      </w:pPr>
      <w:bookmarkStart w:id="459" w:name="_Toc297123554"/>
      <w:bookmarkStart w:id="460" w:name="_Toc304295581"/>
      <w:bookmarkStart w:id="461" w:name="_Toc300935004"/>
      <w:bookmarkStart w:id="462" w:name="_Toc312678042"/>
      <w:bookmarkStart w:id="463" w:name="_Toc297216213"/>
      <w:bookmarkStart w:id="464" w:name="_Toc303539161"/>
      <w:bookmarkStart w:id="465" w:name="_Toc296891035"/>
      <w:bookmarkStart w:id="466" w:name="_Toc292559412"/>
      <w:bookmarkStart w:id="467" w:name="_Toc296944546"/>
      <w:bookmarkStart w:id="468" w:name="_Toc296347206"/>
      <w:bookmarkStart w:id="469" w:name="_Toc292559917"/>
      <w:bookmarkStart w:id="470" w:name="_Toc297120507"/>
      <w:bookmarkStart w:id="471" w:name="_Toc297048393"/>
      <w:bookmarkStart w:id="472" w:name="_Toc296503207"/>
      <w:bookmarkStart w:id="473" w:name="_Toc296891247"/>
      <w:bookmarkStart w:id="474" w:name="_Toc296346708"/>
      <w:r>
        <w:rPr>
          <w:rFonts w:ascii="宋体" w:hAnsi="宋体" w:eastAsia="宋体"/>
          <w:sz w:val="24"/>
          <w:szCs w:val="24"/>
          <w:highlight w:val="none"/>
        </w:rPr>
        <w:t>12.2预付款</w:t>
      </w:r>
    </w:p>
    <w:bookmarkEnd w:id="459"/>
    <w:bookmarkEnd w:id="460"/>
    <w:bookmarkEnd w:id="461"/>
    <w:bookmarkEnd w:id="462"/>
    <w:bookmarkEnd w:id="463"/>
    <w:bookmarkEnd w:id="464"/>
    <w:p w14:paraId="14CFA2B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12.2.1预付款的支付</w:t>
      </w:r>
    </w:p>
    <w:p w14:paraId="149EC3A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预付款支付比例或金额：</w:t>
      </w:r>
      <w:r>
        <w:rPr>
          <w:rFonts w:hint="eastAsia" w:ascii="宋体" w:hAnsi="宋体" w:eastAsia="宋体"/>
          <w:bCs/>
          <w:color w:val="0000FF"/>
          <w:szCs w:val="21"/>
          <w:highlight w:val="none"/>
          <w:u w:val="single"/>
        </w:rPr>
        <w:t>在合同约定开工日期前7日内,且承包人完成开工准备工作，主要施工机械、设备、人员全部进场后</w:t>
      </w:r>
      <w:r>
        <w:rPr>
          <w:rFonts w:hint="eastAsia" w:ascii="宋体" w:hAnsi="宋体" w:eastAsia="宋体"/>
          <w:bCs/>
          <w:color w:val="0000FF"/>
          <w:szCs w:val="21"/>
          <w:highlight w:val="none"/>
          <w:u w:val="single"/>
          <w:lang w:eastAsia="zh-CN"/>
        </w:rPr>
        <w:t>，支</w:t>
      </w:r>
      <w:r>
        <w:rPr>
          <w:rFonts w:hint="eastAsia" w:ascii="宋体" w:hAnsi="宋体" w:eastAsia="宋体"/>
          <w:bCs/>
          <w:color w:val="0000FF"/>
          <w:szCs w:val="21"/>
          <w:highlight w:val="none"/>
          <w:u w:val="single"/>
        </w:rPr>
        <w:t>付合同基准价的10%，同时扣除发包人代缴费用；合同基准价的定义为：合同付款的计算基础价格；计算表示为：合同基准价=承包人的投标总价-暂列金-暂估价-甲供材，其中暂列金、暂估价、甲供材均含规费和税金。合同总价最终以结算审计确定的金额为准</w:t>
      </w:r>
      <w:r>
        <w:rPr>
          <w:rFonts w:ascii="宋体" w:hAnsi="宋体" w:eastAsia="宋体"/>
          <w:szCs w:val="21"/>
          <w:highlight w:val="none"/>
        </w:rPr>
        <w:t>。</w:t>
      </w:r>
    </w:p>
    <w:p w14:paraId="37FD800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预付款支付期限：</w:t>
      </w:r>
      <w:r>
        <w:rPr>
          <w:rFonts w:hint="eastAsia" w:ascii="宋体" w:hAnsi="宋体" w:eastAsia="宋体"/>
          <w:bCs/>
          <w:color w:val="0000FF"/>
          <w:szCs w:val="21"/>
          <w:highlight w:val="none"/>
          <w:u w:val="single"/>
        </w:rPr>
        <w:t>在合同约定开工日期前7日内,且承包人按本合同专用条款第7.3.1条完成开工准备工作，主要施工机械、设备、人员全部进场后</w:t>
      </w:r>
      <w:r>
        <w:rPr>
          <w:rFonts w:ascii="宋体" w:hAnsi="宋体" w:eastAsia="宋体"/>
          <w:szCs w:val="21"/>
          <w:highlight w:val="none"/>
        </w:rPr>
        <w:t>。</w:t>
      </w:r>
    </w:p>
    <w:p w14:paraId="02786A1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预付款扣回的方式：</w:t>
      </w:r>
      <w:r>
        <w:rPr>
          <w:rFonts w:hint="eastAsia" w:ascii="宋体" w:hAnsi="宋体" w:eastAsia="宋体"/>
          <w:bCs/>
          <w:color w:val="0000FF"/>
          <w:szCs w:val="21"/>
          <w:highlight w:val="none"/>
          <w:u w:val="single"/>
        </w:rPr>
        <w:t>预付款在第一次进度款支付时一次性扣回</w:t>
      </w:r>
      <w:r>
        <w:rPr>
          <w:rFonts w:ascii="宋体" w:hAnsi="宋体" w:eastAsia="宋体"/>
          <w:szCs w:val="21"/>
          <w:highlight w:val="none"/>
        </w:rPr>
        <w:t>。</w:t>
      </w:r>
    </w:p>
    <w:p w14:paraId="2B61113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12.2.2预付款担保</w:t>
      </w:r>
    </w:p>
    <w:p w14:paraId="71C3461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承包人提交预付款担保的期限</w:t>
      </w:r>
      <w:r>
        <w:rPr>
          <w:rFonts w:hint="eastAsia" w:ascii="宋体" w:hAnsi="宋体" w:eastAsia="宋体"/>
          <w:szCs w:val="21"/>
          <w:highlight w:val="none"/>
          <w:lang w:eastAsia="zh-CN"/>
        </w:rPr>
        <w:t>：</w:t>
      </w:r>
    </w:p>
    <w:p w14:paraId="087A733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预付款担保的形式为</w:t>
      </w:r>
      <w:r>
        <w:rPr>
          <w:rFonts w:hint="eastAsia" w:ascii="宋体" w:hAnsi="宋体" w:eastAsia="宋体"/>
          <w:szCs w:val="21"/>
          <w:highlight w:val="none"/>
          <w:lang w:eastAsia="zh-CN"/>
        </w:rPr>
        <w:t>：</w:t>
      </w:r>
    </w:p>
    <w:bookmarkEnd w:id="465"/>
    <w:bookmarkEnd w:id="466"/>
    <w:bookmarkEnd w:id="467"/>
    <w:bookmarkEnd w:id="468"/>
    <w:bookmarkEnd w:id="469"/>
    <w:bookmarkEnd w:id="470"/>
    <w:bookmarkEnd w:id="471"/>
    <w:bookmarkEnd w:id="472"/>
    <w:bookmarkEnd w:id="473"/>
    <w:bookmarkEnd w:id="474"/>
    <w:p w14:paraId="292574A9">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12.3计量</w:t>
      </w:r>
    </w:p>
    <w:p w14:paraId="57BF72D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12.3.1计量原则</w:t>
      </w:r>
    </w:p>
    <w:p w14:paraId="02F1C51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工程量计算规则：</w:t>
      </w:r>
      <w:r>
        <w:rPr>
          <w:rFonts w:hint="eastAsia" w:ascii="宋体" w:hAnsi="宋体" w:eastAsia="宋体"/>
          <w:bCs/>
          <w:color w:val="0000FF"/>
          <w:szCs w:val="21"/>
          <w:highlight w:val="none"/>
          <w:u w:val="single"/>
        </w:rPr>
        <w:t>工程量计算规则执行国家标准《建设工程工程量清单计价规范》(GB50500-2013)，承包人实际完成的工程量按约定的工程量计算规则和经监理、发包人、设计确认的竣工图进行计量</w:t>
      </w:r>
      <w:r>
        <w:rPr>
          <w:rFonts w:ascii="宋体" w:hAnsi="宋体" w:eastAsia="宋体"/>
          <w:szCs w:val="21"/>
          <w:highlight w:val="none"/>
        </w:rPr>
        <w:t>。</w:t>
      </w:r>
    </w:p>
    <w:p w14:paraId="06FA74A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12.3.2计量周期</w:t>
      </w:r>
    </w:p>
    <w:p w14:paraId="4C0D817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关于计量周期的约定：</w:t>
      </w:r>
      <w:r>
        <w:rPr>
          <w:rFonts w:hint="eastAsia" w:ascii="宋体" w:hAnsi="宋体" w:eastAsia="宋体"/>
          <w:bCs/>
          <w:color w:val="0000FF"/>
          <w:szCs w:val="21"/>
          <w:highlight w:val="none"/>
          <w:u w:val="single"/>
        </w:rPr>
        <w:t>工程量完成合同约定的付款节点后，承包人1周内完成工程计量申报</w:t>
      </w:r>
      <w:r>
        <w:rPr>
          <w:rFonts w:ascii="宋体" w:hAnsi="宋体" w:eastAsia="宋体"/>
          <w:szCs w:val="21"/>
          <w:highlight w:val="none"/>
        </w:rPr>
        <w:t>。</w:t>
      </w:r>
    </w:p>
    <w:p w14:paraId="68D104B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12.3.3单价合同的计量</w:t>
      </w:r>
    </w:p>
    <w:p w14:paraId="168DEFF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关于单价合同计量的约定：</w:t>
      </w:r>
      <w:r>
        <w:rPr>
          <w:rFonts w:hint="eastAsia" w:ascii="宋体" w:hAnsi="宋体" w:eastAsia="宋体"/>
          <w:bCs/>
          <w:color w:val="0000FF"/>
          <w:szCs w:val="21"/>
          <w:highlight w:val="none"/>
          <w:u w:val="single"/>
        </w:rPr>
        <w:t>1)工程计量方法按《建设工程工程量清单计价规范》（GB50500-2013）（简称本规定）中的计量规范执行。本规定作为计算工程量的统一依据，在执行本规定时，为了说明工作的确切性和工作条件，须根据施工设计图纸的要求和合同规定配套使用。</w:t>
      </w:r>
    </w:p>
    <w:p w14:paraId="135750A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2)本规定未包括的项目，可制订补充协议，并作为合同附件。新增项目按本合同约定的工程综合单价、计价原则、方法、计价费率结算造价。</w:t>
      </w:r>
    </w:p>
    <w:p w14:paraId="52A5A856">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3)任何工程项目的计量，都应是根据发包人批准的图纸所完成的</w:t>
      </w:r>
      <w:r>
        <w:rPr>
          <w:rFonts w:hint="eastAsia" w:ascii="宋体" w:hAnsi="宋体" w:eastAsia="宋体"/>
          <w:bCs/>
          <w:color w:val="0000FF"/>
          <w:szCs w:val="21"/>
          <w:highlight w:val="none"/>
          <w:u w:val="single"/>
          <w:lang w:eastAsia="zh-CN"/>
        </w:rPr>
        <w:t>或</w:t>
      </w:r>
      <w:r>
        <w:rPr>
          <w:rFonts w:hint="eastAsia" w:ascii="宋体" w:hAnsi="宋体" w:eastAsia="宋体"/>
          <w:bCs/>
          <w:color w:val="0000FF"/>
          <w:szCs w:val="21"/>
          <w:highlight w:val="none"/>
          <w:u w:val="single"/>
        </w:rPr>
        <w:t>监理工程师和发包人书面指示已完成工程量的计量。</w:t>
      </w:r>
    </w:p>
    <w:p w14:paraId="73F25D5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4)计量与支付应同时参照技术规范、合同条款、工程量清单</w:t>
      </w:r>
      <w:r>
        <w:rPr>
          <w:rFonts w:hint="eastAsia" w:ascii="宋体" w:hAnsi="宋体" w:eastAsia="宋体"/>
          <w:bCs/>
          <w:color w:val="0000FF"/>
          <w:szCs w:val="21"/>
          <w:highlight w:val="none"/>
          <w:u w:val="single"/>
          <w:lang w:eastAsia="zh-CN"/>
        </w:rPr>
        <w:t>，以及</w:t>
      </w:r>
      <w:r>
        <w:rPr>
          <w:rFonts w:hint="eastAsia" w:ascii="宋体" w:hAnsi="宋体" w:eastAsia="宋体"/>
          <w:bCs/>
          <w:color w:val="0000FF"/>
          <w:szCs w:val="21"/>
          <w:highlight w:val="none"/>
          <w:u w:val="single"/>
        </w:rPr>
        <w:t>图纸进行。</w:t>
      </w:r>
    </w:p>
    <w:p w14:paraId="163164C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5)凡超过图纸所示的任何长度、面积或体积都不予计量与支付。</w:t>
      </w:r>
    </w:p>
    <w:p w14:paraId="32FD062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6)有关技术规范允许的施工必要损耗，由承包人在投标报价时综合考虑，施工过程中对此不再予以计量。</w:t>
      </w:r>
    </w:p>
    <w:p w14:paraId="22D0FB1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7)设计变更等引起的已</w:t>
      </w:r>
      <w:r>
        <w:rPr>
          <w:rFonts w:hint="eastAsia" w:ascii="宋体" w:hAnsi="宋体" w:eastAsia="宋体"/>
          <w:bCs/>
          <w:color w:val="0000FF"/>
          <w:szCs w:val="21"/>
          <w:highlight w:val="none"/>
          <w:u w:val="single"/>
          <w:lang w:eastAsia="zh-CN"/>
        </w:rPr>
        <w:t>完成</w:t>
      </w:r>
      <w:r>
        <w:rPr>
          <w:rFonts w:hint="eastAsia" w:ascii="宋体" w:hAnsi="宋体" w:eastAsia="宋体"/>
          <w:bCs/>
          <w:color w:val="0000FF"/>
          <w:szCs w:val="21"/>
          <w:highlight w:val="none"/>
          <w:u w:val="single"/>
        </w:rPr>
        <w:t>工程的拆改，须有发包人、跟踪审计、监理、承包人共同计量。</w:t>
      </w:r>
    </w:p>
    <w:p w14:paraId="17335FB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(2)计量</w:t>
      </w:r>
    </w:p>
    <w:p w14:paraId="3BEB57E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1)措施项目</w:t>
      </w:r>
    </w:p>
    <w:p w14:paraId="3E60BAB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措施费项目包括但不限于：详见本合同条款12.1。</w:t>
      </w:r>
    </w:p>
    <w:p w14:paraId="525BC03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2)不予计量的规定</w:t>
      </w:r>
    </w:p>
    <w:p w14:paraId="32BED61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有下列情况之一者，不予计量与支付：</w:t>
      </w:r>
    </w:p>
    <w:p w14:paraId="0D8CA44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(a)无开工报告或开工报告未经批准；</w:t>
      </w:r>
    </w:p>
    <w:p w14:paraId="11DDD78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(b)无计量资料或计量资料不完整；</w:t>
      </w:r>
    </w:p>
    <w:p w14:paraId="5BE254D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(c)因施工错误而增加的工程量；</w:t>
      </w:r>
    </w:p>
    <w:p w14:paraId="3077D08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(d)工程量计算不符合相关计算规则；</w:t>
      </w:r>
    </w:p>
    <w:p w14:paraId="20B1848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(e)措施项目超出投标报价措施项目费总额；</w:t>
      </w:r>
    </w:p>
    <w:p w14:paraId="1FD90D9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(f)材料未按规定试验，或未被确认为合格；</w:t>
      </w:r>
    </w:p>
    <w:p w14:paraId="5ACD879B">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(g)合同外项目费用未按发包人有关规定办理审批手续</w:t>
      </w:r>
      <w:r>
        <w:rPr>
          <w:rFonts w:ascii="宋体" w:hAnsi="宋体" w:eastAsia="宋体"/>
          <w:szCs w:val="21"/>
          <w:highlight w:val="none"/>
        </w:rPr>
        <w:t>。</w:t>
      </w:r>
    </w:p>
    <w:p w14:paraId="2C0A0BA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12.3.4总价合同的计量</w:t>
      </w:r>
    </w:p>
    <w:p w14:paraId="03D4110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关于总价合同计量的约定</w:t>
      </w:r>
      <w:r>
        <w:rPr>
          <w:rFonts w:hint="eastAsia" w:ascii="宋体" w:hAnsi="宋体" w:eastAsia="宋体"/>
          <w:szCs w:val="21"/>
          <w:highlight w:val="none"/>
          <w:lang w:eastAsia="zh-CN"/>
        </w:rPr>
        <w:t>：</w:t>
      </w:r>
    </w:p>
    <w:p w14:paraId="64A35F9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12.3.5总价合同采用支付分解表计量支付的，是否适用第</w:t>
      </w:r>
      <w:r>
        <w:rPr>
          <w:rFonts w:ascii="宋体" w:hAnsi="宋体" w:eastAsia="宋体"/>
          <w:kern w:val="0"/>
          <w:szCs w:val="21"/>
          <w:highlight w:val="none"/>
        </w:rPr>
        <w:t>12.3.4</w:t>
      </w:r>
      <w:r>
        <w:rPr>
          <w:rFonts w:ascii="宋体" w:hAnsi="宋体" w:eastAsia="宋体"/>
          <w:szCs w:val="21"/>
          <w:highlight w:val="none"/>
        </w:rPr>
        <w:t>项</w:t>
      </w:r>
      <w:r>
        <w:rPr>
          <w:rFonts w:hint="eastAsia" w:ascii="宋体" w:hAnsi="宋体" w:eastAsia="宋体"/>
          <w:kern w:val="0"/>
          <w:szCs w:val="21"/>
          <w:highlight w:val="none"/>
        </w:rPr>
        <w:t>〔</w:t>
      </w:r>
      <w:r>
        <w:rPr>
          <w:rFonts w:ascii="宋体" w:hAnsi="宋体" w:eastAsia="宋体"/>
          <w:kern w:val="0"/>
          <w:szCs w:val="21"/>
          <w:highlight w:val="none"/>
        </w:rPr>
        <w:t>总价合同的计量</w:t>
      </w:r>
      <w:r>
        <w:rPr>
          <w:rFonts w:hint="eastAsia" w:ascii="宋体" w:hAnsi="宋体" w:eastAsia="宋体"/>
          <w:kern w:val="0"/>
          <w:szCs w:val="21"/>
          <w:highlight w:val="none"/>
        </w:rPr>
        <w:t>〕</w:t>
      </w:r>
      <w:r>
        <w:rPr>
          <w:rFonts w:ascii="宋体" w:hAnsi="宋体" w:eastAsia="宋体"/>
          <w:szCs w:val="21"/>
          <w:highlight w:val="none"/>
        </w:rPr>
        <w:t>约定</w:t>
      </w:r>
      <w:r>
        <w:rPr>
          <w:rFonts w:hint="eastAsia" w:ascii="宋体" w:hAnsi="宋体" w:eastAsia="宋体"/>
          <w:szCs w:val="21"/>
          <w:highlight w:val="none"/>
        </w:rPr>
        <w:t>进行计量</w:t>
      </w:r>
      <w:r>
        <w:rPr>
          <w:rFonts w:hint="eastAsia" w:ascii="宋体" w:hAnsi="宋体" w:eastAsia="宋体"/>
          <w:szCs w:val="21"/>
          <w:highlight w:val="none"/>
          <w:lang w:eastAsia="zh-CN"/>
        </w:rPr>
        <w:t>：</w:t>
      </w:r>
    </w:p>
    <w:p w14:paraId="48FBAE4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12.3.6其他价格形式合同的计量</w:t>
      </w:r>
    </w:p>
    <w:p w14:paraId="7AB39A8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其他价格形式的计量方式和程序</w:t>
      </w:r>
      <w:r>
        <w:rPr>
          <w:rFonts w:hint="eastAsia" w:ascii="宋体" w:hAnsi="宋体" w:eastAsia="宋体"/>
          <w:szCs w:val="21"/>
          <w:highlight w:val="none"/>
          <w:lang w:eastAsia="zh-CN"/>
        </w:rPr>
        <w:t>：</w:t>
      </w:r>
    </w:p>
    <w:p w14:paraId="3909B3EF">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12.4工程进度款支付</w:t>
      </w:r>
    </w:p>
    <w:p w14:paraId="2CBF1F52">
      <w:pPr>
        <w:adjustRightInd w:val="0"/>
        <w:snapToGrid w:val="0"/>
        <w:spacing w:line="360" w:lineRule="auto"/>
        <w:ind w:firstLine="440" w:firstLineChars="200"/>
        <w:jc w:val="left"/>
        <w:rPr>
          <w:rFonts w:ascii="宋体" w:hAnsi="宋体" w:eastAsia="宋体"/>
          <w:szCs w:val="21"/>
          <w:highlight w:val="none"/>
        </w:rPr>
      </w:pPr>
      <w:bookmarkStart w:id="475" w:name="_Toc297123556"/>
      <w:bookmarkStart w:id="476" w:name="_Toc296503211"/>
      <w:bookmarkStart w:id="477" w:name="_Toc297048397"/>
      <w:bookmarkStart w:id="478" w:name="_Toc296891039"/>
      <w:bookmarkStart w:id="479" w:name="_Toc296891251"/>
      <w:bookmarkStart w:id="480" w:name="_Toc296346712"/>
      <w:bookmarkStart w:id="481" w:name="_Toc292559416"/>
      <w:bookmarkStart w:id="482" w:name="_Toc296347210"/>
      <w:bookmarkStart w:id="483" w:name="_Toc292559921"/>
      <w:bookmarkStart w:id="484" w:name="_Toc303539163"/>
      <w:bookmarkStart w:id="485" w:name="_Toc300935006"/>
      <w:bookmarkStart w:id="486" w:name="_Toc297216215"/>
      <w:bookmarkStart w:id="487" w:name="_Toc296944550"/>
      <w:bookmarkStart w:id="488" w:name="_Toc297120511"/>
      <w:r>
        <w:rPr>
          <w:rFonts w:ascii="宋体" w:hAnsi="宋体" w:eastAsia="宋体"/>
          <w:szCs w:val="21"/>
          <w:highlight w:val="none"/>
        </w:rPr>
        <w:t>12.4.1付款周期</w:t>
      </w:r>
    </w:p>
    <w:p w14:paraId="08E46CEC">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ascii="宋体" w:hAnsi="宋体" w:eastAsia="宋体"/>
          <w:szCs w:val="21"/>
          <w:highlight w:val="none"/>
        </w:rPr>
        <w:t>关于付款周期的约定：</w:t>
      </w:r>
      <w:r>
        <w:rPr>
          <w:rFonts w:hint="eastAsia" w:ascii="宋体" w:hAnsi="宋体" w:eastAsia="宋体"/>
          <w:bCs/>
          <w:color w:val="0000FF"/>
          <w:szCs w:val="21"/>
          <w:highlight w:val="none"/>
          <w:u w:val="single"/>
        </w:rPr>
        <w:t>（1）工程竣工验收合格后30日内付至合同总额的60%，验收不合格，甲方有权不付款；</w:t>
      </w:r>
    </w:p>
    <w:p w14:paraId="12371A08">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hint="eastAsia" w:ascii="宋体" w:hAnsi="宋体" w:eastAsia="宋体"/>
          <w:bCs/>
          <w:color w:val="0000FF"/>
          <w:szCs w:val="21"/>
          <w:highlight w:val="none"/>
          <w:u w:val="single"/>
        </w:rPr>
        <w:t>（2）经审计结束后付至审定价的80%；</w:t>
      </w:r>
    </w:p>
    <w:p w14:paraId="79E0EE8D">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hint="eastAsia" w:ascii="宋体" w:hAnsi="宋体" w:eastAsia="宋体"/>
          <w:bCs/>
          <w:color w:val="0000FF"/>
          <w:szCs w:val="21"/>
          <w:highlight w:val="none"/>
          <w:u w:val="single"/>
        </w:rPr>
        <w:t>（3）结束一年以后付款至审定价的90%；</w:t>
      </w:r>
    </w:p>
    <w:p w14:paraId="7D8A0963">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hint="eastAsia" w:ascii="宋体" w:hAnsi="宋体" w:eastAsia="宋体"/>
          <w:bCs/>
          <w:color w:val="0000FF"/>
          <w:szCs w:val="21"/>
          <w:highlight w:val="none"/>
          <w:u w:val="single"/>
        </w:rPr>
        <w:t>（4）余款转为预留金，质保期满后一次性付清（不计利息）。</w:t>
      </w:r>
    </w:p>
    <w:p w14:paraId="1AADD905">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hint="eastAsia" w:ascii="宋体" w:hAnsi="宋体" w:eastAsia="宋体"/>
          <w:bCs/>
          <w:color w:val="0000FF"/>
          <w:szCs w:val="21"/>
          <w:highlight w:val="none"/>
          <w:u w:val="single"/>
        </w:rPr>
        <w:t>备注：以上款项支付时间，甲方有权根据乙方在服务过程中质量、安全及进度的控制情况，优先或滞后安排款项的支付。</w:t>
      </w:r>
    </w:p>
    <w:p w14:paraId="6E4C2A37">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hint="eastAsia" w:ascii="宋体" w:hAnsi="宋体" w:eastAsia="宋体"/>
          <w:bCs/>
          <w:color w:val="0000FF"/>
          <w:szCs w:val="21"/>
          <w:highlight w:val="none"/>
          <w:u w:val="single"/>
          <w:lang w:val="en-US" w:eastAsia="zh-CN"/>
        </w:rPr>
        <w:t>注：</w:t>
      </w:r>
      <w:r>
        <w:rPr>
          <w:rFonts w:hint="eastAsia" w:ascii="宋体" w:hAnsi="宋体" w:eastAsia="宋体"/>
          <w:bCs/>
          <w:color w:val="0000FF"/>
          <w:szCs w:val="21"/>
          <w:highlight w:val="none"/>
          <w:u w:val="single"/>
        </w:rPr>
        <w:t>对施工单位编制的工程结算存在高估冒算的，凡审计核减率为5%（含5%）以上的，由施工单位承担全部审计费用。</w:t>
      </w:r>
    </w:p>
    <w:p w14:paraId="6646788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发包人支付给承包人的工程进度款，承包人只能用于与本工程相关的劳力、材料、机械等费用，如工程进度款用于支付与本工程无关的费用，发包人有权选择停止支付工程款,并由承包人支付该合同总价5%的违约金。</w:t>
      </w:r>
    </w:p>
    <w:p w14:paraId="139BA64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在下列情况下，发包人有权暂时停止支付工程款，直至承包人解决问题：</w:t>
      </w:r>
    </w:p>
    <w:p w14:paraId="05E4653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1）承包人工程进度落后合同进度计划达十四天以上,发包人有权暂扣应付工程进度款的10</w:t>
      </w:r>
      <w:r>
        <w:rPr>
          <w:rFonts w:hint="eastAsia" w:ascii="宋体" w:hAnsi="宋体" w:eastAsia="宋体"/>
          <w:bCs/>
          <w:color w:val="0000FF"/>
          <w:szCs w:val="21"/>
          <w:highlight w:val="none"/>
          <w:u w:val="single"/>
          <w:lang w:eastAsia="zh-CN"/>
        </w:rPr>
        <w:t>%～</w:t>
      </w:r>
      <w:r>
        <w:rPr>
          <w:rFonts w:hint="eastAsia" w:ascii="宋体" w:hAnsi="宋体" w:eastAsia="宋体"/>
          <w:bCs/>
          <w:color w:val="0000FF"/>
          <w:szCs w:val="21"/>
          <w:highlight w:val="none"/>
          <w:u w:val="single"/>
        </w:rPr>
        <w:t>50%，在承包人采取措施赶回工期后，下期再补回暂扣的工程进度款。</w:t>
      </w:r>
    </w:p>
    <w:p w14:paraId="66D9FE0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2）承包人工程质量未达到合同约定标准；</w:t>
      </w:r>
    </w:p>
    <w:p w14:paraId="1347DCD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3）承包人无正当理由故意拒绝或拖延执行发包人代表的指示；</w:t>
      </w:r>
    </w:p>
    <w:p w14:paraId="5C11BD6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发生与工人工资纠纷、拖欠农民工工资的有关事件。（承包人保证及时给工人结算、支付工人工资。确保不拖欠工人工资，否则发包人有权直接扣除部分承包人应收工程款以支付工人工资。如因拖欠工人工资引起工人信访、诉讼等群体性事件，发包人有权解除合同，并有权按工程最终决算审计价款的2%扣除承包人工程款作为承包人应付的违约金，合同解除并不免除承包人的上述违约责任）</w:t>
      </w:r>
    </w:p>
    <w:p w14:paraId="43635CED">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5）工程资料应与工程形象进度及其他约定资料同步提交，否则，发包人拒绝支付工程款</w:t>
      </w:r>
      <w:r>
        <w:rPr>
          <w:rFonts w:ascii="宋体" w:hAnsi="宋体" w:eastAsia="宋体"/>
          <w:szCs w:val="21"/>
          <w:highlight w:val="none"/>
        </w:rPr>
        <w:t>。</w:t>
      </w:r>
    </w:p>
    <w:p w14:paraId="39AC198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12.4.2进度付款申请单的编制</w:t>
      </w:r>
    </w:p>
    <w:p w14:paraId="4B0B001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关于进度付款申请单编制的约定：</w:t>
      </w:r>
      <w:r>
        <w:rPr>
          <w:rFonts w:hint="eastAsia" w:ascii="宋体" w:hAnsi="宋体" w:eastAsia="宋体"/>
          <w:bCs/>
          <w:color w:val="0000FF"/>
          <w:szCs w:val="21"/>
          <w:highlight w:val="none"/>
          <w:u w:val="single"/>
        </w:rPr>
        <w:t>承包人应于每月25日前向发包人、监理人及跟踪审计报送上月20日至当月19日已完成的工程量报告，并附具进度付款申请单、已完成工程量报表和其他有关资料</w:t>
      </w:r>
      <w:r>
        <w:rPr>
          <w:rFonts w:ascii="宋体" w:hAnsi="宋体" w:eastAsia="宋体"/>
          <w:szCs w:val="21"/>
          <w:highlight w:val="none"/>
        </w:rPr>
        <w:t>。</w:t>
      </w:r>
    </w:p>
    <w:p w14:paraId="605DB15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宋体" w:hAnsi="宋体" w:eastAsia="宋体"/>
          <w:szCs w:val="21"/>
          <w:highlight w:val="none"/>
        </w:rPr>
        <w:t>2.4.3进度付款申请单的提交</w:t>
      </w:r>
    </w:p>
    <w:p w14:paraId="2270867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（1）单价合同进度付款申请单提交的约定</w:t>
      </w:r>
      <w:r>
        <w:rPr>
          <w:rFonts w:hint="eastAsia" w:ascii="宋体" w:hAnsi="宋体" w:eastAsia="宋体"/>
          <w:szCs w:val="21"/>
          <w:highlight w:val="none"/>
        </w:rPr>
        <w:t>：</w:t>
      </w:r>
      <w:r>
        <w:rPr>
          <w:rFonts w:hint="eastAsia" w:ascii="宋体" w:hAnsi="宋体" w:eastAsia="宋体"/>
          <w:bCs/>
          <w:color w:val="0000FF"/>
          <w:szCs w:val="21"/>
          <w:highlight w:val="none"/>
          <w:u w:val="single"/>
        </w:rPr>
        <w:t>承包人应于每月25日前向发包人、监理人及跟踪审计报送上月20日至当月19日已完成的工程量报告，并附具进度付款申请单、已完成工程量报表和其他有关资料</w:t>
      </w:r>
      <w:r>
        <w:rPr>
          <w:rFonts w:ascii="宋体" w:hAnsi="宋体" w:eastAsia="宋体"/>
          <w:szCs w:val="21"/>
          <w:highlight w:val="none"/>
        </w:rPr>
        <w:t>。</w:t>
      </w:r>
    </w:p>
    <w:p w14:paraId="325A8D3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（2）总价合同进度付款申请单提交的约定</w:t>
      </w:r>
      <w:r>
        <w:rPr>
          <w:rFonts w:hint="eastAsia" w:ascii="宋体" w:hAnsi="宋体" w:eastAsia="宋体"/>
          <w:szCs w:val="21"/>
          <w:highlight w:val="none"/>
          <w:lang w:eastAsia="zh-CN"/>
        </w:rPr>
        <w:t>：</w:t>
      </w:r>
    </w:p>
    <w:p w14:paraId="01BB486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（3）其他价格形式合同进度付款申请单提交的约定：</w:t>
      </w:r>
      <w:r>
        <w:rPr>
          <w:rFonts w:hint="eastAsia" w:ascii="宋体" w:hAnsi="宋体" w:eastAsia="宋体"/>
          <w:bCs/>
          <w:color w:val="0000FF"/>
          <w:szCs w:val="21"/>
          <w:highlight w:val="none"/>
          <w:u w:val="single"/>
        </w:rPr>
        <w:t>1）暂定材料（甲控乙供材），由承包人与供应商签订合同，并向发包人存档备案。由承包人向发包人提出支付申请，并经监理工程师、跟踪审计及发包人现场代表确认后，发包人直接支付至共管账户。在必要时，发包人工程管理部门作为合同见证方，发包人可直接代付至供应商账户。承包人根据工程进度必须充分考虑各类材料款的支付进度，确保及时支付。</w:t>
      </w:r>
    </w:p>
    <w:p w14:paraId="49D0FC3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甲供材（由发包人在清单内确定），由发包人与供应商直接签订合同，并通知监理方、承包人。供应商根据合同约定，向发包人提出进度款支付申请时，须先经监理工程师签发证书并经跟踪审计师及发包人现场代表确认后，由发包</w:t>
      </w:r>
      <w:r>
        <w:rPr>
          <w:rFonts w:hint="eastAsia" w:ascii="宋体" w:hAnsi="宋体" w:eastAsia="宋体"/>
          <w:bCs/>
          <w:color w:val="0000FF"/>
          <w:szCs w:val="21"/>
          <w:highlight w:val="none"/>
          <w:u w:val="single"/>
          <w:lang w:eastAsia="zh-CN"/>
        </w:rPr>
        <w:t>人支</w:t>
      </w:r>
      <w:r>
        <w:rPr>
          <w:rFonts w:hint="eastAsia" w:ascii="宋体" w:hAnsi="宋体" w:eastAsia="宋体"/>
          <w:bCs/>
          <w:color w:val="0000FF"/>
          <w:szCs w:val="21"/>
          <w:highlight w:val="none"/>
          <w:u w:val="single"/>
        </w:rPr>
        <w:t>付给供应商。</w:t>
      </w:r>
    </w:p>
    <w:p w14:paraId="232CDD1D">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对由发包人供应的材料（甲供材），承包人应考虑合理的供货周期，提前提供材料需求计划，并根据工程进度提供准确的材料加工尺寸、数量和要求等，不得影响现场施工。承包人应对材料的加工尺寸、规格、数量和供应时间等负责，对进场材料进行验收，合格后办理有关</w:t>
      </w:r>
      <w:r>
        <w:rPr>
          <w:rFonts w:hint="eastAsia" w:ascii="宋体" w:hAnsi="宋体" w:eastAsia="宋体"/>
          <w:bCs/>
          <w:color w:val="0000FF"/>
          <w:szCs w:val="21"/>
          <w:highlight w:val="none"/>
          <w:u w:val="single"/>
          <w:lang w:eastAsia="zh-CN"/>
        </w:rPr>
        <w:t>验收</w:t>
      </w:r>
      <w:r>
        <w:rPr>
          <w:rFonts w:hint="eastAsia" w:ascii="宋体" w:hAnsi="宋体" w:eastAsia="宋体"/>
          <w:bCs/>
          <w:color w:val="0000FF"/>
          <w:szCs w:val="21"/>
          <w:highlight w:val="none"/>
          <w:u w:val="single"/>
        </w:rPr>
        <w:t>手续。结算时，签收量多于结算用量的，由承包人负责承担差额部分</w:t>
      </w:r>
      <w:r>
        <w:rPr>
          <w:rFonts w:ascii="宋体" w:hAnsi="宋体" w:eastAsia="宋体"/>
          <w:szCs w:val="21"/>
          <w:highlight w:val="none"/>
        </w:rPr>
        <w:t>。</w:t>
      </w:r>
    </w:p>
    <w:p w14:paraId="19BAA93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12.4.4进度款审核和支付</w:t>
      </w:r>
    </w:p>
    <w:p w14:paraId="1FA90F48">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（1）监理人审查并报送发包人的期限：</w:t>
      </w:r>
      <w:r>
        <w:rPr>
          <w:rFonts w:hint="eastAsia" w:ascii="宋体" w:hAnsi="宋体" w:eastAsia="宋体"/>
          <w:bCs/>
          <w:color w:val="0000FF"/>
          <w:szCs w:val="21"/>
          <w:highlight w:val="none"/>
          <w:u w:val="single"/>
        </w:rPr>
        <w:t>监理人应在收到承包人进度付款申请单以及相关资料后7天内完成审查并报跟踪审计，跟踪审计应在收到后7天内完成审批并报发包人批准</w:t>
      </w:r>
      <w:r>
        <w:rPr>
          <w:rFonts w:ascii="宋体" w:hAnsi="宋体" w:eastAsia="宋体"/>
          <w:szCs w:val="21"/>
          <w:highlight w:val="none"/>
        </w:rPr>
        <w:t>。</w:t>
      </w:r>
    </w:p>
    <w:p w14:paraId="4CA2C29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发包人完成审批并签发进度款支付证书的期限：</w:t>
      </w:r>
      <w:r>
        <w:rPr>
          <w:rFonts w:hint="eastAsia" w:ascii="宋体" w:hAnsi="宋体" w:eastAsia="宋体"/>
          <w:bCs/>
          <w:color w:val="0000FF"/>
          <w:szCs w:val="21"/>
          <w:highlight w:val="none"/>
          <w:u w:val="single"/>
        </w:rPr>
        <w:t>发包人应在收到后14天内完成审批并签发进度款支付证书</w:t>
      </w:r>
      <w:r>
        <w:rPr>
          <w:rFonts w:ascii="宋体" w:hAnsi="宋体" w:eastAsia="宋体"/>
          <w:szCs w:val="21"/>
          <w:highlight w:val="none"/>
        </w:rPr>
        <w:t>。</w:t>
      </w:r>
    </w:p>
    <w:p w14:paraId="041403C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（2）发包人支付进度款的期限：</w:t>
      </w:r>
      <w:r>
        <w:rPr>
          <w:rFonts w:hint="eastAsia" w:ascii="宋体" w:hAnsi="宋体" w:eastAsia="宋体"/>
          <w:bCs/>
          <w:color w:val="0000FF"/>
          <w:szCs w:val="21"/>
          <w:highlight w:val="none"/>
          <w:u w:val="single"/>
        </w:rPr>
        <w:t>发包人应在进度款支付证书或临时进度款支付证书签发后14天内完成支付</w:t>
      </w:r>
      <w:r>
        <w:rPr>
          <w:rFonts w:ascii="宋体" w:hAnsi="宋体" w:eastAsia="宋体"/>
          <w:szCs w:val="21"/>
          <w:highlight w:val="none"/>
        </w:rPr>
        <w:t>。</w:t>
      </w:r>
    </w:p>
    <w:p w14:paraId="5F7E84A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发包人逾期支付进度款的违约金的计算方式</w:t>
      </w:r>
      <w:r>
        <w:rPr>
          <w:rFonts w:hint="eastAsia" w:ascii="宋体" w:hAnsi="宋体" w:eastAsia="宋体"/>
          <w:szCs w:val="21"/>
          <w:highlight w:val="none"/>
          <w:lang w:eastAsia="zh-CN"/>
        </w:rPr>
        <w:t>：</w:t>
      </w:r>
    </w:p>
    <w:p w14:paraId="728C6FB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12.4.6支付分解表的编制</w:t>
      </w:r>
    </w:p>
    <w:p w14:paraId="6DECA4B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2、总价合同支付分解表的编制与审批</w:t>
      </w:r>
      <w:r>
        <w:rPr>
          <w:rFonts w:hint="eastAsia" w:ascii="宋体" w:hAnsi="宋体" w:eastAsia="宋体"/>
          <w:szCs w:val="21"/>
          <w:highlight w:val="none"/>
          <w:lang w:eastAsia="zh-CN"/>
        </w:rPr>
        <w:t>：</w:t>
      </w:r>
    </w:p>
    <w:p w14:paraId="1822F27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3、单价合同的总价项目支付分解表的编制与审批</w:t>
      </w:r>
      <w:r>
        <w:rPr>
          <w:rFonts w:hint="eastAsia" w:ascii="宋体" w:hAnsi="宋体" w:eastAsia="宋体"/>
          <w:szCs w:val="21"/>
          <w:highlight w:val="none"/>
          <w:lang w:eastAsia="zh-CN"/>
        </w:rPr>
        <w:t>：</w:t>
      </w:r>
    </w:p>
    <w:bookmarkEnd w:id="318"/>
    <w:p w14:paraId="5E416152">
      <w:pPr>
        <w:pStyle w:val="7"/>
        <w:adjustRightInd w:val="0"/>
        <w:snapToGrid w:val="0"/>
        <w:spacing w:before="0" w:after="0" w:line="360" w:lineRule="auto"/>
        <w:ind w:firstLine="560" w:firstLineChars="200"/>
        <w:jc w:val="left"/>
        <w:rPr>
          <w:rFonts w:ascii="宋体" w:hAnsi="宋体" w:eastAsia="宋体"/>
          <w:b w:val="0"/>
          <w:highlight w:val="none"/>
        </w:rPr>
      </w:pPr>
      <w:bookmarkStart w:id="489" w:name="_Toc351203645"/>
      <w:bookmarkStart w:id="490" w:name="_Toc296944558"/>
      <w:bookmarkStart w:id="491" w:name="_Toc297048405"/>
      <w:bookmarkStart w:id="492" w:name="_Toc300935015"/>
      <w:bookmarkStart w:id="493" w:name="_Toc296891047"/>
      <w:bookmarkStart w:id="494" w:name="_Toc296346720"/>
      <w:bookmarkStart w:id="495" w:name="_Toc297216223"/>
      <w:bookmarkStart w:id="496" w:name="_Toc296503219"/>
      <w:bookmarkStart w:id="497" w:name="_Toc292559424"/>
      <w:bookmarkStart w:id="498" w:name="_Toc292559929"/>
      <w:bookmarkStart w:id="499" w:name="_Toc304295593"/>
      <w:bookmarkStart w:id="500" w:name="_Toc296347218"/>
      <w:bookmarkStart w:id="501" w:name="_Toc297120519"/>
      <w:bookmarkStart w:id="502" w:name="_Toc312678053"/>
      <w:bookmarkStart w:id="503" w:name="_Toc303539172"/>
      <w:bookmarkStart w:id="504" w:name="_Toc297123564"/>
      <w:bookmarkStart w:id="505" w:name="_Toc296891259"/>
      <w:r>
        <w:rPr>
          <w:rFonts w:ascii="宋体" w:hAnsi="宋体" w:eastAsia="宋体"/>
          <w:b w:val="0"/>
          <w:highlight w:val="none"/>
        </w:rPr>
        <w:t>13.验收和工程试车</w:t>
      </w:r>
      <w:bookmarkEnd w:id="489"/>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52D49A8D">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13.1分部分项工程验收</w:t>
      </w:r>
    </w:p>
    <w:p w14:paraId="32AA31A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13.1.2监理人不能按时进行验收时，应提前</w:t>
      </w:r>
      <w:r>
        <w:rPr>
          <w:rFonts w:ascii="宋体" w:hAnsi="宋体" w:eastAsia="宋体"/>
          <w:bCs/>
          <w:color w:val="0000FF"/>
          <w:szCs w:val="21"/>
          <w:highlight w:val="none"/>
          <w:u w:val="single"/>
        </w:rPr>
        <w:t>48</w:t>
      </w:r>
      <w:r>
        <w:rPr>
          <w:rFonts w:ascii="宋体" w:hAnsi="宋体" w:eastAsia="宋体"/>
          <w:szCs w:val="21"/>
          <w:highlight w:val="none"/>
        </w:rPr>
        <w:t>小时提交书面延期要求。</w:t>
      </w:r>
    </w:p>
    <w:p w14:paraId="27412B65">
      <w:pPr>
        <w:adjustRightInd w:val="0"/>
        <w:snapToGrid w:val="0"/>
        <w:spacing w:line="360" w:lineRule="auto"/>
        <w:ind w:firstLine="440" w:firstLineChars="200"/>
        <w:jc w:val="left"/>
        <w:rPr>
          <w:rFonts w:ascii="宋体" w:hAnsi="宋体" w:eastAsia="宋体"/>
          <w:b/>
          <w:szCs w:val="21"/>
          <w:highlight w:val="none"/>
        </w:rPr>
      </w:pPr>
      <w:r>
        <w:rPr>
          <w:rFonts w:ascii="宋体" w:hAnsi="宋体" w:eastAsia="宋体"/>
          <w:szCs w:val="21"/>
          <w:highlight w:val="none"/>
        </w:rPr>
        <w:t>关于延期最长不得超过：</w:t>
      </w:r>
      <w:r>
        <w:rPr>
          <w:rFonts w:ascii="宋体" w:hAnsi="宋体" w:eastAsia="宋体"/>
          <w:bCs/>
          <w:color w:val="0000FF"/>
          <w:szCs w:val="21"/>
          <w:highlight w:val="none"/>
          <w:u w:val="single"/>
        </w:rPr>
        <w:t>48</w:t>
      </w:r>
      <w:r>
        <w:rPr>
          <w:rFonts w:ascii="宋体" w:hAnsi="宋体" w:eastAsia="宋体"/>
          <w:szCs w:val="21"/>
          <w:highlight w:val="none"/>
        </w:rPr>
        <w:t>小时。</w:t>
      </w:r>
    </w:p>
    <w:p w14:paraId="6F197D20">
      <w:pPr>
        <w:adjustRightInd w:val="0"/>
        <w:snapToGrid w:val="0"/>
        <w:spacing w:line="360" w:lineRule="auto"/>
        <w:ind w:firstLine="480" w:firstLineChars="200"/>
        <w:jc w:val="left"/>
        <w:rPr>
          <w:rFonts w:ascii="宋体" w:hAnsi="宋体" w:eastAsia="宋体"/>
          <w:sz w:val="24"/>
          <w:szCs w:val="24"/>
          <w:highlight w:val="none"/>
        </w:rPr>
      </w:pPr>
      <w:bookmarkStart w:id="506" w:name="_Toc296347222"/>
      <w:bookmarkStart w:id="507" w:name="_Toc296891051"/>
      <w:bookmarkStart w:id="508" w:name="_Toc292559428"/>
      <w:bookmarkStart w:id="509" w:name="_Toc296891263"/>
      <w:bookmarkStart w:id="510" w:name="_Toc303539173"/>
      <w:bookmarkStart w:id="511" w:name="_Toc297123565"/>
      <w:bookmarkStart w:id="512" w:name="_Toc297216224"/>
      <w:bookmarkStart w:id="513" w:name="_Toc296346724"/>
      <w:bookmarkStart w:id="514" w:name="_Toc297120523"/>
      <w:bookmarkStart w:id="515" w:name="_Toc297048409"/>
      <w:bookmarkStart w:id="516" w:name="_Toc296944562"/>
      <w:bookmarkStart w:id="517" w:name="_Toc300935016"/>
      <w:bookmarkStart w:id="518" w:name="_Toc304295596"/>
      <w:bookmarkStart w:id="519" w:name="_Toc312678056"/>
      <w:bookmarkStart w:id="520" w:name="_Toc296503223"/>
      <w:bookmarkStart w:id="521" w:name="_Toc292559933"/>
      <w:bookmarkStart w:id="522" w:name="_Toc267251475"/>
      <w:bookmarkStart w:id="523" w:name="_Toc267251471"/>
      <w:bookmarkStart w:id="524" w:name="_Toc267251472"/>
      <w:bookmarkStart w:id="525" w:name="_Toc267251473"/>
      <w:bookmarkStart w:id="526" w:name="_Toc267251470"/>
      <w:bookmarkStart w:id="527" w:name="_Toc267251474"/>
      <w:bookmarkStart w:id="528" w:name="_Toc267251476"/>
      <w:r>
        <w:rPr>
          <w:rFonts w:ascii="宋体" w:hAnsi="宋体" w:eastAsia="宋体"/>
          <w:sz w:val="24"/>
          <w:szCs w:val="24"/>
          <w:highlight w:val="none"/>
        </w:rPr>
        <w:t>13.2竣工验收</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037B27D2">
      <w:pPr>
        <w:adjustRightInd w:val="0"/>
        <w:snapToGrid w:val="0"/>
        <w:spacing w:line="360" w:lineRule="auto"/>
        <w:ind w:firstLine="440" w:firstLineChars="200"/>
        <w:jc w:val="left"/>
        <w:rPr>
          <w:rFonts w:ascii="宋体" w:hAnsi="宋体" w:eastAsia="宋体"/>
          <w:szCs w:val="21"/>
          <w:highlight w:val="none"/>
        </w:rPr>
      </w:pPr>
      <w:bookmarkStart w:id="529" w:name="_Toc280868704"/>
      <w:bookmarkStart w:id="530" w:name="_Toc280868705"/>
      <w:bookmarkStart w:id="531" w:name="_Toc280868706"/>
      <w:bookmarkStart w:id="532" w:name="_Toc280868707"/>
      <w:bookmarkStart w:id="533" w:name="_Toc280868708"/>
      <w:bookmarkStart w:id="534" w:name="_Toc280868709"/>
      <w:r>
        <w:rPr>
          <w:rFonts w:ascii="宋体" w:hAnsi="宋体" w:eastAsia="宋体"/>
          <w:szCs w:val="21"/>
          <w:highlight w:val="none"/>
        </w:rPr>
        <w:t>13.2.2竣工验收程序</w:t>
      </w:r>
    </w:p>
    <w:bookmarkEnd w:id="529"/>
    <w:p w14:paraId="6D3A67F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关于竣工验收程序的约定：</w:t>
      </w:r>
      <w:r>
        <w:rPr>
          <w:rFonts w:hint="eastAsia" w:ascii="宋体" w:hAnsi="宋体" w:eastAsia="宋体"/>
          <w:bCs/>
          <w:color w:val="0000FF"/>
          <w:szCs w:val="21"/>
          <w:highlight w:val="none"/>
          <w:u w:val="single"/>
        </w:rPr>
        <w:t>承包人申请竣工验收的，应当按照以下程序进行：</w:t>
      </w:r>
    </w:p>
    <w:p w14:paraId="13B7CC3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承包人向监理人报送竣工验收申请报告，监理人应在收到竣工验收申请报告后14天内完成审查并报送发包人。发包人收到上述资料后20个工作日内组织有关部门进行全面验收（承包人应给予发包人足够的时间约请质检部门相关工作人员）。监理人审查后认为尚不具备验收条件的（含承包人提供的验收资料不全或不符合规定要求），应通知承包人在竣工验收前承包人还需完成的工作内容，承包人应在完成监理人通知的全部工作内容后，再次提交竣工验收申请报告，因此验收期顺延，责任由承包人承担。发包人组织验收后，在一周内给予批准或提出修改意见。若初次验收未通过，承包人应按发包人所提修改意见进行整改并承担整改费用，完成后再次申报。</w:t>
      </w:r>
    </w:p>
    <w:p w14:paraId="78B540C4">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监理人审查后认为已具备竣工验收条件的，应将竣工验收申请报告提交发包人，发包人应在收到经监理人审核的竣工验收申请报告后20个工作日内审批完毕并组织监理人、承包人、设计人等相关单位完成竣工验收。</w:t>
      </w:r>
    </w:p>
    <w:p w14:paraId="10AECBA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（3）竣工验收合格的，发包人应在验收合格后14天内向承包人签发工程接收证书。发包人无正当理由逾期不颁发工程接收证书的，自验收合格后第15天起视为已颁发工程接收证书。</w:t>
      </w:r>
    </w:p>
    <w:p w14:paraId="28C7424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3D9B4B4">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（5）承包人应配合总包单位完成质监部门竣工验收合格，提供必要的材料文件</w:t>
      </w:r>
      <w:r>
        <w:rPr>
          <w:rFonts w:ascii="宋体" w:hAnsi="宋体" w:eastAsia="宋体"/>
          <w:szCs w:val="21"/>
          <w:highlight w:val="none"/>
        </w:rPr>
        <w:t>。</w:t>
      </w:r>
    </w:p>
    <w:p w14:paraId="6EB6EA60">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发包人不按照本项约定组织竣工验收、颁发</w:t>
      </w:r>
      <w:r>
        <w:rPr>
          <w:rFonts w:hint="eastAsia" w:ascii="宋体" w:hAnsi="宋体" w:eastAsia="宋体"/>
          <w:kern w:val="0"/>
          <w:szCs w:val="21"/>
          <w:highlight w:val="none"/>
          <w:lang w:eastAsia="zh-CN"/>
        </w:rPr>
        <w:t>工程验收</w:t>
      </w:r>
      <w:r>
        <w:rPr>
          <w:rFonts w:ascii="宋体" w:hAnsi="宋体" w:eastAsia="宋体"/>
          <w:kern w:val="0"/>
          <w:szCs w:val="21"/>
          <w:highlight w:val="none"/>
        </w:rPr>
        <w:t>证书的违约金的计算方法：</w:t>
      </w:r>
    </w:p>
    <w:p w14:paraId="4AA59FE4">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lang w:eastAsia="zh-CN"/>
        </w:rPr>
        <w:t>/</w:t>
      </w:r>
    </w:p>
    <w:bookmarkEnd w:id="530"/>
    <w:p w14:paraId="687468E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13.2.5移交、接收全部与部分工程</w:t>
      </w:r>
    </w:p>
    <w:bookmarkEnd w:id="531"/>
    <w:p w14:paraId="7B37C979">
      <w:pPr>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kern w:val="0"/>
          <w:szCs w:val="21"/>
          <w:highlight w:val="none"/>
        </w:rPr>
        <w:t>承包人向发包人移交工程的期限：</w:t>
      </w:r>
      <w:r>
        <w:rPr>
          <w:rFonts w:hint="eastAsia" w:ascii="宋体" w:hAnsi="宋体" w:eastAsia="宋体"/>
          <w:bCs/>
          <w:color w:val="0000FF"/>
          <w:szCs w:val="21"/>
          <w:highlight w:val="none"/>
          <w:u w:val="single"/>
        </w:rPr>
        <w:t>竣工验收合格之日</w:t>
      </w:r>
      <w:r>
        <w:rPr>
          <w:rFonts w:ascii="宋体" w:hAnsi="宋体" w:eastAsia="宋体"/>
          <w:bCs/>
          <w:color w:val="0000FF"/>
          <w:szCs w:val="21"/>
          <w:highlight w:val="none"/>
          <w:u w:val="single"/>
        </w:rPr>
        <w:t>5日内。发包人无正当理由不接收工程的，发包人自颁发工程接收证书次日起，承担工程照管、成品保护、保管等与工程有关的各项费用</w:t>
      </w:r>
      <w:r>
        <w:rPr>
          <w:rFonts w:hint="eastAsia" w:ascii="宋体" w:hAnsi="宋体" w:eastAsia="宋体"/>
          <w:szCs w:val="21"/>
          <w:highlight w:val="none"/>
        </w:rPr>
        <w:t>。</w:t>
      </w:r>
    </w:p>
    <w:p w14:paraId="0CBC9B2C">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kern w:val="0"/>
          <w:szCs w:val="21"/>
          <w:highlight w:val="none"/>
        </w:rPr>
        <w:t>发包人未按本合同约定接收全部或部分工程的，违约金的计算方法为</w:t>
      </w:r>
      <w:r>
        <w:rPr>
          <w:rFonts w:hint="eastAsia" w:ascii="宋体" w:hAnsi="宋体" w:eastAsia="宋体"/>
          <w:kern w:val="0"/>
          <w:szCs w:val="21"/>
          <w:highlight w:val="none"/>
          <w:lang w:eastAsia="zh-CN"/>
        </w:rPr>
        <w:t>：</w:t>
      </w:r>
    </w:p>
    <w:bookmarkEnd w:id="532"/>
    <w:p w14:paraId="76AADAC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承包人未按时移交工程的，违约金的计算方法为：</w:t>
      </w:r>
      <w:r>
        <w:rPr>
          <w:rFonts w:hint="eastAsia" w:ascii="宋体" w:hAnsi="宋体" w:eastAsia="宋体"/>
          <w:bCs/>
          <w:color w:val="0000FF"/>
          <w:szCs w:val="21"/>
          <w:highlight w:val="none"/>
          <w:u w:val="single"/>
        </w:rPr>
        <w:t>每逾期一日，承包人向发包人支付</w:t>
      </w:r>
      <w:r>
        <w:rPr>
          <w:rFonts w:ascii="宋体" w:hAnsi="宋体" w:eastAsia="宋体"/>
          <w:bCs/>
          <w:color w:val="0000FF"/>
          <w:szCs w:val="21"/>
          <w:highlight w:val="none"/>
          <w:u w:val="single"/>
        </w:rPr>
        <w:t>10000元/日的违约金</w:t>
      </w:r>
      <w:r>
        <w:rPr>
          <w:rFonts w:ascii="宋体" w:hAnsi="宋体" w:eastAsia="宋体"/>
          <w:szCs w:val="21"/>
          <w:highlight w:val="none"/>
        </w:rPr>
        <w:t>。</w:t>
      </w:r>
    </w:p>
    <w:p w14:paraId="70EB6380">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13.3工程试车</w:t>
      </w:r>
    </w:p>
    <w:bookmarkEnd w:id="533"/>
    <w:p w14:paraId="67554461">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13.3.1试车程序</w:t>
      </w:r>
    </w:p>
    <w:p w14:paraId="7F9283BA">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工程试车内容：</w:t>
      </w:r>
      <w:r>
        <w:rPr>
          <w:rFonts w:hint="eastAsia" w:ascii="宋体" w:hAnsi="宋体" w:eastAsia="宋体"/>
          <w:bCs/>
          <w:color w:val="0000FF"/>
          <w:szCs w:val="21"/>
          <w:highlight w:val="none"/>
          <w:u w:val="single"/>
        </w:rPr>
        <w:t>特殊施工项目另行约定</w:t>
      </w:r>
      <w:r>
        <w:rPr>
          <w:rFonts w:ascii="宋体" w:hAnsi="宋体" w:eastAsia="宋体"/>
          <w:szCs w:val="21"/>
          <w:highlight w:val="none"/>
        </w:rPr>
        <w:t>。</w:t>
      </w:r>
    </w:p>
    <w:p w14:paraId="6AFC5852">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（1）单机无负荷试车费用由</w:t>
      </w:r>
      <w:r>
        <w:rPr>
          <w:rFonts w:hint="eastAsia" w:ascii="宋体" w:hAnsi="宋体" w:eastAsia="宋体"/>
          <w:bCs/>
          <w:color w:val="0000FF"/>
          <w:szCs w:val="21"/>
          <w:highlight w:val="none"/>
          <w:u w:val="single"/>
        </w:rPr>
        <w:t>承包人</w:t>
      </w:r>
      <w:r>
        <w:rPr>
          <w:rFonts w:ascii="宋体" w:hAnsi="宋体" w:eastAsia="宋体"/>
          <w:kern w:val="0"/>
          <w:szCs w:val="21"/>
          <w:highlight w:val="none"/>
        </w:rPr>
        <w:t>承担；</w:t>
      </w:r>
    </w:p>
    <w:p w14:paraId="3ED566D8">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（2）无负荷联动试车费用由</w:t>
      </w:r>
      <w:r>
        <w:rPr>
          <w:rFonts w:hint="eastAsia" w:ascii="宋体" w:hAnsi="宋体" w:eastAsia="宋体"/>
          <w:bCs/>
          <w:color w:val="0000FF"/>
          <w:szCs w:val="21"/>
          <w:highlight w:val="none"/>
          <w:u w:val="single"/>
        </w:rPr>
        <w:t>承包人</w:t>
      </w:r>
      <w:r>
        <w:rPr>
          <w:rFonts w:ascii="宋体" w:hAnsi="宋体" w:eastAsia="宋体"/>
          <w:kern w:val="0"/>
          <w:szCs w:val="21"/>
          <w:highlight w:val="none"/>
        </w:rPr>
        <w:t>承担。</w:t>
      </w:r>
    </w:p>
    <w:p w14:paraId="334162DB">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13.3.3投料试车</w:t>
      </w:r>
    </w:p>
    <w:p w14:paraId="2EE0764F">
      <w:pPr>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kern w:val="0"/>
          <w:szCs w:val="21"/>
          <w:highlight w:val="none"/>
        </w:rPr>
        <w:t>关于投料试车相关事项的约定：</w:t>
      </w:r>
      <w:r>
        <w:rPr>
          <w:rFonts w:hint="eastAsia" w:ascii="宋体" w:hAnsi="宋体" w:eastAsia="宋体"/>
          <w:bCs/>
          <w:color w:val="0000FF"/>
          <w:szCs w:val="21"/>
          <w:highlight w:val="none"/>
          <w:u w:val="single"/>
        </w:rPr>
        <w:t>特殊施工项目另行约定</w:t>
      </w:r>
      <w:r>
        <w:rPr>
          <w:rFonts w:ascii="宋体" w:hAnsi="宋体" w:eastAsia="宋体"/>
          <w:szCs w:val="21"/>
          <w:highlight w:val="none"/>
        </w:rPr>
        <w:t>。</w:t>
      </w:r>
    </w:p>
    <w:p w14:paraId="0F10D9DC">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13.6竣工退场</w:t>
      </w:r>
    </w:p>
    <w:p w14:paraId="7AB8CA07">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13.6.1竣工退场</w:t>
      </w:r>
    </w:p>
    <w:p w14:paraId="59C70B88">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承包人完成竣工退场的期限：</w:t>
      </w:r>
      <w:r>
        <w:rPr>
          <w:rFonts w:hint="eastAsia" w:ascii="宋体" w:hAnsi="宋体" w:eastAsia="宋体"/>
          <w:bCs/>
          <w:color w:val="0000FF"/>
          <w:szCs w:val="21"/>
          <w:highlight w:val="none"/>
          <w:u w:val="single"/>
        </w:rPr>
        <w:t>取得工程竣工验收证书之日起</w:t>
      </w:r>
      <w:r>
        <w:rPr>
          <w:rFonts w:ascii="宋体" w:hAnsi="宋体" w:eastAsia="宋体"/>
          <w:bCs/>
          <w:color w:val="0000FF"/>
          <w:szCs w:val="21"/>
          <w:highlight w:val="none"/>
          <w:u w:val="single"/>
        </w:rPr>
        <w:t>10天内（或按照发包人要求退场的时间内），对工程本身及施工场地进行全面清理，做到工完场清，否则按每天20000元支付违约金。竣工清场费用由承包人承担。承包人未按发包人要求清场或者清场未达到合同约定的，发包人有权委托其他人进行清场，所发生的金额从拟支付给承包人的款项中扣除</w:t>
      </w:r>
      <w:r>
        <w:rPr>
          <w:rFonts w:ascii="宋体" w:hAnsi="宋体" w:eastAsia="宋体"/>
          <w:kern w:val="0"/>
          <w:szCs w:val="21"/>
          <w:highlight w:val="none"/>
        </w:rPr>
        <w:t>。</w:t>
      </w:r>
    </w:p>
    <w:p w14:paraId="064CFBF5">
      <w:pPr>
        <w:pStyle w:val="7"/>
        <w:adjustRightInd w:val="0"/>
        <w:snapToGrid w:val="0"/>
        <w:spacing w:before="0" w:after="0" w:line="360" w:lineRule="auto"/>
        <w:ind w:firstLine="560" w:firstLineChars="200"/>
        <w:jc w:val="left"/>
        <w:rPr>
          <w:rFonts w:ascii="宋体" w:hAnsi="宋体" w:eastAsia="宋体"/>
          <w:b w:val="0"/>
          <w:highlight w:val="none"/>
        </w:rPr>
      </w:pPr>
      <w:bookmarkStart w:id="535" w:name="_Toc351203646"/>
      <w:r>
        <w:rPr>
          <w:rFonts w:ascii="宋体" w:hAnsi="宋体" w:eastAsia="宋体"/>
          <w:b w:val="0"/>
          <w:highlight w:val="none"/>
        </w:rPr>
        <w:t>14.竣工结算</w:t>
      </w:r>
      <w:bookmarkEnd w:id="535"/>
    </w:p>
    <w:p w14:paraId="1B6D61CB">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14.1竣工付款申请</w:t>
      </w:r>
    </w:p>
    <w:p w14:paraId="782E5306">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承包人提交竣工付款申请单的期限：</w:t>
      </w:r>
      <w:r>
        <w:rPr>
          <w:rFonts w:hint="eastAsia" w:ascii="宋体" w:hAnsi="宋体" w:eastAsia="宋体"/>
          <w:bCs/>
          <w:color w:val="0000FF"/>
          <w:szCs w:val="21"/>
          <w:highlight w:val="none"/>
          <w:u w:val="single"/>
        </w:rPr>
        <w:t>承包人在工程验收合格之日起</w:t>
      </w:r>
      <w:r>
        <w:rPr>
          <w:rFonts w:ascii="宋体" w:hAnsi="宋体" w:eastAsia="宋体"/>
          <w:bCs/>
          <w:color w:val="0000FF"/>
          <w:szCs w:val="21"/>
          <w:highlight w:val="none"/>
          <w:u w:val="single"/>
        </w:rPr>
        <w:t>56天内提交竣工结算申请并提供完整的竣工结算资料，否则发包人有权向承包人收取2000元/天的违约金，上不封顶</w:t>
      </w:r>
      <w:r>
        <w:rPr>
          <w:rFonts w:ascii="宋体" w:hAnsi="宋体" w:eastAsia="宋体"/>
          <w:szCs w:val="21"/>
          <w:highlight w:val="none"/>
        </w:rPr>
        <w:t>。</w:t>
      </w:r>
    </w:p>
    <w:p w14:paraId="691A0F84">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竣工付款申请单应包括的内容：</w:t>
      </w:r>
      <w:r>
        <w:rPr>
          <w:rFonts w:hint="eastAsia" w:ascii="宋体" w:hAnsi="宋体" w:eastAsia="宋体"/>
          <w:bCs/>
          <w:color w:val="0000FF"/>
          <w:szCs w:val="21"/>
          <w:highlight w:val="none"/>
          <w:u w:val="single"/>
        </w:rPr>
        <w:t>竣工结算合同总价、发包人已支付承包人的工程价款、应扣留的质量保证金、应支付的竣工付款金额</w:t>
      </w:r>
      <w:r>
        <w:rPr>
          <w:rFonts w:ascii="宋体" w:hAnsi="宋体" w:eastAsia="宋体"/>
          <w:szCs w:val="21"/>
          <w:highlight w:val="none"/>
        </w:rPr>
        <w:t>。</w:t>
      </w:r>
    </w:p>
    <w:p w14:paraId="78576C1E">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14.2竣工结算审核</w:t>
      </w:r>
    </w:p>
    <w:p w14:paraId="64BBFDE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w:t>
      </w:r>
      <w:r>
        <w:rPr>
          <w:rFonts w:hint="eastAsia" w:ascii="宋体" w:hAnsi="宋体" w:eastAsia="宋体"/>
          <w:szCs w:val="21"/>
          <w:highlight w:val="none"/>
        </w:rPr>
        <w:t>审批</w:t>
      </w:r>
      <w:r>
        <w:rPr>
          <w:rFonts w:ascii="宋体" w:hAnsi="宋体" w:eastAsia="宋体"/>
          <w:szCs w:val="21"/>
          <w:highlight w:val="none"/>
        </w:rPr>
        <w:t>竣工付款申请单的期限：</w:t>
      </w:r>
      <w:r>
        <w:rPr>
          <w:rFonts w:hint="eastAsia" w:ascii="宋体" w:hAnsi="宋体" w:eastAsia="宋体"/>
          <w:bCs/>
          <w:color w:val="0000FF"/>
          <w:szCs w:val="21"/>
          <w:highlight w:val="none"/>
          <w:u w:val="single"/>
        </w:rPr>
        <w:t>承包人应该在提供竣工验收资料后45天内提交完整的竣工结算报告及结算资料。否则造成发包人、监理单位、跟踪审计单位管理费用的增加和审核时间的延长，责任由承包人承担</w:t>
      </w:r>
      <w:r>
        <w:rPr>
          <w:rFonts w:ascii="宋体" w:hAnsi="宋体" w:eastAsia="宋体"/>
          <w:szCs w:val="21"/>
          <w:highlight w:val="none"/>
        </w:rPr>
        <w:t>。</w:t>
      </w:r>
    </w:p>
    <w:p w14:paraId="18E216CE">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发包人完成竣工付款的期限：</w:t>
      </w:r>
      <w:r>
        <w:rPr>
          <w:rFonts w:hint="eastAsia" w:ascii="宋体" w:hAnsi="宋体" w:eastAsia="宋体"/>
          <w:bCs/>
          <w:color w:val="0000FF"/>
          <w:szCs w:val="21"/>
          <w:highlight w:val="none"/>
          <w:u w:val="single"/>
        </w:rPr>
        <w:t>发包人收到承包人递交完整的竣工结算报告及结算资料后30天内送审。如工程结算资料不完整，承包人重新补充直至完整，承包人应配合竣工结算审核工作。审核工作完成后，承包人应在一个月内对审计结果进行书面确认；如逾期视同承包人认可审计结果</w:t>
      </w:r>
      <w:r>
        <w:rPr>
          <w:rFonts w:ascii="宋体" w:hAnsi="宋体" w:eastAsia="宋体"/>
          <w:szCs w:val="21"/>
          <w:highlight w:val="none"/>
        </w:rPr>
        <w:t>。</w:t>
      </w:r>
    </w:p>
    <w:p w14:paraId="3B7D346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szCs w:val="21"/>
          <w:highlight w:val="none"/>
        </w:rPr>
        <w:t>关于竣工付款证书异议部分复核的方式和程序：</w:t>
      </w:r>
      <w:r>
        <w:rPr>
          <w:rFonts w:hint="eastAsia" w:ascii="宋体" w:hAnsi="宋体" w:eastAsia="宋体"/>
          <w:bCs/>
          <w:color w:val="0000FF"/>
          <w:szCs w:val="21"/>
          <w:highlight w:val="none"/>
          <w:u w:val="single"/>
        </w:rPr>
        <w:t>工程竣工结算审计结束并经承包人书面确认后的14日内</w:t>
      </w:r>
      <w:r>
        <w:rPr>
          <w:rFonts w:ascii="宋体" w:hAnsi="宋体" w:eastAsia="宋体"/>
          <w:bCs/>
          <w:color w:val="0000FF"/>
          <w:szCs w:val="21"/>
          <w:highlight w:val="none"/>
          <w:u w:val="single"/>
        </w:rPr>
        <w:t>。</w:t>
      </w:r>
    </w:p>
    <w:p w14:paraId="7AF10549">
      <w:pPr>
        <w:adjustRightInd w:val="0"/>
        <w:snapToGrid w:val="0"/>
        <w:spacing w:line="360" w:lineRule="auto"/>
        <w:ind w:firstLine="440" w:firstLineChars="200"/>
        <w:jc w:val="left"/>
        <w:rPr>
          <w:rFonts w:hint="eastAsia" w:ascii="宋体" w:hAnsi="宋体" w:eastAsia="宋体"/>
          <w:bCs/>
          <w:color w:val="0000FF"/>
          <w:szCs w:val="21"/>
          <w:highlight w:val="none"/>
          <w:u w:val="single"/>
        </w:rPr>
      </w:pPr>
      <w:r>
        <w:rPr>
          <w:rFonts w:hint="eastAsia" w:ascii="宋体" w:hAnsi="宋体" w:eastAsia="宋体"/>
          <w:bCs/>
          <w:color w:val="0000FF"/>
          <w:szCs w:val="21"/>
          <w:highlight w:val="none"/>
          <w:u w:val="single"/>
        </w:rPr>
        <w:t>注：对施工单位编制的工程结算存在高估冒算的，凡审计核减率为5%（含5%）以上的，由施工单位承担全部审计费用。</w:t>
      </w:r>
    </w:p>
    <w:p w14:paraId="168F44F6">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14.4最终结清</w:t>
      </w:r>
    </w:p>
    <w:p w14:paraId="29063493">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14.4.1最终结清申请单</w:t>
      </w:r>
    </w:p>
    <w:p w14:paraId="31BD17F3">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承包人提交最终结清申请单的份数：</w:t>
      </w:r>
      <w:r>
        <w:rPr>
          <w:rFonts w:hint="eastAsia" w:ascii="宋体" w:hAnsi="宋体" w:eastAsia="宋体"/>
          <w:bCs/>
          <w:color w:val="0000FF"/>
          <w:szCs w:val="21"/>
          <w:highlight w:val="none"/>
          <w:u w:val="single"/>
        </w:rPr>
        <w:t>一式伍份</w:t>
      </w:r>
      <w:r>
        <w:rPr>
          <w:rFonts w:ascii="宋体" w:hAnsi="宋体" w:eastAsia="宋体"/>
          <w:szCs w:val="21"/>
          <w:highlight w:val="none"/>
        </w:rPr>
        <w:t>。</w:t>
      </w:r>
    </w:p>
    <w:p w14:paraId="686311F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承包人提交最终结算申请单的期限</w:t>
      </w:r>
      <w:r>
        <w:rPr>
          <w:rFonts w:hint="eastAsia" w:ascii="宋体" w:hAnsi="宋体" w:eastAsia="宋体"/>
          <w:kern w:val="0"/>
          <w:szCs w:val="21"/>
          <w:highlight w:val="none"/>
          <w:lang w:eastAsia="zh-CN"/>
        </w:rPr>
        <w:t>：</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4021DE7B">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14.4.2最终结清证书和支付</w:t>
      </w:r>
    </w:p>
    <w:p w14:paraId="1AAE7BA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（1）发包人完成最终结清申请单的</w:t>
      </w:r>
      <w:r>
        <w:rPr>
          <w:rFonts w:hint="eastAsia" w:ascii="宋体" w:hAnsi="宋体" w:eastAsia="宋体"/>
          <w:szCs w:val="21"/>
          <w:highlight w:val="none"/>
        </w:rPr>
        <w:t>审批</w:t>
      </w:r>
      <w:r>
        <w:rPr>
          <w:rFonts w:ascii="宋体" w:hAnsi="宋体" w:eastAsia="宋体"/>
          <w:szCs w:val="21"/>
          <w:highlight w:val="none"/>
        </w:rPr>
        <w:t>并颁发最终结清证书的期限：</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17C5F43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（2）发包人完成支付的期限：</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bookmarkEnd w:id="522"/>
    <w:bookmarkEnd w:id="523"/>
    <w:bookmarkEnd w:id="524"/>
    <w:bookmarkEnd w:id="525"/>
    <w:bookmarkEnd w:id="526"/>
    <w:bookmarkEnd w:id="527"/>
    <w:bookmarkEnd w:id="528"/>
    <w:bookmarkEnd w:id="534"/>
    <w:p w14:paraId="0AA3FB91">
      <w:pPr>
        <w:pStyle w:val="7"/>
        <w:adjustRightInd w:val="0"/>
        <w:snapToGrid w:val="0"/>
        <w:spacing w:before="0" w:after="0" w:line="360" w:lineRule="auto"/>
        <w:ind w:firstLine="560" w:firstLineChars="200"/>
        <w:jc w:val="left"/>
        <w:rPr>
          <w:rFonts w:ascii="宋体" w:hAnsi="宋体" w:eastAsia="宋体"/>
          <w:b w:val="0"/>
          <w:highlight w:val="none"/>
        </w:rPr>
      </w:pPr>
      <w:bookmarkStart w:id="536" w:name="_Toc351203647"/>
      <w:bookmarkStart w:id="537" w:name="_Toc267251483"/>
      <w:bookmarkStart w:id="538" w:name="_Toc267251482"/>
      <w:bookmarkStart w:id="539" w:name="_Toc267251484"/>
      <w:bookmarkStart w:id="540" w:name="_Toc267251485"/>
      <w:bookmarkStart w:id="541" w:name="_Toc267251486"/>
      <w:bookmarkStart w:id="542" w:name="_Toc267251490"/>
      <w:bookmarkStart w:id="543" w:name="_Toc267251489"/>
      <w:bookmarkStart w:id="544" w:name="_Toc267251488"/>
      <w:bookmarkStart w:id="545" w:name="_Toc267251499"/>
      <w:bookmarkStart w:id="546" w:name="_Toc267251493"/>
      <w:bookmarkStart w:id="547" w:name="_Toc267251502"/>
      <w:bookmarkStart w:id="548" w:name="_Toc267251491"/>
      <w:bookmarkStart w:id="549" w:name="_Toc267251494"/>
      <w:bookmarkStart w:id="550" w:name="_Toc267251496"/>
      <w:bookmarkStart w:id="551" w:name="_Toc267251498"/>
      <w:bookmarkStart w:id="552" w:name="_Toc267251503"/>
      <w:bookmarkStart w:id="553" w:name="_Toc267251497"/>
      <w:bookmarkStart w:id="554" w:name="_Toc267251492"/>
      <w:bookmarkStart w:id="555" w:name="_Toc267251501"/>
      <w:bookmarkStart w:id="556" w:name="_Toc267251495"/>
      <w:bookmarkStart w:id="557" w:name="_Toc267251504"/>
      <w:bookmarkStart w:id="558" w:name="_Toc267251506"/>
      <w:bookmarkStart w:id="559" w:name="_Toc267251507"/>
      <w:bookmarkStart w:id="560" w:name="_Toc267251508"/>
      <w:bookmarkStart w:id="561" w:name="_Toc267251513"/>
      <w:bookmarkStart w:id="562" w:name="_Toc267251515"/>
      <w:bookmarkStart w:id="563" w:name="_Toc267251514"/>
      <w:bookmarkStart w:id="564" w:name="_Toc267251510"/>
      <w:bookmarkStart w:id="565" w:name="_Toc267251511"/>
      <w:bookmarkStart w:id="566" w:name="_Toc267251509"/>
      <w:r>
        <w:rPr>
          <w:rFonts w:ascii="宋体" w:hAnsi="宋体" w:eastAsia="宋体"/>
          <w:b w:val="0"/>
          <w:highlight w:val="none"/>
        </w:rPr>
        <w:t>15.缺陷责任期与保修</w:t>
      </w:r>
      <w:bookmarkEnd w:id="536"/>
    </w:p>
    <w:p w14:paraId="58979069">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15.2缺陷责任期</w:t>
      </w:r>
      <w:bookmarkEnd w:id="537"/>
    </w:p>
    <w:p w14:paraId="63988D9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缺陷责任期的具体期限：</w:t>
      </w:r>
      <w:r>
        <w:rPr>
          <w:rFonts w:ascii="宋体" w:hAnsi="宋体" w:eastAsia="宋体"/>
          <w:bCs/>
          <w:color w:val="0000FF"/>
          <w:szCs w:val="21"/>
          <w:highlight w:val="none"/>
          <w:u w:val="single"/>
        </w:rPr>
        <w:t>24个月</w:t>
      </w:r>
      <w:r>
        <w:rPr>
          <w:rFonts w:ascii="宋体" w:hAnsi="宋体" w:eastAsia="宋体"/>
          <w:szCs w:val="21"/>
          <w:highlight w:val="none"/>
        </w:rPr>
        <w:t>。</w:t>
      </w:r>
    </w:p>
    <w:p w14:paraId="5F351851">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15.3质量保证金</w:t>
      </w:r>
    </w:p>
    <w:p w14:paraId="0CA90226">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关于是否扣留质量保证金的约定：</w:t>
      </w:r>
      <w:r>
        <w:rPr>
          <w:rFonts w:hint="eastAsia" w:ascii="宋体" w:hAnsi="宋体" w:eastAsia="宋体"/>
          <w:bCs/>
          <w:color w:val="0000FF"/>
          <w:szCs w:val="21"/>
          <w:highlight w:val="none"/>
          <w:u w:val="single"/>
        </w:rPr>
        <w:t>扣留质量保证金</w:t>
      </w:r>
      <w:r>
        <w:rPr>
          <w:rFonts w:ascii="宋体" w:hAnsi="宋体" w:eastAsia="宋体"/>
          <w:szCs w:val="21"/>
          <w:highlight w:val="none"/>
        </w:rPr>
        <w:t>。</w:t>
      </w:r>
    </w:p>
    <w:p w14:paraId="72D2AAF7">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szCs w:val="21"/>
          <w:highlight w:val="none"/>
        </w:rPr>
        <w:t>在工程项目竣工前，承包人按专用合同条款第3.7条提供履约担保的，发包人不得同时预留工程质量保证金。</w:t>
      </w:r>
    </w:p>
    <w:p w14:paraId="3F31019D">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15.3.1</w:t>
      </w:r>
      <w:r>
        <w:rPr>
          <w:rFonts w:hint="eastAsia" w:ascii="宋体" w:hAnsi="宋体" w:eastAsia="宋体"/>
          <w:szCs w:val="21"/>
          <w:highlight w:val="none"/>
        </w:rPr>
        <w:t>承包人提供</w:t>
      </w:r>
      <w:r>
        <w:rPr>
          <w:rFonts w:ascii="宋体" w:hAnsi="宋体" w:eastAsia="宋体"/>
          <w:szCs w:val="21"/>
          <w:highlight w:val="none"/>
        </w:rPr>
        <w:t>质量保证金的</w:t>
      </w:r>
      <w:r>
        <w:rPr>
          <w:rFonts w:hint="eastAsia" w:ascii="宋体" w:hAnsi="宋体" w:eastAsia="宋体"/>
          <w:szCs w:val="21"/>
          <w:highlight w:val="none"/>
        </w:rPr>
        <w:t>方</w:t>
      </w:r>
      <w:r>
        <w:rPr>
          <w:rFonts w:ascii="宋体" w:hAnsi="宋体" w:eastAsia="宋体"/>
          <w:szCs w:val="21"/>
          <w:highlight w:val="none"/>
        </w:rPr>
        <w:t>式</w:t>
      </w:r>
    </w:p>
    <w:p w14:paraId="0B33F55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质量保证金采用以下第</w:t>
      </w:r>
      <w:r>
        <w:rPr>
          <w:rFonts w:ascii="宋体" w:hAnsi="宋体" w:eastAsia="宋体"/>
          <w:bCs/>
          <w:color w:val="0000FF"/>
          <w:szCs w:val="21"/>
          <w:highlight w:val="none"/>
          <w:u w:val="single"/>
        </w:rPr>
        <w:t>2</w:t>
      </w:r>
      <w:r>
        <w:rPr>
          <w:rFonts w:ascii="宋体" w:hAnsi="宋体" w:eastAsia="宋体"/>
          <w:szCs w:val="21"/>
          <w:highlight w:val="none"/>
        </w:rPr>
        <w:t>种方式：</w:t>
      </w:r>
    </w:p>
    <w:p w14:paraId="19CFAD42">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（1）质量保证金保函，保证金额为</w:t>
      </w:r>
      <w:r>
        <w:rPr>
          <w:rFonts w:hint="eastAsia" w:ascii="宋体" w:hAnsi="宋体" w:eastAsia="宋体"/>
          <w:kern w:val="0"/>
          <w:szCs w:val="21"/>
          <w:highlight w:val="none"/>
          <w:lang w:eastAsia="zh-CN"/>
        </w:rPr>
        <w:t>：</w:t>
      </w:r>
    </w:p>
    <w:p w14:paraId="5E231372">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（2）</w:t>
      </w:r>
      <w:r>
        <w:rPr>
          <w:rFonts w:hint="eastAsia" w:ascii="宋体" w:hAnsi="宋体" w:eastAsia="宋体"/>
          <w:bCs/>
          <w:color w:val="0000FF"/>
          <w:szCs w:val="21"/>
          <w:highlight w:val="none"/>
          <w:u w:val="single"/>
        </w:rPr>
        <w:t>竣工结算审定价的</w:t>
      </w:r>
      <w:r>
        <w:rPr>
          <w:rFonts w:ascii="宋体" w:hAnsi="宋体" w:eastAsia="宋体"/>
          <w:bCs/>
          <w:color w:val="0000FF"/>
          <w:szCs w:val="21"/>
          <w:highlight w:val="none"/>
          <w:u w:val="single"/>
        </w:rPr>
        <w:t>3</w:t>
      </w:r>
      <w:r>
        <w:rPr>
          <w:rFonts w:ascii="宋体" w:hAnsi="宋体" w:eastAsia="宋体"/>
          <w:kern w:val="0"/>
          <w:szCs w:val="21"/>
          <w:highlight w:val="none"/>
        </w:rPr>
        <w:t>%的工程款；</w:t>
      </w:r>
    </w:p>
    <w:p w14:paraId="62019860">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（3）其他</w:t>
      </w:r>
      <w:r>
        <w:rPr>
          <w:rFonts w:hint="eastAsia" w:ascii="宋体" w:hAnsi="宋体" w:eastAsia="宋体"/>
          <w:kern w:val="0"/>
          <w:szCs w:val="21"/>
          <w:highlight w:val="none"/>
        </w:rPr>
        <w:t>方</w:t>
      </w:r>
      <w:r>
        <w:rPr>
          <w:rFonts w:ascii="宋体" w:hAnsi="宋体" w:eastAsia="宋体"/>
          <w:kern w:val="0"/>
          <w:szCs w:val="21"/>
          <w:highlight w:val="none"/>
        </w:rPr>
        <w:t>式</w:t>
      </w:r>
      <w:r>
        <w:rPr>
          <w:rFonts w:hint="eastAsia" w:ascii="宋体" w:hAnsi="宋体" w:eastAsia="宋体"/>
          <w:kern w:val="0"/>
          <w:szCs w:val="21"/>
          <w:highlight w:val="none"/>
          <w:lang w:eastAsia="zh-CN"/>
        </w:rPr>
        <w:t>:</w:t>
      </w:r>
    </w:p>
    <w:p w14:paraId="4AE3D0C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15.3.2质量保证金的扣留</w:t>
      </w:r>
    </w:p>
    <w:p w14:paraId="07DF3BE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质量保证金的扣留采取以下第</w:t>
      </w:r>
      <w:r>
        <w:rPr>
          <w:rFonts w:ascii="宋体" w:hAnsi="宋体" w:eastAsia="宋体"/>
          <w:bCs/>
          <w:color w:val="0000FF"/>
          <w:szCs w:val="21"/>
          <w:highlight w:val="none"/>
          <w:u w:val="single"/>
        </w:rPr>
        <w:t>2</w:t>
      </w:r>
      <w:r>
        <w:rPr>
          <w:rFonts w:ascii="宋体" w:hAnsi="宋体" w:eastAsia="宋体"/>
          <w:szCs w:val="21"/>
          <w:highlight w:val="none"/>
        </w:rPr>
        <w:t>种方式：</w:t>
      </w:r>
    </w:p>
    <w:p w14:paraId="445F221A">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（1）在支付工程进度款时逐次扣留，在此情形下，质量保证金的计算基数不包括预付款的支付、扣回以及价格调整的金额；</w:t>
      </w:r>
    </w:p>
    <w:p w14:paraId="3250B756">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（2）工程竣工结算时一次性扣留质量保证金；</w:t>
      </w:r>
    </w:p>
    <w:p w14:paraId="6DA63DD3">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（3）其他扣留方式</w:t>
      </w:r>
      <w:r>
        <w:rPr>
          <w:rFonts w:hint="eastAsia" w:ascii="宋体" w:hAnsi="宋体" w:eastAsia="宋体"/>
          <w:kern w:val="0"/>
          <w:szCs w:val="21"/>
          <w:highlight w:val="none"/>
          <w:lang w:eastAsia="zh-CN"/>
        </w:rPr>
        <w:t>:</w:t>
      </w:r>
    </w:p>
    <w:p w14:paraId="4884498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关于质量保证金的补充约定：</w:t>
      </w:r>
      <w:r>
        <w:rPr>
          <w:rFonts w:hint="eastAsia" w:ascii="宋体" w:hAnsi="宋体" w:eastAsia="宋体"/>
          <w:bCs/>
          <w:color w:val="0000FF"/>
          <w:szCs w:val="21"/>
          <w:highlight w:val="none"/>
          <w:u w:val="single"/>
        </w:rPr>
        <w:t>详见《工程质量保修书》</w:t>
      </w:r>
      <w:r>
        <w:rPr>
          <w:rFonts w:ascii="宋体" w:hAnsi="宋体" w:eastAsia="宋体"/>
          <w:kern w:val="0"/>
          <w:szCs w:val="21"/>
          <w:highlight w:val="none"/>
        </w:rPr>
        <w:t>。</w:t>
      </w:r>
    </w:p>
    <w:bookmarkEnd w:id="538"/>
    <w:bookmarkEnd w:id="539"/>
    <w:p w14:paraId="17D4789A">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15.4保修</w:t>
      </w:r>
    </w:p>
    <w:bookmarkEnd w:id="540"/>
    <w:p w14:paraId="3EC7BC65">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15.4.1保修责任</w:t>
      </w:r>
    </w:p>
    <w:p w14:paraId="73CFD1D6">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工程保修期为：</w:t>
      </w:r>
      <w:r>
        <w:rPr>
          <w:rFonts w:hint="eastAsia" w:ascii="宋体" w:hAnsi="宋体" w:eastAsia="宋体"/>
          <w:bCs/>
          <w:color w:val="0000FF"/>
          <w:szCs w:val="21"/>
          <w:highlight w:val="none"/>
          <w:u w:val="single"/>
        </w:rPr>
        <w:t>详见工程质量保修书，但分部分项工程不低于法定最低保修年限。</w:t>
      </w:r>
    </w:p>
    <w:p w14:paraId="0A64403C">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bCs/>
          <w:color w:val="0000FF"/>
          <w:szCs w:val="21"/>
          <w:highlight w:val="none"/>
          <w:u w:val="single"/>
        </w:rPr>
        <w:t>15.4.2（1）保修期内，对于工程质量缺陷、损坏，承包人应负责修复，并承担修复的费用以及因工程的缺陷、损坏造成的人身伤害和财产损失；（2）保修期内，因发包人使用不当造成工程的缺陷、损坏，可以委托承包人修复，但发包人应承担修复的费用。（3）在施工过程中以及工程移交的质量保修期内，由于承包人原因出现的质量问题、安全事故或者其他原因，受到媒体的曝光或政府部门的通报，给本工程的社会形象造成负面影响时，发包人有权收取承包人30万元/次的违约金</w:t>
      </w:r>
      <w:r>
        <w:rPr>
          <w:rFonts w:ascii="宋体" w:hAnsi="宋体" w:eastAsia="宋体"/>
          <w:kern w:val="0"/>
          <w:szCs w:val="21"/>
          <w:highlight w:val="none"/>
        </w:rPr>
        <w:t>。</w:t>
      </w:r>
    </w:p>
    <w:p w14:paraId="488FCA6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15.4.3修复通知</w:t>
      </w:r>
    </w:p>
    <w:p w14:paraId="7BB4867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承包人收到保修通知并到达工程现场的合理时间：</w:t>
      </w:r>
      <w:r>
        <w:rPr>
          <w:rFonts w:hint="eastAsia" w:ascii="宋体" w:hAnsi="宋体" w:eastAsia="宋体"/>
          <w:bCs/>
          <w:color w:val="0000FF"/>
          <w:szCs w:val="21"/>
          <w:highlight w:val="none"/>
          <w:u w:val="single"/>
        </w:rPr>
        <w:t>承包人接到发包人通知之时起</w:t>
      </w:r>
      <w:r>
        <w:rPr>
          <w:rFonts w:ascii="宋体" w:hAnsi="宋体" w:eastAsia="宋体"/>
          <w:bCs/>
          <w:color w:val="0000FF"/>
          <w:szCs w:val="21"/>
          <w:highlight w:val="none"/>
          <w:u w:val="single"/>
        </w:rPr>
        <w:t>8个小时内响应，24小时内到达工程现场，48小时内开始组织修复。</w:t>
      </w:r>
    </w:p>
    <w:p w14:paraId="0FDE6C3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bCs/>
          <w:color w:val="0000FF"/>
          <w:szCs w:val="21"/>
          <w:highlight w:val="none"/>
          <w:u w:val="single"/>
        </w:rPr>
        <w:t>15.4.4未能修复</w:t>
      </w:r>
    </w:p>
    <w:p w14:paraId="511D2958">
      <w:pPr>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bCs/>
          <w:color w:val="0000FF"/>
          <w:szCs w:val="21"/>
          <w:highlight w:val="none"/>
          <w:u w:val="single"/>
        </w:rPr>
        <w:t>在工程保修期内发生的工程缺陷或损坏，承包人拒绝维修或未能在合理期限内修复，且经发包人书面催告后仍未修复的，发包人有权自行修复或委托第三方修复，所需费用由承包人承担，同时承包人应支付发包人</w:t>
      </w:r>
      <w:r>
        <w:rPr>
          <w:rFonts w:ascii="宋体" w:hAnsi="宋体" w:eastAsia="宋体"/>
          <w:bCs/>
          <w:color w:val="0000FF"/>
          <w:szCs w:val="21"/>
          <w:highlight w:val="none"/>
          <w:u w:val="single"/>
        </w:rPr>
        <w:t>5000元以上2万元以下违约金，并由承包人对在保修期内因质量缺陷造成的损失承担赔偿责任。但修复范围超出缺陷或损坏范围的，超出范围部分的修复费用由发包人承担</w:t>
      </w:r>
      <w:r>
        <w:rPr>
          <w:rFonts w:ascii="宋体" w:hAnsi="宋体" w:eastAsia="宋体"/>
          <w:kern w:val="0"/>
          <w:szCs w:val="21"/>
          <w:highlight w:val="none"/>
        </w:rPr>
        <w:t>。</w:t>
      </w:r>
    </w:p>
    <w:bookmarkEnd w:id="541"/>
    <w:bookmarkEnd w:id="542"/>
    <w:bookmarkEnd w:id="543"/>
    <w:bookmarkEnd w:id="544"/>
    <w:p w14:paraId="623E13A2">
      <w:pPr>
        <w:pStyle w:val="7"/>
        <w:adjustRightInd w:val="0"/>
        <w:snapToGrid w:val="0"/>
        <w:spacing w:before="0" w:after="0" w:line="360" w:lineRule="auto"/>
        <w:ind w:firstLine="560" w:firstLineChars="200"/>
        <w:jc w:val="left"/>
        <w:rPr>
          <w:rFonts w:ascii="宋体" w:hAnsi="宋体" w:eastAsia="宋体"/>
          <w:b w:val="0"/>
          <w:highlight w:val="none"/>
        </w:rPr>
      </w:pPr>
      <w:bookmarkStart w:id="567" w:name="_Toc351203648"/>
      <w:bookmarkStart w:id="568" w:name="_Toc280868717"/>
      <w:bookmarkStart w:id="569" w:name="_Toc280868718"/>
      <w:r>
        <w:rPr>
          <w:rFonts w:ascii="宋体" w:hAnsi="宋体" w:eastAsia="宋体"/>
          <w:b w:val="0"/>
          <w:highlight w:val="none"/>
        </w:rPr>
        <w:t>16.违约</w:t>
      </w:r>
      <w:bookmarkEnd w:id="567"/>
    </w:p>
    <w:p w14:paraId="142DBBD2">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16.1发包人违约</w:t>
      </w:r>
    </w:p>
    <w:p w14:paraId="12E31F0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16.1.1发包人违约的情形</w:t>
      </w:r>
    </w:p>
    <w:p w14:paraId="2F5D544F">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发包人违约的其他情形</w:t>
      </w:r>
      <w:r>
        <w:rPr>
          <w:rFonts w:hint="eastAsia" w:ascii="宋体" w:hAnsi="宋体" w:eastAsia="宋体"/>
          <w:kern w:val="0"/>
          <w:szCs w:val="21"/>
          <w:highlight w:val="none"/>
          <w:lang w:eastAsia="zh-CN"/>
        </w:rPr>
        <w:t>：</w:t>
      </w:r>
    </w:p>
    <w:p w14:paraId="5226B58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16.1.2发包人违约的责任</w:t>
      </w:r>
    </w:p>
    <w:p w14:paraId="6AF52C9B">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发包人违约责任的承担方式和计算方法：</w:t>
      </w:r>
    </w:p>
    <w:p w14:paraId="015AF405">
      <w:pPr>
        <w:adjustRightInd w:val="0"/>
        <w:snapToGrid w:val="0"/>
        <w:spacing w:line="360" w:lineRule="auto"/>
        <w:ind w:firstLine="440" w:firstLineChars="200"/>
        <w:jc w:val="left"/>
        <w:rPr>
          <w:rFonts w:ascii="宋体" w:hAnsi="宋体" w:eastAsia="宋体"/>
          <w:kern w:val="0"/>
          <w:szCs w:val="21"/>
          <w:highlight w:val="none"/>
          <w:u w:val="single"/>
        </w:rPr>
      </w:pPr>
      <w:r>
        <w:rPr>
          <w:rFonts w:ascii="宋体" w:hAnsi="宋体" w:eastAsia="宋体"/>
          <w:kern w:val="0"/>
          <w:szCs w:val="21"/>
          <w:highlight w:val="none"/>
        </w:rPr>
        <w:t>（1）因发包人原因未能在计划开工日期前7天内下达开工通知的违约责任：</w:t>
      </w:r>
      <w:r>
        <w:rPr>
          <w:rFonts w:hint="eastAsia" w:ascii="宋体" w:hAnsi="宋体" w:eastAsia="宋体"/>
          <w:bCs/>
          <w:color w:val="0000FF"/>
          <w:szCs w:val="21"/>
          <w:highlight w:val="none"/>
          <w:u w:val="single"/>
        </w:rPr>
        <w:t>工期相应顺延，发包人不承担其他赔偿或违约责任</w:t>
      </w:r>
      <w:r>
        <w:rPr>
          <w:rFonts w:ascii="宋体" w:hAnsi="宋体" w:eastAsia="宋体"/>
          <w:kern w:val="0"/>
          <w:szCs w:val="21"/>
          <w:highlight w:val="none"/>
        </w:rPr>
        <w:t>。</w:t>
      </w:r>
    </w:p>
    <w:p w14:paraId="17E76D9B">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（2）因发包人原因未能按合同约定支付合同价款的违约责任</w:t>
      </w:r>
      <w:r>
        <w:rPr>
          <w:rFonts w:hint="eastAsia" w:ascii="宋体" w:hAnsi="宋体" w:eastAsia="宋体"/>
          <w:kern w:val="0"/>
          <w:szCs w:val="21"/>
          <w:highlight w:val="none"/>
          <w:lang w:eastAsia="zh-CN"/>
        </w:rPr>
        <w:t>：</w:t>
      </w:r>
    </w:p>
    <w:p w14:paraId="70CBA22F">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（3）发包人违反第10.1款</w:t>
      </w:r>
      <w:r>
        <w:rPr>
          <w:rFonts w:hint="eastAsia" w:ascii="宋体" w:hAnsi="宋体" w:eastAsia="宋体"/>
          <w:kern w:val="0"/>
          <w:szCs w:val="21"/>
          <w:highlight w:val="none"/>
        </w:rPr>
        <w:t>〔</w:t>
      </w:r>
      <w:r>
        <w:rPr>
          <w:rFonts w:ascii="宋体" w:hAnsi="宋体" w:eastAsia="宋体"/>
          <w:kern w:val="0"/>
          <w:szCs w:val="21"/>
          <w:highlight w:val="none"/>
        </w:rPr>
        <w:t>变更的范围</w:t>
      </w:r>
      <w:r>
        <w:rPr>
          <w:rFonts w:hint="eastAsia" w:ascii="宋体" w:hAnsi="宋体" w:eastAsia="宋体"/>
          <w:kern w:val="0"/>
          <w:szCs w:val="21"/>
          <w:highlight w:val="none"/>
        </w:rPr>
        <w:t>〕</w:t>
      </w:r>
      <w:r>
        <w:rPr>
          <w:rFonts w:ascii="宋体" w:hAnsi="宋体" w:eastAsia="宋体"/>
          <w:kern w:val="0"/>
          <w:szCs w:val="21"/>
          <w:highlight w:val="none"/>
        </w:rPr>
        <w:t>第（2）项约定，自行实施被取消的工作或转由他人实施的违约责任：</w:t>
      </w:r>
      <w:r>
        <w:rPr>
          <w:rFonts w:hint="eastAsia" w:ascii="宋体" w:hAnsi="宋体" w:eastAsia="宋体"/>
          <w:bCs/>
          <w:color w:val="0000FF"/>
          <w:szCs w:val="21"/>
          <w:highlight w:val="none"/>
          <w:u w:val="single"/>
        </w:rPr>
        <w:t>发包人不承担任何赔偿及违约责任</w:t>
      </w:r>
      <w:r>
        <w:rPr>
          <w:rFonts w:ascii="宋体" w:hAnsi="宋体" w:eastAsia="宋体"/>
          <w:kern w:val="0"/>
          <w:szCs w:val="21"/>
          <w:highlight w:val="none"/>
        </w:rPr>
        <w:t>。</w:t>
      </w:r>
    </w:p>
    <w:p w14:paraId="051F6347">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（4）发包人提供的材料、工程设备的规格、数量或质量不符合合同约定，或因发包</w:t>
      </w:r>
      <w:r>
        <w:rPr>
          <w:rFonts w:hint="eastAsia" w:ascii="宋体" w:hAnsi="宋体" w:eastAsia="宋体"/>
          <w:kern w:val="0"/>
          <w:szCs w:val="21"/>
          <w:highlight w:val="none"/>
          <w:lang w:eastAsia="zh-CN"/>
        </w:rPr>
        <w:t>人的</w:t>
      </w:r>
      <w:r>
        <w:rPr>
          <w:rFonts w:ascii="宋体" w:hAnsi="宋体" w:eastAsia="宋体"/>
          <w:kern w:val="0"/>
          <w:szCs w:val="21"/>
          <w:highlight w:val="none"/>
        </w:rPr>
        <w:t>原因导致交货日期延误或交货地点变更等情况的违约责任</w:t>
      </w:r>
      <w:r>
        <w:rPr>
          <w:rFonts w:hint="eastAsia" w:ascii="宋体" w:hAnsi="宋体" w:eastAsia="宋体"/>
          <w:kern w:val="0"/>
          <w:szCs w:val="21"/>
          <w:highlight w:val="none"/>
          <w:lang w:eastAsia="zh-CN"/>
        </w:rPr>
        <w:t>：</w:t>
      </w:r>
    </w:p>
    <w:p w14:paraId="759954B7">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（5）因发包人违反合同约定造成暂停施工的违约责任：</w:t>
      </w:r>
      <w:r>
        <w:rPr>
          <w:rFonts w:hint="eastAsia" w:ascii="宋体" w:hAnsi="宋体" w:eastAsia="宋体"/>
          <w:bCs/>
          <w:color w:val="0000FF"/>
          <w:szCs w:val="21"/>
          <w:highlight w:val="none"/>
          <w:u w:val="single"/>
        </w:rPr>
        <w:t>工期相应顺延</w:t>
      </w:r>
      <w:r>
        <w:rPr>
          <w:rFonts w:ascii="宋体" w:hAnsi="宋体" w:eastAsia="宋体"/>
          <w:kern w:val="0"/>
          <w:szCs w:val="21"/>
          <w:highlight w:val="none"/>
        </w:rPr>
        <w:t>。</w:t>
      </w:r>
    </w:p>
    <w:p w14:paraId="4618CCC8">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（6）发包人无正当理由没有在约定期限内发出复工指示，导致承包人无法复工的违约责任：</w:t>
      </w:r>
      <w:r>
        <w:rPr>
          <w:rFonts w:hint="eastAsia" w:ascii="宋体" w:hAnsi="宋体" w:eastAsia="宋体"/>
          <w:bCs/>
          <w:color w:val="0000FF"/>
          <w:szCs w:val="21"/>
          <w:highlight w:val="none"/>
          <w:u w:val="single"/>
        </w:rPr>
        <w:t>工期相应顺延</w:t>
      </w:r>
      <w:r>
        <w:rPr>
          <w:rFonts w:ascii="宋体" w:hAnsi="宋体" w:eastAsia="宋体"/>
          <w:kern w:val="0"/>
          <w:szCs w:val="21"/>
          <w:highlight w:val="none"/>
        </w:rPr>
        <w:t>。</w:t>
      </w:r>
    </w:p>
    <w:p w14:paraId="6AAB272B">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（7）</w:t>
      </w:r>
      <w:r>
        <w:rPr>
          <w:rFonts w:hint="eastAsia" w:ascii="宋体" w:hAnsi="宋体" w:eastAsia="宋体"/>
          <w:kern w:val="0"/>
          <w:szCs w:val="21"/>
          <w:highlight w:val="none"/>
        </w:rPr>
        <w:t>其他：</w:t>
      </w:r>
      <w:r>
        <w:rPr>
          <w:rFonts w:hint="eastAsia" w:ascii="宋体" w:hAnsi="宋体" w:eastAsia="宋体"/>
          <w:bCs/>
          <w:color w:val="0000FF"/>
          <w:szCs w:val="21"/>
          <w:highlight w:val="none"/>
          <w:u w:val="single"/>
        </w:rPr>
        <w:t>因发包人原因引起的暂停施工，工期顺延</w:t>
      </w:r>
      <w:r>
        <w:rPr>
          <w:rFonts w:ascii="宋体" w:hAnsi="宋体" w:eastAsia="宋体"/>
          <w:kern w:val="0"/>
          <w:szCs w:val="21"/>
          <w:highlight w:val="none"/>
        </w:rPr>
        <w:t>。</w:t>
      </w:r>
    </w:p>
    <w:p w14:paraId="7C419E5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16.1.3因发包人违约解除合同</w:t>
      </w:r>
    </w:p>
    <w:p w14:paraId="5E87B6DB">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承包人按16.1.1项</w:t>
      </w:r>
      <w:r>
        <w:rPr>
          <w:rFonts w:hint="eastAsia" w:ascii="宋体" w:hAnsi="宋体" w:eastAsia="宋体"/>
          <w:kern w:val="0"/>
          <w:szCs w:val="21"/>
          <w:highlight w:val="none"/>
        </w:rPr>
        <w:t>〔</w:t>
      </w:r>
      <w:r>
        <w:rPr>
          <w:rFonts w:ascii="宋体" w:hAnsi="宋体" w:eastAsia="宋体"/>
          <w:kern w:val="0"/>
          <w:szCs w:val="21"/>
          <w:highlight w:val="none"/>
        </w:rPr>
        <w:t>发包人违约的情形</w:t>
      </w:r>
      <w:r>
        <w:rPr>
          <w:rFonts w:hint="eastAsia" w:ascii="宋体" w:hAnsi="宋体" w:eastAsia="宋体"/>
          <w:kern w:val="0"/>
          <w:szCs w:val="21"/>
          <w:highlight w:val="none"/>
        </w:rPr>
        <w:t>〕</w:t>
      </w:r>
      <w:r>
        <w:rPr>
          <w:rFonts w:ascii="宋体" w:hAnsi="宋体" w:eastAsia="宋体"/>
          <w:kern w:val="0"/>
          <w:szCs w:val="21"/>
          <w:highlight w:val="none"/>
        </w:rPr>
        <w:t>约定暂停施工满</w:t>
      </w:r>
      <w:r>
        <w:rPr>
          <w:rFonts w:ascii="宋体" w:hAnsi="宋体" w:eastAsia="宋体"/>
          <w:bCs/>
          <w:color w:val="0000FF"/>
          <w:szCs w:val="21"/>
          <w:highlight w:val="none"/>
          <w:u w:val="single"/>
        </w:rPr>
        <w:t>365</w:t>
      </w:r>
      <w:r>
        <w:rPr>
          <w:rFonts w:ascii="宋体" w:hAnsi="宋体" w:eastAsia="宋体"/>
          <w:kern w:val="0"/>
          <w:szCs w:val="21"/>
          <w:highlight w:val="none"/>
        </w:rPr>
        <w:t>天后发包人仍不纠正其违约行为并致使合同目的不能实现的，承包人有权解除合同。</w:t>
      </w:r>
    </w:p>
    <w:p w14:paraId="1F5B9010">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16.2承包人违约</w:t>
      </w:r>
    </w:p>
    <w:p w14:paraId="7E44D255">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16.2.1承包人违约的情形</w:t>
      </w:r>
    </w:p>
    <w:p w14:paraId="6B5B722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承包人违约的其他情形：</w:t>
      </w:r>
      <w:r>
        <w:rPr>
          <w:rFonts w:hint="eastAsia" w:ascii="宋体" w:hAnsi="宋体" w:eastAsia="宋体"/>
          <w:bCs/>
          <w:color w:val="0000FF"/>
          <w:szCs w:val="21"/>
          <w:highlight w:val="none"/>
          <w:u w:val="single"/>
        </w:rPr>
        <w:t>（1）因承包人原因导致技术文件（包括但不限于签证、竣工图纸、竣工档案资料、竣工结算书等发包人及监理人要求承包人按时提供的所有相关文件资料）未能按约定时间提交的，每迟一天，发包人在支付给承包人的工程款内扣除5000元的违约金。同时并不解除承包人继续交付上述技术文件的义务。</w:t>
      </w:r>
    </w:p>
    <w:p w14:paraId="5F725156">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若承包人擅自停工或单方面终止合同的执行或违约，造成合同无法履行，在本合同解除后，承包人必须在5天内无条件退场。发包人将按承包人已完成合格工程量的70%给予结算，承包人承担由此而给发包人造成的一切损失并承担相应的法律责任。承包人私自甩项不按工程清单内容施工的，发包人有权将甩项内容安排第三方实施，并由承包人承担此项发生的实际费用，同时发包人保留索赔权利。</w:t>
      </w:r>
    </w:p>
    <w:p w14:paraId="4BC83BC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（3）承包人不得把发包人采购供应的材料</w:t>
      </w:r>
      <w:r>
        <w:rPr>
          <w:rFonts w:hint="eastAsia" w:ascii="宋体" w:hAnsi="宋体" w:eastAsia="宋体"/>
          <w:bCs/>
          <w:color w:val="0000FF"/>
          <w:szCs w:val="21"/>
          <w:highlight w:val="none"/>
          <w:u w:val="single"/>
          <w:lang w:eastAsia="zh-CN"/>
        </w:rPr>
        <w:t>挪作他用</w:t>
      </w:r>
      <w:r>
        <w:rPr>
          <w:rFonts w:hint="eastAsia" w:ascii="宋体" w:hAnsi="宋体" w:eastAsia="宋体"/>
          <w:bCs/>
          <w:color w:val="0000FF"/>
          <w:szCs w:val="21"/>
          <w:highlight w:val="none"/>
          <w:u w:val="single"/>
        </w:rPr>
        <w:t>，如发现此类情况，承包人向发包人支付挪用材料价值的3～5倍金额作为违约赔偿金。</w:t>
      </w:r>
    </w:p>
    <w:p w14:paraId="2B5A76C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（4）承包人必须服从发包人发布的各项符合现行</w:t>
      </w:r>
      <w:r>
        <w:rPr>
          <w:rFonts w:hint="eastAsia" w:ascii="宋体" w:hAnsi="宋体" w:eastAsia="宋体"/>
          <w:bCs/>
          <w:color w:val="0000FF"/>
          <w:szCs w:val="21"/>
          <w:highlight w:val="none"/>
          <w:u w:val="single"/>
          <w:lang w:eastAsia="zh-CN"/>
        </w:rPr>
        <w:t>法律法规</w:t>
      </w:r>
      <w:r>
        <w:rPr>
          <w:rFonts w:hint="eastAsia" w:ascii="宋体" w:hAnsi="宋体" w:eastAsia="宋体"/>
          <w:bCs/>
          <w:color w:val="0000FF"/>
          <w:szCs w:val="21"/>
          <w:highlight w:val="none"/>
          <w:u w:val="single"/>
        </w:rPr>
        <w:t>的管理规定，如承包人不服从发包人及监理方的管理，除每次向发包人支付2000元违约赔偿金外，发包人有权解除合同，并要求承包人赔偿损失。</w:t>
      </w:r>
    </w:p>
    <w:p w14:paraId="52D095F9">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（5）承包人借故拖延工程进度、导致工程停工超过15日；</w:t>
      </w:r>
    </w:p>
    <w:p w14:paraId="6EEE211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（6）承包人未按要求投入人员、机械设备及资金造成工期延误；</w:t>
      </w:r>
    </w:p>
    <w:p w14:paraId="199F696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（7）因承包人原因造成的质量问题；</w:t>
      </w:r>
    </w:p>
    <w:p w14:paraId="13ED05B2">
      <w:pPr>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bCs/>
          <w:color w:val="0000FF"/>
          <w:szCs w:val="21"/>
          <w:highlight w:val="none"/>
          <w:u w:val="single"/>
        </w:rPr>
        <w:t>（8）因承包人原因造成的安全文明生产责任事故</w:t>
      </w:r>
      <w:r>
        <w:rPr>
          <w:rFonts w:ascii="宋体" w:hAnsi="宋体" w:eastAsia="宋体"/>
          <w:kern w:val="0"/>
          <w:szCs w:val="21"/>
          <w:highlight w:val="none"/>
        </w:rPr>
        <w:t>。</w:t>
      </w:r>
    </w:p>
    <w:p w14:paraId="5A90D4CE">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16.2.2承包人违约的责任</w:t>
      </w:r>
    </w:p>
    <w:p w14:paraId="797CC93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kern w:val="0"/>
          <w:szCs w:val="21"/>
          <w:highlight w:val="none"/>
        </w:rPr>
        <w:t>承包人违约责任的承担方式和计算方法：</w:t>
      </w:r>
      <w:r>
        <w:rPr>
          <w:rFonts w:hint="eastAsia" w:ascii="宋体" w:hAnsi="宋体" w:eastAsia="宋体"/>
          <w:bCs/>
          <w:color w:val="0000FF"/>
          <w:szCs w:val="21"/>
          <w:highlight w:val="none"/>
          <w:u w:val="single"/>
        </w:rPr>
        <w:t>(1)在施工过程中，除发包人责任导致工程关键线路上的工程停止施工工期可顺延外，其他任何承包人原因导致工期顺延的均视为承包人违约，承包人按50000元/天向发包人支付违约金（违约金总额不超过合同价的1.5%），并承担由此给发包人因此造成的损失，并且上述赔偿的支付并不能解除承包人应完成工程的责任或合同的其他责任。</w:t>
      </w:r>
    </w:p>
    <w:p w14:paraId="0FBCC3E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(2)未按投标计划投入施工机械的，属于违约。承包人向发包人支付违约金100000元，由此而引起的工期延误另行支付违约金。</w:t>
      </w:r>
    </w:p>
    <w:p w14:paraId="7F646A2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如达不到约定的质量验收标准，除返工合格外，承包人再按结算价(不含室外景观工程)的1.5%向发包人支付违约金并赔偿发包人的经济损失；如承包人返工后仍达不到合格标准的，承包人还应再次承担上述违约责任，此时发包人有权解除本合同。返工的费用由承包人承担，造成工期延误的，承包人还应按照本合同专用条款有关工期约定支付违约金。</w:t>
      </w:r>
    </w:p>
    <w:p w14:paraId="1EB1880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(5)承包方未经发包人和监理认可，擅自购置使用的材料和设备，必须无条件更换，并承担由此造成的一切损失。</w:t>
      </w:r>
    </w:p>
    <w:p w14:paraId="6696C5F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(6)所有违约金和赔偿金的支付不减轻承包人合同项下的任何责任和义务。</w:t>
      </w:r>
    </w:p>
    <w:p w14:paraId="0F85400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(7)如承包人未在规定工期内完成工程，承包人按最高50000元/天向发包人支付违约金，限额为合同总价的1.5%。</w:t>
      </w:r>
    </w:p>
    <w:p w14:paraId="6F1025D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(8)双方在确定竣工日期及各项控制工期时，已充分考虑可能出现的各种形式的雨雪、冰雹、高温天气、节假日、扰民和</w:t>
      </w:r>
      <w:r>
        <w:rPr>
          <w:rFonts w:hint="eastAsia" w:ascii="宋体" w:hAnsi="宋体" w:eastAsia="宋体"/>
          <w:bCs/>
          <w:color w:val="0000FF"/>
          <w:szCs w:val="21"/>
          <w:highlight w:val="none"/>
          <w:u w:val="single"/>
          <w:lang w:eastAsia="zh-CN"/>
        </w:rPr>
        <w:t>扰民</w:t>
      </w:r>
      <w:r>
        <w:rPr>
          <w:rFonts w:hint="eastAsia" w:ascii="宋体" w:hAnsi="宋体" w:eastAsia="宋体"/>
          <w:bCs/>
          <w:color w:val="0000FF"/>
          <w:szCs w:val="21"/>
          <w:highlight w:val="none"/>
          <w:u w:val="single"/>
        </w:rPr>
        <w:t>、影响等不利因素及发包人分包工程的合理工期。</w:t>
      </w:r>
    </w:p>
    <w:p w14:paraId="5BC70CA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(9)由于承包人的原因引发的安全事故，发生一起安全事故，承包人向发包人支付违约金10000元/次；若发生一般事故（国务院第493号令）规定，承包人应承担违约金50万元/次，同时承担一切经济赔偿费用，工期不予顺延，发包人有权解除合同，并按相关法律法规的规定进行处理；如因施工质量事故导致的安全事故，承包人应承担事故造成的一切损失，工期不予顺延。</w:t>
      </w:r>
    </w:p>
    <w:p w14:paraId="5E050D5A">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(10)如承包人有不能完成既定目标（包括工期、质量、安全文明施工目标）的迹象，不服从发包人管理，未采取相应措施时，发包人对承包人有处以违约金、更换承包人人员，直至调整承包人承包范围、清退承包人出场的权利。</w:t>
      </w:r>
    </w:p>
    <w:p w14:paraId="536973E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(11)承包人如未按照合同约定进行材料的采购，被发包人查获，每发现一起，发包人有权扣除承包人工程款10000元作为违约金，在支付工程进度款时扣除。</w:t>
      </w:r>
    </w:p>
    <w:p w14:paraId="10D3683D">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(12)承包人签订施工合同后，不得以任何理由不履行合同。对拒不履行合同的承包人，发包人将与其解除合同关系，已完合格工程按实结算，没收履约保证金，并追究承包人相应经济和法律责任。</w:t>
      </w:r>
    </w:p>
    <w:p w14:paraId="7ED33757">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(13)承包人不得以任何理由（非发包人原因）擅自停工，对发包人的复工通知应积极响应，连续收到三次复工通知书拒不复工的，发包人将与其解除合同关系，并拒付工程款，没收履约保证金，并追究承包人相应经济和法律责任。</w:t>
      </w:r>
    </w:p>
    <w:p w14:paraId="23EA303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(14)承包人不按合同履行应承担的工作，对工程进展造成影响时，发包人有权自行或委托他人完成合同约定承包人该项工作，所产生的费用从承包人应得的款项中获得，不足部分由承包人偿付。</w:t>
      </w:r>
    </w:p>
    <w:p w14:paraId="67BEDAA0">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(15)</w:t>
      </w:r>
      <w:r>
        <w:rPr>
          <w:rFonts w:hint="eastAsia" w:ascii="宋体" w:hAnsi="宋体" w:eastAsia="宋体"/>
          <w:bCs/>
          <w:color w:val="0000FF"/>
          <w:szCs w:val="21"/>
          <w:highlight w:val="none"/>
          <w:u w:val="single"/>
        </w:rPr>
        <w:t>在施工过程中以及工程移交的质量保修期内，由于承包人出现的质量问题、安全事故或</w:t>
      </w:r>
      <w:r>
        <w:rPr>
          <w:rFonts w:hint="eastAsia" w:ascii="宋体" w:hAnsi="宋体" w:eastAsia="宋体"/>
          <w:bCs/>
          <w:color w:val="0000FF"/>
          <w:szCs w:val="21"/>
          <w:highlight w:val="none"/>
          <w:u w:val="single"/>
          <w:lang w:eastAsia="zh-CN"/>
        </w:rPr>
        <w:t>其他</w:t>
      </w:r>
      <w:r>
        <w:rPr>
          <w:rFonts w:hint="eastAsia" w:ascii="宋体" w:hAnsi="宋体" w:eastAsia="宋体"/>
          <w:bCs/>
          <w:color w:val="0000FF"/>
          <w:szCs w:val="21"/>
          <w:highlight w:val="none"/>
          <w:u w:val="single"/>
        </w:rPr>
        <w:t>原因，受到报纸、电视等媒体的曝光或政府有关部门的通报，给本工程的社会形象造成严重负面影响时，承包人承担不少于人民币50000元的违约金，发包人可在当期工程款中或质量保修金中扣除。</w:t>
      </w:r>
    </w:p>
    <w:p w14:paraId="2AB4900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lang w:eastAsia="zh-CN"/>
        </w:rPr>
        <w:t>（16）</w:t>
      </w:r>
      <w:r>
        <w:rPr>
          <w:rFonts w:hint="eastAsia" w:ascii="宋体" w:hAnsi="宋体" w:eastAsia="宋体"/>
          <w:bCs/>
          <w:color w:val="0000FF"/>
          <w:szCs w:val="21"/>
          <w:highlight w:val="none"/>
          <w:u w:val="single"/>
        </w:rPr>
        <w:t>施工现场发生死亡事故，处以50万元罚款。总承包单位应积极妥善处理，如总承包人处置不及时，造成社会影响，甲方有权</w:t>
      </w:r>
      <w:r>
        <w:rPr>
          <w:rFonts w:hint="eastAsia" w:ascii="宋体" w:hAnsi="宋体" w:eastAsia="宋体"/>
          <w:bCs/>
          <w:color w:val="0000FF"/>
          <w:szCs w:val="21"/>
          <w:highlight w:val="none"/>
          <w:u w:val="single"/>
          <w:lang w:eastAsia="zh-CN"/>
        </w:rPr>
        <w:t>代表</w:t>
      </w:r>
      <w:r>
        <w:rPr>
          <w:rFonts w:hint="eastAsia" w:ascii="宋体" w:hAnsi="宋体" w:eastAsia="宋体"/>
          <w:bCs/>
          <w:color w:val="0000FF"/>
          <w:szCs w:val="21"/>
          <w:highlight w:val="none"/>
          <w:u w:val="single"/>
        </w:rPr>
        <w:t>处置，费用无需承包人认可，从工程费用中扣除，且发包人有权解除合同。</w:t>
      </w:r>
    </w:p>
    <w:p w14:paraId="2562E2DA">
      <w:pPr>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kern w:val="0"/>
          <w:szCs w:val="21"/>
          <w:highlight w:val="none"/>
        </w:rPr>
        <w:t>16.2.3因承包人违约解除合同</w:t>
      </w:r>
    </w:p>
    <w:p w14:paraId="33369870">
      <w:pPr>
        <w:adjustRightInd w:val="0"/>
        <w:snapToGrid w:val="0"/>
        <w:spacing w:line="360" w:lineRule="auto"/>
        <w:ind w:firstLine="440" w:firstLineChars="200"/>
        <w:jc w:val="left"/>
        <w:rPr>
          <w:rFonts w:ascii="宋体" w:hAnsi="宋体" w:eastAsia="宋体"/>
          <w:kern w:val="0"/>
          <w:szCs w:val="21"/>
          <w:highlight w:val="none"/>
        </w:rPr>
      </w:pPr>
      <w:r>
        <w:rPr>
          <w:rFonts w:hint="eastAsia" w:ascii="宋体" w:hAnsi="宋体" w:eastAsia="宋体"/>
          <w:kern w:val="0"/>
          <w:szCs w:val="21"/>
          <w:highlight w:val="none"/>
        </w:rPr>
        <w:t>关于承包人违约解除合同的特别约定：</w:t>
      </w:r>
    </w:p>
    <w:p w14:paraId="04868D9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（1）如有下列情况之一发生，发包人有权书面通知解除合同，通知自送达承包人或其在现场的项目经理部七日后生效：</w:t>
      </w:r>
    </w:p>
    <w:p w14:paraId="3C72A1C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1)承包人在施工过程中擅自停工、窝工或其他因承包人之原因致使合同约定的工期根本无法达到要求的。</w:t>
      </w:r>
    </w:p>
    <w:p w14:paraId="7E2B1A4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2)承包人施工质量无法达到合格要求,经监理工程师要求整改却无正当理由拒绝整改的。</w:t>
      </w:r>
    </w:p>
    <w:p w14:paraId="77FA9DA5">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3)承包人擅自更换本工程项目经理的，经发包人提出异议后七日内不予纠正的。</w:t>
      </w:r>
    </w:p>
    <w:p w14:paraId="228832E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4)若承包人没有在规定时间之内执行发包人指令，并且在收到发包人催促执行的书面通知后7日之内，承包人仍未执行的，发包人有权解除合同，由此造成发包人的直接损失或间接损失，将作为债务向承包人追讨。</w:t>
      </w:r>
    </w:p>
    <w:p w14:paraId="69AD5778">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6)承包人保证及时给工人结算、支付工人工资。确保不拖欠工人工资，否则发包人有权直接扣除部分承包人应收工程款以支付工人工资，同时承包人向发包人支付</w:t>
      </w:r>
      <w:r>
        <w:rPr>
          <w:rFonts w:hint="eastAsia" w:ascii="宋体" w:hAnsi="宋体" w:eastAsia="宋体"/>
          <w:bCs/>
          <w:color w:val="0000FF"/>
          <w:szCs w:val="21"/>
          <w:highlight w:val="none"/>
          <w:u w:val="single"/>
          <w:lang w:val="en-US" w:eastAsia="zh-CN"/>
        </w:rPr>
        <w:t>5-10</w:t>
      </w:r>
      <w:r>
        <w:rPr>
          <w:rFonts w:hint="eastAsia" w:ascii="宋体" w:hAnsi="宋体" w:eastAsia="宋体"/>
          <w:bCs/>
          <w:color w:val="0000FF"/>
          <w:szCs w:val="21"/>
          <w:highlight w:val="none"/>
          <w:u w:val="single"/>
        </w:rPr>
        <w:t>万元违约金。如因拖欠工人工资引起工人信访、诉讼等集体聚众行为，发包人将按南京市江北新区政府有关拖欠民工工资处理办法进行处理，并且发包人具有单方解除合同的权利，合同解除并不免除承包人的违约责任。同时，对于该项内容，承包方应每季度15日前汇总上报工资结算情况或农民工专项账户支付情况，逾期不报参照本项罚则。</w:t>
      </w:r>
    </w:p>
    <w:p w14:paraId="64E0752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7)因承包人原因工程出现死亡事故，承包人承担违约金50万元，并由承包人承担一切经济赔偿费用，且不得因此延长工期。如发现人员死亡、火灾等工程建设重大事故，发包人有权解除合同。</w:t>
      </w:r>
    </w:p>
    <w:p w14:paraId="1B569CE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8)承包人不得以任何理由（非发包人原因）擅自停工，对发包人的复工通知应积极响应，连续收到三次复工通知书拒不复工的，发包人将与其解除合同关系，并拒付工程款，同时没收履约保证金，并追究承包人相应经济和法律责任。</w:t>
      </w:r>
    </w:p>
    <w:p w14:paraId="69213AFE">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（2）合同解除后的处理：</w:t>
      </w:r>
    </w:p>
    <w:p w14:paraId="7111553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合同解除后,已完工程量由双方核对确认后进行结算,工程款参照合同的约定支付。承包人不配合结算工作的，发包人有权自行安排跟踪审计审核，审核结论对双方均具有约束力。</w:t>
      </w:r>
    </w:p>
    <w:p w14:paraId="5A9B9E0F">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合同解除后，承包人应于接到发包人通知后15日内做好现场安全、质量保护并退出工程现场。如逾期仍未撤离完毕，承包人应按每日1万元向发包人支付赔偿金。同时，发包人有权采取强制手段清理现场。为此发生的费用从未付工程款中直接扣除。</w:t>
      </w:r>
    </w:p>
    <w:p w14:paraId="3F7FCE61">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合同的解除并不解除承包人对已完工工程的质量责任和保修责任以及合同履行过程中的违约责任。</w:t>
      </w:r>
    </w:p>
    <w:p w14:paraId="17D56541">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发包人</w:t>
      </w:r>
      <w:r>
        <w:rPr>
          <w:rFonts w:hint="eastAsia" w:ascii="宋体" w:hAnsi="宋体" w:eastAsia="宋体"/>
          <w:kern w:val="0"/>
          <w:szCs w:val="21"/>
          <w:highlight w:val="none"/>
        </w:rPr>
        <w:t>继续</w:t>
      </w:r>
      <w:r>
        <w:rPr>
          <w:rFonts w:ascii="宋体" w:hAnsi="宋体" w:eastAsia="宋体"/>
          <w:kern w:val="0"/>
          <w:szCs w:val="21"/>
          <w:highlight w:val="none"/>
        </w:rPr>
        <w:t>使用承包人在施工现场的材料、设备、临时工程、承包人文件和由承包人或以其名义编制的其他文件</w:t>
      </w:r>
      <w:r>
        <w:rPr>
          <w:rFonts w:hint="eastAsia" w:ascii="宋体" w:hAnsi="宋体" w:eastAsia="宋体"/>
          <w:kern w:val="0"/>
          <w:szCs w:val="21"/>
          <w:highlight w:val="none"/>
        </w:rPr>
        <w:t>的费用承担方式</w:t>
      </w:r>
      <w:r>
        <w:rPr>
          <w:rFonts w:ascii="宋体" w:hAnsi="宋体" w:eastAsia="宋体"/>
          <w:kern w:val="0"/>
          <w:szCs w:val="21"/>
          <w:highlight w:val="none"/>
        </w:rPr>
        <w:t>：</w:t>
      </w:r>
      <w:r>
        <w:rPr>
          <w:rFonts w:hint="eastAsia" w:ascii="宋体" w:hAnsi="宋体" w:eastAsia="宋体"/>
          <w:bCs/>
          <w:color w:val="0000FF"/>
          <w:szCs w:val="21"/>
          <w:highlight w:val="none"/>
          <w:u w:val="single"/>
        </w:rPr>
        <w:t>承包人承担</w:t>
      </w:r>
      <w:r>
        <w:rPr>
          <w:rFonts w:hint="eastAsia" w:ascii="宋体" w:hAnsi="宋体" w:eastAsia="宋体"/>
          <w:kern w:val="0"/>
          <w:szCs w:val="21"/>
          <w:highlight w:val="none"/>
        </w:rPr>
        <w:t>。</w:t>
      </w:r>
    </w:p>
    <w:p w14:paraId="72D89B57">
      <w:pPr>
        <w:pStyle w:val="7"/>
        <w:adjustRightInd w:val="0"/>
        <w:snapToGrid w:val="0"/>
        <w:spacing w:before="0" w:after="0" w:line="360" w:lineRule="auto"/>
        <w:ind w:firstLine="560" w:firstLineChars="200"/>
        <w:jc w:val="left"/>
        <w:rPr>
          <w:rFonts w:ascii="宋体" w:hAnsi="宋体" w:eastAsia="宋体"/>
          <w:b w:val="0"/>
          <w:highlight w:val="none"/>
        </w:rPr>
      </w:pPr>
      <w:bookmarkStart w:id="570" w:name="_Toc351203649"/>
      <w:r>
        <w:rPr>
          <w:rFonts w:ascii="宋体" w:hAnsi="宋体" w:eastAsia="宋体"/>
          <w:b w:val="0"/>
          <w:highlight w:val="none"/>
        </w:rPr>
        <w:t>17.不可抗力</w:t>
      </w:r>
      <w:bookmarkEnd w:id="568"/>
      <w:bookmarkEnd w:id="570"/>
    </w:p>
    <w:p w14:paraId="6BC84C60">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17.1不可抗力的确认</w:t>
      </w:r>
    </w:p>
    <w:p w14:paraId="74E4EA9D">
      <w:pPr>
        <w:adjustRightInd w:val="0"/>
        <w:snapToGrid w:val="0"/>
        <w:spacing w:line="360" w:lineRule="auto"/>
        <w:ind w:firstLine="440" w:firstLineChars="200"/>
        <w:jc w:val="left"/>
        <w:rPr>
          <w:rFonts w:ascii="宋体" w:hAnsi="宋体" w:eastAsia="宋体"/>
          <w:kern w:val="0"/>
          <w:szCs w:val="21"/>
          <w:highlight w:val="none"/>
          <w:u w:val="single"/>
        </w:rPr>
      </w:pPr>
      <w:r>
        <w:rPr>
          <w:rFonts w:ascii="宋体" w:hAnsi="宋体" w:eastAsia="宋体"/>
          <w:szCs w:val="21"/>
          <w:highlight w:val="none"/>
        </w:rPr>
        <w:t>除通用合同条款约定的不可抗力事件之外，视为不可抗力的其他情形：</w:t>
      </w:r>
      <w:r>
        <w:rPr>
          <w:rFonts w:hint="eastAsia" w:ascii="宋体" w:hAnsi="宋体" w:eastAsia="宋体"/>
          <w:bCs/>
          <w:color w:val="0000FF"/>
          <w:szCs w:val="21"/>
          <w:highlight w:val="none"/>
          <w:u w:val="single"/>
        </w:rPr>
        <w:t>按通用条款执行</w:t>
      </w:r>
      <w:r>
        <w:rPr>
          <w:rFonts w:ascii="宋体" w:hAnsi="宋体" w:eastAsia="宋体"/>
          <w:kern w:val="0"/>
          <w:szCs w:val="21"/>
          <w:highlight w:val="none"/>
        </w:rPr>
        <w:t>。</w:t>
      </w:r>
    </w:p>
    <w:p w14:paraId="5386FEB9">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17.4因不可抗力解除合同</w:t>
      </w:r>
    </w:p>
    <w:p w14:paraId="5AF15F1A">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合同解除后，发包人应在商定或确定发包人应支付款项后</w:t>
      </w:r>
      <w:r>
        <w:rPr>
          <w:rFonts w:ascii="宋体" w:hAnsi="宋体" w:eastAsia="宋体"/>
          <w:bCs/>
          <w:color w:val="0000FF"/>
          <w:szCs w:val="21"/>
          <w:highlight w:val="none"/>
          <w:u w:val="single"/>
        </w:rPr>
        <w:t>30</w:t>
      </w:r>
      <w:r>
        <w:rPr>
          <w:rFonts w:ascii="宋体" w:hAnsi="宋体" w:eastAsia="宋体"/>
          <w:szCs w:val="21"/>
          <w:highlight w:val="none"/>
        </w:rPr>
        <w:t>天内完成款项的支付。</w:t>
      </w:r>
    </w:p>
    <w:p w14:paraId="1A53B5E3">
      <w:pPr>
        <w:pStyle w:val="7"/>
        <w:adjustRightInd w:val="0"/>
        <w:snapToGrid w:val="0"/>
        <w:spacing w:before="0" w:after="0" w:line="360" w:lineRule="auto"/>
        <w:ind w:firstLine="560" w:firstLineChars="200"/>
        <w:jc w:val="left"/>
        <w:rPr>
          <w:rFonts w:ascii="宋体" w:hAnsi="宋体" w:eastAsia="宋体"/>
          <w:b w:val="0"/>
          <w:highlight w:val="none"/>
        </w:rPr>
      </w:pPr>
      <w:bookmarkStart w:id="571" w:name="_Toc351203650"/>
      <w:r>
        <w:rPr>
          <w:rFonts w:ascii="宋体" w:hAnsi="宋体" w:eastAsia="宋体"/>
          <w:b w:val="0"/>
          <w:highlight w:val="none"/>
        </w:rPr>
        <w:t>18.保险</w:t>
      </w:r>
      <w:bookmarkEnd w:id="571"/>
    </w:p>
    <w:bookmarkEnd w:id="569"/>
    <w:p w14:paraId="3F8CE073">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18.1工程保险</w:t>
      </w:r>
    </w:p>
    <w:p w14:paraId="168B48A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ascii="宋体" w:hAnsi="宋体" w:eastAsia="宋体"/>
          <w:szCs w:val="21"/>
          <w:highlight w:val="none"/>
        </w:rPr>
        <w:t>关于工程保险的特别约定：</w:t>
      </w:r>
      <w:r>
        <w:rPr>
          <w:rFonts w:hint="eastAsia" w:ascii="宋体" w:hAnsi="宋体" w:eastAsia="宋体"/>
          <w:bCs/>
          <w:color w:val="0000FF"/>
          <w:szCs w:val="21"/>
          <w:highlight w:val="none"/>
          <w:u w:val="single"/>
        </w:rPr>
        <w:t>（1）发包人投保内容：由发包人自行决定。</w:t>
      </w:r>
    </w:p>
    <w:p w14:paraId="6DDD3F93">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（2）承包人投保内容：按本合同条款中及国家、江苏省、南京市有关规定执行，同时承包人必须办理业主人员及第三方人员意外伤害保险。以上保险由承包人统一办理，费用包含在投标报价内。</w:t>
      </w:r>
    </w:p>
    <w:p w14:paraId="04A5B5F2">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承包人必须按国家相关规定为从事作业的职工办理意外伤害保险、第三方人</w:t>
      </w:r>
      <w:r>
        <w:rPr>
          <w:rFonts w:hint="eastAsia" w:ascii="宋体" w:hAnsi="宋体" w:eastAsia="宋体"/>
          <w:bCs/>
          <w:color w:val="0000FF"/>
          <w:szCs w:val="21"/>
          <w:highlight w:val="none"/>
          <w:u w:val="single"/>
          <w:lang w:eastAsia="zh-CN"/>
        </w:rPr>
        <w:t>身保</w:t>
      </w:r>
      <w:r>
        <w:rPr>
          <w:rFonts w:hint="eastAsia" w:ascii="宋体" w:hAnsi="宋体" w:eastAsia="宋体"/>
          <w:bCs/>
          <w:color w:val="0000FF"/>
          <w:szCs w:val="21"/>
          <w:highlight w:val="none"/>
          <w:u w:val="single"/>
        </w:rPr>
        <w:t>险以及其他依据国家、江苏省、南京市有关</w:t>
      </w:r>
      <w:r>
        <w:rPr>
          <w:rFonts w:hint="eastAsia" w:ascii="宋体" w:hAnsi="宋体" w:eastAsia="宋体"/>
          <w:bCs/>
          <w:color w:val="0000FF"/>
          <w:szCs w:val="21"/>
          <w:highlight w:val="none"/>
          <w:u w:val="single"/>
          <w:lang w:eastAsia="zh-CN"/>
        </w:rPr>
        <w:t>法律法规</w:t>
      </w:r>
      <w:r>
        <w:rPr>
          <w:rFonts w:hint="eastAsia" w:ascii="宋体" w:hAnsi="宋体" w:eastAsia="宋体"/>
          <w:bCs/>
          <w:color w:val="0000FF"/>
          <w:szCs w:val="21"/>
          <w:highlight w:val="none"/>
          <w:u w:val="single"/>
        </w:rPr>
        <w:t>、规章、规范性文件应当办理的人身、财产保险，并为施工场地内自有人员生命财产和施工机械设备办理保险</w:t>
      </w:r>
      <w:r>
        <w:rPr>
          <w:rFonts w:hint="eastAsia" w:ascii="宋体" w:hAnsi="宋体" w:eastAsia="宋体"/>
          <w:bCs/>
          <w:color w:val="0000FF"/>
          <w:szCs w:val="21"/>
          <w:highlight w:val="none"/>
          <w:u w:val="single"/>
          <w:lang w:eastAsia="zh-CN"/>
        </w:rPr>
        <w:t>，并</w:t>
      </w:r>
      <w:r>
        <w:rPr>
          <w:rFonts w:hint="eastAsia" w:ascii="宋体" w:hAnsi="宋体" w:eastAsia="宋体"/>
          <w:bCs/>
          <w:color w:val="0000FF"/>
          <w:szCs w:val="21"/>
          <w:highlight w:val="none"/>
          <w:u w:val="single"/>
        </w:rPr>
        <w:t>支付保险费用。</w:t>
      </w:r>
    </w:p>
    <w:p w14:paraId="223911AB">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w:t>
      </w:r>
    </w:p>
    <w:p w14:paraId="690A37FC">
      <w:pPr>
        <w:adjustRightInd w:val="0"/>
        <w:snapToGrid w:val="0"/>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承包人须对与本工程有关或本工程进行期间发生或本工程引致的人身伤亡及财产</w:t>
      </w:r>
      <w:r>
        <w:rPr>
          <w:rFonts w:hint="eastAsia" w:ascii="宋体" w:hAnsi="宋体" w:eastAsia="宋体"/>
          <w:bCs/>
          <w:color w:val="0000FF"/>
          <w:szCs w:val="21"/>
          <w:highlight w:val="none"/>
          <w:u w:val="single"/>
          <w:lang w:eastAsia="zh-CN"/>
        </w:rPr>
        <w:t>损毁</w:t>
      </w:r>
      <w:r>
        <w:rPr>
          <w:rFonts w:hint="eastAsia" w:ascii="宋体" w:hAnsi="宋体" w:eastAsia="宋体"/>
          <w:bCs/>
          <w:color w:val="0000FF"/>
          <w:szCs w:val="21"/>
          <w:highlight w:val="none"/>
          <w:u w:val="single"/>
        </w:rPr>
        <w:t>负费用、损失、索偿或诉讼等法律责任，并须保障发包人免负该等责任。</w:t>
      </w:r>
    </w:p>
    <w:p w14:paraId="316A6E86">
      <w:pPr>
        <w:adjustRightInd w:val="0"/>
        <w:snapToGrid w:val="0"/>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发包人必要时有权要求承包人提供保单或其他证据。如果承包人不能提供、拒绝提供或提供了但是不符合要求，发包人有权要求停工，造成的工期延误由承包人承担。如果承包人未按国家和地方法律法规要求办理保险和相关手续，产生的后果一律由承包人承担，发包人不承担因此造成的任何责任和费用</w:t>
      </w:r>
      <w:r>
        <w:rPr>
          <w:rFonts w:ascii="宋体" w:hAnsi="宋体" w:eastAsia="宋体"/>
          <w:kern w:val="0"/>
          <w:szCs w:val="21"/>
          <w:highlight w:val="none"/>
        </w:rPr>
        <w:t>。</w:t>
      </w:r>
    </w:p>
    <w:p w14:paraId="5CE8FF07">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18.3其他保险</w:t>
      </w:r>
    </w:p>
    <w:p w14:paraId="5F62626F">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szCs w:val="21"/>
          <w:highlight w:val="none"/>
        </w:rPr>
        <w:t>关于其他保险的约定：</w:t>
      </w:r>
      <w:r>
        <w:rPr>
          <w:rFonts w:hint="eastAsia" w:ascii="宋体" w:hAnsi="宋体" w:eastAsia="宋体"/>
          <w:bCs/>
          <w:color w:val="0000FF"/>
          <w:szCs w:val="21"/>
          <w:highlight w:val="none"/>
          <w:u w:val="single"/>
        </w:rPr>
        <w:t>按通用条款执行</w:t>
      </w:r>
      <w:r>
        <w:rPr>
          <w:rFonts w:ascii="宋体" w:hAnsi="宋体" w:eastAsia="宋体"/>
          <w:kern w:val="0"/>
          <w:szCs w:val="21"/>
          <w:highlight w:val="none"/>
        </w:rPr>
        <w:t>。</w:t>
      </w:r>
    </w:p>
    <w:p w14:paraId="1BF9D29D">
      <w:pPr>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szCs w:val="21"/>
          <w:highlight w:val="none"/>
        </w:rPr>
        <w:t>承包人是否应为其施工设备等办理财产保险：</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p w14:paraId="0C5298C0">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18.7通知义务</w:t>
      </w:r>
    </w:p>
    <w:p w14:paraId="4D15B728">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kern w:val="0"/>
          <w:szCs w:val="21"/>
          <w:highlight w:val="none"/>
        </w:rPr>
        <w:t>关于变更保险合同时的通知义务的约定：</w:t>
      </w:r>
      <w:r>
        <w:rPr>
          <w:rFonts w:hint="eastAsia" w:ascii="宋体" w:hAnsi="宋体" w:eastAsia="宋体"/>
          <w:bCs/>
          <w:color w:val="0000FF"/>
          <w:szCs w:val="21"/>
          <w:highlight w:val="none"/>
          <w:u w:val="single"/>
        </w:rPr>
        <w:t>按通用条款执行</w:t>
      </w:r>
      <w:r>
        <w:rPr>
          <w:rFonts w:ascii="宋体" w:hAnsi="宋体" w:eastAsia="宋体"/>
          <w:szCs w:val="21"/>
          <w:highlight w:val="none"/>
        </w:rPr>
        <w:t>。</w:t>
      </w:r>
    </w:p>
    <w:bookmarkEnd w:id="545"/>
    <w:bookmarkEnd w:id="546"/>
    <w:bookmarkEnd w:id="547"/>
    <w:bookmarkEnd w:id="548"/>
    <w:bookmarkEnd w:id="549"/>
    <w:bookmarkEnd w:id="550"/>
    <w:bookmarkEnd w:id="551"/>
    <w:bookmarkEnd w:id="552"/>
    <w:bookmarkEnd w:id="553"/>
    <w:bookmarkEnd w:id="554"/>
    <w:bookmarkEnd w:id="555"/>
    <w:bookmarkEnd w:id="556"/>
    <w:p w14:paraId="043F0969">
      <w:pPr>
        <w:pStyle w:val="7"/>
        <w:adjustRightInd w:val="0"/>
        <w:snapToGrid w:val="0"/>
        <w:spacing w:before="0" w:after="0" w:line="360" w:lineRule="auto"/>
        <w:ind w:firstLine="560" w:firstLineChars="200"/>
        <w:jc w:val="left"/>
        <w:rPr>
          <w:rFonts w:ascii="宋体" w:hAnsi="宋体" w:eastAsia="宋体"/>
          <w:b w:val="0"/>
          <w:highlight w:val="none"/>
        </w:rPr>
      </w:pPr>
      <w:bookmarkStart w:id="572" w:name="_Toc351203651"/>
      <w:r>
        <w:rPr>
          <w:rFonts w:ascii="宋体" w:hAnsi="宋体" w:eastAsia="宋体"/>
          <w:b w:val="0"/>
          <w:highlight w:val="none"/>
        </w:rPr>
        <w:t>20.争议解决</w:t>
      </w:r>
      <w:bookmarkEnd w:id="572"/>
    </w:p>
    <w:bookmarkEnd w:id="557"/>
    <w:bookmarkEnd w:id="558"/>
    <w:p w14:paraId="4FA3A57E">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20.3争</w:t>
      </w:r>
      <w:bookmarkEnd w:id="559"/>
      <w:r>
        <w:rPr>
          <w:rFonts w:ascii="宋体" w:hAnsi="宋体" w:eastAsia="宋体"/>
          <w:sz w:val="24"/>
          <w:szCs w:val="24"/>
          <w:highlight w:val="none"/>
        </w:rPr>
        <w:t>议评审</w:t>
      </w:r>
    </w:p>
    <w:p w14:paraId="5E800852">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合同当事人是否同意将工程争议提交争议评审小组决</w:t>
      </w:r>
      <w:r>
        <w:rPr>
          <w:rFonts w:hint="eastAsia" w:ascii="宋体" w:hAnsi="宋体" w:eastAsia="宋体"/>
          <w:szCs w:val="21"/>
          <w:highlight w:val="none"/>
        </w:rPr>
        <w:t>定：</w:t>
      </w:r>
      <w:r>
        <w:rPr>
          <w:rFonts w:hint="eastAsia" w:ascii="宋体" w:hAnsi="宋体" w:eastAsia="宋体"/>
          <w:bCs/>
          <w:color w:val="0000FF"/>
          <w:szCs w:val="21"/>
          <w:highlight w:val="none"/>
          <w:u w:val="single"/>
        </w:rPr>
        <w:t>不同意</w:t>
      </w:r>
      <w:r>
        <w:rPr>
          <w:rFonts w:hint="eastAsia" w:ascii="宋体" w:hAnsi="宋体" w:eastAsia="宋体"/>
          <w:szCs w:val="21"/>
          <w:highlight w:val="none"/>
        </w:rPr>
        <w:t>。</w:t>
      </w:r>
    </w:p>
    <w:p w14:paraId="364E0FCF">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20.3.1争议评审小组的确定</w:t>
      </w:r>
    </w:p>
    <w:p w14:paraId="4C88FE56">
      <w:pPr>
        <w:adjustRightInd w:val="0"/>
        <w:snapToGrid w:val="0"/>
        <w:spacing w:line="360" w:lineRule="auto"/>
        <w:ind w:firstLine="440" w:firstLineChars="200"/>
        <w:jc w:val="left"/>
        <w:rPr>
          <w:rFonts w:ascii="宋体" w:hAnsi="宋体" w:eastAsia="宋体"/>
          <w:szCs w:val="21"/>
          <w:highlight w:val="none"/>
          <w:u w:val="single"/>
        </w:rPr>
      </w:pPr>
      <w:r>
        <w:rPr>
          <w:rFonts w:ascii="宋体" w:hAnsi="宋体" w:eastAsia="宋体"/>
          <w:szCs w:val="21"/>
          <w:highlight w:val="none"/>
        </w:rPr>
        <w:t>争议评审小组成员的确定</w:t>
      </w:r>
      <w:r>
        <w:rPr>
          <w:rFonts w:hint="eastAsia" w:ascii="宋体" w:hAnsi="宋体" w:eastAsia="宋体"/>
          <w:szCs w:val="21"/>
          <w:highlight w:val="none"/>
          <w:lang w:eastAsia="zh-CN"/>
        </w:rPr>
        <w:t>：</w:t>
      </w:r>
    </w:p>
    <w:p w14:paraId="1AB45259">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选定争议评审员的期限</w:t>
      </w:r>
      <w:r>
        <w:rPr>
          <w:rFonts w:hint="eastAsia" w:ascii="宋体" w:hAnsi="宋体" w:eastAsia="宋体"/>
          <w:szCs w:val="21"/>
          <w:highlight w:val="none"/>
          <w:lang w:eastAsia="zh-CN"/>
        </w:rPr>
        <w:t>：</w:t>
      </w:r>
    </w:p>
    <w:p w14:paraId="27B6B17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争议评审小组成员的报酬承担方式</w:t>
      </w:r>
      <w:r>
        <w:rPr>
          <w:rFonts w:hint="eastAsia" w:ascii="宋体" w:hAnsi="宋体" w:eastAsia="宋体"/>
          <w:szCs w:val="21"/>
          <w:highlight w:val="none"/>
          <w:lang w:eastAsia="zh-CN"/>
        </w:rPr>
        <w:t>：</w:t>
      </w:r>
    </w:p>
    <w:p w14:paraId="4F1B1DCC">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其他事项的约定</w:t>
      </w:r>
      <w:r>
        <w:rPr>
          <w:rFonts w:hint="eastAsia" w:ascii="宋体" w:hAnsi="宋体" w:eastAsia="宋体"/>
          <w:szCs w:val="21"/>
          <w:highlight w:val="none"/>
          <w:lang w:eastAsia="zh-CN"/>
        </w:rPr>
        <w:t>：</w:t>
      </w:r>
    </w:p>
    <w:p w14:paraId="176BC0FB">
      <w:pPr>
        <w:autoSpaceDE w:val="0"/>
        <w:autoSpaceDN w:val="0"/>
        <w:adjustRightInd w:val="0"/>
        <w:snapToGrid w:val="0"/>
        <w:spacing w:line="360" w:lineRule="auto"/>
        <w:ind w:firstLine="440" w:firstLineChars="200"/>
        <w:jc w:val="left"/>
        <w:rPr>
          <w:rFonts w:ascii="宋体" w:hAnsi="宋体" w:eastAsia="宋体"/>
          <w:kern w:val="0"/>
          <w:szCs w:val="21"/>
          <w:highlight w:val="none"/>
        </w:rPr>
      </w:pPr>
      <w:r>
        <w:rPr>
          <w:rFonts w:ascii="宋体" w:hAnsi="宋体" w:eastAsia="宋体"/>
          <w:kern w:val="0"/>
          <w:szCs w:val="21"/>
          <w:highlight w:val="none"/>
        </w:rPr>
        <w:t>20.3.2争议评审小组的决定</w:t>
      </w:r>
    </w:p>
    <w:p w14:paraId="7F967411">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合同当事人关于本项的约定</w:t>
      </w:r>
      <w:r>
        <w:rPr>
          <w:rFonts w:hint="eastAsia" w:ascii="宋体" w:hAnsi="宋体" w:eastAsia="宋体"/>
          <w:szCs w:val="21"/>
          <w:highlight w:val="none"/>
          <w:lang w:eastAsia="zh-CN"/>
        </w:rPr>
        <w:t>：</w:t>
      </w:r>
    </w:p>
    <w:p w14:paraId="247C4F94">
      <w:pPr>
        <w:adjustRightInd w:val="0"/>
        <w:snapToGri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20.4仲裁或诉讼</w:t>
      </w:r>
      <w:bookmarkEnd w:id="560"/>
    </w:p>
    <w:p w14:paraId="78ED5337">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因合同及合同有关事项发生的争议，按下列第</w:t>
      </w:r>
      <w:r>
        <w:rPr>
          <w:rFonts w:ascii="宋体" w:hAnsi="宋体" w:eastAsia="宋体"/>
          <w:bCs/>
          <w:color w:val="0000FF"/>
          <w:szCs w:val="21"/>
          <w:highlight w:val="none"/>
          <w:u w:val="single"/>
        </w:rPr>
        <w:t>2</w:t>
      </w:r>
      <w:r>
        <w:rPr>
          <w:rFonts w:ascii="宋体" w:hAnsi="宋体" w:eastAsia="宋体"/>
          <w:szCs w:val="21"/>
          <w:highlight w:val="none"/>
        </w:rPr>
        <w:t>种方式</w:t>
      </w:r>
      <w:r>
        <w:rPr>
          <w:rFonts w:hint="eastAsia" w:ascii="宋体" w:hAnsi="宋体" w:eastAsia="宋体"/>
          <w:szCs w:val="21"/>
          <w:highlight w:val="none"/>
        </w:rPr>
        <w:t>解</w:t>
      </w:r>
      <w:r>
        <w:rPr>
          <w:rFonts w:ascii="宋体" w:hAnsi="宋体" w:eastAsia="宋体"/>
          <w:szCs w:val="21"/>
          <w:highlight w:val="none"/>
        </w:rPr>
        <w:t>决：</w:t>
      </w:r>
    </w:p>
    <w:p w14:paraId="709616A3">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（1）向仲裁委员会申请仲裁；</w:t>
      </w:r>
    </w:p>
    <w:p w14:paraId="39196FA0">
      <w:pPr>
        <w:adjustRightInd w:val="0"/>
        <w:snapToGrid w:val="0"/>
        <w:spacing w:line="360" w:lineRule="auto"/>
        <w:ind w:firstLine="440" w:firstLineChars="200"/>
        <w:jc w:val="left"/>
        <w:rPr>
          <w:rFonts w:ascii="宋体" w:hAnsi="宋体" w:eastAsia="宋体"/>
          <w:szCs w:val="21"/>
          <w:highlight w:val="none"/>
        </w:rPr>
      </w:pPr>
      <w:r>
        <w:rPr>
          <w:rFonts w:ascii="宋体" w:hAnsi="宋体" w:eastAsia="宋体"/>
          <w:szCs w:val="21"/>
          <w:highlight w:val="none"/>
        </w:rPr>
        <w:t>（2）向</w:t>
      </w:r>
      <w:r>
        <w:rPr>
          <w:rFonts w:hint="eastAsia" w:ascii="宋体" w:hAnsi="宋体" w:eastAsia="宋体"/>
          <w:bCs/>
          <w:color w:val="0000FF"/>
          <w:szCs w:val="21"/>
          <w:highlight w:val="none"/>
          <w:u w:val="single"/>
        </w:rPr>
        <w:t>工程所在地</w:t>
      </w:r>
      <w:r>
        <w:rPr>
          <w:rFonts w:ascii="宋体" w:hAnsi="宋体" w:eastAsia="宋体"/>
          <w:szCs w:val="21"/>
          <w:highlight w:val="none"/>
        </w:rPr>
        <w:t>人民法院起诉。</w:t>
      </w:r>
      <w:bookmarkEnd w:id="561"/>
      <w:bookmarkEnd w:id="562"/>
      <w:bookmarkEnd w:id="563"/>
      <w:bookmarkEnd w:id="564"/>
      <w:bookmarkEnd w:id="565"/>
      <w:bookmarkEnd w:id="566"/>
    </w:p>
    <w:p w14:paraId="02BC1BC0">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w:t>
      </w:r>
      <w:r>
        <w:rPr>
          <w:rFonts w:ascii="宋体" w:hAnsi="宋体" w:eastAsia="宋体"/>
          <w:bCs/>
          <w:color w:val="0000FF"/>
          <w:szCs w:val="21"/>
          <w:highlight w:val="none"/>
          <w:u w:val="single"/>
        </w:rPr>
        <w:t>1.补充条款</w:t>
      </w:r>
    </w:p>
    <w:p w14:paraId="6C004A92">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21.1关于宁建建监字</w:t>
      </w:r>
      <w:r>
        <w:rPr>
          <w:rFonts w:hint="eastAsia" w:ascii="宋体" w:hAnsi="宋体" w:eastAsia="宋体"/>
          <w:bCs/>
          <w:color w:val="0000FF"/>
          <w:szCs w:val="21"/>
          <w:highlight w:val="none"/>
          <w:u w:val="single"/>
          <w:lang w:eastAsia="zh-CN"/>
        </w:rPr>
        <w:t>〔2018〕457号</w:t>
      </w:r>
      <w:r>
        <w:rPr>
          <w:rFonts w:hint="eastAsia" w:ascii="宋体" w:hAnsi="宋体" w:eastAsia="宋体"/>
          <w:bCs/>
          <w:color w:val="0000FF"/>
          <w:szCs w:val="21"/>
          <w:highlight w:val="none"/>
          <w:u w:val="single"/>
        </w:rPr>
        <w:t>《关于印发南京市工程建设领域农民工工资专用账户管理办法（试行）的通知》的要求，承包人应无条件执行。若因承包人原因导致任何形式的农民工群体性事件，发包人有权追究承包人责任。</w:t>
      </w:r>
    </w:p>
    <w:p w14:paraId="0AD13B5C">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21.2总承包人完成竣工资料后移交城建档案馆,因承包人的原因而无法备案的,造成的损失由承包人承担。</w:t>
      </w:r>
    </w:p>
    <w:p w14:paraId="54FEB681">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21.3承包人在施工期间必须严格执行和遵守各项规定，加强自查并接受发包人的督促、检查和指导。对于查出的各项隐患，承包人必须按发包人要求限期整改。如限期未整改到位，发包人将按照5000元/次给予违约处理，如再次限期整改还未到位，将给予双倍违约处理或加重处理。类似情况发现两次以上，发包人有权解除合同，由此造成发包人的直接损失或间接损失，将作为债务向承包人追讨。</w:t>
      </w:r>
    </w:p>
    <w:p w14:paraId="07E4FAAF">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21.4承包人承担其不平衡报价的风险，发包人有权根据现场情况对本工程的规模及工程量进行调增或调减，且承包人不得因此进行任何索赔。发包人保留权利对乙购设备、材料选择变更为甲供或甲控乙购的权利，承包人不得因此向发包人进行索赔。</w:t>
      </w:r>
    </w:p>
    <w:p w14:paraId="5C98BEA7">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21.5本工程承包人除满足招标文件要求及投标文件承诺的工程质量标准外，同时要保证本工程通过政府消防专管部门的消防验收，否则视同工程质量不合格。为满足相关消防验收要求而增加的任何费用及消防验收本身所需费用由投标人自行考虑，并含在投标报价内。</w:t>
      </w:r>
    </w:p>
    <w:p w14:paraId="4613E251">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21.6为保证工程质量以及招标要求的材料品牌能贯彻到实际工程中，本工程所用产品（主要为在工厂加工制作的产品），在加工过程中，发包人要先看样品、原材料，以及根据需要进行制作过程、制作工艺和原材料的考察认可，未经发包人考察认可，视为承包人违约，发包人保留对不符合要求的材料供应商、生产厂的否决权；不符合约定的品牌、工艺要求及最终产品和承包人提供的样品有差别的，发包人将不接收该产品的进场使用，造成的一切损失由承包人承担。如承包人制作的产品达不到招标文件、施工图纸、规范或发包人的要求的，承包人应督促进行整改直至发包人满意为止。由此造成的工期推迟和采购费用的增加由承包人承担责任。</w:t>
      </w:r>
    </w:p>
    <w:p w14:paraId="23C1DF6A">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21.7承包人须在内装、智能化、幕墙等专业工程开工前二十日内提供样品，如提供的样品达不到招标文件要求，则重新送样，重新送样的时间不得超过十日；如三十日内承包人仍未能按招标文件要求提供样品，视同为关键节点工期延误，因此造成的工期损失及工期违约由承包人承担，同时，发包人有权提供样品，承包人按发包人确定的样品采购，同时承包人不得以此为理由增加合同价格。</w:t>
      </w:r>
    </w:p>
    <w:p w14:paraId="3FC422F8">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21.8本次招标范围内由于设计图纸的误差而造成各单项工程、单位工程、各施工工种之间的施工交叉、矛盾等，承包人应在实施施工之前予以解决。</w:t>
      </w:r>
    </w:p>
    <w:p w14:paraId="10ADD16F">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21.9发包人可以书面形式通知承包人要求其暂停履行合同规定的全部或部分义务，通知应说明暂停履行的义务、有效日期和理由，承包人应就此暂停履行其义务（除照管工程所需的部分外）直到发包人签发恢复履行的书面通知。</w:t>
      </w:r>
    </w:p>
    <w:p w14:paraId="62CBAC0A">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21.10在本项目的实施过程中，图纸、工艺、配方等包含的知识产权，其归属按国家法律执行；如归一方所有，另一方在本项目的实施、管理、维护中可以无偿使用，但无权擅自允许第三方以任何方式持有、使用。</w:t>
      </w:r>
    </w:p>
    <w:p w14:paraId="18953533">
      <w:pPr>
        <w:spacing w:line="360" w:lineRule="auto"/>
        <w:ind w:firstLine="440" w:firstLineChars="200"/>
        <w:jc w:val="left"/>
        <w:rPr>
          <w:rFonts w:ascii="宋体" w:hAnsi="宋体" w:eastAsia="宋体"/>
          <w:bCs/>
          <w:color w:val="0000FF"/>
          <w:szCs w:val="21"/>
          <w:highlight w:val="none"/>
          <w:u w:val="single"/>
        </w:rPr>
      </w:pPr>
      <w:r>
        <w:rPr>
          <w:rFonts w:hint="eastAsia" w:ascii="宋体" w:hAnsi="宋体" w:eastAsia="宋体"/>
          <w:bCs/>
          <w:color w:val="0000FF"/>
          <w:szCs w:val="21"/>
          <w:highlight w:val="none"/>
          <w:u w:val="single"/>
        </w:rPr>
        <w:t>21.11在施工过程中，承包人应保证无任何第三人主张因承包人行为所导致的任何知识产权或任何人身权利、财产权利。否则，承包人应承担由此给发包人造成的损失，包括但不限于任何索赔，诉讼、赔偿、费用、支出和项目工程的相应全部损失。</w:t>
      </w:r>
    </w:p>
    <w:p w14:paraId="28A91C79">
      <w:pPr>
        <w:spacing w:line="360" w:lineRule="auto"/>
        <w:ind w:firstLine="440" w:firstLineChars="200"/>
        <w:jc w:val="left"/>
        <w:rPr>
          <w:rFonts w:ascii="宋体" w:hAnsi="宋体" w:eastAsia="宋体"/>
          <w:szCs w:val="21"/>
          <w:highlight w:val="none"/>
        </w:rPr>
      </w:pPr>
      <w:r>
        <w:rPr>
          <w:rFonts w:hint="eastAsia" w:ascii="宋体" w:hAnsi="宋体" w:eastAsia="宋体"/>
          <w:bCs/>
          <w:color w:val="0000FF"/>
          <w:szCs w:val="21"/>
          <w:highlight w:val="none"/>
          <w:u w:val="single"/>
        </w:rPr>
        <w:t>21.12未尽事宜双方另行协商。</w:t>
      </w:r>
    </w:p>
    <w:p w14:paraId="226204B4">
      <w:pPr>
        <w:spacing w:line="360" w:lineRule="auto"/>
        <w:jc w:val="left"/>
        <w:rPr>
          <w:rFonts w:ascii="宋体" w:hAnsi="宋体" w:eastAsia="宋体"/>
          <w:color w:val="000000"/>
          <w:sz w:val="24"/>
          <w:szCs w:val="24"/>
          <w:highlight w:val="none"/>
        </w:rPr>
      </w:pPr>
      <w:bookmarkStart w:id="573" w:name="_Toc351203652"/>
      <w:r>
        <w:rPr>
          <w:rFonts w:hint="eastAsia" w:ascii="宋体" w:hAnsi="宋体" w:eastAsia="宋体"/>
          <w:b/>
          <w:color w:val="000000"/>
          <w:sz w:val="24"/>
          <w:szCs w:val="24"/>
          <w:highlight w:val="none"/>
        </w:rPr>
        <w:t>合同</w:t>
      </w:r>
      <w:r>
        <w:rPr>
          <w:rFonts w:ascii="宋体" w:hAnsi="宋体" w:eastAsia="宋体"/>
          <w:b/>
          <w:color w:val="000000"/>
          <w:sz w:val="24"/>
          <w:szCs w:val="24"/>
          <w:highlight w:val="none"/>
        </w:rPr>
        <w:t>附件</w:t>
      </w:r>
      <w:bookmarkEnd w:id="573"/>
    </w:p>
    <w:p w14:paraId="6AAB1895">
      <w:pPr>
        <w:spacing w:line="360" w:lineRule="auto"/>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协议书附件：</w:t>
      </w:r>
    </w:p>
    <w:p w14:paraId="1DC9988D">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附件1：承包人承揽工程项目一览表</w:t>
      </w:r>
    </w:p>
    <w:p w14:paraId="72D8B5FB">
      <w:pPr>
        <w:spacing w:line="360" w:lineRule="auto"/>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专用合同条款附件：</w:t>
      </w:r>
    </w:p>
    <w:p w14:paraId="37673D05">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附件2：发包人供应材料设备一览表</w:t>
      </w:r>
    </w:p>
    <w:p w14:paraId="55042511">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附件3：工程质量保修书</w:t>
      </w:r>
    </w:p>
    <w:p w14:paraId="3D9D3A4E">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附件4：主要建设工程文件目录</w:t>
      </w:r>
    </w:p>
    <w:p w14:paraId="560DD00D">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附件5：承包人用于本工程施工的机械设备表</w:t>
      </w:r>
    </w:p>
    <w:p w14:paraId="4CDD9935">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附件6：承包人主要施工管理人员表</w:t>
      </w:r>
    </w:p>
    <w:p w14:paraId="53D6C827">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附件7：分包人主要施工管理人员表</w:t>
      </w:r>
    </w:p>
    <w:p w14:paraId="798F67CB">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附件8：履约担保格式</w:t>
      </w:r>
    </w:p>
    <w:p w14:paraId="568CC590">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附件9：预付款担保格式</w:t>
      </w:r>
    </w:p>
    <w:p w14:paraId="1B51F910">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附件10：支付担保格式</w:t>
      </w:r>
    </w:p>
    <w:p w14:paraId="09510B71">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附件11：暂估价一览表</w:t>
      </w:r>
    </w:p>
    <w:p w14:paraId="000AF64A">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w:t>
      </w:r>
      <w:r>
        <w:rPr>
          <w:rFonts w:hint="eastAsia" w:ascii="宋体" w:hAnsi="宋体" w:eastAsia="宋体"/>
          <w:color w:val="000000"/>
          <w:sz w:val="24"/>
          <w:szCs w:val="24"/>
          <w:highlight w:val="none"/>
        </w:rPr>
        <w:t>2</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廉洁合同</w:t>
      </w:r>
    </w:p>
    <w:p w14:paraId="0B402F16">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w:t>
      </w:r>
      <w:r>
        <w:rPr>
          <w:rFonts w:hint="eastAsia" w:ascii="宋体" w:hAnsi="宋体" w:eastAsia="宋体"/>
          <w:color w:val="000000"/>
          <w:sz w:val="24"/>
          <w:szCs w:val="24"/>
          <w:highlight w:val="none"/>
        </w:rPr>
        <w:t>3</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建设工程承发包安全管理协议</w:t>
      </w:r>
    </w:p>
    <w:p w14:paraId="15816144">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w:t>
      </w:r>
      <w:r>
        <w:rPr>
          <w:rFonts w:hint="eastAsia" w:ascii="宋体" w:hAnsi="宋体" w:eastAsia="宋体"/>
          <w:color w:val="000000"/>
          <w:sz w:val="24"/>
          <w:szCs w:val="24"/>
          <w:highlight w:val="none"/>
        </w:rPr>
        <w:t>4</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项目经理常驻现场承诺书</w:t>
      </w:r>
    </w:p>
    <w:p w14:paraId="1E36BEE3">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w:t>
      </w:r>
      <w:r>
        <w:rPr>
          <w:rFonts w:hint="eastAsia" w:ascii="宋体" w:hAnsi="宋体" w:eastAsia="宋体"/>
          <w:color w:val="000000"/>
          <w:sz w:val="24"/>
          <w:szCs w:val="24"/>
          <w:highlight w:val="none"/>
        </w:rPr>
        <w:t>5</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不拖欠民工工资承诺书</w:t>
      </w:r>
    </w:p>
    <w:p w14:paraId="60716AC5">
      <w:pPr>
        <w:spacing w:line="360" w:lineRule="auto"/>
        <w:jc w:val="left"/>
        <w:rPr>
          <w:rFonts w:ascii="宋体" w:hAnsi="宋体" w:eastAsia="宋体"/>
          <w:color w:val="000000"/>
          <w:sz w:val="24"/>
          <w:szCs w:val="24"/>
          <w:highlight w:val="none"/>
        </w:rPr>
      </w:pPr>
      <w:r>
        <w:rPr>
          <w:rFonts w:ascii="宋体" w:hAnsi="宋体" w:eastAsia="宋体"/>
          <w:color w:val="000000"/>
          <w:sz w:val="24"/>
          <w:szCs w:val="24"/>
          <w:highlight w:val="none"/>
        </w:rPr>
        <w:t>附件1</w:t>
      </w:r>
      <w:r>
        <w:rPr>
          <w:rFonts w:hint="eastAsia" w:ascii="宋体" w:hAnsi="宋体" w:eastAsia="宋体"/>
          <w:color w:val="000000"/>
          <w:sz w:val="24"/>
          <w:szCs w:val="24"/>
          <w:highlight w:val="none"/>
        </w:rPr>
        <w:t>6</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发包人推荐品牌一览表</w:t>
      </w:r>
    </w:p>
    <w:p w14:paraId="4BCA91D2">
      <w:pPr>
        <w:spacing w:line="400" w:lineRule="exact"/>
        <w:rPr>
          <w:rFonts w:ascii="宋体" w:hAnsi="宋体" w:eastAsia="宋体"/>
          <w:szCs w:val="21"/>
          <w:highlight w:val="none"/>
        </w:rPr>
      </w:pPr>
    </w:p>
    <w:p w14:paraId="3D549537">
      <w:pPr>
        <w:spacing w:line="400" w:lineRule="exact"/>
        <w:rPr>
          <w:rFonts w:ascii="宋体" w:hAnsi="宋体" w:eastAsia="宋体"/>
          <w:szCs w:val="21"/>
          <w:highlight w:val="none"/>
        </w:rPr>
      </w:pPr>
    </w:p>
    <w:p w14:paraId="5995607A">
      <w:pPr>
        <w:rPr>
          <w:rFonts w:ascii="宋体" w:hAnsi="宋体" w:eastAsia="宋体"/>
          <w:color w:val="00000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fmt="decimal"/>
          <w:cols w:space="720" w:num="1"/>
          <w:docGrid w:type="lines" w:linePitch="312" w:charSpace="0"/>
        </w:sectPr>
      </w:pPr>
    </w:p>
    <w:p w14:paraId="39658118">
      <w:pPr>
        <w:spacing w:before="156" w:beforeLines="50" w:after="156" w:afterLines="50" w:line="440" w:lineRule="exact"/>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附件1：</w:t>
      </w:r>
    </w:p>
    <w:p w14:paraId="57A470E0">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承包人承揽工程项目一览表</w:t>
      </w:r>
    </w:p>
    <w:tbl>
      <w:tblPr>
        <w:tblStyle w:val="29"/>
        <w:tblW w:w="14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7"/>
        <w:gridCol w:w="2312"/>
        <w:gridCol w:w="2127"/>
        <w:gridCol w:w="1198"/>
        <w:gridCol w:w="1417"/>
        <w:gridCol w:w="1217"/>
        <w:gridCol w:w="1222"/>
        <w:gridCol w:w="1417"/>
        <w:gridCol w:w="851"/>
        <w:gridCol w:w="850"/>
      </w:tblGrid>
      <w:tr w14:paraId="1D9EA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1647" w:type="dxa"/>
            <w:tcBorders>
              <w:top w:val="single" w:color="auto" w:sz="12" w:space="0"/>
              <w:bottom w:val="double" w:color="auto" w:sz="6" w:space="0"/>
            </w:tcBorders>
            <w:noWrap w:val="0"/>
            <w:vAlign w:val="center"/>
          </w:tcPr>
          <w:p w14:paraId="19596551">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单位工程名称</w:t>
            </w:r>
          </w:p>
        </w:tc>
        <w:tc>
          <w:tcPr>
            <w:tcW w:w="2312" w:type="dxa"/>
            <w:tcBorders>
              <w:top w:val="single" w:color="auto" w:sz="12" w:space="0"/>
              <w:bottom w:val="double" w:color="auto" w:sz="6" w:space="0"/>
            </w:tcBorders>
            <w:noWrap w:val="0"/>
            <w:vAlign w:val="center"/>
          </w:tcPr>
          <w:p w14:paraId="29760E4E">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建设规模</w:t>
            </w:r>
          </w:p>
        </w:tc>
        <w:tc>
          <w:tcPr>
            <w:tcW w:w="2127" w:type="dxa"/>
            <w:tcBorders>
              <w:top w:val="single" w:color="auto" w:sz="12" w:space="0"/>
              <w:bottom w:val="double" w:color="auto" w:sz="6" w:space="0"/>
            </w:tcBorders>
            <w:noWrap w:val="0"/>
            <w:vAlign w:val="center"/>
          </w:tcPr>
          <w:p w14:paraId="57A59494">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建筑面积(平方米)</w:t>
            </w:r>
          </w:p>
        </w:tc>
        <w:tc>
          <w:tcPr>
            <w:tcW w:w="1198" w:type="dxa"/>
            <w:tcBorders>
              <w:top w:val="single" w:color="auto" w:sz="12" w:space="0"/>
              <w:bottom w:val="double" w:color="auto" w:sz="6" w:space="0"/>
            </w:tcBorders>
            <w:noWrap w:val="0"/>
            <w:vAlign w:val="center"/>
          </w:tcPr>
          <w:p w14:paraId="11E7707B">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结构</w:t>
            </w:r>
            <w:r>
              <w:rPr>
                <w:rFonts w:hint="eastAsia" w:ascii="宋体" w:hAnsi="宋体"/>
                <w:color w:val="000000"/>
                <w:sz w:val="24"/>
                <w:szCs w:val="24"/>
                <w:highlight w:val="none"/>
              </w:rPr>
              <w:t>形式</w:t>
            </w:r>
          </w:p>
        </w:tc>
        <w:tc>
          <w:tcPr>
            <w:tcW w:w="1417" w:type="dxa"/>
            <w:tcBorders>
              <w:top w:val="single" w:color="auto" w:sz="12" w:space="0"/>
              <w:bottom w:val="double" w:color="auto" w:sz="6" w:space="0"/>
            </w:tcBorders>
            <w:noWrap w:val="0"/>
            <w:vAlign w:val="center"/>
          </w:tcPr>
          <w:p w14:paraId="30B12966">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层数</w:t>
            </w:r>
          </w:p>
        </w:tc>
        <w:tc>
          <w:tcPr>
            <w:tcW w:w="1217" w:type="dxa"/>
            <w:tcBorders>
              <w:top w:val="single" w:color="auto" w:sz="12" w:space="0"/>
              <w:bottom w:val="double" w:color="auto" w:sz="6" w:space="0"/>
            </w:tcBorders>
            <w:noWrap w:val="0"/>
            <w:vAlign w:val="center"/>
          </w:tcPr>
          <w:p w14:paraId="345C8983">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生产能力</w:t>
            </w:r>
          </w:p>
        </w:tc>
        <w:tc>
          <w:tcPr>
            <w:tcW w:w="1222" w:type="dxa"/>
            <w:tcBorders>
              <w:top w:val="single" w:color="auto" w:sz="12" w:space="0"/>
              <w:bottom w:val="double" w:color="auto" w:sz="6" w:space="0"/>
            </w:tcBorders>
            <w:noWrap w:val="0"/>
            <w:vAlign w:val="center"/>
          </w:tcPr>
          <w:p w14:paraId="56325BDC">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设备安装内容</w:t>
            </w:r>
          </w:p>
        </w:tc>
        <w:tc>
          <w:tcPr>
            <w:tcW w:w="1417" w:type="dxa"/>
            <w:tcBorders>
              <w:top w:val="single" w:color="auto" w:sz="12" w:space="0"/>
              <w:bottom w:val="double" w:color="auto" w:sz="6" w:space="0"/>
            </w:tcBorders>
            <w:noWrap w:val="0"/>
            <w:vAlign w:val="center"/>
          </w:tcPr>
          <w:p w14:paraId="39487550">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合同价格（元）</w:t>
            </w:r>
          </w:p>
        </w:tc>
        <w:tc>
          <w:tcPr>
            <w:tcW w:w="851" w:type="dxa"/>
            <w:tcBorders>
              <w:top w:val="single" w:color="auto" w:sz="12" w:space="0"/>
              <w:bottom w:val="double" w:color="auto" w:sz="6" w:space="0"/>
            </w:tcBorders>
            <w:noWrap w:val="0"/>
            <w:vAlign w:val="center"/>
          </w:tcPr>
          <w:p w14:paraId="2BDE5B6A">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开工日期</w:t>
            </w:r>
          </w:p>
        </w:tc>
        <w:tc>
          <w:tcPr>
            <w:tcW w:w="850" w:type="dxa"/>
            <w:tcBorders>
              <w:top w:val="single" w:color="auto" w:sz="12" w:space="0"/>
              <w:bottom w:val="double" w:color="auto" w:sz="6" w:space="0"/>
            </w:tcBorders>
            <w:noWrap w:val="0"/>
            <w:vAlign w:val="center"/>
          </w:tcPr>
          <w:p w14:paraId="174542D2">
            <w:pPr>
              <w:pStyle w:val="10"/>
              <w:keepNext/>
              <w:spacing w:after="0" w:line="440" w:lineRule="exact"/>
              <w:ind w:left="63" w:right="63"/>
              <w:jc w:val="center"/>
              <w:rPr>
                <w:rFonts w:ascii="宋体" w:hAnsi="宋体"/>
                <w:color w:val="000000"/>
                <w:sz w:val="24"/>
                <w:szCs w:val="24"/>
                <w:highlight w:val="none"/>
              </w:rPr>
            </w:pPr>
            <w:r>
              <w:rPr>
                <w:rFonts w:ascii="宋体" w:hAnsi="宋体"/>
                <w:color w:val="000000"/>
                <w:sz w:val="24"/>
                <w:szCs w:val="24"/>
                <w:highlight w:val="none"/>
              </w:rPr>
              <w:t>竣工日期</w:t>
            </w:r>
          </w:p>
        </w:tc>
      </w:tr>
      <w:tr w14:paraId="49515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1647" w:type="dxa"/>
            <w:tcBorders>
              <w:top w:val="double" w:color="auto" w:sz="6" w:space="0"/>
              <w:bottom w:val="double" w:color="auto" w:sz="6" w:space="0"/>
            </w:tcBorders>
            <w:noWrap w:val="0"/>
            <w:vAlign w:val="center"/>
          </w:tcPr>
          <w:p w14:paraId="6FDE3D2E">
            <w:pPr>
              <w:jc w:val="center"/>
              <w:rPr>
                <w:rFonts w:ascii="宋体" w:hAnsi="宋体" w:eastAsia="宋体"/>
                <w:color w:val="000000"/>
                <w:sz w:val="24"/>
                <w:szCs w:val="24"/>
                <w:highlight w:val="none"/>
              </w:rPr>
            </w:pPr>
          </w:p>
        </w:tc>
        <w:tc>
          <w:tcPr>
            <w:tcW w:w="2312" w:type="dxa"/>
            <w:tcBorders>
              <w:top w:val="double" w:color="auto" w:sz="6" w:space="0"/>
              <w:bottom w:val="double" w:color="auto" w:sz="6" w:space="0"/>
            </w:tcBorders>
            <w:noWrap w:val="0"/>
            <w:vAlign w:val="center"/>
          </w:tcPr>
          <w:p w14:paraId="09D03D23">
            <w:pPr>
              <w:pStyle w:val="10"/>
              <w:keepNext/>
              <w:spacing w:after="0" w:line="440" w:lineRule="exact"/>
              <w:ind w:left="63" w:right="63"/>
              <w:rPr>
                <w:rFonts w:ascii="宋体" w:hAnsi="宋体"/>
                <w:color w:val="000000"/>
                <w:sz w:val="24"/>
                <w:szCs w:val="24"/>
                <w:highlight w:val="none"/>
              </w:rPr>
            </w:pPr>
          </w:p>
        </w:tc>
        <w:tc>
          <w:tcPr>
            <w:tcW w:w="2127" w:type="dxa"/>
            <w:tcBorders>
              <w:top w:val="double" w:color="auto" w:sz="6" w:space="0"/>
              <w:bottom w:val="double" w:color="auto" w:sz="6" w:space="0"/>
            </w:tcBorders>
            <w:noWrap w:val="0"/>
            <w:vAlign w:val="center"/>
          </w:tcPr>
          <w:p w14:paraId="41A0495D">
            <w:pPr>
              <w:ind w:left="4" w:leftChars="-10" w:hanging="26" w:hangingChars="11"/>
              <w:jc w:val="center"/>
              <w:rPr>
                <w:rFonts w:ascii="宋体" w:hAnsi="宋体" w:eastAsia="宋体"/>
                <w:color w:val="000000"/>
                <w:sz w:val="24"/>
                <w:szCs w:val="24"/>
                <w:highlight w:val="none"/>
              </w:rPr>
            </w:pPr>
          </w:p>
        </w:tc>
        <w:tc>
          <w:tcPr>
            <w:tcW w:w="1198" w:type="dxa"/>
            <w:tcBorders>
              <w:top w:val="double" w:color="auto" w:sz="6" w:space="0"/>
              <w:bottom w:val="double" w:color="auto" w:sz="6" w:space="0"/>
            </w:tcBorders>
            <w:noWrap w:val="0"/>
            <w:vAlign w:val="center"/>
          </w:tcPr>
          <w:p w14:paraId="23D52207">
            <w:pPr>
              <w:jc w:val="center"/>
              <w:rPr>
                <w:rFonts w:ascii="宋体" w:hAnsi="宋体" w:eastAsia="宋体"/>
                <w:color w:val="000000"/>
                <w:sz w:val="24"/>
                <w:szCs w:val="24"/>
                <w:highlight w:val="none"/>
              </w:rPr>
            </w:pPr>
            <w:r>
              <w:rPr>
                <w:rFonts w:hint="eastAsia" w:ascii="宋体" w:hAnsi="宋体" w:eastAsia="宋体"/>
                <w:color w:val="000000"/>
                <w:sz w:val="24"/>
                <w:szCs w:val="24"/>
                <w:highlight w:val="none"/>
              </w:rPr>
              <w:t>-</w:t>
            </w:r>
          </w:p>
        </w:tc>
        <w:tc>
          <w:tcPr>
            <w:tcW w:w="1417" w:type="dxa"/>
            <w:tcBorders>
              <w:top w:val="double" w:color="auto" w:sz="6" w:space="0"/>
              <w:bottom w:val="double" w:color="auto" w:sz="6" w:space="0"/>
            </w:tcBorders>
            <w:noWrap w:val="0"/>
            <w:vAlign w:val="center"/>
          </w:tcPr>
          <w:p w14:paraId="6502CB4A">
            <w:pPr>
              <w:jc w:val="center"/>
              <w:rPr>
                <w:rFonts w:ascii="宋体" w:hAnsi="宋体" w:eastAsia="宋体"/>
                <w:color w:val="000000"/>
                <w:sz w:val="24"/>
                <w:szCs w:val="24"/>
                <w:highlight w:val="none"/>
              </w:rPr>
            </w:pPr>
            <w:r>
              <w:rPr>
                <w:rFonts w:hint="eastAsia" w:ascii="宋体" w:hAnsi="宋体" w:eastAsia="宋体"/>
                <w:color w:val="000000"/>
                <w:sz w:val="24"/>
                <w:szCs w:val="24"/>
                <w:highlight w:val="none"/>
              </w:rPr>
              <w:t>-</w:t>
            </w:r>
          </w:p>
        </w:tc>
        <w:tc>
          <w:tcPr>
            <w:tcW w:w="1217" w:type="dxa"/>
            <w:tcBorders>
              <w:top w:val="double" w:color="auto" w:sz="6" w:space="0"/>
              <w:bottom w:val="double" w:color="auto" w:sz="6" w:space="0"/>
            </w:tcBorders>
            <w:noWrap w:val="0"/>
            <w:vAlign w:val="center"/>
          </w:tcPr>
          <w:p w14:paraId="6A5EA650">
            <w:pPr>
              <w:pStyle w:val="10"/>
              <w:keepNext/>
              <w:spacing w:after="0" w:line="440" w:lineRule="exact"/>
              <w:ind w:left="63" w:right="63"/>
              <w:rPr>
                <w:rFonts w:ascii="宋体" w:hAnsi="宋体"/>
                <w:color w:val="000000"/>
                <w:sz w:val="24"/>
                <w:szCs w:val="24"/>
                <w:highlight w:val="none"/>
              </w:rPr>
            </w:pPr>
          </w:p>
        </w:tc>
        <w:tc>
          <w:tcPr>
            <w:tcW w:w="1222" w:type="dxa"/>
            <w:tcBorders>
              <w:top w:val="double" w:color="auto" w:sz="6" w:space="0"/>
              <w:bottom w:val="double" w:color="auto" w:sz="6" w:space="0"/>
            </w:tcBorders>
            <w:noWrap w:val="0"/>
            <w:vAlign w:val="center"/>
          </w:tcPr>
          <w:p w14:paraId="5E2DECD9">
            <w:pPr>
              <w:pStyle w:val="10"/>
              <w:keepNext/>
              <w:spacing w:after="0" w:line="440" w:lineRule="exact"/>
              <w:ind w:left="63" w:right="63"/>
              <w:rPr>
                <w:rFonts w:ascii="宋体" w:hAnsi="宋体"/>
                <w:color w:val="000000"/>
                <w:sz w:val="24"/>
                <w:szCs w:val="24"/>
                <w:highlight w:val="none"/>
              </w:rPr>
            </w:pPr>
          </w:p>
        </w:tc>
        <w:tc>
          <w:tcPr>
            <w:tcW w:w="1417" w:type="dxa"/>
            <w:tcBorders>
              <w:top w:val="double" w:color="auto" w:sz="6" w:space="0"/>
              <w:bottom w:val="double" w:color="auto" w:sz="6" w:space="0"/>
            </w:tcBorders>
            <w:noWrap w:val="0"/>
            <w:vAlign w:val="center"/>
          </w:tcPr>
          <w:p w14:paraId="65018ABE">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double" w:color="auto" w:sz="6" w:space="0"/>
            </w:tcBorders>
            <w:noWrap w:val="0"/>
            <w:vAlign w:val="center"/>
          </w:tcPr>
          <w:p w14:paraId="4B78C80B">
            <w:pPr>
              <w:pStyle w:val="10"/>
              <w:keepNext/>
              <w:spacing w:after="0" w:line="440" w:lineRule="exact"/>
              <w:ind w:left="63" w:right="63"/>
              <w:rPr>
                <w:rFonts w:ascii="宋体" w:hAnsi="宋体"/>
                <w:color w:val="000000"/>
                <w:sz w:val="24"/>
                <w:szCs w:val="24"/>
                <w:highlight w:val="none"/>
              </w:rPr>
            </w:pPr>
          </w:p>
        </w:tc>
        <w:tc>
          <w:tcPr>
            <w:tcW w:w="850" w:type="dxa"/>
            <w:tcBorders>
              <w:top w:val="double" w:color="auto" w:sz="6" w:space="0"/>
              <w:bottom w:val="double" w:color="auto" w:sz="6" w:space="0"/>
            </w:tcBorders>
            <w:noWrap w:val="0"/>
            <w:vAlign w:val="center"/>
          </w:tcPr>
          <w:p w14:paraId="0D45F72E">
            <w:pPr>
              <w:pStyle w:val="10"/>
              <w:keepNext/>
              <w:spacing w:after="0" w:line="440" w:lineRule="exact"/>
              <w:ind w:left="63" w:right="63"/>
              <w:rPr>
                <w:rFonts w:ascii="宋体" w:hAnsi="宋体"/>
                <w:color w:val="000000"/>
                <w:sz w:val="24"/>
                <w:szCs w:val="24"/>
                <w:highlight w:val="none"/>
              </w:rPr>
            </w:pPr>
          </w:p>
        </w:tc>
      </w:tr>
      <w:tr w14:paraId="7D268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1647" w:type="dxa"/>
            <w:tcBorders>
              <w:top w:val="double" w:color="auto" w:sz="6" w:space="0"/>
              <w:bottom w:val="double" w:color="auto" w:sz="6" w:space="0"/>
            </w:tcBorders>
            <w:noWrap w:val="0"/>
            <w:vAlign w:val="center"/>
          </w:tcPr>
          <w:p w14:paraId="4F218137">
            <w:pPr>
              <w:jc w:val="center"/>
              <w:rPr>
                <w:rFonts w:ascii="宋体" w:hAnsi="宋体" w:eastAsia="宋体" w:cs="宋体"/>
                <w:b/>
                <w:sz w:val="24"/>
                <w:szCs w:val="24"/>
                <w:highlight w:val="none"/>
              </w:rPr>
            </w:pPr>
          </w:p>
        </w:tc>
        <w:tc>
          <w:tcPr>
            <w:tcW w:w="2312" w:type="dxa"/>
            <w:tcBorders>
              <w:top w:val="double" w:color="auto" w:sz="6" w:space="0"/>
              <w:bottom w:val="double" w:color="auto" w:sz="6" w:space="0"/>
            </w:tcBorders>
            <w:noWrap w:val="0"/>
            <w:vAlign w:val="center"/>
          </w:tcPr>
          <w:p w14:paraId="7C8C9B4B">
            <w:pPr>
              <w:pStyle w:val="10"/>
              <w:keepNext/>
              <w:spacing w:after="0" w:line="440" w:lineRule="exact"/>
              <w:ind w:left="63" w:right="63"/>
              <w:rPr>
                <w:rFonts w:ascii="宋体" w:hAnsi="宋体"/>
                <w:color w:val="000000"/>
                <w:sz w:val="24"/>
                <w:szCs w:val="24"/>
                <w:highlight w:val="none"/>
              </w:rPr>
            </w:pPr>
          </w:p>
        </w:tc>
        <w:tc>
          <w:tcPr>
            <w:tcW w:w="2127" w:type="dxa"/>
            <w:tcBorders>
              <w:top w:val="double" w:color="auto" w:sz="6" w:space="0"/>
              <w:bottom w:val="double" w:color="auto" w:sz="6" w:space="0"/>
            </w:tcBorders>
            <w:noWrap w:val="0"/>
            <w:vAlign w:val="center"/>
          </w:tcPr>
          <w:p w14:paraId="1C6166C2">
            <w:pPr>
              <w:jc w:val="center"/>
              <w:rPr>
                <w:rFonts w:ascii="宋体" w:hAnsi="宋体" w:eastAsia="宋体" w:cs="宋体"/>
                <w:b/>
                <w:sz w:val="24"/>
                <w:szCs w:val="24"/>
                <w:highlight w:val="none"/>
              </w:rPr>
            </w:pPr>
          </w:p>
        </w:tc>
        <w:tc>
          <w:tcPr>
            <w:tcW w:w="1198" w:type="dxa"/>
            <w:tcBorders>
              <w:top w:val="double" w:color="auto" w:sz="6" w:space="0"/>
              <w:bottom w:val="double" w:color="auto" w:sz="6" w:space="0"/>
            </w:tcBorders>
            <w:noWrap w:val="0"/>
            <w:vAlign w:val="center"/>
          </w:tcPr>
          <w:p w14:paraId="4E933432">
            <w:pPr>
              <w:jc w:val="center"/>
              <w:rPr>
                <w:rFonts w:ascii="宋体" w:hAnsi="宋体" w:eastAsia="宋体" w:cs="宋体"/>
                <w:b/>
                <w:sz w:val="24"/>
                <w:szCs w:val="24"/>
                <w:highlight w:val="none"/>
              </w:rPr>
            </w:pPr>
          </w:p>
        </w:tc>
        <w:tc>
          <w:tcPr>
            <w:tcW w:w="1417" w:type="dxa"/>
            <w:tcBorders>
              <w:top w:val="double" w:color="auto" w:sz="6" w:space="0"/>
              <w:bottom w:val="double" w:color="auto" w:sz="6" w:space="0"/>
            </w:tcBorders>
            <w:noWrap w:val="0"/>
            <w:vAlign w:val="center"/>
          </w:tcPr>
          <w:p w14:paraId="1C143DFC">
            <w:pPr>
              <w:jc w:val="center"/>
              <w:rPr>
                <w:rFonts w:ascii="宋体" w:hAnsi="宋体" w:eastAsia="宋体" w:cs="宋体"/>
                <w:b/>
                <w:sz w:val="24"/>
                <w:szCs w:val="24"/>
                <w:highlight w:val="none"/>
              </w:rPr>
            </w:pPr>
          </w:p>
        </w:tc>
        <w:tc>
          <w:tcPr>
            <w:tcW w:w="1217" w:type="dxa"/>
            <w:tcBorders>
              <w:top w:val="double" w:color="auto" w:sz="6" w:space="0"/>
              <w:bottom w:val="double" w:color="auto" w:sz="6" w:space="0"/>
            </w:tcBorders>
            <w:noWrap w:val="0"/>
            <w:vAlign w:val="center"/>
          </w:tcPr>
          <w:p w14:paraId="6CB460A0">
            <w:pPr>
              <w:pStyle w:val="10"/>
              <w:keepNext/>
              <w:spacing w:after="0" w:line="440" w:lineRule="exact"/>
              <w:ind w:left="63" w:right="63"/>
              <w:rPr>
                <w:rFonts w:ascii="宋体" w:hAnsi="宋体"/>
                <w:color w:val="000000"/>
                <w:sz w:val="24"/>
                <w:szCs w:val="24"/>
                <w:highlight w:val="none"/>
              </w:rPr>
            </w:pPr>
          </w:p>
        </w:tc>
        <w:tc>
          <w:tcPr>
            <w:tcW w:w="1222" w:type="dxa"/>
            <w:tcBorders>
              <w:top w:val="double" w:color="auto" w:sz="6" w:space="0"/>
              <w:bottom w:val="double" w:color="auto" w:sz="6" w:space="0"/>
            </w:tcBorders>
            <w:noWrap w:val="0"/>
            <w:vAlign w:val="center"/>
          </w:tcPr>
          <w:p w14:paraId="16713A49">
            <w:pPr>
              <w:pStyle w:val="10"/>
              <w:keepNext/>
              <w:spacing w:after="0" w:line="440" w:lineRule="exact"/>
              <w:ind w:left="63" w:right="63"/>
              <w:rPr>
                <w:rFonts w:ascii="宋体" w:hAnsi="宋体"/>
                <w:color w:val="000000"/>
                <w:sz w:val="24"/>
                <w:szCs w:val="24"/>
                <w:highlight w:val="none"/>
              </w:rPr>
            </w:pPr>
          </w:p>
        </w:tc>
        <w:tc>
          <w:tcPr>
            <w:tcW w:w="1417" w:type="dxa"/>
            <w:tcBorders>
              <w:top w:val="double" w:color="auto" w:sz="6" w:space="0"/>
              <w:bottom w:val="double" w:color="auto" w:sz="6" w:space="0"/>
            </w:tcBorders>
            <w:noWrap w:val="0"/>
            <w:vAlign w:val="center"/>
          </w:tcPr>
          <w:p w14:paraId="5D14B6F3">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double" w:color="auto" w:sz="6" w:space="0"/>
            </w:tcBorders>
            <w:noWrap w:val="0"/>
            <w:vAlign w:val="center"/>
          </w:tcPr>
          <w:p w14:paraId="3C9249FD">
            <w:pPr>
              <w:pStyle w:val="10"/>
              <w:keepNext/>
              <w:spacing w:after="0" w:line="440" w:lineRule="exact"/>
              <w:ind w:left="63" w:right="63"/>
              <w:rPr>
                <w:rFonts w:ascii="宋体" w:hAnsi="宋体"/>
                <w:color w:val="000000"/>
                <w:sz w:val="24"/>
                <w:szCs w:val="24"/>
                <w:highlight w:val="none"/>
              </w:rPr>
            </w:pPr>
          </w:p>
        </w:tc>
        <w:tc>
          <w:tcPr>
            <w:tcW w:w="850" w:type="dxa"/>
            <w:tcBorders>
              <w:top w:val="double" w:color="auto" w:sz="6" w:space="0"/>
              <w:bottom w:val="double" w:color="auto" w:sz="6" w:space="0"/>
            </w:tcBorders>
            <w:noWrap w:val="0"/>
            <w:vAlign w:val="center"/>
          </w:tcPr>
          <w:p w14:paraId="7B33FDF8">
            <w:pPr>
              <w:pStyle w:val="10"/>
              <w:keepNext/>
              <w:spacing w:after="0" w:line="440" w:lineRule="exact"/>
              <w:ind w:left="63" w:right="63"/>
              <w:rPr>
                <w:rFonts w:ascii="宋体" w:hAnsi="宋体"/>
                <w:color w:val="000000"/>
                <w:sz w:val="24"/>
                <w:szCs w:val="24"/>
                <w:highlight w:val="none"/>
              </w:rPr>
            </w:pPr>
          </w:p>
        </w:tc>
      </w:tr>
      <w:tr w14:paraId="73F6C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1647" w:type="dxa"/>
            <w:tcBorders>
              <w:top w:val="double" w:color="auto" w:sz="6" w:space="0"/>
              <w:bottom w:val="double" w:color="auto" w:sz="6" w:space="0"/>
            </w:tcBorders>
            <w:noWrap w:val="0"/>
            <w:vAlign w:val="center"/>
          </w:tcPr>
          <w:p w14:paraId="60634B1B">
            <w:pPr>
              <w:jc w:val="center"/>
              <w:rPr>
                <w:rFonts w:ascii="宋体" w:hAnsi="宋体" w:eastAsia="宋体" w:cs="宋体"/>
                <w:b/>
                <w:sz w:val="24"/>
                <w:szCs w:val="24"/>
                <w:highlight w:val="none"/>
              </w:rPr>
            </w:pPr>
          </w:p>
        </w:tc>
        <w:tc>
          <w:tcPr>
            <w:tcW w:w="2312" w:type="dxa"/>
            <w:tcBorders>
              <w:top w:val="double" w:color="auto" w:sz="6" w:space="0"/>
              <w:bottom w:val="double" w:color="auto" w:sz="6" w:space="0"/>
            </w:tcBorders>
            <w:noWrap w:val="0"/>
            <w:vAlign w:val="center"/>
          </w:tcPr>
          <w:p w14:paraId="6BD465B9">
            <w:pPr>
              <w:pStyle w:val="10"/>
              <w:keepNext/>
              <w:spacing w:after="0" w:line="440" w:lineRule="exact"/>
              <w:ind w:left="63" w:right="63"/>
              <w:rPr>
                <w:rFonts w:ascii="宋体" w:hAnsi="宋体"/>
                <w:color w:val="000000"/>
                <w:sz w:val="24"/>
                <w:szCs w:val="24"/>
                <w:highlight w:val="none"/>
              </w:rPr>
            </w:pPr>
          </w:p>
        </w:tc>
        <w:tc>
          <w:tcPr>
            <w:tcW w:w="2127" w:type="dxa"/>
            <w:tcBorders>
              <w:top w:val="double" w:color="auto" w:sz="6" w:space="0"/>
              <w:bottom w:val="double" w:color="auto" w:sz="6" w:space="0"/>
            </w:tcBorders>
            <w:noWrap w:val="0"/>
            <w:vAlign w:val="center"/>
          </w:tcPr>
          <w:p w14:paraId="57CE248A">
            <w:pPr>
              <w:jc w:val="center"/>
              <w:rPr>
                <w:rFonts w:ascii="宋体" w:hAnsi="宋体" w:eastAsia="宋体" w:cs="宋体"/>
                <w:b/>
                <w:sz w:val="24"/>
                <w:szCs w:val="24"/>
                <w:highlight w:val="none"/>
              </w:rPr>
            </w:pPr>
          </w:p>
        </w:tc>
        <w:tc>
          <w:tcPr>
            <w:tcW w:w="1198" w:type="dxa"/>
            <w:tcBorders>
              <w:top w:val="double" w:color="auto" w:sz="6" w:space="0"/>
              <w:bottom w:val="double" w:color="auto" w:sz="6" w:space="0"/>
            </w:tcBorders>
            <w:noWrap w:val="0"/>
            <w:vAlign w:val="center"/>
          </w:tcPr>
          <w:p w14:paraId="0190CB21">
            <w:pPr>
              <w:jc w:val="center"/>
              <w:rPr>
                <w:rFonts w:ascii="宋体" w:hAnsi="宋体" w:eastAsia="宋体" w:cs="宋体"/>
                <w:b/>
                <w:sz w:val="24"/>
                <w:szCs w:val="24"/>
                <w:highlight w:val="none"/>
              </w:rPr>
            </w:pPr>
          </w:p>
        </w:tc>
        <w:tc>
          <w:tcPr>
            <w:tcW w:w="1417" w:type="dxa"/>
            <w:tcBorders>
              <w:top w:val="double" w:color="auto" w:sz="6" w:space="0"/>
              <w:bottom w:val="double" w:color="auto" w:sz="6" w:space="0"/>
            </w:tcBorders>
            <w:noWrap w:val="0"/>
            <w:vAlign w:val="center"/>
          </w:tcPr>
          <w:p w14:paraId="795DA8BB">
            <w:pPr>
              <w:jc w:val="center"/>
              <w:rPr>
                <w:rFonts w:ascii="宋体" w:hAnsi="宋体" w:eastAsia="宋体" w:cs="宋体"/>
                <w:b/>
                <w:sz w:val="24"/>
                <w:szCs w:val="24"/>
                <w:highlight w:val="none"/>
              </w:rPr>
            </w:pPr>
          </w:p>
        </w:tc>
        <w:tc>
          <w:tcPr>
            <w:tcW w:w="1217" w:type="dxa"/>
            <w:tcBorders>
              <w:top w:val="double" w:color="auto" w:sz="6" w:space="0"/>
              <w:bottom w:val="double" w:color="auto" w:sz="6" w:space="0"/>
            </w:tcBorders>
            <w:noWrap w:val="0"/>
            <w:vAlign w:val="center"/>
          </w:tcPr>
          <w:p w14:paraId="44F108F6">
            <w:pPr>
              <w:pStyle w:val="10"/>
              <w:keepNext/>
              <w:spacing w:after="0" w:line="440" w:lineRule="exact"/>
              <w:ind w:left="63" w:right="63"/>
              <w:rPr>
                <w:rFonts w:ascii="宋体" w:hAnsi="宋体"/>
                <w:color w:val="000000"/>
                <w:sz w:val="24"/>
                <w:szCs w:val="24"/>
                <w:highlight w:val="none"/>
              </w:rPr>
            </w:pPr>
          </w:p>
        </w:tc>
        <w:tc>
          <w:tcPr>
            <w:tcW w:w="1222" w:type="dxa"/>
            <w:tcBorders>
              <w:top w:val="double" w:color="auto" w:sz="6" w:space="0"/>
              <w:bottom w:val="double" w:color="auto" w:sz="6" w:space="0"/>
            </w:tcBorders>
            <w:noWrap w:val="0"/>
            <w:vAlign w:val="center"/>
          </w:tcPr>
          <w:p w14:paraId="56AE3E5C">
            <w:pPr>
              <w:pStyle w:val="10"/>
              <w:keepNext/>
              <w:spacing w:after="0" w:line="440" w:lineRule="exact"/>
              <w:ind w:left="63" w:right="63"/>
              <w:rPr>
                <w:rFonts w:ascii="宋体" w:hAnsi="宋体"/>
                <w:color w:val="000000"/>
                <w:sz w:val="24"/>
                <w:szCs w:val="24"/>
                <w:highlight w:val="none"/>
              </w:rPr>
            </w:pPr>
          </w:p>
        </w:tc>
        <w:tc>
          <w:tcPr>
            <w:tcW w:w="1417" w:type="dxa"/>
            <w:tcBorders>
              <w:top w:val="double" w:color="auto" w:sz="6" w:space="0"/>
              <w:bottom w:val="double" w:color="auto" w:sz="6" w:space="0"/>
            </w:tcBorders>
            <w:noWrap w:val="0"/>
            <w:vAlign w:val="center"/>
          </w:tcPr>
          <w:p w14:paraId="6E36A655">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double" w:color="auto" w:sz="6" w:space="0"/>
            </w:tcBorders>
            <w:noWrap w:val="0"/>
            <w:vAlign w:val="center"/>
          </w:tcPr>
          <w:p w14:paraId="4EEE38B8">
            <w:pPr>
              <w:pStyle w:val="10"/>
              <w:keepNext/>
              <w:spacing w:after="0" w:line="440" w:lineRule="exact"/>
              <w:ind w:left="63" w:right="63"/>
              <w:rPr>
                <w:rFonts w:ascii="宋体" w:hAnsi="宋体"/>
                <w:color w:val="000000"/>
                <w:sz w:val="24"/>
                <w:szCs w:val="24"/>
                <w:highlight w:val="none"/>
              </w:rPr>
            </w:pPr>
          </w:p>
        </w:tc>
        <w:tc>
          <w:tcPr>
            <w:tcW w:w="850" w:type="dxa"/>
            <w:tcBorders>
              <w:top w:val="double" w:color="auto" w:sz="6" w:space="0"/>
              <w:bottom w:val="double" w:color="auto" w:sz="6" w:space="0"/>
            </w:tcBorders>
            <w:noWrap w:val="0"/>
            <w:vAlign w:val="center"/>
          </w:tcPr>
          <w:p w14:paraId="2E358E57">
            <w:pPr>
              <w:pStyle w:val="10"/>
              <w:keepNext/>
              <w:spacing w:after="0" w:line="440" w:lineRule="exact"/>
              <w:ind w:left="63" w:right="63"/>
              <w:rPr>
                <w:rFonts w:ascii="宋体" w:hAnsi="宋体"/>
                <w:color w:val="000000"/>
                <w:sz w:val="24"/>
                <w:szCs w:val="24"/>
                <w:highlight w:val="none"/>
              </w:rPr>
            </w:pPr>
          </w:p>
        </w:tc>
      </w:tr>
      <w:tr w14:paraId="4EB9C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1647" w:type="dxa"/>
            <w:tcBorders>
              <w:top w:val="double" w:color="auto" w:sz="6" w:space="0"/>
              <w:bottom w:val="single" w:color="auto" w:sz="6" w:space="0"/>
            </w:tcBorders>
            <w:noWrap w:val="0"/>
            <w:vAlign w:val="center"/>
          </w:tcPr>
          <w:p w14:paraId="4E4EA4BF">
            <w:pPr>
              <w:jc w:val="center"/>
              <w:rPr>
                <w:rFonts w:ascii="宋体" w:hAnsi="宋体" w:eastAsia="宋体" w:cs="宋体"/>
                <w:b/>
                <w:sz w:val="24"/>
                <w:szCs w:val="24"/>
                <w:highlight w:val="none"/>
              </w:rPr>
            </w:pPr>
          </w:p>
        </w:tc>
        <w:tc>
          <w:tcPr>
            <w:tcW w:w="2312" w:type="dxa"/>
            <w:tcBorders>
              <w:top w:val="double" w:color="auto" w:sz="6" w:space="0"/>
              <w:bottom w:val="single" w:color="auto" w:sz="6" w:space="0"/>
            </w:tcBorders>
            <w:noWrap w:val="0"/>
            <w:vAlign w:val="center"/>
          </w:tcPr>
          <w:p w14:paraId="5F083645">
            <w:pPr>
              <w:pStyle w:val="10"/>
              <w:keepNext/>
              <w:spacing w:after="0" w:line="440" w:lineRule="exact"/>
              <w:ind w:left="63" w:right="63"/>
              <w:rPr>
                <w:rFonts w:ascii="宋体" w:hAnsi="宋体"/>
                <w:color w:val="000000"/>
                <w:sz w:val="24"/>
                <w:szCs w:val="24"/>
                <w:highlight w:val="none"/>
              </w:rPr>
            </w:pPr>
          </w:p>
        </w:tc>
        <w:tc>
          <w:tcPr>
            <w:tcW w:w="2127" w:type="dxa"/>
            <w:tcBorders>
              <w:top w:val="double" w:color="auto" w:sz="6" w:space="0"/>
              <w:bottom w:val="single" w:color="auto" w:sz="6" w:space="0"/>
            </w:tcBorders>
            <w:noWrap w:val="0"/>
            <w:vAlign w:val="center"/>
          </w:tcPr>
          <w:p w14:paraId="10AF8ADE">
            <w:pPr>
              <w:jc w:val="center"/>
              <w:rPr>
                <w:rFonts w:ascii="宋体" w:hAnsi="宋体" w:eastAsia="宋体" w:cs="宋体"/>
                <w:b/>
                <w:sz w:val="24"/>
                <w:szCs w:val="24"/>
                <w:highlight w:val="none"/>
              </w:rPr>
            </w:pPr>
          </w:p>
        </w:tc>
        <w:tc>
          <w:tcPr>
            <w:tcW w:w="1198" w:type="dxa"/>
            <w:tcBorders>
              <w:top w:val="double" w:color="auto" w:sz="6" w:space="0"/>
              <w:bottom w:val="single" w:color="auto" w:sz="6" w:space="0"/>
            </w:tcBorders>
            <w:noWrap w:val="0"/>
            <w:vAlign w:val="center"/>
          </w:tcPr>
          <w:p w14:paraId="27F3F9F6">
            <w:pPr>
              <w:jc w:val="center"/>
              <w:rPr>
                <w:rFonts w:ascii="宋体" w:hAnsi="宋体" w:eastAsia="宋体" w:cs="宋体"/>
                <w:b/>
                <w:sz w:val="24"/>
                <w:szCs w:val="24"/>
                <w:highlight w:val="none"/>
              </w:rPr>
            </w:pPr>
          </w:p>
        </w:tc>
        <w:tc>
          <w:tcPr>
            <w:tcW w:w="1417" w:type="dxa"/>
            <w:tcBorders>
              <w:top w:val="double" w:color="auto" w:sz="6" w:space="0"/>
              <w:bottom w:val="single" w:color="auto" w:sz="6" w:space="0"/>
            </w:tcBorders>
            <w:noWrap w:val="0"/>
            <w:vAlign w:val="center"/>
          </w:tcPr>
          <w:p w14:paraId="7B8F7DC3">
            <w:pPr>
              <w:jc w:val="center"/>
              <w:rPr>
                <w:rFonts w:ascii="宋体" w:hAnsi="宋体" w:eastAsia="宋体" w:cs="宋体"/>
                <w:b/>
                <w:sz w:val="24"/>
                <w:szCs w:val="24"/>
                <w:highlight w:val="none"/>
              </w:rPr>
            </w:pPr>
          </w:p>
        </w:tc>
        <w:tc>
          <w:tcPr>
            <w:tcW w:w="1217" w:type="dxa"/>
            <w:tcBorders>
              <w:top w:val="double" w:color="auto" w:sz="6" w:space="0"/>
              <w:bottom w:val="single" w:color="auto" w:sz="6" w:space="0"/>
            </w:tcBorders>
            <w:noWrap w:val="0"/>
            <w:vAlign w:val="center"/>
          </w:tcPr>
          <w:p w14:paraId="5A1F3994">
            <w:pPr>
              <w:pStyle w:val="10"/>
              <w:keepNext/>
              <w:spacing w:after="0" w:line="440" w:lineRule="exact"/>
              <w:ind w:left="63" w:right="63"/>
              <w:rPr>
                <w:rFonts w:ascii="宋体" w:hAnsi="宋体"/>
                <w:color w:val="000000"/>
                <w:sz w:val="24"/>
                <w:szCs w:val="24"/>
                <w:highlight w:val="none"/>
              </w:rPr>
            </w:pPr>
          </w:p>
        </w:tc>
        <w:tc>
          <w:tcPr>
            <w:tcW w:w="1222" w:type="dxa"/>
            <w:tcBorders>
              <w:top w:val="double" w:color="auto" w:sz="6" w:space="0"/>
              <w:bottom w:val="single" w:color="auto" w:sz="6" w:space="0"/>
            </w:tcBorders>
            <w:noWrap w:val="0"/>
            <w:vAlign w:val="center"/>
          </w:tcPr>
          <w:p w14:paraId="01262FD0">
            <w:pPr>
              <w:pStyle w:val="10"/>
              <w:keepNext/>
              <w:spacing w:after="0" w:line="440" w:lineRule="exact"/>
              <w:ind w:left="63" w:right="63"/>
              <w:rPr>
                <w:rFonts w:ascii="宋体" w:hAnsi="宋体"/>
                <w:color w:val="000000"/>
                <w:sz w:val="24"/>
                <w:szCs w:val="24"/>
                <w:highlight w:val="none"/>
              </w:rPr>
            </w:pPr>
          </w:p>
        </w:tc>
        <w:tc>
          <w:tcPr>
            <w:tcW w:w="1417" w:type="dxa"/>
            <w:tcBorders>
              <w:top w:val="double" w:color="auto" w:sz="6" w:space="0"/>
              <w:bottom w:val="single" w:color="auto" w:sz="6" w:space="0"/>
            </w:tcBorders>
            <w:noWrap w:val="0"/>
            <w:vAlign w:val="center"/>
          </w:tcPr>
          <w:p w14:paraId="752C2752">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single" w:color="auto" w:sz="6" w:space="0"/>
            </w:tcBorders>
            <w:noWrap w:val="0"/>
            <w:vAlign w:val="center"/>
          </w:tcPr>
          <w:p w14:paraId="183A872B">
            <w:pPr>
              <w:pStyle w:val="10"/>
              <w:keepNext/>
              <w:spacing w:after="0" w:line="440" w:lineRule="exact"/>
              <w:ind w:left="63" w:right="63"/>
              <w:rPr>
                <w:rFonts w:ascii="宋体" w:hAnsi="宋体"/>
                <w:color w:val="000000"/>
                <w:sz w:val="24"/>
                <w:szCs w:val="24"/>
                <w:highlight w:val="none"/>
              </w:rPr>
            </w:pPr>
          </w:p>
        </w:tc>
        <w:tc>
          <w:tcPr>
            <w:tcW w:w="850" w:type="dxa"/>
            <w:tcBorders>
              <w:top w:val="double" w:color="auto" w:sz="6" w:space="0"/>
              <w:bottom w:val="single" w:color="auto" w:sz="6" w:space="0"/>
            </w:tcBorders>
            <w:noWrap w:val="0"/>
            <w:vAlign w:val="center"/>
          </w:tcPr>
          <w:p w14:paraId="35822983">
            <w:pPr>
              <w:pStyle w:val="10"/>
              <w:keepNext/>
              <w:spacing w:after="0" w:line="440" w:lineRule="exact"/>
              <w:ind w:left="63" w:right="63"/>
              <w:rPr>
                <w:rFonts w:ascii="宋体" w:hAnsi="宋体"/>
                <w:color w:val="000000"/>
                <w:sz w:val="24"/>
                <w:szCs w:val="24"/>
                <w:highlight w:val="none"/>
              </w:rPr>
            </w:pPr>
          </w:p>
        </w:tc>
      </w:tr>
    </w:tbl>
    <w:p w14:paraId="7FB1515F">
      <w:pPr>
        <w:spacing w:line="440" w:lineRule="exact"/>
        <w:rPr>
          <w:rFonts w:ascii="宋体" w:hAnsi="宋体" w:eastAsia="宋体"/>
          <w:b/>
          <w:color w:val="000000"/>
          <w:sz w:val="24"/>
          <w:szCs w:val="24"/>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64767738">
      <w:pPr>
        <w:spacing w:line="440" w:lineRule="exact"/>
        <w:rPr>
          <w:rFonts w:ascii="宋体" w:hAnsi="宋体" w:eastAsia="宋体"/>
          <w:color w:val="000000"/>
          <w:sz w:val="24"/>
          <w:szCs w:val="24"/>
          <w:highlight w:val="none"/>
        </w:rPr>
      </w:pPr>
      <w:r>
        <w:rPr>
          <w:rFonts w:ascii="宋体" w:hAnsi="宋体" w:eastAsia="宋体"/>
          <w:color w:val="000000"/>
          <w:sz w:val="24"/>
          <w:szCs w:val="24"/>
          <w:highlight w:val="none"/>
        </w:rPr>
        <w:t>附</w:t>
      </w:r>
      <w:bookmarkStart w:id="574" w:name="_Toc296891053"/>
      <w:bookmarkStart w:id="575" w:name="_Toc296944564"/>
      <w:bookmarkStart w:id="576" w:name="_Toc296891265"/>
      <w:bookmarkStart w:id="577" w:name="_Toc267261692"/>
      <w:bookmarkStart w:id="578" w:name="_Toc296347224"/>
      <w:bookmarkStart w:id="579" w:name="_Toc296346726"/>
      <w:bookmarkStart w:id="580" w:name="_Toc296503225"/>
      <w:r>
        <w:rPr>
          <w:rFonts w:ascii="宋体" w:hAnsi="宋体" w:eastAsia="宋体"/>
          <w:color w:val="000000"/>
          <w:sz w:val="24"/>
          <w:szCs w:val="24"/>
          <w:highlight w:val="none"/>
        </w:rPr>
        <w:t>件2：</w:t>
      </w:r>
    </w:p>
    <w:bookmarkEnd w:id="574"/>
    <w:bookmarkEnd w:id="575"/>
    <w:bookmarkEnd w:id="576"/>
    <w:bookmarkEnd w:id="577"/>
    <w:bookmarkEnd w:id="578"/>
    <w:bookmarkEnd w:id="579"/>
    <w:bookmarkEnd w:id="580"/>
    <w:p w14:paraId="41CC30B2">
      <w:pPr>
        <w:tabs>
          <w:tab w:val="center" w:pos="4153"/>
          <w:tab w:val="left" w:pos="6095"/>
        </w:tabs>
        <w:spacing w:before="156" w:beforeLines="50" w:after="156" w:afterLines="50" w:line="440" w:lineRule="exact"/>
        <w:jc w:val="left"/>
        <w:rPr>
          <w:rFonts w:ascii="宋体" w:hAnsi="宋体" w:eastAsia="宋体"/>
          <w:color w:val="000000"/>
          <w:sz w:val="24"/>
          <w:szCs w:val="24"/>
          <w:highlight w:val="none"/>
        </w:rPr>
      </w:pPr>
      <w:r>
        <w:rPr>
          <w:rFonts w:ascii="宋体" w:hAnsi="宋体" w:eastAsia="宋体"/>
          <w:color w:val="000000"/>
          <w:sz w:val="24"/>
          <w:szCs w:val="24"/>
          <w:highlight w:val="none"/>
        </w:rPr>
        <w:tab/>
      </w:r>
      <w:r>
        <w:rPr>
          <w:rFonts w:ascii="宋体" w:hAnsi="宋体" w:eastAsia="宋体"/>
          <w:color w:val="000000"/>
          <w:sz w:val="24"/>
          <w:szCs w:val="24"/>
          <w:highlight w:val="none"/>
        </w:rPr>
        <w:t>发包人供应材料设备一览表</w:t>
      </w:r>
      <w:r>
        <w:rPr>
          <w:rFonts w:ascii="宋体" w:hAnsi="宋体" w:eastAsia="宋体"/>
          <w:color w:val="000000"/>
          <w:sz w:val="24"/>
          <w:szCs w:val="24"/>
          <w:highlight w:val="none"/>
        </w:rPr>
        <w:tab/>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294E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2DB2048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序号</w:t>
            </w:r>
          </w:p>
        </w:tc>
        <w:tc>
          <w:tcPr>
            <w:tcW w:w="1276" w:type="dxa"/>
            <w:tcBorders>
              <w:top w:val="single" w:color="auto" w:sz="12" w:space="0"/>
              <w:bottom w:val="double" w:color="auto" w:sz="6" w:space="0"/>
            </w:tcBorders>
            <w:noWrap w:val="0"/>
            <w:vAlign w:val="center"/>
          </w:tcPr>
          <w:p w14:paraId="576BE64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材料、</w:t>
            </w:r>
          </w:p>
          <w:p w14:paraId="7BC2C506">
            <w:pPr>
              <w:pStyle w:val="10"/>
              <w:keepNext/>
              <w:spacing w:after="0" w:line="440" w:lineRule="exact"/>
              <w:ind w:right="63"/>
              <w:rPr>
                <w:rFonts w:ascii="宋体" w:hAnsi="宋体"/>
                <w:color w:val="000000"/>
                <w:sz w:val="24"/>
                <w:szCs w:val="24"/>
                <w:highlight w:val="none"/>
              </w:rPr>
            </w:pPr>
            <w:r>
              <w:rPr>
                <w:rFonts w:ascii="宋体" w:hAnsi="宋体"/>
                <w:color w:val="000000"/>
                <w:sz w:val="24"/>
                <w:szCs w:val="24"/>
                <w:highlight w:val="none"/>
              </w:rPr>
              <w:t>设备品种</w:t>
            </w:r>
          </w:p>
        </w:tc>
        <w:tc>
          <w:tcPr>
            <w:tcW w:w="1418" w:type="dxa"/>
            <w:tcBorders>
              <w:top w:val="single" w:color="auto" w:sz="12" w:space="0"/>
              <w:bottom w:val="double" w:color="auto" w:sz="6" w:space="0"/>
            </w:tcBorders>
            <w:noWrap w:val="0"/>
            <w:vAlign w:val="center"/>
          </w:tcPr>
          <w:p w14:paraId="5F83A7A1">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规格型号</w:t>
            </w:r>
          </w:p>
        </w:tc>
        <w:tc>
          <w:tcPr>
            <w:tcW w:w="940" w:type="dxa"/>
            <w:tcBorders>
              <w:top w:val="single" w:color="auto" w:sz="12" w:space="0"/>
              <w:bottom w:val="double" w:color="auto" w:sz="6" w:space="0"/>
            </w:tcBorders>
            <w:noWrap w:val="0"/>
            <w:vAlign w:val="center"/>
          </w:tcPr>
          <w:p w14:paraId="643239BB">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单位</w:t>
            </w:r>
          </w:p>
        </w:tc>
        <w:tc>
          <w:tcPr>
            <w:tcW w:w="851" w:type="dxa"/>
            <w:tcBorders>
              <w:top w:val="single" w:color="auto" w:sz="12" w:space="0"/>
              <w:bottom w:val="double" w:color="auto" w:sz="6" w:space="0"/>
            </w:tcBorders>
            <w:noWrap w:val="0"/>
            <w:vAlign w:val="center"/>
          </w:tcPr>
          <w:p w14:paraId="19086B19">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数量</w:t>
            </w:r>
          </w:p>
        </w:tc>
        <w:tc>
          <w:tcPr>
            <w:tcW w:w="1044" w:type="dxa"/>
            <w:tcBorders>
              <w:top w:val="single" w:color="auto" w:sz="12" w:space="0"/>
              <w:bottom w:val="double" w:color="auto" w:sz="6" w:space="0"/>
            </w:tcBorders>
            <w:noWrap w:val="0"/>
            <w:vAlign w:val="center"/>
          </w:tcPr>
          <w:p w14:paraId="655F2241">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单价</w:t>
            </w:r>
            <w:r>
              <w:rPr>
                <w:rFonts w:hint="eastAsia" w:ascii="宋体" w:hAnsi="宋体"/>
                <w:color w:val="000000"/>
                <w:sz w:val="24"/>
                <w:szCs w:val="24"/>
                <w:highlight w:val="none"/>
              </w:rPr>
              <w:t>（元）</w:t>
            </w:r>
          </w:p>
        </w:tc>
        <w:tc>
          <w:tcPr>
            <w:tcW w:w="992" w:type="dxa"/>
            <w:tcBorders>
              <w:top w:val="single" w:color="auto" w:sz="12" w:space="0"/>
              <w:bottom w:val="double" w:color="auto" w:sz="6" w:space="0"/>
            </w:tcBorders>
            <w:noWrap w:val="0"/>
            <w:vAlign w:val="center"/>
          </w:tcPr>
          <w:p w14:paraId="53BB2DF6">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质量等级</w:t>
            </w:r>
          </w:p>
        </w:tc>
        <w:tc>
          <w:tcPr>
            <w:tcW w:w="851" w:type="dxa"/>
            <w:tcBorders>
              <w:top w:val="single" w:color="auto" w:sz="12" w:space="0"/>
              <w:bottom w:val="double" w:color="auto" w:sz="6" w:space="0"/>
            </w:tcBorders>
            <w:noWrap w:val="0"/>
            <w:vAlign w:val="center"/>
          </w:tcPr>
          <w:p w14:paraId="50480619">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供应时间</w:t>
            </w:r>
          </w:p>
        </w:tc>
        <w:tc>
          <w:tcPr>
            <w:tcW w:w="1487" w:type="dxa"/>
            <w:tcBorders>
              <w:top w:val="single" w:color="auto" w:sz="12" w:space="0"/>
              <w:bottom w:val="double" w:color="auto" w:sz="6" w:space="0"/>
            </w:tcBorders>
            <w:noWrap w:val="0"/>
            <w:vAlign w:val="center"/>
          </w:tcPr>
          <w:p w14:paraId="60D56BE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送达地点</w:t>
            </w:r>
          </w:p>
        </w:tc>
        <w:tc>
          <w:tcPr>
            <w:tcW w:w="992" w:type="dxa"/>
            <w:tcBorders>
              <w:top w:val="single" w:color="auto" w:sz="12" w:space="0"/>
              <w:bottom w:val="double" w:color="auto" w:sz="6" w:space="0"/>
            </w:tcBorders>
            <w:noWrap w:val="0"/>
            <w:vAlign w:val="center"/>
          </w:tcPr>
          <w:p w14:paraId="18BB198E">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备注</w:t>
            </w:r>
          </w:p>
        </w:tc>
      </w:tr>
      <w:tr w14:paraId="3644A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4F540EEA">
            <w:pPr>
              <w:pStyle w:val="10"/>
              <w:keepNext/>
              <w:spacing w:after="0" w:line="440" w:lineRule="exact"/>
              <w:ind w:left="63" w:right="63"/>
              <w:rPr>
                <w:rFonts w:ascii="宋体" w:hAnsi="宋体"/>
                <w:color w:val="000000"/>
                <w:sz w:val="24"/>
                <w:szCs w:val="24"/>
                <w:highlight w:val="none"/>
              </w:rPr>
            </w:pPr>
          </w:p>
        </w:tc>
        <w:tc>
          <w:tcPr>
            <w:tcW w:w="1276" w:type="dxa"/>
            <w:tcBorders>
              <w:top w:val="double" w:color="auto" w:sz="6" w:space="0"/>
              <w:bottom w:val="single" w:color="auto" w:sz="6" w:space="0"/>
            </w:tcBorders>
            <w:noWrap w:val="0"/>
            <w:vAlign w:val="center"/>
          </w:tcPr>
          <w:p w14:paraId="00378799">
            <w:pPr>
              <w:pStyle w:val="10"/>
              <w:keepNext/>
              <w:spacing w:after="0" w:line="440" w:lineRule="exact"/>
              <w:ind w:left="63" w:right="63"/>
              <w:rPr>
                <w:rFonts w:ascii="宋体" w:hAnsi="宋体"/>
                <w:color w:val="000000"/>
                <w:sz w:val="24"/>
                <w:szCs w:val="24"/>
                <w:highlight w:val="none"/>
              </w:rPr>
            </w:pPr>
          </w:p>
        </w:tc>
        <w:tc>
          <w:tcPr>
            <w:tcW w:w="1418" w:type="dxa"/>
            <w:tcBorders>
              <w:top w:val="double" w:color="auto" w:sz="6" w:space="0"/>
              <w:bottom w:val="single" w:color="auto" w:sz="6" w:space="0"/>
            </w:tcBorders>
            <w:noWrap w:val="0"/>
            <w:vAlign w:val="center"/>
          </w:tcPr>
          <w:p w14:paraId="4E1A31D3">
            <w:pPr>
              <w:pStyle w:val="10"/>
              <w:keepNext/>
              <w:spacing w:after="0" w:line="440" w:lineRule="exact"/>
              <w:ind w:left="63" w:right="63"/>
              <w:rPr>
                <w:rFonts w:ascii="宋体" w:hAnsi="宋体"/>
                <w:color w:val="000000"/>
                <w:sz w:val="24"/>
                <w:szCs w:val="24"/>
                <w:highlight w:val="none"/>
              </w:rPr>
            </w:pPr>
          </w:p>
        </w:tc>
        <w:tc>
          <w:tcPr>
            <w:tcW w:w="940" w:type="dxa"/>
            <w:tcBorders>
              <w:top w:val="double" w:color="auto" w:sz="6" w:space="0"/>
              <w:bottom w:val="single" w:color="auto" w:sz="6" w:space="0"/>
            </w:tcBorders>
            <w:noWrap w:val="0"/>
            <w:vAlign w:val="center"/>
          </w:tcPr>
          <w:p w14:paraId="710EF2DD">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single" w:color="auto" w:sz="6" w:space="0"/>
            </w:tcBorders>
            <w:noWrap w:val="0"/>
            <w:vAlign w:val="center"/>
          </w:tcPr>
          <w:p w14:paraId="5DE4004B">
            <w:pPr>
              <w:pStyle w:val="10"/>
              <w:keepNext/>
              <w:spacing w:after="0" w:line="440" w:lineRule="exact"/>
              <w:ind w:left="63" w:right="63"/>
              <w:rPr>
                <w:rFonts w:ascii="宋体" w:hAnsi="宋体"/>
                <w:color w:val="000000"/>
                <w:sz w:val="24"/>
                <w:szCs w:val="24"/>
                <w:highlight w:val="none"/>
              </w:rPr>
            </w:pPr>
          </w:p>
        </w:tc>
        <w:tc>
          <w:tcPr>
            <w:tcW w:w="1044" w:type="dxa"/>
            <w:tcBorders>
              <w:top w:val="double" w:color="auto" w:sz="6" w:space="0"/>
              <w:bottom w:val="single" w:color="auto" w:sz="6" w:space="0"/>
            </w:tcBorders>
            <w:noWrap w:val="0"/>
            <w:vAlign w:val="center"/>
          </w:tcPr>
          <w:p w14:paraId="1D0AF999">
            <w:pPr>
              <w:pStyle w:val="10"/>
              <w:keepNext/>
              <w:spacing w:after="0" w:line="440" w:lineRule="exact"/>
              <w:ind w:left="63" w:right="63"/>
              <w:rPr>
                <w:rFonts w:ascii="宋体" w:hAnsi="宋体"/>
                <w:color w:val="000000"/>
                <w:sz w:val="24"/>
                <w:szCs w:val="24"/>
                <w:highlight w:val="none"/>
              </w:rPr>
            </w:pPr>
          </w:p>
        </w:tc>
        <w:tc>
          <w:tcPr>
            <w:tcW w:w="992" w:type="dxa"/>
            <w:tcBorders>
              <w:top w:val="double" w:color="auto" w:sz="6" w:space="0"/>
              <w:bottom w:val="single" w:color="auto" w:sz="6" w:space="0"/>
            </w:tcBorders>
            <w:noWrap w:val="0"/>
            <w:vAlign w:val="center"/>
          </w:tcPr>
          <w:p w14:paraId="37A0F87F">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single" w:color="auto" w:sz="6" w:space="0"/>
            </w:tcBorders>
            <w:noWrap w:val="0"/>
            <w:vAlign w:val="center"/>
          </w:tcPr>
          <w:p w14:paraId="13A07AC2">
            <w:pPr>
              <w:pStyle w:val="10"/>
              <w:keepNext/>
              <w:spacing w:after="0" w:line="440" w:lineRule="exact"/>
              <w:ind w:left="63" w:right="63"/>
              <w:rPr>
                <w:rFonts w:ascii="宋体" w:hAnsi="宋体"/>
                <w:color w:val="000000"/>
                <w:sz w:val="24"/>
                <w:szCs w:val="24"/>
                <w:highlight w:val="none"/>
              </w:rPr>
            </w:pPr>
          </w:p>
        </w:tc>
        <w:tc>
          <w:tcPr>
            <w:tcW w:w="1487" w:type="dxa"/>
            <w:tcBorders>
              <w:top w:val="double" w:color="auto" w:sz="6" w:space="0"/>
              <w:bottom w:val="single" w:color="auto" w:sz="6" w:space="0"/>
            </w:tcBorders>
            <w:noWrap w:val="0"/>
            <w:vAlign w:val="center"/>
          </w:tcPr>
          <w:p w14:paraId="4E7C8D59">
            <w:pPr>
              <w:pStyle w:val="10"/>
              <w:keepNext/>
              <w:spacing w:after="0" w:line="440" w:lineRule="exact"/>
              <w:ind w:left="63" w:right="63"/>
              <w:rPr>
                <w:rFonts w:ascii="宋体" w:hAnsi="宋体"/>
                <w:color w:val="000000"/>
                <w:sz w:val="24"/>
                <w:szCs w:val="24"/>
                <w:highlight w:val="none"/>
              </w:rPr>
            </w:pPr>
          </w:p>
        </w:tc>
        <w:tc>
          <w:tcPr>
            <w:tcW w:w="992" w:type="dxa"/>
            <w:tcBorders>
              <w:top w:val="double" w:color="auto" w:sz="6" w:space="0"/>
              <w:bottom w:val="single" w:color="auto" w:sz="6" w:space="0"/>
            </w:tcBorders>
            <w:noWrap w:val="0"/>
            <w:vAlign w:val="center"/>
          </w:tcPr>
          <w:p w14:paraId="120953F5">
            <w:pPr>
              <w:pStyle w:val="10"/>
              <w:keepNext/>
              <w:spacing w:after="0" w:line="440" w:lineRule="exact"/>
              <w:ind w:left="63" w:right="63"/>
              <w:rPr>
                <w:rFonts w:ascii="宋体" w:hAnsi="宋体"/>
                <w:color w:val="000000"/>
                <w:sz w:val="24"/>
                <w:szCs w:val="24"/>
                <w:highlight w:val="none"/>
              </w:rPr>
            </w:pPr>
          </w:p>
        </w:tc>
      </w:tr>
      <w:tr w14:paraId="5183C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0240A3D8">
            <w:pPr>
              <w:pStyle w:val="10"/>
              <w:keepNext/>
              <w:spacing w:after="0" w:line="440" w:lineRule="exact"/>
              <w:ind w:left="63" w:right="63"/>
              <w:rPr>
                <w:rFonts w:ascii="宋体" w:hAnsi="宋体"/>
                <w:color w:val="000000"/>
                <w:sz w:val="24"/>
                <w:szCs w:val="24"/>
                <w:highlight w:val="none"/>
              </w:rPr>
            </w:pPr>
          </w:p>
        </w:tc>
        <w:tc>
          <w:tcPr>
            <w:tcW w:w="1276" w:type="dxa"/>
            <w:tcBorders>
              <w:top w:val="nil"/>
            </w:tcBorders>
            <w:noWrap w:val="0"/>
            <w:vAlign w:val="center"/>
          </w:tcPr>
          <w:p w14:paraId="6369DF5E">
            <w:pPr>
              <w:pStyle w:val="10"/>
              <w:keepNext/>
              <w:spacing w:after="0" w:line="440" w:lineRule="exact"/>
              <w:ind w:left="63" w:right="63"/>
              <w:rPr>
                <w:rFonts w:ascii="宋体" w:hAnsi="宋体"/>
                <w:color w:val="000000"/>
                <w:sz w:val="24"/>
                <w:szCs w:val="24"/>
                <w:highlight w:val="none"/>
              </w:rPr>
            </w:pPr>
          </w:p>
        </w:tc>
        <w:tc>
          <w:tcPr>
            <w:tcW w:w="1418" w:type="dxa"/>
            <w:tcBorders>
              <w:top w:val="nil"/>
            </w:tcBorders>
            <w:noWrap w:val="0"/>
            <w:vAlign w:val="center"/>
          </w:tcPr>
          <w:p w14:paraId="026BB46C">
            <w:pPr>
              <w:pStyle w:val="10"/>
              <w:keepNext/>
              <w:spacing w:after="0" w:line="440" w:lineRule="exact"/>
              <w:ind w:left="63" w:right="63"/>
              <w:rPr>
                <w:rFonts w:ascii="宋体" w:hAnsi="宋体"/>
                <w:color w:val="000000"/>
                <w:sz w:val="24"/>
                <w:szCs w:val="24"/>
                <w:highlight w:val="none"/>
              </w:rPr>
            </w:pPr>
          </w:p>
        </w:tc>
        <w:tc>
          <w:tcPr>
            <w:tcW w:w="940" w:type="dxa"/>
            <w:tcBorders>
              <w:top w:val="nil"/>
            </w:tcBorders>
            <w:noWrap w:val="0"/>
            <w:vAlign w:val="center"/>
          </w:tcPr>
          <w:p w14:paraId="47FDA505">
            <w:pPr>
              <w:pStyle w:val="10"/>
              <w:keepNext/>
              <w:spacing w:after="0" w:line="440" w:lineRule="exact"/>
              <w:ind w:left="63" w:right="63"/>
              <w:rPr>
                <w:rFonts w:ascii="宋体" w:hAnsi="宋体"/>
                <w:color w:val="000000"/>
                <w:sz w:val="24"/>
                <w:szCs w:val="24"/>
                <w:highlight w:val="none"/>
              </w:rPr>
            </w:pPr>
          </w:p>
        </w:tc>
        <w:tc>
          <w:tcPr>
            <w:tcW w:w="851" w:type="dxa"/>
            <w:tcBorders>
              <w:top w:val="nil"/>
            </w:tcBorders>
            <w:noWrap w:val="0"/>
            <w:vAlign w:val="center"/>
          </w:tcPr>
          <w:p w14:paraId="0EFD5E60">
            <w:pPr>
              <w:pStyle w:val="10"/>
              <w:keepNext/>
              <w:spacing w:after="0" w:line="440" w:lineRule="exact"/>
              <w:ind w:left="63" w:right="63"/>
              <w:rPr>
                <w:rFonts w:ascii="宋体" w:hAnsi="宋体"/>
                <w:color w:val="000000"/>
                <w:sz w:val="24"/>
                <w:szCs w:val="24"/>
                <w:highlight w:val="none"/>
              </w:rPr>
            </w:pPr>
          </w:p>
        </w:tc>
        <w:tc>
          <w:tcPr>
            <w:tcW w:w="1044" w:type="dxa"/>
            <w:tcBorders>
              <w:top w:val="nil"/>
            </w:tcBorders>
            <w:noWrap w:val="0"/>
            <w:vAlign w:val="center"/>
          </w:tcPr>
          <w:p w14:paraId="4034C34F">
            <w:pPr>
              <w:pStyle w:val="10"/>
              <w:keepNext/>
              <w:spacing w:after="0" w:line="440" w:lineRule="exact"/>
              <w:ind w:left="63" w:right="63"/>
              <w:rPr>
                <w:rFonts w:ascii="宋体" w:hAnsi="宋体"/>
                <w:color w:val="000000"/>
                <w:sz w:val="24"/>
                <w:szCs w:val="24"/>
                <w:highlight w:val="none"/>
              </w:rPr>
            </w:pPr>
          </w:p>
        </w:tc>
        <w:tc>
          <w:tcPr>
            <w:tcW w:w="992" w:type="dxa"/>
            <w:tcBorders>
              <w:top w:val="nil"/>
            </w:tcBorders>
            <w:noWrap w:val="0"/>
            <w:vAlign w:val="center"/>
          </w:tcPr>
          <w:p w14:paraId="165EAE20">
            <w:pPr>
              <w:pStyle w:val="10"/>
              <w:keepNext/>
              <w:spacing w:after="0" w:line="440" w:lineRule="exact"/>
              <w:ind w:left="63" w:right="63"/>
              <w:rPr>
                <w:rFonts w:ascii="宋体" w:hAnsi="宋体"/>
                <w:color w:val="000000"/>
                <w:sz w:val="24"/>
                <w:szCs w:val="24"/>
                <w:highlight w:val="none"/>
              </w:rPr>
            </w:pPr>
          </w:p>
        </w:tc>
        <w:tc>
          <w:tcPr>
            <w:tcW w:w="851" w:type="dxa"/>
            <w:tcBorders>
              <w:top w:val="nil"/>
            </w:tcBorders>
            <w:noWrap w:val="0"/>
            <w:vAlign w:val="center"/>
          </w:tcPr>
          <w:p w14:paraId="333D7233">
            <w:pPr>
              <w:pStyle w:val="10"/>
              <w:keepNext/>
              <w:spacing w:after="0" w:line="440" w:lineRule="exact"/>
              <w:ind w:left="63" w:right="63"/>
              <w:rPr>
                <w:rFonts w:ascii="宋体" w:hAnsi="宋体"/>
                <w:color w:val="000000"/>
                <w:sz w:val="24"/>
                <w:szCs w:val="24"/>
                <w:highlight w:val="none"/>
              </w:rPr>
            </w:pPr>
          </w:p>
        </w:tc>
        <w:tc>
          <w:tcPr>
            <w:tcW w:w="1487" w:type="dxa"/>
            <w:tcBorders>
              <w:top w:val="nil"/>
            </w:tcBorders>
            <w:noWrap w:val="0"/>
            <w:vAlign w:val="center"/>
          </w:tcPr>
          <w:p w14:paraId="7A148DA6">
            <w:pPr>
              <w:pStyle w:val="10"/>
              <w:keepNext/>
              <w:spacing w:after="0" w:line="440" w:lineRule="exact"/>
              <w:ind w:left="63" w:right="63"/>
              <w:rPr>
                <w:rFonts w:ascii="宋体" w:hAnsi="宋体"/>
                <w:color w:val="000000"/>
                <w:sz w:val="24"/>
                <w:szCs w:val="24"/>
                <w:highlight w:val="none"/>
              </w:rPr>
            </w:pPr>
          </w:p>
        </w:tc>
        <w:tc>
          <w:tcPr>
            <w:tcW w:w="992" w:type="dxa"/>
            <w:tcBorders>
              <w:top w:val="nil"/>
            </w:tcBorders>
            <w:noWrap w:val="0"/>
            <w:vAlign w:val="center"/>
          </w:tcPr>
          <w:p w14:paraId="1F62BD74">
            <w:pPr>
              <w:pStyle w:val="10"/>
              <w:keepNext/>
              <w:spacing w:after="0" w:line="440" w:lineRule="exact"/>
              <w:ind w:left="63" w:right="63"/>
              <w:rPr>
                <w:rFonts w:ascii="宋体" w:hAnsi="宋体"/>
                <w:color w:val="000000"/>
                <w:sz w:val="24"/>
                <w:szCs w:val="24"/>
                <w:highlight w:val="none"/>
              </w:rPr>
            </w:pPr>
          </w:p>
        </w:tc>
      </w:tr>
      <w:tr w14:paraId="3A03D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7B8E891">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35C6143C">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3EB84CAF">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65296108">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5F0AAC8C">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25C7EE4C">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76EF646D">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057BA147">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033349C1">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5BFB32CC">
            <w:pPr>
              <w:pStyle w:val="10"/>
              <w:keepNext/>
              <w:spacing w:after="0" w:line="440" w:lineRule="exact"/>
              <w:ind w:left="63" w:right="63"/>
              <w:rPr>
                <w:rFonts w:ascii="宋体" w:hAnsi="宋体"/>
                <w:color w:val="000000"/>
                <w:sz w:val="24"/>
                <w:szCs w:val="24"/>
                <w:highlight w:val="none"/>
              </w:rPr>
            </w:pPr>
          </w:p>
        </w:tc>
      </w:tr>
      <w:tr w14:paraId="3C675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2EF8CB">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6BBDDE46">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112A177B">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6FF5ADC9">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7BB38909">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7C420C7E">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73AE0187">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66124165">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71BC59A1">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0567B974">
            <w:pPr>
              <w:pStyle w:val="10"/>
              <w:keepNext/>
              <w:spacing w:after="0" w:line="440" w:lineRule="exact"/>
              <w:ind w:left="63" w:right="63"/>
              <w:rPr>
                <w:rFonts w:ascii="宋体" w:hAnsi="宋体"/>
                <w:color w:val="000000"/>
                <w:sz w:val="24"/>
                <w:szCs w:val="24"/>
                <w:highlight w:val="none"/>
              </w:rPr>
            </w:pPr>
          </w:p>
        </w:tc>
      </w:tr>
      <w:tr w14:paraId="400B9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93436B8">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62FF7D08">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586F01A4">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2D3EDD8A">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3F7878D7">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1C56DE8E">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07B9CDD2">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12D7C2E3">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500805ED">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5AFF4FC2">
            <w:pPr>
              <w:pStyle w:val="10"/>
              <w:keepNext/>
              <w:spacing w:after="0" w:line="440" w:lineRule="exact"/>
              <w:ind w:left="63" w:right="63"/>
              <w:rPr>
                <w:rFonts w:ascii="宋体" w:hAnsi="宋体"/>
                <w:color w:val="000000"/>
                <w:sz w:val="24"/>
                <w:szCs w:val="24"/>
                <w:highlight w:val="none"/>
              </w:rPr>
            </w:pPr>
          </w:p>
        </w:tc>
      </w:tr>
      <w:tr w14:paraId="24EAB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45D8E1">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593357C4">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5D6C1583">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6EA0B528">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4ACD85FE">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75F41B94">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4F85AC26">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3D5931F1">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5155614E">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0B04E018">
            <w:pPr>
              <w:pStyle w:val="10"/>
              <w:keepNext/>
              <w:spacing w:after="0" w:line="440" w:lineRule="exact"/>
              <w:ind w:left="63" w:right="63"/>
              <w:rPr>
                <w:rFonts w:ascii="宋体" w:hAnsi="宋体"/>
                <w:color w:val="000000"/>
                <w:sz w:val="24"/>
                <w:szCs w:val="24"/>
                <w:highlight w:val="none"/>
              </w:rPr>
            </w:pPr>
          </w:p>
        </w:tc>
      </w:tr>
      <w:tr w14:paraId="22296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AB3A140">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0A08E92C">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68E2F1F1">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7B49CCF6">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72158E75">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69204CF5">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3C07BF6D">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46B74AA2">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7FEE5F53">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0CDFF799">
            <w:pPr>
              <w:pStyle w:val="10"/>
              <w:keepNext/>
              <w:spacing w:after="0" w:line="440" w:lineRule="exact"/>
              <w:ind w:left="63" w:right="63"/>
              <w:rPr>
                <w:rFonts w:ascii="宋体" w:hAnsi="宋体"/>
                <w:color w:val="000000"/>
                <w:sz w:val="24"/>
                <w:szCs w:val="24"/>
                <w:highlight w:val="none"/>
              </w:rPr>
            </w:pPr>
          </w:p>
        </w:tc>
      </w:tr>
      <w:tr w14:paraId="5FF8F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6E4022">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100CF966">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1FD9ABFC">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0CD730A6">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4DC7D350">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09FABAFC">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5178757A">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2F104A96">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3AFD6970">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2CCE1967">
            <w:pPr>
              <w:pStyle w:val="10"/>
              <w:keepNext/>
              <w:spacing w:after="0" w:line="440" w:lineRule="exact"/>
              <w:ind w:left="63" w:right="63"/>
              <w:rPr>
                <w:rFonts w:ascii="宋体" w:hAnsi="宋体"/>
                <w:color w:val="000000"/>
                <w:sz w:val="24"/>
                <w:szCs w:val="24"/>
                <w:highlight w:val="none"/>
              </w:rPr>
            </w:pPr>
          </w:p>
        </w:tc>
      </w:tr>
      <w:tr w14:paraId="1B4BA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44EFF9E">
            <w:pPr>
              <w:jc w:val="center"/>
              <w:rPr>
                <w:rFonts w:ascii="宋体" w:hAnsi="宋体" w:eastAsia="宋体"/>
                <w:color w:val="000000"/>
                <w:sz w:val="24"/>
                <w:szCs w:val="24"/>
                <w:highlight w:val="none"/>
              </w:rPr>
            </w:pPr>
          </w:p>
        </w:tc>
        <w:tc>
          <w:tcPr>
            <w:tcW w:w="1276" w:type="dxa"/>
            <w:noWrap w:val="0"/>
            <w:vAlign w:val="center"/>
          </w:tcPr>
          <w:p w14:paraId="1CDEBA7F">
            <w:pPr>
              <w:jc w:val="center"/>
              <w:rPr>
                <w:rFonts w:ascii="宋体" w:hAnsi="宋体" w:eastAsia="宋体"/>
                <w:color w:val="000000"/>
                <w:sz w:val="24"/>
                <w:szCs w:val="24"/>
                <w:highlight w:val="none"/>
              </w:rPr>
            </w:pPr>
          </w:p>
        </w:tc>
        <w:tc>
          <w:tcPr>
            <w:tcW w:w="1418" w:type="dxa"/>
            <w:noWrap w:val="0"/>
            <w:vAlign w:val="center"/>
          </w:tcPr>
          <w:p w14:paraId="43C03071">
            <w:pPr>
              <w:jc w:val="center"/>
              <w:rPr>
                <w:rFonts w:ascii="宋体" w:hAnsi="宋体" w:eastAsia="宋体"/>
                <w:color w:val="000000"/>
                <w:sz w:val="24"/>
                <w:szCs w:val="24"/>
                <w:highlight w:val="none"/>
              </w:rPr>
            </w:pPr>
          </w:p>
        </w:tc>
        <w:tc>
          <w:tcPr>
            <w:tcW w:w="940" w:type="dxa"/>
            <w:noWrap w:val="0"/>
            <w:vAlign w:val="center"/>
          </w:tcPr>
          <w:p w14:paraId="0B4F2CD8">
            <w:pPr>
              <w:jc w:val="center"/>
              <w:rPr>
                <w:rFonts w:ascii="宋体" w:hAnsi="宋体" w:eastAsia="宋体"/>
                <w:color w:val="000000"/>
                <w:sz w:val="24"/>
                <w:szCs w:val="24"/>
                <w:highlight w:val="none"/>
              </w:rPr>
            </w:pPr>
          </w:p>
        </w:tc>
        <w:tc>
          <w:tcPr>
            <w:tcW w:w="851" w:type="dxa"/>
            <w:noWrap w:val="0"/>
            <w:vAlign w:val="center"/>
          </w:tcPr>
          <w:p w14:paraId="3E5DDDF3">
            <w:pPr>
              <w:jc w:val="center"/>
              <w:rPr>
                <w:rFonts w:ascii="宋体" w:hAnsi="宋体" w:eastAsia="宋体"/>
                <w:color w:val="000000"/>
                <w:sz w:val="24"/>
                <w:szCs w:val="24"/>
                <w:highlight w:val="none"/>
              </w:rPr>
            </w:pPr>
          </w:p>
        </w:tc>
        <w:tc>
          <w:tcPr>
            <w:tcW w:w="1044" w:type="dxa"/>
            <w:noWrap w:val="0"/>
            <w:vAlign w:val="center"/>
          </w:tcPr>
          <w:p w14:paraId="127C2135">
            <w:pPr>
              <w:jc w:val="center"/>
              <w:rPr>
                <w:rFonts w:ascii="宋体" w:hAnsi="宋体" w:eastAsia="宋体"/>
                <w:color w:val="000000"/>
                <w:sz w:val="24"/>
                <w:szCs w:val="24"/>
                <w:highlight w:val="none"/>
              </w:rPr>
            </w:pPr>
          </w:p>
        </w:tc>
        <w:tc>
          <w:tcPr>
            <w:tcW w:w="992" w:type="dxa"/>
            <w:noWrap w:val="0"/>
            <w:vAlign w:val="center"/>
          </w:tcPr>
          <w:p w14:paraId="3D97B878">
            <w:pPr>
              <w:jc w:val="center"/>
              <w:rPr>
                <w:rFonts w:ascii="宋体" w:hAnsi="宋体" w:eastAsia="宋体"/>
                <w:color w:val="000000"/>
                <w:sz w:val="24"/>
                <w:szCs w:val="24"/>
                <w:highlight w:val="none"/>
              </w:rPr>
            </w:pPr>
          </w:p>
        </w:tc>
        <w:tc>
          <w:tcPr>
            <w:tcW w:w="851" w:type="dxa"/>
            <w:noWrap w:val="0"/>
            <w:vAlign w:val="center"/>
          </w:tcPr>
          <w:p w14:paraId="7AD353CA">
            <w:pPr>
              <w:jc w:val="center"/>
              <w:rPr>
                <w:rFonts w:ascii="宋体" w:hAnsi="宋体" w:eastAsia="宋体"/>
                <w:color w:val="000000"/>
                <w:sz w:val="24"/>
                <w:szCs w:val="24"/>
                <w:highlight w:val="none"/>
              </w:rPr>
            </w:pPr>
          </w:p>
        </w:tc>
        <w:tc>
          <w:tcPr>
            <w:tcW w:w="1487" w:type="dxa"/>
            <w:noWrap w:val="0"/>
            <w:vAlign w:val="center"/>
          </w:tcPr>
          <w:p w14:paraId="450796D6">
            <w:pPr>
              <w:jc w:val="center"/>
              <w:rPr>
                <w:rFonts w:ascii="宋体" w:hAnsi="宋体" w:eastAsia="宋体"/>
                <w:color w:val="000000"/>
                <w:sz w:val="24"/>
                <w:szCs w:val="24"/>
                <w:highlight w:val="none"/>
              </w:rPr>
            </w:pPr>
          </w:p>
        </w:tc>
        <w:tc>
          <w:tcPr>
            <w:tcW w:w="992" w:type="dxa"/>
            <w:noWrap w:val="0"/>
            <w:vAlign w:val="center"/>
          </w:tcPr>
          <w:p w14:paraId="6A82890D">
            <w:pPr>
              <w:jc w:val="center"/>
              <w:rPr>
                <w:rFonts w:ascii="宋体" w:hAnsi="宋体" w:eastAsia="宋体"/>
                <w:color w:val="000000"/>
                <w:sz w:val="24"/>
                <w:szCs w:val="24"/>
                <w:highlight w:val="none"/>
              </w:rPr>
            </w:pPr>
          </w:p>
        </w:tc>
      </w:tr>
      <w:tr w14:paraId="75ABD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461390">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52D4FF18">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22D6EB43">
            <w:pPr>
              <w:pStyle w:val="10"/>
              <w:keepNext/>
              <w:spacing w:after="0" w:line="440" w:lineRule="exact"/>
              <w:ind w:left="63" w:right="63"/>
              <w:rPr>
                <w:rFonts w:ascii="宋体" w:hAnsi="宋体"/>
                <w:color w:val="000000"/>
                <w:sz w:val="24"/>
                <w:szCs w:val="24"/>
                <w:highlight w:val="none"/>
              </w:rPr>
            </w:pPr>
          </w:p>
        </w:tc>
        <w:tc>
          <w:tcPr>
            <w:tcW w:w="940" w:type="dxa"/>
            <w:noWrap w:val="0"/>
            <w:vAlign w:val="center"/>
          </w:tcPr>
          <w:p w14:paraId="7D25FC81">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12A76C2F">
            <w:pPr>
              <w:pStyle w:val="10"/>
              <w:keepNext/>
              <w:spacing w:after="0" w:line="440" w:lineRule="exact"/>
              <w:ind w:left="63" w:right="63"/>
              <w:rPr>
                <w:rFonts w:ascii="宋体" w:hAnsi="宋体"/>
                <w:color w:val="000000"/>
                <w:sz w:val="24"/>
                <w:szCs w:val="24"/>
                <w:highlight w:val="none"/>
              </w:rPr>
            </w:pPr>
          </w:p>
        </w:tc>
        <w:tc>
          <w:tcPr>
            <w:tcW w:w="1044" w:type="dxa"/>
            <w:noWrap w:val="0"/>
            <w:vAlign w:val="center"/>
          </w:tcPr>
          <w:p w14:paraId="19BE5196">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22DCA74B">
            <w:pPr>
              <w:pStyle w:val="10"/>
              <w:keepNext/>
              <w:spacing w:after="0" w:line="440" w:lineRule="exact"/>
              <w:ind w:left="63" w:right="63"/>
              <w:rPr>
                <w:rFonts w:ascii="宋体" w:hAnsi="宋体"/>
                <w:color w:val="000000"/>
                <w:sz w:val="24"/>
                <w:szCs w:val="24"/>
                <w:highlight w:val="none"/>
              </w:rPr>
            </w:pPr>
          </w:p>
        </w:tc>
        <w:tc>
          <w:tcPr>
            <w:tcW w:w="851" w:type="dxa"/>
            <w:noWrap w:val="0"/>
            <w:vAlign w:val="center"/>
          </w:tcPr>
          <w:p w14:paraId="52D4D60D">
            <w:pPr>
              <w:pStyle w:val="10"/>
              <w:keepNext/>
              <w:spacing w:after="0" w:line="440" w:lineRule="exact"/>
              <w:ind w:left="63" w:right="63"/>
              <w:rPr>
                <w:rFonts w:ascii="宋体" w:hAnsi="宋体"/>
                <w:color w:val="000000"/>
                <w:sz w:val="24"/>
                <w:szCs w:val="24"/>
                <w:highlight w:val="none"/>
              </w:rPr>
            </w:pPr>
          </w:p>
        </w:tc>
        <w:tc>
          <w:tcPr>
            <w:tcW w:w="1487" w:type="dxa"/>
            <w:noWrap w:val="0"/>
            <w:vAlign w:val="center"/>
          </w:tcPr>
          <w:p w14:paraId="61A68763">
            <w:pPr>
              <w:pStyle w:val="10"/>
              <w:keepNext/>
              <w:spacing w:after="0" w:line="440" w:lineRule="exact"/>
              <w:ind w:left="63" w:right="63"/>
              <w:rPr>
                <w:rFonts w:ascii="宋体" w:hAnsi="宋体"/>
                <w:color w:val="000000"/>
                <w:sz w:val="24"/>
                <w:szCs w:val="24"/>
                <w:highlight w:val="none"/>
              </w:rPr>
            </w:pPr>
          </w:p>
        </w:tc>
        <w:tc>
          <w:tcPr>
            <w:tcW w:w="992" w:type="dxa"/>
            <w:noWrap w:val="0"/>
            <w:vAlign w:val="center"/>
          </w:tcPr>
          <w:p w14:paraId="40EEBFB6">
            <w:pPr>
              <w:pStyle w:val="10"/>
              <w:keepNext/>
              <w:spacing w:after="0" w:line="440" w:lineRule="exact"/>
              <w:ind w:left="63" w:right="63"/>
              <w:rPr>
                <w:rFonts w:ascii="宋体" w:hAnsi="宋体"/>
                <w:color w:val="000000"/>
                <w:sz w:val="24"/>
                <w:szCs w:val="24"/>
                <w:highlight w:val="none"/>
              </w:rPr>
            </w:pPr>
          </w:p>
        </w:tc>
      </w:tr>
      <w:tr w14:paraId="3E89B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5572DC">
            <w:pPr>
              <w:jc w:val="center"/>
              <w:rPr>
                <w:rFonts w:ascii="宋体" w:hAnsi="宋体" w:eastAsia="宋体"/>
                <w:color w:val="000000"/>
                <w:sz w:val="24"/>
                <w:szCs w:val="24"/>
                <w:highlight w:val="none"/>
              </w:rPr>
            </w:pPr>
          </w:p>
        </w:tc>
        <w:tc>
          <w:tcPr>
            <w:tcW w:w="1276" w:type="dxa"/>
            <w:noWrap w:val="0"/>
            <w:vAlign w:val="center"/>
          </w:tcPr>
          <w:p w14:paraId="5560B069">
            <w:pPr>
              <w:jc w:val="center"/>
              <w:rPr>
                <w:rFonts w:ascii="宋体" w:hAnsi="宋体" w:eastAsia="宋体"/>
                <w:color w:val="000000"/>
                <w:sz w:val="24"/>
                <w:szCs w:val="24"/>
                <w:highlight w:val="none"/>
              </w:rPr>
            </w:pPr>
          </w:p>
        </w:tc>
        <w:tc>
          <w:tcPr>
            <w:tcW w:w="1418" w:type="dxa"/>
            <w:noWrap w:val="0"/>
            <w:vAlign w:val="center"/>
          </w:tcPr>
          <w:p w14:paraId="021CA330">
            <w:pPr>
              <w:jc w:val="center"/>
              <w:rPr>
                <w:rFonts w:ascii="宋体" w:hAnsi="宋体" w:eastAsia="宋体"/>
                <w:color w:val="000000"/>
                <w:sz w:val="24"/>
                <w:szCs w:val="24"/>
                <w:highlight w:val="none"/>
              </w:rPr>
            </w:pPr>
          </w:p>
        </w:tc>
        <w:tc>
          <w:tcPr>
            <w:tcW w:w="940" w:type="dxa"/>
            <w:noWrap w:val="0"/>
            <w:vAlign w:val="center"/>
          </w:tcPr>
          <w:p w14:paraId="52AC322B">
            <w:pPr>
              <w:jc w:val="center"/>
              <w:rPr>
                <w:rFonts w:ascii="宋体" w:hAnsi="宋体" w:eastAsia="宋体"/>
                <w:color w:val="000000"/>
                <w:sz w:val="24"/>
                <w:szCs w:val="24"/>
                <w:highlight w:val="none"/>
              </w:rPr>
            </w:pPr>
          </w:p>
        </w:tc>
        <w:tc>
          <w:tcPr>
            <w:tcW w:w="851" w:type="dxa"/>
            <w:noWrap w:val="0"/>
            <w:vAlign w:val="center"/>
          </w:tcPr>
          <w:p w14:paraId="52F012BD">
            <w:pPr>
              <w:jc w:val="center"/>
              <w:rPr>
                <w:rFonts w:ascii="宋体" w:hAnsi="宋体" w:eastAsia="宋体"/>
                <w:color w:val="000000"/>
                <w:sz w:val="24"/>
                <w:szCs w:val="24"/>
                <w:highlight w:val="none"/>
              </w:rPr>
            </w:pPr>
          </w:p>
        </w:tc>
        <w:tc>
          <w:tcPr>
            <w:tcW w:w="1044" w:type="dxa"/>
            <w:noWrap w:val="0"/>
            <w:vAlign w:val="center"/>
          </w:tcPr>
          <w:p w14:paraId="02F5AE18">
            <w:pPr>
              <w:jc w:val="center"/>
              <w:rPr>
                <w:rFonts w:ascii="宋体" w:hAnsi="宋体" w:eastAsia="宋体"/>
                <w:color w:val="000000"/>
                <w:sz w:val="24"/>
                <w:szCs w:val="24"/>
                <w:highlight w:val="none"/>
              </w:rPr>
            </w:pPr>
          </w:p>
        </w:tc>
        <w:tc>
          <w:tcPr>
            <w:tcW w:w="992" w:type="dxa"/>
            <w:noWrap w:val="0"/>
            <w:vAlign w:val="center"/>
          </w:tcPr>
          <w:p w14:paraId="63AF2814">
            <w:pPr>
              <w:jc w:val="center"/>
              <w:rPr>
                <w:rFonts w:ascii="宋体" w:hAnsi="宋体" w:eastAsia="宋体"/>
                <w:color w:val="000000"/>
                <w:sz w:val="24"/>
                <w:szCs w:val="24"/>
                <w:highlight w:val="none"/>
              </w:rPr>
            </w:pPr>
          </w:p>
        </w:tc>
        <w:tc>
          <w:tcPr>
            <w:tcW w:w="851" w:type="dxa"/>
            <w:noWrap w:val="0"/>
            <w:vAlign w:val="center"/>
          </w:tcPr>
          <w:p w14:paraId="1447DE83">
            <w:pPr>
              <w:jc w:val="center"/>
              <w:rPr>
                <w:rFonts w:ascii="宋体" w:hAnsi="宋体" w:eastAsia="宋体"/>
                <w:color w:val="000000"/>
                <w:sz w:val="24"/>
                <w:szCs w:val="24"/>
                <w:highlight w:val="none"/>
              </w:rPr>
            </w:pPr>
          </w:p>
        </w:tc>
        <w:tc>
          <w:tcPr>
            <w:tcW w:w="1487" w:type="dxa"/>
            <w:noWrap w:val="0"/>
            <w:vAlign w:val="center"/>
          </w:tcPr>
          <w:p w14:paraId="56F3BE83">
            <w:pPr>
              <w:jc w:val="center"/>
              <w:rPr>
                <w:rFonts w:ascii="宋体" w:hAnsi="宋体" w:eastAsia="宋体"/>
                <w:color w:val="000000"/>
                <w:sz w:val="24"/>
                <w:szCs w:val="24"/>
                <w:highlight w:val="none"/>
              </w:rPr>
            </w:pPr>
          </w:p>
        </w:tc>
        <w:tc>
          <w:tcPr>
            <w:tcW w:w="992" w:type="dxa"/>
            <w:noWrap w:val="0"/>
            <w:vAlign w:val="center"/>
          </w:tcPr>
          <w:p w14:paraId="0C2F98E1">
            <w:pPr>
              <w:jc w:val="center"/>
              <w:rPr>
                <w:rFonts w:ascii="宋体" w:hAnsi="宋体" w:eastAsia="宋体"/>
                <w:color w:val="000000"/>
                <w:sz w:val="24"/>
                <w:szCs w:val="24"/>
                <w:highlight w:val="none"/>
              </w:rPr>
            </w:pPr>
          </w:p>
        </w:tc>
      </w:tr>
      <w:tr w14:paraId="5A9F8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19F0C1">
            <w:pPr>
              <w:jc w:val="center"/>
              <w:rPr>
                <w:rFonts w:ascii="宋体" w:hAnsi="宋体" w:eastAsia="宋体"/>
                <w:color w:val="000000"/>
                <w:sz w:val="24"/>
                <w:szCs w:val="24"/>
                <w:highlight w:val="none"/>
              </w:rPr>
            </w:pPr>
          </w:p>
        </w:tc>
        <w:tc>
          <w:tcPr>
            <w:tcW w:w="1276" w:type="dxa"/>
            <w:noWrap w:val="0"/>
            <w:vAlign w:val="center"/>
          </w:tcPr>
          <w:p w14:paraId="3D4C84AB">
            <w:pPr>
              <w:jc w:val="center"/>
              <w:rPr>
                <w:rFonts w:ascii="宋体" w:hAnsi="宋体" w:eastAsia="宋体"/>
                <w:color w:val="000000"/>
                <w:sz w:val="24"/>
                <w:szCs w:val="24"/>
                <w:highlight w:val="none"/>
              </w:rPr>
            </w:pPr>
          </w:p>
        </w:tc>
        <w:tc>
          <w:tcPr>
            <w:tcW w:w="1418" w:type="dxa"/>
            <w:noWrap w:val="0"/>
            <w:vAlign w:val="center"/>
          </w:tcPr>
          <w:p w14:paraId="3C694018">
            <w:pPr>
              <w:jc w:val="center"/>
              <w:rPr>
                <w:rFonts w:ascii="宋体" w:hAnsi="宋体" w:eastAsia="宋体"/>
                <w:color w:val="000000"/>
                <w:sz w:val="24"/>
                <w:szCs w:val="24"/>
                <w:highlight w:val="none"/>
              </w:rPr>
            </w:pPr>
          </w:p>
        </w:tc>
        <w:tc>
          <w:tcPr>
            <w:tcW w:w="940" w:type="dxa"/>
            <w:noWrap w:val="0"/>
            <w:vAlign w:val="center"/>
          </w:tcPr>
          <w:p w14:paraId="2DD374D6">
            <w:pPr>
              <w:jc w:val="center"/>
              <w:rPr>
                <w:rFonts w:ascii="宋体" w:hAnsi="宋体" w:eastAsia="宋体"/>
                <w:color w:val="000000"/>
                <w:sz w:val="24"/>
                <w:szCs w:val="24"/>
                <w:highlight w:val="none"/>
              </w:rPr>
            </w:pPr>
          </w:p>
        </w:tc>
        <w:tc>
          <w:tcPr>
            <w:tcW w:w="851" w:type="dxa"/>
            <w:noWrap w:val="0"/>
            <w:vAlign w:val="center"/>
          </w:tcPr>
          <w:p w14:paraId="1A162400">
            <w:pPr>
              <w:jc w:val="center"/>
              <w:rPr>
                <w:rFonts w:ascii="宋体" w:hAnsi="宋体" w:eastAsia="宋体"/>
                <w:color w:val="000000"/>
                <w:sz w:val="24"/>
                <w:szCs w:val="24"/>
                <w:highlight w:val="none"/>
              </w:rPr>
            </w:pPr>
          </w:p>
        </w:tc>
        <w:tc>
          <w:tcPr>
            <w:tcW w:w="1044" w:type="dxa"/>
            <w:noWrap w:val="0"/>
            <w:vAlign w:val="center"/>
          </w:tcPr>
          <w:p w14:paraId="0EE28862">
            <w:pPr>
              <w:jc w:val="center"/>
              <w:rPr>
                <w:rFonts w:ascii="宋体" w:hAnsi="宋体" w:eastAsia="宋体"/>
                <w:color w:val="000000"/>
                <w:sz w:val="24"/>
                <w:szCs w:val="24"/>
                <w:highlight w:val="none"/>
              </w:rPr>
            </w:pPr>
          </w:p>
        </w:tc>
        <w:tc>
          <w:tcPr>
            <w:tcW w:w="992" w:type="dxa"/>
            <w:noWrap w:val="0"/>
            <w:vAlign w:val="center"/>
          </w:tcPr>
          <w:p w14:paraId="1ACBE9D1">
            <w:pPr>
              <w:jc w:val="center"/>
              <w:rPr>
                <w:rFonts w:ascii="宋体" w:hAnsi="宋体" w:eastAsia="宋体"/>
                <w:color w:val="000000"/>
                <w:sz w:val="24"/>
                <w:szCs w:val="24"/>
                <w:highlight w:val="none"/>
              </w:rPr>
            </w:pPr>
          </w:p>
        </w:tc>
        <w:tc>
          <w:tcPr>
            <w:tcW w:w="851" w:type="dxa"/>
            <w:noWrap w:val="0"/>
            <w:vAlign w:val="center"/>
          </w:tcPr>
          <w:p w14:paraId="3852CB55">
            <w:pPr>
              <w:jc w:val="center"/>
              <w:rPr>
                <w:rFonts w:ascii="宋体" w:hAnsi="宋体" w:eastAsia="宋体"/>
                <w:color w:val="000000"/>
                <w:sz w:val="24"/>
                <w:szCs w:val="24"/>
                <w:highlight w:val="none"/>
              </w:rPr>
            </w:pPr>
          </w:p>
        </w:tc>
        <w:tc>
          <w:tcPr>
            <w:tcW w:w="1487" w:type="dxa"/>
            <w:noWrap w:val="0"/>
            <w:vAlign w:val="center"/>
          </w:tcPr>
          <w:p w14:paraId="1BE63D46">
            <w:pPr>
              <w:jc w:val="center"/>
              <w:rPr>
                <w:rFonts w:ascii="宋体" w:hAnsi="宋体" w:eastAsia="宋体"/>
                <w:color w:val="000000"/>
                <w:sz w:val="24"/>
                <w:szCs w:val="24"/>
                <w:highlight w:val="none"/>
              </w:rPr>
            </w:pPr>
          </w:p>
        </w:tc>
        <w:tc>
          <w:tcPr>
            <w:tcW w:w="992" w:type="dxa"/>
            <w:noWrap w:val="0"/>
            <w:vAlign w:val="center"/>
          </w:tcPr>
          <w:p w14:paraId="0617B9C3">
            <w:pPr>
              <w:jc w:val="center"/>
              <w:rPr>
                <w:rFonts w:ascii="宋体" w:hAnsi="宋体" w:eastAsia="宋体"/>
                <w:color w:val="000000"/>
                <w:sz w:val="24"/>
                <w:szCs w:val="24"/>
                <w:highlight w:val="none"/>
              </w:rPr>
            </w:pPr>
          </w:p>
        </w:tc>
      </w:tr>
      <w:tr w14:paraId="124B1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58B39D">
            <w:pPr>
              <w:jc w:val="center"/>
              <w:rPr>
                <w:rFonts w:ascii="宋体" w:hAnsi="宋体" w:eastAsia="宋体"/>
                <w:color w:val="000000"/>
                <w:sz w:val="24"/>
                <w:szCs w:val="24"/>
                <w:highlight w:val="none"/>
              </w:rPr>
            </w:pPr>
          </w:p>
        </w:tc>
        <w:tc>
          <w:tcPr>
            <w:tcW w:w="1276" w:type="dxa"/>
            <w:noWrap w:val="0"/>
            <w:vAlign w:val="center"/>
          </w:tcPr>
          <w:p w14:paraId="4EA62D2C">
            <w:pPr>
              <w:jc w:val="center"/>
              <w:rPr>
                <w:rFonts w:ascii="宋体" w:hAnsi="宋体" w:eastAsia="宋体"/>
                <w:color w:val="000000"/>
                <w:sz w:val="24"/>
                <w:szCs w:val="24"/>
                <w:highlight w:val="none"/>
              </w:rPr>
            </w:pPr>
          </w:p>
        </w:tc>
        <w:tc>
          <w:tcPr>
            <w:tcW w:w="1418" w:type="dxa"/>
            <w:noWrap w:val="0"/>
            <w:vAlign w:val="center"/>
          </w:tcPr>
          <w:p w14:paraId="45FEAD96">
            <w:pPr>
              <w:jc w:val="center"/>
              <w:rPr>
                <w:rFonts w:ascii="宋体" w:hAnsi="宋体" w:eastAsia="宋体"/>
                <w:color w:val="000000"/>
                <w:sz w:val="24"/>
                <w:szCs w:val="24"/>
                <w:highlight w:val="none"/>
              </w:rPr>
            </w:pPr>
          </w:p>
        </w:tc>
        <w:tc>
          <w:tcPr>
            <w:tcW w:w="940" w:type="dxa"/>
            <w:noWrap w:val="0"/>
            <w:vAlign w:val="center"/>
          </w:tcPr>
          <w:p w14:paraId="73E63AEB">
            <w:pPr>
              <w:jc w:val="center"/>
              <w:rPr>
                <w:rFonts w:ascii="宋体" w:hAnsi="宋体" w:eastAsia="宋体"/>
                <w:color w:val="000000"/>
                <w:sz w:val="24"/>
                <w:szCs w:val="24"/>
                <w:highlight w:val="none"/>
              </w:rPr>
            </w:pPr>
          </w:p>
        </w:tc>
        <w:tc>
          <w:tcPr>
            <w:tcW w:w="851" w:type="dxa"/>
            <w:noWrap w:val="0"/>
            <w:vAlign w:val="center"/>
          </w:tcPr>
          <w:p w14:paraId="3ACAE126">
            <w:pPr>
              <w:jc w:val="center"/>
              <w:rPr>
                <w:rFonts w:ascii="宋体" w:hAnsi="宋体" w:eastAsia="宋体"/>
                <w:color w:val="000000"/>
                <w:sz w:val="24"/>
                <w:szCs w:val="24"/>
                <w:highlight w:val="none"/>
              </w:rPr>
            </w:pPr>
          </w:p>
        </w:tc>
        <w:tc>
          <w:tcPr>
            <w:tcW w:w="1044" w:type="dxa"/>
            <w:noWrap w:val="0"/>
            <w:vAlign w:val="center"/>
          </w:tcPr>
          <w:p w14:paraId="4A2B6DA8">
            <w:pPr>
              <w:jc w:val="center"/>
              <w:rPr>
                <w:rFonts w:ascii="宋体" w:hAnsi="宋体" w:eastAsia="宋体"/>
                <w:color w:val="000000"/>
                <w:sz w:val="24"/>
                <w:szCs w:val="24"/>
                <w:highlight w:val="none"/>
              </w:rPr>
            </w:pPr>
          </w:p>
        </w:tc>
        <w:tc>
          <w:tcPr>
            <w:tcW w:w="992" w:type="dxa"/>
            <w:noWrap w:val="0"/>
            <w:vAlign w:val="center"/>
          </w:tcPr>
          <w:p w14:paraId="2E36760A">
            <w:pPr>
              <w:jc w:val="center"/>
              <w:rPr>
                <w:rFonts w:ascii="宋体" w:hAnsi="宋体" w:eastAsia="宋体"/>
                <w:color w:val="000000"/>
                <w:sz w:val="24"/>
                <w:szCs w:val="24"/>
                <w:highlight w:val="none"/>
              </w:rPr>
            </w:pPr>
          </w:p>
        </w:tc>
        <w:tc>
          <w:tcPr>
            <w:tcW w:w="851" w:type="dxa"/>
            <w:noWrap w:val="0"/>
            <w:vAlign w:val="center"/>
          </w:tcPr>
          <w:p w14:paraId="570363B8">
            <w:pPr>
              <w:jc w:val="center"/>
              <w:rPr>
                <w:rFonts w:ascii="宋体" w:hAnsi="宋体" w:eastAsia="宋体"/>
                <w:color w:val="000000"/>
                <w:sz w:val="24"/>
                <w:szCs w:val="24"/>
                <w:highlight w:val="none"/>
              </w:rPr>
            </w:pPr>
          </w:p>
        </w:tc>
        <w:tc>
          <w:tcPr>
            <w:tcW w:w="1487" w:type="dxa"/>
            <w:noWrap w:val="0"/>
            <w:vAlign w:val="center"/>
          </w:tcPr>
          <w:p w14:paraId="2890298D">
            <w:pPr>
              <w:jc w:val="center"/>
              <w:rPr>
                <w:rFonts w:ascii="宋体" w:hAnsi="宋体" w:eastAsia="宋体"/>
                <w:color w:val="000000"/>
                <w:sz w:val="24"/>
                <w:szCs w:val="24"/>
                <w:highlight w:val="none"/>
              </w:rPr>
            </w:pPr>
          </w:p>
        </w:tc>
        <w:tc>
          <w:tcPr>
            <w:tcW w:w="992" w:type="dxa"/>
            <w:noWrap w:val="0"/>
            <w:vAlign w:val="center"/>
          </w:tcPr>
          <w:p w14:paraId="40D5C03E">
            <w:pPr>
              <w:jc w:val="center"/>
              <w:rPr>
                <w:rFonts w:ascii="宋体" w:hAnsi="宋体" w:eastAsia="宋体"/>
                <w:color w:val="000000"/>
                <w:sz w:val="24"/>
                <w:szCs w:val="24"/>
                <w:highlight w:val="none"/>
              </w:rPr>
            </w:pPr>
          </w:p>
        </w:tc>
      </w:tr>
      <w:tr w14:paraId="0EB0C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623DC0">
            <w:pPr>
              <w:jc w:val="center"/>
              <w:rPr>
                <w:rFonts w:ascii="宋体" w:hAnsi="宋体" w:eastAsia="宋体"/>
                <w:color w:val="000000"/>
                <w:sz w:val="24"/>
                <w:szCs w:val="24"/>
                <w:highlight w:val="none"/>
              </w:rPr>
            </w:pPr>
          </w:p>
        </w:tc>
        <w:tc>
          <w:tcPr>
            <w:tcW w:w="1276" w:type="dxa"/>
            <w:noWrap w:val="0"/>
            <w:vAlign w:val="center"/>
          </w:tcPr>
          <w:p w14:paraId="68B3A9B7">
            <w:pPr>
              <w:jc w:val="center"/>
              <w:rPr>
                <w:rFonts w:ascii="宋体" w:hAnsi="宋体" w:eastAsia="宋体"/>
                <w:color w:val="000000"/>
                <w:sz w:val="24"/>
                <w:szCs w:val="24"/>
                <w:highlight w:val="none"/>
              </w:rPr>
            </w:pPr>
          </w:p>
        </w:tc>
        <w:tc>
          <w:tcPr>
            <w:tcW w:w="1418" w:type="dxa"/>
            <w:noWrap w:val="0"/>
            <w:vAlign w:val="center"/>
          </w:tcPr>
          <w:p w14:paraId="290BAD9E">
            <w:pPr>
              <w:jc w:val="center"/>
              <w:rPr>
                <w:rFonts w:ascii="宋体" w:hAnsi="宋体" w:eastAsia="宋体"/>
                <w:color w:val="000000"/>
                <w:sz w:val="24"/>
                <w:szCs w:val="24"/>
                <w:highlight w:val="none"/>
              </w:rPr>
            </w:pPr>
          </w:p>
        </w:tc>
        <w:tc>
          <w:tcPr>
            <w:tcW w:w="940" w:type="dxa"/>
            <w:noWrap w:val="0"/>
            <w:vAlign w:val="center"/>
          </w:tcPr>
          <w:p w14:paraId="5C7B33EF">
            <w:pPr>
              <w:jc w:val="center"/>
              <w:rPr>
                <w:rFonts w:ascii="宋体" w:hAnsi="宋体" w:eastAsia="宋体"/>
                <w:color w:val="000000"/>
                <w:sz w:val="24"/>
                <w:szCs w:val="24"/>
                <w:highlight w:val="none"/>
              </w:rPr>
            </w:pPr>
          </w:p>
        </w:tc>
        <w:tc>
          <w:tcPr>
            <w:tcW w:w="851" w:type="dxa"/>
            <w:noWrap w:val="0"/>
            <w:vAlign w:val="center"/>
          </w:tcPr>
          <w:p w14:paraId="5BAF59BA">
            <w:pPr>
              <w:jc w:val="center"/>
              <w:rPr>
                <w:rFonts w:ascii="宋体" w:hAnsi="宋体" w:eastAsia="宋体"/>
                <w:color w:val="000000"/>
                <w:sz w:val="24"/>
                <w:szCs w:val="24"/>
                <w:highlight w:val="none"/>
              </w:rPr>
            </w:pPr>
          </w:p>
        </w:tc>
        <w:tc>
          <w:tcPr>
            <w:tcW w:w="1044" w:type="dxa"/>
            <w:noWrap w:val="0"/>
            <w:vAlign w:val="center"/>
          </w:tcPr>
          <w:p w14:paraId="6B2DE5E1">
            <w:pPr>
              <w:jc w:val="center"/>
              <w:rPr>
                <w:rFonts w:ascii="宋体" w:hAnsi="宋体" w:eastAsia="宋体"/>
                <w:color w:val="000000"/>
                <w:sz w:val="24"/>
                <w:szCs w:val="24"/>
                <w:highlight w:val="none"/>
              </w:rPr>
            </w:pPr>
          </w:p>
        </w:tc>
        <w:tc>
          <w:tcPr>
            <w:tcW w:w="992" w:type="dxa"/>
            <w:noWrap w:val="0"/>
            <w:vAlign w:val="center"/>
          </w:tcPr>
          <w:p w14:paraId="68D9EA94">
            <w:pPr>
              <w:jc w:val="center"/>
              <w:rPr>
                <w:rFonts w:ascii="宋体" w:hAnsi="宋体" w:eastAsia="宋体"/>
                <w:color w:val="000000"/>
                <w:sz w:val="24"/>
                <w:szCs w:val="24"/>
                <w:highlight w:val="none"/>
              </w:rPr>
            </w:pPr>
          </w:p>
        </w:tc>
        <w:tc>
          <w:tcPr>
            <w:tcW w:w="851" w:type="dxa"/>
            <w:noWrap w:val="0"/>
            <w:vAlign w:val="center"/>
          </w:tcPr>
          <w:p w14:paraId="3495D4FC">
            <w:pPr>
              <w:jc w:val="center"/>
              <w:rPr>
                <w:rFonts w:ascii="宋体" w:hAnsi="宋体" w:eastAsia="宋体"/>
                <w:color w:val="000000"/>
                <w:sz w:val="24"/>
                <w:szCs w:val="24"/>
                <w:highlight w:val="none"/>
              </w:rPr>
            </w:pPr>
          </w:p>
        </w:tc>
        <w:tc>
          <w:tcPr>
            <w:tcW w:w="1487" w:type="dxa"/>
            <w:noWrap w:val="0"/>
            <w:vAlign w:val="center"/>
          </w:tcPr>
          <w:p w14:paraId="32C6A0AE">
            <w:pPr>
              <w:jc w:val="center"/>
              <w:rPr>
                <w:rFonts w:ascii="宋体" w:hAnsi="宋体" w:eastAsia="宋体"/>
                <w:color w:val="000000"/>
                <w:sz w:val="24"/>
                <w:szCs w:val="24"/>
                <w:highlight w:val="none"/>
              </w:rPr>
            </w:pPr>
          </w:p>
        </w:tc>
        <w:tc>
          <w:tcPr>
            <w:tcW w:w="992" w:type="dxa"/>
            <w:noWrap w:val="0"/>
            <w:vAlign w:val="center"/>
          </w:tcPr>
          <w:p w14:paraId="79709721">
            <w:pPr>
              <w:jc w:val="center"/>
              <w:rPr>
                <w:rFonts w:ascii="宋体" w:hAnsi="宋体" w:eastAsia="宋体"/>
                <w:color w:val="000000"/>
                <w:sz w:val="24"/>
                <w:szCs w:val="24"/>
                <w:highlight w:val="none"/>
              </w:rPr>
            </w:pPr>
          </w:p>
        </w:tc>
      </w:tr>
      <w:tr w14:paraId="16002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08C8E26">
            <w:pPr>
              <w:jc w:val="center"/>
              <w:rPr>
                <w:rFonts w:ascii="宋体" w:hAnsi="宋体" w:eastAsia="宋体"/>
                <w:color w:val="000000"/>
                <w:sz w:val="24"/>
                <w:szCs w:val="24"/>
                <w:highlight w:val="none"/>
              </w:rPr>
            </w:pPr>
          </w:p>
        </w:tc>
        <w:tc>
          <w:tcPr>
            <w:tcW w:w="1276" w:type="dxa"/>
            <w:noWrap w:val="0"/>
            <w:vAlign w:val="center"/>
          </w:tcPr>
          <w:p w14:paraId="297CFDD4">
            <w:pPr>
              <w:jc w:val="center"/>
              <w:rPr>
                <w:rFonts w:ascii="宋体" w:hAnsi="宋体" w:eastAsia="宋体"/>
                <w:color w:val="000000"/>
                <w:sz w:val="24"/>
                <w:szCs w:val="24"/>
                <w:highlight w:val="none"/>
              </w:rPr>
            </w:pPr>
          </w:p>
        </w:tc>
        <w:tc>
          <w:tcPr>
            <w:tcW w:w="1418" w:type="dxa"/>
            <w:noWrap w:val="0"/>
            <w:vAlign w:val="center"/>
          </w:tcPr>
          <w:p w14:paraId="47823D18">
            <w:pPr>
              <w:jc w:val="center"/>
              <w:rPr>
                <w:rFonts w:ascii="宋体" w:hAnsi="宋体" w:eastAsia="宋体"/>
                <w:color w:val="000000"/>
                <w:sz w:val="24"/>
                <w:szCs w:val="24"/>
                <w:highlight w:val="none"/>
              </w:rPr>
            </w:pPr>
          </w:p>
        </w:tc>
        <w:tc>
          <w:tcPr>
            <w:tcW w:w="940" w:type="dxa"/>
            <w:noWrap w:val="0"/>
            <w:vAlign w:val="center"/>
          </w:tcPr>
          <w:p w14:paraId="5557D255">
            <w:pPr>
              <w:jc w:val="center"/>
              <w:rPr>
                <w:rFonts w:ascii="宋体" w:hAnsi="宋体" w:eastAsia="宋体"/>
                <w:color w:val="000000"/>
                <w:sz w:val="24"/>
                <w:szCs w:val="24"/>
                <w:highlight w:val="none"/>
              </w:rPr>
            </w:pPr>
          </w:p>
        </w:tc>
        <w:tc>
          <w:tcPr>
            <w:tcW w:w="851" w:type="dxa"/>
            <w:noWrap w:val="0"/>
            <w:vAlign w:val="center"/>
          </w:tcPr>
          <w:p w14:paraId="02594C7A">
            <w:pPr>
              <w:jc w:val="center"/>
              <w:rPr>
                <w:rFonts w:ascii="宋体" w:hAnsi="宋体" w:eastAsia="宋体"/>
                <w:color w:val="000000"/>
                <w:sz w:val="24"/>
                <w:szCs w:val="24"/>
                <w:highlight w:val="none"/>
              </w:rPr>
            </w:pPr>
          </w:p>
        </w:tc>
        <w:tc>
          <w:tcPr>
            <w:tcW w:w="1044" w:type="dxa"/>
            <w:noWrap w:val="0"/>
            <w:vAlign w:val="center"/>
          </w:tcPr>
          <w:p w14:paraId="090DE6BB">
            <w:pPr>
              <w:jc w:val="center"/>
              <w:rPr>
                <w:rFonts w:ascii="宋体" w:hAnsi="宋体" w:eastAsia="宋体"/>
                <w:color w:val="000000"/>
                <w:sz w:val="24"/>
                <w:szCs w:val="24"/>
                <w:highlight w:val="none"/>
              </w:rPr>
            </w:pPr>
          </w:p>
        </w:tc>
        <w:tc>
          <w:tcPr>
            <w:tcW w:w="992" w:type="dxa"/>
            <w:noWrap w:val="0"/>
            <w:vAlign w:val="center"/>
          </w:tcPr>
          <w:p w14:paraId="5BB6CE9D">
            <w:pPr>
              <w:jc w:val="center"/>
              <w:rPr>
                <w:rFonts w:ascii="宋体" w:hAnsi="宋体" w:eastAsia="宋体"/>
                <w:color w:val="000000"/>
                <w:sz w:val="24"/>
                <w:szCs w:val="24"/>
                <w:highlight w:val="none"/>
              </w:rPr>
            </w:pPr>
          </w:p>
        </w:tc>
        <w:tc>
          <w:tcPr>
            <w:tcW w:w="851" w:type="dxa"/>
            <w:noWrap w:val="0"/>
            <w:vAlign w:val="center"/>
          </w:tcPr>
          <w:p w14:paraId="4F9F165B">
            <w:pPr>
              <w:jc w:val="center"/>
              <w:rPr>
                <w:rFonts w:ascii="宋体" w:hAnsi="宋体" w:eastAsia="宋体"/>
                <w:color w:val="000000"/>
                <w:sz w:val="24"/>
                <w:szCs w:val="24"/>
                <w:highlight w:val="none"/>
              </w:rPr>
            </w:pPr>
          </w:p>
        </w:tc>
        <w:tc>
          <w:tcPr>
            <w:tcW w:w="1487" w:type="dxa"/>
            <w:noWrap w:val="0"/>
            <w:vAlign w:val="center"/>
          </w:tcPr>
          <w:p w14:paraId="5E0C2B35">
            <w:pPr>
              <w:jc w:val="center"/>
              <w:rPr>
                <w:rFonts w:ascii="宋体" w:hAnsi="宋体" w:eastAsia="宋体"/>
                <w:color w:val="000000"/>
                <w:sz w:val="24"/>
                <w:szCs w:val="24"/>
                <w:highlight w:val="none"/>
              </w:rPr>
            </w:pPr>
          </w:p>
        </w:tc>
        <w:tc>
          <w:tcPr>
            <w:tcW w:w="992" w:type="dxa"/>
            <w:noWrap w:val="0"/>
            <w:vAlign w:val="center"/>
          </w:tcPr>
          <w:p w14:paraId="695B3C4C">
            <w:pPr>
              <w:jc w:val="center"/>
              <w:rPr>
                <w:rFonts w:ascii="宋体" w:hAnsi="宋体" w:eastAsia="宋体"/>
                <w:color w:val="000000"/>
                <w:sz w:val="24"/>
                <w:szCs w:val="24"/>
                <w:highlight w:val="none"/>
              </w:rPr>
            </w:pPr>
          </w:p>
        </w:tc>
      </w:tr>
      <w:tr w14:paraId="78A62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B582A9B">
            <w:pPr>
              <w:jc w:val="center"/>
              <w:rPr>
                <w:rFonts w:ascii="宋体" w:hAnsi="宋体" w:eastAsia="宋体"/>
                <w:color w:val="000000"/>
                <w:sz w:val="24"/>
                <w:szCs w:val="24"/>
                <w:highlight w:val="none"/>
              </w:rPr>
            </w:pPr>
          </w:p>
        </w:tc>
        <w:tc>
          <w:tcPr>
            <w:tcW w:w="1276" w:type="dxa"/>
            <w:noWrap w:val="0"/>
            <w:vAlign w:val="center"/>
          </w:tcPr>
          <w:p w14:paraId="15B3406A">
            <w:pPr>
              <w:jc w:val="center"/>
              <w:rPr>
                <w:rFonts w:ascii="宋体" w:hAnsi="宋体" w:eastAsia="宋体"/>
                <w:color w:val="000000"/>
                <w:sz w:val="24"/>
                <w:szCs w:val="24"/>
                <w:highlight w:val="none"/>
              </w:rPr>
            </w:pPr>
          </w:p>
        </w:tc>
        <w:tc>
          <w:tcPr>
            <w:tcW w:w="1418" w:type="dxa"/>
            <w:noWrap w:val="0"/>
            <w:vAlign w:val="center"/>
          </w:tcPr>
          <w:p w14:paraId="34893EAA">
            <w:pPr>
              <w:jc w:val="center"/>
              <w:rPr>
                <w:rFonts w:ascii="宋体" w:hAnsi="宋体" w:eastAsia="宋体"/>
                <w:color w:val="000000"/>
                <w:sz w:val="24"/>
                <w:szCs w:val="24"/>
                <w:highlight w:val="none"/>
              </w:rPr>
            </w:pPr>
          </w:p>
        </w:tc>
        <w:tc>
          <w:tcPr>
            <w:tcW w:w="940" w:type="dxa"/>
            <w:noWrap w:val="0"/>
            <w:vAlign w:val="center"/>
          </w:tcPr>
          <w:p w14:paraId="021EEA65">
            <w:pPr>
              <w:jc w:val="center"/>
              <w:rPr>
                <w:rFonts w:ascii="宋体" w:hAnsi="宋体" w:eastAsia="宋体"/>
                <w:color w:val="000000"/>
                <w:sz w:val="24"/>
                <w:szCs w:val="24"/>
                <w:highlight w:val="none"/>
              </w:rPr>
            </w:pPr>
          </w:p>
        </w:tc>
        <w:tc>
          <w:tcPr>
            <w:tcW w:w="851" w:type="dxa"/>
            <w:noWrap w:val="0"/>
            <w:vAlign w:val="center"/>
          </w:tcPr>
          <w:p w14:paraId="035DE68E">
            <w:pPr>
              <w:jc w:val="center"/>
              <w:rPr>
                <w:rFonts w:ascii="宋体" w:hAnsi="宋体" w:eastAsia="宋体"/>
                <w:color w:val="000000"/>
                <w:sz w:val="24"/>
                <w:szCs w:val="24"/>
                <w:highlight w:val="none"/>
              </w:rPr>
            </w:pPr>
          </w:p>
        </w:tc>
        <w:tc>
          <w:tcPr>
            <w:tcW w:w="1044" w:type="dxa"/>
            <w:noWrap w:val="0"/>
            <w:vAlign w:val="center"/>
          </w:tcPr>
          <w:p w14:paraId="24C35329">
            <w:pPr>
              <w:jc w:val="center"/>
              <w:rPr>
                <w:rFonts w:ascii="宋体" w:hAnsi="宋体" w:eastAsia="宋体"/>
                <w:color w:val="000000"/>
                <w:sz w:val="24"/>
                <w:szCs w:val="24"/>
                <w:highlight w:val="none"/>
              </w:rPr>
            </w:pPr>
          </w:p>
        </w:tc>
        <w:tc>
          <w:tcPr>
            <w:tcW w:w="992" w:type="dxa"/>
            <w:noWrap w:val="0"/>
            <w:vAlign w:val="center"/>
          </w:tcPr>
          <w:p w14:paraId="1F76C1E1">
            <w:pPr>
              <w:jc w:val="center"/>
              <w:rPr>
                <w:rFonts w:ascii="宋体" w:hAnsi="宋体" w:eastAsia="宋体"/>
                <w:color w:val="000000"/>
                <w:sz w:val="24"/>
                <w:szCs w:val="24"/>
                <w:highlight w:val="none"/>
              </w:rPr>
            </w:pPr>
          </w:p>
        </w:tc>
        <w:tc>
          <w:tcPr>
            <w:tcW w:w="851" w:type="dxa"/>
            <w:noWrap w:val="0"/>
            <w:vAlign w:val="center"/>
          </w:tcPr>
          <w:p w14:paraId="607E4954">
            <w:pPr>
              <w:jc w:val="center"/>
              <w:rPr>
                <w:rFonts w:ascii="宋体" w:hAnsi="宋体" w:eastAsia="宋体"/>
                <w:color w:val="000000"/>
                <w:sz w:val="24"/>
                <w:szCs w:val="24"/>
                <w:highlight w:val="none"/>
              </w:rPr>
            </w:pPr>
          </w:p>
        </w:tc>
        <w:tc>
          <w:tcPr>
            <w:tcW w:w="1487" w:type="dxa"/>
            <w:noWrap w:val="0"/>
            <w:vAlign w:val="center"/>
          </w:tcPr>
          <w:p w14:paraId="059E2ABB">
            <w:pPr>
              <w:jc w:val="center"/>
              <w:rPr>
                <w:rFonts w:ascii="宋体" w:hAnsi="宋体" w:eastAsia="宋体"/>
                <w:color w:val="000000"/>
                <w:sz w:val="24"/>
                <w:szCs w:val="24"/>
                <w:highlight w:val="none"/>
              </w:rPr>
            </w:pPr>
          </w:p>
        </w:tc>
        <w:tc>
          <w:tcPr>
            <w:tcW w:w="992" w:type="dxa"/>
            <w:noWrap w:val="0"/>
            <w:vAlign w:val="center"/>
          </w:tcPr>
          <w:p w14:paraId="58329EB1">
            <w:pPr>
              <w:jc w:val="center"/>
              <w:rPr>
                <w:rFonts w:ascii="宋体" w:hAnsi="宋体" w:eastAsia="宋体"/>
                <w:color w:val="000000"/>
                <w:sz w:val="24"/>
                <w:szCs w:val="24"/>
                <w:highlight w:val="none"/>
              </w:rPr>
            </w:pPr>
          </w:p>
        </w:tc>
      </w:tr>
      <w:tr w14:paraId="66B18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99601A">
            <w:pPr>
              <w:jc w:val="center"/>
              <w:rPr>
                <w:rFonts w:ascii="宋体" w:hAnsi="宋体" w:eastAsia="宋体"/>
                <w:color w:val="000000"/>
                <w:sz w:val="24"/>
                <w:szCs w:val="24"/>
                <w:highlight w:val="none"/>
              </w:rPr>
            </w:pPr>
          </w:p>
        </w:tc>
        <w:tc>
          <w:tcPr>
            <w:tcW w:w="1276" w:type="dxa"/>
            <w:noWrap w:val="0"/>
            <w:vAlign w:val="center"/>
          </w:tcPr>
          <w:p w14:paraId="578FEF5B">
            <w:pPr>
              <w:jc w:val="center"/>
              <w:rPr>
                <w:rFonts w:ascii="宋体" w:hAnsi="宋体" w:eastAsia="宋体"/>
                <w:color w:val="000000"/>
                <w:sz w:val="24"/>
                <w:szCs w:val="24"/>
                <w:highlight w:val="none"/>
              </w:rPr>
            </w:pPr>
          </w:p>
        </w:tc>
        <w:tc>
          <w:tcPr>
            <w:tcW w:w="1418" w:type="dxa"/>
            <w:noWrap w:val="0"/>
            <w:vAlign w:val="center"/>
          </w:tcPr>
          <w:p w14:paraId="6AD686B6">
            <w:pPr>
              <w:jc w:val="center"/>
              <w:rPr>
                <w:rFonts w:ascii="宋体" w:hAnsi="宋体" w:eastAsia="宋体"/>
                <w:color w:val="000000"/>
                <w:sz w:val="24"/>
                <w:szCs w:val="24"/>
                <w:highlight w:val="none"/>
              </w:rPr>
            </w:pPr>
          </w:p>
        </w:tc>
        <w:tc>
          <w:tcPr>
            <w:tcW w:w="940" w:type="dxa"/>
            <w:noWrap w:val="0"/>
            <w:vAlign w:val="center"/>
          </w:tcPr>
          <w:p w14:paraId="6944CD21">
            <w:pPr>
              <w:jc w:val="center"/>
              <w:rPr>
                <w:rFonts w:ascii="宋体" w:hAnsi="宋体" w:eastAsia="宋体"/>
                <w:color w:val="000000"/>
                <w:sz w:val="24"/>
                <w:szCs w:val="24"/>
                <w:highlight w:val="none"/>
              </w:rPr>
            </w:pPr>
          </w:p>
        </w:tc>
        <w:tc>
          <w:tcPr>
            <w:tcW w:w="851" w:type="dxa"/>
            <w:noWrap w:val="0"/>
            <w:vAlign w:val="center"/>
          </w:tcPr>
          <w:p w14:paraId="060E5D98">
            <w:pPr>
              <w:jc w:val="center"/>
              <w:rPr>
                <w:rFonts w:ascii="宋体" w:hAnsi="宋体" w:eastAsia="宋体"/>
                <w:color w:val="000000"/>
                <w:sz w:val="24"/>
                <w:szCs w:val="24"/>
                <w:highlight w:val="none"/>
              </w:rPr>
            </w:pPr>
          </w:p>
        </w:tc>
        <w:tc>
          <w:tcPr>
            <w:tcW w:w="1044" w:type="dxa"/>
            <w:noWrap w:val="0"/>
            <w:vAlign w:val="center"/>
          </w:tcPr>
          <w:p w14:paraId="1B814322">
            <w:pPr>
              <w:jc w:val="center"/>
              <w:rPr>
                <w:rFonts w:ascii="宋体" w:hAnsi="宋体" w:eastAsia="宋体"/>
                <w:color w:val="000000"/>
                <w:sz w:val="24"/>
                <w:szCs w:val="24"/>
                <w:highlight w:val="none"/>
              </w:rPr>
            </w:pPr>
          </w:p>
        </w:tc>
        <w:tc>
          <w:tcPr>
            <w:tcW w:w="992" w:type="dxa"/>
            <w:noWrap w:val="0"/>
            <w:vAlign w:val="center"/>
          </w:tcPr>
          <w:p w14:paraId="3E31F8D2">
            <w:pPr>
              <w:jc w:val="center"/>
              <w:rPr>
                <w:rFonts w:ascii="宋体" w:hAnsi="宋体" w:eastAsia="宋体"/>
                <w:color w:val="000000"/>
                <w:sz w:val="24"/>
                <w:szCs w:val="24"/>
                <w:highlight w:val="none"/>
              </w:rPr>
            </w:pPr>
          </w:p>
        </w:tc>
        <w:tc>
          <w:tcPr>
            <w:tcW w:w="851" w:type="dxa"/>
            <w:noWrap w:val="0"/>
            <w:vAlign w:val="center"/>
          </w:tcPr>
          <w:p w14:paraId="2414D404">
            <w:pPr>
              <w:jc w:val="center"/>
              <w:rPr>
                <w:rFonts w:ascii="宋体" w:hAnsi="宋体" w:eastAsia="宋体"/>
                <w:color w:val="000000"/>
                <w:sz w:val="24"/>
                <w:szCs w:val="24"/>
                <w:highlight w:val="none"/>
              </w:rPr>
            </w:pPr>
          </w:p>
        </w:tc>
        <w:tc>
          <w:tcPr>
            <w:tcW w:w="1487" w:type="dxa"/>
            <w:noWrap w:val="0"/>
            <w:vAlign w:val="center"/>
          </w:tcPr>
          <w:p w14:paraId="1BB153B7">
            <w:pPr>
              <w:jc w:val="center"/>
              <w:rPr>
                <w:rFonts w:ascii="宋体" w:hAnsi="宋体" w:eastAsia="宋体"/>
                <w:color w:val="000000"/>
                <w:sz w:val="24"/>
                <w:szCs w:val="24"/>
                <w:highlight w:val="none"/>
              </w:rPr>
            </w:pPr>
          </w:p>
        </w:tc>
        <w:tc>
          <w:tcPr>
            <w:tcW w:w="992" w:type="dxa"/>
            <w:noWrap w:val="0"/>
            <w:vAlign w:val="center"/>
          </w:tcPr>
          <w:p w14:paraId="3C836262">
            <w:pPr>
              <w:jc w:val="center"/>
              <w:rPr>
                <w:rFonts w:ascii="宋体" w:hAnsi="宋体" w:eastAsia="宋体"/>
                <w:color w:val="000000"/>
                <w:sz w:val="24"/>
                <w:szCs w:val="24"/>
                <w:highlight w:val="none"/>
              </w:rPr>
            </w:pPr>
          </w:p>
        </w:tc>
      </w:tr>
      <w:tr w14:paraId="3DE83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B515D28">
            <w:pPr>
              <w:jc w:val="center"/>
              <w:rPr>
                <w:rFonts w:ascii="宋体" w:hAnsi="宋体" w:eastAsia="宋体"/>
                <w:color w:val="000000"/>
                <w:sz w:val="24"/>
                <w:szCs w:val="24"/>
                <w:highlight w:val="none"/>
              </w:rPr>
            </w:pPr>
          </w:p>
        </w:tc>
        <w:tc>
          <w:tcPr>
            <w:tcW w:w="1276" w:type="dxa"/>
            <w:noWrap w:val="0"/>
            <w:vAlign w:val="center"/>
          </w:tcPr>
          <w:p w14:paraId="5175CB96">
            <w:pPr>
              <w:jc w:val="center"/>
              <w:rPr>
                <w:rFonts w:ascii="宋体" w:hAnsi="宋体" w:eastAsia="宋体"/>
                <w:color w:val="000000"/>
                <w:sz w:val="24"/>
                <w:szCs w:val="24"/>
                <w:highlight w:val="none"/>
              </w:rPr>
            </w:pPr>
          </w:p>
        </w:tc>
        <w:tc>
          <w:tcPr>
            <w:tcW w:w="1418" w:type="dxa"/>
            <w:noWrap w:val="0"/>
            <w:vAlign w:val="center"/>
          </w:tcPr>
          <w:p w14:paraId="7B80CB5E">
            <w:pPr>
              <w:jc w:val="center"/>
              <w:rPr>
                <w:rFonts w:ascii="宋体" w:hAnsi="宋体" w:eastAsia="宋体"/>
                <w:color w:val="000000"/>
                <w:sz w:val="24"/>
                <w:szCs w:val="24"/>
                <w:highlight w:val="none"/>
              </w:rPr>
            </w:pPr>
          </w:p>
        </w:tc>
        <w:tc>
          <w:tcPr>
            <w:tcW w:w="940" w:type="dxa"/>
            <w:noWrap w:val="0"/>
            <w:vAlign w:val="center"/>
          </w:tcPr>
          <w:p w14:paraId="30F62AD9">
            <w:pPr>
              <w:jc w:val="center"/>
              <w:rPr>
                <w:rFonts w:ascii="宋体" w:hAnsi="宋体" w:eastAsia="宋体"/>
                <w:color w:val="000000"/>
                <w:sz w:val="24"/>
                <w:szCs w:val="24"/>
                <w:highlight w:val="none"/>
              </w:rPr>
            </w:pPr>
          </w:p>
        </w:tc>
        <w:tc>
          <w:tcPr>
            <w:tcW w:w="851" w:type="dxa"/>
            <w:noWrap w:val="0"/>
            <w:vAlign w:val="center"/>
          </w:tcPr>
          <w:p w14:paraId="4268DE57">
            <w:pPr>
              <w:jc w:val="center"/>
              <w:rPr>
                <w:rFonts w:ascii="宋体" w:hAnsi="宋体" w:eastAsia="宋体"/>
                <w:color w:val="000000"/>
                <w:sz w:val="24"/>
                <w:szCs w:val="24"/>
                <w:highlight w:val="none"/>
              </w:rPr>
            </w:pPr>
          </w:p>
        </w:tc>
        <w:tc>
          <w:tcPr>
            <w:tcW w:w="1044" w:type="dxa"/>
            <w:noWrap w:val="0"/>
            <w:vAlign w:val="center"/>
          </w:tcPr>
          <w:p w14:paraId="14292CDC">
            <w:pPr>
              <w:jc w:val="center"/>
              <w:rPr>
                <w:rFonts w:ascii="宋体" w:hAnsi="宋体" w:eastAsia="宋体"/>
                <w:color w:val="000000"/>
                <w:sz w:val="24"/>
                <w:szCs w:val="24"/>
                <w:highlight w:val="none"/>
              </w:rPr>
            </w:pPr>
          </w:p>
        </w:tc>
        <w:tc>
          <w:tcPr>
            <w:tcW w:w="992" w:type="dxa"/>
            <w:noWrap w:val="0"/>
            <w:vAlign w:val="center"/>
          </w:tcPr>
          <w:p w14:paraId="5E5EECAC">
            <w:pPr>
              <w:jc w:val="center"/>
              <w:rPr>
                <w:rFonts w:ascii="宋体" w:hAnsi="宋体" w:eastAsia="宋体"/>
                <w:color w:val="000000"/>
                <w:sz w:val="24"/>
                <w:szCs w:val="24"/>
                <w:highlight w:val="none"/>
              </w:rPr>
            </w:pPr>
          </w:p>
        </w:tc>
        <w:tc>
          <w:tcPr>
            <w:tcW w:w="851" w:type="dxa"/>
            <w:noWrap w:val="0"/>
            <w:vAlign w:val="center"/>
          </w:tcPr>
          <w:p w14:paraId="47FF3D4D">
            <w:pPr>
              <w:jc w:val="center"/>
              <w:rPr>
                <w:rFonts w:ascii="宋体" w:hAnsi="宋体" w:eastAsia="宋体"/>
                <w:color w:val="000000"/>
                <w:sz w:val="24"/>
                <w:szCs w:val="24"/>
                <w:highlight w:val="none"/>
              </w:rPr>
            </w:pPr>
          </w:p>
        </w:tc>
        <w:tc>
          <w:tcPr>
            <w:tcW w:w="1487" w:type="dxa"/>
            <w:noWrap w:val="0"/>
            <w:vAlign w:val="center"/>
          </w:tcPr>
          <w:p w14:paraId="20EE60F4">
            <w:pPr>
              <w:jc w:val="center"/>
              <w:rPr>
                <w:rFonts w:ascii="宋体" w:hAnsi="宋体" w:eastAsia="宋体"/>
                <w:color w:val="000000"/>
                <w:sz w:val="24"/>
                <w:szCs w:val="24"/>
                <w:highlight w:val="none"/>
              </w:rPr>
            </w:pPr>
          </w:p>
        </w:tc>
        <w:tc>
          <w:tcPr>
            <w:tcW w:w="992" w:type="dxa"/>
            <w:noWrap w:val="0"/>
            <w:vAlign w:val="center"/>
          </w:tcPr>
          <w:p w14:paraId="58B3CDFC">
            <w:pPr>
              <w:jc w:val="center"/>
              <w:rPr>
                <w:rFonts w:ascii="宋体" w:hAnsi="宋体" w:eastAsia="宋体"/>
                <w:color w:val="000000"/>
                <w:sz w:val="24"/>
                <w:szCs w:val="24"/>
                <w:highlight w:val="none"/>
              </w:rPr>
            </w:pPr>
          </w:p>
        </w:tc>
      </w:tr>
    </w:tbl>
    <w:p w14:paraId="0E768C17">
      <w:pPr>
        <w:spacing w:line="440" w:lineRule="exact"/>
        <w:rPr>
          <w:rFonts w:ascii="宋体" w:hAnsi="宋体" w:eastAsia="宋体"/>
          <w:color w:val="000000"/>
          <w:sz w:val="24"/>
          <w:szCs w:val="24"/>
          <w:highlight w:val="none"/>
        </w:rPr>
      </w:pPr>
    </w:p>
    <w:p w14:paraId="635210EA">
      <w:pPr>
        <w:widowControl/>
        <w:jc w:val="left"/>
        <w:rPr>
          <w:rFonts w:ascii="宋体" w:hAnsi="宋体" w:eastAsia="宋体"/>
          <w:color w:val="000000"/>
          <w:sz w:val="24"/>
          <w:szCs w:val="24"/>
          <w:highlight w:val="none"/>
        </w:rPr>
      </w:pPr>
      <w:r>
        <w:rPr>
          <w:rFonts w:ascii="宋体" w:hAnsi="宋体" w:eastAsia="宋体"/>
          <w:color w:val="000000"/>
          <w:sz w:val="24"/>
          <w:szCs w:val="24"/>
          <w:highlight w:val="none"/>
        </w:rPr>
        <w:br w:type="page"/>
      </w:r>
      <w:r>
        <w:rPr>
          <w:rFonts w:ascii="宋体" w:hAnsi="宋体" w:eastAsia="宋体"/>
          <w:color w:val="000000"/>
          <w:sz w:val="24"/>
          <w:szCs w:val="24"/>
          <w:highlight w:val="none"/>
        </w:rPr>
        <w:t>附</w:t>
      </w:r>
      <w:bookmarkStart w:id="581" w:name="_Toc267261693"/>
      <w:bookmarkStart w:id="582" w:name="_Toc296944565"/>
      <w:bookmarkStart w:id="583" w:name="_Toc296891054"/>
      <w:bookmarkStart w:id="584" w:name="_Toc296346727"/>
      <w:bookmarkStart w:id="585" w:name="_Toc296347225"/>
      <w:bookmarkStart w:id="586" w:name="_Toc296891266"/>
      <w:bookmarkStart w:id="587" w:name="_Toc296503226"/>
      <w:r>
        <w:rPr>
          <w:rFonts w:ascii="宋体" w:hAnsi="宋体" w:eastAsia="宋体"/>
          <w:color w:val="000000"/>
          <w:sz w:val="24"/>
          <w:szCs w:val="24"/>
          <w:highlight w:val="none"/>
        </w:rPr>
        <w:t>件3：</w:t>
      </w:r>
      <w:bookmarkEnd w:id="581"/>
      <w:bookmarkEnd w:id="582"/>
      <w:bookmarkEnd w:id="583"/>
      <w:bookmarkEnd w:id="584"/>
      <w:bookmarkEnd w:id="585"/>
      <w:bookmarkEnd w:id="586"/>
      <w:bookmarkEnd w:id="587"/>
    </w:p>
    <w:p w14:paraId="3F55D012">
      <w:pPr>
        <w:spacing w:line="440" w:lineRule="exact"/>
        <w:jc w:val="center"/>
        <w:rPr>
          <w:rFonts w:ascii="宋体" w:hAnsi="宋体" w:eastAsia="宋体"/>
          <w:color w:val="000000"/>
          <w:sz w:val="24"/>
          <w:szCs w:val="24"/>
          <w:highlight w:val="none"/>
        </w:rPr>
      </w:pPr>
      <w:r>
        <w:rPr>
          <w:rFonts w:hint="eastAsia" w:ascii="宋体" w:hAnsi="宋体" w:eastAsia="宋体"/>
          <w:color w:val="000000"/>
          <w:sz w:val="24"/>
          <w:szCs w:val="24"/>
          <w:highlight w:val="none"/>
        </w:rPr>
        <w:t>工程质量保修书</w:t>
      </w:r>
    </w:p>
    <w:p w14:paraId="20D2787B">
      <w:pPr>
        <w:spacing w:line="440" w:lineRule="exact"/>
        <w:rPr>
          <w:rFonts w:ascii="宋体" w:hAnsi="宋体" w:eastAsia="宋体"/>
          <w:color w:val="000000"/>
          <w:sz w:val="24"/>
          <w:szCs w:val="24"/>
          <w:highlight w:val="none"/>
        </w:rPr>
      </w:pPr>
    </w:p>
    <w:p w14:paraId="61F210AE">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发包人（全称）：</w:t>
      </w:r>
    </w:p>
    <w:p w14:paraId="41161F45">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承包人（全称）：</w:t>
      </w:r>
    </w:p>
    <w:p w14:paraId="486540E6">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发包人和承包人根据《中华人民共和国建筑法》和《建设工程质量管理条例》，经协商一致就（工程全称）签订工程质量保修书。</w:t>
      </w:r>
    </w:p>
    <w:p w14:paraId="1A29516C">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一、工程质量保修范围和内容</w:t>
      </w:r>
    </w:p>
    <w:p w14:paraId="63CD0B7C">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承包人在质量保修期内，按照有关法律规定和合同约定，承担工程质量保修责任。</w:t>
      </w:r>
    </w:p>
    <w:p w14:paraId="7897D0B9">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4EE5472">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承包范围内的工程质量问题，包括施工、材料、设备的质量问题。</w:t>
      </w:r>
    </w:p>
    <w:p w14:paraId="73D43ACD">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二、质量保修期</w:t>
      </w:r>
    </w:p>
    <w:p w14:paraId="3E07A3D5">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根据《建设工程质量管理条例》及有关规定，工程的质量保修期如下：</w:t>
      </w:r>
    </w:p>
    <w:p w14:paraId="0A8DAB21">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1、地基基础工程和主体结构工程为设计文件规定的该工程合理使用年限；</w:t>
      </w:r>
    </w:p>
    <w:p w14:paraId="3741FFF8">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2、屋面防水工程、有防水要求的卫生间、房间和外墙面的防渗漏为5年；</w:t>
      </w:r>
    </w:p>
    <w:p w14:paraId="0E4CFBA8">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3、装修</w:t>
      </w:r>
      <w:r>
        <w:rPr>
          <w:rFonts w:hint="eastAsia" w:ascii="宋体" w:hAnsi="宋体" w:eastAsia="宋体"/>
          <w:color w:val="000000"/>
          <w:sz w:val="24"/>
          <w:szCs w:val="24"/>
          <w:highlight w:val="none"/>
          <w:lang w:eastAsia="zh-CN"/>
        </w:rPr>
        <w:t>工期</w:t>
      </w:r>
      <w:r>
        <w:rPr>
          <w:rFonts w:hint="eastAsia" w:ascii="宋体" w:hAnsi="宋体" w:eastAsia="宋体"/>
          <w:color w:val="000000"/>
          <w:sz w:val="24"/>
          <w:szCs w:val="24"/>
          <w:highlight w:val="none"/>
        </w:rPr>
        <w:t>为2年；</w:t>
      </w:r>
    </w:p>
    <w:p w14:paraId="0C8E8370">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4、电气管线、给排水管道、设备安装工程为2年；</w:t>
      </w:r>
    </w:p>
    <w:p w14:paraId="06BD69D1">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5、供热与供冷系统为2个</w:t>
      </w:r>
      <w:r>
        <w:rPr>
          <w:rFonts w:hint="eastAsia" w:ascii="宋体" w:hAnsi="宋体" w:eastAsia="宋体"/>
          <w:color w:val="000000"/>
          <w:sz w:val="24"/>
          <w:szCs w:val="24"/>
          <w:highlight w:val="none"/>
          <w:lang w:eastAsia="zh-CN"/>
        </w:rPr>
        <w:t>采暖期</w:t>
      </w:r>
      <w:r>
        <w:rPr>
          <w:rFonts w:hint="eastAsia" w:ascii="宋体" w:hAnsi="宋体" w:eastAsia="宋体"/>
          <w:color w:val="000000"/>
          <w:sz w:val="24"/>
          <w:szCs w:val="24"/>
          <w:highlight w:val="none"/>
        </w:rPr>
        <w:t>、供冷期；</w:t>
      </w:r>
    </w:p>
    <w:p w14:paraId="5FE5E675">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6、给排水设施、道路等配套工程为2年；</w:t>
      </w:r>
    </w:p>
    <w:p w14:paraId="17ACB3DC">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7、其他项目保修期限约定如下：其他工程的质量保修期根据分包合同中的相应质量保修条款执行，若有冲突以最长质量保修年限为准。除上述规定外，应符合中华人民共和国建设部80号令《房屋建筑工程质量保修办法》关于保修期的规定。</w:t>
      </w:r>
    </w:p>
    <w:p w14:paraId="0E6DC5FA">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若国家、江苏地区，对上述具体工程的保修期有新的规定时，按新规定执行。</w:t>
      </w:r>
    </w:p>
    <w:p w14:paraId="489AC200">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质量保修期自工程竣工验收合格之日起计算。分单项竣工验收的工程，按单项工程分别计算质量保修期。</w:t>
      </w:r>
    </w:p>
    <w:p w14:paraId="391A2951">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三、缺陷责任期</w:t>
      </w:r>
    </w:p>
    <w:p w14:paraId="716218D1">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工程缺陷责任期为24个月，缺陷责任期自工程通过竣工验收之日起计算。单位工程先于全部工程进行验收，单位工程缺陷责任期自单位工程验收合格之日起算。</w:t>
      </w:r>
    </w:p>
    <w:p w14:paraId="38740928">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四、质量保修责任</w:t>
      </w:r>
    </w:p>
    <w:p w14:paraId="4D15AE4A">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1．属于保修范围、内容的项目，承包人应当在接到保修通知之日起7天内派人保修。承包人不在约定期限内派人保修的，发包人可以委托他人修理，保修费用从质量保证金内扣除。</w:t>
      </w:r>
    </w:p>
    <w:p w14:paraId="08A6211D">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2．发生紧急事故需抢修的，承包人在接到事故通知后，应当立即到达事故现场抢修。</w:t>
      </w:r>
    </w:p>
    <w:p w14:paraId="7AFAB40B">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A5B2C2">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4．质量保修完成后，由发包人组织验收。</w:t>
      </w:r>
    </w:p>
    <w:p w14:paraId="430E2C83">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五、保修费用</w:t>
      </w:r>
    </w:p>
    <w:p w14:paraId="1C9176D4">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保修费用由造成质量缺陷的责任方承担。</w:t>
      </w:r>
    </w:p>
    <w:p w14:paraId="5EEBE1A5">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六、双方约定的其他工程质量保修事项：保修金返还承包人后，承包人仍有义务在合理使用年限内对工程质量问题进行保修，费用由承包人承担，承包人不得拒绝保修，否则视为违约。发包人有权委托其他有资质的施工单位进行维修，由此发生的费用加上5%的管理费由承包人承担，发包人有权依法进行追偿。</w:t>
      </w:r>
    </w:p>
    <w:p w14:paraId="61FDCE5E">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工程质量保修书由发包人、承包人在工程竣工验收前共同签署，作为施工合同附件，其有效期限至保修期满。</w:t>
      </w:r>
    </w:p>
    <w:p w14:paraId="3D963B03">
      <w:pPr>
        <w:spacing w:line="440" w:lineRule="exact"/>
        <w:rPr>
          <w:rFonts w:ascii="宋体" w:hAnsi="宋体" w:eastAsia="宋体"/>
          <w:color w:val="000000"/>
          <w:sz w:val="24"/>
          <w:szCs w:val="24"/>
          <w:highlight w:val="none"/>
        </w:rPr>
      </w:pPr>
    </w:p>
    <w:p w14:paraId="562FCB4D">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发包人(公章)：承包人(公章)：</w:t>
      </w:r>
    </w:p>
    <w:p w14:paraId="3626521B">
      <w:pPr>
        <w:spacing w:line="440" w:lineRule="exact"/>
        <w:rPr>
          <w:rFonts w:ascii="宋体" w:hAnsi="宋体" w:eastAsia="宋体"/>
          <w:color w:val="000000"/>
          <w:sz w:val="24"/>
          <w:szCs w:val="24"/>
          <w:highlight w:val="none"/>
        </w:rPr>
      </w:pPr>
    </w:p>
    <w:p w14:paraId="4A9E5DE9">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法定代表人(签字)：法定代表人(签字)：</w:t>
      </w:r>
    </w:p>
    <w:p w14:paraId="3E162555">
      <w:pPr>
        <w:spacing w:line="440" w:lineRule="exact"/>
        <w:rPr>
          <w:rFonts w:ascii="宋体" w:hAnsi="宋体" w:eastAsia="宋体"/>
          <w:color w:val="000000"/>
          <w:sz w:val="24"/>
          <w:szCs w:val="24"/>
          <w:highlight w:val="none"/>
        </w:rPr>
      </w:pPr>
    </w:p>
    <w:p w14:paraId="17B6CB7A">
      <w:pPr>
        <w:spacing w:line="440" w:lineRule="exact"/>
        <w:rPr>
          <w:rFonts w:ascii="宋体" w:hAnsi="宋体" w:eastAsia="宋体"/>
          <w:color w:val="000000"/>
          <w:sz w:val="24"/>
          <w:szCs w:val="24"/>
          <w:highlight w:val="none"/>
        </w:rPr>
      </w:pPr>
      <w:r>
        <w:rPr>
          <w:rFonts w:hint="eastAsia" w:ascii="宋体" w:hAnsi="宋体" w:eastAsia="宋体"/>
          <w:color w:val="000000"/>
          <w:sz w:val="24"/>
          <w:szCs w:val="24"/>
          <w:highlight w:val="none"/>
        </w:rPr>
        <w:t>年月日年月日</w:t>
      </w:r>
    </w:p>
    <w:p w14:paraId="19E3C12E">
      <w:pPr>
        <w:spacing w:line="440" w:lineRule="exact"/>
        <w:rPr>
          <w:rFonts w:ascii="宋体" w:hAnsi="宋体" w:eastAsia="宋体"/>
          <w:color w:val="000000"/>
          <w:sz w:val="24"/>
          <w:szCs w:val="24"/>
          <w:highlight w:val="none"/>
        </w:rPr>
      </w:pPr>
      <w:r>
        <w:rPr>
          <w:rFonts w:ascii="宋体" w:hAnsi="宋体" w:eastAsia="宋体"/>
          <w:b/>
          <w:color w:val="000000"/>
          <w:sz w:val="24"/>
          <w:szCs w:val="24"/>
          <w:highlight w:val="none"/>
        </w:rPr>
        <w:br w:type="page"/>
      </w:r>
      <w:r>
        <w:rPr>
          <w:rFonts w:ascii="宋体" w:hAnsi="宋体" w:eastAsia="宋体"/>
          <w:color w:val="000000"/>
          <w:sz w:val="24"/>
          <w:szCs w:val="24"/>
          <w:highlight w:val="none"/>
        </w:rPr>
        <w:t>附件4：</w:t>
      </w:r>
    </w:p>
    <w:p w14:paraId="67724EE8">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主要建设工程文件目录</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F70D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4DFE9DE">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文件名称</w:t>
            </w:r>
          </w:p>
        </w:tc>
        <w:tc>
          <w:tcPr>
            <w:tcW w:w="1276" w:type="dxa"/>
            <w:tcBorders>
              <w:top w:val="single" w:color="auto" w:sz="12" w:space="0"/>
              <w:bottom w:val="double" w:color="auto" w:sz="6" w:space="0"/>
            </w:tcBorders>
            <w:noWrap w:val="0"/>
            <w:vAlign w:val="center"/>
          </w:tcPr>
          <w:p w14:paraId="1ED1A804">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套数</w:t>
            </w:r>
          </w:p>
        </w:tc>
        <w:tc>
          <w:tcPr>
            <w:tcW w:w="1450" w:type="dxa"/>
            <w:tcBorders>
              <w:top w:val="single" w:color="auto" w:sz="12" w:space="0"/>
              <w:bottom w:val="double" w:color="auto" w:sz="6" w:space="0"/>
            </w:tcBorders>
            <w:noWrap w:val="0"/>
            <w:vAlign w:val="center"/>
          </w:tcPr>
          <w:p w14:paraId="117D5F49">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费用</w:t>
            </w:r>
            <w:r>
              <w:rPr>
                <w:rFonts w:hint="eastAsia" w:ascii="宋体" w:hAnsi="宋体"/>
                <w:color w:val="000000"/>
                <w:sz w:val="24"/>
                <w:szCs w:val="24"/>
                <w:highlight w:val="none"/>
              </w:rPr>
              <w:t>（元）</w:t>
            </w:r>
          </w:p>
        </w:tc>
        <w:tc>
          <w:tcPr>
            <w:tcW w:w="1243" w:type="dxa"/>
            <w:tcBorders>
              <w:top w:val="single" w:color="auto" w:sz="12" w:space="0"/>
              <w:bottom w:val="double" w:color="auto" w:sz="6" w:space="0"/>
            </w:tcBorders>
            <w:noWrap w:val="0"/>
            <w:vAlign w:val="center"/>
          </w:tcPr>
          <w:p w14:paraId="1A99987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质量</w:t>
            </w:r>
          </w:p>
        </w:tc>
        <w:tc>
          <w:tcPr>
            <w:tcW w:w="1450" w:type="dxa"/>
            <w:tcBorders>
              <w:top w:val="single" w:color="auto" w:sz="12" w:space="0"/>
              <w:bottom w:val="double" w:color="auto" w:sz="6" w:space="0"/>
            </w:tcBorders>
            <w:noWrap w:val="0"/>
            <w:vAlign w:val="top"/>
          </w:tcPr>
          <w:p w14:paraId="0EF48D27">
            <w:pPr>
              <w:spacing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移交时间</w:t>
            </w:r>
          </w:p>
        </w:tc>
        <w:tc>
          <w:tcPr>
            <w:tcW w:w="1667" w:type="dxa"/>
            <w:tcBorders>
              <w:top w:val="single" w:color="auto" w:sz="12" w:space="0"/>
              <w:bottom w:val="double" w:color="auto" w:sz="6" w:space="0"/>
            </w:tcBorders>
            <w:noWrap w:val="0"/>
            <w:vAlign w:val="top"/>
          </w:tcPr>
          <w:p w14:paraId="3A80F003">
            <w:pPr>
              <w:spacing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责任人</w:t>
            </w:r>
          </w:p>
        </w:tc>
      </w:tr>
      <w:tr w14:paraId="0F4D7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4A2FC49">
            <w:pPr>
              <w:pStyle w:val="10"/>
              <w:keepNext/>
              <w:spacing w:after="0" w:line="440" w:lineRule="exact"/>
              <w:ind w:left="63" w:right="63"/>
              <w:rPr>
                <w:rFonts w:ascii="宋体" w:hAnsi="宋体"/>
                <w:color w:val="000000"/>
                <w:sz w:val="24"/>
                <w:szCs w:val="24"/>
                <w:highlight w:val="none"/>
              </w:rPr>
            </w:pPr>
          </w:p>
        </w:tc>
        <w:tc>
          <w:tcPr>
            <w:tcW w:w="1276" w:type="dxa"/>
            <w:tcBorders>
              <w:top w:val="double" w:color="auto" w:sz="6" w:space="0"/>
              <w:bottom w:val="single" w:color="auto" w:sz="6" w:space="0"/>
            </w:tcBorders>
            <w:noWrap w:val="0"/>
            <w:vAlign w:val="center"/>
          </w:tcPr>
          <w:p w14:paraId="6165DED5">
            <w:pPr>
              <w:pStyle w:val="10"/>
              <w:keepNext/>
              <w:spacing w:after="0" w:line="440" w:lineRule="exact"/>
              <w:ind w:left="63" w:right="63"/>
              <w:rPr>
                <w:rFonts w:ascii="宋体" w:hAnsi="宋体"/>
                <w:color w:val="000000"/>
                <w:sz w:val="24"/>
                <w:szCs w:val="24"/>
                <w:highlight w:val="none"/>
              </w:rPr>
            </w:pPr>
          </w:p>
        </w:tc>
        <w:tc>
          <w:tcPr>
            <w:tcW w:w="1450" w:type="dxa"/>
            <w:tcBorders>
              <w:top w:val="double" w:color="auto" w:sz="6" w:space="0"/>
              <w:bottom w:val="single" w:color="auto" w:sz="6" w:space="0"/>
            </w:tcBorders>
            <w:noWrap w:val="0"/>
            <w:vAlign w:val="center"/>
          </w:tcPr>
          <w:p w14:paraId="0B22139C">
            <w:pPr>
              <w:pStyle w:val="10"/>
              <w:keepNext/>
              <w:spacing w:after="0" w:line="440" w:lineRule="exact"/>
              <w:ind w:left="63" w:right="63"/>
              <w:rPr>
                <w:rFonts w:ascii="宋体" w:hAnsi="宋体"/>
                <w:color w:val="000000"/>
                <w:sz w:val="24"/>
                <w:szCs w:val="24"/>
                <w:highlight w:val="none"/>
              </w:rPr>
            </w:pPr>
          </w:p>
        </w:tc>
        <w:tc>
          <w:tcPr>
            <w:tcW w:w="1243" w:type="dxa"/>
            <w:tcBorders>
              <w:top w:val="double" w:color="auto" w:sz="6" w:space="0"/>
              <w:bottom w:val="single" w:color="auto" w:sz="6" w:space="0"/>
            </w:tcBorders>
            <w:noWrap w:val="0"/>
            <w:vAlign w:val="center"/>
          </w:tcPr>
          <w:p w14:paraId="47665552">
            <w:pPr>
              <w:pStyle w:val="10"/>
              <w:keepNext/>
              <w:spacing w:after="0" w:line="440" w:lineRule="exact"/>
              <w:ind w:left="63" w:right="63"/>
              <w:rPr>
                <w:rFonts w:ascii="宋体" w:hAnsi="宋体"/>
                <w:color w:val="000000"/>
                <w:sz w:val="24"/>
                <w:szCs w:val="24"/>
                <w:highlight w:val="none"/>
              </w:rPr>
            </w:pPr>
          </w:p>
        </w:tc>
        <w:tc>
          <w:tcPr>
            <w:tcW w:w="1450" w:type="dxa"/>
            <w:tcBorders>
              <w:top w:val="double" w:color="auto" w:sz="6" w:space="0"/>
              <w:bottom w:val="single" w:color="auto" w:sz="6" w:space="0"/>
            </w:tcBorders>
            <w:noWrap w:val="0"/>
            <w:vAlign w:val="center"/>
          </w:tcPr>
          <w:p w14:paraId="251CF658">
            <w:pPr>
              <w:pStyle w:val="10"/>
              <w:keepNext/>
              <w:spacing w:after="0" w:line="440" w:lineRule="exact"/>
              <w:ind w:left="63" w:right="63"/>
              <w:rPr>
                <w:rFonts w:ascii="宋体" w:hAnsi="宋体"/>
                <w:color w:val="000000"/>
                <w:sz w:val="24"/>
                <w:szCs w:val="24"/>
                <w:highlight w:val="none"/>
              </w:rPr>
            </w:pPr>
          </w:p>
        </w:tc>
        <w:tc>
          <w:tcPr>
            <w:tcW w:w="1667" w:type="dxa"/>
            <w:tcBorders>
              <w:top w:val="double" w:color="auto" w:sz="6" w:space="0"/>
              <w:bottom w:val="single" w:color="auto" w:sz="6" w:space="0"/>
            </w:tcBorders>
            <w:noWrap w:val="0"/>
            <w:vAlign w:val="center"/>
          </w:tcPr>
          <w:p w14:paraId="02AFAAB2">
            <w:pPr>
              <w:pStyle w:val="10"/>
              <w:keepNext/>
              <w:spacing w:after="0" w:line="440" w:lineRule="exact"/>
              <w:ind w:left="63" w:right="63"/>
              <w:rPr>
                <w:rFonts w:ascii="宋体" w:hAnsi="宋体"/>
                <w:color w:val="000000"/>
                <w:sz w:val="24"/>
                <w:szCs w:val="24"/>
                <w:highlight w:val="none"/>
              </w:rPr>
            </w:pPr>
          </w:p>
        </w:tc>
      </w:tr>
      <w:tr w14:paraId="5112A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4E5E584">
            <w:pPr>
              <w:pStyle w:val="10"/>
              <w:keepNext/>
              <w:spacing w:after="0" w:line="440" w:lineRule="exact"/>
              <w:ind w:left="63" w:right="63"/>
              <w:rPr>
                <w:rFonts w:ascii="宋体" w:hAnsi="宋体"/>
                <w:color w:val="000000"/>
                <w:sz w:val="24"/>
                <w:szCs w:val="24"/>
                <w:highlight w:val="none"/>
              </w:rPr>
            </w:pPr>
          </w:p>
        </w:tc>
        <w:tc>
          <w:tcPr>
            <w:tcW w:w="1276" w:type="dxa"/>
            <w:tcBorders>
              <w:top w:val="nil"/>
            </w:tcBorders>
            <w:noWrap w:val="0"/>
            <w:vAlign w:val="center"/>
          </w:tcPr>
          <w:p w14:paraId="2026A3CF">
            <w:pPr>
              <w:pStyle w:val="10"/>
              <w:keepNext/>
              <w:spacing w:after="0" w:line="440" w:lineRule="exact"/>
              <w:ind w:left="63" w:right="63"/>
              <w:rPr>
                <w:rFonts w:ascii="宋体" w:hAnsi="宋体"/>
                <w:color w:val="000000"/>
                <w:sz w:val="24"/>
                <w:szCs w:val="24"/>
                <w:highlight w:val="none"/>
              </w:rPr>
            </w:pPr>
          </w:p>
        </w:tc>
        <w:tc>
          <w:tcPr>
            <w:tcW w:w="1450" w:type="dxa"/>
            <w:tcBorders>
              <w:top w:val="nil"/>
            </w:tcBorders>
            <w:noWrap w:val="0"/>
            <w:vAlign w:val="center"/>
          </w:tcPr>
          <w:p w14:paraId="40802480">
            <w:pPr>
              <w:pStyle w:val="10"/>
              <w:keepNext/>
              <w:spacing w:after="0" w:line="440" w:lineRule="exact"/>
              <w:ind w:left="63" w:right="63"/>
              <w:rPr>
                <w:rFonts w:ascii="宋体" w:hAnsi="宋体"/>
                <w:color w:val="000000"/>
                <w:sz w:val="24"/>
                <w:szCs w:val="24"/>
                <w:highlight w:val="none"/>
              </w:rPr>
            </w:pPr>
          </w:p>
        </w:tc>
        <w:tc>
          <w:tcPr>
            <w:tcW w:w="1243" w:type="dxa"/>
            <w:tcBorders>
              <w:top w:val="nil"/>
            </w:tcBorders>
            <w:noWrap w:val="0"/>
            <w:vAlign w:val="center"/>
          </w:tcPr>
          <w:p w14:paraId="6B77B0F7">
            <w:pPr>
              <w:pStyle w:val="10"/>
              <w:keepNext/>
              <w:spacing w:after="0" w:line="440" w:lineRule="exact"/>
              <w:ind w:left="63" w:right="63"/>
              <w:rPr>
                <w:rFonts w:ascii="宋体" w:hAnsi="宋体"/>
                <w:color w:val="000000"/>
                <w:sz w:val="24"/>
                <w:szCs w:val="24"/>
                <w:highlight w:val="none"/>
              </w:rPr>
            </w:pPr>
          </w:p>
        </w:tc>
        <w:tc>
          <w:tcPr>
            <w:tcW w:w="1450" w:type="dxa"/>
            <w:tcBorders>
              <w:top w:val="nil"/>
            </w:tcBorders>
            <w:noWrap w:val="0"/>
            <w:vAlign w:val="center"/>
          </w:tcPr>
          <w:p w14:paraId="37232E09">
            <w:pPr>
              <w:pStyle w:val="10"/>
              <w:keepNext/>
              <w:spacing w:after="0" w:line="440" w:lineRule="exact"/>
              <w:ind w:left="63" w:right="63"/>
              <w:rPr>
                <w:rFonts w:ascii="宋体" w:hAnsi="宋体"/>
                <w:color w:val="000000"/>
                <w:sz w:val="24"/>
                <w:szCs w:val="24"/>
                <w:highlight w:val="none"/>
              </w:rPr>
            </w:pPr>
          </w:p>
        </w:tc>
        <w:tc>
          <w:tcPr>
            <w:tcW w:w="1667" w:type="dxa"/>
            <w:tcBorders>
              <w:top w:val="nil"/>
            </w:tcBorders>
            <w:noWrap w:val="0"/>
            <w:vAlign w:val="center"/>
          </w:tcPr>
          <w:p w14:paraId="3322ECE3">
            <w:pPr>
              <w:pStyle w:val="10"/>
              <w:keepNext/>
              <w:spacing w:after="0" w:line="440" w:lineRule="exact"/>
              <w:ind w:left="63" w:right="63"/>
              <w:rPr>
                <w:rFonts w:ascii="宋体" w:hAnsi="宋体"/>
                <w:color w:val="000000"/>
                <w:sz w:val="24"/>
                <w:szCs w:val="24"/>
                <w:highlight w:val="none"/>
              </w:rPr>
            </w:pPr>
          </w:p>
        </w:tc>
      </w:tr>
      <w:tr w14:paraId="10474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D8160F1">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5F77EC56">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00CC2CC1">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0BB8C4AC">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29B1CAD2">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28616808">
            <w:pPr>
              <w:pStyle w:val="10"/>
              <w:keepNext/>
              <w:spacing w:after="0" w:line="440" w:lineRule="exact"/>
              <w:ind w:left="63" w:right="63"/>
              <w:rPr>
                <w:rFonts w:ascii="宋体" w:hAnsi="宋体"/>
                <w:color w:val="000000"/>
                <w:sz w:val="24"/>
                <w:szCs w:val="24"/>
                <w:highlight w:val="none"/>
              </w:rPr>
            </w:pPr>
          </w:p>
        </w:tc>
      </w:tr>
      <w:tr w14:paraId="703FB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642431">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710604CC">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5F25EE2F">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652E9EF0">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7EBA051F">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30CA1D08">
            <w:pPr>
              <w:pStyle w:val="10"/>
              <w:keepNext/>
              <w:spacing w:after="0" w:line="440" w:lineRule="exact"/>
              <w:ind w:left="63" w:right="63"/>
              <w:rPr>
                <w:rFonts w:ascii="宋体" w:hAnsi="宋体"/>
                <w:color w:val="000000"/>
                <w:sz w:val="24"/>
                <w:szCs w:val="24"/>
                <w:highlight w:val="none"/>
              </w:rPr>
            </w:pPr>
          </w:p>
        </w:tc>
      </w:tr>
      <w:tr w14:paraId="161F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A02EA7">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04703D9B">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4B75F69D">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657E341D">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219C66EE">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3F4D8889">
            <w:pPr>
              <w:pStyle w:val="10"/>
              <w:keepNext/>
              <w:spacing w:after="0" w:line="440" w:lineRule="exact"/>
              <w:ind w:left="63" w:right="63"/>
              <w:rPr>
                <w:rFonts w:ascii="宋体" w:hAnsi="宋体"/>
                <w:color w:val="000000"/>
                <w:sz w:val="24"/>
                <w:szCs w:val="24"/>
                <w:highlight w:val="none"/>
              </w:rPr>
            </w:pPr>
          </w:p>
        </w:tc>
      </w:tr>
      <w:tr w14:paraId="74E6D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1158C3">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06AF440E">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3A051632">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69477D65">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1A704E0A">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11894825">
            <w:pPr>
              <w:pStyle w:val="10"/>
              <w:keepNext/>
              <w:spacing w:after="0" w:line="440" w:lineRule="exact"/>
              <w:ind w:left="63" w:right="63"/>
              <w:rPr>
                <w:rFonts w:ascii="宋体" w:hAnsi="宋体"/>
                <w:color w:val="000000"/>
                <w:sz w:val="24"/>
                <w:szCs w:val="24"/>
                <w:highlight w:val="none"/>
              </w:rPr>
            </w:pPr>
          </w:p>
        </w:tc>
      </w:tr>
      <w:tr w14:paraId="14804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EB36AAA">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7599DFCE">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3BE2DDF3">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2CECF365">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71254788">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1253B879">
            <w:pPr>
              <w:pStyle w:val="10"/>
              <w:keepNext/>
              <w:spacing w:after="0" w:line="440" w:lineRule="exact"/>
              <w:ind w:left="63" w:right="63"/>
              <w:rPr>
                <w:rFonts w:ascii="宋体" w:hAnsi="宋体"/>
                <w:color w:val="000000"/>
                <w:sz w:val="24"/>
                <w:szCs w:val="24"/>
                <w:highlight w:val="none"/>
              </w:rPr>
            </w:pPr>
          </w:p>
        </w:tc>
      </w:tr>
      <w:tr w14:paraId="23775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13AA7A2">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6C50F3F9">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21771990">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14312A59">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47CB63B4">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529EAF4C">
            <w:pPr>
              <w:pStyle w:val="10"/>
              <w:keepNext/>
              <w:spacing w:after="0" w:line="440" w:lineRule="exact"/>
              <w:ind w:left="63" w:right="63"/>
              <w:rPr>
                <w:rFonts w:ascii="宋体" w:hAnsi="宋体"/>
                <w:color w:val="000000"/>
                <w:sz w:val="24"/>
                <w:szCs w:val="24"/>
                <w:highlight w:val="none"/>
              </w:rPr>
            </w:pPr>
          </w:p>
        </w:tc>
      </w:tr>
      <w:tr w14:paraId="58B42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989EAE">
            <w:pPr>
              <w:rPr>
                <w:rFonts w:ascii="宋体" w:hAnsi="宋体" w:eastAsia="宋体"/>
                <w:color w:val="000000"/>
                <w:sz w:val="24"/>
                <w:szCs w:val="24"/>
                <w:highlight w:val="none"/>
              </w:rPr>
            </w:pPr>
          </w:p>
        </w:tc>
        <w:tc>
          <w:tcPr>
            <w:tcW w:w="1276" w:type="dxa"/>
            <w:noWrap w:val="0"/>
            <w:vAlign w:val="top"/>
          </w:tcPr>
          <w:p w14:paraId="47000831">
            <w:pPr>
              <w:rPr>
                <w:rFonts w:ascii="宋体" w:hAnsi="宋体" w:eastAsia="宋体"/>
                <w:color w:val="000000"/>
                <w:sz w:val="24"/>
                <w:szCs w:val="24"/>
                <w:highlight w:val="none"/>
              </w:rPr>
            </w:pPr>
          </w:p>
        </w:tc>
        <w:tc>
          <w:tcPr>
            <w:tcW w:w="1450" w:type="dxa"/>
            <w:noWrap w:val="0"/>
            <w:vAlign w:val="top"/>
          </w:tcPr>
          <w:p w14:paraId="1E8BB4D6">
            <w:pPr>
              <w:rPr>
                <w:rFonts w:ascii="宋体" w:hAnsi="宋体" w:eastAsia="宋体"/>
                <w:color w:val="000000"/>
                <w:sz w:val="24"/>
                <w:szCs w:val="24"/>
                <w:highlight w:val="none"/>
              </w:rPr>
            </w:pPr>
          </w:p>
        </w:tc>
        <w:tc>
          <w:tcPr>
            <w:tcW w:w="1243" w:type="dxa"/>
            <w:noWrap w:val="0"/>
            <w:vAlign w:val="top"/>
          </w:tcPr>
          <w:p w14:paraId="2DB8CD70">
            <w:pPr>
              <w:rPr>
                <w:rFonts w:ascii="宋体" w:hAnsi="宋体" w:eastAsia="宋体"/>
                <w:color w:val="000000"/>
                <w:sz w:val="24"/>
                <w:szCs w:val="24"/>
                <w:highlight w:val="none"/>
              </w:rPr>
            </w:pPr>
          </w:p>
        </w:tc>
        <w:tc>
          <w:tcPr>
            <w:tcW w:w="1450" w:type="dxa"/>
            <w:noWrap w:val="0"/>
            <w:vAlign w:val="top"/>
          </w:tcPr>
          <w:p w14:paraId="29E19B56">
            <w:pPr>
              <w:rPr>
                <w:rFonts w:ascii="宋体" w:hAnsi="宋体" w:eastAsia="宋体"/>
                <w:color w:val="000000"/>
                <w:sz w:val="24"/>
                <w:szCs w:val="24"/>
                <w:highlight w:val="none"/>
              </w:rPr>
            </w:pPr>
          </w:p>
        </w:tc>
        <w:tc>
          <w:tcPr>
            <w:tcW w:w="1667" w:type="dxa"/>
            <w:noWrap w:val="0"/>
            <w:vAlign w:val="top"/>
          </w:tcPr>
          <w:p w14:paraId="136C007F">
            <w:pPr>
              <w:rPr>
                <w:rFonts w:ascii="宋体" w:hAnsi="宋体" w:eastAsia="宋体"/>
                <w:color w:val="000000"/>
                <w:sz w:val="24"/>
                <w:szCs w:val="24"/>
                <w:highlight w:val="none"/>
              </w:rPr>
            </w:pPr>
          </w:p>
        </w:tc>
      </w:tr>
      <w:tr w14:paraId="7B60B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11AA5D7">
            <w:pPr>
              <w:pStyle w:val="10"/>
              <w:keepNext/>
              <w:spacing w:after="0" w:line="440" w:lineRule="exact"/>
              <w:ind w:left="63" w:right="63"/>
              <w:rPr>
                <w:rFonts w:ascii="宋体" w:hAnsi="宋体"/>
                <w:color w:val="000000"/>
                <w:sz w:val="24"/>
                <w:szCs w:val="24"/>
                <w:highlight w:val="none"/>
              </w:rPr>
            </w:pPr>
          </w:p>
        </w:tc>
        <w:tc>
          <w:tcPr>
            <w:tcW w:w="1276" w:type="dxa"/>
            <w:noWrap w:val="0"/>
            <w:vAlign w:val="center"/>
          </w:tcPr>
          <w:p w14:paraId="578B5915">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3E37A794">
            <w:pPr>
              <w:pStyle w:val="10"/>
              <w:keepNext/>
              <w:spacing w:after="0" w:line="440" w:lineRule="exact"/>
              <w:ind w:left="63" w:right="63"/>
              <w:rPr>
                <w:rFonts w:ascii="宋体" w:hAnsi="宋体"/>
                <w:color w:val="000000"/>
                <w:sz w:val="24"/>
                <w:szCs w:val="24"/>
                <w:highlight w:val="none"/>
              </w:rPr>
            </w:pPr>
          </w:p>
        </w:tc>
        <w:tc>
          <w:tcPr>
            <w:tcW w:w="1243" w:type="dxa"/>
            <w:noWrap w:val="0"/>
            <w:vAlign w:val="center"/>
          </w:tcPr>
          <w:p w14:paraId="7C5965EF">
            <w:pPr>
              <w:pStyle w:val="10"/>
              <w:keepNext/>
              <w:spacing w:after="0" w:line="440" w:lineRule="exact"/>
              <w:ind w:left="63" w:right="63"/>
              <w:rPr>
                <w:rFonts w:ascii="宋体" w:hAnsi="宋体"/>
                <w:color w:val="000000"/>
                <w:sz w:val="24"/>
                <w:szCs w:val="24"/>
                <w:highlight w:val="none"/>
              </w:rPr>
            </w:pPr>
          </w:p>
        </w:tc>
        <w:tc>
          <w:tcPr>
            <w:tcW w:w="1450" w:type="dxa"/>
            <w:noWrap w:val="0"/>
            <w:vAlign w:val="center"/>
          </w:tcPr>
          <w:p w14:paraId="291DD342">
            <w:pPr>
              <w:pStyle w:val="10"/>
              <w:keepNext/>
              <w:spacing w:after="0" w:line="440" w:lineRule="exact"/>
              <w:ind w:left="63" w:right="63"/>
              <w:rPr>
                <w:rFonts w:ascii="宋体" w:hAnsi="宋体"/>
                <w:color w:val="000000"/>
                <w:sz w:val="24"/>
                <w:szCs w:val="24"/>
                <w:highlight w:val="none"/>
              </w:rPr>
            </w:pPr>
          </w:p>
        </w:tc>
        <w:tc>
          <w:tcPr>
            <w:tcW w:w="1667" w:type="dxa"/>
            <w:noWrap w:val="0"/>
            <w:vAlign w:val="center"/>
          </w:tcPr>
          <w:p w14:paraId="16EBAFD4">
            <w:pPr>
              <w:pStyle w:val="10"/>
              <w:keepNext/>
              <w:spacing w:after="0" w:line="440" w:lineRule="exact"/>
              <w:ind w:left="63" w:right="63"/>
              <w:rPr>
                <w:rFonts w:ascii="宋体" w:hAnsi="宋体"/>
                <w:color w:val="000000"/>
                <w:sz w:val="24"/>
                <w:szCs w:val="24"/>
                <w:highlight w:val="none"/>
              </w:rPr>
            </w:pPr>
          </w:p>
        </w:tc>
      </w:tr>
      <w:tr w14:paraId="491F1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DA77F5D">
            <w:pPr>
              <w:rPr>
                <w:rFonts w:ascii="宋体" w:hAnsi="宋体" w:eastAsia="宋体"/>
                <w:color w:val="000000"/>
                <w:sz w:val="24"/>
                <w:szCs w:val="24"/>
                <w:highlight w:val="none"/>
              </w:rPr>
            </w:pPr>
          </w:p>
        </w:tc>
        <w:tc>
          <w:tcPr>
            <w:tcW w:w="1276" w:type="dxa"/>
            <w:noWrap w:val="0"/>
            <w:vAlign w:val="top"/>
          </w:tcPr>
          <w:p w14:paraId="0E80109B">
            <w:pPr>
              <w:rPr>
                <w:rFonts w:ascii="宋体" w:hAnsi="宋体" w:eastAsia="宋体"/>
                <w:color w:val="000000"/>
                <w:sz w:val="24"/>
                <w:szCs w:val="24"/>
                <w:highlight w:val="none"/>
              </w:rPr>
            </w:pPr>
          </w:p>
        </w:tc>
        <w:tc>
          <w:tcPr>
            <w:tcW w:w="1450" w:type="dxa"/>
            <w:noWrap w:val="0"/>
            <w:vAlign w:val="top"/>
          </w:tcPr>
          <w:p w14:paraId="1855E731">
            <w:pPr>
              <w:rPr>
                <w:rFonts w:ascii="宋体" w:hAnsi="宋体" w:eastAsia="宋体"/>
                <w:color w:val="000000"/>
                <w:sz w:val="24"/>
                <w:szCs w:val="24"/>
                <w:highlight w:val="none"/>
              </w:rPr>
            </w:pPr>
          </w:p>
        </w:tc>
        <w:tc>
          <w:tcPr>
            <w:tcW w:w="1243" w:type="dxa"/>
            <w:noWrap w:val="0"/>
            <w:vAlign w:val="top"/>
          </w:tcPr>
          <w:p w14:paraId="1239624E">
            <w:pPr>
              <w:rPr>
                <w:rFonts w:ascii="宋体" w:hAnsi="宋体" w:eastAsia="宋体"/>
                <w:color w:val="000000"/>
                <w:sz w:val="24"/>
                <w:szCs w:val="24"/>
                <w:highlight w:val="none"/>
              </w:rPr>
            </w:pPr>
          </w:p>
        </w:tc>
        <w:tc>
          <w:tcPr>
            <w:tcW w:w="1450" w:type="dxa"/>
            <w:noWrap w:val="0"/>
            <w:vAlign w:val="top"/>
          </w:tcPr>
          <w:p w14:paraId="68435609">
            <w:pPr>
              <w:rPr>
                <w:rFonts w:ascii="宋体" w:hAnsi="宋体" w:eastAsia="宋体"/>
                <w:color w:val="000000"/>
                <w:sz w:val="24"/>
                <w:szCs w:val="24"/>
                <w:highlight w:val="none"/>
              </w:rPr>
            </w:pPr>
          </w:p>
        </w:tc>
        <w:tc>
          <w:tcPr>
            <w:tcW w:w="1667" w:type="dxa"/>
            <w:noWrap w:val="0"/>
            <w:vAlign w:val="top"/>
          </w:tcPr>
          <w:p w14:paraId="0D07A4D1">
            <w:pPr>
              <w:rPr>
                <w:rFonts w:ascii="宋体" w:hAnsi="宋体" w:eastAsia="宋体"/>
                <w:color w:val="000000"/>
                <w:sz w:val="24"/>
                <w:szCs w:val="24"/>
                <w:highlight w:val="none"/>
              </w:rPr>
            </w:pPr>
          </w:p>
        </w:tc>
      </w:tr>
      <w:tr w14:paraId="10C17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1B656E">
            <w:pPr>
              <w:rPr>
                <w:rFonts w:ascii="宋体" w:hAnsi="宋体" w:eastAsia="宋体"/>
                <w:color w:val="000000"/>
                <w:sz w:val="24"/>
                <w:szCs w:val="24"/>
                <w:highlight w:val="none"/>
              </w:rPr>
            </w:pPr>
          </w:p>
        </w:tc>
        <w:tc>
          <w:tcPr>
            <w:tcW w:w="1276" w:type="dxa"/>
            <w:noWrap w:val="0"/>
            <w:vAlign w:val="top"/>
          </w:tcPr>
          <w:p w14:paraId="438713D1">
            <w:pPr>
              <w:rPr>
                <w:rFonts w:ascii="宋体" w:hAnsi="宋体" w:eastAsia="宋体"/>
                <w:color w:val="000000"/>
                <w:sz w:val="24"/>
                <w:szCs w:val="24"/>
                <w:highlight w:val="none"/>
              </w:rPr>
            </w:pPr>
          </w:p>
        </w:tc>
        <w:tc>
          <w:tcPr>
            <w:tcW w:w="1450" w:type="dxa"/>
            <w:noWrap w:val="0"/>
            <w:vAlign w:val="top"/>
          </w:tcPr>
          <w:p w14:paraId="301374F2">
            <w:pPr>
              <w:rPr>
                <w:rFonts w:ascii="宋体" w:hAnsi="宋体" w:eastAsia="宋体"/>
                <w:color w:val="000000"/>
                <w:sz w:val="24"/>
                <w:szCs w:val="24"/>
                <w:highlight w:val="none"/>
              </w:rPr>
            </w:pPr>
          </w:p>
        </w:tc>
        <w:tc>
          <w:tcPr>
            <w:tcW w:w="1243" w:type="dxa"/>
            <w:noWrap w:val="0"/>
            <w:vAlign w:val="top"/>
          </w:tcPr>
          <w:p w14:paraId="6C9E9A82">
            <w:pPr>
              <w:rPr>
                <w:rFonts w:ascii="宋体" w:hAnsi="宋体" w:eastAsia="宋体"/>
                <w:color w:val="000000"/>
                <w:sz w:val="24"/>
                <w:szCs w:val="24"/>
                <w:highlight w:val="none"/>
              </w:rPr>
            </w:pPr>
          </w:p>
        </w:tc>
        <w:tc>
          <w:tcPr>
            <w:tcW w:w="1450" w:type="dxa"/>
            <w:noWrap w:val="0"/>
            <w:vAlign w:val="top"/>
          </w:tcPr>
          <w:p w14:paraId="76DC93B0">
            <w:pPr>
              <w:rPr>
                <w:rFonts w:ascii="宋体" w:hAnsi="宋体" w:eastAsia="宋体"/>
                <w:color w:val="000000"/>
                <w:sz w:val="24"/>
                <w:szCs w:val="24"/>
                <w:highlight w:val="none"/>
              </w:rPr>
            </w:pPr>
          </w:p>
        </w:tc>
        <w:tc>
          <w:tcPr>
            <w:tcW w:w="1667" w:type="dxa"/>
            <w:noWrap w:val="0"/>
            <w:vAlign w:val="top"/>
          </w:tcPr>
          <w:p w14:paraId="3A5E16FC">
            <w:pPr>
              <w:rPr>
                <w:rFonts w:ascii="宋体" w:hAnsi="宋体" w:eastAsia="宋体"/>
                <w:color w:val="000000"/>
                <w:sz w:val="24"/>
                <w:szCs w:val="24"/>
                <w:highlight w:val="none"/>
              </w:rPr>
            </w:pPr>
          </w:p>
        </w:tc>
      </w:tr>
      <w:tr w14:paraId="1A6F5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3B14CA">
            <w:pPr>
              <w:rPr>
                <w:rFonts w:ascii="宋体" w:hAnsi="宋体" w:eastAsia="宋体"/>
                <w:color w:val="000000"/>
                <w:sz w:val="24"/>
                <w:szCs w:val="24"/>
                <w:highlight w:val="none"/>
              </w:rPr>
            </w:pPr>
          </w:p>
        </w:tc>
        <w:tc>
          <w:tcPr>
            <w:tcW w:w="1276" w:type="dxa"/>
            <w:noWrap w:val="0"/>
            <w:vAlign w:val="top"/>
          </w:tcPr>
          <w:p w14:paraId="26B6F1B9">
            <w:pPr>
              <w:rPr>
                <w:rFonts w:ascii="宋体" w:hAnsi="宋体" w:eastAsia="宋体"/>
                <w:color w:val="000000"/>
                <w:sz w:val="24"/>
                <w:szCs w:val="24"/>
                <w:highlight w:val="none"/>
              </w:rPr>
            </w:pPr>
          </w:p>
        </w:tc>
        <w:tc>
          <w:tcPr>
            <w:tcW w:w="1450" w:type="dxa"/>
            <w:noWrap w:val="0"/>
            <w:vAlign w:val="top"/>
          </w:tcPr>
          <w:p w14:paraId="38C91CE2">
            <w:pPr>
              <w:rPr>
                <w:rFonts w:ascii="宋体" w:hAnsi="宋体" w:eastAsia="宋体"/>
                <w:color w:val="000000"/>
                <w:sz w:val="24"/>
                <w:szCs w:val="24"/>
                <w:highlight w:val="none"/>
              </w:rPr>
            </w:pPr>
          </w:p>
        </w:tc>
        <w:tc>
          <w:tcPr>
            <w:tcW w:w="1243" w:type="dxa"/>
            <w:noWrap w:val="0"/>
            <w:vAlign w:val="top"/>
          </w:tcPr>
          <w:p w14:paraId="10233B49">
            <w:pPr>
              <w:rPr>
                <w:rFonts w:ascii="宋体" w:hAnsi="宋体" w:eastAsia="宋体"/>
                <w:color w:val="000000"/>
                <w:sz w:val="24"/>
                <w:szCs w:val="24"/>
                <w:highlight w:val="none"/>
              </w:rPr>
            </w:pPr>
          </w:p>
        </w:tc>
        <w:tc>
          <w:tcPr>
            <w:tcW w:w="1450" w:type="dxa"/>
            <w:noWrap w:val="0"/>
            <w:vAlign w:val="top"/>
          </w:tcPr>
          <w:p w14:paraId="49075FD4">
            <w:pPr>
              <w:rPr>
                <w:rFonts w:ascii="宋体" w:hAnsi="宋体" w:eastAsia="宋体"/>
                <w:color w:val="000000"/>
                <w:sz w:val="24"/>
                <w:szCs w:val="24"/>
                <w:highlight w:val="none"/>
              </w:rPr>
            </w:pPr>
          </w:p>
        </w:tc>
        <w:tc>
          <w:tcPr>
            <w:tcW w:w="1667" w:type="dxa"/>
            <w:noWrap w:val="0"/>
            <w:vAlign w:val="top"/>
          </w:tcPr>
          <w:p w14:paraId="30E58B53">
            <w:pPr>
              <w:rPr>
                <w:rFonts w:ascii="宋体" w:hAnsi="宋体" w:eastAsia="宋体"/>
                <w:color w:val="000000"/>
                <w:sz w:val="24"/>
                <w:szCs w:val="24"/>
                <w:highlight w:val="none"/>
              </w:rPr>
            </w:pPr>
          </w:p>
        </w:tc>
      </w:tr>
      <w:tr w14:paraId="36BE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6125C7">
            <w:pPr>
              <w:rPr>
                <w:rFonts w:ascii="宋体" w:hAnsi="宋体" w:eastAsia="宋体"/>
                <w:color w:val="000000"/>
                <w:sz w:val="24"/>
                <w:szCs w:val="24"/>
                <w:highlight w:val="none"/>
              </w:rPr>
            </w:pPr>
          </w:p>
        </w:tc>
        <w:tc>
          <w:tcPr>
            <w:tcW w:w="1276" w:type="dxa"/>
            <w:noWrap w:val="0"/>
            <w:vAlign w:val="top"/>
          </w:tcPr>
          <w:p w14:paraId="3116E0D3">
            <w:pPr>
              <w:rPr>
                <w:rFonts w:ascii="宋体" w:hAnsi="宋体" w:eastAsia="宋体"/>
                <w:color w:val="000000"/>
                <w:sz w:val="24"/>
                <w:szCs w:val="24"/>
                <w:highlight w:val="none"/>
              </w:rPr>
            </w:pPr>
          </w:p>
        </w:tc>
        <w:tc>
          <w:tcPr>
            <w:tcW w:w="1450" w:type="dxa"/>
            <w:noWrap w:val="0"/>
            <w:vAlign w:val="top"/>
          </w:tcPr>
          <w:p w14:paraId="52D159E5">
            <w:pPr>
              <w:rPr>
                <w:rFonts w:ascii="宋体" w:hAnsi="宋体" w:eastAsia="宋体"/>
                <w:color w:val="000000"/>
                <w:sz w:val="24"/>
                <w:szCs w:val="24"/>
                <w:highlight w:val="none"/>
              </w:rPr>
            </w:pPr>
          </w:p>
        </w:tc>
        <w:tc>
          <w:tcPr>
            <w:tcW w:w="1243" w:type="dxa"/>
            <w:noWrap w:val="0"/>
            <w:vAlign w:val="top"/>
          </w:tcPr>
          <w:p w14:paraId="3931FB8B">
            <w:pPr>
              <w:rPr>
                <w:rFonts w:ascii="宋体" w:hAnsi="宋体" w:eastAsia="宋体"/>
                <w:color w:val="000000"/>
                <w:sz w:val="24"/>
                <w:szCs w:val="24"/>
                <w:highlight w:val="none"/>
              </w:rPr>
            </w:pPr>
          </w:p>
        </w:tc>
        <w:tc>
          <w:tcPr>
            <w:tcW w:w="1450" w:type="dxa"/>
            <w:noWrap w:val="0"/>
            <w:vAlign w:val="top"/>
          </w:tcPr>
          <w:p w14:paraId="2C378518">
            <w:pPr>
              <w:rPr>
                <w:rFonts w:ascii="宋体" w:hAnsi="宋体" w:eastAsia="宋体"/>
                <w:color w:val="000000"/>
                <w:sz w:val="24"/>
                <w:szCs w:val="24"/>
                <w:highlight w:val="none"/>
              </w:rPr>
            </w:pPr>
          </w:p>
        </w:tc>
        <w:tc>
          <w:tcPr>
            <w:tcW w:w="1667" w:type="dxa"/>
            <w:noWrap w:val="0"/>
            <w:vAlign w:val="top"/>
          </w:tcPr>
          <w:p w14:paraId="40B1BB9D">
            <w:pPr>
              <w:rPr>
                <w:rFonts w:ascii="宋体" w:hAnsi="宋体" w:eastAsia="宋体"/>
                <w:color w:val="000000"/>
                <w:sz w:val="24"/>
                <w:szCs w:val="24"/>
                <w:highlight w:val="none"/>
              </w:rPr>
            </w:pPr>
          </w:p>
        </w:tc>
      </w:tr>
      <w:tr w14:paraId="1E14B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D44191">
            <w:pPr>
              <w:rPr>
                <w:rFonts w:ascii="宋体" w:hAnsi="宋体" w:eastAsia="宋体"/>
                <w:color w:val="000000"/>
                <w:sz w:val="24"/>
                <w:szCs w:val="24"/>
                <w:highlight w:val="none"/>
              </w:rPr>
            </w:pPr>
          </w:p>
        </w:tc>
        <w:tc>
          <w:tcPr>
            <w:tcW w:w="1276" w:type="dxa"/>
            <w:noWrap w:val="0"/>
            <w:vAlign w:val="top"/>
          </w:tcPr>
          <w:p w14:paraId="7356CFDF">
            <w:pPr>
              <w:rPr>
                <w:rFonts w:ascii="宋体" w:hAnsi="宋体" w:eastAsia="宋体"/>
                <w:color w:val="000000"/>
                <w:sz w:val="24"/>
                <w:szCs w:val="24"/>
                <w:highlight w:val="none"/>
              </w:rPr>
            </w:pPr>
          </w:p>
        </w:tc>
        <w:tc>
          <w:tcPr>
            <w:tcW w:w="1450" w:type="dxa"/>
            <w:noWrap w:val="0"/>
            <w:vAlign w:val="top"/>
          </w:tcPr>
          <w:p w14:paraId="7CF4D9A2">
            <w:pPr>
              <w:rPr>
                <w:rFonts w:ascii="宋体" w:hAnsi="宋体" w:eastAsia="宋体"/>
                <w:color w:val="000000"/>
                <w:sz w:val="24"/>
                <w:szCs w:val="24"/>
                <w:highlight w:val="none"/>
              </w:rPr>
            </w:pPr>
          </w:p>
        </w:tc>
        <w:tc>
          <w:tcPr>
            <w:tcW w:w="1243" w:type="dxa"/>
            <w:noWrap w:val="0"/>
            <w:vAlign w:val="top"/>
          </w:tcPr>
          <w:p w14:paraId="1434C043">
            <w:pPr>
              <w:rPr>
                <w:rFonts w:ascii="宋体" w:hAnsi="宋体" w:eastAsia="宋体"/>
                <w:color w:val="000000"/>
                <w:sz w:val="24"/>
                <w:szCs w:val="24"/>
                <w:highlight w:val="none"/>
              </w:rPr>
            </w:pPr>
          </w:p>
        </w:tc>
        <w:tc>
          <w:tcPr>
            <w:tcW w:w="1450" w:type="dxa"/>
            <w:noWrap w:val="0"/>
            <w:vAlign w:val="top"/>
          </w:tcPr>
          <w:p w14:paraId="0CDAD782">
            <w:pPr>
              <w:rPr>
                <w:rFonts w:ascii="宋体" w:hAnsi="宋体" w:eastAsia="宋体"/>
                <w:color w:val="000000"/>
                <w:sz w:val="24"/>
                <w:szCs w:val="24"/>
                <w:highlight w:val="none"/>
              </w:rPr>
            </w:pPr>
          </w:p>
        </w:tc>
        <w:tc>
          <w:tcPr>
            <w:tcW w:w="1667" w:type="dxa"/>
            <w:noWrap w:val="0"/>
            <w:vAlign w:val="top"/>
          </w:tcPr>
          <w:p w14:paraId="61AD26C5">
            <w:pPr>
              <w:rPr>
                <w:rFonts w:ascii="宋体" w:hAnsi="宋体" w:eastAsia="宋体"/>
                <w:color w:val="000000"/>
                <w:sz w:val="24"/>
                <w:szCs w:val="24"/>
                <w:highlight w:val="none"/>
              </w:rPr>
            </w:pPr>
          </w:p>
        </w:tc>
      </w:tr>
      <w:tr w14:paraId="6B09E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EFFF86">
            <w:pPr>
              <w:rPr>
                <w:rFonts w:ascii="宋体" w:hAnsi="宋体" w:eastAsia="宋体"/>
                <w:color w:val="000000"/>
                <w:sz w:val="24"/>
                <w:szCs w:val="24"/>
                <w:highlight w:val="none"/>
              </w:rPr>
            </w:pPr>
          </w:p>
        </w:tc>
        <w:tc>
          <w:tcPr>
            <w:tcW w:w="1276" w:type="dxa"/>
            <w:noWrap w:val="0"/>
            <w:vAlign w:val="top"/>
          </w:tcPr>
          <w:p w14:paraId="1A0D5C82">
            <w:pPr>
              <w:rPr>
                <w:rFonts w:ascii="宋体" w:hAnsi="宋体" w:eastAsia="宋体"/>
                <w:color w:val="000000"/>
                <w:sz w:val="24"/>
                <w:szCs w:val="24"/>
                <w:highlight w:val="none"/>
              </w:rPr>
            </w:pPr>
          </w:p>
        </w:tc>
        <w:tc>
          <w:tcPr>
            <w:tcW w:w="1450" w:type="dxa"/>
            <w:noWrap w:val="0"/>
            <w:vAlign w:val="top"/>
          </w:tcPr>
          <w:p w14:paraId="0CFBC3C3">
            <w:pPr>
              <w:rPr>
                <w:rFonts w:ascii="宋体" w:hAnsi="宋体" w:eastAsia="宋体"/>
                <w:color w:val="000000"/>
                <w:sz w:val="24"/>
                <w:szCs w:val="24"/>
                <w:highlight w:val="none"/>
              </w:rPr>
            </w:pPr>
          </w:p>
        </w:tc>
        <w:tc>
          <w:tcPr>
            <w:tcW w:w="1243" w:type="dxa"/>
            <w:noWrap w:val="0"/>
            <w:vAlign w:val="top"/>
          </w:tcPr>
          <w:p w14:paraId="7FE78CF3">
            <w:pPr>
              <w:rPr>
                <w:rFonts w:ascii="宋体" w:hAnsi="宋体" w:eastAsia="宋体"/>
                <w:color w:val="000000"/>
                <w:sz w:val="24"/>
                <w:szCs w:val="24"/>
                <w:highlight w:val="none"/>
              </w:rPr>
            </w:pPr>
          </w:p>
        </w:tc>
        <w:tc>
          <w:tcPr>
            <w:tcW w:w="1450" w:type="dxa"/>
            <w:noWrap w:val="0"/>
            <w:vAlign w:val="top"/>
          </w:tcPr>
          <w:p w14:paraId="12E2C044">
            <w:pPr>
              <w:rPr>
                <w:rFonts w:ascii="宋体" w:hAnsi="宋体" w:eastAsia="宋体"/>
                <w:color w:val="000000"/>
                <w:sz w:val="24"/>
                <w:szCs w:val="24"/>
                <w:highlight w:val="none"/>
              </w:rPr>
            </w:pPr>
          </w:p>
        </w:tc>
        <w:tc>
          <w:tcPr>
            <w:tcW w:w="1667" w:type="dxa"/>
            <w:noWrap w:val="0"/>
            <w:vAlign w:val="top"/>
          </w:tcPr>
          <w:p w14:paraId="7E64A79F">
            <w:pPr>
              <w:rPr>
                <w:rFonts w:ascii="宋体" w:hAnsi="宋体" w:eastAsia="宋体"/>
                <w:color w:val="000000"/>
                <w:sz w:val="24"/>
                <w:szCs w:val="24"/>
                <w:highlight w:val="none"/>
              </w:rPr>
            </w:pPr>
          </w:p>
        </w:tc>
      </w:tr>
      <w:tr w14:paraId="1D33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9838CB">
            <w:pPr>
              <w:rPr>
                <w:rFonts w:ascii="宋体" w:hAnsi="宋体" w:eastAsia="宋体"/>
                <w:color w:val="000000"/>
                <w:sz w:val="24"/>
                <w:szCs w:val="24"/>
                <w:highlight w:val="none"/>
              </w:rPr>
            </w:pPr>
          </w:p>
        </w:tc>
        <w:tc>
          <w:tcPr>
            <w:tcW w:w="1276" w:type="dxa"/>
            <w:noWrap w:val="0"/>
            <w:vAlign w:val="top"/>
          </w:tcPr>
          <w:p w14:paraId="6FE3175F">
            <w:pPr>
              <w:rPr>
                <w:rFonts w:ascii="宋体" w:hAnsi="宋体" w:eastAsia="宋体"/>
                <w:color w:val="000000"/>
                <w:sz w:val="24"/>
                <w:szCs w:val="24"/>
                <w:highlight w:val="none"/>
              </w:rPr>
            </w:pPr>
          </w:p>
        </w:tc>
        <w:tc>
          <w:tcPr>
            <w:tcW w:w="1450" w:type="dxa"/>
            <w:noWrap w:val="0"/>
            <w:vAlign w:val="top"/>
          </w:tcPr>
          <w:p w14:paraId="58B2FA38">
            <w:pPr>
              <w:rPr>
                <w:rFonts w:ascii="宋体" w:hAnsi="宋体" w:eastAsia="宋体"/>
                <w:color w:val="000000"/>
                <w:sz w:val="24"/>
                <w:szCs w:val="24"/>
                <w:highlight w:val="none"/>
              </w:rPr>
            </w:pPr>
          </w:p>
        </w:tc>
        <w:tc>
          <w:tcPr>
            <w:tcW w:w="1243" w:type="dxa"/>
            <w:noWrap w:val="0"/>
            <w:vAlign w:val="top"/>
          </w:tcPr>
          <w:p w14:paraId="4B75372C">
            <w:pPr>
              <w:rPr>
                <w:rFonts w:ascii="宋体" w:hAnsi="宋体" w:eastAsia="宋体"/>
                <w:color w:val="000000"/>
                <w:sz w:val="24"/>
                <w:szCs w:val="24"/>
                <w:highlight w:val="none"/>
              </w:rPr>
            </w:pPr>
          </w:p>
        </w:tc>
        <w:tc>
          <w:tcPr>
            <w:tcW w:w="1450" w:type="dxa"/>
            <w:noWrap w:val="0"/>
            <w:vAlign w:val="top"/>
          </w:tcPr>
          <w:p w14:paraId="4E694EA8">
            <w:pPr>
              <w:rPr>
                <w:rFonts w:ascii="宋体" w:hAnsi="宋体" w:eastAsia="宋体"/>
                <w:color w:val="000000"/>
                <w:sz w:val="24"/>
                <w:szCs w:val="24"/>
                <w:highlight w:val="none"/>
              </w:rPr>
            </w:pPr>
          </w:p>
        </w:tc>
        <w:tc>
          <w:tcPr>
            <w:tcW w:w="1667" w:type="dxa"/>
            <w:noWrap w:val="0"/>
            <w:vAlign w:val="top"/>
          </w:tcPr>
          <w:p w14:paraId="0921DD5B">
            <w:pPr>
              <w:rPr>
                <w:rFonts w:ascii="宋体" w:hAnsi="宋体" w:eastAsia="宋体"/>
                <w:color w:val="000000"/>
                <w:sz w:val="24"/>
                <w:szCs w:val="24"/>
                <w:highlight w:val="none"/>
              </w:rPr>
            </w:pPr>
          </w:p>
        </w:tc>
      </w:tr>
      <w:tr w14:paraId="5914A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065655">
            <w:pPr>
              <w:rPr>
                <w:rFonts w:ascii="宋体" w:hAnsi="宋体" w:eastAsia="宋体"/>
                <w:color w:val="000000"/>
                <w:sz w:val="24"/>
                <w:szCs w:val="24"/>
                <w:highlight w:val="none"/>
              </w:rPr>
            </w:pPr>
          </w:p>
        </w:tc>
        <w:tc>
          <w:tcPr>
            <w:tcW w:w="1276" w:type="dxa"/>
            <w:noWrap w:val="0"/>
            <w:vAlign w:val="top"/>
          </w:tcPr>
          <w:p w14:paraId="35716840">
            <w:pPr>
              <w:rPr>
                <w:rFonts w:ascii="宋体" w:hAnsi="宋体" w:eastAsia="宋体"/>
                <w:color w:val="000000"/>
                <w:sz w:val="24"/>
                <w:szCs w:val="24"/>
                <w:highlight w:val="none"/>
              </w:rPr>
            </w:pPr>
          </w:p>
        </w:tc>
        <w:tc>
          <w:tcPr>
            <w:tcW w:w="1450" w:type="dxa"/>
            <w:noWrap w:val="0"/>
            <w:vAlign w:val="top"/>
          </w:tcPr>
          <w:p w14:paraId="3FE254FC">
            <w:pPr>
              <w:rPr>
                <w:rFonts w:ascii="宋体" w:hAnsi="宋体" w:eastAsia="宋体"/>
                <w:color w:val="000000"/>
                <w:sz w:val="24"/>
                <w:szCs w:val="24"/>
                <w:highlight w:val="none"/>
              </w:rPr>
            </w:pPr>
          </w:p>
        </w:tc>
        <w:tc>
          <w:tcPr>
            <w:tcW w:w="1243" w:type="dxa"/>
            <w:noWrap w:val="0"/>
            <w:vAlign w:val="top"/>
          </w:tcPr>
          <w:p w14:paraId="71AF5754">
            <w:pPr>
              <w:rPr>
                <w:rFonts w:ascii="宋体" w:hAnsi="宋体" w:eastAsia="宋体"/>
                <w:color w:val="000000"/>
                <w:sz w:val="24"/>
                <w:szCs w:val="24"/>
                <w:highlight w:val="none"/>
              </w:rPr>
            </w:pPr>
          </w:p>
        </w:tc>
        <w:tc>
          <w:tcPr>
            <w:tcW w:w="1450" w:type="dxa"/>
            <w:noWrap w:val="0"/>
            <w:vAlign w:val="top"/>
          </w:tcPr>
          <w:p w14:paraId="1C61167A">
            <w:pPr>
              <w:rPr>
                <w:rFonts w:ascii="宋体" w:hAnsi="宋体" w:eastAsia="宋体"/>
                <w:color w:val="000000"/>
                <w:sz w:val="24"/>
                <w:szCs w:val="24"/>
                <w:highlight w:val="none"/>
              </w:rPr>
            </w:pPr>
          </w:p>
        </w:tc>
        <w:tc>
          <w:tcPr>
            <w:tcW w:w="1667" w:type="dxa"/>
            <w:noWrap w:val="0"/>
            <w:vAlign w:val="top"/>
          </w:tcPr>
          <w:p w14:paraId="2C28686E">
            <w:pPr>
              <w:rPr>
                <w:rFonts w:ascii="宋体" w:hAnsi="宋体" w:eastAsia="宋体"/>
                <w:color w:val="000000"/>
                <w:sz w:val="24"/>
                <w:szCs w:val="24"/>
                <w:highlight w:val="none"/>
              </w:rPr>
            </w:pPr>
          </w:p>
        </w:tc>
      </w:tr>
      <w:tr w14:paraId="2A35E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86420B">
            <w:pPr>
              <w:rPr>
                <w:rFonts w:ascii="宋体" w:hAnsi="宋体" w:eastAsia="宋体"/>
                <w:color w:val="000000"/>
                <w:sz w:val="24"/>
                <w:szCs w:val="24"/>
                <w:highlight w:val="none"/>
              </w:rPr>
            </w:pPr>
          </w:p>
        </w:tc>
        <w:tc>
          <w:tcPr>
            <w:tcW w:w="1276" w:type="dxa"/>
            <w:noWrap w:val="0"/>
            <w:vAlign w:val="top"/>
          </w:tcPr>
          <w:p w14:paraId="381B283B">
            <w:pPr>
              <w:rPr>
                <w:rFonts w:ascii="宋体" w:hAnsi="宋体" w:eastAsia="宋体"/>
                <w:color w:val="000000"/>
                <w:sz w:val="24"/>
                <w:szCs w:val="24"/>
                <w:highlight w:val="none"/>
              </w:rPr>
            </w:pPr>
          </w:p>
        </w:tc>
        <w:tc>
          <w:tcPr>
            <w:tcW w:w="1450" w:type="dxa"/>
            <w:noWrap w:val="0"/>
            <w:vAlign w:val="top"/>
          </w:tcPr>
          <w:p w14:paraId="70B9F4F7">
            <w:pPr>
              <w:rPr>
                <w:rFonts w:ascii="宋体" w:hAnsi="宋体" w:eastAsia="宋体"/>
                <w:color w:val="000000"/>
                <w:sz w:val="24"/>
                <w:szCs w:val="24"/>
                <w:highlight w:val="none"/>
              </w:rPr>
            </w:pPr>
          </w:p>
        </w:tc>
        <w:tc>
          <w:tcPr>
            <w:tcW w:w="1243" w:type="dxa"/>
            <w:noWrap w:val="0"/>
            <w:vAlign w:val="top"/>
          </w:tcPr>
          <w:p w14:paraId="7DF8024F">
            <w:pPr>
              <w:rPr>
                <w:rFonts w:ascii="宋体" w:hAnsi="宋体" w:eastAsia="宋体"/>
                <w:color w:val="000000"/>
                <w:sz w:val="24"/>
                <w:szCs w:val="24"/>
                <w:highlight w:val="none"/>
              </w:rPr>
            </w:pPr>
          </w:p>
        </w:tc>
        <w:tc>
          <w:tcPr>
            <w:tcW w:w="1450" w:type="dxa"/>
            <w:noWrap w:val="0"/>
            <w:vAlign w:val="top"/>
          </w:tcPr>
          <w:p w14:paraId="0D79EF56">
            <w:pPr>
              <w:rPr>
                <w:rFonts w:ascii="宋体" w:hAnsi="宋体" w:eastAsia="宋体"/>
                <w:color w:val="000000"/>
                <w:sz w:val="24"/>
                <w:szCs w:val="24"/>
                <w:highlight w:val="none"/>
              </w:rPr>
            </w:pPr>
          </w:p>
        </w:tc>
        <w:tc>
          <w:tcPr>
            <w:tcW w:w="1667" w:type="dxa"/>
            <w:noWrap w:val="0"/>
            <w:vAlign w:val="top"/>
          </w:tcPr>
          <w:p w14:paraId="3B1B1DF6">
            <w:pPr>
              <w:rPr>
                <w:rFonts w:ascii="宋体" w:hAnsi="宋体" w:eastAsia="宋体"/>
                <w:color w:val="000000"/>
                <w:sz w:val="24"/>
                <w:szCs w:val="24"/>
                <w:highlight w:val="none"/>
              </w:rPr>
            </w:pPr>
          </w:p>
        </w:tc>
      </w:tr>
    </w:tbl>
    <w:p w14:paraId="6CBF4BC7">
      <w:pPr>
        <w:spacing w:line="440" w:lineRule="exact"/>
        <w:rPr>
          <w:rFonts w:ascii="宋体" w:hAnsi="宋体" w:eastAsia="宋体"/>
          <w:color w:val="000000"/>
          <w:sz w:val="24"/>
          <w:szCs w:val="24"/>
          <w:highlight w:val="none"/>
        </w:rPr>
      </w:pPr>
    </w:p>
    <w:p w14:paraId="2689D2D1">
      <w:pPr>
        <w:spacing w:line="440" w:lineRule="exact"/>
        <w:rPr>
          <w:rFonts w:ascii="宋体" w:hAnsi="宋体" w:eastAsia="宋体"/>
          <w:color w:val="000000"/>
          <w:sz w:val="24"/>
          <w:szCs w:val="24"/>
          <w:highlight w:val="none"/>
        </w:rPr>
      </w:pPr>
      <w:r>
        <w:rPr>
          <w:rFonts w:ascii="宋体" w:hAnsi="宋体" w:eastAsia="宋体"/>
          <w:color w:val="000000"/>
          <w:sz w:val="24"/>
          <w:szCs w:val="24"/>
          <w:highlight w:val="none"/>
        </w:rPr>
        <w:br w:type="page"/>
      </w:r>
      <w:r>
        <w:rPr>
          <w:rFonts w:ascii="宋体" w:hAnsi="宋体" w:eastAsia="宋体"/>
          <w:color w:val="000000"/>
          <w:sz w:val="24"/>
          <w:szCs w:val="24"/>
          <w:highlight w:val="none"/>
        </w:rPr>
        <w:t>附</w:t>
      </w:r>
      <w:bookmarkStart w:id="588" w:name="_Toc296891055"/>
      <w:bookmarkStart w:id="589" w:name="_Toc296944566"/>
      <w:bookmarkStart w:id="590" w:name="_Toc296346728"/>
      <w:bookmarkStart w:id="591" w:name="_Toc296347226"/>
      <w:bookmarkStart w:id="592" w:name="_Toc296503227"/>
      <w:bookmarkStart w:id="593" w:name="_Toc296891267"/>
      <w:bookmarkStart w:id="594" w:name="_Toc267261698"/>
      <w:r>
        <w:rPr>
          <w:rFonts w:ascii="宋体" w:hAnsi="宋体" w:eastAsia="宋体"/>
          <w:color w:val="000000"/>
          <w:sz w:val="24"/>
          <w:szCs w:val="24"/>
          <w:highlight w:val="none"/>
        </w:rPr>
        <w:t>件5：</w:t>
      </w:r>
    </w:p>
    <w:bookmarkEnd w:id="588"/>
    <w:bookmarkEnd w:id="589"/>
    <w:bookmarkEnd w:id="590"/>
    <w:bookmarkEnd w:id="591"/>
    <w:bookmarkEnd w:id="592"/>
    <w:bookmarkEnd w:id="593"/>
    <w:bookmarkEnd w:id="594"/>
    <w:p w14:paraId="495C3A4F">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承包人用于本工程施工的机械设备表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3D80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7E8F9A7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序号</w:t>
            </w:r>
          </w:p>
        </w:tc>
        <w:tc>
          <w:tcPr>
            <w:tcW w:w="1418" w:type="dxa"/>
            <w:tcBorders>
              <w:top w:val="single" w:color="auto" w:sz="12" w:space="0"/>
              <w:bottom w:val="double" w:color="auto" w:sz="6" w:space="0"/>
            </w:tcBorders>
            <w:noWrap w:val="0"/>
            <w:vAlign w:val="center"/>
          </w:tcPr>
          <w:p w14:paraId="7D0C091D">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机械或设备名称</w:t>
            </w:r>
          </w:p>
        </w:tc>
        <w:tc>
          <w:tcPr>
            <w:tcW w:w="850" w:type="dxa"/>
            <w:tcBorders>
              <w:top w:val="single" w:color="auto" w:sz="12" w:space="0"/>
              <w:bottom w:val="double" w:color="auto" w:sz="6" w:space="0"/>
            </w:tcBorders>
            <w:noWrap w:val="0"/>
            <w:vAlign w:val="center"/>
          </w:tcPr>
          <w:p w14:paraId="3D012AFD">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规格型号</w:t>
            </w:r>
          </w:p>
        </w:tc>
        <w:tc>
          <w:tcPr>
            <w:tcW w:w="1058" w:type="dxa"/>
            <w:tcBorders>
              <w:top w:val="single" w:color="auto" w:sz="12" w:space="0"/>
              <w:bottom w:val="double" w:color="auto" w:sz="6" w:space="0"/>
            </w:tcBorders>
            <w:noWrap w:val="0"/>
            <w:vAlign w:val="center"/>
          </w:tcPr>
          <w:p w14:paraId="1537F52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数量</w:t>
            </w:r>
          </w:p>
        </w:tc>
        <w:tc>
          <w:tcPr>
            <w:tcW w:w="880" w:type="dxa"/>
            <w:tcBorders>
              <w:top w:val="single" w:color="auto" w:sz="12" w:space="0"/>
              <w:bottom w:val="double" w:color="auto" w:sz="6" w:space="0"/>
            </w:tcBorders>
            <w:noWrap w:val="0"/>
            <w:vAlign w:val="center"/>
          </w:tcPr>
          <w:p w14:paraId="247B80B3">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产地</w:t>
            </w:r>
          </w:p>
        </w:tc>
        <w:tc>
          <w:tcPr>
            <w:tcW w:w="1020" w:type="dxa"/>
            <w:tcBorders>
              <w:top w:val="single" w:color="auto" w:sz="12" w:space="0"/>
              <w:bottom w:val="double" w:color="auto" w:sz="6" w:space="0"/>
            </w:tcBorders>
            <w:noWrap w:val="0"/>
            <w:vAlign w:val="center"/>
          </w:tcPr>
          <w:p w14:paraId="2E12AA8E">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制造年份</w:t>
            </w:r>
          </w:p>
        </w:tc>
        <w:tc>
          <w:tcPr>
            <w:tcW w:w="1480" w:type="dxa"/>
            <w:tcBorders>
              <w:top w:val="single" w:color="auto" w:sz="12" w:space="0"/>
              <w:bottom w:val="double" w:color="auto" w:sz="6" w:space="0"/>
            </w:tcBorders>
            <w:noWrap w:val="0"/>
            <w:vAlign w:val="center"/>
          </w:tcPr>
          <w:p w14:paraId="4541B345">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额定功率(kW)</w:t>
            </w:r>
          </w:p>
        </w:tc>
        <w:tc>
          <w:tcPr>
            <w:tcW w:w="1020" w:type="dxa"/>
            <w:tcBorders>
              <w:top w:val="single" w:color="auto" w:sz="12" w:space="0"/>
              <w:bottom w:val="double" w:color="auto" w:sz="6" w:space="0"/>
            </w:tcBorders>
            <w:noWrap w:val="0"/>
            <w:vAlign w:val="center"/>
          </w:tcPr>
          <w:p w14:paraId="08E6215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生产能力</w:t>
            </w:r>
          </w:p>
        </w:tc>
        <w:tc>
          <w:tcPr>
            <w:tcW w:w="921" w:type="dxa"/>
            <w:tcBorders>
              <w:top w:val="single" w:color="auto" w:sz="12" w:space="0"/>
              <w:bottom w:val="double" w:color="auto" w:sz="6" w:space="0"/>
            </w:tcBorders>
            <w:noWrap w:val="0"/>
            <w:vAlign w:val="center"/>
          </w:tcPr>
          <w:p w14:paraId="5A320468">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备注</w:t>
            </w:r>
          </w:p>
        </w:tc>
      </w:tr>
      <w:tr w14:paraId="531E3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24C6E20B">
            <w:pPr>
              <w:pStyle w:val="10"/>
              <w:keepNext/>
              <w:spacing w:after="0" w:line="440" w:lineRule="exact"/>
              <w:ind w:left="63" w:right="63"/>
              <w:rPr>
                <w:rFonts w:ascii="宋体" w:hAnsi="宋体"/>
                <w:color w:val="000000"/>
                <w:sz w:val="24"/>
                <w:szCs w:val="24"/>
                <w:highlight w:val="none"/>
              </w:rPr>
            </w:pPr>
          </w:p>
        </w:tc>
        <w:tc>
          <w:tcPr>
            <w:tcW w:w="1418" w:type="dxa"/>
            <w:tcBorders>
              <w:top w:val="double" w:color="auto" w:sz="6" w:space="0"/>
              <w:bottom w:val="single" w:color="auto" w:sz="6" w:space="0"/>
            </w:tcBorders>
            <w:noWrap w:val="0"/>
            <w:vAlign w:val="center"/>
          </w:tcPr>
          <w:p w14:paraId="78ABF355">
            <w:pPr>
              <w:pStyle w:val="10"/>
              <w:keepNext/>
              <w:spacing w:after="0" w:line="440" w:lineRule="exact"/>
              <w:ind w:left="63" w:right="63"/>
              <w:rPr>
                <w:rFonts w:ascii="宋体" w:hAnsi="宋体"/>
                <w:color w:val="000000"/>
                <w:sz w:val="24"/>
                <w:szCs w:val="24"/>
                <w:highlight w:val="none"/>
              </w:rPr>
            </w:pPr>
          </w:p>
        </w:tc>
        <w:tc>
          <w:tcPr>
            <w:tcW w:w="850" w:type="dxa"/>
            <w:tcBorders>
              <w:top w:val="double" w:color="auto" w:sz="6" w:space="0"/>
              <w:bottom w:val="single" w:color="auto" w:sz="6" w:space="0"/>
            </w:tcBorders>
            <w:noWrap w:val="0"/>
            <w:vAlign w:val="center"/>
          </w:tcPr>
          <w:p w14:paraId="6B7A91C4">
            <w:pPr>
              <w:pStyle w:val="10"/>
              <w:keepNext/>
              <w:spacing w:after="0" w:line="440" w:lineRule="exact"/>
              <w:ind w:left="63" w:right="63"/>
              <w:rPr>
                <w:rFonts w:ascii="宋体" w:hAnsi="宋体"/>
                <w:color w:val="000000"/>
                <w:sz w:val="24"/>
                <w:szCs w:val="24"/>
                <w:highlight w:val="none"/>
              </w:rPr>
            </w:pPr>
          </w:p>
        </w:tc>
        <w:tc>
          <w:tcPr>
            <w:tcW w:w="1058" w:type="dxa"/>
            <w:tcBorders>
              <w:top w:val="double" w:color="auto" w:sz="6" w:space="0"/>
              <w:bottom w:val="single" w:color="auto" w:sz="6" w:space="0"/>
            </w:tcBorders>
            <w:noWrap w:val="0"/>
            <w:vAlign w:val="center"/>
          </w:tcPr>
          <w:p w14:paraId="06FCF3E7">
            <w:pPr>
              <w:pStyle w:val="10"/>
              <w:keepNext/>
              <w:spacing w:after="0" w:line="440" w:lineRule="exact"/>
              <w:ind w:left="63" w:right="63"/>
              <w:rPr>
                <w:rFonts w:ascii="宋体" w:hAnsi="宋体"/>
                <w:color w:val="000000"/>
                <w:sz w:val="24"/>
                <w:szCs w:val="24"/>
                <w:highlight w:val="none"/>
              </w:rPr>
            </w:pPr>
          </w:p>
        </w:tc>
        <w:tc>
          <w:tcPr>
            <w:tcW w:w="880" w:type="dxa"/>
            <w:tcBorders>
              <w:top w:val="double" w:color="auto" w:sz="6" w:space="0"/>
              <w:bottom w:val="single" w:color="auto" w:sz="6" w:space="0"/>
            </w:tcBorders>
            <w:noWrap w:val="0"/>
            <w:vAlign w:val="center"/>
          </w:tcPr>
          <w:p w14:paraId="4B4E56E9">
            <w:pPr>
              <w:pStyle w:val="10"/>
              <w:keepNext/>
              <w:spacing w:after="0" w:line="440" w:lineRule="exact"/>
              <w:ind w:left="63" w:right="63"/>
              <w:rPr>
                <w:rFonts w:ascii="宋体" w:hAnsi="宋体"/>
                <w:color w:val="000000"/>
                <w:sz w:val="24"/>
                <w:szCs w:val="24"/>
                <w:highlight w:val="none"/>
              </w:rPr>
            </w:pPr>
          </w:p>
        </w:tc>
        <w:tc>
          <w:tcPr>
            <w:tcW w:w="1020" w:type="dxa"/>
            <w:tcBorders>
              <w:top w:val="double" w:color="auto" w:sz="6" w:space="0"/>
              <w:bottom w:val="single" w:color="auto" w:sz="6" w:space="0"/>
            </w:tcBorders>
            <w:noWrap w:val="0"/>
            <w:vAlign w:val="center"/>
          </w:tcPr>
          <w:p w14:paraId="427E4C0B">
            <w:pPr>
              <w:pStyle w:val="10"/>
              <w:keepNext/>
              <w:spacing w:after="0" w:line="440" w:lineRule="exact"/>
              <w:ind w:left="63" w:right="63"/>
              <w:rPr>
                <w:rFonts w:ascii="宋体" w:hAnsi="宋体"/>
                <w:color w:val="000000"/>
                <w:sz w:val="24"/>
                <w:szCs w:val="24"/>
                <w:highlight w:val="none"/>
              </w:rPr>
            </w:pPr>
          </w:p>
        </w:tc>
        <w:tc>
          <w:tcPr>
            <w:tcW w:w="1480" w:type="dxa"/>
            <w:tcBorders>
              <w:top w:val="double" w:color="auto" w:sz="6" w:space="0"/>
              <w:bottom w:val="single" w:color="auto" w:sz="6" w:space="0"/>
            </w:tcBorders>
            <w:noWrap w:val="0"/>
            <w:vAlign w:val="center"/>
          </w:tcPr>
          <w:p w14:paraId="5753B943">
            <w:pPr>
              <w:pStyle w:val="10"/>
              <w:keepNext/>
              <w:spacing w:after="0" w:line="440" w:lineRule="exact"/>
              <w:ind w:left="63" w:right="63"/>
              <w:rPr>
                <w:rFonts w:ascii="宋体" w:hAnsi="宋体"/>
                <w:color w:val="000000"/>
                <w:sz w:val="24"/>
                <w:szCs w:val="24"/>
                <w:highlight w:val="none"/>
              </w:rPr>
            </w:pPr>
          </w:p>
        </w:tc>
        <w:tc>
          <w:tcPr>
            <w:tcW w:w="1020" w:type="dxa"/>
            <w:tcBorders>
              <w:top w:val="double" w:color="auto" w:sz="6" w:space="0"/>
              <w:bottom w:val="single" w:color="auto" w:sz="6" w:space="0"/>
            </w:tcBorders>
            <w:noWrap w:val="0"/>
            <w:vAlign w:val="center"/>
          </w:tcPr>
          <w:p w14:paraId="15E7B44F">
            <w:pPr>
              <w:pStyle w:val="10"/>
              <w:keepNext/>
              <w:spacing w:after="0" w:line="440" w:lineRule="exact"/>
              <w:ind w:left="63" w:right="63"/>
              <w:rPr>
                <w:rFonts w:ascii="宋体" w:hAnsi="宋体"/>
                <w:color w:val="000000"/>
                <w:sz w:val="24"/>
                <w:szCs w:val="24"/>
                <w:highlight w:val="none"/>
              </w:rPr>
            </w:pPr>
          </w:p>
        </w:tc>
        <w:tc>
          <w:tcPr>
            <w:tcW w:w="921" w:type="dxa"/>
            <w:tcBorders>
              <w:top w:val="double" w:color="auto" w:sz="6" w:space="0"/>
              <w:bottom w:val="single" w:color="auto" w:sz="6" w:space="0"/>
            </w:tcBorders>
            <w:noWrap w:val="0"/>
            <w:vAlign w:val="center"/>
          </w:tcPr>
          <w:p w14:paraId="33499219">
            <w:pPr>
              <w:pStyle w:val="10"/>
              <w:keepNext/>
              <w:spacing w:after="0" w:line="440" w:lineRule="exact"/>
              <w:ind w:left="63" w:right="63"/>
              <w:rPr>
                <w:rFonts w:ascii="宋体" w:hAnsi="宋体"/>
                <w:color w:val="000000"/>
                <w:sz w:val="24"/>
                <w:szCs w:val="24"/>
                <w:highlight w:val="none"/>
              </w:rPr>
            </w:pPr>
          </w:p>
        </w:tc>
      </w:tr>
      <w:tr w14:paraId="04E2D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BACB3A9">
            <w:pPr>
              <w:pStyle w:val="10"/>
              <w:keepNext/>
              <w:spacing w:after="0" w:line="440" w:lineRule="exact"/>
              <w:ind w:left="63" w:right="63"/>
              <w:rPr>
                <w:rFonts w:ascii="宋体" w:hAnsi="宋体"/>
                <w:color w:val="000000"/>
                <w:sz w:val="24"/>
                <w:szCs w:val="24"/>
                <w:highlight w:val="none"/>
              </w:rPr>
            </w:pPr>
          </w:p>
        </w:tc>
        <w:tc>
          <w:tcPr>
            <w:tcW w:w="1418" w:type="dxa"/>
            <w:tcBorders>
              <w:top w:val="nil"/>
            </w:tcBorders>
            <w:noWrap w:val="0"/>
            <w:vAlign w:val="center"/>
          </w:tcPr>
          <w:p w14:paraId="5E9105C6">
            <w:pPr>
              <w:pStyle w:val="10"/>
              <w:keepNext/>
              <w:spacing w:after="0" w:line="440" w:lineRule="exact"/>
              <w:ind w:left="63" w:right="63"/>
              <w:rPr>
                <w:rFonts w:ascii="宋体" w:hAnsi="宋体"/>
                <w:color w:val="000000"/>
                <w:sz w:val="24"/>
                <w:szCs w:val="24"/>
                <w:highlight w:val="none"/>
              </w:rPr>
            </w:pPr>
          </w:p>
        </w:tc>
        <w:tc>
          <w:tcPr>
            <w:tcW w:w="850" w:type="dxa"/>
            <w:tcBorders>
              <w:top w:val="nil"/>
            </w:tcBorders>
            <w:noWrap w:val="0"/>
            <w:vAlign w:val="center"/>
          </w:tcPr>
          <w:p w14:paraId="32E463B7">
            <w:pPr>
              <w:pStyle w:val="10"/>
              <w:keepNext/>
              <w:spacing w:after="0" w:line="440" w:lineRule="exact"/>
              <w:ind w:left="63" w:right="63"/>
              <w:rPr>
                <w:rFonts w:ascii="宋体" w:hAnsi="宋体"/>
                <w:color w:val="000000"/>
                <w:sz w:val="24"/>
                <w:szCs w:val="24"/>
                <w:highlight w:val="none"/>
              </w:rPr>
            </w:pPr>
          </w:p>
        </w:tc>
        <w:tc>
          <w:tcPr>
            <w:tcW w:w="1058" w:type="dxa"/>
            <w:tcBorders>
              <w:top w:val="nil"/>
            </w:tcBorders>
            <w:noWrap w:val="0"/>
            <w:vAlign w:val="center"/>
          </w:tcPr>
          <w:p w14:paraId="7F51D9AA">
            <w:pPr>
              <w:pStyle w:val="10"/>
              <w:keepNext/>
              <w:spacing w:after="0" w:line="440" w:lineRule="exact"/>
              <w:ind w:left="63" w:right="63"/>
              <w:rPr>
                <w:rFonts w:ascii="宋体" w:hAnsi="宋体"/>
                <w:color w:val="000000"/>
                <w:sz w:val="24"/>
                <w:szCs w:val="24"/>
                <w:highlight w:val="none"/>
              </w:rPr>
            </w:pPr>
          </w:p>
        </w:tc>
        <w:tc>
          <w:tcPr>
            <w:tcW w:w="880" w:type="dxa"/>
            <w:tcBorders>
              <w:top w:val="nil"/>
            </w:tcBorders>
            <w:noWrap w:val="0"/>
            <w:vAlign w:val="center"/>
          </w:tcPr>
          <w:p w14:paraId="60F6C981">
            <w:pPr>
              <w:pStyle w:val="10"/>
              <w:keepNext/>
              <w:spacing w:after="0" w:line="440" w:lineRule="exact"/>
              <w:ind w:left="63" w:right="63"/>
              <w:rPr>
                <w:rFonts w:ascii="宋体" w:hAnsi="宋体"/>
                <w:color w:val="000000"/>
                <w:sz w:val="24"/>
                <w:szCs w:val="24"/>
                <w:highlight w:val="none"/>
              </w:rPr>
            </w:pPr>
          </w:p>
        </w:tc>
        <w:tc>
          <w:tcPr>
            <w:tcW w:w="1020" w:type="dxa"/>
            <w:tcBorders>
              <w:top w:val="nil"/>
            </w:tcBorders>
            <w:noWrap w:val="0"/>
            <w:vAlign w:val="center"/>
          </w:tcPr>
          <w:p w14:paraId="5283DE3A">
            <w:pPr>
              <w:pStyle w:val="10"/>
              <w:keepNext/>
              <w:spacing w:after="0" w:line="440" w:lineRule="exact"/>
              <w:ind w:left="63" w:right="63"/>
              <w:rPr>
                <w:rFonts w:ascii="宋体" w:hAnsi="宋体"/>
                <w:color w:val="000000"/>
                <w:sz w:val="24"/>
                <w:szCs w:val="24"/>
                <w:highlight w:val="none"/>
              </w:rPr>
            </w:pPr>
          </w:p>
        </w:tc>
        <w:tc>
          <w:tcPr>
            <w:tcW w:w="1480" w:type="dxa"/>
            <w:tcBorders>
              <w:top w:val="nil"/>
            </w:tcBorders>
            <w:noWrap w:val="0"/>
            <w:vAlign w:val="center"/>
          </w:tcPr>
          <w:p w14:paraId="52AA1166">
            <w:pPr>
              <w:pStyle w:val="10"/>
              <w:keepNext/>
              <w:spacing w:after="0" w:line="440" w:lineRule="exact"/>
              <w:ind w:left="63" w:right="63"/>
              <w:rPr>
                <w:rFonts w:ascii="宋体" w:hAnsi="宋体"/>
                <w:color w:val="000000"/>
                <w:sz w:val="24"/>
                <w:szCs w:val="24"/>
                <w:highlight w:val="none"/>
              </w:rPr>
            </w:pPr>
          </w:p>
        </w:tc>
        <w:tc>
          <w:tcPr>
            <w:tcW w:w="1020" w:type="dxa"/>
            <w:tcBorders>
              <w:top w:val="nil"/>
            </w:tcBorders>
            <w:noWrap w:val="0"/>
            <w:vAlign w:val="center"/>
          </w:tcPr>
          <w:p w14:paraId="12EADF91">
            <w:pPr>
              <w:pStyle w:val="10"/>
              <w:keepNext/>
              <w:spacing w:after="0" w:line="440" w:lineRule="exact"/>
              <w:ind w:left="63" w:right="63"/>
              <w:rPr>
                <w:rFonts w:ascii="宋体" w:hAnsi="宋体"/>
                <w:color w:val="000000"/>
                <w:sz w:val="24"/>
                <w:szCs w:val="24"/>
                <w:highlight w:val="none"/>
              </w:rPr>
            </w:pPr>
          </w:p>
        </w:tc>
        <w:tc>
          <w:tcPr>
            <w:tcW w:w="921" w:type="dxa"/>
            <w:tcBorders>
              <w:top w:val="nil"/>
            </w:tcBorders>
            <w:noWrap w:val="0"/>
            <w:vAlign w:val="center"/>
          </w:tcPr>
          <w:p w14:paraId="626A00AD">
            <w:pPr>
              <w:pStyle w:val="10"/>
              <w:keepNext/>
              <w:spacing w:after="0" w:line="440" w:lineRule="exact"/>
              <w:ind w:left="63" w:right="63"/>
              <w:rPr>
                <w:rFonts w:ascii="宋体" w:hAnsi="宋体"/>
                <w:color w:val="000000"/>
                <w:sz w:val="24"/>
                <w:szCs w:val="24"/>
                <w:highlight w:val="none"/>
              </w:rPr>
            </w:pPr>
          </w:p>
        </w:tc>
      </w:tr>
      <w:tr w14:paraId="70C23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BCBE690">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57AA1CF7">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31165645">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48DB8D01">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6626DFD1">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1FF91689">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4861F16D">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2B393F26">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54E47DDF">
            <w:pPr>
              <w:pStyle w:val="10"/>
              <w:keepNext/>
              <w:spacing w:after="0" w:line="440" w:lineRule="exact"/>
              <w:ind w:left="63" w:right="63"/>
              <w:rPr>
                <w:rFonts w:ascii="宋体" w:hAnsi="宋体"/>
                <w:color w:val="000000"/>
                <w:sz w:val="24"/>
                <w:szCs w:val="24"/>
                <w:highlight w:val="none"/>
              </w:rPr>
            </w:pPr>
          </w:p>
        </w:tc>
      </w:tr>
      <w:tr w14:paraId="0D133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91B1FB4">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7E2DAC35">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7590EBB1">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21A01F32">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4EA5831F">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2483EB4B">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034CE983">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4604B8BD">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460C552A">
            <w:pPr>
              <w:pStyle w:val="10"/>
              <w:keepNext/>
              <w:spacing w:after="0" w:line="440" w:lineRule="exact"/>
              <w:ind w:left="63" w:right="63"/>
              <w:rPr>
                <w:rFonts w:ascii="宋体" w:hAnsi="宋体"/>
                <w:color w:val="000000"/>
                <w:sz w:val="24"/>
                <w:szCs w:val="24"/>
                <w:highlight w:val="none"/>
              </w:rPr>
            </w:pPr>
          </w:p>
        </w:tc>
      </w:tr>
      <w:tr w14:paraId="25B78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4E199E1">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02243030">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75706CEE">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1787EB51">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05D877AA">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07057C6D">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7BD665BC">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027E4288">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4B7C37C1">
            <w:pPr>
              <w:pStyle w:val="10"/>
              <w:keepNext/>
              <w:spacing w:after="0" w:line="440" w:lineRule="exact"/>
              <w:ind w:left="63" w:right="63"/>
              <w:rPr>
                <w:rFonts w:ascii="宋体" w:hAnsi="宋体"/>
                <w:color w:val="000000"/>
                <w:sz w:val="24"/>
                <w:szCs w:val="24"/>
                <w:highlight w:val="none"/>
              </w:rPr>
            </w:pPr>
          </w:p>
        </w:tc>
      </w:tr>
      <w:tr w14:paraId="18E63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DE163C8">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28DCB5E2">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7FB00984">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7C79FE88">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0A8D392F">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08B40E6E">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243F4B03">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621F7EB1">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2A61CBE9">
            <w:pPr>
              <w:pStyle w:val="10"/>
              <w:keepNext/>
              <w:spacing w:after="0" w:line="440" w:lineRule="exact"/>
              <w:ind w:left="63" w:right="63"/>
              <w:rPr>
                <w:rFonts w:ascii="宋体" w:hAnsi="宋体"/>
                <w:color w:val="000000"/>
                <w:sz w:val="24"/>
                <w:szCs w:val="24"/>
                <w:highlight w:val="none"/>
              </w:rPr>
            </w:pPr>
          </w:p>
        </w:tc>
      </w:tr>
      <w:tr w14:paraId="3AA8F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171FD9B">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1E2FF30D">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2571B74A">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018DD230">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310B3181">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66478AF7">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739537B2">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621E7843">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11AAF6FF">
            <w:pPr>
              <w:pStyle w:val="10"/>
              <w:keepNext/>
              <w:spacing w:after="0" w:line="440" w:lineRule="exact"/>
              <w:ind w:left="63" w:right="63"/>
              <w:rPr>
                <w:rFonts w:ascii="宋体" w:hAnsi="宋体"/>
                <w:color w:val="000000"/>
                <w:sz w:val="24"/>
                <w:szCs w:val="24"/>
                <w:highlight w:val="none"/>
              </w:rPr>
            </w:pPr>
          </w:p>
        </w:tc>
      </w:tr>
      <w:tr w14:paraId="50466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3310DED">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20D718C1">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3ACAF9B4">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3FDD943B">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7754C76D">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752B3D98">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64A53CA9">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14B417B2">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1046BA1F">
            <w:pPr>
              <w:pStyle w:val="10"/>
              <w:keepNext/>
              <w:spacing w:after="0" w:line="440" w:lineRule="exact"/>
              <w:ind w:left="63" w:right="63"/>
              <w:rPr>
                <w:rFonts w:ascii="宋体" w:hAnsi="宋体"/>
                <w:color w:val="000000"/>
                <w:sz w:val="24"/>
                <w:szCs w:val="24"/>
                <w:highlight w:val="none"/>
              </w:rPr>
            </w:pPr>
          </w:p>
        </w:tc>
      </w:tr>
      <w:tr w14:paraId="01445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85A40FB">
            <w:pPr>
              <w:rPr>
                <w:rFonts w:ascii="宋体" w:hAnsi="宋体" w:eastAsia="宋体"/>
                <w:color w:val="000000"/>
                <w:sz w:val="24"/>
                <w:szCs w:val="24"/>
                <w:highlight w:val="none"/>
              </w:rPr>
            </w:pPr>
          </w:p>
        </w:tc>
        <w:tc>
          <w:tcPr>
            <w:tcW w:w="1418" w:type="dxa"/>
            <w:noWrap w:val="0"/>
            <w:vAlign w:val="top"/>
          </w:tcPr>
          <w:p w14:paraId="3E86B82B">
            <w:pPr>
              <w:rPr>
                <w:rFonts w:ascii="宋体" w:hAnsi="宋体" w:eastAsia="宋体"/>
                <w:color w:val="000000"/>
                <w:sz w:val="24"/>
                <w:szCs w:val="24"/>
                <w:highlight w:val="none"/>
              </w:rPr>
            </w:pPr>
          </w:p>
        </w:tc>
        <w:tc>
          <w:tcPr>
            <w:tcW w:w="850" w:type="dxa"/>
            <w:noWrap w:val="0"/>
            <w:vAlign w:val="top"/>
          </w:tcPr>
          <w:p w14:paraId="4753DB24">
            <w:pPr>
              <w:rPr>
                <w:rFonts w:ascii="宋体" w:hAnsi="宋体" w:eastAsia="宋体"/>
                <w:color w:val="000000"/>
                <w:sz w:val="24"/>
                <w:szCs w:val="24"/>
                <w:highlight w:val="none"/>
              </w:rPr>
            </w:pPr>
          </w:p>
        </w:tc>
        <w:tc>
          <w:tcPr>
            <w:tcW w:w="1058" w:type="dxa"/>
            <w:noWrap w:val="0"/>
            <w:vAlign w:val="top"/>
          </w:tcPr>
          <w:p w14:paraId="00A1F2CE">
            <w:pPr>
              <w:rPr>
                <w:rFonts w:ascii="宋体" w:hAnsi="宋体" w:eastAsia="宋体"/>
                <w:color w:val="000000"/>
                <w:sz w:val="24"/>
                <w:szCs w:val="24"/>
                <w:highlight w:val="none"/>
              </w:rPr>
            </w:pPr>
          </w:p>
        </w:tc>
        <w:tc>
          <w:tcPr>
            <w:tcW w:w="880" w:type="dxa"/>
            <w:noWrap w:val="0"/>
            <w:vAlign w:val="top"/>
          </w:tcPr>
          <w:p w14:paraId="692B0E38">
            <w:pPr>
              <w:rPr>
                <w:rFonts w:ascii="宋体" w:hAnsi="宋体" w:eastAsia="宋体"/>
                <w:color w:val="000000"/>
                <w:sz w:val="24"/>
                <w:szCs w:val="24"/>
                <w:highlight w:val="none"/>
              </w:rPr>
            </w:pPr>
          </w:p>
        </w:tc>
        <w:tc>
          <w:tcPr>
            <w:tcW w:w="1020" w:type="dxa"/>
            <w:noWrap w:val="0"/>
            <w:vAlign w:val="top"/>
          </w:tcPr>
          <w:p w14:paraId="553A66FB">
            <w:pPr>
              <w:rPr>
                <w:rFonts w:ascii="宋体" w:hAnsi="宋体" w:eastAsia="宋体"/>
                <w:color w:val="000000"/>
                <w:sz w:val="24"/>
                <w:szCs w:val="24"/>
                <w:highlight w:val="none"/>
              </w:rPr>
            </w:pPr>
          </w:p>
        </w:tc>
        <w:tc>
          <w:tcPr>
            <w:tcW w:w="1480" w:type="dxa"/>
            <w:noWrap w:val="0"/>
            <w:vAlign w:val="top"/>
          </w:tcPr>
          <w:p w14:paraId="4A43290E">
            <w:pPr>
              <w:rPr>
                <w:rFonts w:ascii="宋体" w:hAnsi="宋体" w:eastAsia="宋体"/>
                <w:color w:val="000000"/>
                <w:sz w:val="24"/>
                <w:szCs w:val="24"/>
                <w:highlight w:val="none"/>
              </w:rPr>
            </w:pPr>
          </w:p>
        </w:tc>
        <w:tc>
          <w:tcPr>
            <w:tcW w:w="1020" w:type="dxa"/>
            <w:noWrap w:val="0"/>
            <w:vAlign w:val="top"/>
          </w:tcPr>
          <w:p w14:paraId="3A8E36CD">
            <w:pPr>
              <w:rPr>
                <w:rFonts w:ascii="宋体" w:hAnsi="宋体" w:eastAsia="宋体"/>
                <w:color w:val="000000"/>
                <w:sz w:val="24"/>
                <w:szCs w:val="24"/>
                <w:highlight w:val="none"/>
              </w:rPr>
            </w:pPr>
          </w:p>
        </w:tc>
        <w:tc>
          <w:tcPr>
            <w:tcW w:w="921" w:type="dxa"/>
            <w:noWrap w:val="0"/>
            <w:vAlign w:val="top"/>
          </w:tcPr>
          <w:p w14:paraId="5670C768">
            <w:pPr>
              <w:rPr>
                <w:rFonts w:ascii="宋体" w:hAnsi="宋体" w:eastAsia="宋体"/>
                <w:color w:val="000000"/>
                <w:sz w:val="24"/>
                <w:szCs w:val="24"/>
                <w:highlight w:val="none"/>
              </w:rPr>
            </w:pPr>
          </w:p>
        </w:tc>
      </w:tr>
      <w:tr w14:paraId="296C2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514908">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1ED79355">
            <w:pPr>
              <w:pStyle w:val="10"/>
              <w:keepNext/>
              <w:spacing w:after="0" w:line="440" w:lineRule="exact"/>
              <w:ind w:left="63" w:right="63"/>
              <w:rPr>
                <w:rFonts w:ascii="宋体" w:hAnsi="宋体"/>
                <w:color w:val="000000"/>
                <w:sz w:val="24"/>
                <w:szCs w:val="24"/>
                <w:highlight w:val="none"/>
              </w:rPr>
            </w:pPr>
          </w:p>
        </w:tc>
        <w:tc>
          <w:tcPr>
            <w:tcW w:w="850" w:type="dxa"/>
            <w:noWrap w:val="0"/>
            <w:vAlign w:val="center"/>
          </w:tcPr>
          <w:p w14:paraId="5F8F9C43">
            <w:pPr>
              <w:pStyle w:val="10"/>
              <w:keepNext/>
              <w:spacing w:after="0" w:line="440" w:lineRule="exact"/>
              <w:ind w:left="63" w:right="63"/>
              <w:rPr>
                <w:rFonts w:ascii="宋体" w:hAnsi="宋体"/>
                <w:color w:val="000000"/>
                <w:sz w:val="24"/>
                <w:szCs w:val="24"/>
                <w:highlight w:val="none"/>
              </w:rPr>
            </w:pPr>
          </w:p>
        </w:tc>
        <w:tc>
          <w:tcPr>
            <w:tcW w:w="1058" w:type="dxa"/>
            <w:noWrap w:val="0"/>
            <w:vAlign w:val="center"/>
          </w:tcPr>
          <w:p w14:paraId="21BABD9B">
            <w:pPr>
              <w:pStyle w:val="10"/>
              <w:keepNext/>
              <w:spacing w:after="0" w:line="440" w:lineRule="exact"/>
              <w:ind w:left="63" w:right="63"/>
              <w:rPr>
                <w:rFonts w:ascii="宋体" w:hAnsi="宋体"/>
                <w:color w:val="000000"/>
                <w:sz w:val="24"/>
                <w:szCs w:val="24"/>
                <w:highlight w:val="none"/>
              </w:rPr>
            </w:pPr>
          </w:p>
        </w:tc>
        <w:tc>
          <w:tcPr>
            <w:tcW w:w="880" w:type="dxa"/>
            <w:noWrap w:val="0"/>
            <w:vAlign w:val="center"/>
          </w:tcPr>
          <w:p w14:paraId="7CC90CE1">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7D0F634B">
            <w:pPr>
              <w:pStyle w:val="10"/>
              <w:keepNext/>
              <w:spacing w:after="0" w:line="440" w:lineRule="exact"/>
              <w:ind w:left="63" w:right="63"/>
              <w:rPr>
                <w:rFonts w:ascii="宋体" w:hAnsi="宋体"/>
                <w:color w:val="000000"/>
                <w:sz w:val="24"/>
                <w:szCs w:val="24"/>
                <w:highlight w:val="none"/>
              </w:rPr>
            </w:pPr>
          </w:p>
        </w:tc>
        <w:tc>
          <w:tcPr>
            <w:tcW w:w="1480" w:type="dxa"/>
            <w:noWrap w:val="0"/>
            <w:vAlign w:val="center"/>
          </w:tcPr>
          <w:p w14:paraId="50583B8A">
            <w:pPr>
              <w:pStyle w:val="10"/>
              <w:keepNext/>
              <w:spacing w:after="0" w:line="440" w:lineRule="exact"/>
              <w:ind w:left="63" w:right="63"/>
              <w:rPr>
                <w:rFonts w:ascii="宋体" w:hAnsi="宋体"/>
                <w:color w:val="000000"/>
                <w:sz w:val="24"/>
                <w:szCs w:val="24"/>
                <w:highlight w:val="none"/>
              </w:rPr>
            </w:pPr>
          </w:p>
        </w:tc>
        <w:tc>
          <w:tcPr>
            <w:tcW w:w="1020" w:type="dxa"/>
            <w:noWrap w:val="0"/>
            <w:vAlign w:val="center"/>
          </w:tcPr>
          <w:p w14:paraId="629DAC19">
            <w:pPr>
              <w:pStyle w:val="10"/>
              <w:keepNext/>
              <w:spacing w:after="0" w:line="440" w:lineRule="exact"/>
              <w:ind w:left="63" w:right="63"/>
              <w:rPr>
                <w:rFonts w:ascii="宋体" w:hAnsi="宋体"/>
                <w:color w:val="000000"/>
                <w:sz w:val="24"/>
                <w:szCs w:val="24"/>
                <w:highlight w:val="none"/>
              </w:rPr>
            </w:pPr>
          </w:p>
        </w:tc>
        <w:tc>
          <w:tcPr>
            <w:tcW w:w="921" w:type="dxa"/>
            <w:noWrap w:val="0"/>
            <w:vAlign w:val="center"/>
          </w:tcPr>
          <w:p w14:paraId="5C4DCA73">
            <w:pPr>
              <w:pStyle w:val="10"/>
              <w:keepNext/>
              <w:spacing w:after="0" w:line="440" w:lineRule="exact"/>
              <w:ind w:left="63" w:right="63"/>
              <w:rPr>
                <w:rFonts w:ascii="宋体" w:hAnsi="宋体"/>
                <w:color w:val="000000"/>
                <w:sz w:val="24"/>
                <w:szCs w:val="24"/>
                <w:highlight w:val="none"/>
              </w:rPr>
            </w:pPr>
          </w:p>
        </w:tc>
      </w:tr>
      <w:tr w14:paraId="2906D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40C09A5">
            <w:pPr>
              <w:rPr>
                <w:rFonts w:ascii="宋体" w:hAnsi="宋体" w:eastAsia="宋体"/>
                <w:color w:val="000000"/>
                <w:sz w:val="24"/>
                <w:szCs w:val="24"/>
                <w:highlight w:val="none"/>
              </w:rPr>
            </w:pPr>
          </w:p>
        </w:tc>
        <w:tc>
          <w:tcPr>
            <w:tcW w:w="1418" w:type="dxa"/>
            <w:noWrap w:val="0"/>
            <w:vAlign w:val="top"/>
          </w:tcPr>
          <w:p w14:paraId="792C1F3D">
            <w:pPr>
              <w:rPr>
                <w:rFonts w:ascii="宋体" w:hAnsi="宋体" w:eastAsia="宋体"/>
                <w:color w:val="000000"/>
                <w:sz w:val="24"/>
                <w:szCs w:val="24"/>
                <w:highlight w:val="none"/>
              </w:rPr>
            </w:pPr>
          </w:p>
        </w:tc>
        <w:tc>
          <w:tcPr>
            <w:tcW w:w="850" w:type="dxa"/>
            <w:noWrap w:val="0"/>
            <w:vAlign w:val="top"/>
          </w:tcPr>
          <w:p w14:paraId="54DA17F1">
            <w:pPr>
              <w:rPr>
                <w:rFonts w:ascii="宋体" w:hAnsi="宋体" w:eastAsia="宋体"/>
                <w:color w:val="000000"/>
                <w:sz w:val="24"/>
                <w:szCs w:val="24"/>
                <w:highlight w:val="none"/>
              </w:rPr>
            </w:pPr>
          </w:p>
        </w:tc>
        <w:tc>
          <w:tcPr>
            <w:tcW w:w="1058" w:type="dxa"/>
            <w:noWrap w:val="0"/>
            <w:vAlign w:val="top"/>
          </w:tcPr>
          <w:p w14:paraId="05A98BE1">
            <w:pPr>
              <w:rPr>
                <w:rFonts w:ascii="宋体" w:hAnsi="宋体" w:eastAsia="宋体"/>
                <w:color w:val="000000"/>
                <w:sz w:val="24"/>
                <w:szCs w:val="24"/>
                <w:highlight w:val="none"/>
              </w:rPr>
            </w:pPr>
          </w:p>
        </w:tc>
        <w:tc>
          <w:tcPr>
            <w:tcW w:w="880" w:type="dxa"/>
            <w:noWrap w:val="0"/>
            <w:vAlign w:val="top"/>
          </w:tcPr>
          <w:p w14:paraId="37F07D19">
            <w:pPr>
              <w:rPr>
                <w:rFonts w:ascii="宋体" w:hAnsi="宋体" w:eastAsia="宋体"/>
                <w:color w:val="000000"/>
                <w:sz w:val="24"/>
                <w:szCs w:val="24"/>
                <w:highlight w:val="none"/>
              </w:rPr>
            </w:pPr>
          </w:p>
        </w:tc>
        <w:tc>
          <w:tcPr>
            <w:tcW w:w="1020" w:type="dxa"/>
            <w:noWrap w:val="0"/>
            <w:vAlign w:val="top"/>
          </w:tcPr>
          <w:p w14:paraId="3CA47381">
            <w:pPr>
              <w:rPr>
                <w:rFonts w:ascii="宋体" w:hAnsi="宋体" w:eastAsia="宋体"/>
                <w:color w:val="000000"/>
                <w:sz w:val="24"/>
                <w:szCs w:val="24"/>
                <w:highlight w:val="none"/>
              </w:rPr>
            </w:pPr>
          </w:p>
        </w:tc>
        <w:tc>
          <w:tcPr>
            <w:tcW w:w="1480" w:type="dxa"/>
            <w:noWrap w:val="0"/>
            <w:vAlign w:val="top"/>
          </w:tcPr>
          <w:p w14:paraId="202A566C">
            <w:pPr>
              <w:rPr>
                <w:rFonts w:ascii="宋体" w:hAnsi="宋体" w:eastAsia="宋体"/>
                <w:color w:val="000000"/>
                <w:sz w:val="24"/>
                <w:szCs w:val="24"/>
                <w:highlight w:val="none"/>
              </w:rPr>
            </w:pPr>
          </w:p>
        </w:tc>
        <w:tc>
          <w:tcPr>
            <w:tcW w:w="1020" w:type="dxa"/>
            <w:noWrap w:val="0"/>
            <w:vAlign w:val="top"/>
          </w:tcPr>
          <w:p w14:paraId="5D527506">
            <w:pPr>
              <w:rPr>
                <w:rFonts w:ascii="宋体" w:hAnsi="宋体" w:eastAsia="宋体"/>
                <w:color w:val="000000"/>
                <w:sz w:val="24"/>
                <w:szCs w:val="24"/>
                <w:highlight w:val="none"/>
              </w:rPr>
            </w:pPr>
          </w:p>
        </w:tc>
        <w:tc>
          <w:tcPr>
            <w:tcW w:w="921" w:type="dxa"/>
            <w:noWrap w:val="0"/>
            <w:vAlign w:val="top"/>
          </w:tcPr>
          <w:p w14:paraId="5DCF293C">
            <w:pPr>
              <w:rPr>
                <w:rFonts w:ascii="宋体" w:hAnsi="宋体" w:eastAsia="宋体"/>
                <w:color w:val="000000"/>
                <w:sz w:val="24"/>
                <w:szCs w:val="24"/>
                <w:highlight w:val="none"/>
              </w:rPr>
            </w:pPr>
          </w:p>
        </w:tc>
      </w:tr>
      <w:tr w14:paraId="18661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95A14E1">
            <w:pPr>
              <w:rPr>
                <w:rFonts w:ascii="宋体" w:hAnsi="宋体" w:eastAsia="宋体"/>
                <w:color w:val="000000"/>
                <w:sz w:val="24"/>
                <w:szCs w:val="24"/>
                <w:highlight w:val="none"/>
              </w:rPr>
            </w:pPr>
          </w:p>
        </w:tc>
        <w:tc>
          <w:tcPr>
            <w:tcW w:w="1418" w:type="dxa"/>
            <w:noWrap w:val="0"/>
            <w:vAlign w:val="top"/>
          </w:tcPr>
          <w:p w14:paraId="3C645160">
            <w:pPr>
              <w:rPr>
                <w:rFonts w:ascii="宋体" w:hAnsi="宋体" w:eastAsia="宋体"/>
                <w:color w:val="000000"/>
                <w:sz w:val="24"/>
                <w:szCs w:val="24"/>
                <w:highlight w:val="none"/>
              </w:rPr>
            </w:pPr>
          </w:p>
        </w:tc>
        <w:tc>
          <w:tcPr>
            <w:tcW w:w="850" w:type="dxa"/>
            <w:noWrap w:val="0"/>
            <w:vAlign w:val="top"/>
          </w:tcPr>
          <w:p w14:paraId="1E499907">
            <w:pPr>
              <w:rPr>
                <w:rFonts w:ascii="宋体" w:hAnsi="宋体" w:eastAsia="宋体"/>
                <w:color w:val="000000"/>
                <w:sz w:val="24"/>
                <w:szCs w:val="24"/>
                <w:highlight w:val="none"/>
              </w:rPr>
            </w:pPr>
          </w:p>
        </w:tc>
        <w:tc>
          <w:tcPr>
            <w:tcW w:w="1058" w:type="dxa"/>
            <w:noWrap w:val="0"/>
            <w:vAlign w:val="top"/>
          </w:tcPr>
          <w:p w14:paraId="038CB13D">
            <w:pPr>
              <w:rPr>
                <w:rFonts w:ascii="宋体" w:hAnsi="宋体" w:eastAsia="宋体"/>
                <w:color w:val="000000"/>
                <w:sz w:val="24"/>
                <w:szCs w:val="24"/>
                <w:highlight w:val="none"/>
              </w:rPr>
            </w:pPr>
          </w:p>
        </w:tc>
        <w:tc>
          <w:tcPr>
            <w:tcW w:w="880" w:type="dxa"/>
            <w:noWrap w:val="0"/>
            <w:vAlign w:val="top"/>
          </w:tcPr>
          <w:p w14:paraId="40473013">
            <w:pPr>
              <w:rPr>
                <w:rFonts w:ascii="宋体" w:hAnsi="宋体" w:eastAsia="宋体"/>
                <w:color w:val="000000"/>
                <w:sz w:val="24"/>
                <w:szCs w:val="24"/>
                <w:highlight w:val="none"/>
              </w:rPr>
            </w:pPr>
          </w:p>
        </w:tc>
        <w:tc>
          <w:tcPr>
            <w:tcW w:w="1020" w:type="dxa"/>
            <w:noWrap w:val="0"/>
            <w:vAlign w:val="top"/>
          </w:tcPr>
          <w:p w14:paraId="13F6ACF8">
            <w:pPr>
              <w:rPr>
                <w:rFonts w:ascii="宋体" w:hAnsi="宋体" w:eastAsia="宋体"/>
                <w:color w:val="000000"/>
                <w:sz w:val="24"/>
                <w:szCs w:val="24"/>
                <w:highlight w:val="none"/>
              </w:rPr>
            </w:pPr>
          </w:p>
        </w:tc>
        <w:tc>
          <w:tcPr>
            <w:tcW w:w="1480" w:type="dxa"/>
            <w:noWrap w:val="0"/>
            <w:vAlign w:val="top"/>
          </w:tcPr>
          <w:p w14:paraId="0054B9B7">
            <w:pPr>
              <w:rPr>
                <w:rFonts w:ascii="宋体" w:hAnsi="宋体" w:eastAsia="宋体"/>
                <w:color w:val="000000"/>
                <w:sz w:val="24"/>
                <w:szCs w:val="24"/>
                <w:highlight w:val="none"/>
              </w:rPr>
            </w:pPr>
          </w:p>
        </w:tc>
        <w:tc>
          <w:tcPr>
            <w:tcW w:w="1020" w:type="dxa"/>
            <w:noWrap w:val="0"/>
            <w:vAlign w:val="top"/>
          </w:tcPr>
          <w:p w14:paraId="5EF8D94F">
            <w:pPr>
              <w:rPr>
                <w:rFonts w:ascii="宋体" w:hAnsi="宋体" w:eastAsia="宋体"/>
                <w:color w:val="000000"/>
                <w:sz w:val="24"/>
                <w:szCs w:val="24"/>
                <w:highlight w:val="none"/>
              </w:rPr>
            </w:pPr>
          </w:p>
        </w:tc>
        <w:tc>
          <w:tcPr>
            <w:tcW w:w="921" w:type="dxa"/>
            <w:noWrap w:val="0"/>
            <w:vAlign w:val="top"/>
          </w:tcPr>
          <w:p w14:paraId="5DF05C0C">
            <w:pPr>
              <w:rPr>
                <w:rFonts w:ascii="宋体" w:hAnsi="宋体" w:eastAsia="宋体"/>
                <w:color w:val="000000"/>
                <w:sz w:val="24"/>
                <w:szCs w:val="24"/>
                <w:highlight w:val="none"/>
              </w:rPr>
            </w:pPr>
          </w:p>
        </w:tc>
      </w:tr>
      <w:tr w14:paraId="28A51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AC36649">
            <w:pPr>
              <w:rPr>
                <w:rFonts w:ascii="宋体" w:hAnsi="宋体" w:eastAsia="宋体"/>
                <w:color w:val="000000"/>
                <w:sz w:val="24"/>
                <w:szCs w:val="24"/>
                <w:highlight w:val="none"/>
              </w:rPr>
            </w:pPr>
          </w:p>
        </w:tc>
        <w:tc>
          <w:tcPr>
            <w:tcW w:w="1418" w:type="dxa"/>
            <w:noWrap w:val="0"/>
            <w:vAlign w:val="top"/>
          </w:tcPr>
          <w:p w14:paraId="59416F4A">
            <w:pPr>
              <w:rPr>
                <w:rFonts w:ascii="宋体" w:hAnsi="宋体" w:eastAsia="宋体"/>
                <w:color w:val="000000"/>
                <w:sz w:val="24"/>
                <w:szCs w:val="24"/>
                <w:highlight w:val="none"/>
              </w:rPr>
            </w:pPr>
          </w:p>
        </w:tc>
        <w:tc>
          <w:tcPr>
            <w:tcW w:w="850" w:type="dxa"/>
            <w:noWrap w:val="0"/>
            <w:vAlign w:val="top"/>
          </w:tcPr>
          <w:p w14:paraId="5B296E63">
            <w:pPr>
              <w:rPr>
                <w:rFonts w:ascii="宋体" w:hAnsi="宋体" w:eastAsia="宋体"/>
                <w:color w:val="000000"/>
                <w:sz w:val="24"/>
                <w:szCs w:val="24"/>
                <w:highlight w:val="none"/>
              </w:rPr>
            </w:pPr>
          </w:p>
        </w:tc>
        <w:tc>
          <w:tcPr>
            <w:tcW w:w="1058" w:type="dxa"/>
            <w:noWrap w:val="0"/>
            <w:vAlign w:val="top"/>
          </w:tcPr>
          <w:p w14:paraId="5AEEE6FF">
            <w:pPr>
              <w:rPr>
                <w:rFonts w:ascii="宋体" w:hAnsi="宋体" w:eastAsia="宋体"/>
                <w:color w:val="000000"/>
                <w:sz w:val="24"/>
                <w:szCs w:val="24"/>
                <w:highlight w:val="none"/>
              </w:rPr>
            </w:pPr>
          </w:p>
        </w:tc>
        <w:tc>
          <w:tcPr>
            <w:tcW w:w="880" w:type="dxa"/>
            <w:noWrap w:val="0"/>
            <w:vAlign w:val="top"/>
          </w:tcPr>
          <w:p w14:paraId="3E51BA90">
            <w:pPr>
              <w:rPr>
                <w:rFonts w:ascii="宋体" w:hAnsi="宋体" w:eastAsia="宋体"/>
                <w:color w:val="000000"/>
                <w:sz w:val="24"/>
                <w:szCs w:val="24"/>
                <w:highlight w:val="none"/>
              </w:rPr>
            </w:pPr>
          </w:p>
        </w:tc>
        <w:tc>
          <w:tcPr>
            <w:tcW w:w="1020" w:type="dxa"/>
            <w:noWrap w:val="0"/>
            <w:vAlign w:val="top"/>
          </w:tcPr>
          <w:p w14:paraId="6315F11A">
            <w:pPr>
              <w:rPr>
                <w:rFonts w:ascii="宋体" w:hAnsi="宋体" w:eastAsia="宋体"/>
                <w:color w:val="000000"/>
                <w:sz w:val="24"/>
                <w:szCs w:val="24"/>
                <w:highlight w:val="none"/>
              </w:rPr>
            </w:pPr>
          </w:p>
        </w:tc>
        <w:tc>
          <w:tcPr>
            <w:tcW w:w="1480" w:type="dxa"/>
            <w:noWrap w:val="0"/>
            <w:vAlign w:val="top"/>
          </w:tcPr>
          <w:p w14:paraId="2BA258E0">
            <w:pPr>
              <w:rPr>
                <w:rFonts w:ascii="宋体" w:hAnsi="宋体" w:eastAsia="宋体"/>
                <w:color w:val="000000"/>
                <w:sz w:val="24"/>
                <w:szCs w:val="24"/>
                <w:highlight w:val="none"/>
              </w:rPr>
            </w:pPr>
          </w:p>
        </w:tc>
        <w:tc>
          <w:tcPr>
            <w:tcW w:w="1020" w:type="dxa"/>
            <w:noWrap w:val="0"/>
            <w:vAlign w:val="top"/>
          </w:tcPr>
          <w:p w14:paraId="343E99FE">
            <w:pPr>
              <w:rPr>
                <w:rFonts w:ascii="宋体" w:hAnsi="宋体" w:eastAsia="宋体"/>
                <w:color w:val="000000"/>
                <w:sz w:val="24"/>
                <w:szCs w:val="24"/>
                <w:highlight w:val="none"/>
              </w:rPr>
            </w:pPr>
          </w:p>
        </w:tc>
        <w:tc>
          <w:tcPr>
            <w:tcW w:w="921" w:type="dxa"/>
            <w:noWrap w:val="0"/>
            <w:vAlign w:val="top"/>
          </w:tcPr>
          <w:p w14:paraId="2DADC05E">
            <w:pPr>
              <w:rPr>
                <w:rFonts w:ascii="宋体" w:hAnsi="宋体" w:eastAsia="宋体"/>
                <w:color w:val="000000"/>
                <w:sz w:val="24"/>
                <w:szCs w:val="24"/>
                <w:highlight w:val="none"/>
              </w:rPr>
            </w:pPr>
          </w:p>
        </w:tc>
      </w:tr>
      <w:tr w14:paraId="3C084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B41B52D">
            <w:pPr>
              <w:rPr>
                <w:rFonts w:ascii="宋体" w:hAnsi="宋体" w:eastAsia="宋体"/>
                <w:color w:val="000000"/>
                <w:sz w:val="24"/>
                <w:szCs w:val="24"/>
                <w:highlight w:val="none"/>
              </w:rPr>
            </w:pPr>
          </w:p>
        </w:tc>
        <w:tc>
          <w:tcPr>
            <w:tcW w:w="1418" w:type="dxa"/>
            <w:noWrap w:val="0"/>
            <w:vAlign w:val="top"/>
          </w:tcPr>
          <w:p w14:paraId="3124391A">
            <w:pPr>
              <w:rPr>
                <w:rFonts w:ascii="宋体" w:hAnsi="宋体" w:eastAsia="宋体"/>
                <w:color w:val="000000"/>
                <w:sz w:val="24"/>
                <w:szCs w:val="24"/>
                <w:highlight w:val="none"/>
              </w:rPr>
            </w:pPr>
          </w:p>
        </w:tc>
        <w:tc>
          <w:tcPr>
            <w:tcW w:w="850" w:type="dxa"/>
            <w:noWrap w:val="0"/>
            <w:vAlign w:val="top"/>
          </w:tcPr>
          <w:p w14:paraId="7E40FE5E">
            <w:pPr>
              <w:rPr>
                <w:rFonts w:ascii="宋体" w:hAnsi="宋体" w:eastAsia="宋体"/>
                <w:color w:val="000000"/>
                <w:sz w:val="24"/>
                <w:szCs w:val="24"/>
                <w:highlight w:val="none"/>
              </w:rPr>
            </w:pPr>
          </w:p>
        </w:tc>
        <w:tc>
          <w:tcPr>
            <w:tcW w:w="1058" w:type="dxa"/>
            <w:noWrap w:val="0"/>
            <w:vAlign w:val="top"/>
          </w:tcPr>
          <w:p w14:paraId="29713807">
            <w:pPr>
              <w:rPr>
                <w:rFonts w:ascii="宋体" w:hAnsi="宋体" w:eastAsia="宋体"/>
                <w:color w:val="000000"/>
                <w:sz w:val="24"/>
                <w:szCs w:val="24"/>
                <w:highlight w:val="none"/>
              </w:rPr>
            </w:pPr>
          </w:p>
        </w:tc>
        <w:tc>
          <w:tcPr>
            <w:tcW w:w="880" w:type="dxa"/>
            <w:noWrap w:val="0"/>
            <w:vAlign w:val="top"/>
          </w:tcPr>
          <w:p w14:paraId="515AC792">
            <w:pPr>
              <w:rPr>
                <w:rFonts w:ascii="宋体" w:hAnsi="宋体" w:eastAsia="宋体"/>
                <w:color w:val="000000"/>
                <w:sz w:val="24"/>
                <w:szCs w:val="24"/>
                <w:highlight w:val="none"/>
              </w:rPr>
            </w:pPr>
          </w:p>
        </w:tc>
        <w:tc>
          <w:tcPr>
            <w:tcW w:w="1020" w:type="dxa"/>
            <w:noWrap w:val="0"/>
            <w:vAlign w:val="top"/>
          </w:tcPr>
          <w:p w14:paraId="4431BA62">
            <w:pPr>
              <w:rPr>
                <w:rFonts w:ascii="宋体" w:hAnsi="宋体" w:eastAsia="宋体"/>
                <w:color w:val="000000"/>
                <w:sz w:val="24"/>
                <w:szCs w:val="24"/>
                <w:highlight w:val="none"/>
              </w:rPr>
            </w:pPr>
          </w:p>
        </w:tc>
        <w:tc>
          <w:tcPr>
            <w:tcW w:w="1480" w:type="dxa"/>
            <w:noWrap w:val="0"/>
            <w:vAlign w:val="top"/>
          </w:tcPr>
          <w:p w14:paraId="2FF30662">
            <w:pPr>
              <w:rPr>
                <w:rFonts w:ascii="宋体" w:hAnsi="宋体" w:eastAsia="宋体"/>
                <w:color w:val="000000"/>
                <w:sz w:val="24"/>
                <w:szCs w:val="24"/>
                <w:highlight w:val="none"/>
              </w:rPr>
            </w:pPr>
          </w:p>
        </w:tc>
        <w:tc>
          <w:tcPr>
            <w:tcW w:w="1020" w:type="dxa"/>
            <w:noWrap w:val="0"/>
            <w:vAlign w:val="top"/>
          </w:tcPr>
          <w:p w14:paraId="47DEB7D3">
            <w:pPr>
              <w:rPr>
                <w:rFonts w:ascii="宋体" w:hAnsi="宋体" w:eastAsia="宋体"/>
                <w:color w:val="000000"/>
                <w:sz w:val="24"/>
                <w:szCs w:val="24"/>
                <w:highlight w:val="none"/>
              </w:rPr>
            </w:pPr>
          </w:p>
        </w:tc>
        <w:tc>
          <w:tcPr>
            <w:tcW w:w="921" w:type="dxa"/>
            <w:noWrap w:val="0"/>
            <w:vAlign w:val="top"/>
          </w:tcPr>
          <w:p w14:paraId="2B084568">
            <w:pPr>
              <w:rPr>
                <w:rFonts w:ascii="宋体" w:hAnsi="宋体" w:eastAsia="宋体"/>
                <w:color w:val="000000"/>
                <w:sz w:val="24"/>
                <w:szCs w:val="24"/>
                <w:highlight w:val="none"/>
              </w:rPr>
            </w:pPr>
          </w:p>
        </w:tc>
      </w:tr>
      <w:tr w14:paraId="332A9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EDFA36A">
            <w:pPr>
              <w:rPr>
                <w:rFonts w:ascii="宋体" w:hAnsi="宋体" w:eastAsia="宋体"/>
                <w:color w:val="000000"/>
                <w:sz w:val="24"/>
                <w:szCs w:val="24"/>
                <w:highlight w:val="none"/>
              </w:rPr>
            </w:pPr>
          </w:p>
        </w:tc>
        <w:tc>
          <w:tcPr>
            <w:tcW w:w="1418" w:type="dxa"/>
            <w:noWrap w:val="0"/>
            <w:vAlign w:val="top"/>
          </w:tcPr>
          <w:p w14:paraId="632E839B">
            <w:pPr>
              <w:rPr>
                <w:rFonts w:ascii="宋体" w:hAnsi="宋体" w:eastAsia="宋体"/>
                <w:color w:val="000000"/>
                <w:sz w:val="24"/>
                <w:szCs w:val="24"/>
                <w:highlight w:val="none"/>
              </w:rPr>
            </w:pPr>
          </w:p>
        </w:tc>
        <w:tc>
          <w:tcPr>
            <w:tcW w:w="850" w:type="dxa"/>
            <w:noWrap w:val="0"/>
            <w:vAlign w:val="top"/>
          </w:tcPr>
          <w:p w14:paraId="4716FC14">
            <w:pPr>
              <w:rPr>
                <w:rFonts w:ascii="宋体" w:hAnsi="宋体" w:eastAsia="宋体"/>
                <w:color w:val="000000"/>
                <w:sz w:val="24"/>
                <w:szCs w:val="24"/>
                <w:highlight w:val="none"/>
              </w:rPr>
            </w:pPr>
          </w:p>
        </w:tc>
        <w:tc>
          <w:tcPr>
            <w:tcW w:w="1058" w:type="dxa"/>
            <w:noWrap w:val="0"/>
            <w:vAlign w:val="top"/>
          </w:tcPr>
          <w:p w14:paraId="7CF6C402">
            <w:pPr>
              <w:rPr>
                <w:rFonts w:ascii="宋体" w:hAnsi="宋体" w:eastAsia="宋体"/>
                <w:color w:val="000000"/>
                <w:sz w:val="24"/>
                <w:szCs w:val="24"/>
                <w:highlight w:val="none"/>
              </w:rPr>
            </w:pPr>
          </w:p>
        </w:tc>
        <w:tc>
          <w:tcPr>
            <w:tcW w:w="880" w:type="dxa"/>
            <w:noWrap w:val="0"/>
            <w:vAlign w:val="top"/>
          </w:tcPr>
          <w:p w14:paraId="1CFD5165">
            <w:pPr>
              <w:rPr>
                <w:rFonts w:ascii="宋体" w:hAnsi="宋体" w:eastAsia="宋体"/>
                <w:color w:val="000000"/>
                <w:sz w:val="24"/>
                <w:szCs w:val="24"/>
                <w:highlight w:val="none"/>
              </w:rPr>
            </w:pPr>
          </w:p>
        </w:tc>
        <w:tc>
          <w:tcPr>
            <w:tcW w:w="1020" w:type="dxa"/>
            <w:noWrap w:val="0"/>
            <w:vAlign w:val="top"/>
          </w:tcPr>
          <w:p w14:paraId="67D600EF">
            <w:pPr>
              <w:rPr>
                <w:rFonts w:ascii="宋体" w:hAnsi="宋体" w:eastAsia="宋体"/>
                <w:color w:val="000000"/>
                <w:sz w:val="24"/>
                <w:szCs w:val="24"/>
                <w:highlight w:val="none"/>
              </w:rPr>
            </w:pPr>
          </w:p>
        </w:tc>
        <w:tc>
          <w:tcPr>
            <w:tcW w:w="1480" w:type="dxa"/>
            <w:noWrap w:val="0"/>
            <w:vAlign w:val="top"/>
          </w:tcPr>
          <w:p w14:paraId="5920472F">
            <w:pPr>
              <w:rPr>
                <w:rFonts w:ascii="宋体" w:hAnsi="宋体" w:eastAsia="宋体"/>
                <w:color w:val="000000"/>
                <w:sz w:val="24"/>
                <w:szCs w:val="24"/>
                <w:highlight w:val="none"/>
              </w:rPr>
            </w:pPr>
          </w:p>
        </w:tc>
        <w:tc>
          <w:tcPr>
            <w:tcW w:w="1020" w:type="dxa"/>
            <w:noWrap w:val="0"/>
            <w:vAlign w:val="top"/>
          </w:tcPr>
          <w:p w14:paraId="222DE6B4">
            <w:pPr>
              <w:rPr>
                <w:rFonts w:ascii="宋体" w:hAnsi="宋体" w:eastAsia="宋体"/>
                <w:color w:val="000000"/>
                <w:sz w:val="24"/>
                <w:szCs w:val="24"/>
                <w:highlight w:val="none"/>
              </w:rPr>
            </w:pPr>
          </w:p>
        </w:tc>
        <w:tc>
          <w:tcPr>
            <w:tcW w:w="921" w:type="dxa"/>
            <w:noWrap w:val="0"/>
            <w:vAlign w:val="top"/>
          </w:tcPr>
          <w:p w14:paraId="10B23759">
            <w:pPr>
              <w:rPr>
                <w:rFonts w:ascii="宋体" w:hAnsi="宋体" w:eastAsia="宋体"/>
                <w:color w:val="000000"/>
                <w:sz w:val="24"/>
                <w:szCs w:val="24"/>
                <w:highlight w:val="none"/>
              </w:rPr>
            </w:pPr>
          </w:p>
        </w:tc>
      </w:tr>
      <w:tr w14:paraId="1F933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E3DD4E7">
            <w:pPr>
              <w:rPr>
                <w:rFonts w:ascii="宋体" w:hAnsi="宋体" w:eastAsia="宋体"/>
                <w:color w:val="000000"/>
                <w:sz w:val="24"/>
                <w:szCs w:val="24"/>
                <w:highlight w:val="none"/>
              </w:rPr>
            </w:pPr>
          </w:p>
        </w:tc>
        <w:tc>
          <w:tcPr>
            <w:tcW w:w="1418" w:type="dxa"/>
            <w:noWrap w:val="0"/>
            <w:vAlign w:val="top"/>
          </w:tcPr>
          <w:p w14:paraId="35AC97D7">
            <w:pPr>
              <w:rPr>
                <w:rFonts w:ascii="宋体" w:hAnsi="宋体" w:eastAsia="宋体"/>
                <w:color w:val="000000"/>
                <w:sz w:val="24"/>
                <w:szCs w:val="24"/>
                <w:highlight w:val="none"/>
              </w:rPr>
            </w:pPr>
          </w:p>
        </w:tc>
        <w:tc>
          <w:tcPr>
            <w:tcW w:w="850" w:type="dxa"/>
            <w:noWrap w:val="0"/>
            <w:vAlign w:val="top"/>
          </w:tcPr>
          <w:p w14:paraId="1D2D9978">
            <w:pPr>
              <w:rPr>
                <w:rFonts w:ascii="宋体" w:hAnsi="宋体" w:eastAsia="宋体"/>
                <w:color w:val="000000"/>
                <w:sz w:val="24"/>
                <w:szCs w:val="24"/>
                <w:highlight w:val="none"/>
              </w:rPr>
            </w:pPr>
          </w:p>
        </w:tc>
        <w:tc>
          <w:tcPr>
            <w:tcW w:w="1058" w:type="dxa"/>
            <w:noWrap w:val="0"/>
            <w:vAlign w:val="top"/>
          </w:tcPr>
          <w:p w14:paraId="275DE0F6">
            <w:pPr>
              <w:rPr>
                <w:rFonts w:ascii="宋体" w:hAnsi="宋体" w:eastAsia="宋体"/>
                <w:color w:val="000000"/>
                <w:sz w:val="24"/>
                <w:szCs w:val="24"/>
                <w:highlight w:val="none"/>
              </w:rPr>
            </w:pPr>
          </w:p>
        </w:tc>
        <w:tc>
          <w:tcPr>
            <w:tcW w:w="880" w:type="dxa"/>
            <w:noWrap w:val="0"/>
            <w:vAlign w:val="top"/>
          </w:tcPr>
          <w:p w14:paraId="2420E34A">
            <w:pPr>
              <w:rPr>
                <w:rFonts w:ascii="宋体" w:hAnsi="宋体" w:eastAsia="宋体"/>
                <w:color w:val="000000"/>
                <w:sz w:val="24"/>
                <w:szCs w:val="24"/>
                <w:highlight w:val="none"/>
              </w:rPr>
            </w:pPr>
          </w:p>
        </w:tc>
        <w:tc>
          <w:tcPr>
            <w:tcW w:w="1020" w:type="dxa"/>
            <w:noWrap w:val="0"/>
            <w:vAlign w:val="top"/>
          </w:tcPr>
          <w:p w14:paraId="23F2875B">
            <w:pPr>
              <w:rPr>
                <w:rFonts w:ascii="宋体" w:hAnsi="宋体" w:eastAsia="宋体"/>
                <w:color w:val="000000"/>
                <w:sz w:val="24"/>
                <w:szCs w:val="24"/>
                <w:highlight w:val="none"/>
              </w:rPr>
            </w:pPr>
          </w:p>
        </w:tc>
        <w:tc>
          <w:tcPr>
            <w:tcW w:w="1480" w:type="dxa"/>
            <w:noWrap w:val="0"/>
            <w:vAlign w:val="top"/>
          </w:tcPr>
          <w:p w14:paraId="3EBE3F9A">
            <w:pPr>
              <w:rPr>
                <w:rFonts w:ascii="宋体" w:hAnsi="宋体" w:eastAsia="宋体"/>
                <w:color w:val="000000"/>
                <w:sz w:val="24"/>
                <w:szCs w:val="24"/>
                <w:highlight w:val="none"/>
              </w:rPr>
            </w:pPr>
          </w:p>
        </w:tc>
        <w:tc>
          <w:tcPr>
            <w:tcW w:w="1020" w:type="dxa"/>
            <w:noWrap w:val="0"/>
            <w:vAlign w:val="top"/>
          </w:tcPr>
          <w:p w14:paraId="78B76566">
            <w:pPr>
              <w:rPr>
                <w:rFonts w:ascii="宋体" w:hAnsi="宋体" w:eastAsia="宋体"/>
                <w:color w:val="000000"/>
                <w:sz w:val="24"/>
                <w:szCs w:val="24"/>
                <w:highlight w:val="none"/>
              </w:rPr>
            </w:pPr>
          </w:p>
        </w:tc>
        <w:tc>
          <w:tcPr>
            <w:tcW w:w="921" w:type="dxa"/>
            <w:noWrap w:val="0"/>
            <w:vAlign w:val="top"/>
          </w:tcPr>
          <w:p w14:paraId="5F44E3A8">
            <w:pPr>
              <w:rPr>
                <w:rFonts w:ascii="宋体" w:hAnsi="宋体" w:eastAsia="宋体"/>
                <w:color w:val="000000"/>
                <w:sz w:val="24"/>
                <w:szCs w:val="24"/>
                <w:highlight w:val="none"/>
              </w:rPr>
            </w:pPr>
          </w:p>
        </w:tc>
      </w:tr>
      <w:tr w14:paraId="15C10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92179E3">
            <w:pPr>
              <w:rPr>
                <w:rFonts w:ascii="宋体" w:hAnsi="宋体" w:eastAsia="宋体"/>
                <w:color w:val="000000"/>
                <w:sz w:val="24"/>
                <w:szCs w:val="24"/>
                <w:highlight w:val="none"/>
              </w:rPr>
            </w:pPr>
          </w:p>
        </w:tc>
        <w:tc>
          <w:tcPr>
            <w:tcW w:w="1418" w:type="dxa"/>
            <w:noWrap w:val="0"/>
            <w:vAlign w:val="top"/>
          </w:tcPr>
          <w:p w14:paraId="71D53875">
            <w:pPr>
              <w:rPr>
                <w:rFonts w:ascii="宋体" w:hAnsi="宋体" w:eastAsia="宋体"/>
                <w:color w:val="000000"/>
                <w:sz w:val="24"/>
                <w:szCs w:val="24"/>
                <w:highlight w:val="none"/>
              </w:rPr>
            </w:pPr>
          </w:p>
        </w:tc>
        <w:tc>
          <w:tcPr>
            <w:tcW w:w="850" w:type="dxa"/>
            <w:noWrap w:val="0"/>
            <w:vAlign w:val="top"/>
          </w:tcPr>
          <w:p w14:paraId="19178806">
            <w:pPr>
              <w:rPr>
                <w:rFonts w:ascii="宋体" w:hAnsi="宋体" w:eastAsia="宋体"/>
                <w:color w:val="000000"/>
                <w:sz w:val="24"/>
                <w:szCs w:val="24"/>
                <w:highlight w:val="none"/>
              </w:rPr>
            </w:pPr>
          </w:p>
        </w:tc>
        <w:tc>
          <w:tcPr>
            <w:tcW w:w="1058" w:type="dxa"/>
            <w:noWrap w:val="0"/>
            <w:vAlign w:val="top"/>
          </w:tcPr>
          <w:p w14:paraId="6FC3A233">
            <w:pPr>
              <w:rPr>
                <w:rFonts w:ascii="宋体" w:hAnsi="宋体" w:eastAsia="宋体"/>
                <w:color w:val="000000"/>
                <w:sz w:val="24"/>
                <w:szCs w:val="24"/>
                <w:highlight w:val="none"/>
              </w:rPr>
            </w:pPr>
          </w:p>
        </w:tc>
        <w:tc>
          <w:tcPr>
            <w:tcW w:w="880" w:type="dxa"/>
            <w:noWrap w:val="0"/>
            <w:vAlign w:val="top"/>
          </w:tcPr>
          <w:p w14:paraId="2EC1A1FC">
            <w:pPr>
              <w:rPr>
                <w:rFonts w:ascii="宋体" w:hAnsi="宋体" w:eastAsia="宋体"/>
                <w:color w:val="000000"/>
                <w:sz w:val="24"/>
                <w:szCs w:val="24"/>
                <w:highlight w:val="none"/>
              </w:rPr>
            </w:pPr>
          </w:p>
        </w:tc>
        <w:tc>
          <w:tcPr>
            <w:tcW w:w="1020" w:type="dxa"/>
            <w:noWrap w:val="0"/>
            <w:vAlign w:val="top"/>
          </w:tcPr>
          <w:p w14:paraId="12059441">
            <w:pPr>
              <w:rPr>
                <w:rFonts w:ascii="宋体" w:hAnsi="宋体" w:eastAsia="宋体"/>
                <w:color w:val="000000"/>
                <w:sz w:val="24"/>
                <w:szCs w:val="24"/>
                <w:highlight w:val="none"/>
              </w:rPr>
            </w:pPr>
          </w:p>
        </w:tc>
        <w:tc>
          <w:tcPr>
            <w:tcW w:w="1480" w:type="dxa"/>
            <w:noWrap w:val="0"/>
            <w:vAlign w:val="top"/>
          </w:tcPr>
          <w:p w14:paraId="5AD379A5">
            <w:pPr>
              <w:rPr>
                <w:rFonts w:ascii="宋体" w:hAnsi="宋体" w:eastAsia="宋体"/>
                <w:color w:val="000000"/>
                <w:sz w:val="24"/>
                <w:szCs w:val="24"/>
                <w:highlight w:val="none"/>
              </w:rPr>
            </w:pPr>
          </w:p>
        </w:tc>
        <w:tc>
          <w:tcPr>
            <w:tcW w:w="1020" w:type="dxa"/>
            <w:noWrap w:val="0"/>
            <w:vAlign w:val="top"/>
          </w:tcPr>
          <w:p w14:paraId="17DD00BE">
            <w:pPr>
              <w:rPr>
                <w:rFonts w:ascii="宋体" w:hAnsi="宋体" w:eastAsia="宋体"/>
                <w:color w:val="000000"/>
                <w:sz w:val="24"/>
                <w:szCs w:val="24"/>
                <w:highlight w:val="none"/>
              </w:rPr>
            </w:pPr>
          </w:p>
        </w:tc>
        <w:tc>
          <w:tcPr>
            <w:tcW w:w="921" w:type="dxa"/>
            <w:noWrap w:val="0"/>
            <w:vAlign w:val="top"/>
          </w:tcPr>
          <w:p w14:paraId="4C9A28E9">
            <w:pPr>
              <w:rPr>
                <w:rFonts w:ascii="宋体" w:hAnsi="宋体" w:eastAsia="宋体"/>
                <w:color w:val="000000"/>
                <w:sz w:val="24"/>
                <w:szCs w:val="24"/>
                <w:highlight w:val="none"/>
              </w:rPr>
            </w:pPr>
          </w:p>
        </w:tc>
      </w:tr>
      <w:tr w14:paraId="135AB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1D1C663">
            <w:pPr>
              <w:rPr>
                <w:rFonts w:ascii="宋体" w:hAnsi="宋体" w:eastAsia="宋体"/>
                <w:color w:val="000000"/>
                <w:sz w:val="24"/>
                <w:szCs w:val="24"/>
                <w:highlight w:val="none"/>
              </w:rPr>
            </w:pPr>
          </w:p>
        </w:tc>
        <w:tc>
          <w:tcPr>
            <w:tcW w:w="1418" w:type="dxa"/>
            <w:noWrap w:val="0"/>
            <w:vAlign w:val="top"/>
          </w:tcPr>
          <w:p w14:paraId="6D031B59">
            <w:pPr>
              <w:rPr>
                <w:rFonts w:ascii="宋体" w:hAnsi="宋体" w:eastAsia="宋体"/>
                <w:color w:val="000000"/>
                <w:sz w:val="24"/>
                <w:szCs w:val="24"/>
                <w:highlight w:val="none"/>
              </w:rPr>
            </w:pPr>
          </w:p>
        </w:tc>
        <w:tc>
          <w:tcPr>
            <w:tcW w:w="850" w:type="dxa"/>
            <w:noWrap w:val="0"/>
            <w:vAlign w:val="top"/>
          </w:tcPr>
          <w:p w14:paraId="390B12F6">
            <w:pPr>
              <w:rPr>
                <w:rFonts w:ascii="宋体" w:hAnsi="宋体" w:eastAsia="宋体"/>
                <w:color w:val="000000"/>
                <w:sz w:val="24"/>
                <w:szCs w:val="24"/>
                <w:highlight w:val="none"/>
              </w:rPr>
            </w:pPr>
          </w:p>
        </w:tc>
        <w:tc>
          <w:tcPr>
            <w:tcW w:w="1058" w:type="dxa"/>
            <w:noWrap w:val="0"/>
            <w:vAlign w:val="top"/>
          </w:tcPr>
          <w:p w14:paraId="72EA5CE4">
            <w:pPr>
              <w:rPr>
                <w:rFonts w:ascii="宋体" w:hAnsi="宋体" w:eastAsia="宋体"/>
                <w:color w:val="000000"/>
                <w:sz w:val="24"/>
                <w:szCs w:val="24"/>
                <w:highlight w:val="none"/>
              </w:rPr>
            </w:pPr>
          </w:p>
        </w:tc>
        <w:tc>
          <w:tcPr>
            <w:tcW w:w="880" w:type="dxa"/>
            <w:noWrap w:val="0"/>
            <w:vAlign w:val="top"/>
          </w:tcPr>
          <w:p w14:paraId="15A279E4">
            <w:pPr>
              <w:rPr>
                <w:rFonts w:ascii="宋体" w:hAnsi="宋体" w:eastAsia="宋体"/>
                <w:color w:val="000000"/>
                <w:sz w:val="24"/>
                <w:szCs w:val="24"/>
                <w:highlight w:val="none"/>
              </w:rPr>
            </w:pPr>
          </w:p>
        </w:tc>
        <w:tc>
          <w:tcPr>
            <w:tcW w:w="1020" w:type="dxa"/>
            <w:noWrap w:val="0"/>
            <w:vAlign w:val="top"/>
          </w:tcPr>
          <w:p w14:paraId="6CC19226">
            <w:pPr>
              <w:rPr>
                <w:rFonts w:ascii="宋体" w:hAnsi="宋体" w:eastAsia="宋体"/>
                <w:color w:val="000000"/>
                <w:sz w:val="24"/>
                <w:szCs w:val="24"/>
                <w:highlight w:val="none"/>
              </w:rPr>
            </w:pPr>
          </w:p>
        </w:tc>
        <w:tc>
          <w:tcPr>
            <w:tcW w:w="1480" w:type="dxa"/>
            <w:noWrap w:val="0"/>
            <w:vAlign w:val="top"/>
          </w:tcPr>
          <w:p w14:paraId="61373943">
            <w:pPr>
              <w:rPr>
                <w:rFonts w:ascii="宋体" w:hAnsi="宋体" w:eastAsia="宋体"/>
                <w:color w:val="000000"/>
                <w:sz w:val="24"/>
                <w:szCs w:val="24"/>
                <w:highlight w:val="none"/>
              </w:rPr>
            </w:pPr>
          </w:p>
        </w:tc>
        <w:tc>
          <w:tcPr>
            <w:tcW w:w="1020" w:type="dxa"/>
            <w:noWrap w:val="0"/>
            <w:vAlign w:val="top"/>
          </w:tcPr>
          <w:p w14:paraId="6A3B22A8">
            <w:pPr>
              <w:rPr>
                <w:rFonts w:ascii="宋体" w:hAnsi="宋体" w:eastAsia="宋体"/>
                <w:color w:val="000000"/>
                <w:sz w:val="24"/>
                <w:szCs w:val="24"/>
                <w:highlight w:val="none"/>
              </w:rPr>
            </w:pPr>
          </w:p>
        </w:tc>
        <w:tc>
          <w:tcPr>
            <w:tcW w:w="921" w:type="dxa"/>
            <w:noWrap w:val="0"/>
            <w:vAlign w:val="top"/>
          </w:tcPr>
          <w:p w14:paraId="3FD127FD">
            <w:pPr>
              <w:rPr>
                <w:rFonts w:ascii="宋体" w:hAnsi="宋体" w:eastAsia="宋体"/>
                <w:color w:val="000000"/>
                <w:sz w:val="24"/>
                <w:szCs w:val="24"/>
                <w:highlight w:val="none"/>
              </w:rPr>
            </w:pPr>
          </w:p>
        </w:tc>
      </w:tr>
      <w:tr w14:paraId="3FD46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2F715EC">
            <w:pPr>
              <w:rPr>
                <w:rFonts w:ascii="宋体" w:hAnsi="宋体" w:eastAsia="宋体"/>
                <w:color w:val="000000"/>
                <w:sz w:val="24"/>
                <w:szCs w:val="24"/>
                <w:highlight w:val="none"/>
              </w:rPr>
            </w:pPr>
          </w:p>
        </w:tc>
        <w:tc>
          <w:tcPr>
            <w:tcW w:w="1418" w:type="dxa"/>
            <w:noWrap w:val="0"/>
            <w:vAlign w:val="top"/>
          </w:tcPr>
          <w:p w14:paraId="4D634A78">
            <w:pPr>
              <w:rPr>
                <w:rFonts w:ascii="宋体" w:hAnsi="宋体" w:eastAsia="宋体"/>
                <w:color w:val="000000"/>
                <w:sz w:val="24"/>
                <w:szCs w:val="24"/>
                <w:highlight w:val="none"/>
              </w:rPr>
            </w:pPr>
          </w:p>
        </w:tc>
        <w:tc>
          <w:tcPr>
            <w:tcW w:w="850" w:type="dxa"/>
            <w:noWrap w:val="0"/>
            <w:vAlign w:val="top"/>
          </w:tcPr>
          <w:p w14:paraId="5AAF8A8C">
            <w:pPr>
              <w:rPr>
                <w:rFonts w:ascii="宋体" w:hAnsi="宋体" w:eastAsia="宋体"/>
                <w:color w:val="000000"/>
                <w:sz w:val="24"/>
                <w:szCs w:val="24"/>
                <w:highlight w:val="none"/>
              </w:rPr>
            </w:pPr>
          </w:p>
        </w:tc>
        <w:tc>
          <w:tcPr>
            <w:tcW w:w="1058" w:type="dxa"/>
            <w:noWrap w:val="0"/>
            <w:vAlign w:val="top"/>
          </w:tcPr>
          <w:p w14:paraId="1A051776">
            <w:pPr>
              <w:rPr>
                <w:rFonts w:ascii="宋体" w:hAnsi="宋体" w:eastAsia="宋体"/>
                <w:color w:val="000000"/>
                <w:sz w:val="24"/>
                <w:szCs w:val="24"/>
                <w:highlight w:val="none"/>
              </w:rPr>
            </w:pPr>
          </w:p>
        </w:tc>
        <w:tc>
          <w:tcPr>
            <w:tcW w:w="880" w:type="dxa"/>
            <w:noWrap w:val="0"/>
            <w:vAlign w:val="top"/>
          </w:tcPr>
          <w:p w14:paraId="15857434">
            <w:pPr>
              <w:rPr>
                <w:rFonts w:ascii="宋体" w:hAnsi="宋体" w:eastAsia="宋体"/>
                <w:color w:val="000000"/>
                <w:sz w:val="24"/>
                <w:szCs w:val="24"/>
                <w:highlight w:val="none"/>
              </w:rPr>
            </w:pPr>
          </w:p>
        </w:tc>
        <w:tc>
          <w:tcPr>
            <w:tcW w:w="1020" w:type="dxa"/>
            <w:noWrap w:val="0"/>
            <w:vAlign w:val="top"/>
          </w:tcPr>
          <w:p w14:paraId="14136C42">
            <w:pPr>
              <w:rPr>
                <w:rFonts w:ascii="宋体" w:hAnsi="宋体" w:eastAsia="宋体"/>
                <w:color w:val="000000"/>
                <w:sz w:val="24"/>
                <w:szCs w:val="24"/>
                <w:highlight w:val="none"/>
              </w:rPr>
            </w:pPr>
          </w:p>
        </w:tc>
        <w:tc>
          <w:tcPr>
            <w:tcW w:w="1480" w:type="dxa"/>
            <w:noWrap w:val="0"/>
            <w:vAlign w:val="top"/>
          </w:tcPr>
          <w:p w14:paraId="5EFA75E2">
            <w:pPr>
              <w:rPr>
                <w:rFonts w:ascii="宋体" w:hAnsi="宋体" w:eastAsia="宋体"/>
                <w:color w:val="000000"/>
                <w:sz w:val="24"/>
                <w:szCs w:val="24"/>
                <w:highlight w:val="none"/>
              </w:rPr>
            </w:pPr>
          </w:p>
        </w:tc>
        <w:tc>
          <w:tcPr>
            <w:tcW w:w="1020" w:type="dxa"/>
            <w:noWrap w:val="0"/>
            <w:vAlign w:val="top"/>
          </w:tcPr>
          <w:p w14:paraId="4CA6A9ED">
            <w:pPr>
              <w:rPr>
                <w:rFonts w:ascii="宋体" w:hAnsi="宋体" w:eastAsia="宋体"/>
                <w:color w:val="000000"/>
                <w:sz w:val="24"/>
                <w:szCs w:val="24"/>
                <w:highlight w:val="none"/>
              </w:rPr>
            </w:pPr>
          </w:p>
        </w:tc>
        <w:tc>
          <w:tcPr>
            <w:tcW w:w="921" w:type="dxa"/>
            <w:noWrap w:val="0"/>
            <w:vAlign w:val="top"/>
          </w:tcPr>
          <w:p w14:paraId="5E57CB61">
            <w:pPr>
              <w:rPr>
                <w:rFonts w:ascii="宋体" w:hAnsi="宋体" w:eastAsia="宋体"/>
                <w:color w:val="000000"/>
                <w:sz w:val="24"/>
                <w:szCs w:val="24"/>
                <w:highlight w:val="none"/>
              </w:rPr>
            </w:pPr>
          </w:p>
        </w:tc>
      </w:tr>
    </w:tbl>
    <w:p w14:paraId="0EF93956">
      <w:pPr>
        <w:spacing w:line="440" w:lineRule="exact"/>
        <w:rPr>
          <w:rFonts w:ascii="宋体" w:hAnsi="宋体" w:eastAsia="宋体"/>
          <w:color w:val="000000"/>
          <w:sz w:val="24"/>
          <w:szCs w:val="24"/>
          <w:highlight w:val="none"/>
        </w:rPr>
      </w:pPr>
    </w:p>
    <w:p w14:paraId="3A599CE2">
      <w:pPr>
        <w:spacing w:line="440" w:lineRule="exact"/>
        <w:rPr>
          <w:rFonts w:ascii="宋体" w:hAnsi="宋体" w:eastAsia="宋体"/>
          <w:color w:val="000000"/>
          <w:sz w:val="24"/>
          <w:szCs w:val="24"/>
          <w:highlight w:val="none"/>
        </w:rPr>
      </w:pPr>
    </w:p>
    <w:p w14:paraId="11974AB6">
      <w:pPr>
        <w:spacing w:line="440" w:lineRule="exact"/>
        <w:rPr>
          <w:rFonts w:ascii="宋体" w:hAnsi="宋体" w:eastAsia="宋体"/>
          <w:color w:val="000000"/>
          <w:sz w:val="24"/>
          <w:szCs w:val="24"/>
          <w:highlight w:val="none"/>
        </w:rPr>
      </w:pPr>
    </w:p>
    <w:p w14:paraId="637842B3">
      <w:pPr>
        <w:spacing w:line="440" w:lineRule="exact"/>
        <w:rPr>
          <w:rFonts w:ascii="宋体" w:hAnsi="宋体" w:eastAsia="宋体"/>
          <w:color w:val="000000"/>
          <w:sz w:val="24"/>
          <w:szCs w:val="24"/>
          <w:highlight w:val="none"/>
        </w:rPr>
      </w:pPr>
      <w:r>
        <w:rPr>
          <w:rFonts w:ascii="宋体" w:hAnsi="宋体" w:eastAsia="宋体"/>
          <w:color w:val="000000"/>
          <w:sz w:val="24"/>
          <w:szCs w:val="24"/>
          <w:highlight w:val="none"/>
        </w:rPr>
        <w:t>附</w:t>
      </w:r>
      <w:bookmarkStart w:id="595" w:name="_Toc296347227"/>
      <w:bookmarkStart w:id="596" w:name="_Toc296891268"/>
      <w:bookmarkStart w:id="597" w:name="_Toc267261699"/>
      <w:bookmarkStart w:id="598" w:name="_Toc296346729"/>
      <w:bookmarkStart w:id="599" w:name="_Toc296503228"/>
      <w:bookmarkStart w:id="600" w:name="_Toc296944567"/>
      <w:bookmarkStart w:id="601" w:name="_Toc296891056"/>
      <w:r>
        <w:rPr>
          <w:rFonts w:ascii="宋体" w:hAnsi="宋体" w:eastAsia="宋体"/>
          <w:color w:val="000000"/>
          <w:sz w:val="24"/>
          <w:szCs w:val="24"/>
          <w:highlight w:val="none"/>
        </w:rPr>
        <w:t>件6：</w:t>
      </w:r>
    </w:p>
    <w:bookmarkEnd w:id="595"/>
    <w:bookmarkEnd w:id="596"/>
    <w:bookmarkEnd w:id="597"/>
    <w:bookmarkEnd w:id="598"/>
    <w:bookmarkEnd w:id="599"/>
    <w:bookmarkEnd w:id="600"/>
    <w:bookmarkEnd w:id="601"/>
    <w:p w14:paraId="72487CBF">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承包人主要施工管理人员表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85E4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0E9690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名称</w:t>
            </w:r>
          </w:p>
        </w:tc>
        <w:tc>
          <w:tcPr>
            <w:tcW w:w="1418" w:type="dxa"/>
            <w:tcBorders>
              <w:top w:val="single" w:color="auto" w:sz="12" w:space="0"/>
              <w:bottom w:val="double" w:color="auto" w:sz="6" w:space="0"/>
            </w:tcBorders>
            <w:noWrap w:val="0"/>
            <w:vAlign w:val="center"/>
          </w:tcPr>
          <w:p w14:paraId="09EF5DB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姓名</w:t>
            </w:r>
          </w:p>
        </w:tc>
        <w:tc>
          <w:tcPr>
            <w:tcW w:w="1134" w:type="dxa"/>
            <w:tcBorders>
              <w:top w:val="single" w:color="auto" w:sz="12" w:space="0"/>
              <w:bottom w:val="double" w:color="auto" w:sz="6" w:space="0"/>
            </w:tcBorders>
            <w:noWrap w:val="0"/>
            <w:vAlign w:val="center"/>
          </w:tcPr>
          <w:p w14:paraId="6F5351AD">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职务</w:t>
            </w:r>
          </w:p>
        </w:tc>
        <w:tc>
          <w:tcPr>
            <w:tcW w:w="1134" w:type="dxa"/>
            <w:tcBorders>
              <w:top w:val="single" w:color="auto" w:sz="12" w:space="0"/>
              <w:bottom w:val="double" w:color="auto" w:sz="6" w:space="0"/>
            </w:tcBorders>
            <w:noWrap w:val="0"/>
            <w:vAlign w:val="center"/>
          </w:tcPr>
          <w:p w14:paraId="3035A26C">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职称</w:t>
            </w:r>
          </w:p>
        </w:tc>
        <w:tc>
          <w:tcPr>
            <w:tcW w:w="4252" w:type="dxa"/>
            <w:tcBorders>
              <w:top w:val="single" w:color="auto" w:sz="12" w:space="0"/>
              <w:bottom w:val="double" w:color="auto" w:sz="6" w:space="0"/>
            </w:tcBorders>
            <w:noWrap w:val="0"/>
            <w:vAlign w:val="center"/>
          </w:tcPr>
          <w:p w14:paraId="2399F493">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主要资历、经验及承担过的项目</w:t>
            </w:r>
          </w:p>
        </w:tc>
      </w:tr>
      <w:tr w14:paraId="5EA45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FBC2B2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一、总部人员</w:t>
            </w:r>
          </w:p>
        </w:tc>
      </w:tr>
      <w:tr w14:paraId="184BD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5F2C44D">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项目主管</w:t>
            </w:r>
          </w:p>
        </w:tc>
        <w:tc>
          <w:tcPr>
            <w:tcW w:w="1418" w:type="dxa"/>
            <w:tcBorders>
              <w:top w:val="nil"/>
            </w:tcBorders>
            <w:noWrap w:val="0"/>
            <w:vAlign w:val="center"/>
          </w:tcPr>
          <w:p w14:paraId="6AB9611B">
            <w:pPr>
              <w:pStyle w:val="10"/>
              <w:keepNext/>
              <w:spacing w:after="0" w:line="440" w:lineRule="exact"/>
              <w:ind w:left="63" w:right="63"/>
              <w:rPr>
                <w:rFonts w:ascii="宋体" w:hAnsi="宋体"/>
                <w:color w:val="000000"/>
                <w:sz w:val="24"/>
                <w:szCs w:val="24"/>
                <w:highlight w:val="none"/>
              </w:rPr>
            </w:pPr>
          </w:p>
        </w:tc>
        <w:tc>
          <w:tcPr>
            <w:tcW w:w="1134" w:type="dxa"/>
            <w:tcBorders>
              <w:top w:val="nil"/>
            </w:tcBorders>
            <w:noWrap w:val="0"/>
            <w:vAlign w:val="center"/>
          </w:tcPr>
          <w:p w14:paraId="18255731">
            <w:pPr>
              <w:pStyle w:val="10"/>
              <w:keepNext/>
              <w:spacing w:after="0" w:line="440" w:lineRule="exact"/>
              <w:ind w:left="63" w:right="63"/>
              <w:rPr>
                <w:rFonts w:ascii="宋体" w:hAnsi="宋体"/>
                <w:color w:val="000000"/>
                <w:sz w:val="24"/>
                <w:szCs w:val="24"/>
                <w:highlight w:val="none"/>
              </w:rPr>
            </w:pPr>
          </w:p>
        </w:tc>
        <w:tc>
          <w:tcPr>
            <w:tcW w:w="1134" w:type="dxa"/>
            <w:tcBorders>
              <w:top w:val="nil"/>
            </w:tcBorders>
            <w:noWrap w:val="0"/>
            <w:vAlign w:val="center"/>
          </w:tcPr>
          <w:p w14:paraId="177679BD">
            <w:pPr>
              <w:pStyle w:val="10"/>
              <w:keepNext/>
              <w:spacing w:after="0" w:line="440" w:lineRule="exact"/>
              <w:ind w:left="63" w:right="63"/>
              <w:rPr>
                <w:rFonts w:ascii="宋体" w:hAnsi="宋体"/>
                <w:color w:val="000000"/>
                <w:sz w:val="24"/>
                <w:szCs w:val="24"/>
                <w:highlight w:val="none"/>
              </w:rPr>
            </w:pPr>
          </w:p>
        </w:tc>
        <w:tc>
          <w:tcPr>
            <w:tcW w:w="4252" w:type="dxa"/>
            <w:tcBorders>
              <w:top w:val="nil"/>
            </w:tcBorders>
            <w:noWrap w:val="0"/>
            <w:vAlign w:val="center"/>
          </w:tcPr>
          <w:p w14:paraId="114B26AA">
            <w:pPr>
              <w:pStyle w:val="10"/>
              <w:keepNext/>
              <w:spacing w:after="0" w:line="440" w:lineRule="exact"/>
              <w:ind w:left="63" w:right="63"/>
              <w:rPr>
                <w:rFonts w:ascii="宋体" w:hAnsi="宋体"/>
                <w:color w:val="000000"/>
                <w:sz w:val="24"/>
                <w:szCs w:val="24"/>
                <w:highlight w:val="none"/>
              </w:rPr>
            </w:pPr>
          </w:p>
        </w:tc>
      </w:tr>
      <w:tr w14:paraId="06A3D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82C1E0A">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2DEF748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9D731F8">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CA902A9">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690B8863">
            <w:pPr>
              <w:pStyle w:val="10"/>
              <w:keepNext/>
              <w:spacing w:after="0" w:line="440" w:lineRule="exact"/>
              <w:ind w:left="63" w:right="63"/>
              <w:rPr>
                <w:rFonts w:ascii="宋体" w:hAnsi="宋体"/>
                <w:color w:val="000000"/>
                <w:sz w:val="24"/>
                <w:szCs w:val="24"/>
                <w:highlight w:val="none"/>
              </w:rPr>
            </w:pPr>
          </w:p>
        </w:tc>
      </w:tr>
      <w:tr w14:paraId="4093C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E85E22">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其他人员</w:t>
            </w:r>
          </w:p>
        </w:tc>
        <w:tc>
          <w:tcPr>
            <w:tcW w:w="1418" w:type="dxa"/>
            <w:noWrap w:val="0"/>
            <w:vAlign w:val="center"/>
          </w:tcPr>
          <w:p w14:paraId="7CB894CA">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F12C80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B9A196E">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6BCDEA4A">
            <w:pPr>
              <w:pStyle w:val="10"/>
              <w:keepNext/>
              <w:spacing w:after="0" w:line="440" w:lineRule="exact"/>
              <w:ind w:left="63" w:right="63"/>
              <w:rPr>
                <w:rFonts w:ascii="宋体" w:hAnsi="宋体"/>
                <w:color w:val="000000"/>
                <w:sz w:val="24"/>
                <w:szCs w:val="24"/>
                <w:highlight w:val="none"/>
              </w:rPr>
            </w:pPr>
          </w:p>
        </w:tc>
      </w:tr>
      <w:tr w14:paraId="1D6EB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FEE967">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67FB954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70DEF542">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2B14AAF5">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434DAF6B">
            <w:pPr>
              <w:pStyle w:val="10"/>
              <w:keepNext/>
              <w:spacing w:after="0" w:line="440" w:lineRule="exact"/>
              <w:ind w:left="63" w:right="63"/>
              <w:rPr>
                <w:rFonts w:ascii="宋体" w:hAnsi="宋体"/>
                <w:color w:val="000000"/>
                <w:sz w:val="24"/>
                <w:szCs w:val="24"/>
                <w:highlight w:val="none"/>
              </w:rPr>
            </w:pPr>
          </w:p>
        </w:tc>
      </w:tr>
      <w:tr w14:paraId="5CA82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BD79732">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二、现场人员</w:t>
            </w:r>
          </w:p>
        </w:tc>
      </w:tr>
      <w:tr w14:paraId="5BD6E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79201C">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项目经理</w:t>
            </w:r>
          </w:p>
        </w:tc>
        <w:tc>
          <w:tcPr>
            <w:tcW w:w="1418" w:type="dxa"/>
            <w:noWrap w:val="0"/>
            <w:vAlign w:val="center"/>
          </w:tcPr>
          <w:p w14:paraId="33C7E2F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C141E3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D0F3D75">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0E41B0E6">
            <w:pPr>
              <w:pStyle w:val="10"/>
              <w:keepNext/>
              <w:spacing w:after="0" w:line="440" w:lineRule="exact"/>
              <w:ind w:left="63" w:right="63"/>
              <w:rPr>
                <w:rFonts w:ascii="宋体" w:hAnsi="宋体"/>
                <w:color w:val="000000"/>
                <w:sz w:val="24"/>
                <w:szCs w:val="24"/>
                <w:highlight w:val="none"/>
              </w:rPr>
            </w:pPr>
          </w:p>
        </w:tc>
      </w:tr>
      <w:tr w14:paraId="6F629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1F26E">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项目副经理</w:t>
            </w:r>
          </w:p>
        </w:tc>
        <w:tc>
          <w:tcPr>
            <w:tcW w:w="1418" w:type="dxa"/>
            <w:noWrap w:val="0"/>
            <w:vAlign w:val="center"/>
          </w:tcPr>
          <w:p w14:paraId="310A608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70F4D5B9">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A82ACD5">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4DD01217">
            <w:pPr>
              <w:pStyle w:val="10"/>
              <w:keepNext/>
              <w:spacing w:after="0" w:line="440" w:lineRule="exact"/>
              <w:ind w:left="63" w:right="63"/>
              <w:rPr>
                <w:rFonts w:ascii="宋体" w:hAnsi="宋体"/>
                <w:color w:val="000000"/>
                <w:sz w:val="24"/>
                <w:szCs w:val="24"/>
                <w:highlight w:val="none"/>
              </w:rPr>
            </w:pPr>
          </w:p>
        </w:tc>
      </w:tr>
      <w:tr w14:paraId="433AA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AD31B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技术负责人</w:t>
            </w:r>
          </w:p>
        </w:tc>
        <w:tc>
          <w:tcPr>
            <w:tcW w:w="1418" w:type="dxa"/>
            <w:noWrap w:val="0"/>
            <w:vAlign w:val="center"/>
          </w:tcPr>
          <w:p w14:paraId="3F46ACC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11FC415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762175B2">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17DAE2E3">
            <w:pPr>
              <w:pStyle w:val="10"/>
              <w:keepNext/>
              <w:spacing w:after="0" w:line="440" w:lineRule="exact"/>
              <w:ind w:left="63" w:right="63"/>
              <w:rPr>
                <w:rFonts w:ascii="宋体" w:hAnsi="宋体"/>
                <w:color w:val="000000"/>
                <w:sz w:val="24"/>
                <w:szCs w:val="24"/>
                <w:highlight w:val="none"/>
              </w:rPr>
            </w:pPr>
          </w:p>
        </w:tc>
      </w:tr>
      <w:tr w14:paraId="7693A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AFB90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造价管理</w:t>
            </w:r>
          </w:p>
        </w:tc>
        <w:tc>
          <w:tcPr>
            <w:tcW w:w="1418" w:type="dxa"/>
            <w:noWrap w:val="0"/>
            <w:vAlign w:val="center"/>
          </w:tcPr>
          <w:p w14:paraId="63D6F7D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773C0F68">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D8A99AA">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5715216A">
            <w:pPr>
              <w:pStyle w:val="10"/>
              <w:keepNext/>
              <w:spacing w:after="0" w:line="440" w:lineRule="exact"/>
              <w:ind w:left="63" w:right="63"/>
              <w:rPr>
                <w:rFonts w:ascii="宋体" w:hAnsi="宋体"/>
                <w:color w:val="000000"/>
                <w:sz w:val="24"/>
                <w:szCs w:val="24"/>
                <w:highlight w:val="none"/>
              </w:rPr>
            </w:pPr>
          </w:p>
        </w:tc>
      </w:tr>
      <w:tr w14:paraId="6E66D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B63A22">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质量管理</w:t>
            </w:r>
          </w:p>
        </w:tc>
        <w:tc>
          <w:tcPr>
            <w:tcW w:w="1418" w:type="dxa"/>
            <w:noWrap w:val="0"/>
            <w:vAlign w:val="center"/>
          </w:tcPr>
          <w:p w14:paraId="61C46849">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635309C">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F5CB550">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57A3490A">
            <w:pPr>
              <w:pStyle w:val="10"/>
              <w:keepNext/>
              <w:spacing w:after="0" w:line="440" w:lineRule="exact"/>
              <w:ind w:left="63" w:right="63"/>
              <w:rPr>
                <w:rFonts w:ascii="宋体" w:hAnsi="宋体"/>
                <w:color w:val="000000"/>
                <w:sz w:val="24"/>
                <w:szCs w:val="24"/>
                <w:highlight w:val="none"/>
              </w:rPr>
            </w:pPr>
          </w:p>
        </w:tc>
      </w:tr>
      <w:tr w14:paraId="3C4D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C107236">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材料管理</w:t>
            </w:r>
          </w:p>
        </w:tc>
        <w:tc>
          <w:tcPr>
            <w:tcW w:w="1418" w:type="dxa"/>
            <w:noWrap w:val="0"/>
            <w:vAlign w:val="center"/>
          </w:tcPr>
          <w:p w14:paraId="4D7D511F">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642AC42E">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2DD5753B">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07249057">
            <w:pPr>
              <w:pStyle w:val="10"/>
              <w:keepNext/>
              <w:spacing w:after="0" w:line="440" w:lineRule="exact"/>
              <w:ind w:left="63" w:right="63"/>
              <w:rPr>
                <w:rFonts w:ascii="宋体" w:hAnsi="宋体"/>
                <w:color w:val="000000"/>
                <w:sz w:val="24"/>
                <w:szCs w:val="24"/>
                <w:highlight w:val="none"/>
              </w:rPr>
            </w:pPr>
          </w:p>
        </w:tc>
      </w:tr>
      <w:tr w14:paraId="01F5E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62A65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计划管理</w:t>
            </w:r>
          </w:p>
        </w:tc>
        <w:tc>
          <w:tcPr>
            <w:tcW w:w="1418" w:type="dxa"/>
            <w:noWrap w:val="0"/>
            <w:vAlign w:val="center"/>
          </w:tcPr>
          <w:p w14:paraId="7CBF721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1709B14">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6DD3E9CB">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37410D99">
            <w:pPr>
              <w:pStyle w:val="10"/>
              <w:keepNext/>
              <w:spacing w:after="0" w:line="440" w:lineRule="exact"/>
              <w:ind w:left="63" w:right="63"/>
              <w:rPr>
                <w:rFonts w:ascii="宋体" w:hAnsi="宋体"/>
                <w:color w:val="000000"/>
                <w:sz w:val="24"/>
                <w:szCs w:val="24"/>
                <w:highlight w:val="none"/>
              </w:rPr>
            </w:pPr>
          </w:p>
        </w:tc>
      </w:tr>
      <w:tr w14:paraId="2B1A4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EB8258">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安全管理</w:t>
            </w:r>
          </w:p>
        </w:tc>
        <w:tc>
          <w:tcPr>
            <w:tcW w:w="1418" w:type="dxa"/>
            <w:noWrap w:val="0"/>
            <w:vAlign w:val="center"/>
          </w:tcPr>
          <w:p w14:paraId="1046339B">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273C7F6F">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284AB0B1">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4047B2D8">
            <w:pPr>
              <w:pStyle w:val="10"/>
              <w:keepNext/>
              <w:spacing w:after="0" w:line="440" w:lineRule="exact"/>
              <w:ind w:left="63" w:right="63"/>
              <w:rPr>
                <w:rFonts w:ascii="宋体" w:hAnsi="宋体"/>
                <w:color w:val="000000"/>
                <w:sz w:val="24"/>
                <w:szCs w:val="24"/>
                <w:highlight w:val="none"/>
              </w:rPr>
            </w:pPr>
          </w:p>
        </w:tc>
      </w:tr>
      <w:tr w14:paraId="5818F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9B5D282">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其他人员</w:t>
            </w:r>
          </w:p>
        </w:tc>
        <w:tc>
          <w:tcPr>
            <w:tcW w:w="1418" w:type="dxa"/>
            <w:noWrap w:val="0"/>
            <w:vAlign w:val="center"/>
          </w:tcPr>
          <w:p w14:paraId="5F4E329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F05F2C9">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F304DF8">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75325EC3">
            <w:pPr>
              <w:pStyle w:val="10"/>
              <w:keepNext/>
              <w:spacing w:after="0" w:line="440" w:lineRule="exact"/>
              <w:ind w:left="63" w:right="63"/>
              <w:rPr>
                <w:rFonts w:ascii="宋体" w:hAnsi="宋体"/>
                <w:color w:val="000000"/>
                <w:sz w:val="24"/>
                <w:szCs w:val="24"/>
                <w:highlight w:val="none"/>
              </w:rPr>
            </w:pPr>
          </w:p>
        </w:tc>
      </w:tr>
      <w:tr w14:paraId="18FAD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74C00D4">
            <w:pPr>
              <w:pStyle w:val="10"/>
              <w:keepNext/>
              <w:spacing w:after="0" w:line="440" w:lineRule="exact"/>
              <w:ind w:left="63" w:right="63"/>
              <w:rPr>
                <w:rFonts w:ascii="宋体" w:hAnsi="宋体"/>
                <w:color w:val="000000"/>
                <w:sz w:val="24"/>
                <w:szCs w:val="24"/>
                <w:highlight w:val="none"/>
              </w:rPr>
            </w:pPr>
          </w:p>
        </w:tc>
        <w:tc>
          <w:tcPr>
            <w:tcW w:w="1418" w:type="dxa"/>
            <w:tcBorders>
              <w:bottom w:val="nil"/>
            </w:tcBorders>
            <w:noWrap w:val="0"/>
            <w:vAlign w:val="center"/>
          </w:tcPr>
          <w:p w14:paraId="58C88756">
            <w:pPr>
              <w:pStyle w:val="10"/>
              <w:keepNext/>
              <w:spacing w:after="0" w:line="440" w:lineRule="exact"/>
              <w:ind w:left="63" w:right="63"/>
              <w:rPr>
                <w:rFonts w:ascii="宋体" w:hAnsi="宋体"/>
                <w:color w:val="000000"/>
                <w:sz w:val="24"/>
                <w:szCs w:val="24"/>
                <w:highlight w:val="none"/>
              </w:rPr>
            </w:pPr>
          </w:p>
        </w:tc>
        <w:tc>
          <w:tcPr>
            <w:tcW w:w="1134" w:type="dxa"/>
            <w:tcBorders>
              <w:bottom w:val="nil"/>
            </w:tcBorders>
            <w:noWrap w:val="0"/>
            <w:vAlign w:val="center"/>
          </w:tcPr>
          <w:p w14:paraId="2778E983">
            <w:pPr>
              <w:pStyle w:val="10"/>
              <w:keepNext/>
              <w:spacing w:after="0" w:line="440" w:lineRule="exact"/>
              <w:ind w:left="63" w:right="63"/>
              <w:rPr>
                <w:rFonts w:ascii="宋体" w:hAnsi="宋体"/>
                <w:color w:val="000000"/>
                <w:sz w:val="24"/>
                <w:szCs w:val="24"/>
                <w:highlight w:val="none"/>
              </w:rPr>
            </w:pPr>
          </w:p>
        </w:tc>
        <w:tc>
          <w:tcPr>
            <w:tcW w:w="1134" w:type="dxa"/>
            <w:tcBorders>
              <w:bottom w:val="nil"/>
            </w:tcBorders>
            <w:noWrap w:val="0"/>
            <w:vAlign w:val="center"/>
          </w:tcPr>
          <w:p w14:paraId="081DBB2F">
            <w:pPr>
              <w:pStyle w:val="10"/>
              <w:keepNext/>
              <w:spacing w:after="0" w:line="440" w:lineRule="exact"/>
              <w:ind w:left="63" w:right="63"/>
              <w:rPr>
                <w:rFonts w:ascii="宋体" w:hAnsi="宋体"/>
                <w:color w:val="000000"/>
                <w:sz w:val="24"/>
                <w:szCs w:val="24"/>
                <w:highlight w:val="none"/>
              </w:rPr>
            </w:pPr>
          </w:p>
        </w:tc>
        <w:tc>
          <w:tcPr>
            <w:tcW w:w="4252" w:type="dxa"/>
            <w:tcBorders>
              <w:bottom w:val="nil"/>
            </w:tcBorders>
            <w:noWrap w:val="0"/>
            <w:vAlign w:val="center"/>
          </w:tcPr>
          <w:p w14:paraId="11E46C60">
            <w:pPr>
              <w:pStyle w:val="10"/>
              <w:keepNext/>
              <w:spacing w:after="0" w:line="440" w:lineRule="exact"/>
              <w:ind w:left="63" w:right="63"/>
              <w:rPr>
                <w:rFonts w:ascii="宋体" w:hAnsi="宋体"/>
                <w:color w:val="000000"/>
                <w:sz w:val="24"/>
                <w:szCs w:val="24"/>
                <w:highlight w:val="none"/>
              </w:rPr>
            </w:pPr>
          </w:p>
        </w:tc>
      </w:tr>
      <w:tr w14:paraId="5C065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6F3FE6">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30586EA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E6C323B">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1CDDA0B0">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3F57A194">
            <w:pPr>
              <w:pStyle w:val="10"/>
              <w:keepNext/>
              <w:spacing w:after="0" w:line="440" w:lineRule="exact"/>
              <w:ind w:left="63" w:right="63"/>
              <w:rPr>
                <w:rFonts w:ascii="宋体" w:hAnsi="宋体"/>
                <w:color w:val="000000"/>
                <w:sz w:val="24"/>
                <w:szCs w:val="24"/>
                <w:highlight w:val="none"/>
              </w:rPr>
            </w:pPr>
          </w:p>
        </w:tc>
      </w:tr>
      <w:tr w14:paraId="59579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C924FE3">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6631AA82">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35B49CA">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FD422B7">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09A6B5D8">
            <w:pPr>
              <w:pStyle w:val="10"/>
              <w:keepNext/>
              <w:spacing w:after="0" w:line="440" w:lineRule="exact"/>
              <w:ind w:left="63" w:right="63"/>
              <w:rPr>
                <w:rFonts w:ascii="宋体" w:hAnsi="宋体"/>
                <w:color w:val="000000"/>
                <w:sz w:val="24"/>
                <w:szCs w:val="24"/>
                <w:highlight w:val="none"/>
              </w:rPr>
            </w:pPr>
          </w:p>
        </w:tc>
      </w:tr>
      <w:tr w14:paraId="240A9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73C687">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01AF2C5B">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60F27577">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CCD2B82">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5F8A5190">
            <w:pPr>
              <w:pStyle w:val="10"/>
              <w:keepNext/>
              <w:spacing w:after="0" w:line="440" w:lineRule="exact"/>
              <w:ind w:left="63" w:right="63"/>
              <w:rPr>
                <w:rFonts w:ascii="宋体" w:hAnsi="宋体"/>
                <w:color w:val="000000"/>
                <w:sz w:val="24"/>
                <w:szCs w:val="24"/>
                <w:highlight w:val="none"/>
              </w:rPr>
            </w:pPr>
          </w:p>
        </w:tc>
      </w:tr>
      <w:tr w14:paraId="11E26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B5F5E95">
            <w:pPr>
              <w:pStyle w:val="10"/>
              <w:keepNext/>
              <w:spacing w:after="0" w:line="440" w:lineRule="exact"/>
              <w:ind w:left="63" w:right="63"/>
              <w:rPr>
                <w:rFonts w:ascii="宋体" w:hAnsi="宋体"/>
                <w:color w:val="000000"/>
                <w:sz w:val="24"/>
                <w:szCs w:val="24"/>
                <w:highlight w:val="none"/>
              </w:rPr>
            </w:pPr>
          </w:p>
        </w:tc>
        <w:tc>
          <w:tcPr>
            <w:tcW w:w="1418" w:type="dxa"/>
            <w:tcBorders>
              <w:bottom w:val="single" w:color="auto" w:sz="12" w:space="0"/>
            </w:tcBorders>
            <w:noWrap w:val="0"/>
            <w:vAlign w:val="center"/>
          </w:tcPr>
          <w:p w14:paraId="54ACF422">
            <w:pPr>
              <w:pStyle w:val="10"/>
              <w:keepNext/>
              <w:spacing w:after="0" w:line="440" w:lineRule="exact"/>
              <w:ind w:left="63" w:right="63"/>
              <w:rPr>
                <w:rFonts w:ascii="宋体" w:hAnsi="宋体"/>
                <w:color w:val="000000"/>
                <w:sz w:val="24"/>
                <w:szCs w:val="24"/>
                <w:highlight w:val="none"/>
              </w:rPr>
            </w:pPr>
          </w:p>
        </w:tc>
        <w:tc>
          <w:tcPr>
            <w:tcW w:w="1134" w:type="dxa"/>
            <w:tcBorders>
              <w:bottom w:val="single" w:color="auto" w:sz="12" w:space="0"/>
            </w:tcBorders>
            <w:noWrap w:val="0"/>
            <w:vAlign w:val="center"/>
          </w:tcPr>
          <w:p w14:paraId="210D078F">
            <w:pPr>
              <w:pStyle w:val="10"/>
              <w:keepNext/>
              <w:spacing w:after="0" w:line="440" w:lineRule="exact"/>
              <w:ind w:left="63" w:right="63"/>
              <w:rPr>
                <w:rFonts w:ascii="宋体" w:hAnsi="宋体"/>
                <w:color w:val="000000"/>
                <w:sz w:val="24"/>
                <w:szCs w:val="24"/>
                <w:highlight w:val="none"/>
              </w:rPr>
            </w:pPr>
          </w:p>
        </w:tc>
        <w:tc>
          <w:tcPr>
            <w:tcW w:w="1134" w:type="dxa"/>
            <w:tcBorders>
              <w:bottom w:val="single" w:color="auto" w:sz="12" w:space="0"/>
            </w:tcBorders>
            <w:noWrap w:val="0"/>
            <w:vAlign w:val="center"/>
          </w:tcPr>
          <w:p w14:paraId="1A724FE9">
            <w:pPr>
              <w:pStyle w:val="10"/>
              <w:keepNext/>
              <w:spacing w:after="0" w:line="440" w:lineRule="exact"/>
              <w:ind w:left="63" w:right="63"/>
              <w:rPr>
                <w:rFonts w:ascii="宋体" w:hAnsi="宋体"/>
                <w:color w:val="000000"/>
                <w:sz w:val="24"/>
                <w:szCs w:val="24"/>
                <w:highlight w:val="none"/>
              </w:rPr>
            </w:pPr>
          </w:p>
        </w:tc>
        <w:tc>
          <w:tcPr>
            <w:tcW w:w="4252" w:type="dxa"/>
            <w:tcBorders>
              <w:bottom w:val="single" w:color="auto" w:sz="12" w:space="0"/>
            </w:tcBorders>
            <w:noWrap w:val="0"/>
            <w:vAlign w:val="center"/>
          </w:tcPr>
          <w:p w14:paraId="2DD31EC6">
            <w:pPr>
              <w:pStyle w:val="10"/>
              <w:keepNext/>
              <w:spacing w:after="0" w:line="440" w:lineRule="exact"/>
              <w:ind w:left="63" w:right="63"/>
              <w:rPr>
                <w:rFonts w:ascii="宋体" w:hAnsi="宋体"/>
                <w:color w:val="000000"/>
                <w:sz w:val="24"/>
                <w:szCs w:val="24"/>
                <w:highlight w:val="none"/>
              </w:rPr>
            </w:pPr>
          </w:p>
        </w:tc>
      </w:tr>
    </w:tbl>
    <w:p w14:paraId="764F74B7">
      <w:pPr>
        <w:spacing w:line="440" w:lineRule="exact"/>
        <w:rPr>
          <w:rFonts w:ascii="宋体" w:hAnsi="宋体" w:eastAsia="宋体"/>
          <w:color w:val="000000"/>
          <w:sz w:val="24"/>
          <w:szCs w:val="24"/>
          <w:highlight w:val="none"/>
        </w:rPr>
      </w:pPr>
      <w:r>
        <w:rPr>
          <w:rFonts w:ascii="宋体" w:hAnsi="宋体" w:eastAsia="宋体"/>
          <w:color w:val="000000"/>
          <w:sz w:val="24"/>
          <w:szCs w:val="24"/>
          <w:highlight w:val="none"/>
        </w:rPr>
        <w:br w:type="page"/>
      </w:r>
      <w:r>
        <w:rPr>
          <w:rFonts w:ascii="宋体" w:hAnsi="宋体" w:eastAsia="宋体"/>
          <w:color w:val="000000"/>
          <w:sz w:val="24"/>
          <w:szCs w:val="24"/>
          <w:highlight w:val="none"/>
        </w:rPr>
        <w:t>附</w:t>
      </w:r>
      <w:bookmarkStart w:id="602" w:name="_Toc296891057"/>
      <w:bookmarkStart w:id="603" w:name="_Toc296944568"/>
      <w:bookmarkStart w:id="604" w:name="_Toc296347228"/>
      <w:bookmarkStart w:id="605" w:name="_Toc296891269"/>
      <w:bookmarkStart w:id="606" w:name="_Toc296346730"/>
      <w:bookmarkStart w:id="607" w:name="_Toc296503229"/>
      <w:r>
        <w:rPr>
          <w:rFonts w:ascii="宋体" w:hAnsi="宋体" w:eastAsia="宋体"/>
          <w:color w:val="000000"/>
          <w:sz w:val="24"/>
          <w:szCs w:val="24"/>
          <w:highlight w:val="none"/>
        </w:rPr>
        <w:t>件7：</w:t>
      </w:r>
    </w:p>
    <w:bookmarkEnd w:id="602"/>
    <w:bookmarkEnd w:id="603"/>
    <w:bookmarkEnd w:id="604"/>
    <w:bookmarkEnd w:id="605"/>
    <w:bookmarkEnd w:id="606"/>
    <w:bookmarkEnd w:id="607"/>
    <w:p w14:paraId="673D1D44">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分包人主要施工管理人员表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1C89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90857A3">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名称</w:t>
            </w:r>
          </w:p>
        </w:tc>
        <w:tc>
          <w:tcPr>
            <w:tcW w:w="1418" w:type="dxa"/>
            <w:tcBorders>
              <w:top w:val="single" w:color="auto" w:sz="12" w:space="0"/>
              <w:bottom w:val="double" w:color="auto" w:sz="6" w:space="0"/>
            </w:tcBorders>
            <w:noWrap w:val="0"/>
            <w:vAlign w:val="center"/>
          </w:tcPr>
          <w:p w14:paraId="45D9BDD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姓名</w:t>
            </w:r>
          </w:p>
        </w:tc>
        <w:tc>
          <w:tcPr>
            <w:tcW w:w="1134" w:type="dxa"/>
            <w:tcBorders>
              <w:top w:val="single" w:color="auto" w:sz="12" w:space="0"/>
              <w:bottom w:val="double" w:color="auto" w:sz="6" w:space="0"/>
            </w:tcBorders>
            <w:noWrap w:val="0"/>
            <w:vAlign w:val="center"/>
          </w:tcPr>
          <w:p w14:paraId="59FAC5D1">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职务</w:t>
            </w:r>
          </w:p>
        </w:tc>
        <w:tc>
          <w:tcPr>
            <w:tcW w:w="1134" w:type="dxa"/>
            <w:tcBorders>
              <w:top w:val="single" w:color="auto" w:sz="12" w:space="0"/>
              <w:bottom w:val="double" w:color="auto" w:sz="6" w:space="0"/>
            </w:tcBorders>
            <w:noWrap w:val="0"/>
            <w:vAlign w:val="center"/>
          </w:tcPr>
          <w:p w14:paraId="44C8D586">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职称</w:t>
            </w:r>
          </w:p>
        </w:tc>
        <w:tc>
          <w:tcPr>
            <w:tcW w:w="4252" w:type="dxa"/>
            <w:tcBorders>
              <w:top w:val="single" w:color="auto" w:sz="12" w:space="0"/>
              <w:bottom w:val="double" w:color="auto" w:sz="6" w:space="0"/>
            </w:tcBorders>
            <w:noWrap w:val="0"/>
            <w:vAlign w:val="center"/>
          </w:tcPr>
          <w:p w14:paraId="63A1ADF1">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主要资历、经验及承担过的项目</w:t>
            </w:r>
          </w:p>
        </w:tc>
      </w:tr>
      <w:tr w14:paraId="59A8A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BB3186C">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一、总部人员</w:t>
            </w:r>
          </w:p>
        </w:tc>
      </w:tr>
      <w:tr w14:paraId="139C6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CC83ED8">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项目主管</w:t>
            </w:r>
          </w:p>
        </w:tc>
        <w:tc>
          <w:tcPr>
            <w:tcW w:w="1418" w:type="dxa"/>
            <w:tcBorders>
              <w:top w:val="nil"/>
            </w:tcBorders>
            <w:noWrap w:val="0"/>
            <w:vAlign w:val="center"/>
          </w:tcPr>
          <w:p w14:paraId="15AA6F25">
            <w:pPr>
              <w:pStyle w:val="10"/>
              <w:keepNext/>
              <w:spacing w:after="0" w:line="440" w:lineRule="exact"/>
              <w:ind w:left="63" w:right="63"/>
              <w:rPr>
                <w:rFonts w:ascii="宋体" w:hAnsi="宋体"/>
                <w:color w:val="000000"/>
                <w:sz w:val="24"/>
                <w:szCs w:val="24"/>
                <w:highlight w:val="none"/>
              </w:rPr>
            </w:pPr>
          </w:p>
        </w:tc>
        <w:tc>
          <w:tcPr>
            <w:tcW w:w="1134" w:type="dxa"/>
            <w:tcBorders>
              <w:top w:val="nil"/>
            </w:tcBorders>
            <w:noWrap w:val="0"/>
            <w:vAlign w:val="center"/>
          </w:tcPr>
          <w:p w14:paraId="01F5EA82">
            <w:pPr>
              <w:pStyle w:val="10"/>
              <w:keepNext/>
              <w:spacing w:after="0" w:line="440" w:lineRule="exact"/>
              <w:ind w:left="63" w:right="63"/>
              <w:rPr>
                <w:rFonts w:ascii="宋体" w:hAnsi="宋体"/>
                <w:color w:val="000000"/>
                <w:sz w:val="24"/>
                <w:szCs w:val="24"/>
                <w:highlight w:val="none"/>
              </w:rPr>
            </w:pPr>
          </w:p>
        </w:tc>
        <w:tc>
          <w:tcPr>
            <w:tcW w:w="1134" w:type="dxa"/>
            <w:tcBorders>
              <w:top w:val="nil"/>
            </w:tcBorders>
            <w:noWrap w:val="0"/>
            <w:vAlign w:val="center"/>
          </w:tcPr>
          <w:p w14:paraId="2DA765F9">
            <w:pPr>
              <w:pStyle w:val="10"/>
              <w:keepNext/>
              <w:spacing w:after="0" w:line="440" w:lineRule="exact"/>
              <w:ind w:left="63" w:right="63"/>
              <w:rPr>
                <w:rFonts w:ascii="宋体" w:hAnsi="宋体"/>
                <w:color w:val="000000"/>
                <w:sz w:val="24"/>
                <w:szCs w:val="24"/>
                <w:highlight w:val="none"/>
              </w:rPr>
            </w:pPr>
          </w:p>
        </w:tc>
        <w:tc>
          <w:tcPr>
            <w:tcW w:w="4252" w:type="dxa"/>
            <w:tcBorders>
              <w:top w:val="nil"/>
            </w:tcBorders>
            <w:noWrap w:val="0"/>
            <w:vAlign w:val="center"/>
          </w:tcPr>
          <w:p w14:paraId="0233E3C5">
            <w:pPr>
              <w:pStyle w:val="10"/>
              <w:keepNext/>
              <w:spacing w:after="0" w:line="440" w:lineRule="exact"/>
              <w:ind w:left="63" w:right="63"/>
              <w:rPr>
                <w:rFonts w:ascii="宋体" w:hAnsi="宋体"/>
                <w:color w:val="000000"/>
                <w:sz w:val="24"/>
                <w:szCs w:val="24"/>
                <w:highlight w:val="none"/>
              </w:rPr>
            </w:pPr>
          </w:p>
        </w:tc>
      </w:tr>
      <w:tr w14:paraId="33D3A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C99758D">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08779A5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90CEB3A">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F5C716F">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1575E2D8">
            <w:pPr>
              <w:pStyle w:val="10"/>
              <w:keepNext/>
              <w:spacing w:after="0" w:line="440" w:lineRule="exact"/>
              <w:ind w:left="63" w:right="63"/>
              <w:rPr>
                <w:rFonts w:ascii="宋体" w:hAnsi="宋体"/>
                <w:color w:val="000000"/>
                <w:sz w:val="24"/>
                <w:szCs w:val="24"/>
                <w:highlight w:val="none"/>
              </w:rPr>
            </w:pPr>
          </w:p>
        </w:tc>
      </w:tr>
      <w:tr w14:paraId="7BA1B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4680025">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其他人员</w:t>
            </w:r>
          </w:p>
        </w:tc>
        <w:tc>
          <w:tcPr>
            <w:tcW w:w="1418" w:type="dxa"/>
            <w:noWrap w:val="0"/>
            <w:vAlign w:val="center"/>
          </w:tcPr>
          <w:p w14:paraId="1CC48331">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E28CCE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1C8BAEB6">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676C890E">
            <w:pPr>
              <w:pStyle w:val="10"/>
              <w:keepNext/>
              <w:spacing w:after="0" w:line="440" w:lineRule="exact"/>
              <w:ind w:left="63" w:right="63"/>
              <w:rPr>
                <w:rFonts w:ascii="宋体" w:hAnsi="宋体"/>
                <w:color w:val="000000"/>
                <w:sz w:val="24"/>
                <w:szCs w:val="24"/>
                <w:highlight w:val="none"/>
              </w:rPr>
            </w:pPr>
          </w:p>
        </w:tc>
      </w:tr>
      <w:tr w14:paraId="5E511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B71BB6">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5678378E">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605F514C">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5A0CEF4">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56129655">
            <w:pPr>
              <w:pStyle w:val="10"/>
              <w:keepNext/>
              <w:spacing w:after="0" w:line="440" w:lineRule="exact"/>
              <w:ind w:left="63" w:right="63"/>
              <w:rPr>
                <w:rFonts w:ascii="宋体" w:hAnsi="宋体"/>
                <w:color w:val="000000"/>
                <w:sz w:val="24"/>
                <w:szCs w:val="24"/>
                <w:highlight w:val="none"/>
              </w:rPr>
            </w:pPr>
          </w:p>
        </w:tc>
      </w:tr>
      <w:tr w14:paraId="6E7F1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B91327C">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二、现场人员</w:t>
            </w:r>
          </w:p>
        </w:tc>
      </w:tr>
      <w:tr w14:paraId="1F85F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89F9F2">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项目经理</w:t>
            </w:r>
          </w:p>
        </w:tc>
        <w:tc>
          <w:tcPr>
            <w:tcW w:w="1418" w:type="dxa"/>
            <w:noWrap w:val="0"/>
            <w:vAlign w:val="center"/>
          </w:tcPr>
          <w:p w14:paraId="07FFCAB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10A26C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7E2B6665">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09A760C1">
            <w:pPr>
              <w:pStyle w:val="10"/>
              <w:keepNext/>
              <w:spacing w:after="0" w:line="440" w:lineRule="exact"/>
              <w:ind w:left="63" w:right="63"/>
              <w:rPr>
                <w:rFonts w:ascii="宋体" w:hAnsi="宋体"/>
                <w:color w:val="000000"/>
                <w:sz w:val="24"/>
                <w:szCs w:val="24"/>
                <w:highlight w:val="none"/>
              </w:rPr>
            </w:pPr>
          </w:p>
        </w:tc>
      </w:tr>
      <w:tr w14:paraId="0DF95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882FC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项目副经理</w:t>
            </w:r>
          </w:p>
        </w:tc>
        <w:tc>
          <w:tcPr>
            <w:tcW w:w="1418" w:type="dxa"/>
            <w:noWrap w:val="0"/>
            <w:vAlign w:val="center"/>
          </w:tcPr>
          <w:p w14:paraId="49BA5A9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F36C238">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FD2346C">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195A474B">
            <w:pPr>
              <w:pStyle w:val="10"/>
              <w:keepNext/>
              <w:spacing w:after="0" w:line="440" w:lineRule="exact"/>
              <w:ind w:left="63" w:right="63"/>
              <w:rPr>
                <w:rFonts w:ascii="宋体" w:hAnsi="宋体"/>
                <w:color w:val="000000"/>
                <w:sz w:val="24"/>
                <w:szCs w:val="24"/>
                <w:highlight w:val="none"/>
              </w:rPr>
            </w:pPr>
          </w:p>
        </w:tc>
      </w:tr>
      <w:tr w14:paraId="4B4A7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6C2688">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技术负责人</w:t>
            </w:r>
          </w:p>
        </w:tc>
        <w:tc>
          <w:tcPr>
            <w:tcW w:w="1418" w:type="dxa"/>
            <w:noWrap w:val="0"/>
            <w:vAlign w:val="center"/>
          </w:tcPr>
          <w:p w14:paraId="2AF4E72E">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7465B10">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C4424F2">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4415958E">
            <w:pPr>
              <w:pStyle w:val="10"/>
              <w:keepNext/>
              <w:spacing w:after="0" w:line="440" w:lineRule="exact"/>
              <w:ind w:left="63" w:right="63"/>
              <w:rPr>
                <w:rFonts w:ascii="宋体" w:hAnsi="宋体"/>
                <w:color w:val="000000"/>
                <w:sz w:val="24"/>
                <w:szCs w:val="24"/>
                <w:highlight w:val="none"/>
              </w:rPr>
            </w:pPr>
          </w:p>
        </w:tc>
      </w:tr>
      <w:tr w14:paraId="1AFA9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16BD5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造价管理</w:t>
            </w:r>
          </w:p>
        </w:tc>
        <w:tc>
          <w:tcPr>
            <w:tcW w:w="1418" w:type="dxa"/>
            <w:noWrap w:val="0"/>
            <w:vAlign w:val="center"/>
          </w:tcPr>
          <w:p w14:paraId="41DD2A9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A1275CD">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96567C7">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6CBABD6C">
            <w:pPr>
              <w:pStyle w:val="10"/>
              <w:keepNext/>
              <w:spacing w:after="0" w:line="440" w:lineRule="exact"/>
              <w:ind w:left="63" w:right="63"/>
              <w:rPr>
                <w:rFonts w:ascii="宋体" w:hAnsi="宋体"/>
                <w:color w:val="000000"/>
                <w:sz w:val="24"/>
                <w:szCs w:val="24"/>
                <w:highlight w:val="none"/>
              </w:rPr>
            </w:pPr>
          </w:p>
        </w:tc>
      </w:tr>
      <w:tr w14:paraId="51A18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BDDB6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质量管理</w:t>
            </w:r>
          </w:p>
        </w:tc>
        <w:tc>
          <w:tcPr>
            <w:tcW w:w="1418" w:type="dxa"/>
            <w:noWrap w:val="0"/>
            <w:vAlign w:val="center"/>
          </w:tcPr>
          <w:p w14:paraId="14F81B6D">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B62123C">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A4279A9">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1475498B">
            <w:pPr>
              <w:pStyle w:val="10"/>
              <w:keepNext/>
              <w:spacing w:after="0" w:line="440" w:lineRule="exact"/>
              <w:ind w:left="63" w:right="63"/>
              <w:rPr>
                <w:rFonts w:ascii="宋体" w:hAnsi="宋体"/>
                <w:color w:val="000000"/>
                <w:sz w:val="24"/>
                <w:szCs w:val="24"/>
                <w:highlight w:val="none"/>
              </w:rPr>
            </w:pPr>
          </w:p>
        </w:tc>
      </w:tr>
      <w:tr w14:paraId="1753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4E342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材料管理</w:t>
            </w:r>
          </w:p>
        </w:tc>
        <w:tc>
          <w:tcPr>
            <w:tcW w:w="1418" w:type="dxa"/>
            <w:noWrap w:val="0"/>
            <w:vAlign w:val="center"/>
          </w:tcPr>
          <w:p w14:paraId="07511C83">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203DBB68">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8A9C940">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74750C1A">
            <w:pPr>
              <w:pStyle w:val="10"/>
              <w:keepNext/>
              <w:spacing w:after="0" w:line="440" w:lineRule="exact"/>
              <w:ind w:left="63" w:right="63"/>
              <w:rPr>
                <w:rFonts w:ascii="宋体" w:hAnsi="宋体"/>
                <w:color w:val="000000"/>
                <w:sz w:val="24"/>
                <w:szCs w:val="24"/>
                <w:highlight w:val="none"/>
              </w:rPr>
            </w:pPr>
          </w:p>
        </w:tc>
      </w:tr>
      <w:tr w14:paraId="1D1F3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A34FD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计划管理</w:t>
            </w:r>
          </w:p>
        </w:tc>
        <w:tc>
          <w:tcPr>
            <w:tcW w:w="1418" w:type="dxa"/>
            <w:noWrap w:val="0"/>
            <w:vAlign w:val="center"/>
          </w:tcPr>
          <w:p w14:paraId="5F12CDF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97621A3">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7C3AF11">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50E20981">
            <w:pPr>
              <w:pStyle w:val="10"/>
              <w:keepNext/>
              <w:spacing w:after="0" w:line="440" w:lineRule="exact"/>
              <w:ind w:left="63" w:right="63"/>
              <w:rPr>
                <w:rFonts w:ascii="宋体" w:hAnsi="宋体"/>
                <w:color w:val="000000"/>
                <w:sz w:val="24"/>
                <w:szCs w:val="24"/>
                <w:highlight w:val="none"/>
              </w:rPr>
            </w:pPr>
          </w:p>
        </w:tc>
      </w:tr>
      <w:tr w14:paraId="10558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239103">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安全管理</w:t>
            </w:r>
          </w:p>
        </w:tc>
        <w:tc>
          <w:tcPr>
            <w:tcW w:w="1418" w:type="dxa"/>
            <w:noWrap w:val="0"/>
            <w:vAlign w:val="center"/>
          </w:tcPr>
          <w:p w14:paraId="0ABE81D1">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5763E9D5">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8AFEFA0">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72737D5E">
            <w:pPr>
              <w:pStyle w:val="10"/>
              <w:keepNext/>
              <w:spacing w:after="0" w:line="440" w:lineRule="exact"/>
              <w:ind w:left="63" w:right="63"/>
              <w:rPr>
                <w:rFonts w:ascii="宋体" w:hAnsi="宋体"/>
                <w:color w:val="000000"/>
                <w:sz w:val="24"/>
                <w:szCs w:val="24"/>
                <w:highlight w:val="none"/>
              </w:rPr>
            </w:pPr>
          </w:p>
        </w:tc>
      </w:tr>
      <w:tr w14:paraId="78E2F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F53F42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其他人员</w:t>
            </w:r>
          </w:p>
        </w:tc>
        <w:tc>
          <w:tcPr>
            <w:tcW w:w="1418" w:type="dxa"/>
            <w:noWrap w:val="0"/>
            <w:vAlign w:val="center"/>
          </w:tcPr>
          <w:p w14:paraId="273749A6">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0A2804AF">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6BF3DD17">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5BDFB8E0">
            <w:pPr>
              <w:pStyle w:val="10"/>
              <w:keepNext/>
              <w:spacing w:after="0" w:line="440" w:lineRule="exact"/>
              <w:ind w:left="63" w:right="63"/>
              <w:rPr>
                <w:rFonts w:ascii="宋体" w:hAnsi="宋体"/>
                <w:color w:val="000000"/>
                <w:sz w:val="24"/>
                <w:szCs w:val="24"/>
                <w:highlight w:val="none"/>
              </w:rPr>
            </w:pPr>
          </w:p>
        </w:tc>
      </w:tr>
      <w:tr w14:paraId="733F0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7DF30B0">
            <w:pPr>
              <w:pStyle w:val="10"/>
              <w:keepNext/>
              <w:spacing w:after="0" w:line="440" w:lineRule="exact"/>
              <w:ind w:left="63" w:right="63"/>
              <w:rPr>
                <w:rFonts w:ascii="宋体" w:hAnsi="宋体"/>
                <w:color w:val="000000"/>
                <w:sz w:val="24"/>
                <w:szCs w:val="24"/>
                <w:highlight w:val="none"/>
              </w:rPr>
            </w:pPr>
          </w:p>
        </w:tc>
        <w:tc>
          <w:tcPr>
            <w:tcW w:w="1418" w:type="dxa"/>
            <w:tcBorders>
              <w:bottom w:val="nil"/>
            </w:tcBorders>
            <w:noWrap w:val="0"/>
            <w:vAlign w:val="center"/>
          </w:tcPr>
          <w:p w14:paraId="3B88417A">
            <w:pPr>
              <w:pStyle w:val="10"/>
              <w:keepNext/>
              <w:spacing w:after="0" w:line="440" w:lineRule="exact"/>
              <w:ind w:left="63" w:right="63"/>
              <w:rPr>
                <w:rFonts w:ascii="宋体" w:hAnsi="宋体"/>
                <w:color w:val="000000"/>
                <w:sz w:val="24"/>
                <w:szCs w:val="24"/>
                <w:highlight w:val="none"/>
              </w:rPr>
            </w:pPr>
          </w:p>
        </w:tc>
        <w:tc>
          <w:tcPr>
            <w:tcW w:w="1134" w:type="dxa"/>
            <w:tcBorders>
              <w:bottom w:val="nil"/>
            </w:tcBorders>
            <w:noWrap w:val="0"/>
            <w:vAlign w:val="center"/>
          </w:tcPr>
          <w:p w14:paraId="056D13A8">
            <w:pPr>
              <w:pStyle w:val="10"/>
              <w:keepNext/>
              <w:spacing w:after="0" w:line="440" w:lineRule="exact"/>
              <w:ind w:left="63" w:right="63"/>
              <w:rPr>
                <w:rFonts w:ascii="宋体" w:hAnsi="宋体"/>
                <w:color w:val="000000"/>
                <w:sz w:val="24"/>
                <w:szCs w:val="24"/>
                <w:highlight w:val="none"/>
              </w:rPr>
            </w:pPr>
          </w:p>
        </w:tc>
        <w:tc>
          <w:tcPr>
            <w:tcW w:w="1134" w:type="dxa"/>
            <w:tcBorders>
              <w:bottom w:val="nil"/>
            </w:tcBorders>
            <w:noWrap w:val="0"/>
            <w:vAlign w:val="center"/>
          </w:tcPr>
          <w:p w14:paraId="6E5AD658">
            <w:pPr>
              <w:pStyle w:val="10"/>
              <w:keepNext/>
              <w:spacing w:after="0" w:line="440" w:lineRule="exact"/>
              <w:ind w:left="63" w:right="63"/>
              <w:rPr>
                <w:rFonts w:ascii="宋体" w:hAnsi="宋体"/>
                <w:color w:val="000000"/>
                <w:sz w:val="24"/>
                <w:szCs w:val="24"/>
                <w:highlight w:val="none"/>
              </w:rPr>
            </w:pPr>
          </w:p>
        </w:tc>
        <w:tc>
          <w:tcPr>
            <w:tcW w:w="4252" w:type="dxa"/>
            <w:tcBorders>
              <w:bottom w:val="nil"/>
            </w:tcBorders>
            <w:noWrap w:val="0"/>
            <w:vAlign w:val="center"/>
          </w:tcPr>
          <w:p w14:paraId="06C8E43A">
            <w:pPr>
              <w:pStyle w:val="10"/>
              <w:keepNext/>
              <w:spacing w:after="0" w:line="440" w:lineRule="exact"/>
              <w:ind w:left="63" w:right="63"/>
              <w:rPr>
                <w:rFonts w:ascii="宋体" w:hAnsi="宋体"/>
                <w:color w:val="000000"/>
                <w:sz w:val="24"/>
                <w:szCs w:val="24"/>
                <w:highlight w:val="none"/>
              </w:rPr>
            </w:pPr>
          </w:p>
        </w:tc>
      </w:tr>
      <w:tr w14:paraId="329E2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87C096">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7176D9ED">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FA87BD4">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3874559">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643BD3F4">
            <w:pPr>
              <w:pStyle w:val="10"/>
              <w:keepNext/>
              <w:spacing w:after="0" w:line="440" w:lineRule="exact"/>
              <w:ind w:left="63" w:right="63"/>
              <w:rPr>
                <w:rFonts w:ascii="宋体" w:hAnsi="宋体"/>
                <w:color w:val="000000"/>
                <w:sz w:val="24"/>
                <w:szCs w:val="24"/>
                <w:highlight w:val="none"/>
              </w:rPr>
            </w:pPr>
          </w:p>
        </w:tc>
      </w:tr>
      <w:tr w14:paraId="00511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D8B76C">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63154CD8">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4494DA0A">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119845C">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214CE3D2">
            <w:pPr>
              <w:pStyle w:val="10"/>
              <w:keepNext/>
              <w:spacing w:after="0" w:line="440" w:lineRule="exact"/>
              <w:ind w:left="63" w:right="63"/>
              <w:rPr>
                <w:rFonts w:ascii="宋体" w:hAnsi="宋体"/>
                <w:color w:val="000000"/>
                <w:sz w:val="24"/>
                <w:szCs w:val="24"/>
                <w:highlight w:val="none"/>
              </w:rPr>
            </w:pPr>
          </w:p>
        </w:tc>
      </w:tr>
      <w:tr w14:paraId="73833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2272C4">
            <w:pPr>
              <w:pStyle w:val="10"/>
              <w:keepNext/>
              <w:spacing w:after="0" w:line="440" w:lineRule="exact"/>
              <w:ind w:left="63" w:right="63"/>
              <w:rPr>
                <w:rFonts w:ascii="宋体" w:hAnsi="宋体"/>
                <w:color w:val="000000"/>
                <w:sz w:val="24"/>
                <w:szCs w:val="24"/>
                <w:highlight w:val="none"/>
              </w:rPr>
            </w:pPr>
          </w:p>
        </w:tc>
        <w:tc>
          <w:tcPr>
            <w:tcW w:w="1418" w:type="dxa"/>
            <w:noWrap w:val="0"/>
            <w:vAlign w:val="center"/>
          </w:tcPr>
          <w:p w14:paraId="7387800C">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770327B9">
            <w:pPr>
              <w:pStyle w:val="10"/>
              <w:keepNext/>
              <w:spacing w:after="0" w:line="440" w:lineRule="exact"/>
              <w:ind w:left="63" w:right="63"/>
              <w:rPr>
                <w:rFonts w:ascii="宋体" w:hAnsi="宋体"/>
                <w:color w:val="000000"/>
                <w:sz w:val="24"/>
                <w:szCs w:val="24"/>
                <w:highlight w:val="none"/>
              </w:rPr>
            </w:pPr>
          </w:p>
        </w:tc>
        <w:tc>
          <w:tcPr>
            <w:tcW w:w="1134" w:type="dxa"/>
            <w:noWrap w:val="0"/>
            <w:vAlign w:val="center"/>
          </w:tcPr>
          <w:p w14:paraId="341DE3A2">
            <w:pPr>
              <w:pStyle w:val="10"/>
              <w:keepNext/>
              <w:spacing w:after="0" w:line="440" w:lineRule="exact"/>
              <w:ind w:left="63" w:right="63"/>
              <w:rPr>
                <w:rFonts w:ascii="宋体" w:hAnsi="宋体"/>
                <w:color w:val="000000"/>
                <w:sz w:val="24"/>
                <w:szCs w:val="24"/>
                <w:highlight w:val="none"/>
              </w:rPr>
            </w:pPr>
          </w:p>
        </w:tc>
        <w:tc>
          <w:tcPr>
            <w:tcW w:w="4252" w:type="dxa"/>
            <w:noWrap w:val="0"/>
            <w:vAlign w:val="center"/>
          </w:tcPr>
          <w:p w14:paraId="311E9E24">
            <w:pPr>
              <w:pStyle w:val="10"/>
              <w:keepNext/>
              <w:spacing w:after="0" w:line="440" w:lineRule="exact"/>
              <w:ind w:left="63" w:right="63"/>
              <w:rPr>
                <w:rFonts w:ascii="宋体" w:hAnsi="宋体"/>
                <w:color w:val="000000"/>
                <w:sz w:val="24"/>
                <w:szCs w:val="24"/>
                <w:highlight w:val="none"/>
              </w:rPr>
            </w:pPr>
          </w:p>
        </w:tc>
      </w:tr>
      <w:tr w14:paraId="631E2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77487AC">
            <w:pPr>
              <w:pStyle w:val="10"/>
              <w:keepNext/>
              <w:spacing w:after="0" w:line="440" w:lineRule="exact"/>
              <w:ind w:left="63" w:right="63"/>
              <w:rPr>
                <w:rFonts w:ascii="宋体" w:hAnsi="宋体"/>
                <w:color w:val="000000"/>
                <w:sz w:val="24"/>
                <w:szCs w:val="24"/>
                <w:highlight w:val="none"/>
              </w:rPr>
            </w:pPr>
          </w:p>
        </w:tc>
        <w:tc>
          <w:tcPr>
            <w:tcW w:w="1418" w:type="dxa"/>
            <w:tcBorders>
              <w:bottom w:val="single" w:color="auto" w:sz="12" w:space="0"/>
            </w:tcBorders>
            <w:noWrap w:val="0"/>
            <w:vAlign w:val="center"/>
          </w:tcPr>
          <w:p w14:paraId="6469D8C6">
            <w:pPr>
              <w:pStyle w:val="10"/>
              <w:keepNext/>
              <w:spacing w:after="0" w:line="440" w:lineRule="exact"/>
              <w:ind w:left="63" w:right="63"/>
              <w:rPr>
                <w:rFonts w:ascii="宋体" w:hAnsi="宋体"/>
                <w:color w:val="000000"/>
                <w:sz w:val="24"/>
                <w:szCs w:val="24"/>
                <w:highlight w:val="none"/>
              </w:rPr>
            </w:pPr>
          </w:p>
        </w:tc>
        <w:tc>
          <w:tcPr>
            <w:tcW w:w="1134" w:type="dxa"/>
            <w:tcBorders>
              <w:bottom w:val="single" w:color="auto" w:sz="12" w:space="0"/>
            </w:tcBorders>
            <w:noWrap w:val="0"/>
            <w:vAlign w:val="center"/>
          </w:tcPr>
          <w:p w14:paraId="785CA3E6">
            <w:pPr>
              <w:pStyle w:val="10"/>
              <w:keepNext/>
              <w:spacing w:after="0" w:line="440" w:lineRule="exact"/>
              <w:ind w:left="63" w:right="63"/>
              <w:rPr>
                <w:rFonts w:ascii="宋体" w:hAnsi="宋体"/>
                <w:color w:val="000000"/>
                <w:sz w:val="24"/>
                <w:szCs w:val="24"/>
                <w:highlight w:val="none"/>
              </w:rPr>
            </w:pPr>
          </w:p>
        </w:tc>
        <w:tc>
          <w:tcPr>
            <w:tcW w:w="1134" w:type="dxa"/>
            <w:tcBorders>
              <w:bottom w:val="single" w:color="auto" w:sz="12" w:space="0"/>
            </w:tcBorders>
            <w:noWrap w:val="0"/>
            <w:vAlign w:val="center"/>
          </w:tcPr>
          <w:p w14:paraId="436E0478">
            <w:pPr>
              <w:pStyle w:val="10"/>
              <w:keepNext/>
              <w:spacing w:after="0" w:line="440" w:lineRule="exact"/>
              <w:ind w:left="63" w:right="63"/>
              <w:rPr>
                <w:rFonts w:ascii="宋体" w:hAnsi="宋体"/>
                <w:color w:val="000000"/>
                <w:sz w:val="24"/>
                <w:szCs w:val="24"/>
                <w:highlight w:val="none"/>
              </w:rPr>
            </w:pPr>
          </w:p>
        </w:tc>
        <w:tc>
          <w:tcPr>
            <w:tcW w:w="4252" w:type="dxa"/>
            <w:tcBorders>
              <w:bottom w:val="single" w:color="auto" w:sz="12" w:space="0"/>
            </w:tcBorders>
            <w:noWrap w:val="0"/>
            <w:vAlign w:val="center"/>
          </w:tcPr>
          <w:p w14:paraId="5482C25B">
            <w:pPr>
              <w:pStyle w:val="10"/>
              <w:keepNext/>
              <w:spacing w:after="0" w:line="440" w:lineRule="exact"/>
              <w:ind w:left="63" w:right="63"/>
              <w:rPr>
                <w:rFonts w:ascii="宋体" w:hAnsi="宋体"/>
                <w:color w:val="000000"/>
                <w:sz w:val="24"/>
                <w:szCs w:val="24"/>
                <w:highlight w:val="none"/>
              </w:rPr>
            </w:pPr>
          </w:p>
        </w:tc>
      </w:tr>
    </w:tbl>
    <w:p w14:paraId="010CAC32">
      <w:pPr>
        <w:spacing w:line="440" w:lineRule="exact"/>
        <w:rPr>
          <w:rFonts w:ascii="宋体" w:hAnsi="宋体" w:eastAsia="宋体"/>
          <w:color w:val="000000"/>
          <w:sz w:val="24"/>
          <w:szCs w:val="24"/>
          <w:highlight w:val="none"/>
        </w:rPr>
      </w:pPr>
      <w:r>
        <w:rPr>
          <w:rFonts w:ascii="宋体" w:hAnsi="宋体" w:eastAsia="宋体"/>
          <w:color w:val="000000"/>
          <w:sz w:val="24"/>
          <w:szCs w:val="24"/>
          <w:highlight w:val="none"/>
        </w:rPr>
        <w:br w:type="page"/>
      </w:r>
      <w:bookmarkStart w:id="608" w:name="_Toc267261701"/>
      <w:r>
        <w:rPr>
          <w:rFonts w:ascii="宋体" w:hAnsi="宋体" w:eastAsia="宋体"/>
          <w:color w:val="000000"/>
          <w:sz w:val="24"/>
          <w:szCs w:val="24"/>
          <w:highlight w:val="none"/>
        </w:rPr>
        <w:t>附</w:t>
      </w:r>
      <w:bookmarkStart w:id="609" w:name="_Toc296347230"/>
      <w:bookmarkStart w:id="610" w:name="_Toc296891059"/>
      <w:bookmarkStart w:id="611" w:name="_Toc296346732"/>
      <w:bookmarkStart w:id="612" w:name="_Toc296944570"/>
      <w:bookmarkStart w:id="613" w:name="_Toc296503231"/>
      <w:bookmarkStart w:id="614" w:name="_Toc296891271"/>
      <w:r>
        <w:rPr>
          <w:rFonts w:ascii="宋体" w:hAnsi="宋体" w:eastAsia="宋体"/>
          <w:color w:val="000000"/>
          <w:sz w:val="24"/>
          <w:szCs w:val="24"/>
          <w:highlight w:val="none"/>
        </w:rPr>
        <w:t>件8：</w:t>
      </w:r>
    </w:p>
    <w:bookmarkEnd w:id="608"/>
    <w:bookmarkEnd w:id="609"/>
    <w:bookmarkEnd w:id="610"/>
    <w:bookmarkEnd w:id="611"/>
    <w:bookmarkEnd w:id="612"/>
    <w:bookmarkEnd w:id="613"/>
    <w:bookmarkEnd w:id="614"/>
    <w:p w14:paraId="16EA84E6">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履约担保</w:t>
      </w:r>
    </w:p>
    <w:p w14:paraId="32D2D01C">
      <w:pPr>
        <w:spacing w:line="440" w:lineRule="exact"/>
        <w:rPr>
          <w:rFonts w:ascii="宋体" w:hAnsi="宋体" w:eastAsia="宋体"/>
          <w:color w:val="000000"/>
          <w:sz w:val="24"/>
          <w:szCs w:val="24"/>
          <w:highlight w:val="none"/>
        </w:rPr>
      </w:pPr>
      <w:r>
        <w:rPr>
          <w:rFonts w:ascii="宋体" w:hAnsi="宋体" w:eastAsia="宋体"/>
          <w:color w:val="000000"/>
          <w:sz w:val="24"/>
          <w:szCs w:val="24"/>
          <w:highlight w:val="none"/>
          <w:u w:val="single"/>
        </w:rPr>
        <w:tab/>
      </w:r>
      <w:r>
        <w:rPr>
          <w:rFonts w:ascii="宋体" w:hAnsi="宋体" w:eastAsia="宋体"/>
          <w:color w:val="000000"/>
          <w:sz w:val="24"/>
          <w:szCs w:val="24"/>
          <w:highlight w:val="none"/>
        </w:rPr>
        <w:t>（发包人名称）：</w:t>
      </w:r>
    </w:p>
    <w:p w14:paraId="00DFF6AF">
      <w:pPr>
        <w:spacing w:line="440" w:lineRule="exact"/>
        <w:rPr>
          <w:rFonts w:ascii="宋体" w:hAnsi="宋体" w:eastAsia="宋体"/>
          <w:color w:val="000000"/>
          <w:sz w:val="24"/>
          <w:szCs w:val="24"/>
          <w:highlight w:val="none"/>
        </w:rPr>
      </w:pPr>
    </w:p>
    <w:p w14:paraId="66DC60F1">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鉴于（发包人名称，以下简称“发包人”）与</w:t>
      </w:r>
    </w:p>
    <w:p w14:paraId="7B9351E3">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（承包人名称）（以</w:t>
      </w:r>
      <w:r>
        <w:rPr>
          <w:rFonts w:hint="eastAsia" w:ascii="宋体" w:hAnsi="宋体" w:eastAsia="宋体"/>
          <w:color w:val="000000"/>
          <w:sz w:val="24"/>
          <w:szCs w:val="24"/>
          <w:highlight w:val="none"/>
          <w:lang w:eastAsia="zh-CN"/>
        </w:rPr>
        <w:t>下简</w:t>
      </w:r>
      <w:r>
        <w:rPr>
          <w:rFonts w:ascii="宋体" w:hAnsi="宋体" w:eastAsia="宋体"/>
          <w:color w:val="000000"/>
          <w:sz w:val="24"/>
          <w:szCs w:val="24"/>
          <w:highlight w:val="none"/>
        </w:rPr>
        <w:t>称“承包人”）于年月日就（工程名称）施工及有关事项协商一致共同签订《建设工程施工合同》。我方愿意无条件地、不可撤销地就承包人履行与你方签订的合同，向你方提供连带责任担保。</w:t>
      </w:r>
    </w:p>
    <w:p w14:paraId="64737ECD">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1.担保金额人民币（大写）元（¥）。</w:t>
      </w:r>
    </w:p>
    <w:p w14:paraId="7794585A">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2.担保有效期自你方与承包人签订的合同生效之日起至你方签发或应签发工程接收证书之日止。</w:t>
      </w:r>
    </w:p>
    <w:p w14:paraId="7C401779">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3.在本担保有效期内，因承包人违反合同约定的义务给你方造成经济损失时，我方在收到你方以书面形式提出的在担保金额内的赔偿要求后，在7天内无条件支付。</w:t>
      </w:r>
    </w:p>
    <w:p w14:paraId="283B93B1">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4.你方和承包人按合同约定变更合同时，我方承担本担保规定的义务不变。</w:t>
      </w:r>
    </w:p>
    <w:p w14:paraId="00365BA5">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5.因本保函发生的纠纷，可由双方协商解决，协商不成的，任何一方均可提请仲裁委员会仲裁。</w:t>
      </w:r>
    </w:p>
    <w:p w14:paraId="1DC1BC0F">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6.本保函自我方法定代表人（或其授权代理人）签字并加盖公章之日起生效。</w:t>
      </w:r>
    </w:p>
    <w:p w14:paraId="3CC9334F">
      <w:pPr>
        <w:spacing w:line="360" w:lineRule="auto"/>
        <w:rPr>
          <w:rFonts w:ascii="宋体" w:hAnsi="宋体" w:eastAsia="宋体"/>
          <w:color w:val="000000"/>
          <w:sz w:val="24"/>
          <w:szCs w:val="24"/>
          <w:highlight w:val="none"/>
        </w:rPr>
      </w:pPr>
    </w:p>
    <w:p w14:paraId="2DA15FBF">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担保人：（盖单位章）</w:t>
      </w:r>
    </w:p>
    <w:p w14:paraId="48CAF72C">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法定代表人或其委托代理人：（签字）</w:t>
      </w:r>
    </w:p>
    <w:p w14:paraId="717E2D37">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地址：</w:t>
      </w:r>
    </w:p>
    <w:p w14:paraId="132F38EA">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邮政编码：</w:t>
      </w:r>
    </w:p>
    <w:p w14:paraId="592574E1">
      <w:pPr>
        <w:spacing w:line="360" w:lineRule="auto"/>
        <w:rPr>
          <w:rFonts w:ascii="宋体" w:hAnsi="宋体" w:eastAsia="宋体"/>
          <w:color w:val="000000"/>
          <w:sz w:val="24"/>
          <w:szCs w:val="24"/>
          <w:highlight w:val="none"/>
          <w:u w:val="single"/>
        </w:rPr>
      </w:pPr>
      <w:r>
        <w:rPr>
          <w:rFonts w:ascii="宋体" w:hAnsi="宋体" w:eastAsia="宋体"/>
          <w:color w:val="000000"/>
          <w:sz w:val="24"/>
          <w:szCs w:val="24"/>
          <w:highlight w:val="none"/>
        </w:rPr>
        <w:t>电话：</w:t>
      </w:r>
    </w:p>
    <w:p w14:paraId="3A33331B">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传真：</w:t>
      </w:r>
    </w:p>
    <w:p w14:paraId="4B10C97E">
      <w:pPr>
        <w:spacing w:line="360" w:lineRule="auto"/>
        <w:jc w:val="left"/>
        <w:rPr>
          <w:rFonts w:ascii="宋体" w:hAnsi="宋体" w:eastAsia="宋体"/>
          <w:color w:val="000000"/>
          <w:sz w:val="24"/>
          <w:szCs w:val="24"/>
          <w:highlight w:val="none"/>
          <w:u w:val="single"/>
        </w:rPr>
      </w:pPr>
    </w:p>
    <w:p w14:paraId="0D006CD2">
      <w:pPr>
        <w:spacing w:line="360" w:lineRule="auto"/>
        <w:ind w:left="1519" w:hanging="1519" w:hangingChars="633"/>
        <w:rPr>
          <w:rFonts w:ascii="宋体" w:hAnsi="宋体" w:eastAsia="宋体"/>
          <w:color w:val="000000"/>
          <w:sz w:val="24"/>
          <w:szCs w:val="24"/>
          <w:highlight w:val="none"/>
        </w:rPr>
      </w:pPr>
      <w:r>
        <w:rPr>
          <w:rFonts w:ascii="宋体" w:hAnsi="宋体" w:eastAsia="宋体"/>
          <w:color w:val="000000"/>
          <w:sz w:val="24"/>
          <w:szCs w:val="24"/>
          <w:highlight w:val="none"/>
        </w:rPr>
        <w:t>年月日</w:t>
      </w:r>
    </w:p>
    <w:p w14:paraId="33178261">
      <w:pPr>
        <w:spacing w:line="360" w:lineRule="auto"/>
        <w:rPr>
          <w:rFonts w:ascii="宋体" w:hAnsi="宋体" w:eastAsia="宋体"/>
          <w:color w:val="000000"/>
          <w:sz w:val="24"/>
          <w:szCs w:val="24"/>
          <w:highlight w:val="none"/>
        </w:rPr>
      </w:pPr>
    </w:p>
    <w:p w14:paraId="001A00D8">
      <w:pPr>
        <w:spacing w:line="360" w:lineRule="auto"/>
        <w:rPr>
          <w:rFonts w:ascii="宋体" w:hAnsi="宋体" w:eastAsia="宋体"/>
          <w:color w:val="000000"/>
          <w:sz w:val="24"/>
          <w:szCs w:val="24"/>
          <w:highlight w:val="none"/>
        </w:rPr>
      </w:pPr>
    </w:p>
    <w:p w14:paraId="01D62322">
      <w:pPr>
        <w:spacing w:line="360" w:lineRule="auto"/>
        <w:rPr>
          <w:rFonts w:ascii="宋体" w:hAnsi="宋体" w:eastAsia="宋体"/>
          <w:color w:val="000000"/>
          <w:sz w:val="24"/>
          <w:szCs w:val="24"/>
          <w:highlight w:val="none"/>
        </w:rPr>
      </w:pPr>
    </w:p>
    <w:p w14:paraId="6863336C">
      <w:pPr>
        <w:spacing w:line="360" w:lineRule="auto"/>
        <w:rPr>
          <w:rFonts w:ascii="宋体" w:hAnsi="宋体" w:eastAsia="宋体"/>
          <w:color w:val="000000"/>
          <w:sz w:val="24"/>
          <w:szCs w:val="24"/>
          <w:highlight w:val="none"/>
        </w:rPr>
      </w:pPr>
    </w:p>
    <w:p w14:paraId="1B713740">
      <w:pPr>
        <w:spacing w:line="360" w:lineRule="auto"/>
        <w:rPr>
          <w:rFonts w:ascii="宋体" w:hAnsi="宋体" w:eastAsia="宋体"/>
          <w:color w:val="000000"/>
          <w:sz w:val="24"/>
          <w:szCs w:val="24"/>
          <w:highlight w:val="none"/>
        </w:rPr>
      </w:pPr>
    </w:p>
    <w:p w14:paraId="2133B122">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附</w:t>
      </w:r>
      <w:bookmarkStart w:id="615" w:name="_Toc296944571"/>
      <w:bookmarkStart w:id="616" w:name="_Toc296346733"/>
      <w:bookmarkStart w:id="617" w:name="_Toc267261702"/>
      <w:bookmarkStart w:id="618" w:name="_Toc296891060"/>
      <w:bookmarkStart w:id="619" w:name="_Toc296347231"/>
      <w:bookmarkStart w:id="620" w:name="_Toc296891272"/>
      <w:bookmarkStart w:id="621" w:name="_Toc296503232"/>
      <w:r>
        <w:rPr>
          <w:rFonts w:ascii="宋体" w:hAnsi="宋体" w:eastAsia="宋体"/>
          <w:color w:val="000000"/>
          <w:sz w:val="24"/>
          <w:szCs w:val="24"/>
          <w:highlight w:val="none"/>
        </w:rPr>
        <w:t>件9：</w:t>
      </w:r>
    </w:p>
    <w:bookmarkEnd w:id="615"/>
    <w:bookmarkEnd w:id="616"/>
    <w:bookmarkEnd w:id="617"/>
    <w:bookmarkEnd w:id="618"/>
    <w:bookmarkEnd w:id="619"/>
    <w:bookmarkEnd w:id="620"/>
    <w:bookmarkEnd w:id="621"/>
    <w:p w14:paraId="69874565">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预付款担保</w:t>
      </w:r>
    </w:p>
    <w:p w14:paraId="7FAC260C">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rPr>
        <w:t>（发包人名称）：</w:t>
      </w:r>
    </w:p>
    <w:p w14:paraId="697A5B3A">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根据（承包人名称）（以</w:t>
      </w:r>
      <w:r>
        <w:rPr>
          <w:rFonts w:hint="eastAsia" w:ascii="宋体" w:hAnsi="宋体" w:eastAsia="宋体"/>
          <w:color w:val="000000"/>
          <w:sz w:val="24"/>
          <w:szCs w:val="24"/>
          <w:highlight w:val="none"/>
          <w:lang w:eastAsia="zh-CN"/>
        </w:rPr>
        <w:t>下简</w:t>
      </w:r>
      <w:r>
        <w:rPr>
          <w:rFonts w:ascii="宋体" w:hAnsi="宋体" w:eastAsia="宋体"/>
          <w:color w:val="000000"/>
          <w:sz w:val="24"/>
          <w:szCs w:val="24"/>
          <w:highlight w:val="none"/>
        </w:rPr>
        <w:t>称</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承包人</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）与（发包人名称）（以下简称</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发包人</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w:t>
      </w:r>
    </w:p>
    <w:p w14:paraId="75982AD6">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于年月日签订的（工程名称）《建设工程施工合同》，承包人按约定的金额向</w:t>
      </w:r>
      <w:r>
        <w:rPr>
          <w:rFonts w:hint="eastAsia" w:ascii="宋体" w:hAnsi="宋体" w:eastAsia="宋体"/>
          <w:color w:val="000000"/>
          <w:sz w:val="24"/>
          <w:szCs w:val="24"/>
          <w:highlight w:val="none"/>
        </w:rPr>
        <w:t>你方</w:t>
      </w:r>
      <w:r>
        <w:rPr>
          <w:rFonts w:ascii="宋体" w:hAnsi="宋体" w:eastAsia="宋体"/>
          <w:color w:val="000000"/>
          <w:sz w:val="24"/>
          <w:szCs w:val="24"/>
          <w:highlight w:val="none"/>
        </w:rPr>
        <w:t>提交一份预付款担保，即有权得到</w:t>
      </w:r>
      <w:r>
        <w:rPr>
          <w:rFonts w:hint="eastAsia" w:ascii="宋体" w:hAnsi="宋体" w:eastAsia="宋体"/>
          <w:color w:val="000000"/>
          <w:sz w:val="24"/>
          <w:szCs w:val="24"/>
          <w:highlight w:val="none"/>
        </w:rPr>
        <w:t>你方</w:t>
      </w:r>
      <w:r>
        <w:rPr>
          <w:rFonts w:ascii="宋体" w:hAnsi="宋体" w:eastAsia="宋体"/>
          <w:color w:val="000000"/>
          <w:sz w:val="24"/>
          <w:szCs w:val="24"/>
          <w:highlight w:val="none"/>
        </w:rPr>
        <w:t>支付相等金额的预付款。我方愿意就你方提供给承包人的预付款</w:t>
      </w:r>
      <w:r>
        <w:rPr>
          <w:rFonts w:hint="eastAsia" w:ascii="宋体" w:hAnsi="宋体" w:eastAsia="宋体"/>
          <w:color w:val="000000"/>
          <w:sz w:val="24"/>
          <w:szCs w:val="24"/>
          <w:highlight w:val="none"/>
        </w:rPr>
        <w:t>为承包人</w:t>
      </w:r>
      <w:r>
        <w:rPr>
          <w:rFonts w:ascii="宋体" w:hAnsi="宋体" w:eastAsia="宋体"/>
          <w:color w:val="000000"/>
          <w:sz w:val="24"/>
          <w:szCs w:val="24"/>
          <w:highlight w:val="none"/>
        </w:rPr>
        <w:t>提供连带责任担保。</w:t>
      </w:r>
    </w:p>
    <w:p w14:paraId="750E2718">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ascii="宋体" w:hAnsi="宋体" w:eastAsia="宋体"/>
          <w:color w:val="000000"/>
          <w:sz w:val="24"/>
          <w:szCs w:val="24"/>
          <w:highlight w:val="none"/>
        </w:rPr>
        <w:t>担保金额人民币（大写）</w:t>
      </w:r>
      <w:r>
        <w:rPr>
          <w:rFonts w:hint="eastAsia" w:ascii="宋体" w:hAnsi="宋体" w:eastAsia="宋体"/>
          <w:color w:val="000000"/>
          <w:sz w:val="24"/>
          <w:szCs w:val="24"/>
          <w:highlight w:val="none"/>
        </w:rPr>
        <w:t>元</w:t>
      </w:r>
      <w:r>
        <w:rPr>
          <w:rFonts w:ascii="宋体" w:hAnsi="宋体" w:eastAsia="宋体"/>
          <w:color w:val="000000"/>
          <w:sz w:val="24"/>
          <w:szCs w:val="24"/>
          <w:highlight w:val="none"/>
        </w:rPr>
        <w:t>（</w:t>
      </w:r>
      <w:r>
        <w:rPr>
          <w:rFonts w:hint="eastAsia" w:ascii="宋体" w:hAnsi="宋体" w:eastAsia="宋体" w:cs="宋体"/>
          <w:color w:val="000000"/>
          <w:sz w:val="24"/>
          <w:szCs w:val="24"/>
          <w:highlight w:val="none"/>
        </w:rPr>
        <w:t>¥</w:t>
      </w:r>
      <w:r>
        <w:rPr>
          <w:rFonts w:ascii="宋体" w:hAnsi="宋体" w:eastAsia="宋体"/>
          <w:color w:val="000000"/>
          <w:sz w:val="24"/>
          <w:szCs w:val="24"/>
          <w:highlight w:val="none"/>
        </w:rPr>
        <w:t>）。</w:t>
      </w:r>
    </w:p>
    <w:p w14:paraId="4E20D584">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ascii="宋体" w:hAnsi="宋体" w:eastAsia="宋体"/>
          <w:color w:val="000000"/>
          <w:sz w:val="24"/>
          <w:szCs w:val="24"/>
          <w:highlight w:val="none"/>
        </w:rPr>
        <w:t>担保有效期自预付款支付给承包人起生效，至</w:t>
      </w:r>
      <w:r>
        <w:rPr>
          <w:rFonts w:hint="eastAsia" w:ascii="宋体" w:hAnsi="宋体" w:eastAsia="宋体"/>
          <w:color w:val="000000"/>
          <w:sz w:val="24"/>
          <w:szCs w:val="24"/>
          <w:highlight w:val="none"/>
        </w:rPr>
        <w:t>你方</w:t>
      </w:r>
      <w:r>
        <w:rPr>
          <w:rFonts w:ascii="宋体" w:hAnsi="宋体" w:eastAsia="宋体"/>
          <w:color w:val="000000"/>
          <w:sz w:val="24"/>
          <w:szCs w:val="24"/>
          <w:highlight w:val="none"/>
        </w:rPr>
        <w:t>签发的</w:t>
      </w:r>
      <w:r>
        <w:rPr>
          <w:rFonts w:hint="eastAsia" w:ascii="宋体" w:hAnsi="宋体" w:eastAsia="宋体"/>
          <w:color w:val="000000"/>
          <w:sz w:val="24"/>
          <w:szCs w:val="24"/>
          <w:highlight w:val="none"/>
        </w:rPr>
        <w:t>进</w:t>
      </w:r>
      <w:r>
        <w:rPr>
          <w:rFonts w:ascii="宋体" w:hAnsi="宋体" w:eastAsia="宋体"/>
          <w:color w:val="000000"/>
          <w:sz w:val="24"/>
          <w:szCs w:val="24"/>
          <w:highlight w:val="none"/>
        </w:rPr>
        <w:t>度款支付证书说明已完全扣清止。</w:t>
      </w:r>
    </w:p>
    <w:p w14:paraId="09740BC8">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在本保函有效期内，因承包人违反合同约定的义务而要求</w:t>
      </w:r>
      <w:r>
        <w:rPr>
          <w:rFonts w:hint="eastAsia" w:ascii="宋体" w:hAnsi="宋体" w:eastAsia="宋体"/>
          <w:color w:val="000000"/>
          <w:sz w:val="24"/>
          <w:szCs w:val="24"/>
          <w:highlight w:val="none"/>
        </w:rPr>
        <w:t>收</w:t>
      </w:r>
      <w:r>
        <w:rPr>
          <w:rFonts w:ascii="宋体" w:hAnsi="宋体" w:eastAsia="宋体"/>
          <w:color w:val="000000"/>
          <w:sz w:val="24"/>
          <w:szCs w:val="24"/>
          <w:highlight w:val="none"/>
        </w:rPr>
        <w:t>回预付款时，我方在收到你方的书面通知后，在７天内无条件支付。但本保函的担保金额，在任何时候不应超过预付款金额减去</w:t>
      </w:r>
      <w:r>
        <w:rPr>
          <w:rFonts w:hint="eastAsia" w:ascii="宋体" w:hAnsi="宋体" w:eastAsia="宋体"/>
          <w:color w:val="000000"/>
          <w:sz w:val="24"/>
          <w:szCs w:val="24"/>
          <w:highlight w:val="none"/>
        </w:rPr>
        <w:t>你方</w:t>
      </w:r>
      <w:r>
        <w:rPr>
          <w:rFonts w:ascii="宋体" w:hAnsi="宋体" w:eastAsia="宋体"/>
          <w:color w:val="000000"/>
          <w:sz w:val="24"/>
          <w:szCs w:val="24"/>
          <w:highlight w:val="none"/>
        </w:rPr>
        <w:t>按合同约定在向承包人签发的进度款支付证书中扣除的金额。</w:t>
      </w:r>
    </w:p>
    <w:p w14:paraId="6721836E">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4.你方</w:t>
      </w:r>
      <w:r>
        <w:rPr>
          <w:rFonts w:ascii="宋体" w:hAnsi="宋体" w:eastAsia="宋体"/>
          <w:color w:val="000000"/>
          <w:sz w:val="24"/>
          <w:szCs w:val="24"/>
          <w:highlight w:val="none"/>
        </w:rPr>
        <w:t>和承包人按合同约定变更合同时，我方承担本保函规定的义务不变。</w:t>
      </w:r>
    </w:p>
    <w:p w14:paraId="590CEED0">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5.</w:t>
      </w:r>
      <w:r>
        <w:rPr>
          <w:rFonts w:ascii="宋体" w:hAnsi="宋体" w:eastAsia="宋体"/>
          <w:color w:val="000000"/>
          <w:sz w:val="24"/>
          <w:szCs w:val="24"/>
          <w:highlight w:val="none"/>
        </w:rPr>
        <w:t>因本保函发生的纠纷，可由双方协商解决，协商不成的，任何一方均可提请仲裁委员会仲裁。</w:t>
      </w:r>
    </w:p>
    <w:p w14:paraId="17FAD10E">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6.</w:t>
      </w:r>
      <w:r>
        <w:rPr>
          <w:rFonts w:ascii="宋体" w:hAnsi="宋体" w:eastAsia="宋体"/>
          <w:color w:val="000000"/>
          <w:sz w:val="24"/>
          <w:szCs w:val="24"/>
          <w:highlight w:val="none"/>
        </w:rPr>
        <w:t>本保函自我方法定代表人（或其授权代理人）签字并加盖公章之日起生效。</w:t>
      </w:r>
    </w:p>
    <w:p w14:paraId="160CDA48">
      <w:pPr>
        <w:spacing w:line="360" w:lineRule="auto"/>
        <w:rPr>
          <w:rFonts w:ascii="宋体" w:hAnsi="宋体" w:eastAsia="宋体"/>
          <w:color w:val="000000"/>
          <w:sz w:val="24"/>
          <w:szCs w:val="24"/>
          <w:highlight w:val="none"/>
        </w:rPr>
      </w:pPr>
    </w:p>
    <w:p w14:paraId="753F1E64">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担保人：（盖单位章）</w:t>
      </w:r>
    </w:p>
    <w:p w14:paraId="38F4D4E1">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法定代表人或其委托代理人：（签字）</w:t>
      </w:r>
    </w:p>
    <w:p w14:paraId="4C1CF92D">
      <w:pPr>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地址：</w:t>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p>
    <w:p w14:paraId="3D507615">
      <w:pPr>
        <w:spacing w:line="360" w:lineRule="auto"/>
        <w:rPr>
          <w:rFonts w:ascii="宋体" w:hAnsi="宋体" w:eastAsia="宋体"/>
          <w:color w:val="000000"/>
          <w:sz w:val="24"/>
          <w:szCs w:val="24"/>
          <w:highlight w:val="none"/>
          <w:u w:val="single"/>
        </w:rPr>
      </w:pPr>
      <w:r>
        <w:rPr>
          <w:rFonts w:ascii="宋体" w:hAnsi="宋体" w:eastAsia="宋体"/>
          <w:color w:val="000000"/>
          <w:sz w:val="24"/>
          <w:szCs w:val="24"/>
          <w:highlight w:val="none"/>
        </w:rPr>
        <w:t>邮政编码：</w:t>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p>
    <w:p w14:paraId="5E45FC70">
      <w:pPr>
        <w:spacing w:line="360" w:lineRule="auto"/>
        <w:rPr>
          <w:rFonts w:ascii="宋体" w:hAnsi="宋体" w:eastAsia="宋体"/>
          <w:color w:val="000000"/>
          <w:sz w:val="24"/>
          <w:szCs w:val="24"/>
          <w:highlight w:val="none"/>
          <w:u w:val="single"/>
        </w:rPr>
      </w:pPr>
      <w:r>
        <w:rPr>
          <w:rFonts w:ascii="宋体" w:hAnsi="宋体" w:eastAsia="宋体"/>
          <w:color w:val="000000"/>
          <w:sz w:val="24"/>
          <w:szCs w:val="24"/>
          <w:highlight w:val="none"/>
        </w:rPr>
        <w:t>电话：</w:t>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p>
    <w:p w14:paraId="347A522A">
      <w:pPr>
        <w:spacing w:line="360" w:lineRule="auto"/>
        <w:rPr>
          <w:rFonts w:ascii="宋体" w:hAnsi="宋体" w:eastAsia="宋体"/>
          <w:color w:val="000000"/>
          <w:sz w:val="24"/>
          <w:szCs w:val="24"/>
          <w:highlight w:val="none"/>
          <w:u w:val="single"/>
        </w:rPr>
      </w:pPr>
      <w:r>
        <w:rPr>
          <w:rFonts w:ascii="宋体" w:hAnsi="宋体" w:eastAsia="宋体"/>
          <w:color w:val="000000"/>
          <w:sz w:val="24"/>
          <w:szCs w:val="24"/>
          <w:highlight w:val="none"/>
        </w:rPr>
        <w:t>传真：</w:t>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r>
        <w:rPr>
          <w:rFonts w:ascii="宋体" w:hAnsi="宋体" w:eastAsia="宋体"/>
          <w:color w:val="000000"/>
          <w:sz w:val="24"/>
          <w:szCs w:val="24"/>
          <w:highlight w:val="none"/>
          <w:u w:val="single"/>
        </w:rPr>
        <w:tab/>
      </w:r>
    </w:p>
    <w:p w14:paraId="0FFD7F0C">
      <w:pPr>
        <w:spacing w:line="360" w:lineRule="auto"/>
        <w:rPr>
          <w:rFonts w:ascii="宋体" w:hAnsi="宋体" w:eastAsia="宋体"/>
          <w:color w:val="000000"/>
          <w:sz w:val="24"/>
          <w:szCs w:val="24"/>
          <w:highlight w:val="none"/>
          <w:u w:val="single"/>
        </w:rPr>
      </w:pPr>
    </w:p>
    <w:p w14:paraId="70CD3DB2">
      <w:pPr>
        <w:spacing w:line="360" w:lineRule="auto"/>
        <w:rPr>
          <w:rFonts w:hint="eastAsia" w:ascii="宋体" w:hAnsi="宋体" w:eastAsia="宋体"/>
          <w:color w:val="000000"/>
          <w:sz w:val="24"/>
          <w:szCs w:val="24"/>
          <w:highlight w:val="none"/>
          <w:lang w:eastAsia="zh-CN"/>
        </w:rPr>
      </w:pPr>
      <w:r>
        <w:rPr>
          <w:rFonts w:ascii="宋体" w:hAnsi="宋体" w:eastAsia="宋体"/>
          <w:color w:val="000000"/>
          <w:sz w:val="24"/>
          <w:szCs w:val="24"/>
          <w:highlight w:val="none"/>
        </w:rPr>
        <w:t>年月日</w:t>
      </w:r>
      <w:r>
        <w:rPr>
          <w:rFonts w:ascii="宋体" w:hAnsi="宋体" w:eastAsia="宋体"/>
          <w:b/>
          <w:color w:val="000000"/>
          <w:sz w:val="24"/>
          <w:szCs w:val="24"/>
          <w:highlight w:val="none"/>
        </w:rPr>
        <w:br w:type="page"/>
      </w:r>
      <w:r>
        <w:rPr>
          <w:rFonts w:ascii="宋体" w:hAnsi="宋体" w:eastAsia="宋体"/>
          <w:color w:val="000000"/>
          <w:sz w:val="24"/>
          <w:szCs w:val="24"/>
          <w:highlight w:val="none"/>
        </w:rPr>
        <w:t>附</w:t>
      </w:r>
      <w:bookmarkStart w:id="622" w:name="_Toc296347232"/>
      <w:bookmarkStart w:id="623" w:name="_Toc296891061"/>
      <w:bookmarkStart w:id="624" w:name="_Toc296944572"/>
      <w:bookmarkStart w:id="625" w:name="_Toc296346734"/>
      <w:bookmarkStart w:id="626" w:name="_Toc296891273"/>
      <w:bookmarkStart w:id="627" w:name="_Toc296503233"/>
      <w:r>
        <w:rPr>
          <w:rFonts w:ascii="宋体" w:hAnsi="宋体" w:eastAsia="宋体"/>
          <w:color w:val="000000"/>
          <w:sz w:val="24"/>
          <w:szCs w:val="24"/>
          <w:highlight w:val="none"/>
        </w:rPr>
        <w:t>件10:</w:t>
      </w:r>
    </w:p>
    <w:bookmarkEnd w:id="622"/>
    <w:bookmarkEnd w:id="623"/>
    <w:bookmarkEnd w:id="624"/>
    <w:bookmarkEnd w:id="625"/>
    <w:bookmarkEnd w:id="626"/>
    <w:bookmarkEnd w:id="627"/>
    <w:p w14:paraId="1A3DCCB4">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支付担保</w:t>
      </w:r>
    </w:p>
    <w:p w14:paraId="50C72077">
      <w:pPr>
        <w:jc w:val="left"/>
        <w:rPr>
          <w:rFonts w:ascii="宋体" w:hAnsi="宋体" w:eastAsia="宋体"/>
          <w:color w:val="000000"/>
          <w:sz w:val="24"/>
          <w:szCs w:val="24"/>
          <w:highlight w:val="none"/>
        </w:rPr>
      </w:pPr>
      <w:r>
        <w:rPr>
          <w:rFonts w:ascii="宋体" w:hAnsi="宋体" w:eastAsia="宋体"/>
          <w:color w:val="000000"/>
          <w:sz w:val="24"/>
          <w:szCs w:val="24"/>
          <w:highlight w:val="none"/>
        </w:rPr>
        <w:t>（承包人）：</w:t>
      </w:r>
    </w:p>
    <w:p w14:paraId="65ACC9C5">
      <w:pPr>
        <w:jc w:val="left"/>
        <w:rPr>
          <w:rFonts w:ascii="宋体" w:hAnsi="宋体" w:eastAsia="宋体"/>
          <w:color w:val="000000"/>
          <w:sz w:val="24"/>
          <w:szCs w:val="24"/>
          <w:highlight w:val="none"/>
        </w:rPr>
      </w:pPr>
    </w:p>
    <w:p w14:paraId="3AD31431">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鉴于你方作为承包人已经与（发包人名称）（以下称</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发包人</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）于年月日签订了（工程名称）《建设工程施工合同》（以下称</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主合同</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），应发包人的申请，我方愿就发包人履行主合同约定的工程款支付义务以保证的方式向你方提供如下担保：</w:t>
      </w:r>
    </w:p>
    <w:p w14:paraId="1151E93E">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一、保证的范围及保证金额</w:t>
      </w:r>
    </w:p>
    <w:p w14:paraId="0666F26A">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ascii="宋体" w:hAnsi="宋体" w:eastAsia="宋体"/>
          <w:color w:val="000000"/>
          <w:sz w:val="24"/>
          <w:szCs w:val="24"/>
          <w:highlight w:val="none"/>
        </w:rPr>
        <w:t>我方的保证范围是主合同约定的工程款。</w:t>
      </w:r>
    </w:p>
    <w:p w14:paraId="52DF5A6C">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ascii="宋体" w:hAnsi="宋体" w:eastAsia="宋体"/>
          <w:color w:val="000000"/>
          <w:sz w:val="24"/>
          <w:szCs w:val="24"/>
          <w:highlight w:val="none"/>
        </w:rPr>
        <w:t>本保函所称主合同约定的工程款是指主合同约定的除工程质量保证金以外的合同价款。</w:t>
      </w:r>
    </w:p>
    <w:p w14:paraId="56F57CF3">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我方保证的金额是主合同约定的工程款的%，数额最高不超过人民币元（大写</w:t>
      </w:r>
      <w:r>
        <w:rPr>
          <w:rFonts w:hint="eastAsia" w:ascii="宋体" w:hAnsi="宋体" w:eastAsia="宋体"/>
          <w:color w:val="000000"/>
          <w:sz w:val="24"/>
          <w:szCs w:val="24"/>
          <w:highlight w:val="none"/>
          <w:lang w:eastAsia="zh-CN"/>
        </w:rPr>
        <w:t>）</w:t>
      </w:r>
      <w:r>
        <w:rPr>
          <w:rFonts w:ascii="宋体" w:hAnsi="宋体" w:eastAsia="宋体"/>
          <w:color w:val="000000"/>
          <w:sz w:val="24"/>
          <w:szCs w:val="24"/>
          <w:highlight w:val="none"/>
        </w:rPr>
        <w:t>。</w:t>
      </w:r>
    </w:p>
    <w:p w14:paraId="0ABE2EAE">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二、保证的方式及保证期间</w:t>
      </w:r>
    </w:p>
    <w:p w14:paraId="30C0BDC2">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ascii="宋体" w:hAnsi="宋体" w:eastAsia="宋体"/>
          <w:color w:val="000000"/>
          <w:sz w:val="24"/>
          <w:szCs w:val="24"/>
          <w:highlight w:val="none"/>
        </w:rPr>
        <w:t>我方保证的方式为：连带责任保证。</w:t>
      </w:r>
    </w:p>
    <w:p w14:paraId="7B2EEA70">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ascii="宋体" w:hAnsi="宋体" w:eastAsia="宋体"/>
          <w:color w:val="000000"/>
          <w:sz w:val="24"/>
          <w:szCs w:val="24"/>
          <w:highlight w:val="none"/>
        </w:rPr>
        <w:t>我方保证的期间为：自本合同生效之日起至主合同约定的工程款支付完毕之</w:t>
      </w:r>
      <w:r>
        <w:rPr>
          <w:rFonts w:hint="eastAsia" w:ascii="宋体" w:hAnsi="宋体" w:eastAsia="宋体"/>
          <w:color w:val="000000"/>
          <w:sz w:val="24"/>
          <w:szCs w:val="24"/>
          <w:highlight w:val="none"/>
          <w:lang w:eastAsia="zh-CN"/>
        </w:rPr>
        <w:t>日</w:t>
      </w:r>
      <w:r>
        <w:rPr>
          <w:rFonts w:ascii="宋体" w:hAnsi="宋体" w:eastAsia="宋体"/>
          <w:color w:val="000000"/>
          <w:sz w:val="24"/>
          <w:szCs w:val="24"/>
          <w:highlight w:val="none"/>
        </w:rPr>
        <w:t>日内。</w:t>
      </w:r>
    </w:p>
    <w:p w14:paraId="46727699">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你方与发包人协议变更工程款支付日期的，经我方书面同意后，保证期间按照变更后的支付日期做相应调整。</w:t>
      </w:r>
    </w:p>
    <w:p w14:paraId="58DA7861">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三、承担保证责任的形式</w:t>
      </w:r>
    </w:p>
    <w:p w14:paraId="0D225B12">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我方承担保证责任的形式是代为支付。发包人未按主合同约定向你方支付工程款的，由我方在保证金额内代为支付。</w:t>
      </w:r>
    </w:p>
    <w:p w14:paraId="26D6D369">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四、代偿的安排</w:t>
      </w:r>
    </w:p>
    <w:p w14:paraId="2C8C16BD">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ascii="宋体" w:hAnsi="宋体" w:eastAsia="宋体"/>
          <w:color w:val="000000"/>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6548FC28">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ascii="宋体" w:hAnsi="宋体" w:eastAsia="宋体"/>
          <w:color w:val="000000"/>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3ED9C1EE">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我方收到你方的书面索赔通知及相应的证明材料后７天内无条件支付。</w:t>
      </w:r>
    </w:p>
    <w:p w14:paraId="6F9A4D3A">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五、保证责任的解除</w:t>
      </w:r>
    </w:p>
    <w:p w14:paraId="157639F2">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ascii="宋体" w:hAnsi="宋体" w:eastAsia="宋体"/>
          <w:color w:val="000000"/>
          <w:sz w:val="24"/>
          <w:szCs w:val="24"/>
          <w:highlight w:val="none"/>
        </w:rPr>
        <w:t>在本保函承诺的保证期间内，你方未书面向我方主张保证责任的，自保证期间届满次日起，我方保证责任解除。</w:t>
      </w:r>
    </w:p>
    <w:p w14:paraId="7EC1CFC7">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ascii="宋体" w:hAnsi="宋体" w:eastAsia="宋体"/>
          <w:color w:val="000000"/>
          <w:sz w:val="24"/>
          <w:szCs w:val="24"/>
          <w:highlight w:val="none"/>
        </w:rPr>
        <w:t>发包人按主合同约定履行了工程款的全部支付义务的，自本保函承诺的保证期间届满次日起，我方保证责任解除。</w:t>
      </w:r>
    </w:p>
    <w:p w14:paraId="45CE9752">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我方按照本保函向你方履行保证责任所支付金额达到本保函保证金额时，自我方向你方支付（支付款项从我方账户划出）之日起，保证责任即解除。</w:t>
      </w:r>
    </w:p>
    <w:p w14:paraId="342B7FF1">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4.</w:t>
      </w:r>
      <w:r>
        <w:rPr>
          <w:rFonts w:ascii="宋体" w:hAnsi="宋体" w:eastAsia="宋体"/>
          <w:color w:val="000000"/>
          <w:sz w:val="24"/>
          <w:szCs w:val="24"/>
          <w:highlight w:val="none"/>
        </w:rPr>
        <w:t>按照法律法规的规定或出现应解除我方保证责任的其他情形的，我方在本保函项下的保证责任亦解除。</w:t>
      </w:r>
    </w:p>
    <w:p w14:paraId="58F59D5E">
      <w:pPr>
        <w:spacing w:line="360" w:lineRule="auto"/>
        <w:ind w:firstLine="480" w:firstLineChars="200"/>
        <w:jc w:val="left"/>
        <w:rPr>
          <w:rFonts w:ascii="宋体" w:hAnsi="宋体" w:eastAsia="宋体"/>
          <w:color w:val="000000"/>
          <w:sz w:val="24"/>
          <w:szCs w:val="24"/>
          <w:highlight w:val="none"/>
        </w:rPr>
      </w:pPr>
    </w:p>
    <w:p w14:paraId="0F066D42">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5.</w:t>
      </w:r>
      <w:r>
        <w:rPr>
          <w:rFonts w:ascii="宋体" w:hAnsi="宋体" w:eastAsia="宋体"/>
          <w:color w:val="000000"/>
          <w:sz w:val="24"/>
          <w:szCs w:val="24"/>
          <w:highlight w:val="none"/>
        </w:rPr>
        <w:t>我方解除保证责任后，你方应自我方保证责任解除之日起个工作日内，将本保函原件返还我方。</w:t>
      </w:r>
    </w:p>
    <w:p w14:paraId="63A8491A">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六、免责条款</w:t>
      </w:r>
    </w:p>
    <w:p w14:paraId="0D377C15">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1.</w:t>
      </w:r>
      <w:r>
        <w:rPr>
          <w:rFonts w:ascii="宋体" w:hAnsi="宋体" w:eastAsia="宋体"/>
          <w:color w:val="000000"/>
          <w:sz w:val="24"/>
          <w:szCs w:val="24"/>
          <w:highlight w:val="none"/>
        </w:rPr>
        <w:t>因你方违约致使发包人不能履行义务的，我方不承担保证责任。</w:t>
      </w:r>
    </w:p>
    <w:p w14:paraId="47CE15FA">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ascii="宋体" w:hAnsi="宋体" w:eastAsia="宋体"/>
          <w:color w:val="000000"/>
          <w:sz w:val="24"/>
          <w:szCs w:val="24"/>
          <w:highlight w:val="none"/>
        </w:rPr>
        <w:t>依照法律法规的规定或你方与发包人的另行约定，免除发包人部分或全部义务的，我方亦免除其相应的保证责任。</w:t>
      </w:r>
    </w:p>
    <w:p w14:paraId="1ECA5923">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变更</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约定的变更不受本款限制。</w:t>
      </w:r>
    </w:p>
    <w:p w14:paraId="4B0D064B">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4.</w:t>
      </w:r>
      <w:r>
        <w:rPr>
          <w:rFonts w:ascii="宋体" w:hAnsi="宋体" w:eastAsia="宋体"/>
          <w:color w:val="000000"/>
          <w:sz w:val="24"/>
          <w:szCs w:val="24"/>
          <w:highlight w:val="none"/>
        </w:rPr>
        <w:t>因不可抗力造成发包人不能履行义务的，我方不承担保证责任。</w:t>
      </w:r>
    </w:p>
    <w:p w14:paraId="3E3EFA80">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七、争议解决</w:t>
      </w:r>
    </w:p>
    <w:p w14:paraId="0CFC6373">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因本保函</w:t>
      </w:r>
      <w:r>
        <w:rPr>
          <w:rFonts w:hint="eastAsia" w:ascii="宋体" w:hAnsi="宋体" w:eastAsia="宋体"/>
          <w:color w:val="000000"/>
          <w:sz w:val="24"/>
          <w:szCs w:val="24"/>
          <w:highlight w:val="none"/>
        </w:rPr>
        <w:t>或本保函相关事项</w:t>
      </w:r>
      <w:r>
        <w:rPr>
          <w:rFonts w:ascii="宋体" w:hAnsi="宋体" w:eastAsia="宋体"/>
          <w:color w:val="000000"/>
          <w:sz w:val="24"/>
          <w:szCs w:val="24"/>
          <w:highlight w:val="none"/>
        </w:rPr>
        <w:t>发生的纠纷，可由双方协商解决，协商不成的，按</w:t>
      </w:r>
      <w:r>
        <w:rPr>
          <w:rFonts w:hint="eastAsia" w:ascii="宋体" w:hAnsi="宋体" w:eastAsia="宋体"/>
          <w:color w:val="000000"/>
          <w:sz w:val="24"/>
          <w:szCs w:val="24"/>
          <w:highlight w:val="none"/>
          <w:lang w:eastAsia="zh-CN"/>
        </w:rPr>
        <w:t>下列第几种方式</w:t>
      </w:r>
      <w:r>
        <w:rPr>
          <w:rFonts w:hint="eastAsia" w:ascii="宋体" w:hAnsi="宋体" w:eastAsia="宋体"/>
          <w:color w:val="000000"/>
          <w:sz w:val="24"/>
          <w:szCs w:val="24"/>
          <w:highlight w:val="none"/>
        </w:rPr>
        <w:t>解</w:t>
      </w:r>
      <w:r>
        <w:rPr>
          <w:rFonts w:ascii="宋体" w:hAnsi="宋体" w:eastAsia="宋体"/>
          <w:color w:val="000000"/>
          <w:sz w:val="24"/>
          <w:szCs w:val="24"/>
          <w:highlight w:val="none"/>
        </w:rPr>
        <w:t>决：</w:t>
      </w:r>
    </w:p>
    <w:p w14:paraId="08769510">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（1）向仲裁委员会申请仲裁；</w:t>
      </w:r>
    </w:p>
    <w:p w14:paraId="392E346B">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（2）向人民法院起诉。</w:t>
      </w:r>
    </w:p>
    <w:p w14:paraId="5A09EBDB">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八、保函的生效</w:t>
      </w:r>
    </w:p>
    <w:p w14:paraId="741866D7">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本</w:t>
      </w:r>
      <w:r>
        <w:rPr>
          <w:rFonts w:hint="eastAsia" w:ascii="宋体" w:hAnsi="宋体" w:eastAsia="宋体"/>
          <w:color w:val="000000"/>
          <w:sz w:val="24"/>
          <w:szCs w:val="24"/>
          <w:highlight w:val="none"/>
          <w:lang w:eastAsia="zh-CN"/>
        </w:rPr>
        <w:t>保证</w:t>
      </w:r>
      <w:r>
        <w:rPr>
          <w:rFonts w:ascii="宋体" w:hAnsi="宋体" w:eastAsia="宋体"/>
          <w:color w:val="000000"/>
          <w:sz w:val="24"/>
          <w:szCs w:val="24"/>
          <w:highlight w:val="none"/>
        </w:rPr>
        <w:t>函自我方法定代表人（或其授权代理人）签字并加盖公章之日起生效。</w:t>
      </w:r>
    </w:p>
    <w:p w14:paraId="3C60EDD2">
      <w:pPr>
        <w:spacing w:line="360" w:lineRule="auto"/>
        <w:ind w:firstLine="480" w:firstLineChars="200"/>
        <w:jc w:val="left"/>
        <w:rPr>
          <w:rFonts w:ascii="宋体" w:hAnsi="宋体" w:eastAsia="宋体"/>
          <w:color w:val="000000"/>
          <w:sz w:val="24"/>
          <w:szCs w:val="24"/>
          <w:highlight w:val="none"/>
        </w:rPr>
      </w:pPr>
    </w:p>
    <w:p w14:paraId="18970AFC">
      <w:pPr>
        <w:spacing w:line="360" w:lineRule="auto"/>
        <w:ind w:firstLine="200"/>
        <w:jc w:val="left"/>
        <w:rPr>
          <w:rFonts w:ascii="宋体" w:hAnsi="宋体" w:eastAsia="宋体"/>
          <w:color w:val="000000"/>
          <w:sz w:val="24"/>
          <w:szCs w:val="24"/>
          <w:highlight w:val="none"/>
        </w:rPr>
      </w:pPr>
    </w:p>
    <w:p w14:paraId="0CE29C1C">
      <w:pPr>
        <w:spacing w:line="360" w:lineRule="auto"/>
        <w:ind w:firstLine="200"/>
        <w:jc w:val="left"/>
        <w:rPr>
          <w:rFonts w:ascii="宋体" w:hAnsi="宋体" w:eastAsia="宋体"/>
          <w:color w:val="000000"/>
          <w:sz w:val="24"/>
          <w:szCs w:val="24"/>
          <w:highlight w:val="none"/>
        </w:rPr>
      </w:pPr>
      <w:r>
        <w:rPr>
          <w:rFonts w:ascii="宋体" w:hAnsi="宋体" w:eastAsia="宋体"/>
          <w:color w:val="000000"/>
          <w:sz w:val="24"/>
          <w:szCs w:val="24"/>
          <w:highlight w:val="none"/>
        </w:rPr>
        <w:t>担保人：（盖章）</w:t>
      </w:r>
    </w:p>
    <w:p w14:paraId="48E22A3E">
      <w:pPr>
        <w:spacing w:line="360" w:lineRule="auto"/>
        <w:ind w:firstLine="200"/>
        <w:jc w:val="left"/>
        <w:rPr>
          <w:rFonts w:ascii="宋体" w:hAnsi="宋体" w:eastAsia="宋体"/>
          <w:color w:val="000000"/>
          <w:sz w:val="24"/>
          <w:szCs w:val="24"/>
          <w:highlight w:val="none"/>
        </w:rPr>
      </w:pPr>
      <w:r>
        <w:rPr>
          <w:rFonts w:ascii="宋体" w:hAnsi="宋体" w:eastAsia="宋体"/>
          <w:color w:val="000000"/>
          <w:sz w:val="24"/>
          <w:szCs w:val="24"/>
          <w:highlight w:val="none"/>
        </w:rPr>
        <w:t>法定代表人或委托代理人：（签字）</w:t>
      </w:r>
    </w:p>
    <w:p w14:paraId="695E261D">
      <w:pPr>
        <w:spacing w:line="360" w:lineRule="auto"/>
        <w:ind w:firstLine="200"/>
        <w:jc w:val="left"/>
        <w:rPr>
          <w:rFonts w:ascii="宋体" w:hAnsi="宋体" w:eastAsia="宋体"/>
          <w:color w:val="000000"/>
          <w:sz w:val="24"/>
          <w:szCs w:val="24"/>
          <w:highlight w:val="none"/>
        </w:rPr>
      </w:pPr>
      <w:r>
        <w:rPr>
          <w:rFonts w:ascii="宋体" w:hAnsi="宋体" w:eastAsia="宋体"/>
          <w:color w:val="000000"/>
          <w:sz w:val="24"/>
          <w:szCs w:val="24"/>
          <w:highlight w:val="none"/>
        </w:rPr>
        <w:t>地址：</w:t>
      </w:r>
    </w:p>
    <w:p w14:paraId="58E46BA2">
      <w:pPr>
        <w:spacing w:line="360" w:lineRule="auto"/>
        <w:ind w:firstLine="200"/>
        <w:jc w:val="left"/>
        <w:rPr>
          <w:rFonts w:ascii="宋体" w:hAnsi="宋体" w:eastAsia="宋体"/>
          <w:color w:val="000000"/>
          <w:sz w:val="24"/>
          <w:szCs w:val="24"/>
          <w:highlight w:val="none"/>
        </w:rPr>
      </w:pPr>
      <w:r>
        <w:rPr>
          <w:rFonts w:ascii="宋体" w:hAnsi="宋体" w:eastAsia="宋体"/>
          <w:color w:val="000000"/>
          <w:sz w:val="24"/>
          <w:szCs w:val="24"/>
          <w:highlight w:val="none"/>
        </w:rPr>
        <w:t>邮政编码：</w:t>
      </w:r>
    </w:p>
    <w:p w14:paraId="52BEE075">
      <w:pPr>
        <w:spacing w:line="360" w:lineRule="auto"/>
        <w:ind w:firstLine="200"/>
        <w:jc w:val="left"/>
        <w:rPr>
          <w:rFonts w:ascii="宋体" w:hAnsi="宋体" w:eastAsia="宋体"/>
          <w:color w:val="000000"/>
          <w:sz w:val="24"/>
          <w:szCs w:val="24"/>
          <w:highlight w:val="none"/>
        </w:rPr>
      </w:pPr>
      <w:r>
        <w:rPr>
          <w:rFonts w:ascii="宋体" w:hAnsi="宋体" w:eastAsia="宋体"/>
          <w:color w:val="000000"/>
          <w:sz w:val="24"/>
          <w:szCs w:val="24"/>
          <w:highlight w:val="none"/>
        </w:rPr>
        <w:t>传真：</w:t>
      </w:r>
    </w:p>
    <w:p w14:paraId="650AC6D6">
      <w:pPr>
        <w:spacing w:line="360" w:lineRule="auto"/>
        <w:ind w:firstLine="480" w:firstLineChars="200"/>
        <w:jc w:val="left"/>
        <w:rPr>
          <w:rFonts w:ascii="宋体" w:hAnsi="宋体" w:eastAsia="宋体"/>
          <w:color w:val="000000"/>
          <w:sz w:val="24"/>
          <w:szCs w:val="24"/>
          <w:highlight w:val="none"/>
          <w:u w:val="single"/>
        </w:rPr>
      </w:pPr>
    </w:p>
    <w:p w14:paraId="055BF9EA">
      <w:pPr>
        <w:spacing w:line="360" w:lineRule="auto"/>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rPr>
        <w:t>年月日</w:t>
      </w:r>
      <w:r>
        <w:rPr>
          <w:rFonts w:ascii="宋体" w:hAnsi="宋体" w:eastAsia="宋体"/>
          <w:color w:val="000000"/>
          <w:sz w:val="24"/>
          <w:szCs w:val="24"/>
          <w:highlight w:val="none"/>
        </w:rPr>
        <w:br w:type="page"/>
      </w:r>
      <w:r>
        <w:rPr>
          <w:rFonts w:ascii="宋体" w:hAnsi="宋体" w:eastAsia="宋体"/>
          <w:color w:val="000000"/>
          <w:sz w:val="24"/>
          <w:szCs w:val="24"/>
          <w:highlight w:val="none"/>
        </w:rPr>
        <w:t>附件11：</w:t>
      </w:r>
    </w:p>
    <w:p w14:paraId="6732F86A">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11-1：材料暂估价表</w:t>
      </w:r>
    </w:p>
    <w:tbl>
      <w:tblPr>
        <w:tblStyle w:val="2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64B0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615687D">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序号</w:t>
            </w:r>
          </w:p>
        </w:tc>
        <w:tc>
          <w:tcPr>
            <w:tcW w:w="1984" w:type="dxa"/>
            <w:tcBorders>
              <w:top w:val="single" w:color="auto" w:sz="12" w:space="0"/>
              <w:bottom w:val="double" w:color="auto" w:sz="6" w:space="0"/>
            </w:tcBorders>
            <w:noWrap w:val="0"/>
            <w:vAlign w:val="top"/>
          </w:tcPr>
          <w:p w14:paraId="263BDC1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名称</w:t>
            </w:r>
          </w:p>
        </w:tc>
        <w:tc>
          <w:tcPr>
            <w:tcW w:w="851" w:type="dxa"/>
            <w:tcBorders>
              <w:top w:val="single" w:color="auto" w:sz="12" w:space="0"/>
              <w:bottom w:val="double" w:color="auto" w:sz="6" w:space="0"/>
            </w:tcBorders>
            <w:noWrap w:val="0"/>
            <w:vAlign w:val="top"/>
          </w:tcPr>
          <w:p w14:paraId="6E8FDC2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单位</w:t>
            </w:r>
          </w:p>
        </w:tc>
        <w:tc>
          <w:tcPr>
            <w:tcW w:w="774" w:type="dxa"/>
            <w:tcBorders>
              <w:top w:val="single" w:color="auto" w:sz="12" w:space="0"/>
              <w:bottom w:val="double" w:color="auto" w:sz="6" w:space="0"/>
            </w:tcBorders>
            <w:noWrap w:val="0"/>
            <w:vAlign w:val="top"/>
          </w:tcPr>
          <w:p w14:paraId="685F1F96">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数量</w:t>
            </w:r>
          </w:p>
        </w:tc>
        <w:tc>
          <w:tcPr>
            <w:tcW w:w="1352" w:type="dxa"/>
            <w:tcBorders>
              <w:top w:val="single" w:color="auto" w:sz="12" w:space="0"/>
              <w:bottom w:val="double" w:color="auto" w:sz="6" w:space="0"/>
            </w:tcBorders>
            <w:noWrap w:val="0"/>
            <w:vAlign w:val="top"/>
          </w:tcPr>
          <w:p w14:paraId="2B0796D8">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单价</w:t>
            </w:r>
            <w:r>
              <w:rPr>
                <w:rFonts w:hint="eastAsia" w:ascii="宋体" w:hAnsi="宋体"/>
                <w:color w:val="000000"/>
                <w:sz w:val="24"/>
                <w:szCs w:val="24"/>
                <w:highlight w:val="none"/>
              </w:rPr>
              <w:t>（元）</w:t>
            </w:r>
          </w:p>
        </w:tc>
        <w:tc>
          <w:tcPr>
            <w:tcW w:w="1418" w:type="dxa"/>
            <w:tcBorders>
              <w:top w:val="single" w:color="auto" w:sz="12" w:space="0"/>
              <w:bottom w:val="double" w:color="auto" w:sz="6" w:space="0"/>
            </w:tcBorders>
            <w:noWrap w:val="0"/>
            <w:vAlign w:val="top"/>
          </w:tcPr>
          <w:p w14:paraId="1ACC9F1C">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合价</w:t>
            </w:r>
            <w:r>
              <w:rPr>
                <w:rFonts w:hint="eastAsia" w:ascii="宋体" w:hAnsi="宋体"/>
                <w:color w:val="000000"/>
                <w:sz w:val="24"/>
                <w:szCs w:val="24"/>
                <w:highlight w:val="none"/>
              </w:rPr>
              <w:t>（元）</w:t>
            </w:r>
          </w:p>
        </w:tc>
        <w:tc>
          <w:tcPr>
            <w:tcW w:w="1701" w:type="dxa"/>
            <w:tcBorders>
              <w:top w:val="single" w:color="auto" w:sz="12" w:space="0"/>
              <w:bottom w:val="double" w:color="auto" w:sz="6" w:space="0"/>
            </w:tcBorders>
            <w:noWrap w:val="0"/>
            <w:vAlign w:val="top"/>
          </w:tcPr>
          <w:p w14:paraId="7F62361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备注</w:t>
            </w:r>
          </w:p>
        </w:tc>
      </w:tr>
      <w:tr w14:paraId="49CDB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DAA15E7">
            <w:pPr>
              <w:pStyle w:val="10"/>
              <w:keepNext/>
              <w:spacing w:after="0" w:line="440" w:lineRule="exact"/>
              <w:ind w:left="63" w:right="63"/>
              <w:rPr>
                <w:rFonts w:ascii="宋体" w:hAnsi="宋体"/>
                <w:color w:val="000000"/>
                <w:sz w:val="24"/>
                <w:szCs w:val="24"/>
                <w:highlight w:val="none"/>
              </w:rPr>
            </w:pPr>
          </w:p>
        </w:tc>
        <w:tc>
          <w:tcPr>
            <w:tcW w:w="1984" w:type="dxa"/>
            <w:tcBorders>
              <w:top w:val="double" w:color="auto" w:sz="6" w:space="0"/>
              <w:bottom w:val="single" w:color="auto" w:sz="6" w:space="0"/>
            </w:tcBorders>
            <w:noWrap w:val="0"/>
            <w:vAlign w:val="top"/>
          </w:tcPr>
          <w:p w14:paraId="60B77D97">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single" w:color="auto" w:sz="6" w:space="0"/>
            </w:tcBorders>
            <w:noWrap w:val="0"/>
            <w:vAlign w:val="top"/>
          </w:tcPr>
          <w:p w14:paraId="5660C84A">
            <w:pPr>
              <w:pStyle w:val="10"/>
              <w:keepNext/>
              <w:spacing w:after="0" w:line="440" w:lineRule="exact"/>
              <w:ind w:left="63" w:right="63"/>
              <w:rPr>
                <w:rFonts w:ascii="宋体" w:hAnsi="宋体"/>
                <w:color w:val="000000"/>
                <w:sz w:val="24"/>
                <w:szCs w:val="24"/>
                <w:highlight w:val="none"/>
              </w:rPr>
            </w:pPr>
          </w:p>
        </w:tc>
        <w:tc>
          <w:tcPr>
            <w:tcW w:w="774" w:type="dxa"/>
            <w:tcBorders>
              <w:top w:val="double" w:color="auto" w:sz="6" w:space="0"/>
              <w:bottom w:val="single" w:color="auto" w:sz="6" w:space="0"/>
            </w:tcBorders>
            <w:noWrap w:val="0"/>
            <w:vAlign w:val="top"/>
          </w:tcPr>
          <w:p w14:paraId="0D649850">
            <w:pPr>
              <w:pStyle w:val="10"/>
              <w:keepNext/>
              <w:spacing w:after="0" w:line="440" w:lineRule="exact"/>
              <w:ind w:left="63" w:right="63"/>
              <w:rPr>
                <w:rFonts w:ascii="宋体" w:hAnsi="宋体"/>
                <w:color w:val="000000"/>
                <w:sz w:val="24"/>
                <w:szCs w:val="24"/>
                <w:highlight w:val="none"/>
              </w:rPr>
            </w:pPr>
          </w:p>
        </w:tc>
        <w:tc>
          <w:tcPr>
            <w:tcW w:w="1352" w:type="dxa"/>
            <w:tcBorders>
              <w:top w:val="double" w:color="auto" w:sz="6" w:space="0"/>
              <w:bottom w:val="single" w:color="auto" w:sz="6" w:space="0"/>
            </w:tcBorders>
            <w:noWrap w:val="0"/>
            <w:vAlign w:val="top"/>
          </w:tcPr>
          <w:p w14:paraId="7C32792C">
            <w:pPr>
              <w:pStyle w:val="10"/>
              <w:keepNext/>
              <w:spacing w:after="0" w:line="440" w:lineRule="exact"/>
              <w:ind w:left="63" w:right="63"/>
              <w:rPr>
                <w:rFonts w:ascii="宋体" w:hAnsi="宋体"/>
                <w:color w:val="000000"/>
                <w:sz w:val="24"/>
                <w:szCs w:val="24"/>
                <w:highlight w:val="none"/>
              </w:rPr>
            </w:pPr>
          </w:p>
        </w:tc>
        <w:tc>
          <w:tcPr>
            <w:tcW w:w="1418" w:type="dxa"/>
            <w:tcBorders>
              <w:top w:val="double" w:color="auto" w:sz="6" w:space="0"/>
              <w:bottom w:val="single" w:color="auto" w:sz="6" w:space="0"/>
            </w:tcBorders>
            <w:noWrap w:val="0"/>
            <w:vAlign w:val="top"/>
          </w:tcPr>
          <w:p w14:paraId="218E7919">
            <w:pPr>
              <w:pStyle w:val="10"/>
              <w:keepNext/>
              <w:spacing w:after="0" w:line="440" w:lineRule="exact"/>
              <w:ind w:left="63" w:right="63"/>
              <w:rPr>
                <w:rFonts w:ascii="宋体" w:hAnsi="宋体"/>
                <w:color w:val="000000"/>
                <w:sz w:val="24"/>
                <w:szCs w:val="24"/>
                <w:highlight w:val="none"/>
              </w:rPr>
            </w:pPr>
          </w:p>
        </w:tc>
        <w:tc>
          <w:tcPr>
            <w:tcW w:w="1701" w:type="dxa"/>
            <w:tcBorders>
              <w:top w:val="double" w:color="auto" w:sz="6" w:space="0"/>
              <w:bottom w:val="single" w:color="auto" w:sz="6" w:space="0"/>
            </w:tcBorders>
            <w:noWrap w:val="0"/>
            <w:vAlign w:val="top"/>
          </w:tcPr>
          <w:p w14:paraId="2BF39E41">
            <w:pPr>
              <w:pStyle w:val="10"/>
              <w:keepNext/>
              <w:spacing w:after="0" w:line="440" w:lineRule="exact"/>
              <w:ind w:left="63" w:right="63"/>
              <w:rPr>
                <w:rFonts w:ascii="宋体" w:hAnsi="宋体"/>
                <w:color w:val="000000"/>
                <w:sz w:val="24"/>
                <w:szCs w:val="24"/>
                <w:highlight w:val="none"/>
              </w:rPr>
            </w:pPr>
          </w:p>
        </w:tc>
      </w:tr>
      <w:tr w14:paraId="63BF3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94FA669">
            <w:pPr>
              <w:pStyle w:val="10"/>
              <w:keepNext/>
              <w:spacing w:after="0" w:line="440" w:lineRule="exact"/>
              <w:ind w:left="63" w:right="63"/>
              <w:rPr>
                <w:rFonts w:ascii="宋体" w:hAnsi="宋体"/>
                <w:color w:val="000000"/>
                <w:sz w:val="24"/>
                <w:szCs w:val="24"/>
                <w:highlight w:val="none"/>
              </w:rPr>
            </w:pPr>
          </w:p>
        </w:tc>
        <w:tc>
          <w:tcPr>
            <w:tcW w:w="1984" w:type="dxa"/>
            <w:tcBorders>
              <w:top w:val="nil"/>
            </w:tcBorders>
            <w:noWrap w:val="0"/>
            <w:vAlign w:val="top"/>
          </w:tcPr>
          <w:p w14:paraId="064508EE">
            <w:pPr>
              <w:pStyle w:val="10"/>
              <w:keepNext/>
              <w:spacing w:after="0" w:line="440" w:lineRule="exact"/>
              <w:ind w:left="63" w:right="63"/>
              <w:rPr>
                <w:rFonts w:ascii="宋体" w:hAnsi="宋体"/>
                <w:color w:val="000000"/>
                <w:sz w:val="24"/>
                <w:szCs w:val="24"/>
                <w:highlight w:val="none"/>
              </w:rPr>
            </w:pPr>
          </w:p>
        </w:tc>
        <w:tc>
          <w:tcPr>
            <w:tcW w:w="851" w:type="dxa"/>
            <w:tcBorders>
              <w:top w:val="nil"/>
            </w:tcBorders>
            <w:noWrap w:val="0"/>
            <w:vAlign w:val="top"/>
          </w:tcPr>
          <w:p w14:paraId="649B9256">
            <w:pPr>
              <w:pStyle w:val="10"/>
              <w:keepNext/>
              <w:spacing w:after="0" w:line="440" w:lineRule="exact"/>
              <w:ind w:left="63" w:right="63"/>
              <w:rPr>
                <w:rFonts w:ascii="宋体" w:hAnsi="宋体"/>
                <w:color w:val="000000"/>
                <w:sz w:val="24"/>
                <w:szCs w:val="24"/>
                <w:highlight w:val="none"/>
              </w:rPr>
            </w:pPr>
          </w:p>
        </w:tc>
        <w:tc>
          <w:tcPr>
            <w:tcW w:w="774" w:type="dxa"/>
            <w:tcBorders>
              <w:top w:val="nil"/>
            </w:tcBorders>
            <w:noWrap w:val="0"/>
            <w:vAlign w:val="top"/>
          </w:tcPr>
          <w:p w14:paraId="30CE76B7">
            <w:pPr>
              <w:pStyle w:val="10"/>
              <w:keepNext/>
              <w:spacing w:after="0" w:line="440" w:lineRule="exact"/>
              <w:ind w:left="63" w:right="63"/>
              <w:rPr>
                <w:rFonts w:ascii="宋体" w:hAnsi="宋体"/>
                <w:color w:val="000000"/>
                <w:sz w:val="24"/>
                <w:szCs w:val="24"/>
                <w:highlight w:val="none"/>
              </w:rPr>
            </w:pPr>
          </w:p>
        </w:tc>
        <w:tc>
          <w:tcPr>
            <w:tcW w:w="1352" w:type="dxa"/>
            <w:tcBorders>
              <w:top w:val="nil"/>
            </w:tcBorders>
            <w:noWrap w:val="0"/>
            <w:vAlign w:val="top"/>
          </w:tcPr>
          <w:p w14:paraId="30F2F168">
            <w:pPr>
              <w:pStyle w:val="10"/>
              <w:keepNext/>
              <w:spacing w:after="0" w:line="440" w:lineRule="exact"/>
              <w:ind w:left="63" w:right="63"/>
              <w:rPr>
                <w:rFonts w:ascii="宋体" w:hAnsi="宋体"/>
                <w:color w:val="000000"/>
                <w:sz w:val="24"/>
                <w:szCs w:val="24"/>
                <w:highlight w:val="none"/>
              </w:rPr>
            </w:pPr>
          </w:p>
        </w:tc>
        <w:tc>
          <w:tcPr>
            <w:tcW w:w="1418" w:type="dxa"/>
            <w:tcBorders>
              <w:top w:val="nil"/>
            </w:tcBorders>
            <w:noWrap w:val="0"/>
            <w:vAlign w:val="top"/>
          </w:tcPr>
          <w:p w14:paraId="0753DBF0">
            <w:pPr>
              <w:pStyle w:val="10"/>
              <w:keepNext/>
              <w:spacing w:after="0" w:line="440" w:lineRule="exact"/>
              <w:ind w:left="63" w:right="63"/>
              <w:rPr>
                <w:rFonts w:ascii="宋体" w:hAnsi="宋体"/>
                <w:color w:val="000000"/>
                <w:sz w:val="24"/>
                <w:szCs w:val="24"/>
                <w:highlight w:val="none"/>
              </w:rPr>
            </w:pPr>
          </w:p>
        </w:tc>
        <w:tc>
          <w:tcPr>
            <w:tcW w:w="1701" w:type="dxa"/>
            <w:tcBorders>
              <w:top w:val="nil"/>
            </w:tcBorders>
            <w:noWrap w:val="0"/>
            <w:vAlign w:val="top"/>
          </w:tcPr>
          <w:p w14:paraId="37CA4C91">
            <w:pPr>
              <w:pStyle w:val="10"/>
              <w:keepNext/>
              <w:spacing w:after="0" w:line="440" w:lineRule="exact"/>
              <w:ind w:left="63" w:right="63"/>
              <w:rPr>
                <w:rFonts w:ascii="宋体" w:hAnsi="宋体"/>
                <w:color w:val="000000"/>
                <w:sz w:val="24"/>
                <w:szCs w:val="24"/>
                <w:highlight w:val="none"/>
              </w:rPr>
            </w:pPr>
          </w:p>
        </w:tc>
      </w:tr>
      <w:tr w14:paraId="2A45A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39611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AD9872D">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67D5F89">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4BF7CD9F">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F826732">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509071B">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1923C00F">
            <w:pPr>
              <w:pStyle w:val="10"/>
              <w:keepNext/>
              <w:spacing w:after="0" w:line="440" w:lineRule="exact"/>
              <w:ind w:left="63" w:right="63"/>
              <w:rPr>
                <w:rFonts w:ascii="宋体" w:hAnsi="宋体"/>
                <w:color w:val="000000"/>
                <w:sz w:val="24"/>
                <w:szCs w:val="24"/>
                <w:highlight w:val="none"/>
              </w:rPr>
            </w:pPr>
          </w:p>
        </w:tc>
      </w:tr>
      <w:tr w14:paraId="51505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B24E7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A93228A">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23B7DA2">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36C5949">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BD383BA">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19F94A5">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03AF03EA">
            <w:pPr>
              <w:pStyle w:val="10"/>
              <w:keepNext/>
              <w:spacing w:after="0" w:line="440" w:lineRule="exact"/>
              <w:ind w:left="63" w:right="63"/>
              <w:rPr>
                <w:rFonts w:ascii="宋体" w:hAnsi="宋体"/>
                <w:color w:val="000000"/>
                <w:sz w:val="24"/>
                <w:szCs w:val="24"/>
                <w:highlight w:val="none"/>
              </w:rPr>
            </w:pPr>
          </w:p>
        </w:tc>
      </w:tr>
      <w:tr w14:paraId="67B05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D07258">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EF79738">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D286B19">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AFA0AA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C46A16D">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1FF35703">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507E9F1">
            <w:pPr>
              <w:pStyle w:val="10"/>
              <w:keepNext/>
              <w:spacing w:after="0" w:line="440" w:lineRule="exact"/>
              <w:ind w:left="63" w:right="63"/>
              <w:rPr>
                <w:rFonts w:ascii="宋体" w:hAnsi="宋体"/>
                <w:color w:val="000000"/>
                <w:sz w:val="24"/>
                <w:szCs w:val="24"/>
                <w:highlight w:val="none"/>
              </w:rPr>
            </w:pPr>
          </w:p>
        </w:tc>
      </w:tr>
      <w:tr w14:paraId="5F97D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D4E4E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31AC956">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6B74757">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9CE2B96">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D78D323">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AB5807F">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B8BA9F8">
            <w:pPr>
              <w:pStyle w:val="10"/>
              <w:keepNext/>
              <w:spacing w:after="0" w:line="440" w:lineRule="exact"/>
              <w:ind w:left="63" w:right="63"/>
              <w:rPr>
                <w:rFonts w:ascii="宋体" w:hAnsi="宋体"/>
                <w:color w:val="000000"/>
                <w:sz w:val="24"/>
                <w:szCs w:val="24"/>
                <w:highlight w:val="none"/>
              </w:rPr>
            </w:pPr>
          </w:p>
        </w:tc>
      </w:tr>
      <w:tr w14:paraId="1CFDA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FE478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0FF5FD9">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D60763B">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788BD65C">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078AC2EF">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15E19F44">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D87AC66">
            <w:pPr>
              <w:pStyle w:val="10"/>
              <w:keepNext/>
              <w:spacing w:after="0" w:line="440" w:lineRule="exact"/>
              <w:ind w:left="63" w:right="63"/>
              <w:rPr>
                <w:rFonts w:ascii="宋体" w:hAnsi="宋体"/>
                <w:color w:val="000000"/>
                <w:sz w:val="24"/>
                <w:szCs w:val="24"/>
                <w:highlight w:val="none"/>
              </w:rPr>
            </w:pPr>
          </w:p>
        </w:tc>
      </w:tr>
      <w:tr w14:paraId="24532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FCAE0B">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199B56A">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D856753">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7C42F083">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F83409D">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2B19A9FF">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00EA21AB">
            <w:pPr>
              <w:pStyle w:val="10"/>
              <w:keepNext/>
              <w:spacing w:after="0" w:line="440" w:lineRule="exact"/>
              <w:ind w:left="63" w:right="63"/>
              <w:rPr>
                <w:rFonts w:ascii="宋体" w:hAnsi="宋体"/>
                <w:color w:val="000000"/>
                <w:sz w:val="24"/>
                <w:szCs w:val="24"/>
                <w:highlight w:val="none"/>
              </w:rPr>
            </w:pPr>
          </w:p>
        </w:tc>
      </w:tr>
      <w:tr w14:paraId="642E2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F496E3">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4A9510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E90DDA7">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4D26014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8DF37C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D190B5D">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265F9CEE">
            <w:pPr>
              <w:pStyle w:val="10"/>
              <w:keepNext/>
              <w:spacing w:after="0" w:line="440" w:lineRule="exact"/>
              <w:ind w:left="63" w:right="63"/>
              <w:rPr>
                <w:rFonts w:ascii="宋体" w:hAnsi="宋体"/>
                <w:color w:val="000000"/>
                <w:sz w:val="24"/>
                <w:szCs w:val="24"/>
                <w:highlight w:val="none"/>
              </w:rPr>
            </w:pPr>
          </w:p>
        </w:tc>
      </w:tr>
      <w:tr w14:paraId="1278B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BFF618">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E61907F">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DC66C6E">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AAC1696">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B376471">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C5E6C02">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81010DB">
            <w:pPr>
              <w:pStyle w:val="10"/>
              <w:keepNext/>
              <w:spacing w:after="0" w:line="440" w:lineRule="exact"/>
              <w:ind w:left="63" w:right="63"/>
              <w:rPr>
                <w:rFonts w:ascii="宋体" w:hAnsi="宋体"/>
                <w:color w:val="000000"/>
                <w:sz w:val="24"/>
                <w:szCs w:val="24"/>
                <w:highlight w:val="none"/>
              </w:rPr>
            </w:pPr>
          </w:p>
        </w:tc>
      </w:tr>
      <w:tr w14:paraId="59820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CAE48B">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6DA0B0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02BDC4E">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9DB26FC">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3625E65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27D6E848">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94E82F5">
            <w:pPr>
              <w:pStyle w:val="10"/>
              <w:keepNext/>
              <w:spacing w:after="0" w:line="440" w:lineRule="exact"/>
              <w:ind w:left="63" w:right="63"/>
              <w:rPr>
                <w:rFonts w:ascii="宋体" w:hAnsi="宋体"/>
                <w:color w:val="000000"/>
                <w:sz w:val="24"/>
                <w:szCs w:val="24"/>
                <w:highlight w:val="none"/>
              </w:rPr>
            </w:pPr>
          </w:p>
        </w:tc>
      </w:tr>
      <w:tr w14:paraId="66A95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01147E">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3D06001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D144DC4">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E0DAE5A">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D3E0A3B">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DE93220">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3F0A71C">
            <w:pPr>
              <w:pStyle w:val="10"/>
              <w:keepNext/>
              <w:spacing w:after="0" w:line="440" w:lineRule="exact"/>
              <w:ind w:left="63" w:right="63"/>
              <w:rPr>
                <w:rFonts w:ascii="宋体" w:hAnsi="宋体"/>
                <w:color w:val="000000"/>
                <w:sz w:val="24"/>
                <w:szCs w:val="24"/>
                <w:highlight w:val="none"/>
              </w:rPr>
            </w:pPr>
          </w:p>
        </w:tc>
      </w:tr>
      <w:tr w14:paraId="2B1DB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462386">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293B63D">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8CA205F">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428A3C6">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9D3064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8CD1213">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4EACCE6">
            <w:pPr>
              <w:pStyle w:val="10"/>
              <w:keepNext/>
              <w:spacing w:after="0" w:line="440" w:lineRule="exact"/>
              <w:ind w:left="63" w:right="63"/>
              <w:rPr>
                <w:rFonts w:ascii="宋体" w:hAnsi="宋体"/>
                <w:color w:val="000000"/>
                <w:sz w:val="24"/>
                <w:szCs w:val="24"/>
                <w:highlight w:val="none"/>
              </w:rPr>
            </w:pPr>
          </w:p>
        </w:tc>
      </w:tr>
      <w:tr w14:paraId="70718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959462">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39750C2">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DBF16A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DEFCB03">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D821771">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1BFB27AF">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1B1922E6">
            <w:pPr>
              <w:pStyle w:val="10"/>
              <w:keepNext/>
              <w:spacing w:after="0" w:line="440" w:lineRule="exact"/>
              <w:ind w:left="63" w:right="63"/>
              <w:rPr>
                <w:rFonts w:ascii="宋体" w:hAnsi="宋体"/>
                <w:color w:val="000000"/>
                <w:sz w:val="24"/>
                <w:szCs w:val="24"/>
                <w:highlight w:val="none"/>
              </w:rPr>
            </w:pPr>
          </w:p>
        </w:tc>
      </w:tr>
      <w:tr w14:paraId="4F149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6027F2">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4A5BCC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DEE6AF2">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49872F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5BB3E3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18F3F304">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7CEE743">
            <w:pPr>
              <w:pStyle w:val="10"/>
              <w:keepNext/>
              <w:spacing w:after="0" w:line="440" w:lineRule="exact"/>
              <w:ind w:left="63" w:right="63"/>
              <w:rPr>
                <w:rFonts w:ascii="宋体" w:hAnsi="宋体"/>
                <w:color w:val="000000"/>
                <w:sz w:val="24"/>
                <w:szCs w:val="24"/>
                <w:highlight w:val="none"/>
              </w:rPr>
            </w:pPr>
          </w:p>
        </w:tc>
      </w:tr>
      <w:tr w14:paraId="52E62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021773">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6A406D8">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4B13E4B">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EA4235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7C53EF9">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4F9ABFD">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7875EFE">
            <w:pPr>
              <w:pStyle w:val="10"/>
              <w:keepNext/>
              <w:spacing w:after="0" w:line="440" w:lineRule="exact"/>
              <w:ind w:left="63" w:right="63"/>
              <w:rPr>
                <w:rFonts w:ascii="宋体" w:hAnsi="宋体"/>
                <w:color w:val="000000"/>
                <w:sz w:val="24"/>
                <w:szCs w:val="24"/>
                <w:highlight w:val="none"/>
              </w:rPr>
            </w:pPr>
          </w:p>
        </w:tc>
      </w:tr>
      <w:tr w14:paraId="16560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8C928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A797CB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646E5C10">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D46E047">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9E6711C">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8D28B6E">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903225B">
            <w:pPr>
              <w:pStyle w:val="10"/>
              <w:keepNext/>
              <w:spacing w:after="0" w:line="440" w:lineRule="exact"/>
              <w:ind w:left="63" w:right="63"/>
              <w:rPr>
                <w:rFonts w:ascii="宋体" w:hAnsi="宋体"/>
                <w:color w:val="000000"/>
                <w:sz w:val="24"/>
                <w:szCs w:val="24"/>
                <w:highlight w:val="none"/>
              </w:rPr>
            </w:pPr>
          </w:p>
        </w:tc>
      </w:tr>
      <w:tr w14:paraId="22505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D21AD4">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82D0CE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74620C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636EE1E">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33228EF8">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8D6FDE0">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CD4BE11">
            <w:pPr>
              <w:pStyle w:val="10"/>
              <w:keepNext/>
              <w:spacing w:after="0" w:line="440" w:lineRule="exact"/>
              <w:ind w:left="63" w:right="63"/>
              <w:rPr>
                <w:rFonts w:ascii="宋体" w:hAnsi="宋体"/>
                <w:color w:val="000000"/>
                <w:sz w:val="24"/>
                <w:szCs w:val="24"/>
                <w:highlight w:val="none"/>
              </w:rPr>
            </w:pPr>
          </w:p>
        </w:tc>
      </w:tr>
      <w:tr w14:paraId="5D2F5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FB23B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34A68BC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88FD6B0">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F06BF4E">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E09BDD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892A4C3">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6CBFE1E">
            <w:pPr>
              <w:pStyle w:val="10"/>
              <w:keepNext/>
              <w:spacing w:after="0" w:line="440" w:lineRule="exact"/>
              <w:ind w:left="63" w:right="63"/>
              <w:rPr>
                <w:rFonts w:ascii="宋体" w:hAnsi="宋体"/>
                <w:color w:val="000000"/>
                <w:sz w:val="24"/>
                <w:szCs w:val="24"/>
                <w:highlight w:val="none"/>
              </w:rPr>
            </w:pPr>
          </w:p>
        </w:tc>
      </w:tr>
      <w:tr w14:paraId="3798C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E748C5">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11D8A4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83AA351">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7531839">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5696DAF">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29777C69">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8D61064">
            <w:pPr>
              <w:pStyle w:val="10"/>
              <w:keepNext/>
              <w:spacing w:after="0" w:line="440" w:lineRule="exact"/>
              <w:ind w:left="63" w:right="63"/>
              <w:rPr>
                <w:rFonts w:ascii="宋体" w:hAnsi="宋体"/>
                <w:color w:val="000000"/>
                <w:sz w:val="24"/>
                <w:szCs w:val="24"/>
                <w:highlight w:val="none"/>
              </w:rPr>
            </w:pPr>
          </w:p>
        </w:tc>
      </w:tr>
      <w:tr w14:paraId="710DD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FAFF50">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2846C9F8">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6CB47443">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FA74811">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F3DF52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EC14BAC">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0C852536">
            <w:pPr>
              <w:pStyle w:val="10"/>
              <w:keepNext/>
              <w:spacing w:after="0" w:line="440" w:lineRule="exact"/>
              <w:ind w:left="63" w:right="63"/>
              <w:rPr>
                <w:rFonts w:ascii="宋体" w:hAnsi="宋体"/>
                <w:color w:val="000000"/>
                <w:sz w:val="24"/>
                <w:szCs w:val="24"/>
                <w:highlight w:val="none"/>
              </w:rPr>
            </w:pPr>
          </w:p>
        </w:tc>
      </w:tr>
      <w:tr w14:paraId="5D7F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159A90">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1BB1AD5">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8D863DA">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89655D3">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A67CF4A">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9B8A445">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A2C74C0">
            <w:pPr>
              <w:pStyle w:val="10"/>
              <w:keepNext/>
              <w:spacing w:after="0" w:line="440" w:lineRule="exact"/>
              <w:ind w:left="63" w:right="63"/>
              <w:rPr>
                <w:rFonts w:ascii="宋体" w:hAnsi="宋体"/>
                <w:color w:val="000000"/>
                <w:sz w:val="24"/>
                <w:szCs w:val="24"/>
                <w:highlight w:val="none"/>
              </w:rPr>
            </w:pPr>
          </w:p>
        </w:tc>
      </w:tr>
      <w:tr w14:paraId="2DCB2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9132A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7B7288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9E2D7C2">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23D106F">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197FC3A">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9A8E9AB">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58CEB9B">
            <w:pPr>
              <w:pStyle w:val="10"/>
              <w:keepNext/>
              <w:spacing w:after="0" w:line="440" w:lineRule="exact"/>
              <w:ind w:left="63" w:right="63"/>
              <w:rPr>
                <w:rFonts w:ascii="宋体" w:hAnsi="宋体"/>
                <w:color w:val="000000"/>
                <w:sz w:val="24"/>
                <w:szCs w:val="24"/>
                <w:highlight w:val="none"/>
              </w:rPr>
            </w:pPr>
          </w:p>
        </w:tc>
      </w:tr>
      <w:tr w14:paraId="4D1B2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461241">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35E643E2">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B180634">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A6F8F5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2359EF8">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8881BBB">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E16C3F9">
            <w:pPr>
              <w:pStyle w:val="10"/>
              <w:keepNext/>
              <w:spacing w:after="0" w:line="440" w:lineRule="exact"/>
              <w:ind w:left="63" w:right="63"/>
              <w:rPr>
                <w:rFonts w:ascii="宋体" w:hAnsi="宋体"/>
                <w:color w:val="000000"/>
                <w:sz w:val="24"/>
                <w:szCs w:val="24"/>
                <w:highlight w:val="none"/>
              </w:rPr>
            </w:pPr>
          </w:p>
        </w:tc>
      </w:tr>
      <w:tr w14:paraId="5FFDA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306CFE">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12A285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701AAF9">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7547110">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4F409FB">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AC143B1">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29AD023">
            <w:pPr>
              <w:pStyle w:val="10"/>
              <w:keepNext/>
              <w:spacing w:after="0" w:line="440" w:lineRule="exact"/>
              <w:ind w:left="63" w:right="63"/>
              <w:rPr>
                <w:rFonts w:ascii="宋体" w:hAnsi="宋体"/>
                <w:color w:val="000000"/>
                <w:sz w:val="24"/>
                <w:szCs w:val="24"/>
                <w:highlight w:val="none"/>
              </w:rPr>
            </w:pPr>
          </w:p>
        </w:tc>
      </w:tr>
    </w:tbl>
    <w:p w14:paraId="11A7A457">
      <w:pPr>
        <w:spacing w:before="156" w:beforeLines="50" w:after="156" w:afterLines="50" w:line="440" w:lineRule="exact"/>
        <w:rPr>
          <w:rFonts w:ascii="宋体" w:hAnsi="宋体" w:eastAsia="宋体"/>
          <w:color w:val="000000"/>
          <w:sz w:val="24"/>
          <w:szCs w:val="24"/>
          <w:highlight w:val="none"/>
        </w:rPr>
      </w:pPr>
    </w:p>
    <w:p w14:paraId="0A085B64">
      <w:pPr>
        <w:spacing w:before="156" w:beforeLines="50" w:after="156" w:afterLines="50" w:line="440" w:lineRule="exact"/>
        <w:jc w:val="center"/>
        <w:rPr>
          <w:rFonts w:ascii="宋体" w:hAnsi="宋体" w:eastAsia="宋体"/>
          <w:color w:val="000000"/>
          <w:sz w:val="24"/>
          <w:szCs w:val="24"/>
          <w:highlight w:val="none"/>
        </w:rPr>
      </w:pPr>
    </w:p>
    <w:p w14:paraId="68157465">
      <w:pPr>
        <w:spacing w:before="156" w:beforeLines="50" w:after="156" w:afterLines="50" w:line="440" w:lineRule="exact"/>
        <w:jc w:val="center"/>
        <w:rPr>
          <w:rFonts w:ascii="宋体" w:hAnsi="宋体" w:eastAsia="宋体"/>
          <w:color w:val="000000"/>
          <w:sz w:val="24"/>
          <w:szCs w:val="24"/>
          <w:highlight w:val="none"/>
        </w:rPr>
      </w:pPr>
    </w:p>
    <w:p w14:paraId="76BBC583">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t>11-2：工程设备暂估价表</w:t>
      </w:r>
    </w:p>
    <w:tbl>
      <w:tblPr>
        <w:tblStyle w:val="2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6C16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EB509FE">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序号</w:t>
            </w:r>
          </w:p>
        </w:tc>
        <w:tc>
          <w:tcPr>
            <w:tcW w:w="1984" w:type="dxa"/>
            <w:tcBorders>
              <w:top w:val="single" w:color="auto" w:sz="12" w:space="0"/>
              <w:bottom w:val="double" w:color="auto" w:sz="6" w:space="0"/>
            </w:tcBorders>
            <w:noWrap w:val="0"/>
            <w:vAlign w:val="top"/>
          </w:tcPr>
          <w:p w14:paraId="251F209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名称</w:t>
            </w:r>
          </w:p>
        </w:tc>
        <w:tc>
          <w:tcPr>
            <w:tcW w:w="851" w:type="dxa"/>
            <w:tcBorders>
              <w:top w:val="single" w:color="auto" w:sz="12" w:space="0"/>
              <w:bottom w:val="double" w:color="auto" w:sz="6" w:space="0"/>
            </w:tcBorders>
            <w:noWrap w:val="0"/>
            <w:vAlign w:val="top"/>
          </w:tcPr>
          <w:p w14:paraId="6C225F66">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单位</w:t>
            </w:r>
          </w:p>
        </w:tc>
        <w:tc>
          <w:tcPr>
            <w:tcW w:w="774" w:type="dxa"/>
            <w:tcBorders>
              <w:top w:val="single" w:color="auto" w:sz="12" w:space="0"/>
              <w:bottom w:val="double" w:color="auto" w:sz="6" w:space="0"/>
            </w:tcBorders>
            <w:noWrap w:val="0"/>
            <w:vAlign w:val="top"/>
          </w:tcPr>
          <w:p w14:paraId="72E62A4B">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数量</w:t>
            </w:r>
          </w:p>
        </w:tc>
        <w:tc>
          <w:tcPr>
            <w:tcW w:w="1352" w:type="dxa"/>
            <w:tcBorders>
              <w:top w:val="single" w:color="auto" w:sz="12" w:space="0"/>
              <w:bottom w:val="double" w:color="auto" w:sz="6" w:space="0"/>
            </w:tcBorders>
            <w:noWrap w:val="0"/>
            <w:vAlign w:val="top"/>
          </w:tcPr>
          <w:p w14:paraId="7941CC0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单价</w:t>
            </w:r>
            <w:r>
              <w:rPr>
                <w:rFonts w:hint="eastAsia" w:ascii="宋体" w:hAnsi="宋体"/>
                <w:color w:val="000000"/>
                <w:sz w:val="24"/>
                <w:szCs w:val="24"/>
                <w:highlight w:val="none"/>
              </w:rPr>
              <w:t>（元）</w:t>
            </w:r>
          </w:p>
        </w:tc>
        <w:tc>
          <w:tcPr>
            <w:tcW w:w="1418" w:type="dxa"/>
            <w:tcBorders>
              <w:top w:val="single" w:color="auto" w:sz="12" w:space="0"/>
              <w:bottom w:val="double" w:color="auto" w:sz="6" w:space="0"/>
            </w:tcBorders>
            <w:noWrap w:val="0"/>
            <w:vAlign w:val="top"/>
          </w:tcPr>
          <w:p w14:paraId="75830AA7">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合价</w:t>
            </w:r>
            <w:r>
              <w:rPr>
                <w:rFonts w:hint="eastAsia" w:ascii="宋体" w:hAnsi="宋体"/>
                <w:color w:val="000000"/>
                <w:sz w:val="24"/>
                <w:szCs w:val="24"/>
                <w:highlight w:val="none"/>
              </w:rPr>
              <w:t>（元）</w:t>
            </w:r>
          </w:p>
        </w:tc>
        <w:tc>
          <w:tcPr>
            <w:tcW w:w="1701" w:type="dxa"/>
            <w:tcBorders>
              <w:top w:val="single" w:color="auto" w:sz="12" w:space="0"/>
              <w:bottom w:val="double" w:color="auto" w:sz="6" w:space="0"/>
            </w:tcBorders>
            <w:noWrap w:val="0"/>
            <w:vAlign w:val="top"/>
          </w:tcPr>
          <w:p w14:paraId="6A222C1F">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备注</w:t>
            </w:r>
          </w:p>
        </w:tc>
      </w:tr>
      <w:tr w14:paraId="60927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41E36C35">
            <w:pPr>
              <w:pStyle w:val="10"/>
              <w:keepNext/>
              <w:spacing w:after="0" w:line="440" w:lineRule="exact"/>
              <w:ind w:left="63" w:right="63"/>
              <w:rPr>
                <w:rFonts w:ascii="宋体" w:hAnsi="宋体"/>
                <w:color w:val="000000"/>
                <w:sz w:val="24"/>
                <w:szCs w:val="24"/>
                <w:highlight w:val="none"/>
              </w:rPr>
            </w:pPr>
          </w:p>
        </w:tc>
        <w:tc>
          <w:tcPr>
            <w:tcW w:w="1984" w:type="dxa"/>
            <w:tcBorders>
              <w:top w:val="double" w:color="auto" w:sz="6" w:space="0"/>
              <w:bottom w:val="single" w:color="auto" w:sz="6" w:space="0"/>
            </w:tcBorders>
            <w:noWrap w:val="0"/>
            <w:vAlign w:val="top"/>
          </w:tcPr>
          <w:p w14:paraId="11774FD1">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single" w:color="auto" w:sz="6" w:space="0"/>
            </w:tcBorders>
            <w:noWrap w:val="0"/>
            <w:vAlign w:val="top"/>
          </w:tcPr>
          <w:p w14:paraId="15549C89">
            <w:pPr>
              <w:pStyle w:val="10"/>
              <w:keepNext/>
              <w:spacing w:after="0" w:line="440" w:lineRule="exact"/>
              <w:ind w:left="63" w:right="63"/>
              <w:rPr>
                <w:rFonts w:ascii="宋体" w:hAnsi="宋体"/>
                <w:color w:val="000000"/>
                <w:sz w:val="24"/>
                <w:szCs w:val="24"/>
                <w:highlight w:val="none"/>
              </w:rPr>
            </w:pPr>
          </w:p>
        </w:tc>
        <w:tc>
          <w:tcPr>
            <w:tcW w:w="774" w:type="dxa"/>
            <w:tcBorders>
              <w:top w:val="double" w:color="auto" w:sz="6" w:space="0"/>
              <w:bottom w:val="single" w:color="auto" w:sz="6" w:space="0"/>
            </w:tcBorders>
            <w:noWrap w:val="0"/>
            <w:vAlign w:val="top"/>
          </w:tcPr>
          <w:p w14:paraId="62B72691">
            <w:pPr>
              <w:pStyle w:val="10"/>
              <w:keepNext/>
              <w:spacing w:after="0" w:line="440" w:lineRule="exact"/>
              <w:ind w:left="63" w:right="63"/>
              <w:rPr>
                <w:rFonts w:ascii="宋体" w:hAnsi="宋体"/>
                <w:color w:val="000000"/>
                <w:sz w:val="24"/>
                <w:szCs w:val="24"/>
                <w:highlight w:val="none"/>
              </w:rPr>
            </w:pPr>
          </w:p>
        </w:tc>
        <w:tc>
          <w:tcPr>
            <w:tcW w:w="1352" w:type="dxa"/>
            <w:tcBorders>
              <w:top w:val="double" w:color="auto" w:sz="6" w:space="0"/>
              <w:bottom w:val="single" w:color="auto" w:sz="6" w:space="0"/>
            </w:tcBorders>
            <w:noWrap w:val="0"/>
            <w:vAlign w:val="top"/>
          </w:tcPr>
          <w:p w14:paraId="289C450B">
            <w:pPr>
              <w:pStyle w:val="10"/>
              <w:keepNext/>
              <w:spacing w:after="0" w:line="440" w:lineRule="exact"/>
              <w:ind w:left="63" w:right="63"/>
              <w:rPr>
                <w:rFonts w:ascii="宋体" w:hAnsi="宋体"/>
                <w:color w:val="000000"/>
                <w:sz w:val="24"/>
                <w:szCs w:val="24"/>
                <w:highlight w:val="none"/>
              </w:rPr>
            </w:pPr>
          </w:p>
        </w:tc>
        <w:tc>
          <w:tcPr>
            <w:tcW w:w="1418" w:type="dxa"/>
            <w:tcBorders>
              <w:top w:val="double" w:color="auto" w:sz="6" w:space="0"/>
              <w:bottom w:val="single" w:color="auto" w:sz="6" w:space="0"/>
            </w:tcBorders>
            <w:noWrap w:val="0"/>
            <w:vAlign w:val="top"/>
          </w:tcPr>
          <w:p w14:paraId="58924FC5">
            <w:pPr>
              <w:pStyle w:val="10"/>
              <w:keepNext/>
              <w:spacing w:after="0" w:line="440" w:lineRule="exact"/>
              <w:ind w:left="63" w:right="63"/>
              <w:rPr>
                <w:rFonts w:ascii="宋体" w:hAnsi="宋体"/>
                <w:color w:val="000000"/>
                <w:sz w:val="24"/>
                <w:szCs w:val="24"/>
                <w:highlight w:val="none"/>
              </w:rPr>
            </w:pPr>
          </w:p>
        </w:tc>
        <w:tc>
          <w:tcPr>
            <w:tcW w:w="1701" w:type="dxa"/>
            <w:tcBorders>
              <w:top w:val="double" w:color="auto" w:sz="6" w:space="0"/>
              <w:bottom w:val="single" w:color="auto" w:sz="6" w:space="0"/>
            </w:tcBorders>
            <w:noWrap w:val="0"/>
            <w:vAlign w:val="top"/>
          </w:tcPr>
          <w:p w14:paraId="5EF113EB">
            <w:pPr>
              <w:pStyle w:val="10"/>
              <w:keepNext/>
              <w:spacing w:after="0" w:line="440" w:lineRule="exact"/>
              <w:ind w:left="63" w:right="63"/>
              <w:rPr>
                <w:rFonts w:ascii="宋体" w:hAnsi="宋体"/>
                <w:color w:val="000000"/>
                <w:sz w:val="24"/>
                <w:szCs w:val="24"/>
                <w:highlight w:val="none"/>
              </w:rPr>
            </w:pPr>
          </w:p>
        </w:tc>
      </w:tr>
      <w:tr w14:paraId="43E3A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04F9416">
            <w:pPr>
              <w:pStyle w:val="10"/>
              <w:keepNext/>
              <w:spacing w:after="0" w:line="440" w:lineRule="exact"/>
              <w:ind w:left="63" w:right="63"/>
              <w:rPr>
                <w:rFonts w:ascii="宋体" w:hAnsi="宋体"/>
                <w:color w:val="000000"/>
                <w:sz w:val="24"/>
                <w:szCs w:val="24"/>
                <w:highlight w:val="none"/>
              </w:rPr>
            </w:pPr>
          </w:p>
        </w:tc>
        <w:tc>
          <w:tcPr>
            <w:tcW w:w="1984" w:type="dxa"/>
            <w:tcBorders>
              <w:top w:val="nil"/>
            </w:tcBorders>
            <w:noWrap w:val="0"/>
            <w:vAlign w:val="top"/>
          </w:tcPr>
          <w:p w14:paraId="793D9B40">
            <w:pPr>
              <w:pStyle w:val="10"/>
              <w:keepNext/>
              <w:spacing w:after="0" w:line="440" w:lineRule="exact"/>
              <w:ind w:left="63" w:right="63"/>
              <w:rPr>
                <w:rFonts w:ascii="宋体" w:hAnsi="宋体"/>
                <w:color w:val="000000"/>
                <w:sz w:val="24"/>
                <w:szCs w:val="24"/>
                <w:highlight w:val="none"/>
              </w:rPr>
            </w:pPr>
          </w:p>
        </w:tc>
        <w:tc>
          <w:tcPr>
            <w:tcW w:w="851" w:type="dxa"/>
            <w:tcBorders>
              <w:top w:val="nil"/>
            </w:tcBorders>
            <w:noWrap w:val="0"/>
            <w:vAlign w:val="top"/>
          </w:tcPr>
          <w:p w14:paraId="2544E008">
            <w:pPr>
              <w:pStyle w:val="10"/>
              <w:keepNext/>
              <w:spacing w:after="0" w:line="440" w:lineRule="exact"/>
              <w:ind w:left="63" w:right="63"/>
              <w:rPr>
                <w:rFonts w:ascii="宋体" w:hAnsi="宋体"/>
                <w:color w:val="000000"/>
                <w:sz w:val="24"/>
                <w:szCs w:val="24"/>
                <w:highlight w:val="none"/>
              </w:rPr>
            </w:pPr>
          </w:p>
        </w:tc>
        <w:tc>
          <w:tcPr>
            <w:tcW w:w="774" w:type="dxa"/>
            <w:tcBorders>
              <w:top w:val="nil"/>
            </w:tcBorders>
            <w:noWrap w:val="0"/>
            <w:vAlign w:val="top"/>
          </w:tcPr>
          <w:p w14:paraId="0D56BBF4">
            <w:pPr>
              <w:pStyle w:val="10"/>
              <w:keepNext/>
              <w:spacing w:after="0" w:line="440" w:lineRule="exact"/>
              <w:ind w:left="63" w:right="63"/>
              <w:rPr>
                <w:rFonts w:ascii="宋体" w:hAnsi="宋体"/>
                <w:color w:val="000000"/>
                <w:sz w:val="24"/>
                <w:szCs w:val="24"/>
                <w:highlight w:val="none"/>
              </w:rPr>
            </w:pPr>
          </w:p>
        </w:tc>
        <w:tc>
          <w:tcPr>
            <w:tcW w:w="1352" w:type="dxa"/>
            <w:tcBorders>
              <w:top w:val="nil"/>
            </w:tcBorders>
            <w:noWrap w:val="0"/>
            <w:vAlign w:val="top"/>
          </w:tcPr>
          <w:p w14:paraId="79C263D6">
            <w:pPr>
              <w:pStyle w:val="10"/>
              <w:keepNext/>
              <w:spacing w:after="0" w:line="440" w:lineRule="exact"/>
              <w:ind w:left="63" w:right="63"/>
              <w:rPr>
                <w:rFonts w:ascii="宋体" w:hAnsi="宋体"/>
                <w:color w:val="000000"/>
                <w:sz w:val="24"/>
                <w:szCs w:val="24"/>
                <w:highlight w:val="none"/>
              </w:rPr>
            </w:pPr>
          </w:p>
        </w:tc>
        <w:tc>
          <w:tcPr>
            <w:tcW w:w="1418" w:type="dxa"/>
            <w:tcBorders>
              <w:top w:val="nil"/>
            </w:tcBorders>
            <w:noWrap w:val="0"/>
            <w:vAlign w:val="top"/>
          </w:tcPr>
          <w:p w14:paraId="6FC12BC7">
            <w:pPr>
              <w:pStyle w:val="10"/>
              <w:keepNext/>
              <w:spacing w:after="0" w:line="440" w:lineRule="exact"/>
              <w:ind w:left="63" w:right="63"/>
              <w:rPr>
                <w:rFonts w:ascii="宋体" w:hAnsi="宋体"/>
                <w:color w:val="000000"/>
                <w:sz w:val="24"/>
                <w:szCs w:val="24"/>
                <w:highlight w:val="none"/>
              </w:rPr>
            </w:pPr>
          </w:p>
        </w:tc>
        <w:tc>
          <w:tcPr>
            <w:tcW w:w="1701" w:type="dxa"/>
            <w:tcBorders>
              <w:top w:val="nil"/>
            </w:tcBorders>
            <w:noWrap w:val="0"/>
            <w:vAlign w:val="top"/>
          </w:tcPr>
          <w:p w14:paraId="71A070DA">
            <w:pPr>
              <w:pStyle w:val="10"/>
              <w:keepNext/>
              <w:spacing w:after="0" w:line="440" w:lineRule="exact"/>
              <w:ind w:left="63" w:right="63"/>
              <w:rPr>
                <w:rFonts w:ascii="宋体" w:hAnsi="宋体"/>
                <w:color w:val="000000"/>
                <w:sz w:val="24"/>
                <w:szCs w:val="24"/>
                <w:highlight w:val="none"/>
              </w:rPr>
            </w:pPr>
          </w:p>
        </w:tc>
      </w:tr>
      <w:tr w14:paraId="40B80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9948B6">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1A2BFE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0819CCF">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7969C2D0">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3A584E91">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246D1D77">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183BD05E">
            <w:pPr>
              <w:pStyle w:val="10"/>
              <w:keepNext/>
              <w:spacing w:after="0" w:line="440" w:lineRule="exact"/>
              <w:ind w:left="63" w:right="63"/>
              <w:rPr>
                <w:rFonts w:ascii="宋体" w:hAnsi="宋体"/>
                <w:color w:val="000000"/>
                <w:sz w:val="24"/>
                <w:szCs w:val="24"/>
                <w:highlight w:val="none"/>
              </w:rPr>
            </w:pPr>
          </w:p>
        </w:tc>
      </w:tr>
      <w:tr w14:paraId="5F83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20B0E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209A0AD3">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3580302">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7D358A90">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BC2E6E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16AD5209">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1B795BD">
            <w:pPr>
              <w:pStyle w:val="10"/>
              <w:keepNext/>
              <w:spacing w:after="0" w:line="440" w:lineRule="exact"/>
              <w:ind w:left="63" w:right="63"/>
              <w:rPr>
                <w:rFonts w:ascii="宋体" w:hAnsi="宋体"/>
                <w:color w:val="000000"/>
                <w:sz w:val="24"/>
                <w:szCs w:val="24"/>
                <w:highlight w:val="none"/>
              </w:rPr>
            </w:pPr>
          </w:p>
        </w:tc>
      </w:tr>
      <w:tr w14:paraId="2EB69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D61999">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FE56FD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A14995B">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D9E0DFA">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264E49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1DFBD1D">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14EA6B78">
            <w:pPr>
              <w:pStyle w:val="10"/>
              <w:keepNext/>
              <w:spacing w:after="0" w:line="440" w:lineRule="exact"/>
              <w:ind w:left="63" w:right="63"/>
              <w:rPr>
                <w:rFonts w:ascii="宋体" w:hAnsi="宋体"/>
                <w:color w:val="000000"/>
                <w:sz w:val="24"/>
                <w:szCs w:val="24"/>
                <w:highlight w:val="none"/>
              </w:rPr>
            </w:pPr>
          </w:p>
        </w:tc>
      </w:tr>
      <w:tr w14:paraId="11203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8F435A">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892A72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AFBCA64">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8439DC0">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375450A">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B6D57EF">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1268222">
            <w:pPr>
              <w:pStyle w:val="10"/>
              <w:keepNext/>
              <w:spacing w:after="0" w:line="440" w:lineRule="exact"/>
              <w:ind w:left="63" w:right="63"/>
              <w:rPr>
                <w:rFonts w:ascii="宋体" w:hAnsi="宋体"/>
                <w:color w:val="000000"/>
                <w:sz w:val="24"/>
                <w:szCs w:val="24"/>
                <w:highlight w:val="none"/>
              </w:rPr>
            </w:pPr>
          </w:p>
        </w:tc>
      </w:tr>
      <w:tr w14:paraId="5F8DB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2B3F0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5C7552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984BABC">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3E5376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4D7D966">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6AFBF08">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0CB29BDA">
            <w:pPr>
              <w:pStyle w:val="10"/>
              <w:keepNext/>
              <w:spacing w:after="0" w:line="440" w:lineRule="exact"/>
              <w:ind w:left="63" w:right="63"/>
              <w:rPr>
                <w:rFonts w:ascii="宋体" w:hAnsi="宋体"/>
                <w:color w:val="000000"/>
                <w:sz w:val="24"/>
                <w:szCs w:val="24"/>
                <w:highlight w:val="none"/>
              </w:rPr>
            </w:pPr>
          </w:p>
        </w:tc>
      </w:tr>
      <w:tr w14:paraId="56624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46AD48">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44D3693">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F313393">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BFADCD8">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F395E4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B637760">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1E819BCD">
            <w:pPr>
              <w:pStyle w:val="10"/>
              <w:keepNext/>
              <w:spacing w:after="0" w:line="440" w:lineRule="exact"/>
              <w:ind w:left="63" w:right="63"/>
              <w:rPr>
                <w:rFonts w:ascii="宋体" w:hAnsi="宋体"/>
                <w:color w:val="000000"/>
                <w:sz w:val="24"/>
                <w:szCs w:val="24"/>
                <w:highlight w:val="none"/>
              </w:rPr>
            </w:pPr>
          </w:p>
        </w:tc>
      </w:tr>
      <w:tr w14:paraId="06A76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508E6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183A46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3FE5618">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27A1E1F">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B9D4A89">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DFA13A6">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A0D78E4">
            <w:pPr>
              <w:pStyle w:val="10"/>
              <w:keepNext/>
              <w:spacing w:after="0" w:line="440" w:lineRule="exact"/>
              <w:ind w:left="63" w:right="63"/>
              <w:rPr>
                <w:rFonts w:ascii="宋体" w:hAnsi="宋体"/>
                <w:color w:val="000000"/>
                <w:sz w:val="24"/>
                <w:szCs w:val="24"/>
                <w:highlight w:val="none"/>
              </w:rPr>
            </w:pPr>
          </w:p>
        </w:tc>
      </w:tr>
      <w:tr w14:paraId="367D7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21B88F">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3162C11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CC8389C">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BFAFBB7">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0E49290A">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F5EED77">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B7F5472">
            <w:pPr>
              <w:pStyle w:val="10"/>
              <w:keepNext/>
              <w:spacing w:after="0" w:line="440" w:lineRule="exact"/>
              <w:ind w:left="63" w:right="63"/>
              <w:rPr>
                <w:rFonts w:ascii="宋体" w:hAnsi="宋体"/>
                <w:color w:val="000000"/>
                <w:sz w:val="24"/>
                <w:szCs w:val="24"/>
                <w:highlight w:val="none"/>
              </w:rPr>
            </w:pPr>
          </w:p>
        </w:tc>
      </w:tr>
      <w:tr w14:paraId="04F25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E3C3D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14E3DA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03EAEE1">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700641E">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BB956A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FBAD1B3">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1708B71">
            <w:pPr>
              <w:pStyle w:val="10"/>
              <w:keepNext/>
              <w:spacing w:after="0" w:line="440" w:lineRule="exact"/>
              <w:ind w:left="63" w:right="63"/>
              <w:rPr>
                <w:rFonts w:ascii="宋体" w:hAnsi="宋体"/>
                <w:color w:val="000000"/>
                <w:sz w:val="24"/>
                <w:szCs w:val="24"/>
                <w:highlight w:val="none"/>
              </w:rPr>
            </w:pPr>
          </w:p>
        </w:tc>
      </w:tr>
      <w:tr w14:paraId="556FB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B12BA4">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1683F96">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5E03757">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4BF40EA">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09D2A80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6DC0A0A">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2DD5413">
            <w:pPr>
              <w:pStyle w:val="10"/>
              <w:keepNext/>
              <w:spacing w:after="0" w:line="440" w:lineRule="exact"/>
              <w:ind w:left="63" w:right="63"/>
              <w:rPr>
                <w:rFonts w:ascii="宋体" w:hAnsi="宋体"/>
                <w:color w:val="000000"/>
                <w:sz w:val="24"/>
                <w:szCs w:val="24"/>
                <w:highlight w:val="none"/>
              </w:rPr>
            </w:pPr>
          </w:p>
        </w:tc>
      </w:tr>
      <w:tr w14:paraId="65564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1F400D">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7C34EF3">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FE861E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422B1F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F4C2A0F">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1DB51EB">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0C6DA31C">
            <w:pPr>
              <w:pStyle w:val="10"/>
              <w:keepNext/>
              <w:spacing w:after="0" w:line="440" w:lineRule="exact"/>
              <w:ind w:left="63" w:right="63"/>
              <w:rPr>
                <w:rFonts w:ascii="宋体" w:hAnsi="宋体"/>
                <w:color w:val="000000"/>
                <w:sz w:val="24"/>
                <w:szCs w:val="24"/>
                <w:highlight w:val="none"/>
              </w:rPr>
            </w:pPr>
          </w:p>
        </w:tc>
      </w:tr>
      <w:tr w14:paraId="637E4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C96ABD">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0A0FFBC">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71B350C">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913B71F">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424217E">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215A9CAA">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06D2B91">
            <w:pPr>
              <w:pStyle w:val="10"/>
              <w:keepNext/>
              <w:spacing w:after="0" w:line="440" w:lineRule="exact"/>
              <w:ind w:left="63" w:right="63"/>
              <w:rPr>
                <w:rFonts w:ascii="宋体" w:hAnsi="宋体"/>
                <w:color w:val="000000"/>
                <w:sz w:val="24"/>
                <w:szCs w:val="24"/>
                <w:highlight w:val="none"/>
              </w:rPr>
            </w:pPr>
          </w:p>
        </w:tc>
      </w:tr>
      <w:tr w14:paraId="4A5E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2C406A">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9333842">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06BBB07">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C3E9F1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0403C72D">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D7A7188">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D745621">
            <w:pPr>
              <w:pStyle w:val="10"/>
              <w:keepNext/>
              <w:spacing w:after="0" w:line="440" w:lineRule="exact"/>
              <w:ind w:left="63" w:right="63"/>
              <w:rPr>
                <w:rFonts w:ascii="宋体" w:hAnsi="宋体"/>
                <w:color w:val="000000"/>
                <w:sz w:val="24"/>
                <w:szCs w:val="24"/>
                <w:highlight w:val="none"/>
              </w:rPr>
            </w:pPr>
          </w:p>
        </w:tc>
      </w:tr>
      <w:tr w14:paraId="4CADD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8E8AFD">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B193BC6">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6D1C0BBE">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2A27CCD">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8CBF4BE">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1AD491B">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B04C190">
            <w:pPr>
              <w:pStyle w:val="10"/>
              <w:keepNext/>
              <w:spacing w:after="0" w:line="440" w:lineRule="exact"/>
              <w:ind w:left="63" w:right="63"/>
              <w:rPr>
                <w:rFonts w:ascii="宋体" w:hAnsi="宋体"/>
                <w:color w:val="000000"/>
                <w:sz w:val="24"/>
                <w:szCs w:val="24"/>
                <w:highlight w:val="none"/>
              </w:rPr>
            </w:pPr>
          </w:p>
        </w:tc>
      </w:tr>
      <w:tr w14:paraId="2E62E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DED07A">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3EB1D74D">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FE0FA25">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22DD2C2">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48E95EE">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E2E7707">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0831E16">
            <w:pPr>
              <w:pStyle w:val="10"/>
              <w:keepNext/>
              <w:spacing w:after="0" w:line="440" w:lineRule="exact"/>
              <w:ind w:left="63" w:right="63"/>
              <w:rPr>
                <w:rFonts w:ascii="宋体" w:hAnsi="宋体"/>
                <w:color w:val="000000"/>
                <w:sz w:val="24"/>
                <w:szCs w:val="24"/>
                <w:highlight w:val="none"/>
              </w:rPr>
            </w:pPr>
          </w:p>
        </w:tc>
      </w:tr>
      <w:tr w14:paraId="33C21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EE66B8">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0E9087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8BFC5CB">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B4BF26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B0C340B">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E06FFDC">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850D780">
            <w:pPr>
              <w:pStyle w:val="10"/>
              <w:keepNext/>
              <w:spacing w:after="0" w:line="440" w:lineRule="exact"/>
              <w:ind w:left="63" w:right="63"/>
              <w:rPr>
                <w:rFonts w:ascii="宋体" w:hAnsi="宋体"/>
                <w:color w:val="000000"/>
                <w:sz w:val="24"/>
                <w:szCs w:val="24"/>
                <w:highlight w:val="none"/>
              </w:rPr>
            </w:pPr>
          </w:p>
        </w:tc>
      </w:tr>
      <w:tr w14:paraId="1F632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B8E19F">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450746C">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14EAFA1">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7E27CA0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C731B4B">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47F4380">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24BED3D1">
            <w:pPr>
              <w:pStyle w:val="10"/>
              <w:keepNext/>
              <w:spacing w:after="0" w:line="440" w:lineRule="exact"/>
              <w:ind w:left="63" w:right="63"/>
              <w:rPr>
                <w:rFonts w:ascii="宋体" w:hAnsi="宋体"/>
                <w:color w:val="000000"/>
                <w:sz w:val="24"/>
                <w:szCs w:val="24"/>
                <w:highlight w:val="none"/>
              </w:rPr>
            </w:pPr>
          </w:p>
        </w:tc>
      </w:tr>
      <w:tr w14:paraId="44E59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804380">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AAD3E7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1116A6C">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43DFBE6C">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890E189">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1ED2DCCA">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E24E38B">
            <w:pPr>
              <w:pStyle w:val="10"/>
              <w:keepNext/>
              <w:spacing w:after="0" w:line="440" w:lineRule="exact"/>
              <w:ind w:left="63" w:right="63"/>
              <w:rPr>
                <w:rFonts w:ascii="宋体" w:hAnsi="宋体"/>
                <w:color w:val="000000"/>
                <w:sz w:val="24"/>
                <w:szCs w:val="24"/>
                <w:highlight w:val="none"/>
              </w:rPr>
            </w:pPr>
          </w:p>
        </w:tc>
      </w:tr>
      <w:tr w14:paraId="25BC0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44ED6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36B9C6A">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05D8A64">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1277382">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C086F6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7644AF2">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C3206BD">
            <w:pPr>
              <w:pStyle w:val="10"/>
              <w:keepNext/>
              <w:spacing w:after="0" w:line="440" w:lineRule="exact"/>
              <w:ind w:left="63" w:right="63"/>
              <w:rPr>
                <w:rFonts w:ascii="宋体" w:hAnsi="宋体"/>
                <w:color w:val="000000"/>
                <w:sz w:val="24"/>
                <w:szCs w:val="24"/>
                <w:highlight w:val="none"/>
              </w:rPr>
            </w:pPr>
          </w:p>
        </w:tc>
      </w:tr>
      <w:tr w14:paraId="0B6CF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82B7E6">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09EDFF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062FD5A">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219DEF3">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AB05C3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27D667E">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68D289F">
            <w:pPr>
              <w:pStyle w:val="10"/>
              <w:keepNext/>
              <w:spacing w:after="0" w:line="440" w:lineRule="exact"/>
              <w:ind w:left="63" w:right="63"/>
              <w:rPr>
                <w:rFonts w:ascii="宋体" w:hAnsi="宋体"/>
                <w:color w:val="000000"/>
                <w:sz w:val="24"/>
                <w:szCs w:val="24"/>
                <w:highlight w:val="none"/>
              </w:rPr>
            </w:pPr>
          </w:p>
        </w:tc>
      </w:tr>
      <w:tr w14:paraId="06E63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2A788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08446C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7E94496">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A1380C0">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3A6EB96">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44B9989">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C1040CA">
            <w:pPr>
              <w:pStyle w:val="10"/>
              <w:keepNext/>
              <w:spacing w:after="0" w:line="440" w:lineRule="exact"/>
              <w:ind w:left="63" w:right="63"/>
              <w:rPr>
                <w:rFonts w:ascii="宋体" w:hAnsi="宋体"/>
                <w:color w:val="000000"/>
                <w:sz w:val="24"/>
                <w:szCs w:val="24"/>
                <w:highlight w:val="none"/>
              </w:rPr>
            </w:pPr>
          </w:p>
        </w:tc>
      </w:tr>
      <w:tr w14:paraId="07046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32865E">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4C3F32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711719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4C482EE">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7C9909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AB6B35B">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4C11297">
            <w:pPr>
              <w:pStyle w:val="10"/>
              <w:keepNext/>
              <w:spacing w:after="0" w:line="440" w:lineRule="exact"/>
              <w:ind w:left="63" w:right="63"/>
              <w:rPr>
                <w:rFonts w:ascii="宋体" w:hAnsi="宋体"/>
                <w:color w:val="000000"/>
                <w:sz w:val="24"/>
                <w:szCs w:val="24"/>
                <w:highlight w:val="none"/>
              </w:rPr>
            </w:pPr>
          </w:p>
        </w:tc>
      </w:tr>
      <w:tr w14:paraId="1BDA0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E584F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E8FC5B3">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1EF408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7C4BE91">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0D647F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D7CDC1D">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9C6866F">
            <w:pPr>
              <w:pStyle w:val="10"/>
              <w:keepNext/>
              <w:spacing w:after="0" w:line="440" w:lineRule="exact"/>
              <w:ind w:left="63" w:right="63"/>
              <w:rPr>
                <w:rFonts w:ascii="宋体" w:hAnsi="宋体"/>
                <w:color w:val="000000"/>
                <w:sz w:val="24"/>
                <w:szCs w:val="24"/>
                <w:highlight w:val="none"/>
              </w:rPr>
            </w:pPr>
          </w:p>
        </w:tc>
      </w:tr>
    </w:tbl>
    <w:p w14:paraId="3E278F80">
      <w:pPr>
        <w:spacing w:line="440" w:lineRule="exact"/>
        <w:rPr>
          <w:rFonts w:ascii="宋体" w:hAnsi="宋体" w:eastAsia="宋体"/>
          <w:color w:val="000000"/>
          <w:sz w:val="24"/>
          <w:szCs w:val="24"/>
          <w:highlight w:val="none"/>
        </w:rPr>
      </w:pPr>
    </w:p>
    <w:p w14:paraId="2F93E267">
      <w:pPr>
        <w:spacing w:before="156" w:beforeLines="50" w:after="156" w:afterLines="50" w:line="440" w:lineRule="exact"/>
        <w:jc w:val="center"/>
        <w:rPr>
          <w:rFonts w:ascii="宋体" w:hAnsi="宋体" w:eastAsia="宋体"/>
          <w:color w:val="000000"/>
          <w:sz w:val="24"/>
          <w:szCs w:val="24"/>
          <w:highlight w:val="none"/>
        </w:rPr>
      </w:pPr>
      <w:r>
        <w:rPr>
          <w:rFonts w:ascii="宋体" w:hAnsi="宋体" w:eastAsia="宋体"/>
          <w:color w:val="000000"/>
          <w:sz w:val="24"/>
          <w:szCs w:val="24"/>
          <w:highlight w:val="none"/>
        </w:rPr>
        <w:br w:type="page"/>
      </w:r>
      <w:r>
        <w:rPr>
          <w:rFonts w:ascii="宋体" w:hAnsi="宋体" w:eastAsia="宋体"/>
          <w:color w:val="000000"/>
          <w:sz w:val="24"/>
          <w:szCs w:val="24"/>
          <w:highlight w:val="none"/>
        </w:rPr>
        <w:t>11-3：专业工程暂估价表</w:t>
      </w:r>
    </w:p>
    <w:tbl>
      <w:tblPr>
        <w:tblStyle w:val="2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1883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D975068">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序号</w:t>
            </w:r>
          </w:p>
        </w:tc>
        <w:tc>
          <w:tcPr>
            <w:tcW w:w="1984" w:type="dxa"/>
            <w:tcBorders>
              <w:top w:val="single" w:color="auto" w:sz="12" w:space="0"/>
              <w:bottom w:val="double" w:color="auto" w:sz="6" w:space="0"/>
            </w:tcBorders>
            <w:noWrap w:val="0"/>
            <w:vAlign w:val="top"/>
          </w:tcPr>
          <w:p w14:paraId="361788B9">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名称</w:t>
            </w:r>
          </w:p>
        </w:tc>
        <w:tc>
          <w:tcPr>
            <w:tcW w:w="851" w:type="dxa"/>
            <w:tcBorders>
              <w:top w:val="single" w:color="auto" w:sz="12" w:space="0"/>
              <w:bottom w:val="double" w:color="auto" w:sz="6" w:space="0"/>
            </w:tcBorders>
            <w:noWrap w:val="0"/>
            <w:vAlign w:val="top"/>
          </w:tcPr>
          <w:p w14:paraId="5D73BADA">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单位</w:t>
            </w:r>
          </w:p>
        </w:tc>
        <w:tc>
          <w:tcPr>
            <w:tcW w:w="774" w:type="dxa"/>
            <w:tcBorders>
              <w:top w:val="single" w:color="auto" w:sz="12" w:space="0"/>
              <w:bottom w:val="double" w:color="auto" w:sz="6" w:space="0"/>
            </w:tcBorders>
            <w:noWrap w:val="0"/>
            <w:vAlign w:val="top"/>
          </w:tcPr>
          <w:p w14:paraId="627629BB">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数量</w:t>
            </w:r>
          </w:p>
        </w:tc>
        <w:tc>
          <w:tcPr>
            <w:tcW w:w="1352" w:type="dxa"/>
            <w:tcBorders>
              <w:top w:val="single" w:color="auto" w:sz="12" w:space="0"/>
              <w:bottom w:val="double" w:color="auto" w:sz="6" w:space="0"/>
            </w:tcBorders>
            <w:noWrap w:val="0"/>
            <w:vAlign w:val="top"/>
          </w:tcPr>
          <w:p w14:paraId="1EF61D80">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单价</w:t>
            </w:r>
            <w:r>
              <w:rPr>
                <w:rFonts w:hint="eastAsia" w:ascii="宋体" w:hAnsi="宋体"/>
                <w:color w:val="000000"/>
                <w:sz w:val="24"/>
                <w:szCs w:val="24"/>
                <w:highlight w:val="none"/>
              </w:rPr>
              <w:t>（元）</w:t>
            </w:r>
          </w:p>
        </w:tc>
        <w:tc>
          <w:tcPr>
            <w:tcW w:w="1418" w:type="dxa"/>
            <w:tcBorders>
              <w:top w:val="single" w:color="auto" w:sz="12" w:space="0"/>
              <w:bottom w:val="double" w:color="auto" w:sz="6" w:space="0"/>
            </w:tcBorders>
            <w:noWrap w:val="0"/>
            <w:vAlign w:val="top"/>
          </w:tcPr>
          <w:p w14:paraId="53BDE661">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合价</w:t>
            </w:r>
            <w:r>
              <w:rPr>
                <w:rFonts w:hint="eastAsia" w:ascii="宋体" w:hAnsi="宋体"/>
                <w:color w:val="000000"/>
                <w:sz w:val="24"/>
                <w:szCs w:val="24"/>
                <w:highlight w:val="none"/>
              </w:rPr>
              <w:t>（元）</w:t>
            </w:r>
          </w:p>
        </w:tc>
        <w:tc>
          <w:tcPr>
            <w:tcW w:w="1701" w:type="dxa"/>
            <w:tcBorders>
              <w:top w:val="single" w:color="auto" w:sz="12" w:space="0"/>
              <w:bottom w:val="double" w:color="auto" w:sz="6" w:space="0"/>
            </w:tcBorders>
            <w:noWrap w:val="0"/>
            <w:vAlign w:val="top"/>
          </w:tcPr>
          <w:p w14:paraId="2EBC3D06">
            <w:pPr>
              <w:pStyle w:val="10"/>
              <w:keepNext/>
              <w:spacing w:after="0" w:line="440" w:lineRule="exact"/>
              <w:ind w:left="63" w:right="63"/>
              <w:rPr>
                <w:rFonts w:ascii="宋体" w:hAnsi="宋体"/>
                <w:color w:val="000000"/>
                <w:sz w:val="24"/>
                <w:szCs w:val="24"/>
                <w:highlight w:val="none"/>
              </w:rPr>
            </w:pPr>
            <w:r>
              <w:rPr>
                <w:rFonts w:ascii="宋体" w:hAnsi="宋体"/>
                <w:color w:val="000000"/>
                <w:sz w:val="24"/>
                <w:szCs w:val="24"/>
                <w:highlight w:val="none"/>
              </w:rPr>
              <w:t>备注</w:t>
            </w:r>
          </w:p>
        </w:tc>
      </w:tr>
      <w:tr w14:paraId="5E6E2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C4819CE">
            <w:pPr>
              <w:pStyle w:val="10"/>
              <w:keepNext/>
              <w:spacing w:after="0" w:line="440" w:lineRule="exact"/>
              <w:ind w:left="63" w:right="63"/>
              <w:rPr>
                <w:rFonts w:ascii="宋体" w:hAnsi="宋体"/>
                <w:color w:val="000000"/>
                <w:sz w:val="24"/>
                <w:szCs w:val="24"/>
                <w:highlight w:val="none"/>
              </w:rPr>
            </w:pPr>
          </w:p>
        </w:tc>
        <w:tc>
          <w:tcPr>
            <w:tcW w:w="1984" w:type="dxa"/>
            <w:tcBorders>
              <w:top w:val="double" w:color="auto" w:sz="6" w:space="0"/>
              <w:bottom w:val="single" w:color="auto" w:sz="6" w:space="0"/>
            </w:tcBorders>
            <w:noWrap w:val="0"/>
            <w:vAlign w:val="top"/>
          </w:tcPr>
          <w:p w14:paraId="15CFF599">
            <w:pPr>
              <w:pStyle w:val="10"/>
              <w:keepNext/>
              <w:spacing w:after="0" w:line="440" w:lineRule="exact"/>
              <w:ind w:left="63" w:right="63"/>
              <w:rPr>
                <w:rFonts w:ascii="宋体" w:hAnsi="宋体"/>
                <w:color w:val="000000"/>
                <w:sz w:val="24"/>
                <w:szCs w:val="24"/>
                <w:highlight w:val="none"/>
              </w:rPr>
            </w:pPr>
          </w:p>
        </w:tc>
        <w:tc>
          <w:tcPr>
            <w:tcW w:w="851" w:type="dxa"/>
            <w:tcBorders>
              <w:top w:val="double" w:color="auto" w:sz="6" w:space="0"/>
              <w:bottom w:val="single" w:color="auto" w:sz="6" w:space="0"/>
            </w:tcBorders>
            <w:noWrap w:val="0"/>
            <w:vAlign w:val="top"/>
          </w:tcPr>
          <w:p w14:paraId="2B4348A3">
            <w:pPr>
              <w:pStyle w:val="10"/>
              <w:keepNext/>
              <w:spacing w:after="0" w:line="440" w:lineRule="exact"/>
              <w:ind w:left="63" w:right="63"/>
              <w:rPr>
                <w:rFonts w:ascii="宋体" w:hAnsi="宋体"/>
                <w:color w:val="000000"/>
                <w:sz w:val="24"/>
                <w:szCs w:val="24"/>
                <w:highlight w:val="none"/>
              </w:rPr>
            </w:pPr>
          </w:p>
        </w:tc>
        <w:tc>
          <w:tcPr>
            <w:tcW w:w="774" w:type="dxa"/>
            <w:tcBorders>
              <w:top w:val="double" w:color="auto" w:sz="6" w:space="0"/>
              <w:bottom w:val="single" w:color="auto" w:sz="6" w:space="0"/>
            </w:tcBorders>
            <w:noWrap w:val="0"/>
            <w:vAlign w:val="top"/>
          </w:tcPr>
          <w:p w14:paraId="6F6B301E">
            <w:pPr>
              <w:pStyle w:val="10"/>
              <w:keepNext/>
              <w:spacing w:after="0" w:line="440" w:lineRule="exact"/>
              <w:ind w:left="63" w:right="63"/>
              <w:rPr>
                <w:rFonts w:ascii="宋体" w:hAnsi="宋体"/>
                <w:color w:val="000000"/>
                <w:sz w:val="24"/>
                <w:szCs w:val="24"/>
                <w:highlight w:val="none"/>
              </w:rPr>
            </w:pPr>
          </w:p>
        </w:tc>
        <w:tc>
          <w:tcPr>
            <w:tcW w:w="1352" w:type="dxa"/>
            <w:tcBorders>
              <w:top w:val="double" w:color="auto" w:sz="6" w:space="0"/>
              <w:bottom w:val="single" w:color="auto" w:sz="6" w:space="0"/>
            </w:tcBorders>
            <w:noWrap w:val="0"/>
            <w:vAlign w:val="top"/>
          </w:tcPr>
          <w:p w14:paraId="53B768E8">
            <w:pPr>
              <w:pStyle w:val="10"/>
              <w:keepNext/>
              <w:spacing w:after="0" w:line="440" w:lineRule="exact"/>
              <w:ind w:left="63" w:right="63"/>
              <w:rPr>
                <w:rFonts w:ascii="宋体" w:hAnsi="宋体"/>
                <w:color w:val="000000"/>
                <w:sz w:val="24"/>
                <w:szCs w:val="24"/>
                <w:highlight w:val="none"/>
              </w:rPr>
            </w:pPr>
          </w:p>
        </w:tc>
        <w:tc>
          <w:tcPr>
            <w:tcW w:w="1418" w:type="dxa"/>
            <w:tcBorders>
              <w:top w:val="double" w:color="auto" w:sz="6" w:space="0"/>
              <w:bottom w:val="single" w:color="auto" w:sz="6" w:space="0"/>
            </w:tcBorders>
            <w:noWrap w:val="0"/>
            <w:vAlign w:val="top"/>
          </w:tcPr>
          <w:p w14:paraId="3BF7EFBD">
            <w:pPr>
              <w:pStyle w:val="10"/>
              <w:keepNext/>
              <w:spacing w:after="0" w:line="440" w:lineRule="exact"/>
              <w:ind w:left="63" w:right="63"/>
              <w:rPr>
                <w:rFonts w:ascii="宋体" w:hAnsi="宋体"/>
                <w:color w:val="000000"/>
                <w:sz w:val="24"/>
                <w:szCs w:val="24"/>
                <w:highlight w:val="none"/>
              </w:rPr>
            </w:pPr>
          </w:p>
        </w:tc>
        <w:tc>
          <w:tcPr>
            <w:tcW w:w="1701" w:type="dxa"/>
            <w:tcBorders>
              <w:top w:val="double" w:color="auto" w:sz="6" w:space="0"/>
              <w:bottom w:val="single" w:color="auto" w:sz="6" w:space="0"/>
            </w:tcBorders>
            <w:noWrap w:val="0"/>
            <w:vAlign w:val="top"/>
          </w:tcPr>
          <w:p w14:paraId="1FE2807A">
            <w:pPr>
              <w:pStyle w:val="10"/>
              <w:keepNext/>
              <w:spacing w:after="0" w:line="440" w:lineRule="exact"/>
              <w:ind w:left="63" w:right="63"/>
              <w:rPr>
                <w:rFonts w:ascii="宋体" w:hAnsi="宋体"/>
                <w:color w:val="000000"/>
                <w:sz w:val="24"/>
                <w:szCs w:val="24"/>
                <w:highlight w:val="none"/>
              </w:rPr>
            </w:pPr>
          </w:p>
        </w:tc>
      </w:tr>
      <w:tr w14:paraId="121C7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E021441">
            <w:pPr>
              <w:pStyle w:val="10"/>
              <w:keepNext/>
              <w:spacing w:after="0" w:line="440" w:lineRule="exact"/>
              <w:ind w:left="63" w:right="63"/>
              <w:rPr>
                <w:rFonts w:ascii="宋体" w:hAnsi="宋体"/>
                <w:color w:val="000000"/>
                <w:sz w:val="24"/>
                <w:szCs w:val="24"/>
                <w:highlight w:val="none"/>
              </w:rPr>
            </w:pPr>
          </w:p>
        </w:tc>
        <w:tc>
          <w:tcPr>
            <w:tcW w:w="1984" w:type="dxa"/>
            <w:tcBorders>
              <w:top w:val="nil"/>
            </w:tcBorders>
            <w:noWrap w:val="0"/>
            <w:vAlign w:val="top"/>
          </w:tcPr>
          <w:p w14:paraId="4B340FBF">
            <w:pPr>
              <w:pStyle w:val="10"/>
              <w:keepNext/>
              <w:spacing w:after="0" w:line="440" w:lineRule="exact"/>
              <w:ind w:left="63" w:right="63"/>
              <w:rPr>
                <w:rFonts w:ascii="宋体" w:hAnsi="宋体"/>
                <w:color w:val="000000"/>
                <w:sz w:val="24"/>
                <w:szCs w:val="24"/>
                <w:highlight w:val="none"/>
              </w:rPr>
            </w:pPr>
          </w:p>
        </w:tc>
        <w:tc>
          <w:tcPr>
            <w:tcW w:w="851" w:type="dxa"/>
            <w:tcBorders>
              <w:top w:val="nil"/>
            </w:tcBorders>
            <w:noWrap w:val="0"/>
            <w:vAlign w:val="top"/>
          </w:tcPr>
          <w:p w14:paraId="662F1C44">
            <w:pPr>
              <w:pStyle w:val="10"/>
              <w:keepNext/>
              <w:spacing w:after="0" w:line="440" w:lineRule="exact"/>
              <w:ind w:left="63" w:right="63"/>
              <w:rPr>
                <w:rFonts w:ascii="宋体" w:hAnsi="宋体"/>
                <w:color w:val="000000"/>
                <w:sz w:val="24"/>
                <w:szCs w:val="24"/>
                <w:highlight w:val="none"/>
              </w:rPr>
            </w:pPr>
          </w:p>
        </w:tc>
        <w:tc>
          <w:tcPr>
            <w:tcW w:w="774" w:type="dxa"/>
            <w:tcBorders>
              <w:top w:val="nil"/>
            </w:tcBorders>
            <w:noWrap w:val="0"/>
            <w:vAlign w:val="top"/>
          </w:tcPr>
          <w:p w14:paraId="3B589142">
            <w:pPr>
              <w:pStyle w:val="10"/>
              <w:keepNext/>
              <w:spacing w:after="0" w:line="440" w:lineRule="exact"/>
              <w:ind w:left="63" w:right="63"/>
              <w:rPr>
                <w:rFonts w:ascii="宋体" w:hAnsi="宋体"/>
                <w:color w:val="000000"/>
                <w:sz w:val="24"/>
                <w:szCs w:val="24"/>
                <w:highlight w:val="none"/>
              </w:rPr>
            </w:pPr>
          </w:p>
        </w:tc>
        <w:tc>
          <w:tcPr>
            <w:tcW w:w="1352" w:type="dxa"/>
            <w:tcBorders>
              <w:top w:val="nil"/>
            </w:tcBorders>
            <w:noWrap w:val="0"/>
            <w:vAlign w:val="top"/>
          </w:tcPr>
          <w:p w14:paraId="0588FDA0">
            <w:pPr>
              <w:pStyle w:val="10"/>
              <w:keepNext/>
              <w:spacing w:after="0" w:line="440" w:lineRule="exact"/>
              <w:ind w:left="63" w:right="63"/>
              <w:rPr>
                <w:rFonts w:ascii="宋体" w:hAnsi="宋体"/>
                <w:color w:val="000000"/>
                <w:sz w:val="24"/>
                <w:szCs w:val="24"/>
                <w:highlight w:val="none"/>
              </w:rPr>
            </w:pPr>
          </w:p>
        </w:tc>
        <w:tc>
          <w:tcPr>
            <w:tcW w:w="1418" w:type="dxa"/>
            <w:tcBorders>
              <w:top w:val="nil"/>
            </w:tcBorders>
            <w:noWrap w:val="0"/>
            <w:vAlign w:val="top"/>
          </w:tcPr>
          <w:p w14:paraId="71255932">
            <w:pPr>
              <w:pStyle w:val="10"/>
              <w:keepNext/>
              <w:spacing w:after="0" w:line="440" w:lineRule="exact"/>
              <w:ind w:left="63" w:right="63"/>
              <w:rPr>
                <w:rFonts w:ascii="宋体" w:hAnsi="宋体"/>
                <w:color w:val="000000"/>
                <w:sz w:val="24"/>
                <w:szCs w:val="24"/>
                <w:highlight w:val="none"/>
              </w:rPr>
            </w:pPr>
          </w:p>
        </w:tc>
        <w:tc>
          <w:tcPr>
            <w:tcW w:w="1701" w:type="dxa"/>
            <w:tcBorders>
              <w:top w:val="nil"/>
            </w:tcBorders>
            <w:noWrap w:val="0"/>
            <w:vAlign w:val="top"/>
          </w:tcPr>
          <w:p w14:paraId="673AECF1">
            <w:pPr>
              <w:pStyle w:val="10"/>
              <w:keepNext/>
              <w:spacing w:after="0" w:line="440" w:lineRule="exact"/>
              <w:ind w:left="63" w:right="63"/>
              <w:rPr>
                <w:rFonts w:ascii="宋体" w:hAnsi="宋体"/>
                <w:color w:val="000000"/>
                <w:sz w:val="24"/>
                <w:szCs w:val="24"/>
                <w:highlight w:val="none"/>
              </w:rPr>
            </w:pPr>
          </w:p>
        </w:tc>
      </w:tr>
      <w:tr w14:paraId="51C4B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C921C0">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98115F6">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5062DD8">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330C4D6">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DC4E79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060FDD9">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24C97B75">
            <w:pPr>
              <w:pStyle w:val="10"/>
              <w:keepNext/>
              <w:spacing w:after="0" w:line="440" w:lineRule="exact"/>
              <w:ind w:left="63" w:right="63"/>
              <w:rPr>
                <w:rFonts w:ascii="宋体" w:hAnsi="宋体"/>
                <w:color w:val="000000"/>
                <w:sz w:val="24"/>
                <w:szCs w:val="24"/>
                <w:highlight w:val="none"/>
              </w:rPr>
            </w:pPr>
          </w:p>
        </w:tc>
      </w:tr>
      <w:tr w14:paraId="2D40F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1562">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9087FD7">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85241F8">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FD99B3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673C94B">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2B74C62">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368A637">
            <w:pPr>
              <w:pStyle w:val="10"/>
              <w:keepNext/>
              <w:spacing w:after="0" w:line="440" w:lineRule="exact"/>
              <w:ind w:left="63" w:right="63"/>
              <w:rPr>
                <w:rFonts w:ascii="宋体" w:hAnsi="宋体"/>
                <w:color w:val="000000"/>
                <w:sz w:val="24"/>
                <w:szCs w:val="24"/>
                <w:highlight w:val="none"/>
              </w:rPr>
            </w:pPr>
          </w:p>
        </w:tc>
      </w:tr>
      <w:tr w14:paraId="175F4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35864E">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6D5371A">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4FD209C">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17391DF">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3DE4CD5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FC3D952">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D107D70">
            <w:pPr>
              <w:pStyle w:val="10"/>
              <w:keepNext/>
              <w:spacing w:after="0" w:line="440" w:lineRule="exact"/>
              <w:ind w:left="63" w:right="63"/>
              <w:rPr>
                <w:rFonts w:ascii="宋体" w:hAnsi="宋体"/>
                <w:color w:val="000000"/>
                <w:sz w:val="24"/>
                <w:szCs w:val="24"/>
                <w:highlight w:val="none"/>
              </w:rPr>
            </w:pPr>
          </w:p>
        </w:tc>
      </w:tr>
      <w:tr w14:paraId="78D0D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B782B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B36BB16">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5DCE78E">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AC0A972">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37F7A7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2C96FBF">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2507942A">
            <w:pPr>
              <w:pStyle w:val="10"/>
              <w:keepNext/>
              <w:spacing w:after="0" w:line="440" w:lineRule="exact"/>
              <w:ind w:left="63" w:right="63"/>
              <w:rPr>
                <w:rFonts w:ascii="宋体" w:hAnsi="宋体"/>
                <w:color w:val="000000"/>
                <w:sz w:val="24"/>
                <w:szCs w:val="24"/>
                <w:highlight w:val="none"/>
              </w:rPr>
            </w:pPr>
          </w:p>
        </w:tc>
      </w:tr>
      <w:tr w14:paraId="4CAED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F10645">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67EDD69">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DE942F2">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1449F3F">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8ABB6F7">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08373BF2">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56B9A5D">
            <w:pPr>
              <w:pStyle w:val="10"/>
              <w:keepNext/>
              <w:spacing w:after="0" w:line="440" w:lineRule="exact"/>
              <w:ind w:left="63" w:right="63"/>
              <w:rPr>
                <w:rFonts w:ascii="宋体" w:hAnsi="宋体"/>
                <w:color w:val="000000"/>
                <w:sz w:val="24"/>
                <w:szCs w:val="24"/>
                <w:highlight w:val="none"/>
              </w:rPr>
            </w:pPr>
          </w:p>
        </w:tc>
      </w:tr>
      <w:tr w14:paraId="4F1DF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40A66C">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8F5424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5D71ADE">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70603B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06D3BFC">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F4547C6">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AB80C87">
            <w:pPr>
              <w:pStyle w:val="10"/>
              <w:keepNext/>
              <w:spacing w:after="0" w:line="440" w:lineRule="exact"/>
              <w:ind w:left="63" w:right="63"/>
              <w:rPr>
                <w:rFonts w:ascii="宋体" w:hAnsi="宋体"/>
                <w:color w:val="000000"/>
                <w:sz w:val="24"/>
                <w:szCs w:val="24"/>
                <w:highlight w:val="none"/>
              </w:rPr>
            </w:pPr>
          </w:p>
        </w:tc>
      </w:tr>
      <w:tr w14:paraId="5D01A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8CD44F">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7D99FFA2">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6B207800">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3016AB96">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D2616CE">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D854505">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6EAD7C0">
            <w:pPr>
              <w:pStyle w:val="10"/>
              <w:keepNext/>
              <w:spacing w:after="0" w:line="440" w:lineRule="exact"/>
              <w:ind w:left="63" w:right="63"/>
              <w:rPr>
                <w:rFonts w:ascii="宋体" w:hAnsi="宋体"/>
                <w:color w:val="000000"/>
                <w:sz w:val="24"/>
                <w:szCs w:val="24"/>
                <w:highlight w:val="none"/>
              </w:rPr>
            </w:pPr>
          </w:p>
        </w:tc>
      </w:tr>
      <w:tr w14:paraId="6C02C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3B5A77A1">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2277F82F">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1666B8B">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1AFAB3E">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AD37B29">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CA1DAA5">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A9F7AF3">
            <w:pPr>
              <w:pStyle w:val="10"/>
              <w:keepNext/>
              <w:spacing w:after="0" w:line="440" w:lineRule="exact"/>
              <w:ind w:left="63" w:right="63"/>
              <w:rPr>
                <w:rFonts w:ascii="宋体" w:hAnsi="宋体"/>
                <w:color w:val="000000"/>
                <w:sz w:val="24"/>
                <w:szCs w:val="24"/>
                <w:highlight w:val="none"/>
              </w:rPr>
            </w:pPr>
          </w:p>
        </w:tc>
      </w:tr>
      <w:tr w14:paraId="6015E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0AC924">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56498F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3CBB81F">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D24B822">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4D4FFA8">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E8DEE18">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10AA97A">
            <w:pPr>
              <w:pStyle w:val="10"/>
              <w:keepNext/>
              <w:spacing w:after="0" w:line="440" w:lineRule="exact"/>
              <w:ind w:left="63" w:right="63"/>
              <w:rPr>
                <w:rFonts w:ascii="宋体" w:hAnsi="宋体"/>
                <w:color w:val="000000"/>
                <w:sz w:val="24"/>
                <w:szCs w:val="24"/>
                <w:highlight w:val="none"/>
              </w:rPr>
            </w:pPr>
          </w:p>
        </w:tc>
      </w:tr>
      <w:tr w14:paraId="51002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38032855">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738D06D">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20F932C">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4CFFA307">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2EA135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71AA7FE">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47EEA31">
            <w:pPr>
              <w:pStyle w:val="10"/>
              <w:keepNext/>
              <w:spacing w:after="0" w:line="440" w:lineRule="exact"/>
              <w:ind w:left="63" w:right="63"/>
              <w:rPr>
                <w:rFonts w:ascii="宋体" w:hAnsi="宋体"/>
                <w:color w:val="000000"/>
                <w:sz w:val="24"/>
                <w:szCs w:val="24"/>
                <w:highlight w:val="none"/>
              </w:rPr>
            </w:pPr>
          </w:p>
        </w:tc>
      </w:tr>
      <w:tr w14:paraId="4C0BC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F0343E">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111341C">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CFC5887">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4F69A119">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E78905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C3F7127">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1C7E4DB">
            <w:pPr>
              <w:pStyle w:val="10"/>
              <w:keepNext/>
              <w:spacing w:after="0" w:line="440" w:lineRule="exact"/>
              <w:ind w:left="63" w:right="63"/>
              <w:rPr>
                <w:rFonts w:ascii="宋体" w:hAnsi="宋体"/>
                <w:color w:val="000000"/>
                <w:sz w:val="24"/>
                <w:szCs w:val="24"/>
                <w:highlight w:val="none"/>
              </w:rPr>
            </w:pPr>
          </w:p>
        </w:tc>
      </w:tr>
      <w:tr w14:paraId="40A0F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D46875">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CB8969A">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D9F49C0">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7D2B73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371CE648">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581CE090">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D3870E1">
            <w:pPr>
              <w:pStyle w:val="10"/>
              <w:keepNext/>
              <w:spacing w:after="0" w:line="440" w:lineRule="exact"/>
              <w:ind w:left="63" w:right="63"/>
              <w:rPr>
                <w:rFonts w:ascii="宋体" w:hAnsi="宋体"/>
                <w:color w:val="000000"/>
                <w:sz w:val="24"/>
                <w:szCs w:val="24"/>
                <w:highlight w:val="none"/>
              </w:rPr>
            </w:pPr>
          </w:p>
        </w:tc>
      </w:tr>
      <w:tr w14:paraId="6D1CC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80A151">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463A411">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387E93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E0B4EEE">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2F99F773">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E2A9083">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909D32F">
            <w:pPr>
              <w:pStyle w:val="10"/>
              <w:keepNext/>
              <w:spacing w:after="0" w:line="440" w:lineRule="exact"/>
              <w:ind w:left="63" w:right="63"/>
              <w:rPr>
                <w:rFonts w:ascii="宋体" w:hAnsi="宋体"/>
                <w:color w:val="000000"/>
                <w:sz w:val="24"/>
                <w:szCs w:val="24"/>
                <w:highlight w:val="none"/>
              </w:rPr>
            </w:pPr>
          </w:p>
        </w:tc>
      </w:tr>
      <w:tr w14:paraId="5F624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EE28A1E">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EB8CBC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CF37A51">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79653C8">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70A2C144">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91E64FE">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96C9CC0">
            <w:pPr>
              <w:pStyle w:val="10"/>
              <w:keepNext/>
              <w:spacing w:after="0" w:line="440" w:lineRule="exact"/>
              <w:ind w:left="63" w:right="63"/>
              <w:rPr>
                <w:rFonts w:ascii="宋体" w:hAnsi="宋体"/>
                <w:color w:val="000000"/>
                <w:sz w:val="24"/>
                <w:szCs w:val="24"/>
                <w:highlight w:val="none"/>
              </w:rPr>
            </w:pPr>
          </w:p>
        </w:tc>
      </w:tr>
      <w:tr w14:paraId="27342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2D05E2">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11921E4">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3968193E">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3121235">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34F91385">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9A3BD9A">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66905C5B">
            <w:pPr>
              <w:pStyle w:val="10"/>
              <w:keepNext/>
              <w:spacing w:after="0" w:line="440" w:lineRule="exact"/>
              <w:ind w:left="63" w:right="63"/>
              <w:rPr>
                <w:rFonts w:ascii="宋体" w:hAnsi="宋体"/>
                <w:color w:val="000000"/>
                <w:sz w:val="24"/>
                <w:szCs w:val="24"/>
                <w:highlight w:val="none"/>
              </w:rPr>
            </w:pPr>
          </w:p>
        </w:tc>
      </w:tr>
      <w:tr w14:paraId="09ED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6BB53697">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2D31822B">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0C63A945">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D294C26">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B150D82">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BF04291">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C0FACAE">
            <w:pPr>
              <w:pStyle w:val="10"/>
              <w:keepNext/>
              <w:spacing w:after="0" w:line="440" w:lineRule="exact"/>
              <w:ind w:left="63" w:right="63"/>
              <w:rPr>
                <w:rFonts w:ascii="宋体" w:hAnsi="宋体"/>
                <w:color w:val="000000"/>
                <w:sz w:val="24"/>
                <w:szCs w:val="24"/>
                <w:highlight w:val="none"/>
              </w:rPr>
            </w:pPr>
          </w:p>
        </w:tc>
      </w:tr>
      <w:tr w14:paraId="5DB92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DE3D8A">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201B302E">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7BB055C9">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F92084D">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436CF89">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7153D1F1">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27B25857">
            <w:pPr>
              <w:pStyle w:val="10"/>
              <w:keepNext/>
              <w:spacing w:after="0" w:line="440" w:lineRule="exact"/>
              <w:ind w:left="63" w:right="63"/>
              <w:rPr>
                <w:rFonts w:ascii="宋体" w:hAnsi="宋体"/>
                <w:color w:val="000000"/>
                <w:sz w:val="24"/>
                <w:szCs w:val="24"/>
                <w:highlight w:val="none"/>
              </w:rPr>
            </w:pPr>
          </w:p>
        </w:tc>
      </w:tr>
      <w:tr w14:paraId="2CE6E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9C42D2">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4726EBDF">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6659AD18">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6DD31242">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5556C389">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18187FD">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3367B513">
            <w:pPr>
              <w:pStyle w:val="10"/>
              <w:keepNext/>
              <w:spacing w:after="0" w:line="440" w:lineRule="exact"/>
              <w:ind w:left="63" w:right="63"/>
              <w:rPr>
                <w:rFonts w:ascii="宋体" w:hAnsi="宋体"/>
                <w:color w:val="000000"/>
                <w:sz w:val="24"/>
                <w:szCs w:val="24"/>
                <w:highlight w:val="none"/>
              </w:rPr>
            </w:pPr>
          </w:p>
        </w:tc>
      </w:tr>
      <w:tr w14:paraId="46724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C07A11">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125B1EFF">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1F283072">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573EF92D">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451C5A33">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0BDC668">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1AA066AA">
            <w:pPr>
              <w:pStyle w:val="10"/>
              <w:keepNext/>
              <w:spacing w:after="0" w:line="440" w:lineRule="exact"/>
              <w:ind w:left="63" w:right="63"/>
              <w:rPr>
                <w:rFonts w:ascii="宋体" w:hAnsi="宋体"/>
                <w:color w:val="000000"/>
                <w:sz w:val="24"/>
                <w:szCs w:val="24"/>
                <w:highlight w:val="none"/>
              </w:rPr>
            </w:pPr>
          </w:p>
        </w:tc>
      </w:tr>
      <w:tr w14:paraId="569A4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8D8FFB">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3E87E100">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AC1225D">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406345B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BCC9728">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4B505E2C">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4B26C4A5">
            <w:pPr>
              <w:pStyle w:val="10"/>
              <w:keepNext/>
              <w:spacing w:after="0" w:line="440" w:lineRule="exact"/>
              <w:ind w:left="63" w:right="63"/>
              <w:rPr>
                <w:rFonts w:ascii="宋体" w:hAnsi="宋体"/>
                <w:color w:val="000000"/>
                <w:sz w:val="24"/>
                <w:szCs w:val="24"/>
                <w:highlight w:val="none"/>
              </w:rPr>
            </w:pPr>
          </w:p>
        </w:tc>
      </w:tr>
      <w:tr w14:paraId="13B9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E0EBF5">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601CC41B">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455B8FE0">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1B3D156B">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016F7BA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2ED4A404">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046FCEC7">
            <w:pPr>
              <w:pStyle w:val="10"/>
              <w:keepNext/>
              <w:spacing w:after="0" w:line="440" w:lineRule="exact"/>
              <w:ind w:left="63" w:right="63"/>
              <w:rPr>
                <w:rFonts w:ascii="宋体" w:hAnsi="宋体"/>
                <w:color w:val="000000"/>
                <w:sz w:val="24"/>
                <w:szCs w:val="24"/>
                <w:highlight w:val="none"/>
              </w:rPr>
            </w:pPr>
          </w:p>
        </w:tc>
      </w:tr>
      <w:tr w14:paraId="48B3E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0E248896">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51971CD9">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26EBCDE8">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0EB8E17A">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6C592ABA">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61CEE284">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560F4708">
            <w:pPr>
              <w:pStyle w:val="10"/>
              <w:keepNext/>
              <w:spacing w:after="0" w:line="440" w:lineRule="exact"/>
              <w:ind w:left="63" w:right="63"/>
              <w:rPr>
                <w:rFonts w:ascii="宋体" w:hAnsi="宋体"/>
                <w:color w:val="000000"/>
                <w:sz w:val="24"/>
                <w:szCs w:val="24"/>
                <w:highlight w:val="none"/>
              </w:rPr>
            </w:pPr>
          </w:p>
        </w:tc>
      </w:tr>
      <w:tr w14:paraId="7F13A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1DD194">
            <w:pPr>
              <w:pStyle w:val="10"/>
              <w:keepNext/>
              <w:spacing w:after="0" w:line="440" w:lineRule="exact"/>
              <w:ind w:left="63" w:right="63"/>
              <w:rPr>
                <w:rFonts w:ascii="宋体" w:hAnsi="宋体"/>
                <w:color w:val="000000"/>
                <w:sz w:val="24"/>
                <w:szCs w:val="24"/>
                <w:highlight w:val="none"/>
              </w:rPr>
            </w:pPr>
          </w:p>
        </w:tc>
        <w:tc>
          <w:tcPr>
            <w:tcW w:w="1984" w:type="dxa"/>
            <w:noWrap w:val="0"/>
            <w:vAlign w:val="top"/>
          </w:tcPr>
          <w:p w14:paraId="0CBB4893">
            <w:pPr>
              <w:pStyle w:val="10"/>
              <w:keepNext/>
              <w:spacing w:after="0" w:line="440" w:lineRule="exact"/>
              <w:ind w:left="63" w:right="63"/>
              <w:rPr>
                <w:rFonts w:ascii="宋体" w:hAnsi="宋体"/>
                <w:color w:val="000000"/>
                <w:sz w:val="24"/>
                <w:szCs w:val="24"/>
                <w:highlight w:val="none"/>
              </w:rPr>
            </w:pPr>
          </w:p>
        </w:tc>
        <w:tc>
          <w:tcPr>
            <w:tcW w:w="851" w:type="dxa"/>
            <w:noWrap w:val="0"/>
            <w:vAlign w:val="top"/>
          </w:tcPr>
          <w:p w14:paraId="5B02A4D9">
            <w:pPr>
              <w:pStyle w:val="10"/>
              <w:keepNext/>
              <w:spacing w:after="0" w:line="440" w:lineRule="exact"/>
              <w:ind w:left="63" w:right="63"/>
              <w:rPr>
                <w:rFonts w:ascii="宋体" w:hAnsi="宋体"/>
                <w:color w:val="000000"/>
                <w:sz w:val="24"/>
                <w:szCs w:val="24"/>
                <w:highlight w:val="none"/>
              </w:rPr>
            </w:pPr>
          </w:p>
        </w:tc>
        <w:tc>
          <w:tcPr>
            <w:tcW w:w="774" w:type="dxa"/>
            <w:noWrap w:val="0"/>
            <w:vAlign w:val="top"/>
          </w:tcPr>
          <w:p w14:paraId="2896099D">
            <w:pPr>
              <w:pStyle w:val="10"/>
              <w:keepNext/>
              <w:spacing w:after="0" w:line="440" w:lineRule="exact"/>
              <w:ind w:left="63" w:right="63"/>
              <w:rPr>
                <w:rFonts w:ascii="宋体" w:hAnsi="宋体"/>
                <w:color w:val="000000"/>
                <w:sz w:val="24"/>
                <w:szCs w:val="24"/>
                <w:highlight w:val="none"/>
              </w:rPr>
            </w:pPr>
          </w:p>
        </w:tc>
        <w:tc>
          <w:tcPr>
            <w:tcW w:w="1352" w:type="dxa"/>
            <w:noWrap w:val="0"/>
            <w:vAlign w:val="top"/>
          </w:tcPr>
          <w:p w14:paraId="191B1A00">
            <w:pPr>
              <w:pStyle w:val="10"/>
              <w:keepNext/>
              <w:spacing w:after="0" w:line="440" w:lineRule="exact"/>
              <w:ind w:left="63" w:right="63"/>
              <w:rPr>
                <w:rFonts w:ascii="宋体" w:hAnsi="宋体"/>
                <w:color w:val="000000"/>
                <w:sz w:val="24"/>
                <w:szCs w:val="24"/>
                <w:highlight w:val="none"/>
              </w:rPr>
            </w:pPr>
          </w:p>
        </w:tc>
        <w:tc>
          <w:tcPr>
            <w:tcW w:w="1418" w:type="dxa"/>
            <w:noWrap w:val="0"/>
            <w:vAlign w:val="top"/>
          </w:tcPr>
          <w:p w14:paraId="3EB51CCA">
            <w:pPr>
              <w:pStyle w:val="10"/>
              <w:keepNext/>
              <w:spacing w:after="0" w:line="440" w:lineRule="exact"/>
              <w:ind w:left="63" w:right="63"/>
              <w:rPr>
                <w:rFonts w:ascii="宋体" w:hAnsi="宋体"/>
                <w:color w:val="000000"/>
                <w:sz w:val="24"/>
                <w:szCs w:val="24"/>
                <w:highlight w:val="none"/>
              </w:rPr>
            </w:pPr>
          </w:p>
        </w:tc>
        <w:tc>
          <w:tcPr>
            <w:tcW w:w="1701" w:type="dxa"/>
            <w:noWrap w:val="0"/>
            <w:vAlign w:val="top"/>
          </w:tcPr>
          <w:p w14:paraId="71B41B7A">
            <w:pPr>
              <w:pStyle w:val="10"/>
              <w:keepNext/>
              <w:spacing w:after="0" w:line="440" w:lineRule="exact"/>
              <w:ind w:left="63" w:right="63"/>
              <w:rPr>
                <w:rFonts w:ascii="宋体" w:hAnsi="宋体"/>
                <w:color w:val="000000"/>
                <w:sz w:val="24"/>
                <w:szCs w:val="24"/>
                <w:highlight w:val="none"/>
              </w:rPr>
            </w:pPr>
          </w:p>
        </w:tc>
      </w:tr>
    </w:tbl>
    <w:p w14:paraId="74104A3D">
      <w:pPr>
        <w:rPr>
          <w:rFonts w:ascii="宋体" w:hAnsi="宋体" w:eastAsia="宋体"/>
          <w:sz w:val="24"/>
          <w:szCs w:val="24"/>
          <w:highlight w:val="none"/>
        </w:rPr>
      </w:pPr>
    </w:p>
    <w:p w14:paraId="00BED440">
      <w:pPr>
        <w:rPr>
          <w:rFonts w:ascii="宋体" w:hAnsi="宋体" w:eastAsia="宋体"/>
          <w:sz w:val="24"/>
          <w:szCs w:val="24"/>
          <w:highlight w:val="none"/>
        </w:rPr>
      </w:pPr>
    </w:p>
    <w:p w14:paraId="4A090E39">
      <w:pPr>
        <w:rPr>
          <w:rFonts w:ascii="宋体" w:hAnsi="宋体" w:eastAsia="宋体"/>
          <w:sz w:val="24"/>
          <w:szCs w:val="24"/>
          <w:highlight w:val="none"/>
        </w:rPr>
      </w:pPr>
    </w:p>
    <w:p w14:paraId="0422E345">
      <w:pPr>
        <w:rPr>
          <w:rFonts w:ascii="宋体" w:hAnsi="宋体" w:eastAsia="宋体"/>
          <w:sz w:val="24"/>
          <w:szCs w:val="24"/>
          <w:highlight w:val="none"/>
        </w:rPr>
      </w:pPr>
    </w:p>
    <w:p w14:paraId="3CD7587B">
      <w:pPr>
        <w:rPr>
          <w:rFonts w:ascii="宋体" w:hAnsi="宋体" w:eastAsia="宋体"/>
          <w:sz w:val="24"/>
          <w:szCs w:val="24"/>
          <w:highlight w:val="none"/>
        </w:rPr>
      </w:pPr>
    </w:p>
    <w:p w14:paraId="2286DAA4">
      <w:pPr>
        <w:rPr>
          <w:rFonts w:hint="eastAsia" w:ascii="宋体" w:hAnsi="宋体" w:eastAsia="宋体"/>
          <w:sz w:val="24"/>
          <w:szCs w:val="24"/>
          <w:highlight w:val="none"/>
        </w:rPr>
      </w:pPr>
    </w:p>
    <w:p w14:paraId="354B6763">
      <w:pPr>
        <w:rPr>
          <w:rFonts w:hint="eastAsia" w:ascii="宋体" w:hAnsi="宋体" w:eastAsia="宋体"/>
          <w:sz w:val="24"/>
          <w:szCs w:val="24"/>
          <w:highlight w:val="none"/>
        </w:rPr>
      </w:pPr>
    </w:p>
    <w:p w14:paraId="27E92769">
      <w:pPr>
        <w:rPr>
          <w:rFonts w:hint="eastAsia" w:ascii="宋体" w:hAnsi="宋体" w:eastAsia="宋体"/>
          <w:sz w:val="24"/>
          <w:szCs w:val="24"/>
          <w:highlight w:val="none"/>
          <w:lang w:eastAsia="zh-CN"/>
        </w:rPr>
      </w:pPr>
      <w:r>
        <w:rPr>
          <w:rFonts w:hint="eastAsia" w:ascii="宋体" w:hAnsi="宋体" w:eastAsia="宋体"/>
          <w:sz w:val="24"/>
          <w:szCs w:val="24"/>
          <w:highlight w:val="none"/>
        </w:rPr>
        <w:t>附件12</w:t>
      </w:r>
    </w:p>
    <w:p w14:paraId="0947A34B">
      <w:pPr>
        <w:jc w:val="center"/>
        <w:rPr>
          <w:rFonts w:ascii="宋体" w:hAnsi="宋体" w:eastAsia="宋体"/>
          <w:sz w:val="24"/>
          <w:szCs w:val="24"/>
          <w:highlight w:val="none"/>
        </w:rPr>
      </w:pPr>
      <w:r>
        <w:rPr>
          <w:rFonts w:hint="eastAsia" w:ascii="宋体" w:hAnsi="宋体" w:eastAsia="宋体"/>
          <w:sz w:val="24"/>
          <w:szCs w:val="24"/>
          <w:highlight w:val="none"/>
        </w:rPr>
        <w:t>廉洁合同</w:t>
      </w:r>
    </w:p>
    <w:p w14:paraId="4D9FEC03">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发包人(全称，以下简称甲方)：</w:t>
      </w:r>
    </w:p>
    <w:p w14:paraId="5D93948B">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承包人(全称，以下简称乙方)：</w:t>
      </w:r>
    </w:p>
    <w:p w14:paraId="76E82C43">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为了在工程项目建设中保持廉洁自律的工作作风，防止各种不正当行为的发生，根据廉政建设的各项规定，结合工程项目的特点，特</w:t>
      </w:r>
      <w:r>
        <w:rPr>
          <w:rFonts w:hint="eastAsia" w:ascii="宋体" w:hAnsi="宋体" w:eastAsia="宋体"/>
          <w:sz w:val="24"/>
          <w:szCs w:val="24"/>
          <w:highlight w:val="none"/>
          <w:lang w:eastAsia="zh-CN"/>
        </w:rPr>
        <w:t>订立</w:t>
      </w:r>
      <w:r>
        <w:rPr>
          <w:rFonts w:hint="eastAsia" w:ascii="宋体" w:hAnsi="宋体" w:eastAsia="宋体"/>
          <w:sz w:val="24"/>
          <w:szCs w:val="24"/>
          <w:highlight w:val="none"/>
        </w:rPr>
        <w:t>本合同如下：</w:t>
      </w:r>
    </w:p>
    <w:p w14:paraId="4BD41EF4">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一、甲乙双方应当自觉遵守国家和所在地区关于工程承发包工作规则和廉政建设的各项规定。</w:t>
      </w:r>
    </w:p>
    <w:p w14:paraId="6CD6C8B3">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二、甲方及其工作人员不得以任何形式向乙方索要和收受回扣等好处费。</w:t>
      </w:r>
    </w:p>
    <w:p w14:paraId="12E3E2B9">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三、甲方工作人员应当保持与乙方的正常业务交往，不得接受乙方的礼金、有价证券和贵重物品，不得在乙方报销任何应由个人支付的费用。</w:t>
      </w:r>
    </w:p>
    <w:p w14:paraId="1C830B12">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四、甲方工作人员不得参加可能对公正执行公务有影响的宴请和娱乐活动。</w:t>
      </w:r>
    </w:p>
    <w:p w14:paraId="38B9AF11">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五、甲方工作人员不得要求或者接受乙方为其住房装修、婚丧嫁娶、家属和子女的工作安排以及出国提供方便。</w:t>
      </w:r>
    </w:p>
    <w:p w14:paraId="0DC854F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六、甲方工作人员不得向乙方介绍家属或者亲友从事与甲方工程有关的材料设备供应、工程分包等经济活动。</w:t>
      </w:r>
    </w:p>
    <w:p w14:paraId="72AF661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七、乙方应当通过正常途径开展</w:t>
      </w:r>
      <w:r>
        <w:rPr>
          <w:rFonts w:hint="eastAsia" w:ascii="宋体" w:hAnsi="宋体" w:eastAsia="宋体"/>
          <w:sz w:val="24"/>
          <w:szCs w:val="24"/>
          <w:highlight w:val="none"/>
          <w:lang w:eastAsia="zh-CN"/>
        </w:rPr>
        <w:t>相关</w:t>
      </w:r>
      <w:r>
        <w:rPr>
          <w:rFonts w:hint="eastAsia" w:ascii="宋体" w:hAnsi="宋体" w:eastAsia="宋体"/>
          <w:sz w:val="24"/>
          <w:szCs w:val="24"/>
          <w:highlight w:val="none"/>
        </w:rPr>
        <w:t>业务工作，不得为获取某些不正当利益而向甲方工作人员赠送礼金、有价证券和贵重物品等。</w:t>
      </w:r>
    </w:p>
    <w:p w14:paraId="1E25DCD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八、乙方不得为谋取私利擅自与甲方工作人员就工程承包、工程费用、材料设备供应、工程量变动、工程验收、工程质量问题等进行私下商谈或者达成默契。</w:t>
      </w:r>
    </w:p>
    <w:p w14:paraId="1726828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九、乙方不得以洽谈业务、签订经济合同为借口，邀请甲方工作人员外出旅游和进入营业性高档娱乐场所。</w:t>
      </w:r>
    </w:p>
    <w:p w14:paraId="3B402EFE">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十、乙方不得为甲方单位和个人购置或者</w:t>
      </w:r>
      <w:r>
        <w:rPr>
          <w:rFonts w:hint="eastAsia" w:ascii="宋体" w:hAnsi="宋体" w:eastAsia="宋体"/>
          <w:sz w:val="24"/>
          <w:szCs w:val="24"/>
          <w:highlight w:val="none"/>
          <w:lang w:eastAsia="zh-CN"/>
        </w:rPr>
        <w:t>提供通信</w:t>
      </w:r>
      <w:r>
        <w:rPr>
          <w:rFonts w:hint="eastAsia" w:ascii="宋体" w:hAnsi="宋体" w:eastAsia="宋体"/>
          <w:sz w:val="24"/>
          <w:szCs w:val="24"/>
          <w:highlight w:val="none"/>
        </w:rPr>
        <w:t>工具、交通工具、家电、高档办公用品等物品。</w:t>
      </w:r>
    </w:p>
    <w:p w14:paraId="761186C4">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十一、乙方如发现甲方工作人员有违反上述协议者，应向甲方领导或者甲方上级单位举报。甲方不得找任何借口对乙方进行报复。甲方对举报属实和严格遵守廉洁协议的一方，在同等条件下</w:t>
      </w:r>
      <w:r>
        <w:rPr>
          <w:rFonts w:hint="eastAsia" w:ascii="宋体" w:hAnsi="宋体" w:eastAsia="宋体"/>
          <w:sz w:val="24"/>
          <w:szCs w:val="24"/>
          <w:highlight w:val="none"/>
          <w:lang w:eastAsia="zh-CN"/>
        </w:rPr>
        <w:t>给予</w:t>
      </w:r>
      <w:r>
        <w:rPr>
          <w:rFonts w:hint="eastAsia" w:ascii="宋体" w:hAnsi="宋体" w:eastAsia="宋体"/>
          <w:sz w:val="24"/>
          <w:szCs w:val="24"/>
          <w:highlight w:val="none"/>
        </w:rPr>
        <w:t>承接后续工程的优先邀请投标权。</w:t>
      </w:r>
    </w:p>
    <w:p w14:paraId="65236455">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十二、甲方发现乙方有违反本协议或者采取不正当的手段行贿甲方工作人员，甲方根据具体情节和造成的后果追究乙方工程合同造价1－5％的违约金。由此给甲方单位造成的损失均</w:t>
      </w:r>
      <w:r>
        <w:rPr>
          <w:rFonts w:hint="eastAsia" w:ascii="宋体" w:hAnsi="宋体" w:eastAsia="宋体"/>
          <w:sz w:val="24"/>
          <w:szCs w:val="24"/>
          <w:highlight w:val="none"/>
          <w:lang w:eastAsia="zh-CN"/>
        </w:rPr>
        <w:t>由</w:t>
      </w:r>
      <w:r>
        <w:rPr>
          <w:rFonts w:hint="eastAsia" w:ascii="宋体" w:hAnsi="宋体" w:eastAsia="宋体"/>
          <w:sz w:val="24"/>
          <w:szCs w:val="24"/>
          <w:highlight w:val="none"/>
        </w:rPr>
        <w:t>乙方承担，乙方用不正当手段获取的非法所得由甲方单位予以追缴。</w:t>
      </w:r>
    </w:p>
    <w:p w14:paraId="52FFDA49">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十三、本廉洁合同作为合同的附件，与施工合同具有同等法律效力。经协议双方签署后立即生效。</w:t>
      </w:r>
    </w:p>
    <w:p w14:paraId="2704352B">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十四、本合同一式三份，甲、乙双方各持一份，送交鉴证部门一份。</w:t>
      </w:r>
    </w:p>
    <w:p w14:paraId="05512FE8">
      <w:pPr>
        <w:spacing w:line="360" w:lineRule="auto"/>
        <w:ind w:firstLine="480" w:firstLineChars="200"/>
        <w:jc w:val="left"/>
        <w:rPr>
          <w:rFonts w:ascii="宋体" w:hAnsi="宋体" w:eastAsia="宋体"/>
          <w:sz w:val="24"/>
          <w:szCs w:val="24"/>
          <w:highlight w:val="none"/>
        </w:rPr>
      </w:pPr>
    </w:p>
    <w:p w14:paraId="039E7217">
      <w:pPr>
        <w:spacing w:line="360" w:lineRule="auto"/>
        <w:ind w:firstLine="480" w:firstLineChars="200"/>
        <w:jc w:val="left"/>
        <w:rPr>
          <w:rFonts w:ascii="宋体" w:hAnsi="宋体" w:eastAsia="宋体"/>
          <w:sz w:val="24"/>
          <w:szCs w:val="24"/>
          <w:highlight w:val="none"/>
        </w:rPr>
      </w:pPr>
    </w:p>
    <w:p w14:paraId="2775EBBF">
      <w:pPr>
        <w:spacing w:line="360" w:lineRule="auto"/>
        <w:ind w:firstLine="480" w:firstLineChars="200"/>
        <w:jc w:val="left"/>
        <w:rPr>
          <w:rFonts w:ascii="宋体" w:hAnsi="宋体" w:eastAsia="宋体"/>
          <w:sz w:val="24"/>
          <w:szCs w:val="24"/>
          <w:highlight w:val="none"/>
        </w:rPr>
      </w:pPr>
    </w:p>
    <w:p w14:paraId="7D3A87D4">
      <w:pPr>
        <w:spacing w:line="360" w:lineRule="auto"/>
        <w:ind w:firstLine="480" w:firstLineChars="200"/>
        <w:jc w:val="left"/>
        <w:rPr>
          <w:rFonts w:ascii="宋体" w:hAnsi="宋体" w:eastAsia="宋体"/>
          <w:sz w:val="24"/>
          <w:szCs w:val="24"/>
          <w:highlight w:val="none"/>
        </w:rPr>
      </w:pPr>
    </w:p>
    <w:p w14:paraId="1185AB9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甲方：（盖章）乙方：（盖章）</w:t>
      </w:r>
    </w:p>
    <w:p w14:paraId="691C2CE7">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法定代表人：法定代表人：</w:t>
      </w:r>
    </w:p>
    <w:p w14:paraId="2A5E2B83">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通讯地址：通讯地址：</w:t>
      </w:r>
    </w:p>
    <w:p w14:paraId="20987A69">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lang w:eastAsia="zh-CN"/>
        </w:rPr>
        <w:t>联系电话</w:t>
      </w:r>
      <w:r>
        <w:rPr>
          <w:rFonts w:hint="eastAsia" w:ascii="宋体" w:hAnsi="宋体" w:eastAsia="宋体"/>
          <w:sz w:val="24"/>
          <w:szCs w:val="24"/>
          <w:highlight w:val="none"/>
        </w:rPr>
        <w:t>：</w:t>
      </w:r>
    </w:p>
    <w:p w14:paraId="36F23994">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签约日期：</w:t>
      </w:r>
      <w:r>
        <w:rPr>
          <w:rFonts w:hint="eastAsia" w:ascii="宋体" w:hAnsi="宋体" w:eastAsia="宋体"/>
          <w:sz w:val="24"/>
          <w:szCs w:val="24"/>
          <w:highlight w:val="none"/>
          <w:lang w:eastAsia="zh-CN"/>
        </w:rPr>
        <w:t>年月日</w:t>
      </w:r>
    </w:p>
    <w:p w14:paraId="720D83DE">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鉴证部门：（盖章）</w:t>
      </w:r>
    </w:p>
    <w:p w14:paraId="35C7FD52">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鉴证日期：年月日</w:t>
      </w:r>
    </w:p>
    <w:p w14:paraId="50ABC7A5">
      <w:pPr>
        <w:spacing w:line="360" w:lineRule="auto"/>
        <w:ind w:firstLine="480" w:firstLineChars="200"/>
        <w:jc w:val="left"/>
        <w:rPr>
          <w:rFonts w:ascii="宋体" w:hAnsi="宋体" w:eastAsia="宋体"/>
          <w:sz w:val="24"/>
          <w:szCs w:val="24"/>
          <w:highlight w:val="none"/>
        </w:rPr>
      </w:pPr>
    </w:p>
    <w:p w14:paraId="3DE52093">
      <w:pPr>
        <w:spacing w:line="360" w:lineRule="auto"/>
        <w:ind w:firstLine="480" w:firstLineChars="200"/>
        <w:jc w:val="left"/>
        <w:rPr>
          <w:rFonts w:ascii="宋体" w:hAnsi="宋体" w:eastAsia="宋体"/>
          <w:sz w:val="24"/>
          <w:szCs w:val="24"/>
          <w:highlight w:val="none"/>
        </w:rPr>
      </w:pPr>
    </w:p>
    <w:p w14:paraId="2FF6434A">
      <w:pPr>
        <w:spacing w:line="360" w:lineRule="auto"/>
        <w:ind w:firstLine="480" w:firstLineChars="200"/>
        <w:jc w:val="left"/>
        <w:rPr>
          <w:rFonts w:ascii="宋体" w:hAnsi="宋体" w:eastAsia="宋体"/>
          <w:sz w:val="24"/>
          <w:szCs w:val="24"/>
          <w:highlight w:val="none"/>
        </w:rPr>
      </w:pPr>
    </w:p>
    <w:p w14:paraId="3C3B5647">
      <w:pPr>
        <w:spacing w:line="360" w:lineRule="auto"/>
        <w:ind w:firstLine="480" w:firstLineChars="200"/>
        <w:jc w:val="left"/>
        <w:rPr>
          <w:rFonts w:ascii="宋体" w:hAnsi="宋体" w:eastAsia="宋体"/>
          <w:sz w:val="24"/>
          <w:szCs w:val="24"/>
          <w:highlight w:val="none"/>
        </w:rPr>
      </w:pPr>
    </w:p>
    <w:p w14:paraId="6E60786D">
      <w:pPr>
        <w:spacing w:line="360" w:lineRule="auto"/>
        <w:ind w:firstLine="480" w:firstLineChars="200"/>
        <w:jc w:val="left"/>
        <w:rPr>
          <w:rFonts w:ascii="宋体" w:hAnsi="宋体" w:eastAsia="宋体"/>
          <w:sz w:val="24"/>
          <w:szCs w:val="24"/>
          <w:highlight w:val="none"/>
        </w:rPr>
      </w:pPr>
    </w:p>
    <w:p w14:paraId="491A9428">
      <w:pPr>
        <w:spacing w:line="360" w:lineRule="auto"/>
        <w:ind w:firstLine="480" w:firstLineChars="200"/>
        <w:jc w:val="left"/>
        <w:rPr>
          <w:rFonts w:ascii="宋体" w:hAnsi="宋体" w:eastAsia="宋体"/>
          <w:sz w:val="24"/>
          <w:szCs w:val="24"/>
          <w:highlight w:val="none"/>
        </w:rPr>
      </w:pPr>
    </w:p>
    <w:p w14:paraId="5A241F49">
      <w:pPr>
        <w:spacing w:line="360" w:lineRule="auto"/>
        <w:ind w:firstLine="480" w:firstLineChars="200"/>
        <w:jc w:val="left"/>
        <w:rPr>
          <w:rFonts w:ascii="宋体" w:hAnsi="宋体" w:eastAsia="宋体"/>
          <w:sz w:val="24"/>
          <w:szCs w:val="24"/>
          <w:highlight w:val="none"/>
        </w:rPr>
      </w:pPr>
    </w:p>
    <w:p w14:paraId="573D68B6">
      <w:pPr>
        <w:spacing w:line="360" w:lineRule="auto"/>
        <w:ind w:firstLine="480" w:firstLineChars="200"/>
        <w:jc w:val="left"/>
        <w:rPr>
          <w:rFonts w:ascii="宋体" w:hAnsi="宋体" w:eastAsia="宋体"/>
          <w:sz w:val="24"/>
          <w:szCs w:val="24"/>
          <w:highlight w:val="none"/>
        </w:rPr>
      </w:pPr>
    </w:p>
    <w:p w14:paraId="183911A5">
      <w:pPr>
        <w:spacing w:line="360" w:lineRule="auto"/>
        <w:ind w:firstLine="480" w:firstLineChars="200"/>
        <w:jc w:val="left"/>
        <w:rPr>
          <w:rFonts w:ascii="宋体" w:hAnsi="宋体" w:eastAsia="宋体"/>
          <w:sz w:val="24"/>
          <w:szCs w:val="24"/>
          <w:highlight w:val="none"/>
        </w:rPr>
      </w:pPr>
    </w:p>
    <w:p w14:paraId="37761613">
      <w:pPr>
        <w:spacing w:line="360" w:lineRule="auto"/>
        <w:ind w:firstLine="480" w:firstLineChars="200"/>
        <w:jc w:val="left"/>
        <w:rPr>
          <w:rFonts w:ascii="宋体" w:hAnsi="宋体" w:eastAsia="宋体"/>
          <w:sz w:val="24"/>
          <w:szCs w:val="24"/>
          <w:highlight w:val="none"/>
        </w:rPr>
      </w:pPr>
    </w:p>
    <w:p w14:paraId="510BD6A4">
      <w:pPr>
        <w:spacing w:line="360" w:lineRule="auto"/>
        <w:ind w:firstLine="480" w:firstLineChars="200"/>
        <w:jc w:val="left"/>
        <w:rPr>
          <w:rFonts w:ascii="宋体" w:hAnsi="宋体" w:eastAsia="宋体"/>
          <w:sz w:val="24"/>
          <w:szCs w:val="24"/>
          <w:highlight w:val="none"/>
        </w:rPr>
      </w:pPr>
    </w:p>
    <w:p w14:paraId="65843729">
      <w:pPr>
        <w:spacing w:line="360" w:lineRule="auto"/>
        <w:ind w:firstLine="480" w:firstLineChars="200"/>
        <w:jc w:val="left"/>
        <w:rPr>
          <w:rFonts w:ascii="宋体" w:hAnsi="宋体" w:eastAsia="宋体"/>
          <w:sz w:val="24"/>
          <w:szCs w:val="24"/>
          <w:highlight w:val="none"/>
        </w:rPr>
      </w:pPr>
    </w:p>
    <w:p w14:paraId="130AC76A">
      <w:pPr>
        <w:spacing w:line="360" w:lineRule="auto"/>
        <w:jc w:val="left"/>
        <w:rPr>
          <w:rFonts w:hint="eastAsia" w:ascii="宋体" w:hAnsi="宋体" w:eastAsia="宋体"/>
          <w:sz w:val="24"/>
          <w:szCs w:val="24"/>
          <w:highlight w:val="none"/>
        </w:rPr>
      </w:pPr>
    </w:p>
    <w:p w14:paraId="2204A900">
      <w:pPr>
        <w:spacing w:line="360" w:lineRule="auto"/>
        <w:jc w:val="left"/>
        <w:rPr>
          <w:rFonts w:hint="eastAsia" w:ascii="宋体" w:hAnsi="宋体" w:eastAsia="宋体"/>
          <w:sz w:val="24"/>
          <w:szCs w:val="24"/>
          <w:highlight w:val="none"/>
        </w:rPr>
      </w:pPr>
    </w:p>
    <w:p w14:paraId="58206424">
      <w:pPr>
        <w:spacing w:line="360" w:lineRule="auto"/>
        <w:jc w:val="left"/>
        <w:rPr>
          <w:rFonts w:hint="eastAsia" w:ascii="宋体" w:hAnsi="宋体" w:eastAsia="宋体"/>
          <w:sz w:val="24"/>
          <w:szCs w:val="24"/>
          <w:highlight w:val="none"/>
        </w:rPr>
      </w:pPr>
    </w:p>
    <w:p w14:paraId="0F0F9EFE">
      <w:pPr>
        <w:spacing w:line="360" w:lineRule="auto"/>
        <w:jc w:val="left"/>
        <w:rPr>
          <w:rFonts w:hint="eastAsia" w:ascii="宋体" w:hAnsi="宋体" w:eastAsia="宋体"/>
          <w:sz w:val="24"/>
          <w:szCs w:val="24"/>
          <w:highlight w:val="none"/>
        </w:rPr>
      </w:pPr>
    </w:p>
    <w:p w14:paraId="4CA70F13">
      <w:pPr>
        <w:spacing w:line="360" w:lineRule="auto"/>
        <w:jc w:val="left"/>
        <w:rPr>
          <w:rFonts w:hint="eastAsia" w:ascii="宋体" w:hAnsi="宋体" w:eastAsia="宋体"/>
          <w:sz w:val="24"/>
          <w:szCs w:val="24"/>
          <w:highlight w:val="none"/>
        </w:rPr>
      </w:pPr>
    </w:p>
    <w:p w14:paraId="11B7A043">
      <w:pPr>
        <w:spacing w:line="360" w:lineRule="auto"/>
        <w:jc w:val="left"/>
        <w:rPr>
          <w:rFonts w:hint="eastAsia" w:ascii="宋体" w:hAnsi="宋体" w:eastAsia="宋体"/>
          <w:sz w:val="24"/>
          <w:szCs w:val="24"/>
          <w:highlight w:val="none"/>
        </w:rPr>
      </w:pPr>
    </w:p>
    <w:p w14:paraId="6F34100D">
      <w:pPr>
        <w:spacing w:line="360" w:lineRule="auto"/>
        <w:jc w:val="left"/>
        <w:rPr>
          <w:rFonts w:hint="eastAsia" w:ascii="宋体" w:hAnsi="宋体" w:eastAsia="宋体"/>
          <w:sz w:val="24"/>
          <w:szCs w:val="24"/>
          <w:highlight w:val="none"/>
        </w:rPr>
      </w:pPr>
    </w:p>
    <w:p w14:paraId="61C0FF21">
      <w:pPr>
        <w:spacing w:line="360" w:lineRule="auto"/>
        <w:jc w:val="left"/>
        <w:rPr>
          <w:rFonts w:hint="eastAsia" w:ascii="宋体" w:hAnsi="宋体" w:eastAsia="宋体"/>
          <w:sz w:val="24"/>
          <w:szCs w:val="24"/>
          <w:highlight w:val="none"/>
        </w:rPr>
      </w:pPr>
    </w:p>
    <w:p w14:paraId="65E5498F">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附件13：</w:t>
      </w:r>
    </w:p>
    <w:p w14:paraId="343819ED">
      <w:pPr>
        <w:spacing w:line="360" w:lineRule="auto"/>
        <w:ind w:firstLine="480" w:firstLineChars="200"/>
        <w:jc w:val="center"/>
        <w:rPr>
          <w:rFonts w:ascii="宋体" w:hAnsi="宋体" w:eastAsia="宋体"/>
          <w:sz w:val="24"/>
          <w:szCs w:val="24"/>
          <w:highlight w:val="none"/>
        </w:rPr>
      </w:pPr>
      <w:r>
        <w:rPr>
          <w:rFonts w:hint="eastAsia" w:ascii="宋体" w:hAnsi="宋体" w:eastAsia="宋体"/>
          <w:sz w:val="24"/>
          <w:szCs w:val="24"/>
          <w:highlight w:val="none"/>
        </w:rPr>
        <w:t>建设工程承发包安全管理协议</w:t>
      </w:r>
    </w:p>
    <w:p w14:paraId="1733581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发包人(全称，以下简称甲方)：</w:t>
      </w:r>
    </w:p>
    <w:p w14:paraId="670BCA64">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承包人(全称，以下简称乙方)：</w:t>
      </w:r>
    </w:p>
    <w:p w14:paraId="0D9394FE">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甲方将本建筑安装工程项目发包给乙方施工，为贯彻“安全第一、预防为主”的方针，根据《江苏省工程安全管理暂行规定》和国家有关法规，明确双方的安全生产责任，确保施工安全，双方在签订建筑安装工程合同的同时，签订本协议。</w:t>
      </w:r>
    </w:p>
    <w:p w14:paraId="7B1C8796">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一、承包施工项目</w:t>
      </w:r>
    </w:p>
    <w:p w14:paraId="7F7098D0">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工程名称：</w:t>
      </w:r>
    </w:p>
    <w:p w14:paraId="309B9089">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工程地点：</w:t>
      </w:r>
    </w:p>
    <w:p w14:paraId="5E310ECA">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工程内容：</w:t>
      </w:r>
    </w:p>
    <w:p w14:paraId="5074B90F">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承包方式：包工包料</w:t>
      </w:r>
    </w:p>
    <w:p w14:paraId="68C57215">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二、工程项目施工期限</w:t>
      </w:r>
    </w:p>
    <w:p w14:paraId="24A599D4">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自年月日起开工至年月日完工。</w:t>
      </w:r>
    </w:p>
    <w:p w14:paraId="4B2230FF">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三、协议内容</w:t>
      </w:r>
    </w:p>
    <w:p w14:paraId="125C0B9E">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1、乙方必须认真贯彻国家、江苏省和上级劳动保护、安全生产主管部门颁发的有关安全生产、消防工作的方针、政策、严格执行有关劳动保护法规、条例、规定。</w:t>
      </w:r>
    </w:p>
    <w:p w14:paraId="26CF4066">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524D522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3、乙方在施工前要认真</w:t>
      </w:r>
      <w:r>
        <w:rPr>
          <w:rFonts w:hint="eastAsia" w:ascii="宋体" w:hAnsi="宋体" w:eastAsia="宋体"/>
          <w:sz w:val="24"/>
          <w:szCs w:val="24"/>
          <w:highlight w:val="none"/>
          <w:lang w:eastAsia="zh-CN"/>
        </w:rPr>
        <w:t>勘查现场</w:t>
      </w:r>
      <w:r>
        <w:rPr>
          <w:rFonts w:hint="eastAsia" w:ascii="宋体" w:hAnsi="宋体" w:eastAsia="宋体"/>
          <w:sz w:val="24"/>
          <w:szCs w:val="24"/>
          <w:highlight w:val="none"/>
        </w:rPr>
        <w:t>，进场后首先必须做好施工现场围护，防止闲杂人员进入施工现场，发生安全事故。</w:t>
      </w:r>
    </w:p>
    <w:p w14:paraId="08350763">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4、工程项目由乙方按要求自行编实施</w:t>
      </w:r>
      <w:r>
        <w:rPr>
          <w:rFonts w:hint="eastAsia" w:ascii="宋体" w:hAnsi="宋体" w:eastAsia="宋体"/>
          <w:sz w:val="24"/>
          <w:szCs w:val="24"/>
          <w:highlight w:val="none"/>
          <w:lang w:eastAsia="zh-CN"/>
        </w:rPr>
        <w:t>定制</w:t>
      </w:r>
      <w:r>
        <w:rPr>
          <w:rFonts w:hint="eastAsia" w:ascii="宋体" w:hAnsi="宋体" w:eastAsia="宋体"/>
          <w:sz w:val="24"/>
          <w:szCs w:val="24"/>
          <w:highlight w:val="none"/>
        </w:rPr>
        <w:t>施工组织设计，并制定有针对性的安全技术措施计划、严格按施工组织设计和有关安全要求施工。乙方应落实本工程安全生产的管理体系，管理体系中的人员名单上报监理备案，以便监督管理。工地安全员必须持证上岗。</w:t>
      </w:r>
    </w:p>
    <w:p w14:paraId="0818CC3E">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5、甲乙双方的有关领导必须认真对本单位职工进行安全生产制度及安全技术知识教育，增强</w:t>
      </w:r>
      <w:r>
        <w:rPr>
          <w:rFonts w:hint="eastAsia" w:ascii="宋体" w:hAnsi="宋体" w:eastAsia="宋体"/>
          <w:sz w:val="24"/>
          <w:szCs w:val="24"/>
          <w:highlight w:val="none"/>
          <w:lang w:eastAsia="zh-CN"/>
        </w:rPr>
        <w:t>法治观念</w:t>
      </w:r>
      <w:r>
        <w:rPr>
          <w:rFonts w:hint="eastAsia" w:ascii="宋体" w:hAnsi="宋体" w:eastAsia="宋体"/>
          <w:sz w:val="24"/>
          <w:szCs w:val="24"/>
          <w:highlight w:val="none"/>
        </w:rPr>
        <w:t>，</w:t>
      </w:r>
      <w:r>
        <w:rPr>
          <w:rFonts w:hint="eastAsia" w:ascii="宋体" w:hAnsi="宋体" w:eastAsia="宋体"/>
          <w:sz w:val="24"/>
          <w:szCs w:val="24"/>
          <w:highlight w:val="none"/>
          <w:lang w:eastAsia="zh-CN"/>
        </w:rPr>
        <w:t>增强</w:t>
      </w:r>
      <w:r>
        <w:rPr>
          <w:rFonts w:hint="eastAsia" w:ascii="宋体" w:hAnsi="宋体" w:eastAsia="宋体"/>
          <w:sz w:val="24"/>
          <w:szCs w:val="24"/>
          <w:highlight w:val="none"/>
        </w:rPr>
        <w:t>职工的安全生产思想意识和自我保护的能力，督促职工自觉遵守安全生产纪律、制度和法规。</w:t>
      </w:r>
    </w:p>
    <w:p w14:paraId="6BD2199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6、施工前由监理对乙方的管理、施工人员进行安全生产进场教育，介绍有关安全生产管理制度、规定和要求，乙方应组织召开管理、施工人员安全生产教育会议，并通知监理委托有关人员出席会议，介绍施工中有关安全、防火等规章制度及要求；乙方必须检查、督促施工人员严格遵守、认真执行。</w:t>
      </w:r>
    </w:p>
    <w:p w14:paraId="69CBAD7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7、根据工程项目内容、特点，甲乙双方应做好安全技术交底，并有交底的书面材料，</w:t>
      </w:r>
    </w:p>
    <w:p w14:paraId="09F4D287">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8、交底材料一式三份，由甲乙双方和监理各执一份。</w:t>
      </w:r>
    </w:p>
    <w:p w14:paraId="43BB9F87">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9、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14:paraId="185B3050">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10、乙方在施工期间必须严格执行和遵守安全生产、防火管理的各项规定，接受监理和甲方的督促、检查和指导。监理有协助乙方搞好安全生产、防火管理以及督促检查的义务，对于查出的隐患，乙方必须限期整改，并书面报监理和甲方。</w:t>
      </w:r>
    </w:p>
    <w:p w14:paraId="4C66F2E8">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11、在生产操作过程中的个人防护用品，由各方自理，甲乙双方都应督促施工现场人员自觉穿戴好防护用品。</w:t>
      </w:r>
    </w:p>
    <w:p w14:paraId="61E9AA50">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12、乙方人员对不同施工区域、作业环境、操作设施设备、工具用具等必须认真检查，发现隐患立即停止施工，并由有关单位落实整改后方准施工。一经施工，就表示乙方确认施工场所、作业环境、设施设备、工具用具等符合安全要求和处于安全状态。乙方对施工过程中由于上述因素不良而导致的事故后果负全部责任。</w:t>
      </w:r>
    </w:p>
    <w:p w14:paraId="345A4CF8">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13、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由于设备、工具因素或操作不当而造成伤亡事故，由借入使用方负责。</w:t>
      </w:r>
    </w:p>
    <w:p w14:paraId="251CED10">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14、乙方的人员对施工的现场脚手架、各类安全防护设施、安全标志和警告牌，不得擅自拆除、更动。如确实需要拆除更动的，必须经监理和乙方指派的安全管理人员的同意，并采取必要、可靠的安全措施后方能拆除。如擅自拆除所造成的后果，由乙方人员及其单位负责。</w:t>
      </w:r>
    </w:p>
    <w:p w14:paraId="2C5A048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15、特种作业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w:t>
      </w:r>
      <w:r>
        <w:rPr>
          <w:rFonts w:hint="eastAsia" w:ascii="宋体" w:hAnsi="宋体" w:eastAsia="宋体"/>
          <w:sz w:val="24"/>
          <w:szCs w:val="24"/>
          <w:highlight w:val="none"/>
          <w:lang w:eastAsia="zh-CN"/>
        </w:rPr>
        <w:t>家用电器</w:t>
      </w:r>
      <w:r>
        <w:rPr>
          <w:rFonts w:hint="eastAsia" w:ascii="宋体" w:hAnsi="宋体" w:eastAsia="宋体"/>
          <w:sz w:val="24"/>
          <w:szCs w:val="24"/>
          <w:highlight w:val="none"/>
        </w:rPr>
        <w:t>、机械设备。</w:t>
      </w:r>
    </w:p>
    <w:p w14:paraId="2FC38EA2">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16、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7B473192">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17、乙方需用甲方提供的电气设备，在使用前应先进行检测，并做好检测记录，如不符合安全规定的应及时整改，整改合格后方</w:t>
      </w:r>
      <w:r>
        <w:rPr>
          <w:rFonts w:hint="eastAsia" w:ascii="宋体" w:hAnsi="宋体" w:eastAsia="宋体"/>
          <w:sz w:val="24"/>
          <w:szCs w:val="24"/>
          <w:highlight w:val="none"/>
          <w:lang w:eastAsia="zh-CN"/>
        </w:rPr>
        <w:t>可使</w:t>
      </w:r>
      <w:r>
        <w:rPr>
          <w:rFonts w:hint="eastAsia" w:ascii="宋体" w:hAnsi="宋体" w:eastAsia="宋体"/>
          <w:sz w:val="24"/>
          <w:szCs w:val="24"/>
          <w:highlight w:val="none"/>
        </w:rPr>
        <w:t>用，违反本规定或不经监理和甲方许可，擅自乱拉电气线路造成后果的均由肇事者单位负责。乙方配电系统必须有专人24小时值班，工地生活区内严禁乱拉乱接电线，严禁使用电炉、电饭煲、电饭锅、电取暖器等，防止漏电触电事故发生。</w:t>
      </w:r>
    </w:p>
    <w:p w14:paraId="3268B91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18、乙方在施工中，应注意地下管线及高压架空线路的保护。甲方对地下管线和障碍物应详细交底，乙方应贯彻交底要求，如遇有情况，应及时向监理、甲方和有关部门联系，采取保护措施。</w:t>
      </w:r>
    </w:p>
    <w:p w14:paraId="5EA68F95">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19、贯彻谁施工谁负责安全的原则。乙方在施工过程中发生的人身伤亡、火警、火灾等一切事故，均由乙方自己负责，与甲方无关。乙方人员在施工期间造成伤亡、火警、火灾、机械等重大事故，乙方应协力进行紧急抢救伤员和保护现场，</w:t>
      </w:r>
      <w:r>
        <w:rPr>
          <w:rFonts w:hint="eastAsia" w:ascii="宋体" w:hAnsi="宋体" w:eastAsia="宋体"/>
          <w:sz w:val="24"/>
          <w:szCs w:val="24"/>
          <w:highlight w:val="none"/>
          <w:lang w:eastAsia="zh-CN"/>
        </w:rPr>
        <w:t>按照</w:t>
      </w:r>
      <w:r>
        <w:rPr>
          <w:rFonts w:hint="eastAsia" w:ascii="宋体" w:hAnsi="宋体" w:eastAsia="宋体"/>
          <w:sz w:val="24"/>
          <w:szCs w:val="24"/>
          <w:highlight w:val="none"/>
        </w:rPr>
        <w:t>国务院及江苏省有关事故报告规定在事故发生后的二十四小时内及时报告各自的上级主管部门及市、区劳动保护监察部门等有关机构。事故的损失和善后处理费用，由责任方承担。</w:t>
      </w:r>
    </w:p>
    <w:p w14:paraId="1815BFDA">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20．本协议经立协双方签字、盖章有效。作为合同正本的附件一式四份，甲、乙双方各执二份。</w:t>
      </w:r>
    </w:p>
    <w:p w14:paraId="6CB60B67">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21．本协议同工程合同正本同日生效，甲、乙双方必须严格执行，由于违反本协议而造成伤亡事故，由违约方承担一切责任。</w:t>
      </w:r>
    </w:p>
    <w:p w14:paraId="5EE45B07">
      <w:pPr>
        <w:spacing w:line="360" w:lineRule="auto"/>
        <w:ind w:firstLine="480" w:firstLineChars="200"/>
        <w:jc w:val="left"/>
        <w:rPr>
          <w:rFonts w:ascii="宋体" w:hAnsi="宋体" w:eastAsia="宋体"/>
          <w:sz w:val="24"/>
          <w:szCs w:val="24"/>
          <w:highlight w:val="none"/>
        </w:rPr>
      </w:pPr>
    </w:p>
    <w:p w14:paraId="6D97B9E9">
      <w:pPr>
        <w:spacing w:line="360" w:lineRule="auto"/>
        <w:ind w:firstLine="480" w:firstLineChars="200"/>
        <w:jc w:val="left"/>
        <w:rPr>
          <w:rFonts w:ascii="宋体" w:hAnsi="宋体" w:eastAsia="宋体"/>
          <w:sz w:val="24"/>
          <w:szCs w:val="24"/>
          <w:highlight w:val="none"/>
        </w:rPr>
      </w:pPr>
    </w:p>
    <w:p w14:paraId="5724AD2F">
      <w:pPr>
        <w:spacing w:line="360" w:lineRule="auto"/>
        <w:ind w:firstLine="480" w:firstLineChars="200"/>
        <w:jc w:val="left"/>
        <w:rPr>
          <w:rFonts w:ascii="宋体" w:hAnsi="宋体" w:eastAsia="宋体"/>
          <w:sz w:val="24"/>
          <w:szCs w:val="24"/>
          <w:highlight w:val="none"/>
        </w:rPr>
      </w:pPr>
    </w:p>
    <w:p w14:paraId="5DCB3C56">
      <w:pPr>
        <w:spacing w:line="360" w:lineRule="auto"/>
        <w:ind w:firstLine="480" w:firstLineChars="200"/>
        <w:jc w:val="left"/>
        <w:rPr>
          <w:rFonts w:ascii="宋体" w:hAnsi="宋体" w:eastAsia="宋体"/>
          <w:sz w:val="24"/>
          <w:szCs w:val="24"/>
          <w:highlight w:val="none"/>
        </w:rPr>
      </w:pPr>
    </w:p>
    <w:p w14:paraId="63186AC2">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甲方（盖章）：乙方（盖章）：</w:t>
      </w:r>
    </w:p>
    <w:p w14:paraId="783E1E41">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法定代表人（签章）：法定代表人（签章）：</w:t>
      </w:r>
    </w:p>
    <w:p w14:paraId="215F30C8">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代表（签字）代表（签字）</w:t>
      </w:r>
    </w:p>
    <w:p w14:paraId="30AB4E26">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签订日期：年月日</w:t>
      </w:r>
    </w:p>
    <w:p w14:paraId="52BDBC65">
      <w:pPr>
        <w:spacing w:line="360" w:lineRule="auto"/>
        <w:ind w:firstLine="480" w:firstLineChars="200"/>
        <w:jc w:val="left"/>
        <w:rPr>
          <w:rFonts w:ascii="宋体" w:hAnsi="宋体" w:eastAsia="宋体"/>
          <w:sz w:val="24"/>
          <w:szCs w:val="24"/>
          <w:highlight w:val="none"/>
        </w:rPr>
      </w:pPr>
    </w:p>
    <w:p w14:paraId="4A087543">
      <w:pPr>
        <w:spacing w:line="360" w:lineRule="auto"/>
        <w:ind w:firstLine="480" w:firstLineChars="200"/>
        <w:jc w:val="left"/>
        <w:rPr>
          <w:rFonts w:ascii="宋体" w:hAnsi="宋体" w:eastAsia="宋体"/>
          <w:sz w:val="24"/>
          <w:szCs w:val="24"/>
          <w:highlight w:val="none"/>
        </w:rPr>
      </w:pPr>
    </w:p>
    <w:p w14:paraId="494879D0">
      <w:pPr>
        <w:spacing w:line="360" w:lineRule="auto"/>
        <w:ind w:firstLine="480" w:firstLineChars="200"/>
        <w:jc w:val="left"/>
        <w:rPr>
          <w:rFonts w:ascii="宋体" w:hAnsi="宋体" w:eastAsia="宋体"/>
          <w:sz w:val="24"/>
          <w:szCs w:val="24"/>
          <w:highlight w:val="none"/>
        </w:rPr>
      </w:pPr>
    </w:p>
    <w:p w14:paraId="28410651">
      <w:pPr>
        <w:spacing w:line="360" w:lineRule="auto"/>
        <w:ind w:firstLine="480" w:firstLineChars="200"/>
        <w:jc w:val="left"/>
        <w:rPr>
          <w:rFonts w:ascii="宋体" w:hAnsi="宋体" w:eastAsia="宋体"/>
          <w:sz w:val="24"/>
          <w:szCs w:val="24"/>
          <w:highlight w:val="none"/>
        </w:rPr>
      </w:pPr>
    </w:p>
    <w:p w14:paraId="55DBAE4C">
      <w:pPr>
        <w:spacing w:line="360" w:lineRule="auto"/>
        <w:ind w:firstLine="480" w:firstLineChars="200"/>
        <w:jc w:val="left"/>
        <w:rPr>
          <w:rFonts w:ascii="宋体" w:hAnsi="宋体" w:eastAsia="宋体"/>
          <w:sz w:val="24"/>
          <w:szCs w:val="24"/>
          <w:highlight w:val="none"/>
        </w:rPr>
      </w:pPr>
    </w:p>
    <w:p w14:paraId="2E05A9CC">
      <w:pPr>
        <w:spacing w:line="360" w:lineRule="auto"/>
        <w:ind w:firstLine="480" w:firstLineChars="200"/>
        <w:jc w:val="left"/>
        <w:rPr>
          <w:rFonts w:ascii="宋体" w:hAnsi="宋体" w:eastAsia="宋体"/>
          <w:sz w:val="24"/>
          <w:szCs w:val="24"/>
          <w:highlight w:val="none"/>
        </w:rPr>
      </w:pPr>
    </w:p>
    <w:p w14:paraId="40EBC671">
      <w:pPr>
        <w:spacing w:line="360" w:lineRule="auto"/>
        <w:ind w:firstLine="480" w:firstLineChars="200"/>
        <w:jc w:val="left"/>
        <w:rPr>
          <w:rFonts w:ascii="宋体" w:hAnsi="宋体" w:eastAsia="宋体"/>
          <w:sz w:val="24"/>
          <w:szCs w:val="24"/>
          <w:highlight w:val="none"/>
        </w:rPr>
      </w:pPr>
    </w:p>
    <w:p w14:paraId="194687BC">
      <w:pPr>
        <w:spacing w:line="360" w:lineRule="auto"/>
        <w:ind w:firstLine="480" w:firstLineChars="200"/>
        <w:jc w:val="left"/>
        <w:rPr>
          <w:rFonts w:ascii="宋体" w:hAnsi="宋体" w:eastAsia="宋体"/>
          <w:sz w:val="24"/>
          <w:szCs w:val="24"/>
          <w:highlight w:val="none"/>
        </w:rPr>
      </w:pPr>
    </w:p>
    <w:p w14:paraId="361D8192">
      <w:pPr>
        <w:spacing w:line="360" w:lineRule="auto"/>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附件14</w:t>
      </w:r>
    </w:p>
    <w:p w14:paraId="39254587">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项目经理常驻现场承诺书</w:t>
      </w:r>
    </w:p>
    <w:p w14:paraId="05075E3A">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致：</w:t>
      </w:r>
    </w:p>
    <w:p w14:paraId="4D7B30A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我公司在此郑重承诺：我公司有幸在中标，将确保项目经理常驻现场每天不得少于8小时，每周在现场工作不得少于6天，且保证参加每周召开的例会（有事须请假）；如有我方项目经理未经甲方同意，违反上述规定的，则甲方有权按2000元/天的标准扣罚我方；如一周</w:t>
      </w:r>
      <w:r>
        <w:rPr>
          <w:rFonts w:hint="eastAsia" w:ascii="宋体" w:hAnsi="宋体" w:eastAsia="宋体"/>
          <w:sz w:val="24"/>
          <w:szCs w:val="24"/>
          <w:highlight w:val="none"/>
          <w:lang w:eastAsia="zh-CN"/>
        </w:rPr>
        <w:t>有两个</w:t>
      </w:r>
      <w:r>
        <w:rPr>
          <w:rFonts w:hint="eastAsia" w:ascii="宋体" w:hAnsi="宋体" w:eastAsia="宋体"/>
          <w:sz w:val="24"/>
          <w:szCs w:val="24"/>
          <w:highlight w:val="none"/>
        </w:rPr>
        <w:t>工作日或二个月累计10天不在现场或二个月缺席例会三次（含三次），则甲方有权解除合同，并且我方愿意赔偿由此给甲方带来的一切损失。</w:t>
      </w:r>
    </w:p>
    <w:p w14:paraId="3D2E5E0E">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单位名称（公章）：</w:t>
      </w:r>
    </w:p>
    <w:p w14:paraId="7E194C79">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法定代表人（盖章）：</w:t>
      </w:r>
    </w:p>
    <w:p w14:paraId="071D482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日期：年月日</w:t>
      </w:r>
    </w:p>
    <w:p w14:paraId="50C395CD">
      <w:pPr>
        <w:spacing w:line="360" w:lineRule="auto"/>
        <w:ind w:firstLine="480" w:firstLineChars="200"/>
        <w:jc w:val="left"/>
        <w:rPr>
          <w:rFonts w:ascii="宋体" w:hAnsi="宋体" w:eastAsia="宋体"/>
          <w:sz w:val="24"/>
          <w:szCs w:val="24"/>
          <w:highlight w:val="none"/>
        </w:rPr>
      </w:pPr>
    </w:p>
    <w:p w14:paraId="54266A2A">
      <w:pPr>
        <w:spacing w:line="360" w:lineRule="auto"/>
        <w:ind w:firstLine="480" w:firstLineChars="200"/>
        <w:jc w:val="left"/>
        <w:rPr>
          <w:rFonts w:ascii="宋体" w:hAnsi="宋体" w:eastAsia="宋体"/>
          <w:sz w:val="24"/>
          <w:szCs w:val="24"/>
          <w:highlight w:val="none"/>
        </w:rPr>
      </w:pPr>
    </w:p>
    <w:p w14:paraId="480E90C3">
      <w:pPr>
        <w:spacing w:line="360" w:lineRule="auto"/>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附件15</w:t>
      </w:r>
    </w:p>
    <w:p w14:paraId="229D1E8C">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不拖欠民工工资承诺书</w:t>
      </w:r>
    </w:p>
    <w:p w14:paraId="369FD51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w:t>
      </w:r>
    </w:p>
    <w:p w14:paraId="3CA4D5DD">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我们在此郑重承诺，</w:t>
      </w:r>
      <w:r>
        <w:rPr>
          <w:rFonts w:hint="eastAsia" w:ascii="宋体" w:hAnsi="宋体" w:eastAsia="宋体"/>
          <w:sz w:val="24"/>
          <w:szCs w:val="24"/>
          <w:highlight w:val="none"/>
          <w:lang w:eastAsia="zh-CN"/>
        </w:rPr>
        <w:t>在</w:t>
      </w:r>
      <w:r>
        <w:rPr>
          <w:rFonts w:hint="eastAsia" w:ascii="宋体" w:hAnsi="宋体" w:eastAsia="宋体"/>
          <w:sz w:val="24"/>
          <w:szCs w:val="24"/>
          <w:highlight w:val="none"/>
        </w:rPr>
        <w:t>整个建设期间，我们</w:t>
      </w:r>
      <w:r>
        <w:rPr>
          <w:rFonts w:hint="eastAsia" w:ascii="宋体" w:hAnsi="宋体" w:eastAsia="宋体"/>
          <w:sz w:val="24"/>
          <w:szCs w:val="24"/>
          <w:highlight w:val="none"/>
          <w:lang w:eastAsia="zh-CN"/>
        </w:rPr>
        <w:t>绝不</w:t>
      </w:r>
      <w:r>
        <w:rPr>
          <w:rFonts w:hint="eastAsia" w:ascii="宋体" w:hAnsi="宋体" w:eastAsia="宋体"/>
          <w:sz w:val="24"/>
          <w:szCs w:val="24"/>
          <w:highlight w:val="none"/>
        </w:rPr>
        <w:t>拖欠施工人员的工资，如有拖欠施工人员工资情况发生，与贵公司无关，由我方承担一切后果和责任。</w:t>
      </w:r>
    </w:p>
    <w:p w14:paraId="6BC72725">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承包人（公章）：</w:t>
      </w:r>
    </w:p>
    <w:p w14:paraId="3D99FB3C">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法定代表人（盖章）：</w:t>
      </w:r>
    </w:p>
    <w:p w14:paraId="63CA8FDF">
      <w:pPr>
        <w:spacing w:line="360" w:lineRule="auto"/>
        <w:ind w:firstLine="480" w:firstLineChars="200"/>
        <w:jc w:val="left"/>
        <w:rPr>
          <w:rFonts w:hint="eastAsia" w:ascii="宋体" w:hAnsi="宋体" w:eastAsia="宋体"/>
          <w:sz w:val="24"/>
          <w:szCs w:val="24"/>
          <w:highlight w:val="none"/>
        </w:rPr>
        <w:sectPr>
          <w:headerReference r:id="rId12" w:type="default"/>
          <w:footerReference r:id="rId13" w:type="default"/>
          <w:pgSz w:w="11910" w:h="16840"/>
          <w:pgMar w:top="1080" w:right="1120" w:bottom="920" w:left="1300" w:header="880" w:footer="726" w:gutter="0"/>
          <w:pgNumType w:fmt="decimal"/>
          <w:cols w:space="720" w:num="1"/>
        </w:sectPr>
      </w:pPr>
      <w:r>
        <w:rPr>
          <w:rFonts w:hint="eastAsia" w:ascii="宋体" w:hAnsi="宋体" w:eastAsia="宋体"/>
          <w:sz w:val="24"/>
          <w:szCs w:val="24"/>
          <w:highlight w:val="none"/>
        </w:rPr>
        <w:t>年月日</w:t>
      </w:r>
    </w:p>
    <w:p w14:paraId="06578E1B">
      <w:pPr>
        <w:spacing w:before="11" w:line="360" w:lineRule="auto"/>
        <w:rPr>
          <w:rFonts w:hint="eastAsia" w:ascii="宋体" w:hAnsi="宋体" w:eastAsia="宋体" w:cs="宋体"/>
          <w:color w:val="auto"/>
          <w:sz w:val="24"/>
          <w:szCs w:val="24"/>
          <w:highlight w:val="none"/>
        </w:rPr>
      </w:pPr>
    </w:p>
    <w:p w14:paraId="0122D965">
      <w:pPr>
        <w:widowControl/>
        <w:spacing w:line="360" w:lineRule="auto"/>
        <w:jc w:val="center"/>
        <w:rPr>
          <w:rFonts w:hint="eastAsia" w:ascii="宋体" w:hAnsi="宋体" w:eastAsia="宋体" w:cs="宋体"/>
          <w:b/>
          <w:sz w:val="44"/>
          <w:szCs w:val="44"/>
          <w:highlight w:val="none"/>
          <w:lang w:eastAsia="zh-CN" w:bidi="ar"/>
        </w:rPr>
      </w:pPr>
    </w:p>
    <w:p w14:paraId="70E3099D">
      <w:pPr>
        <w:pStyle w:val="3"/>
        <w:numPr>
          <w:ilvl w:val="0"/>
          <w:numId w:val="0"/>
        </w:numPr>
        <w:bidi w:val="0"/>
        <w:spacing w:line="360" w:lineRule="auto"/>
        <w:ind w:leftChars="0"/>
        <w:jc w:val="center"/>
        <w:rPr>
          <w:rFonts w:hint="eastAsia" w:ascii="宋体" w:hAnsi="宋体" w:eastAsia="宋体" w:cs="宋体"/>
          <w:highlight w:val="none"/>
          <w:lang w:val="en-US" w:eastAsia="zh-CN"/>
        </w:rPr>
      </w:pPr>
      <w:bookmarkStart w:id="628" w:name="_Toc11480"/>
      <w:r>
        <w:rPr>
          <w:rFonts w:hint="eastAsia" w:ascii="宋体" w:hAnsi="宋体" w:eastAsia="宋体" w:cs="宋体"/>
          <w:highlight w:val="none"/>
          <w:lang w:val="en-US" w:eastAsia="zh-CN"/>
        </w:rPr>
        <w:t>第六章磋商响应文件响应格式</w:t>
      </w:r>
      <w:bookmarkEnd w:id="628"/>
    </w:p>
    <w:p w14:paraId="22339E9A">
      <w:pPr>
        <w:spacing w:before="214" w:line="360" w:lineRule="auto"/>
        <w:ind w:right="170"/>
        <w:jc w:val="center"/>
        <w:rPr>
          <w:b/>
          <w:bCs/>
          <w:highlight w:val="none"/>
          <w:lang w:eastAsia="zh-CN"/>
        </w:rPr>
      </w:pPr>
      <w:r>
        <w:rPr>
          <w:highlight w:val="none"/>
          <w:lang w:eastAsia="zh-CN"/>
        </w:rPr>
        <w:t>评分索引表（可按需调整）</w:t>
      </w:r>
    </w:p>
    <w:p w14:paraId="331A8C40">
      <w:pPr>
        <w:spacing w:before="11" w:line="360" w:lineRule="auto"/>
        <w:rPr>
          <w:rFonts w:ascii="宋体" w:hAnsi="宋体" w:eastAsia="宋体" w:cs="宋体"/>
          <w:b/>
          <w:bCs/>
          <w:sz w:val="2"/>
          <w:szCs w:val="2"/>
          <w:highlight w:val="none"/>
          <w:lang w:eastAsia="zh-CN"/>
        </w:rPr>
      </w:pPr>
    </w:p>
    <w:tbl>
      <w:tblPr>
        <w:tblStyle w:val="29"/>
        <w:tblW w:w="0" w:type="auto"/>
        <w:tblInd w:w="113" w:type="dxa"/>
        <w:tblLayout w:type="fixed"/>
        <w:tblCellMar>
          <w:top w:w="0" w:type="dxa"/>
          <w:left w:w="0" w:type="dxa"/>
          <w:bottom w:w="0" w:type="dxa"/>
          <w:right w:w="0" w:type="dxa"/>
        </w:tblCellMar>
      </w:tblPr>
      <w:tblGrid>
        <w:gridCol w:w="5670"/>
        <w:gridCol w:w="3570"/>
      </w:tblGrid>
      <w:tr w14:paraId="7E9D4AE4">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3A935BE8">
            <w:pPr>
              <w:pStyle w:val="73"/>
              <w:spacing w:before="80" w:line="360" w:lineRule="auto"/>
              <w:ind w:left="721"/>
              <w:jc w:val="center"/>
              <w:rPr>
                <w:rFonts w:ascii="宋体" w:hAnsi="宋体" w:eastAsia="宋体" w:cs="宋体"/>
                <w:sz w:val="24"/>
                <w:szCs w:val="24"/>
                <w:highlight w:val="none"/>
              </w:rPr>
            </w:pPr>
            <w:r>
              <w:rPr>
                <w:rFonts w:ascii="宋体" w:hAnsi="宋体" w:eastAsia="宋体" w:cs="宋体"/>
                <w:b/>
                <w:bCs/>
                <w:sz w:val="24"/>
                <w:szCs w:val="24"/>
                <w:highlight w:val="none"/>
              </w:rPr>
              <w:t>评分项目</w:t>
            </w: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395FA10A">
            <w:pPr>
              <w:pStyle w:val="73"/>
              <w:spacing w:before="80" w:line="360" w:lineRule="auto"/>
              <w:ind w:left="460"/>
              <w:rPr>
                <w:rFonts w:ascii="宋体" w:hAnsi="宋体" w:eastAsia="宋体" w:cs="宋体"/>
                <w:sz w:val="24"/>
                <w:szCs w:val="24"/>
                <w:highlight w:val="none"/>
                <w:lang w:eastAsia="zh-CN"/>
              </w:rPr>
            </w:pPr>
            <w:r>
              <w:rPr>
                <w:rFonts w:ascii="宋体" w:hAnsi="宋体" w:eastAsia="宋体" w:cs="宋体"/>
                <w:b/>
                <w:bCs/>
                <w:sz w:val="24"/>
                <w:szCs w:val="24"/>
                <w:highlight w:val="none"/>
                <w:lang w:eastAsia="zh-CN"/>
              </w:rPr>
              <w:t>在响应文件中的页码位置</w:t>
            </w:r>
          </w:p>
        </w:tc>
      </w:tr>
      <w:tr w14:paraId="171CB3F0">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1D4A0CD8">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30B91F21">
            <w:pPr>
              <w:spacing w:line="360" w:lineRule="auto"/>
              <w:rPr>
                <w:highlight w:val="none"/>
                <w:lang w:eastAsia="zh-CN"/>
              </w:rPr>
            </w:pPr>
          </w:p>
        </w:tc>
      </w:tr>
      <w:tr w14:paraId="231D367E">
        <w:tblPrEx>
          <w:tblCellMar>
            <w:top w:w="0" w:type="dxa"/>
            <w:left w:w="0" w:type="dxa"/>
            <w:bottom w:w="0" w:type="dxa"/>
            <w:right w:w="0" w:type="dxa"/>
          </w:tblCellMar>
        </w:tblPrEx>
        <w:trPr>
          <w:trHeight w:val="562" w:hRule="exact"/>
        </w:trPr>
        <w:tc>
          <w:tcPr>
            <w:tcW w:w="9240" w:type="dxa"/>
            <w:gridSpan w:val="2"/>
            <w:tcBorders>
              <w:top w:val="single" w:color="000000" w:sz="4" w:space="0"/>
              <w:left w:val="single" w:color="000000" w:sz="4" w:space="0"/>
              <w:bottom w:val="single" w:color="000000" w:sz="4" w:space="0"/>
              <w:right w:val="single" w:color="000000" w:sz="4" w:space="0"/>
            </w:tcBorders>
            <w:noWrap w:val="0"/>
            <w:vAlign w:val="top"/>
          </w:tcPr>
          <w:p w14:paraId="02475087">
            <w:pPr>
              <w:spacing w:line="360" w:lineRule="auto"/>
              <w:rPr>
                <w:highlight w:val="none"/>
                <w:lang w:eastAsia="zh-CN"/>
              </w:rPr>
            </w:pPr>
          </w:p>
        </w:tc>
      </w:tr>
      <w:tr w14:paraId="3BD6DD79">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6828617C">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6C33E146">
            <w:pPr>
              <w:spacing w:line="360" w:lineRule="auto"/>
              <w:rPr>
                <w:highlight w:val="none"/>
                <w:lang w:eastAsia="zh-CN"/>
              </w:rPr>
            </w:pPr>
          </w:p>
        </w:tc>
      </w:tr>
      <w:tr w14:paraId="7937A848">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5D1F71B8">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101366FB">
            <w:pPr>
              <w:spacing w:line="360" w:lineRule="auto"/>
              <w:rPr>
                <w:highlight w:val="none"/>
                <w:lang w:eastAsia="zh-CN"/>
              </w:rPr>
            </w:pPr>
          </w:p>
        </w:tc>
      </w:tr>
      <w:tr w14:paraId="08C04748">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64AAE4FF">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73B16595">
            <w:pPr>
              <w:spacing w:line="360" w:lineRule="auto"/>
              <w:rPr>
                <w:highlight w:val="none"/>
                <w:lang w:eastAsia="zh-CN"/>
              </w:rPr>
            </w:pPr>
          </w:p>
        </w:tc>
      </w:tr>
      <w:tr w14:paraId="1776DE97">
        <w:tblPrEx>
          <w:tblCellMar>
            <w:top w:w="0" w:type="dxa"/>
            <w:left w:w="0" w:type="dxa"/>
            <w:bottom w:w="0" w:type="dxa"/>
            <w:right w:w="0" w:type="dxa"/>
          </w:tblCellMar>
        </w:tblPrEx>
        <w:trPr>
          <w:trHeight w:val="562"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56603AEE">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7CAC49EE">
            <w:pPr>
              <w:spacing w:line="360" w:lineRule="auto"/>
              <w:rPr>
                <w:highlight w:val="none"/>
                <w:lang w:eastAsia="zh-CN"/>
              </w:rPr>
            </w:pPr>
          </w:p>
        </w:tc>
      </w:tr>
      <w:tr w14:paraId="78EC6028">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7D170577">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1FA65555">
            <w:pPr>
              <w:spacing w:line="360" w:lineRule="auto"/>
              <w:rPr>
                <w:highlight w:val="none"/>
                <w:lang w:eastAsia="zh-CN"/>
              </w:rPr>
            </w:pPr>
          </w:p>
        </w:tc>
      </w:tr>
      <w:tr w14:paraId="7EDE128B">
        <w:tblPrEx>
          <w:tblCellMar>
            <w:top w:w="0" w:type="dxa"/>
            <w:left w:w="0" w:type="dxa"/>
            <w:bottom w:w="0" w:type="dxa"/>
            <w:right w:w="0" w:type="dxa"/>
          </w:tblCellMar>
        </w:tblPrEx>
        <w:trPr>
          <w:trHeight w:val="561" w:hRule="exact"/>
        </w:trPr>
        <w:tc>
          <w:tcPr>
            <w:tcW w:w="9240" w:type="dxa"/>
            <w:gridSpan w:val="2"/>
            <w:tcBorders>
              <w:top w:val="single" w:color="000000" w:sz="4" w:space="0"/>
              <w:left w:val="single" w:color="000000" w:sz="4" w:space="0"/>
              <w:bottom w:val="single" w:color="000000" w:sz="4" w:space="0"/>
              <w:right w:val="single" w:color="000000" w:sz="4" w:space="0"/>
            </w:tcBorders>
            <w:noWrap w:val="0"/>
            <w:vAlign w:val="top"/>
          </w:tcPr>
          <w:p w14:paraId="689D2E26">
            <w:pPr>
              <w:spacing w:line="360" w:lineRule="auto"/>
              <w:rPr>
                <w:highlight w:val="none"/>
                <w:lang w:eastAsia="zh-CN"/>
              </w:rPr>
            </w:pPr>
          </w:p>
        </w:tc>
      </w:tr>
      <w:tr w14:paraId="7FD6E16C">
        <w:tblPrEx>
          <w:tblCellMar>
            <w:top w:w="0" w:type="dxa"/>
            <w:left w:w="0" w:type="dxa"/>
            <w:bottom w:w="0" w:type="dxa"/>
            <w:right w:w="0" w:type="dxa"/>
          </w:tblCellMar>
        </w:tblPrEx>
        <w:trPr>
          <w:trHeight w:val="610"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64897462">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1DA50C98">
            <w:pPr>
              <w:spacing w:line="360" w:lineRule="auto"/>
              <w:rPr>
                <w:highlight w:val="none"/>
                <w:lang w:eastAsia="zh-CN"/>
              </w:rPr>
            </w:pPr>
          </w:p>
        </w:tc>
      </w:tr>
      <w:tr w14:paraId="0180B4B9">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4D1E390E">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5E8D2BC2">
            <w:pPr>
              <w:spacing w:line="360" w:lineRule="auto"/>
              <w:rPr>
                <w:highlight w:val="none"/>
                <w:lang w:eastAsia="zh-CN"/>
              </w:rPr>
            </w:pPr>
          </w:p>
        </w:tc>
      </w:tr>
      <w:tr w14:paraId="2E8414B1">
        <w:tblPrEx>
          <w:tblCellMar>
            <w:top w:w="0" w:type="dxa"/>
            <w:left w:w="0" w:type="dxa"/>
            <w:bottom w:w="0" w:type="dxa"/>
            <w:right w:w="0" w:type="dxa"/>
          </w:tblCellMar>
        </w:tblPrEx>
        <w:trPr>
          <w:trHeight w:val="562"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2DB3DFE5">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4A716083">
            <w:pPr>
              <w:spacing w:line="360" w:lineRule="auto"/>
              <w:rPr>
                <w:highlight w:val="none"/>
                <w:lang w:eastAsia="zh-CN"/>
              </w:rPr>
            </w:pPr>
          </w:p>
        </w:tc>
      </w:tr>
      <w:tr w14:paraId="23822AC2">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5E75A5A5">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18A5CDC5">
            <w:pPr>
              <w:spacing w:line="360" w:lineRule="auto"/>
              <w:rPr>
                <w:highlight w:val="none"/>
                <w:lang w:eastAsia="zh-CN"/>
              </w:rPr>
            </w:pPr>
          </w:p>
        </w:tc>
      </w:tr>
      <w:tr w14:paraId="58D32E78">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78DDB2BE">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14255A13">
            <w:pPr>
              <w:spacing w:line="360" w:lineRule="auto"/>
              <w:rPr>
                <w:highlight w:val="none"/>
                <w:lang w:eastAsia="zh-CN"/>
              </w:rPr>
            </w:pPr>
          </w:p>
        </w:tc>
      </w:tr>
      <w:tr w14:paraId="61E73CFD">
        <w:tblPrEx>
          <w:tblCellMar>
            <w:top w:w="0" w:type="dxa"/>
            <w:left w:w="0" w:type="dxa"/>
            <w:bottom w:w="0" w:type="dxa"/>
            <w:right w:w="0" w:type="dxa"/>
          </w:tblCellMar>
        </w:tblPrEx>
        <w:trPr>
          <w:trHeight w:val="561" w:hRule="exact"/>
        </w:trPr>
        <w:tc>
          <w:tcPr>
            <w:tcW w:w="9240" w:type="dxa"/>
            <w:gridSpan w:val="2"/>
            <w:tcBorders>
              <w:top w:val="single" w:color="000000" w:sz="4" w:space="0"/>
              <w:left w:val="single" w:color="000000" w:sz="4" w:space="0"/>
              <w:bottom w:val="single" w:color="000000" w:sz="4" w:space="0"/>
              <w:right w:val="single" w:color="000000" w:sz="4" w:space="0"/>
            </w:tcBorders>
            <w:noWrap w:val="0"/>
            <w:vAlign w:val="top"/>
          </w:tcPr>
          <w:p w14:paraId="7DB053CE">
            <w:pPr>
              <w:spacing w:line="360" w:lineRule="auto"/>
              <w:rPr>
                <w:highlight w:val="none"/>
                <w:lang w:eastAsia="zh-CN"/>
              </w:rPr>
            </w:pPr>
          </w:p>
        </w:tc>
      </w:tr>
      <w:tr w14:paraId="5F387259">
        <w:tblPrEx>
          <w:tblCellMar>
            <w:top w:w="0" w:type="dxa"/>
            <w:left w:w="0" w:type="dxa"/>
            <w:bottom w:w="0" w:type="dxa"/>
            <w:right w:w="0" w:type="dxa"/>
          </w:tblCellMar>
        </w:tblPrEx>
        <w:trPr>
          <w:trHeight w:val="562"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07E9AF4F">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6C2EB1D2">
            <w:pPr>
              <w:spacing w:line="360" w:lineRule="auto"/>
              <w:rPr>
                <w:highlight w:val="none"/>
                <w:lang w:eastAsia="zh-CN"/>
              </w:rPr>
            </w:pPr>
          </w:p>
        </w:tc>
      </w:tr>
      <w:tr w14:paraId="131ABFF2">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3DBF335F">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28749A90">
            <w:pPr>
              <w:spacing w:line="360" w:lineRule="auto"/>
              <w:rPr>
                <w:highlight w:val="none"/>
                <w:lang w:eastAsia="zh-CN"/>
              </w:rPr>
            </w:pPr>
          </w:p>
        </w:tc>
      </w:tr>
      <w:tr w14:paraId="4F2DCEFD">
        <w:tblPrEx>
          <w:tblCellMar>
            <w:top w:w="0" w:type="dxa"/>
            <w:left w:w="0" w:type="dxa"/>
            <w:bottom w:w="0" w:type="dxa"/>
            <w:right w:w="0"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val="0"/>
            <w:vAlign w:val="top"/>
          </w:tcPr>
          <w:p w14:paraId="36AC2A59">
            <w:pPr>
              <w:spacing w:line="360" w:lineRule="auto"/>
              <w:rPr>
                <w:highlight w:val="none"/>
                <w:lang w:eastAsia="zh-CN"/>
              </w:rPr>
            </w:pPr>
          </w:p>
        </w:tc>
        <w:tc>
          <w:tcPr>
            <w:tcW w:w="3570" w:type="dxa"/>
            <w:tcBorders>
              <w:top w:val="single" w:color="000000" w:sz="4" w:space="0"/>
              <w:left w:val="single" w:color="000000" w:sz="4" w:space="0"/>
              <w:bottom w:val="single" w:color="000000" w:sz="4" w:space="0"/>
              <w:right w:val="single" w:color="000000" w:sz="4" w:space="0"/>
            </w:tcBorders>
            <w:noWrap w:val="0"/>
            <w:vAlign w:val="top"/>
          </w:tcPr>
          <w:p w14:paraId="3F19C04D">
            <w:pPr>
              <w:spacing w:line="360" w:lineRule="auto"/>
              <w:rPr>
                <w:highlight w:val="none"/>
                <w:lang w:eastAsia="zh-CN"/>
              </w:rPr>
            </w:pPr>
          </w:p>
        </w:tc>
      </w:tr>
    </w:tbl>
    <w:p w14:paraId="67146193">
      <w:pPr>
        <w:spacing w:line="360" w:lineRule="auto"/>
        <w:rPr>
          <w:rFonts w:ascii="宋体" w:hAnsi="宋体" w:eastAsia="宋体" w:cs="宋体"/>
          <w:b/>
          <w:bCs/>
          <w:sz w:val="20"/>
          <w:szCs w:val="20"/>
          <w:highlight w:val="none"/>
          <w:lang w:eastAsia="zh-CN"/>
        </w:rPr>
      </w:pPr>
    </w:p>
    <w:p w14:paraId="09D3C2D6">
      <w:pPr>
        <w:spacing w:line="360" w:lineRule="auto"/>
        <w:rPr>
          <w:rFonts w:ascii="宋体" w:hAnsi="宋体" w:eastAsia="宋体" w:cs="宋体"/>
          <w:b/>
          <w:bCs/>
          <w:sz w:val="20"/>
          <w:szCs w:val="20"/>
          <w:highlight w:val="none"/>
          <w:lang w:eastAsia="zh-CN"/>
        </w:rPr>
      </w:pPr>
    </w:p>
    <w:p w14:paraId="190E3015">
      <w:pPr>
        <w:spacing w:line="360" w:lineRule="auto"/>
        <w:rPr>
          <w:highlight w:val="none"/>
          <w:lang w:eastAsia="zh-CN"/>
        </w:rPr>
        <w:sectPr>
          <w:headerReference r:id="rId14" w:type="default"/>
          <w:footerReference r:id="rId15" w:type="default"/>
          <w:pgSz w:w="11910" w:h="16840"/>
          <w:pgMar w:top="1080" w:right="1120" w:bottom="920" w:left="1300" w:header="880" w:footer="726" w:gutter="0"/>
          <w:pgNumType w:fmt="decimal"/>
          <w:cols w:space="720" w:num="1"/>
        </w:sectPr>
      </w:pPr>
    </w:p>
    <w:p w14:paraId="77CE5D7F">
      <w:pPr>
        <w:numPr>
          <w:ilvl w:val="0"/>
          <w:numId w:val="0"/>
        </w:numPr>
        <w:spacing w:line="360" w:lineRule="auto"/>
        <w:ind w:leftChars="0"/>
        <w:rPr>
          <w:rFonts w:hint="eastAsia"/>
          <w:highlight w:val="none"/>
          <w:lang w:val="en-US" w:eastAsia="zh-CN"/>
        </w:rPr>
      </w:pPr>
    </w:p>
    <w:p w14:paraId="282242D6">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磋商响应文件（正本或副本）</w:t>
      </w:r>
    </w:p>
    <w:p w14:paraId="19ADA0B4">
      <w:pPr>
        <w:spacing w:line="360" w:lineRule="auto"/>
        <w:ind w:firstLine="480" w:firstLineChars="200"/>
        <w:rPr>
          <w:rFonts w:hint="eastAsia" w:ascii="宋体" w:hAnsi="宋体" w:eastAsia="宋体" w:cs="宋体"/>
          <w:sz w:val="24"/>
          <w:highlight w:val="none"/>
        </w:rPr>
      </w:pPr>
    </w:p>
    <w:p w14:paraId="4D57C3F5">
      <w:pPr>
        <w:spacing w:line="360" w:lineRule="auto"/>
        <w:rPr>
          <w:rFonts w:hint="eastAsia" w:ascii="宋体" w:hAnsi="宋体" w:eastAsia="宋体" w:cs="宋体"/>
          <w:sz w:val="24"/>
          <w:highlight w:val="none"/>
        </w:rPr>
      </w:pPr>
    </w:p>
    <w:p w14:paraId="54105B49">
      <w:pPr>
        <w:spacing w:line="360" w:lineRule="auto"/>
        <w:rPr>
          <w:rFonts w:hint="eastAsia" w:ascii="宋体" w:hAnsi="宋体" w:eastAsia="宋体" w:cs="宋体"/>
          <w:highlight w:val="none"/>
        </w:rPr>
      </w:pPr>
    </w:p>
    <w:p w14:paraId="7F8F058F">
      <w:pPr>
        <w:spacing w:line="360" w:lineRule="auto"/>
        <w:jc w:val="center"/>
        <w:rPr>
          <w:rFonts w:hint="eastAsia" w:ascii="宋体" w:hAnsi="宋体" w:eastAsia="宋体" w:cs="宋体"/>
          <w:b/>
          <w:bCs/>
          <w:sz w:val="56"/>
          <w:szCs w:val="36"/>
          <w:highlight w:val="none"/>
        </w:rPr>
      </w:pPr>
      <w:r>
        <w:rPr>
          <w:rFonts w:hint="eastAsia" w:cs="宋体"/>
          <w:b/>
          <w:bCs/>
          <w:sz w:val="40"/>
          <w:szCs w:val="22"/>
          <w:highlight w:val="none"/>
          <w:lang w:val="en-US" w:eastAsia="zh-CN"/>
        </w:rPr>
        <w:t>瓦殿村市级和美乡村建设附属项目</w:t>
      </w:r>
    </w:p>
    <w:p w14:paraId="027603D5">
      <w:pPr>
        <w:spacing w:line="360" w:lineRule="auto"/>
        <w:rPr>
          <w:rFonts w:hint="eastAsia" w:ascii="宋体" w:hAnsi="宋体" w:eastAsia="宋体" w:cs="宋体"/>
          <w:b/>
          <w:sz w:val="40"/>
          <w:highlight w:val="none"/>
        </w:rPr>
      </w:pPr>
    </w:p>
    <w:p w14:paraId="422CD506">
      <w:pPr>
        <w:spacing w:line="360" w:lineRule="auto"/>
        <w:rPr>
          <w:rFonts w:hint="eastAsia" w:ascii="宋体" w:hAnsi="宋体" w:eastAsia="宋体" w:cs="宋体"/>
          <w:highlight w:val="none"/>
        </w:rPr>
      </w:pPr>
    </w:p>
    <w:p w14:paraId="258684C6">
      <w:pPr>
        <w:spacing w:line="360" w:lineRule="auto"/>
        <w:rPr>
          <w:rFonts w:hint="eastAsia" w:ascii="宋体" w:hAnsi="宋体" w:eastAsia="宋体" w:cs="宋体"/>
          <w:highlight w:val="none"/>
        </w:rPr>
      </w:pPr>
    </w:p>
    <w:p w14:paraId="260C2FBE">
      <w:pPr>
        <w:spacing w:line="360" w:lineRule="auto"/>
        <w:rPr>
          <w:rFonts w:hint="eastAsia" w:ascii="宋体" w:hAnsi="宋体" w:eastAsia="宋体" w:cs="宋体"/>
          <w:highlight w:val="none"/>
        </w:rPr>
      </w:pPr>
    </w:p>
    <w:p w14:paraId="0F044E72">
      <w:pPr>
        <w:spacing w:line="360" w:lineRule="auto"/>
        <w:rPr>
          <w:rFonts w:hint="eastAsia" w:ascii="宋体" w:hAnsi="宋体" w:eastAsia="宋体" w:cs="宋体"/>
          <w:sz w:val="28"/>
          <w:highlight w:val="none"/>
        </w:rPr>
      </w:pPr>
      <w:r>
        <w:rPr>
          <w:rFonts w:hint="eastAsia" w:ascii="宋体" w:hAnsi="宋体" w:eastAsia="宋体" w:cs="宋体"/>
          <w:sz w:val="28"/>
          <w:highlight w:val="none"/>
        </w:rPr>
        <w:t>采购编号：</w:t>
      </w:r>
    </w:p>
    <w:p w14:paraId="7264463C">
      <w:pPr>
        <w:spacing w:line="360" w:lineRule="auto"/>
        <w:rPr>
          <w:rFonts w:hint="eastAsia" w:ascii="宋体" w:hAnsi="宋体" w:eastAsia="宋体" w:cs="宋体"/>
          <w:sz w:val="28"/>
          <w:highlight w:val="none"/>
        </w:rPr>
      </w:pPr>
    </w:p>
    <w:p w14:paraId="3E4D255E">
      <w:pPr>
        <w:spacing w:line="360" w:lineRule="auto"/>
        <w:rPr>
          <w:rFonts w:hint="eastAsia" w:ascii="宋体" w:hAnsi="宋体" w:eastAsia="宋体" w:cs="宋体"/>
          <w:sz w:val="28"/>
          <w:highlight w:val="none"/>
        </w:rPr>
      </w:pPr>
      <w:r>
        <w:rPr>
          <w:rFonts w:hint="eastAsia" w:ascii="宋体" w:hAnsi="宋体" w:eastAsia="宋体" w:cs="宋体"/>
          <w:sz w:val="28"/>
          <w:highlight w:val="none"/>
        </w:rPr>
        <w:t>项目名称：</w:t>
      </w:r>
    </w:p>
    <w:p w14:paraId="664EDED0">
      <w:pPr>
        <w:spacing w:line="360" w:lineRule="auto"/>
        <w:rPr>
          <w:rFonts w:hint="eastAsia" w:ascii="宋体" w:hAnsi="宋体" w:eastAsia="宋体" w:cs="宋体"/>
          <w:sz w:val="28"/>
          <w:highlight w:val="none"/>
        </w:rPr>
      </w:pPr>
    </w:p>
    <w:p w14:paraId="1D1B3562">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单位名称（加盖公章）：</w:t>
      </w:r>
    </w:p>
    <w:p w14:paraId="253FB51A">
      <w:pPr>
        <w:spacing w:line="360" w:lineRule="auto"/>
        <w:rPr>
          <w:rFonts w:hint="eastAsia" w:ascii="宋体" w:hAnsi="宋体" w:eastAsia="宋体" w:cs="宋体"/>
          <w:sz w:val="28"/>
          <w:highlight w:val="none"/>
        </w:rPr>
      </w:pPr>
    </w:p>
    <w:p w14:paraId="46507B2A">
      <w:pPr>
        <w:spacing w:line="360" w:lineRule="auto"/>
        <w:rPr>
          <w:rFonts w:hint="eastAsia" w:ascii="宋体" w:hAnsi="宋体" w:eastAsia="宋体" w:cs="宋体"/>
          <w:sz w:val="28"/>
          <w:highlight w:val="none"/>
        </w:rPr>
      </w:pPr>
      <w:r>
        <w:rPr>
          <w:rFonts w:hint="eastAsia" w:ascii="宋体" w:hAnsi="宋体" w:eastAsia="宋体" w:cs="宋体"/>
          <w:sz w:val="28"/>
          <w:highlight w:val="none"/>
          <w:lang w:val="en-US" w:eastAsia="zh-CN"/>
        </w:rPr>
        <w:t>供应商</w:t>
      </w:r>
      <w:r>
        <w:rPr>
          <w:rFonts w:hint="eastAsia" w:ascii="宋体" w:hAnsi="宋体" w:eastAsia="宋体" w:cs="宋体"/>
          <w:sz w:val="28"/>
          <w:highlight w:val="none"/>
        </w:rPr>
        <w:t>代表：</w:t>
      </w:r>
    </w:p>
    <w:p w14:paraId="5B8DA0C0">
      <w:pPr>
        <w:spacing w:line="360" w:lineRule="auto"/>
        <w:rPr>
          <w:rFonts w:hint="eastAsia" w:ascii="宋体" w:hAnsi="宋体" w:eastAsia="宋体" w:cs="宋体"/>
          <w:sz w:val="28"/>
          <w:highlight w:val="none"/>
        </w:rPr>
      </w:pPr>
    </w:p>
    <w:p w14:paraId="648EB510">
      <w:pPr>
        <w:spacing w:line="360" w:lineRule="auto"/>
        <w:rPr>
          <w:rFonts w:hint="eastAsia" w:ascii="宋体" w:hAnsi="宋体" w:eastAsia="宋体" w:cs="宋体"/>
          <w:sz w:val="28"/>
          <w:highlight w:val="none"/>
        </w:rPr>
      </w:pPr>
      <w:r>
        <w:rPr>
          <w:rFonts w:hint="eastAsia" w:ascii="宋体" w:hAnsi="宋体" w:eastAsia="宋体" w:cs="宋体"/>
          <w:sz w:val="28"/>
          <w:highlight w:val="none"/>
        </w:rPr>
        <w:t>联系电话（办公/手机）：</w:t>
      </w:r>
    </w:p>
    <w:p w14:paraId="223DB1CA">
      <w:pPr>
        <w:spacing w:line="360" w:lineRule="auto"/>
        <w:rPr>
          <w:rFonts w:hint="eastAsia" w:ascii="宋体" w:hAnsi="宋体" w:eastAsia="宋体" w:cs="宋体"/>
          <w:sz w:val="28"/>
          <w:highlight w:val="none"/>
        </w:rPr>
      </w:pPr>
    </w:p>
    <w:p w14:paraId="46F823D3">
      <w:pPr>
        <w:spacing w:line="360" w:lineRule="auto"/>
        <w:rPr>
          <w:rFonts w:hint="eastAsia" w:ascii="宋体" w:hAnsi="宋体" w:eastAsia="宋体" w:cs="宋体"/>
          <w:b/>
          <w:bCs/>
          <w:sz w:val="24"/>
          <w:szCs w:val="24"/>
          <w:highlight w:val="none"/>
        </w:rPr>
      </w:pPr>
      <w:r>
        <w:rPr>
          <w:rFonts w:hint="eastAsia" w:ascii="宋体" w:hAnsi="宋体" w:eastAsia="宋体" w:cs="宋体"/>
          <w:sz w:val="28"/>
          <w:highlight w:val="none"/>
        </w:rPr>
        <w:t>磋商时间：</w:t>
      </w:r>
    </w:p>
    <w:p w14:paraId="1F219171">
      <w:pPr>
        <w:pStyle w:val="44"/>
        <w:spacing w:line="360" w:lineRule="auto"/>
        <w:ind w:left="0" w:leftChars="0" w:firstLine="0" w:firstLineChars="0"/>
        <w:rPr>
          <w:rFonts w:hint="eastAsia" w:ascii="宋体" w:hAnsi="宋体" w:eastAsia="宋体" w:cs="宋体"/>
          <w:highlight w:val="none"/>
          <w:lang w:val="en-US" w:eastAsia="zh-CN"/>
        </w:rPr>
      </w:pPr>
    </w:p>
    <w:p w14:paraId="21D88468">
      <w:pPr>
        <w:pStyle w:val="44"/>
        <w:spacing w:line="360" w:lineRule="auto"/>
        <w:ind w:left="0" w:leftChars="0" w:firstLine="0" w:firstLineChars="0"/>
        <w:rPr>
          <w:rFonts w:hint="eastAsia" w:ascii="宋体" w:hAnsi="宋体" w:eastAsia="宋体" w:cs="宋体"/>
          <w:highlight w:val="none"/>
          <w:lang w:val="en-US" w:eastAsia="zh-CN"/>
        </w:rPr>
      </w:pPr>
    </w:p>
    <w:p w14:paraId="4633793C">
      <w:pPr>
        <w:pStyle w:val="44"/>
        <w:spacing w:line="360" w:lineRule="auto"/>
        <w:ind w:left="0" w:leftChars="0" w:firstLine="0" w:firstLineChars="0"/>
        <w:rPr>
          <w:rFonts w:hint="eastAsia" w:ascii="宋体" w:hAnsi="宋体" w:eastAsia="宋体" w:cs="宋体"/>
          <w:highlight w:val="none"/>
          <w:lang w:val="en-US" w:eastAsia="zh-CN"/>
        </w:rPr>
      </w:pPr>
    </w:p>
    <w:p w14:paraId="17F62B3A">
      <w:pPr>
        <w:pStyle w:val="44"/>
        <w:spacing w:line="360" w:lineRule="auto"/>
        <w:ind w:left="0" w:leftChars="0" w:firstLine="0" w:firstLineChars="0"/>
        <w:rPr>
          <w:rFonts w:hint="eastAsia" w:ascii="宋体" w:hAnsi="宋体" w:eastAsia="宋体" w:cs="宋体"/>
          <w:highlight w:val="none"/>
          <w:lang w:val="en-US" w:eastAsia="zh-CN"/>
        </w:rPr>
      </w:pPr>
    </w:p>
    <w:p w14:paraId="28B27C27">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kern w:val="0"/>
          <w:sz w:val="24"/>
          <w:szCs w:val="24"/>
          <w:highlight w:val="none"/>
          <w:lang w:val="zh-CN"/>
        </w:rPr>
      </w:pPr>
      <w:bookmarkStart w:id="629" w:name="_Toc89686190"/>
      <w:r>
        <w:rPr>
          <w:rFonts w:hint="eastAsia" w:ascii="宋体" w:hAnsi="宋体" w:eastAsia="宋体" w:cs="宋体"/>
          <w:b/>
          <w:bCs/>
          <w:color w:val="000000"/>
          <w:kern w:val="2"/>
          <w:sz w:val="24"/>
          <w:szCs w:val="24"/>
          <w:highlight w:val="none"/>
          <w:lang w:val="zh-CN"/>
        </w:rPr>
        <w:t>附件一、</w:t>
      </w:r>
      <w:r>
        <w:rPr>
          <w:rFonts w:hint="eastAsia" w:ascii="宋体" w:hAnsi="宋体" w:eastAsia="宋体" w:cs="宋体"/>
          <w:b/>
          <w:bCs/>
          <w:color w:val="000000"/>
          <w:kern w:val="2"/>
          <w:sz w:val="24"/>
          <w:szCs w:val="24"/>
          <w:highlight w:val="none"/>
          <w:lang w:val="en-US" w:eastAsia="zh-CN"/>
        </w:rPr>
        <w:t>磋商响应</w:t>
      </w:r>
      <w:r>
        <w:rPr>
          <w:rFonts w:hint="eastAsia" w:ascii="宋体" w:hAnsi="宋体" w:eastAsia="宋体" w:cs="宋体"/>
          <w:b/>
          <w:bCs/>
          <w:color w:val="000000"/>
          <w:kern w:val="2"/>
          <w:sz w:val="24"/>
          <w:szCs w:val="24"/>
          <w:highlight w:val="none"/>
          <w:lang w:val="zh-CN"/>
        </w:rPr>
        <w:t>申请及声明格式</w:t>
      </w:r>
      <w:bookmarkEnd w:id="629"/>
    </w:p>
    <w:p w14:paraId="3E89A805">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磋商申请及声明</w:t>
      </w:r>
    </w:p>
    <w:p w14:paraId="6A5DA812">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致：</w:t>
      </w:r>
      <w:r>
        <w:rPr>
          <w:rFonts w:hint="eastAsia" w:ascii="宋体" w:hAnsi="宋体" w:eastAsia="宋体" w:cs="宋体"/>
          <w:b/>
          <w:sz w:val="24"/>
          <w:szCs w:val="24"/>
          <w:highlight w:val="none"/>
          <w:lang w:val="zh-CN"/>
        </w:rPr>
        <w:t>南京市浦口区人民政府汤泉街道办事处</w:t>
      </w:r>
    </w:p>
    <w:p w14:paraId="62FD077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根据贵方</w:t>
      </w:r>
      <w:r>
        <w:rPr>
          <w:rFonts w:hint="eastAsia" w:ascii="宋体" w:hAnsi="宋体" w:eastAsia="宋体" w:cs="宋体"/>
          <w:color w:val="000000"/>
          <w:sz w:val="24"/>
          <w:szCs w:val="24"/>
          <w:highlight w:val="none"/>
          <w:u w:val="single"/>
          <w:lang w:val="zh-CN"/>
        </w:rPr>
        <w:t>（项目名称）（项目编号）</w:t>
      </w:r>
      <w:r>
        <w:rPr>
          <w:rFonts w:hint="eastAsia" w:ascii="宋体" w:hAnsi="宋体" w:eastAsia="宋体" w:cs="宋体"/>
          <w:color w:val="000000"/>
          <w:sz w:val="24"/>
          <w:szCs w:val="24"/>
          <w:highlight w:val="none"/>
          <w:lang w:val="zh-CN"/>
        </w:rPr>
        <w:t>投标邀请，正式授权下述签字人</w:t>
      </w:r>
      <w:r>
        <w:rPr>
          <w:rFonts w:hint="eastAsia" w:ascii="宋体" w:hAnsi="宋体" w:eastAsia="宋体" w:cs="宋体"/>
          <w:color w:val="000000"/>
          <w:sz w:val="24"/>
          <w:szCs w:val="24"/>
          <w:highlight w:val="none"/>
          <w:u w:val="single"/>
          <w:lang w:val="zh-CN"/>
        </w:rPr>
        <w:t>(姓名和职务)</w:t>
      </w:r>
      <w:r>
        <w:rPr>
          <w:rFonts w:hint="eastAsia" w:ascii="宋体" w:hAnsi="宋体" w:eastAsia="宋体" w:cs="宋体"/>
          <w:color w:val="000000"/>
          <w:sz w:val="24"/>
          <w:szCs w:val="24"/>
          <w:highlight w:val="none"/>
          <w:lang w:val="zh-CN"/>
        </w:rPr>
        <w:t>代表投标人</w:t>
      </w:r>
      <w:r>
        <w:rPr>
          <w:rFonts w:hint="eastAsia" w:ascii="宋体" w:hAnsi="宋体" w:eastAsia="宋体" w:cs="宋体"/>
          <w:color w:val="000000"/>
          <w:sz w:val="24"/>
          <w:szCs w:val="24"/>
          <w:highlight w:val="none"/>
          <w:u w:val="single"/>
          <w:lang w:val="zh-CN"/>
        </w:rPr>
        <w:t>（投标人名称）</w:t>
      </w:r>
      <w:r>
        <w:rPr>
          <w:rFonts w:hint="eastAsia" w:ascii="宋体" w:hAnsi="宋体" w:eastAsia="宋体" w:cs="宋体"/>
          <w:color w:val="000000"/>
          <w:sz w:val="24"/>
          <w:szCs w:val="24"/>
          <w:highlight w:val="none"/>
          <w:lang w:val="zh-CN"/>
        </w:rPr>
        <w:t>，提交磋商响应文件。</w:t>
      </w:r>
    </w:p>
    <w:p w14:paraId="67F0F9B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据此函，签字人兹宣布声明和承诺如下：</w:t>
      </w:r>
    </w:p>
    <w:p w14:paraId="41DB26F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1、</w:t>
      </w:r>
      <w:r>
        <w:rPr>
          <w:rFonts w:hint="eastAsia" w:ascii="宋体" w:hAnsi="宋体" w:eastAsia="宋体" w:cs="宋体"/>
          <w:b/>
          <w:color w:val="000000"/>
          <w:sz w:val="24"/>
          <w:szCs w:val="24"/>
          <w:highlight w:val="none"/>
          <w:lang w:val="zh-CN"/>
        </w:rPr>
        <w:t>我们的资格条件完全符合政府采购法和本次招标要求</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我们</w:t>
      </w:r>
      <w:r>
        <w:rPr>
          <w:rFonts w:hint="eastAsia" w:ascii="宋体" w:hAnsi="宋体" w:eastAsia="宋体" w:cs="宋体"/>
          <w:color w:val="000000"/>
          <w:sz w:val="24"/>
          <w:szCs w:val="24"/>
          <w:highlight w:val="none"/>
          <w:lang w:val="zh-CN"/>
        </w:rPr>
        <w:t>同意并向贵方提供了与投标有关的所有证据和资料。</w:t>
      </w:r>
    </w:p>
    <w:p w14:paraId="1EB6920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zh-CN"/>
        </w:rPr>
        <w:t>按招标要求，我们的投标总报价为</w:t>
      </w:r>
      <w:r>
        <w:rPr>
          <w:rFonts w:hint="eastAsia" w:ascii="宋体" w:hAnsi="宋体" w:eastAsia="宋体" w:cs="宋体"/>
          <w:color w:val="000000"/>
          <w:sz w:val="24"/>
          <w:szCs w:val="24"/>
          <w:highlight w:val="none"/>
          <w:lang w:val="en-US" w:eastAsia="zh-CN"/>
        </w:rPr>
        <w:t>______</w:t>
      </w:r>
      <w:r>
        <w:rPr>
          <w:rFonts w:hint="eastAsia" w:ascii="宋体" w:hAnsi="宋体" w:eastAsia="宋体" w:cs="宋体"/>
          <w:color w:val="000000"/>
          <w:sz w:val="24"/>
          <w:szCs w:val="24"/>
          <w:highlight w:val="none"/>
          <w:lang w:val="zh-CN"/>
        </w:rPr>
        <w:t>，</w:t>
      </w:r>
      <w:r>
        <w:rPr>
          <w:rFonts w:hint="eastAsia" w:ascii="宋体" w:hAnsi="宋体" w:eastAsia="宋体" w:cs="宋体"/>
          <w:bCs/>
          <w:color w:val="000000"/>
          <w:sz w:val="24"/>
          <w:szCs w:val="24"/>
          <w:highlight w:val="none"/>
          <w:lang w:val="zh-CN"/>
        </w:rPr>
        <w:t>工期</w:t>
      </w:r>
      <w:r>
        <w:rPr>
          <w:rFonts w:hint="eastAsia" w:ascii="宋体" w:hAnsi="宋体" w:eastAsia="宋体" w:cs="宋体"/>
          <w:bCs/>
          <w:color w:val="000000"/>
          <w:sz w:val="24"/>
          <w:szCs w:val="24"/>
          <w:highlight w:val="none"/>
          <w:lang w:val="en-US" w:eastAsia="zh-CN"/>
        </w:rPr>
        <w:t>_______</w:t>
      </w:r>
      <w:r>
        <w:rPr>
          <w:rFonts w:hint="eastAsia" w:ascii="宋体" w:hAnsi="宋体" w:eastAsia="宋体" w:cs="宋体"/>
          <w:bCs/>
          <w:color w:val="000000"/>
          <w:sz w:val="24"/>
          <w:szCs w:val="24"/>
          <w:highlight w:val="none"/>
          <w:lang w:val="zh-CN"/>
        </w:rPr>
        <w:t>。</w:t>
      </w:r>
    </w:p>
    <w:p w14:paraId="6393F4E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3、我方项目负责人为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w:t>
      </w:r>
    </w:p>
    <w:p w14:paraId="57B2E24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4、我们已详细审核全部磋商文件及其有效补充文件，我们放弃对磋商文件任何误解的权利，提交磋商响应文件后，</w:t>
      </w:r>
      <w:r>
        <w:rPr>
          <w:rFonts w:hint="eastAsia" w:ascii="宋体" w:hAnsi="宋体" w:eastAsia="宋体" w:cs="宋体"/>
          <w:b/>
          <w:color w:val="000000"/>
          <w:sz w:val="24"/>
          <w:szCs w:val="24"/>
          <w:highlight w:val="none"/>
          <w:lang w:val="zh-CN"/>
        </w:rPr>
        <w:t>不对磋商文件本身提出质疑</w:t>
      </w:r>
      <w:r>
        <w:rPr>
          <w:rFonts w:hint="eastAsia" w:ascii="宋体" w:hAnsi="宋体" w:eastAsia="宋体" w:cs="宋体"/>
          <w:color w:val="000000"/>
          <w:sz w:val="24"/>
          <w:szCs w:val="24"/>
          <w:highlight w:val="none"/>
          <w:lang w:val="zh-CN"/>
        </w:rPr>
        <w:t>。</w:t>
      </w:r>
    </w:p>
    <w:p w14:paraId="26075C2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5、我们同意从规定的开标日期起遵循本磋商响应文件，并在规定的投标有效期期满之前均具有约束力。</w:t>
      </w:r>
    </w:p>
    <w:p w14:paraId="25A32BD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6、</w:t>
      </w:r>
      <w:r>
        <w:rPr>
          <w:rFonts w:hint="eastAsia" w:ascii="宋体" w:hAnsi="宋体" w:eastAsia="宋体" w:cs="宋体"/>
          <w:color w:val="000000"/>
          <w:sz w:val="24"/>
          <w:szCs w:val="24"/>
          <w:highlight w:val="none"/>
        </w:rPr>
        <w:t>投标截止时间结束后参加投标的供应商不足三家的，或在评标期间出现符合专业条件的供应商或者对磋商文件作出实质响应的供应商不足三</w:t>
      </w:r>
      <w:r>
        <w:rPr>
          <w:rFonts w:hint="eastAsia" w:ascii="宋体" w:hAnsi="宋体" w:eastAsia="宋体" w:cs="宋体"/>
          <w:color w:val="000000"/>
          <w:sz w:val="24"/>
          <w:szCs w:val="24"/>
          <w:highlight w:val="none"/>
          <w:lang w:eastAsia="zh-CN"/>
        </w:rPr>
        <w:t>家的</w:t>
      </w:r>
      <w:r>
        <w:rPr>
          <w:rFonts w:hint="eastAsia" w:ascii="宋体" w:hAnsi="宋体" w:eastAsia="宋体" w:cs="宋体"/>
          <w:color w:val="000000"/>
          <w:sz w:val="24"/>
          <w:szCs w:val="24"/>
          <w:highlight w:val="none"/>
        </w:rPr>
        <w:t>情形的，我</w:t>
      </w:r>
      <w:r>
        <w:rPr>
          <w:rFonts w:hint="eastAsia" w:ascii="宋体" w:hAnsi="宋体" w:eastAsia="宋体" w:cs="宋体"/>
          <w:color w:val="000000"/>
          <w:sz w:val="24"/>
          <w:szCs w:val="24"/>
          <w:highlight w:val="none"/>
          <w:lang w:eastAsia="zh-CN"/>
        </w:rPr>
        <w:t>们将</w:t>
      </w:r>
      <w:r>
        <w:rPr>
          <w:rFonts w:hint="eastAsia" w:ascii="宋体" w:hAnsi="宋体" w:eastAsia="宋体" w:cs="宋体"/>
          <w:color w:val="000000"/>
          <w:sz w:val="24"/>
          <w:szCs w:val="24"/>
          <w:highlight w:val="none"/>
        </w:rPr>
        <w:t>酌情决定是否参加当场变更的竞争性</w:t>
      </w:r>
      <w:r>
        <w:rPr>
          <w:rFonts w:hint="eastAsia" w:ascii="宋体" w:hAnsi="宋体" w:eastAsia="宋体" w:cs="宋体"/>
          <w:color w:val="000000"/>
          <w:sz w:val="24"/>
          <w:szCs w:val="24"/>
          <w:highlight w:val="none"/>
          <w:lang w:eastAsia="zh-CN"/>
        </w:rPr>
        <w:t>磋商或以</w:t>
      </w:r>
      <w:r>
        <w:rPr>
          <w:rFonts w:hint="eastAsia" w:ascii="宋体" w:hAnsi="宋体" w:eastAsia="宋体" w:cs="宋体"/>
          <w:color w:val="000000"/>
          <w:sz w:val="24"/>
          <w:szCs w:val="24"/>
          <w:highlight w:val="none"/>
        </w:rPr>
        <w:t>单一来源方式采购。</w:t>
      </w:r>
    </w:p>
    <w:p w14:paraId="2B170EE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7、一旦我方中标，我方将根据磋商文件的规定严格履行合同，并保证于承诺的时间完成本项目所有工作内容。</w:t>
      </w:r>
    </w:p>
    <w:p w14:paraId="6C42DBC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8、我方将严格遵守《中华人民共和国政府采购法》第七十七条规定，若有下列情形之一的，将被处以采购金额5</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zh-CN"/>
        </w:rPr>
        <w:t>以上10</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zh-CN"/>
        </w:rPr>
        <w:t>以下的罚款，列入不良行为记录名单，在一至三年内禁止参加政府采购活动；有违法所得的，并处没收违法所得；情节严重的，由工商行政管理机关吊销营业执照；构成犯罪的，依法追究刑事责任：</w:t>
      </w:r>
    </w:p>
    <w:p w14:paraId="1B75FDA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（1）提供虚假材料谋取中标、成交的；</w:t>
      </w:r>
    </w:p>
    <w:p w14:paraId="2EEA806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（2）采取不正当手段诋毁、排挤其他供应商的；</w:t>
      </w:r>
    </w:p>
    <w:p w14:paraId="5F6E5C4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（3）与采购人、其他供应商或者采购代理机构恶意串通的；</w:t>
      </w:r>
    </w:p>
    <w:p w14:paraId="5BA4FAE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（4）向采购人、采购代理机构行贿或者提供其他不正当利益的；</w:t>
      </w:r>
    </w:p>
    <w:p w14:paraId="74DD264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（5）在采购过程中与采购人进行协商磋商的；</w:t>
      </w:r>
    </w:p>
    <w:p w14:paraId="6F78CFD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（6）拒绝有关部门监督检查或提供虚假情况的。</w:t>
      </w:r>
    </w:p>
    <w:p w14:paraId="374842B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9、与本投标有关的正式联系方式为：</w:t>
      </w:r>
    </w:p>
    <w:p w14:paraId="14BF0DA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zh-CN"/>
        </w:rPr>
        <w:t>地址：</w:t>
      </w:r>
      <w:r>
        <w:rPr>
          <w:rFonts w:hint="eastAsia" w:ascii="宋体" w:hAnsi="宋体" w:eastAsia="宋体" w:cs="宋体"/>
          <w:color w:val="000000"/>
          <w:sz w:val="24"/>
          <w:szCs w:val="24"/>
          <w:highlight w:val="none"/>
          <w:u w:val="single"/>
          <w:lang w:val="en-US" w:eastAsia="zh-CN"/>
        </w:rPr>
        <w:t xml:space="preserve">          </w:t>
      </w:r>
    </w:p>
    <w:p w14:paraId="2AB3F0B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zh-CN"/>
        </w:rPr>
        <w:t>电话：</w:t>
      </w:r>
      <w:r>
        <w:rPr>
          <w:rFonts w:hint="eastAsia" w:ascii="宋体" w:hAnsi="宋体" w:eastAsia="宋体" w:cs="宋体"/>
          <w:color w:val="000000"/>
          <w:sz w:val="24"/>
          <w:szCs w:val="24"/>
          <w:highlight w:val="none"/>
          <w:u w:val="single"/>
          <w:lang w:val="en-US" w:eastAsia="zh-CN"/>
        </w:rPr>
        <w:t xml:space="preserve">            </w:t>
      </w:r>
    </w:p>
    <w:p w14:paraId="3441480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授权代表姓名（签字）：</w:t>
      </w:r>
      <w:r>
        <w:rPr>
          <w:rFonts w:hint="eastAsia" w:ascii="宋体" w:hAnsi="宋体" w:eastAsia="宋体" w:cs="宋体"/>
          <w:color w:val="000000"/>
          <w:sz w:val="24"/>
          <w:szCs w:val="24"/>
          <w:highlight w:val="none"/>
          <w:u w:val="single"/>
          <w:lang w:val="en-US" w:eastAsia="zh-CN"/>
        </w:rPr>
        <w:t xml:space="preserve">            </w:t>
      </w:r>
    </w:p>
    <w:p w14:paraId="1E55915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名称：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（盖章）</w:t>
      </w:r>
    </w:p>
    <w:p w14:paraId="0222C10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日期：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日</w:t>
      </w:r>
    </w:p>
    <w:p w14:paraId="5E12D09B">
      <w:pPr>
        <w:pStyle w:val="10"/>
        <w:spacing w:line="360" w:lineRule="auto"/>
        <w:rPr>
          <w:rFonts w:hint="eastAsia" w:ascii="宋体" w:hAnsi="宋体" w:eastAsia="宋体" w:cs="宋体"/>
          <w:color w:val="000000"/>
          <w:szCs w:val="21"/>
          <w:highlight w:val="none"/>
          <w:lang w:val="zh-CN"/>
        </w:rPr>
      </w:pPr>
    </w:p>
    <w:p w14:paraId="7488C31E">
      <w:pPr>
        <w:spacing w:line="360" w:lineRule="auto"/>
        <w:rPr>
          <w:rFonts w:hint="eastAsia" w:ascii="宋体" w:hAnsi="宋体" w:eastAsia="宋体" w:cs="宋体"/>
          <w:sz w:val="24"/>
          <w:szCs w:val="24"/>
          <w:highlight w:val="none"/>
          <w:lang w:val="zh-CN"/>
        </w:rPr>
      </w:pPr>
    </w:p>
    <w:p w14:paraId="5A9EADCB">
      <w:pPr>
        <w:spacing w:line="360" w:lineRule="auto"/>
        <w:rPr>
          <w:rFonts w:hint="eastAsia" w:ascii="宋体" w:hAnsi="宋体" w:eastAsia="宋体" w:cs="宋体"/>
          <w:sz w:val="24"/>
          <w:szCs w:val="24"/>
          <w:highlight w:val="none"/>
          <w:lang w:val="zh-CN"/>
        </w:rPr>
      </w:pPr>
    </w:p>
    <w:p w14:paraId="6366A7A7">
      <w:pPr>
        <w:pStyle w:val="4"/>
        <w:pageBreakBefore w:val="0"/>
        <w:widowControl w:val="0"/>
        <w:kinsoku/>
        <w:wordWrap/>
        <w:overflowPunct/>
        <w:topLinePunct w:val="0"/>
        <w:bidi w:val="0"/>
        <w:snapToGrid/>
        <w:spacing w:before="0" w:after="0" w:line="360" w:lineRule="auto"/>
        <w:textAlignment w:val="auto"/>
        <w:outlineLvl w:val="9"/>
        <w:rPr>
          <w:rFonts w:hint="eastAsia" w:ascii="宋体" w:hAnsi="宋体" w:eastAsia="宋体" w:cs="宋体"/>
          <w:b/>
          <w:bCs/>
          <w:kern w:val="2"/>
          <w:sz w:val="24"/>
          <w:szCs w:val="24"/>
          <w:highlight w:val="none"/>
          <w:lang w:val="zh-CN" w:eastAsia="zh-CN" w:bidi="ar-SA"/>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bookmarkStart w:id="630" w:name="_Toc89686191"/>
    </w:p>
    <w:p w14:paraId="21CEE2E2">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bCs/>
          <w:kern w:val="2"/>
          <w:sz w:val="24"/>
          <w:szCs w:val="24"/>
          <w:highlight w:val="none"/>
          <w:lang w:val="zh-CN" w:eastAsia="zh-CN" w:bidi="ar-SA"/>
        </w:rPr>
        <w:t>附件二、法定代表人授权书格式</w:t>
      </w:r>
      <w:bookmarkEnd w:id="630"/>
    </w:p>
    <w:p w14:paraId="576051D4">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法定代表人授权书</w:t>
      </w:r>
    </w:p>
    <w:p w14:paraId="4223C501">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南京市浦口区人民政府汤泉街道办事处：</w:t>
      </w:r>
    </w:p>
    <w:p w14:paraId="43A27BEA">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本授权书声明：注册于</w:t>
      </w:r>
      <w:r>
        <w:rPr>
          <w:rFonts w:hint="eastAsia" w:ascii="宋体" w:hAnsi="宋体" w:eastAsia="宋体" w:cs="宋体"/>
          <w:sz w:val="24"/>
          <w:szCs w:val="24"/>
          <w:highlight w:val="none"/>
          <w:u w:val="single"/>
          <w:lang w:val="zh-CN"/>
        </w:rPr>
        <w:t>（供应商住址）</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（供应商名称）</w:t>
      </w: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u w:val="single"/>
          <w:lang w:val="zh-CN"/>
        </w:rPr>
        <w:t>（法定代表人姓名、职务）</w:t>
      </w:r>
      <w:r>
        <w:rPr>
          <w:rFonts w:hint="eastAsia" w:ascii="宋体" w:hAnsi="宋体" w:eastAsia="宋体" w:cs="宋体"/>
          <w:sz w:val="24"/>
          <w:szCs w:val="24"/>
          <w:highlight w:val="none"/>
          <w:lang w:val="zh-CN"/>
        </w:rPr>
        <w:t>代表本公司授权在下面签字的</w:t>
      </w:r>
      <w:r>
        <w:rPr>
          <w:rFonts w:hint="eastAsia" w:ascii="宋体" w:hAnsi="宋体" w:eastAsia="宋体" w:cs="宋体"/>
          <w:sz w:val="24"/>
          <w:szCs w:val="24"/>
          <w:highlight w:val="none"/>
          <w:u w:val="single"/>
          <w:lang w:val="zh-CN"/>
        </w:rPr>
        <w:t>（供应商代表姓名、职务）</w:t>
      </w:r>
      <w:r>
        <w:rPr>
          <w:rFonts w:hint="eastAsia" w:ascii="宋体" w:hAnsi="宋体" w:eastAsia="宋体" w:cs="宋体"/>
          <w:sz w:val="24"/>
          <w:szCs w:val="24"/>
          <w:highlight w:val="none"/>
          <w:lang w:val="zh-CN"/>
        </w:rPr>
        <w:t>为本公司的合法代理人，就贵方组织的</w:t>
      </w:r>
      <w:r>
        <w:rPr>
          <w:rFonts w:hint="eastAsia" w:ascii="宋体" w:hAnsi="宋体" w:eastAsia="宋体" w:cs="宋体"/>
          <w:sz w:val="24"/>
          <w:szCs w:val="24"/>
          <w:highlight w:val="none"/>
          <w:u w:val="single"/>
          <w:lang w:val="zh-CN"/>
        </w:rPr>
        <w:t>项目名称，项目编号</w:t>
      </w:r>
      <w:r>
        <w:rPr>
          <w:rFonts w:hint="eastAsia" w:ascii="宋体" w:hAnsi="宋体" w:eastAsia="宋体" w:cs="宋体"/>
          <w:sz w:val="24"/>
          <w:szCs w:val="24"/>
          <w:highlight w:val="none"/>
          <w:lang w:val="zh-CN"/>
        </w:rPr>
        <w:t>：磋商，以本公司名义处理一切与之有关的事务。</w:t>
      </w:r>
    </w:p>
    <w:p w14:paraId="7BC77C19">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本授权书于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日签字生效，特此声明。</w:t>
      </w:r>
    </w:p>
    <w:p w14:paraId="52579073">
      <w:pPr>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zh-CN"/>
        </w:rPr>
        <w:t>法定代表人签字：</w:t>
      </w:r>
      <w:r>
        <w:rPr>
          <w:rFonts w:hint="eastAsia" w:ascii="宋体" w:hAnsi="宋体" w:eastAsia="宋体" w:cs="宋体"/>
          <w:sz w:val="24"/>
          <w:szCs w:val="24"/>
          <w:highlight w:val="none"/>
          <w:u w:val="single"/>
          <w:lang w:val="en-US" w:eastAsia="zh-CN"/>
        </w:rPr>
        <w:t xml:space="preserve">     </w:t>
      </w:r>
    </w:p>
    <w:p w14:paraId="7F5F5BAD">
      <w:pPr>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zh-CN"/>
        </w:rPr>
        <w:t>被授权人签字：</w:t>
      </w:r>
      <w:r>
        <w:rPr>
          <w:rFonts w:hint="eastAsia" w:ascii="宋体" w:hAnsi="宋体" w:eastAsia="宋体" w:cs="宋体"/>
          <w:sz w:val="24"/>
          <w:szCs w:val="24"/>
          <w:highlight w:val="none"/>
          <w:u w:val="single"/>
          <w:lang w:val="en-US" w:eastAsia="zh-CN"/>
        </w:rPr>
        <w:t xml:space="preserve">      </w:t>
      </w:r>
    </w:p>
    <w:p w14:paraId="40404BA3">
      <w:pPr>
        <w:pageBreakBefore w:val="0"/>
        <w:widowControl w:val="0"/>
        <w:tabs>
          <w:tab w:val="left" w:pos="1440"/>
        </w:tabs>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kern w:val="0"/>
          <w:sz w:val="24"/>
          <w:szCs w:val="24"/>
          <w:highlight w:val="none"/>
          <w:lang w:val="zh-CN"/>
        </w:rPr>
      </w:pPr>
      <w:r>
        <w:rPr>
          <w:rFonts w:hint="eastAsia" w:ascii="宋体" w:hAnsi="宋体" w:eastAsia="宋体" w:cs="宋体"/>
          <w:sz w:val="24"/>
          <w:szCs w:val="24"/>
          <w:highlight w:val="none"/>
          <w:lang w:val="zh-CN"/>
        </w:rPr>
        <w:t>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日</w:t>
      </w:r>
    </w:p>
    <w:p w14:paraId="7DB22036">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法人的身份证明的复印件：</w:t>
      </w:r>
    </w:p>
    <w:p w14:paraId="2C09582F">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代理人的身份证明文件的复印件：</w:t>
      </w:r>
    </w:p>
    <w:p w14:paraId="67FEAC67">
      <w:pPr>
        <w:pStyle w:val="5"/>
        <w:spacing w:line="360" w:lineRule="auto"/>
        <w:rPr>
          <w:rFonts w:hint="eastAsia" w:ascii="宋体" w:hAnsi="宋体" w:eastAsia="宋体" w:cs="宋体"/>
          <w:b/>
          <w:bCs/>
          <w:kern w:val="2"/>
          <w:sz w:val="24"/>
          <w:szCs w:val="24"/>
          <w:highlight w:val="none"/>
          <w:lang w:val="zh-CN" w:eastAsia="zh-CN" w:bidi="ar-SA"/>
        </w:rPr>
      </w:pPr>
      <w:bookmarkStart w:id="631" w:name="_Toc89686192"/>
    </w:p>
    <w:p w14:paraId="799DAA0C">
      <w:pPr>
        <w:pStyle w:val="5"/>
        <w:spacing w:line="360" w:lineRule="auto"/>
        <w:rPr>
          <w:rFonts w:hint="eastAsia" w:ascii="宋体" w:hAnsi="宋体" w:eastAsia="宋体" w:cs="宋体"/>
          <w:b/>
          <w:bCs/>
          <w:kern w:val="2"/>
          <w:sz w:val="24"/>
          <w:szCs w:val="24"/>
          <w:highlight w:val="none"/>
          <w:lang w:val="zh-CN" w:eastAsia="zh-CN" w:bidi="ar-SA"/>
        </w:rPr>
      </w:pPr>
    </w:p>
    <w:p w14:paraId="5F2883ED">
      <w:pPr>
        <w:pStyle w:val="5"/>
        <w:spacing w:line="360" w:lineRule="auto"/>
        <w:rPr>
          <w:rFonts w:hint="eastAsia" w:ascii="宋体" w:hAnsi="宋体" w:eastAsia="宋体" w:cs="宋体"/>
          <w:b/>
          <w:bCs/>
          <w:kern w:val="2"/>
          <w:sz w:val="24"/>
          <w:szCs w:val="24"/>
          <w:highlight w:val="none"/>
          <w:lang w:val="zh-CN" w:eastAsia="zh-CN" w:bidi="ar-SA"/>
        </w:rPr>
      </w:pPr>
    </w:p>
    <w:p w14:paraId="6BEE5B30">
      <w:pPr>
        <w:pStyle w:val="5"/>
        <w:spacing w:line="360" w:lineRule="auto"/>
        <w:rPr>
          <w:rFonts w:hint="eastAsia" w:ascii="宋体" w:hAnsi="宋体" w:eastAsia="宋体" w:cs="宋体"/>
          <w:b/>
          <w:bCs/>
          <w:kern w:val="2"/>
          <w:sz w:val="24"/>
          <w:szCs w:val="24"/>
          <w:highlight w:val="none"/>
          <w:lang w:val="zh-CN" w:eastAsia="zh-CN" w:bidi="ar-SA"/>
        </w:rPr>
      </w:pPr>
    </w:p>
    <w:p w14:paraId="144A58BF">
      <w:pPr>
        <w:pStyle w:val="5"/>
        <w:spacing w:line="360" w:lineRule="auto"/>
        <w:rPr>
          <w:rFonts w:hint="eastAsia" w:ascii="宋体" w:hAnsi="宋体" w:eastAsia="宋体" w:cs="宋体"/>
          <w:b/>
          <w:bCs/>
          <w:kern w:val="2"/>
          <w:sz w:val="24"/>
          <w:szCs w:val="24"/>
          <w:highlight w:val="none"/>
          <w:lang w:val="zh-CN" w:eastAsia="zh-CN" w:bidi="ar-SA"/>
        </w:rPr>
      </w:pPr>
    </w:p>
    <w:p w14:paraId="254C9472">
      <w:pPr>
        <w:pStyle w:val="5"/>
        <w:spacing w:line="360" w:lineRule="auto"/>
        <w:rPr>
          <w:rFonts w:hint="eastAsia" w:ascii="宋体" w:hAnsi="宋体" w:eastAsia="宋体" w:cs="宋体"/>
          <w:b/>
          <w:bCs/>
          <w:kern w:val="2"/>
          <w:sz w:val="24"/>
          <w:szCs w:val="24"/>
          <w:highlight w:val="none"/>
          <w:lang w:val="zh-CN" w:eastAsia="zh-CN" w:bidi="ar-SA"/>
        </w:rPr>
      </w:pPr>
    </w:p>
    <w:p w14:paraId="267F15BE">
      <w:pPr>
        <w:pStyle w:val="5"/>
        <w:spacing w:line="360" w:lineRule="auto"/>
        <w:rPr>
          <w:rFonts w:hint="eastAsia" w:ascii="宋体" w:hAnsi="宋体" w:eastAsia="宋体" w:cs="宋体"/>
          <w:b/>
          <w:bCs/>
          <w:kern w:val="2"/>
          <w:sz w:val="24"/>
          <w:szCs w:val="24"/>
          <w:highlight w:val="none"/>
          <w:lang w:val="zh-CN" w:eastAsia="zh-CN" w:bidi="ar-SA"/>
        </w:rPr>
      </w:pPr>
    </w:p>
    <w:p w14:paraId="29C1171C">
      <w:pPr>
        <w:pStyle w:val="5"/>
        <w:spacing w:line="360" w:lineRule="auto"/>
        <w:rPr>
          <w:rFonts w:hint="eastAsia" w:ascii="宋体" w:hAnsi="宋体" w:eastAsia="宋体" w:cs="宋体"/>
          <w:b/>
          <w:bCs/>
          <w:kern w:val="2"/>
          <w:sz w:val="24"/>
          <w:szCs w:val="24"/>
          <w:highlight w:val="none"/>
          <w:lang w:val="zh-CN" w:eastAsia="zh-CN" w:bidi="ar-SA"/>
        </w:rPr>
      </w:pPr>
    </w:p>
    <w:p w14:paraId="0F1B87A6">
      <w:pPr>
        <w:pStyle w:val="5"/>
        <w:spacing w:line="360" w:lineRule="auto"/>
        <w:rPr>
          <w:rFonts w:hint="eastAsia" w:ascii="宋体" w:hAnsi="宋体" w:eastAsia="宋体" w:cs="宋体"/>
          <w:b/>
          <w:bCs/>
          <w:kern w:val="2"/>
          <w:sz w:val="24"/>
          <w:szCs w:val="24"/>
          <w:highlight w:val="none"/>
          <w:lang w:val="zh-CN" w:eastAsia="zh-CN" w:bidi="ar-SA"/>
        </w:rPr>
      </w:pPr>
    </w:p>
    <w:p w14:paraId="4C711C42">
      <w:pPr>
        <w:pStyle w:val="5"/>
        <w:spacing w:line="360" w:lineRule="auto"/>
        <w:rPr>
          <w:rFonts w:hint="eastAsia" w:ascii="宋体" w:hAnsi="宋体" w:eastAsia="宋体" w:cs="宋体"/>
          <w:b/>
          <w:bCs/>
          <w:kern w:val="2"/>
          <w:sz w:val="24"/>
          <w:szCs w:val="24"/>
          <w:highlight w:val="none"/>
          <w:lang w:val="zh-CN" w:eastAsia="zh-CN" w:bidi="ar-SA"/>
        </w:rPr>
      </w:pPr>
    </w:p>
    <w:p w14:paraId="7B0E261F">
      <w:pPr>
        <w:pStyle w:val="5"/>
        <w:spacing w:line="360" w:lineRule="auto"/>
        <w:rPr>
          <w:rFonts w:hint="eastAsia" w:ascii="宋体" w:hAnsi="宋体" w:eastAsia="宋体" w:cs="宋体"/>
          <w:b/>
          <w:bCs/>
          <w:kern w:val="2"/>
          <w:sz w:val="24"/>
          <w:szCs w:val="24"/>
          <w:highlight w:val="none"/>
          <w:lang w:val="zh-CN" w:eastAsia="zh-CN" w:bidi="ar-SA"/>
        </w:rPr>
      </w:pPr>
    </w:p>
    <w:p w14:paraId="7BEB478F">
      <w:pPr>
        <w:pStyle w:val="5"/>
        <w:spacing w:line="360" w:lineRule="auto"/>
        <w:rPr>
          <w:rFonts w:hint="eastAsia" w:ascii="宋体" w:hAnsi="宋体" w:eastAsia="宋体" w:cs="宋体"/>
          <w:b/>
          <w:bCs/>
          <w:kern w:val="2"/>
          <w:sz w:val="24"/>
          <w:szCs w:val="24"/>
          <w:highlight w:val="none"/>
          <w:lang w:val="zh-CN" w:eastAsia="zh-CN" w:bidi="ar-SA"/>
        </w:rPr>
      </w:pPr>
    </w:p>
    <w:p w14:paraId="7E00E5EC">
      <w:pPr>
        <w:pStyle w:val="5"/>
        <w:spacing w:line="360" w:lineRule="auto"/>
        <w:rPr>
          <w:rFonts w:hint="eastAsia" w:ascii="宋体" w:hAnsi="宋体" w:eastAsia="宋体" w:cs="宋体"/>
          <w:b/>
          <w:bCs/>
          <w:kern w:val="2"/>
          <w:sz w:val="24"/>
          <w:szCs w:val="24"/>
          <w:highlight w:val="none"/>
          <w:lang w:val="zh-CN" w:eastAsia="zh-CN" w:bidi="ar-SA"/>
        </w:rPr>
      </w:pPr>
    </w:p>
    <w:p w14:paraId="49B6BAFA">
      <w:pPr>
        <w:pStyle w:val="5"/>
        <w:spacing w:line="360" w:lineRule="auto"/>
        <w:rPr>
          <w:rFonts w:hint="eastAsia" w:ascii="宋体" w:hAnsi="宋体" w:eastAsia="宋体" w:cs="宋体"/>
          <w:b/>
          <w:bCs/>
          <w:kern w:val="2"/>
          <w:sz w:val="24"/>
          <w:szCs w:val="24"/>
          <w:highlight w:val="none"/>
          <w:lang w:val="zh-CN" w:eastAsia="zh-CN" w:bidi="ar-SA"/>
        </w:rPr>
      </w:pPr>
    </w:p>
    <w:p w14:paraId="3E2F683E">
      <w:pPr>
        <w:pStyle w:val="5"/>
        <w:spacing w:line="360" w:lineRule="auto"/>
        <w:rPr>
          <w:rFonts w:hint="eastAsia" w:ascii="宋体" w:hAnsi="宋体" w:eastAsia="宋体" w:cs="宋体"/>
          <w:b/>
          <w:bCs/>
          <w:kern w:val="2"/>
          <w:sz w:val="24"/>
          <w:szCs w:val="24"/>
          <w:highlight w:val="none"/>
          <w:lang w:val="zh-CN" w:eastAsia="zh-CN" w:bidi="ar-SA"/>
        </w:rPr>
      </w:pPr>
    </w:p>
    <w:p w14:paraId="7D447A4B">
      <w:pPr>
        <w:pStyle w:val="4"/>
        <w:pageBreakBefore w:val="0"/>
        <w:kinsoku/>
        <w:wordWrap/>
        <w:overflowPunct/>
        <w:topLinePunct w:val="0"/>
        <w:bidi w:val="0"/>
        <w:spacing w:before="0" w:after="0"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bCs/>
          <w:kern w:val="2"/>
          <w:sz w:val="24"/>
          <w:szCs w:val="24"/>
          <w:highlight w:val="none"/>
          <w:lang w:val="zh-CN" w:eastAsia="zh-CN" w:bidi="ar-SA"/>
        </w:rPr>
        <w:t>附件三、报价表</w:t>
      </w:r>
      <w:bookmarkEnd w:id="631"/>
    </w:p>
    <w:p w14:paraId="1633C9D1">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开标一览表</w:t>
      </w:r>
    </w:p>
    <w:tbl>
      <w:tblPr>
        <w:tblStyle w:val="29"/>
        <w:tblW w:w="0" w:type="auto"/>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31"/>
        <w:gridCol w:w="1155"/>
        <w:gridCol w:w="1618"/>
        <w:gridCol w:w="508"/>
        <w:gridCol w:w="2840"/>
      </w:tblGrid>
      <w:tr w14:paraId="68E44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6038" w:type="dxa"/>
            <w:gridSpan w:val="4"/>
            <w:tcBorders>
              <w:top w:val="nil"/>
              <w:left w:val="nil"/>
              <w:right w:val="nil"/>
            </w:tcBorders>
            <w:noWrap w:val="0"/>
            <w:vAlign w:val="center"/>
          </w:tcPr>
          <w:p w14:paraId="0B0D8701">
            <w:pPr>
              <w:pageBreakBefore w:val="0"/>
              <w:widowControl/>
              <w:kinsoku/>
              <w:wordWrap/>
              <w:overflowPunct/>
              <w:topLinePunct w:val="0"/>
              <w:bidi w:val="0"/>
              <w:snapToGrid w:val="0"/>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项目名称：</w:t>
            </w:r>
          </w:p>
        </w:tc>
        <w:tc>
          <w:tcPr>
            <w:tcW w:w="3348" w:type="dxa"/>
            <w:gridSpan w:val="2"/>
            <w:tcBorders>
              <w:top w:val="nil"/>
              <w:left w:val="nil"/>
              <w:right w:val="nil"/>
            </w:tcBorders>
            <w:noWrap w:val="0"/>
            <w:vAlign w:val="center"/>
          </w:tcPr>
          <w:p w14:paraId="00F994B1">
            <w:pPr>
              <w:pageBreakBefore w:val="0"/>
              <w:widowControl/>
              <w:kinsoku/>
              <w:wordWrap/>
              <w:overflowPunct/>
              <w:topLinePunct w:val="0"/>
              <w:bidi w:val="0"/>
              <w:snapToGrid w:val="0"/>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项目编号：</w:t>
            </w:r>
          </w:p>
        </w:tc>
      </w:tr>
      <w:tr w14:paraId="13F7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734" w:type="dxa"/>
            <w:noWrap w:val="0"/>
            <w:vAlign w:val="center"/>
          </w:tcPr>
          <w:p w14:paraId="61F1F334">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序号</w:t>
            </w:r>
          </w:p>
        </w:tc>
        <w:tc>
          <w:tcPr>
            <w:tcW w:w="3686" w:type="dxa"/>
            <w:gridSpan w:val="2"/>
            <w:noWrap w:val="0"/>
            <w:vAlign w:val="center"/>
          </w:tcPr>
          <w:p w14:paraId="77C6C161">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名称</w:t>
            </w:r>
          </w:p>
        </w:tc>
        <w:tc>
          <w:tcPr>
            <w:tcW w:w="2126" w:type="dxa"/>
            <w:gridSpan w:val="2"/>
            <w:noWrap w:val="0"/>
            <w:vAlign w:val="center"/>
          </w:tcPr>
          <w:p w14:paraId="642A58CB">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报价（元）</w:t>
            </w:r>
          </w:p>
        </w:tc>
        <w:tc>
          <w:tcPr>
            <w:tcW w:w="2840" w:type="dxa"/>
            <w:noWrap w:val="0"/>
            <w:vAlign w:val="center"/>
          </w:tcPr>
          <w:p w14:paraId="3B2CAF0F">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其中，</w:t>
            </w:r>
            <w:r>
              <w:rPr>
                <w:rFonts w:hint="eastAsia" w:ascii="宋体" w:hAnsi="宋体" w:eastAsia="宋体" w:cs="宋体"/>
                <w:color w:val="000000"/>
                <w:kern w:val="0"/>
                <w:sz w:val="24"/>
                <w:szCs w:val="24"/>
                <w:highlight w:val="none"/>
              </w:rPr>
              <w:t>小、微型企业报价（元）</w:t>
            </w:r>
          </w:p>
        </w:tc>
      </w:tr>
      <w:tr w14:paraId="56A03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34" w:type="dxa"/>
            <w:noWrap w:val="0"/>
            <w:vAlign w:val="center"/>
          </w:tcPr>
          <w:p w14:paraId="1280F8F4">
            <w:pPr>
              <w:pageBreakBefore w:val="0"/>
              <w:kinsoku/>
              <w:wordWrap/>
              <w:overflowPunct/>
              <w:topLinePunct w:val="0"/>
              <w:bidi w:val="0"/>
              <w:spacing w:line="300" w:lineRule="auto"/>
              <w:jc w:val="center"/>
              <w:textAlignment w:val="auto"/>
              <w:rPr>
                <w:rFonts w:hint="eastAsia" w:ascii="宋体" w:hAnsi="宋体" w:eastAsia="宋体" w:cs="宋体"/>
                <w:color w:val="000000"/>
                <w:spacing w:val="-2"/>
                <w:sz w:val="24"/>
                <w:szCs w:val="24"/>
                <w:highlight w:val="none"/>
              </w:rPr>
            </w:pPr>
            <w:r>
              <w:rPr>
                <w:rFonts w:hint="eastAsia" w:ascii="宋体" w:hAnsi="宋体" w:eastAsia="宋体" w:cs="宋体"/>
                <w:color w:val="000000"/>
                <w:spacing w:val="-2"/>
                <w:sz w:val="24"/>
                <w:szCs w:val="24"/>
                <w:highlight w:val="none"/>
              </w:rPr>
              <w:t>1</w:t>
            </w:r>
          </w:p>
        </w:tc>
        <w:tc>
          <w:tcPr>
            <w:tcW w:w="3686" w:type="dxa"/>
            <w:gridSpan w:val="2"/>
            <w:noWrap w:val="0"/>
            <w:vAlign w:val="center"/>
          </w:tcPr>
          <w:p w14:paraId="1C3F7A57">
            <w:pPr>
              <w:pageBreakBefore w:val="0"/>
              <w:kinsoku/>
              <w:wordWrap/>
              <w:overflowPunct/>
              <w:topLinePunct w:val="0"/>
              <w:bidi w:val="0"/>
              <w:spacing w:line="300" w:lineRule="auto"/>
              <w:jc w:val="center"/>
              <w:textAlignment w:val="auto"/>
              <w:rPr>
                <w:rFonts w:hint="eastAsia" w:ascii="宋体" w:hAnsi="宋体" w:eastAsia="宋体" w:cs="宋体"/>
                <w:color w:val="000000"/>
                <w:spacing w:val="-2"/>
                <w:sz w:val="24"/>
                <w:szCs w:val="24"/>
                <w:highlight w:val="none"/>
              </w:rPr>
            </w:pPr>
          </w:p>
        </w:tc>
        <w:tc>
          <w:tcPr>
            <w:tcW w:w="2126" w:type="dxa"/>
            <w:gridSpan w:val="2"/>
            <w:noWrap w:val="0"/>
            <w:vAlign w:val="center"/>
          </w:tcPr>
          <w:p w14:paraId="51081906">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p>
        </w:tc>
        <w:tc>
          <w:tcPr>
            <w:tcW w:w="2840" w:type="dxa"/>
            <w:noWrap w:val="0"/>
            <w:vAlign w:val="center"/>
          </w:tcPr>
          <w:p w14:paraId="328FE2BB">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p>
        </w:tc>
      </w:tr>
      <w:tr w14:paraId="32660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3265" w:type="dxa"/>
            <w:gridSpan w:val="2"/>
            <w:noWrap w:val="0"/>
            <w:vAlign w:val="center"/>
          </w:tcPr>
          <w:p w14:paraId="564E2A7F">
            <w:pPr>
              <w:pageBreakBefore w:val="0"/>
              <w:widowControl/>
              <w:kinsoku/>
              <w:wordWrap/>
              <w:overflowPunct/>
              <w:topLinePunct w:val="0"/>
              <w:bidi w:val="0"/>
              <w:snapToGrid w:val="0"/>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投标总价（人民币）</w:t>
            </w:r>
          </w:p>
        </w:tc>
        <w:tc>
          <w:tcPr>
            <w:tcW w:w="6121" w:type="dxa"/>
            <w:gridSpan w:val="4"/>
            <w:noWrap w:val="0"/>
            <w:vAlign w:val="center"/>
          </w:tcPr>
          <w:p w14:paraId="3A4396CF">
            <w:pPr>
              <w:pageBreakBefore w:val="0"/>
              <w:widowControl/>
              <w:kinsoku/>
              <w:wordWrap/>
              <w:overflowPunct/>
              <w:topLinePunct w:val="0"/>
              <w:bidi w:val="0"/>
              <w:snapToGrid w:val="0"/>
              <w:spacing w:line="300" w:lineRule="auto"/>
              <w:ind w:firstLine="720" w:firstLineChars="300"/>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（大写）元,（小写）元</w:t>
            </w:r>
          </w:p>
        </w:tc>
      </w:tr>
      <w:tr w14:paraId="30E12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3265" w:type="dxa"/>
            <w:gridSpan w:val="2"/>
            <w:noWrap w:val="0"/>
            <w:vAlign w:val="center"/>
          </w:tcPr>
          <w:p w14:paraId="351073CD">
            <w:pPr>
              <w:pageBreakBefore w:val="0"/>
              <w:widowControl/>
              <w:kinsoku/>
              <w:wordWrap/>
              <w:overflowPunct/>
              <w:topLinePunct w:val="0"/>
              <w:bidi w:val="0"/>
              <w:snapToGrid w:val="0"/>
              <w:spacing w:line="30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rPr>
              <w:t>项目</w:t>
            </w:r>
            <w:r>
              <w:rPr>
                <w:rFonts w:hint="eastAsia" w:ascii="宋体" w:hAnsi="宋体" w:eastAsia="宋体" w:cs="宋体"/>
                <w:color w:val="000000"/>
                <w:kern w:val="0"/>
                <w:sz w:val="24"/>
                <w:szCs w:val="24"/>
                <w:highlight w:val="none"/>
                <w:lang w:val="en-US" w:eastAsia="zh-CN"/>
              </w:rPr>
              <w:t>经理</w:t>
            </w:r>
          </w:p>
        </w:tc>
        <w:tc>
          <w:tcPr>
            <w:tcW w:w="6121" w:type="dxa"/>
            <w:gridSpan w:val="4"/>
            <w:noWrap w:val="0"/>
            <w:vAlign w:val="center"/>
          </w:tcPr>
          <w:p w14:paraId="509C7522">
            <w:pPr>
              <w:pageBreakBefore w:val="0"/>
              <w:widowControl/>
              <w:kinsoku/>
              <w:wordWrap/>
              <w:overflowPunct/>
              <w:topLinePunct w:val="0"/>
              <w:bidi w:val="0"/>
              <w:snapToGrid w:val="0"/>
              <w:spacing w:line="300" w:lineRule="auto"/>
              <w:jc w:val="left"/>
              <w:textAlignment w:val="auto"/>
              <w:rPr>
                <w:rFonts w:hint="eastAsia" w:ascii="宋体" w:hAnsi="宋体" w:eastAsia="宋体" w:cs="宋体"/>
                <w:color w:val="000000"/>
                <w:kern w:val="0"/>
                <w:sz w:val="24"/>
                <w:szCs w:val="24"/>
                <w:highlight w:val="none"/>
                <w:lang w:val="zh-CN"/>
              </w:rPr>
            </w:pPr>
          </w:p>
        </w:tc>
      </w:tr>
      <w:tr w14:paraId="4378D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3265" w:type="dxa"/>
            <w:gridSpan w:val="2"/>
            <w:noWrap w:val="0"/>
            <w:vAlign w:val="center"/>
          </w:tcPr>
          <w:p w14:paraId="15F2E1C5">
            <w:pPr>
              <w:pageBreakBefore w:val="0"/>
              <w:widowControl/>
              <w:kinsoku/>
              <w:wordWrap/>
              <w:overflowPunct/>
              <w:topLinePunct w:val="0"/>
              <w:bidi w:val="0"/>
              <w:snapToGrid w:val="0"/>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供应商是否属于小微型企业</w:t>
            </w:r>
          </w:p>
        </w:tc>
        <w:tc>
          <w:tcPr>
            <w:tcW w:w="6121" w:type="dxa"/>
            <w:gridSpan w:val="4"/>
            <w:noWrap w:val="0"/>
            <w:vAlign w:val="center"/>
          </w:tcPr>
          <w:p w14:paraId="69EF3DAF">
            <w:pPr>
              <w:pageBreakBefore w:val="0"/>
              <w:widowControl/>
              <w:kinsoku/>
              <w:wordWrap/>
              <w:overflowPunct/>
              <w:topLinePunct w:val="0"/>
              <w:bidi w:val="0"/>
              <w:snapToGrid w:val="0"/>
              <w:spacing w:line="300" w:lineRule="auto"/>
              <w:ind w:firstLine="3120" w:firstLineChars="1300"/>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是</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zh-CN"/>
              </w:rPr>
              <w:t>否</w:t>
            </w:r>
          </w:p>
        </w:tc>
      </w:tr>
    </w:tbl>
    <w:p w14:paraId="38FC07F7">
      <w:pPr>
        <w:pageBreakBefore w:val="0"/>
        <w:widowControl/>
        <w:shd w:val="clear" w:color="auto" w:fill="auto"/>
        <w:kinsoku/>
        <w:wordWrap/>
        <w:overflowPunct/>
        <w:topLinePunct w:val="0"/>
        <w:bidi w:val="0"/>
        <w:spacing w:line="360" w:lineRule="auto"/>
        <w:jc w:val="left"/>
        <w:textAlignment w:val="auto"/>
        <w:rPr>
          <w:rFonts w:hint="eastAsia" w:ascii="宋体" w:hAnsi="宋体" w:eastAsia="宋体" w:cs="宋体"/>
          <w:kern w:val="0"/>
          <w:sz w:val="24"/>
          <w:szCs w:val="24"/>
          <w:highlight w:val="none"/>
        </w:rPr>
      </w:pPr>
    </w:p>
    <w:p w14:paraId="78598D2A">
      <w:pPr>
        <w:pageBreakBefore w:val="0"/>
        <w:widowControl/>
        <w:shd w:val="clear" w:color="auto" w:fill="auto"/>
        <w:kinsoku/>
        <w:wordWrap/>
        <w:overflowPunct/>
        <w:topLinePunct w:val="0"/>
        <w:bidi w:val="0"/>
        <w:spacing w:line="360" w:lineRule="auto"/>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单位（盖章）:</w:t>
      </w:r>
      <w:r>
        <w:rPr>
          <w:rFonts w:hint="eastAsia" w:ascii="宋体" w:hAnsi="宋体" w:eastAsia="宋体" w:cs="宋体"/>
          <w:kern w:val="0"/>
          <w:sz w:val="24"/>
          <w:szCs w:val="24"/>
          <w:highlight w:val="none"/>
          <w:u w:val="single"/>
        </w:rPr>
        <w:t>                      </w:t>
      </w:r>
    </w:p>
    <w:p w14:paraId="18F436D0">
      <w:pPr>
        <w:pageBreakBefore w:val="0"/>
        <w:widowControl/>
        <w:shd w:val="clear" w:color="auto" w:fill="auto"/>
        <w:kinsoku/>
        <w:wordWrap/>
        <w:overflowPunct/>
        <w:topLinePunct w:val="0"/>
        <w:bidi w:val="0"/>
        <w:spacing w:line="360" w:lineRule="auto"/>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授权代表（签字）：</w:t>
      </w:r>
      <w:r>
        <w:rPr>
          <w:rFonts w:hint="eastAsia" w:ascii="宋体" w:hAnsi="宋体" w:eastAsia="宋体" w:cs="宋体"/>
          <w:kern w:val="0"/>
          <w:sz w:val="24"/>
          <w:szCs w:val="24"/>
          <w:highlight w:val="none"/>
          <w:u w:val="single"/>
        </w:rPr>
        <w:t>                      </w:t>
      </w:r>
    </w:p>
    <w:p w14:paraId="6752A2FD">
      <w:pPr>
        <w:pageBreakBefore w:val="0"/>
        <w:widowControl/>
        <w:shd w:val="clear" w:color="auto" w:fill="auto"/>
        <w:kinsoku/>
        <w:wordWrap/>
        <w:overflowPunct/>
        <w:topLinePunct w:val="0"/>
        <w:bidi w:val="0"/>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日期：年月日</w:t>
      </w:r>
    </w:p>
    <w:p w14:paraId="537AD7E6">
      <w:pPr>
        <w:pageBreakBefore w:val="0"/>
        <w:widowControl/>
        <w:shd w:val="clear" w:color="auto" w:fill="auto"/>
        <w:kinsoku/>
        <w:wordWrap/>
        <w:overflowPunct/>
        <w:topLinePunct w:val="0"/>
        <w:bidi w:val="0"/>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p w14:paraId="0D651AA7">
      <w:pPr>
        <w:pageBreakBefore w:val="0"/>
        <w:widowControl/>
        <w:shd w:val="clear" w:color="auto" w:fill="auto"/>
        <w:kinsoku/>
        <w:wordWrap/>
        <w:overflowPunct/>
        <w:topLinePunct w:val="0"/>
        <w:bidi w:val="0"/>
        <w:spacing w:line="360" w:lineRule="auto"/>
        <w:ind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1、“供应商是否属于小微型企业</w:t>
      </w:r>
      <w:r>
        <w:rPr>
          <w:rFonts w:hint="eastAsia" w:ascii="宋体" w:hAnsi="宋体" w:eastAsia="宋体" w:cs="宋体"/>
          <w:b/>
          <w:kern w:val="0"/>
          <w:sz w:val="24"/>
          <w:szCs w:val="24"/>
          <w:highlight w:val="none"/>
          <w:lang w:val="zh-CN"/>
        </w:rPr>
        <w:t>”栏内填写“是”或“否”。如填写“是”，</w:t>
      </w:r>
      <w:r>
        <w:rPr>
          <w:rFonts w:hint="eastAsia" w:ascii="宋体" w:hAnsi="宋体" w:eastAsia="宋体" w:cs="宋体"/>
          <w:b/>
          <w:kern w:val="0"/>
          <w:sz w:val="24"/>
          <w:szCs w:val="24"/>
          <w:highlight w:val="none"/>
        </w:rPr>
        <w:t>投标人需提供</w:t>
      </w:r>
      <w:r>
        <w:rPr>
          <w:rFonts w:hint="eastAsia" w:ascii="宋体" w:hAnsi="宋体" w:eastAsia="宋体" w:cs="宋体"/>
          <w:b/>
          <w:kern w:val="0"/>
          <w:sz w:val="24"/>
          <w:szCs w:val="24"/>
          <w:highlight w:val="none"/>
          <w:lang w:val="zh-CN"/>
        </w:rPr>
        <w:t>《中小企业声明函》</w:t>
      </w:r>
      <w:r>
        <w:rPr>
          <w:rFonts w:hint="eastAsia" w:ascii="宋体" w:hAnsi="宋体" w:eastAsia="宋体" w:cs="宋体"/>
          <w:b/>
          <w:kern w:val="0"/>
          <w:sz w:val="24"/>
          <w:szCs w:val="24"/>
          <w:highlight w:val="none"/>
        </w:rPr>
        <w:t>，如未按要求填写或</w:t>
      </w:r>
      <w:r>
        <w:rPr>
          <w:rFonts w:hint="eastAsia" w:ascii="宋体" w:hAnsi="宋体" w:eastAsia="宋体" w:cs="宋体"/>
          <w:b/>
          <w:kern w:val="0"/>
          <w:sz w:val="24"/>
          <w:szCs w:val="24"/>
          <w:highlight w:val="none"/>
          <w:lang w:val="zh-CN"/>
        </w:rPr>
        <w:t>相关内容表述不清的，</w:t>
      </w:r>
      <w:r>
        <w:rPr>
          <w:rFonts w:hint="eastAsia" w:ascii="宋体" w:hAnsi="宋体" w:eastAsia="宋体" w:cs="宋体"/>
          <w:b/>
          <w:kern w:val="0"/>
          <w:sz w:val="24"/>
          <w:szCs w:val="24"/>
          <w:highlight w:val="none"/>
        </w:rPr>
        <w:t>不得享受价格扣除。</w:t>
      </w:r>
    </w:p>
    <w:p w14:paraId="73741ED0">
      <w:pPr>
        <w:tabs>
          <w:tab w:val="left" w:pos="1440"/>
        </w:tabs>
        <w:autoSpaceDE w:val="0"/>
        <w:autoSpaceDN w:val="0"/>
        <w:adjustRightInd w:val="0"/>
        <w:spacing w:line="360" w:lineRule="auto"/>
        <w:rPr>
          <w:rFonts w:hint="eastAsia" w:ascii="宋体" w:hAnsi="宋体" w:eastAsia="宋体" w:cs="宋体"/>
          <w:kern w:val="0"/>
          <w:sz w:val="24"/>
          <w:szCs w:val="24"/>
          <w:highlight w:val="none"/>
        </w:rPr>
      </w:pPr>
    </w:p>
    <w:p w14:paraId="2008893E">
      <w:pPr>
        <w:tabs>
          <w:tab w:val="left" w:pos="1440"/>
        </w:tabs>
        <w:autoSpaceDE w:val="0"/>
        <w:autoSpaceDN w:val="0"/>
        <w:adjustRightInd w:val="0"/>
        <w:spacing w:line="360" w:lineRule="auto"/>
        <w:rPr>
          <w:rFonts w:hint="eastAsia" w:ascii="宋体" w:hAnsi="宋体" w:eastAsia="宋体" w:cs="宋体"/>
          <w:kern w:val="0"/>
          <w:sz w:val="24"/>
          <w:szCs w:val="24"/>
          <w:highlight w:val="none"/>
        </w:rPr>
      </w:pPr>
    </w:p>
    <w:p w14:paraId="5EA04F25">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lang w:val="zh-CN" w:eastAsia="zh-CN"/>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0501C5C5">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val="zh-CN" w:eastAsia="zh-CN"/>
        </w:rPr>
        <w:t>）分项报价表（如有）</w:t>
      </w:r>
    </w:p>
    <w:p w14:paraId="5179997B">
      <w:pPr>
        <w:spacing w:line="360" w:lineRule="auto"/>
        <w:rPr>
          <w:rFonts w:hint="eastAsia" w:ascii="宋体" w:hAnsi="宋体" w:eastAsia="宋体" w:cs="宋体"/>
          <w:kern w:val="0"/>
          <w:sz w:val="24"/>
          <w:szCs w:val="24"/>
          <w:highlight w:val="none"/>
        </w:rPr>
      </w:pPr>
    </w:p>
    <w:p w14:paraId="3519E3D1">
      <w:pPr>
        <w:pageBreakBefore w:val="0"/>
        <w:kinsoku/>
        <w:wordWrap/>
        <w:overflowPunct/>
        <w:topLinePunct w:val="0"/>
        <w:bidi w:val="0"/>
        <w:spacing w:line="36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（按照采购文件附件《工程量清单》要求报价）</w:t>
      </w:r>
    </w:p>
    <w:p w14:paraId="0002F250">
      <w:pPr>
        <w:pStyle w:val="24"/>
        <w:spacing w:line="360" w:lineRule="auto"/>
        <w:rPr>
          <w:rFonts w:hint="eastAsia" w:ascii="宋体" w:hAnsi="宋体" w:eastAsia="宋体" w:cs="宋体"/>
          <w:highlight w:val="none"/>
        </w:rPr>
      </w:pPr>
    </w:p>
    <w:p w14:paraId="70339572">
      <w:pPr>
        <w:spacing w:line="360" w:lineRule="auto"/>
        <w:rPr>
          <w:rFonts w:hint="eastAsia" w:ascii="宋体" w:hAnsi="宋体" w:eastAsia="宋体" w:cs="宋体"/>
          <w:kern w:val="0"/>
          <w:sz w:val="24"/>
          <w:szCs w:val="24"/>
          <w:highlight w:val="none"/>
        </w:rPr>
      </w:pPr>
    </w:p>
    <w:p w14:paraId="5D524CEB">
      <w:pPr>
        <w:pStyle w:val="24"/>
        <w:spacing w:line="360" w:lineRule="auto"/>
        <w:rPr>
          <w:rFonts w:hint="eastAsia" w:ascii="宋体" w:hAnsi="宋体" w:eastAsia="宋体" w:cs="宋体"/>
          <w:kern w:val="0"/>
          <w:sz w:val="24"/>
          <w:szCs w:val="24"/>
          <w:highlight w:val="none"/>
        </w:rPr>
      </w:pPr>
    </w:p>
    <w:p w14:paraId="2A6DA61F">
      <w:pPr>
        <w:pStyle w:val="44"/>
        <w:spacing w:line="360" w:lineRule="auto"/>
        <w:ind w:left="0" w:leftChars="0" w:firstLine="0" w:firstLineChars="0"/>
        <w:rPr>
          <w:rFonts w:hint="eastAsia" w:ascii="宋体" w:hAnsi="宋体" w:eastAsia="宋体" w:cs="宋体"/>
          <w:kern w:val="0"/>
          <w:sz w:val="24"/>
          <w:szCs w:val="24"/>
          <w:highlight w:val="none"/>
        </w:rPr>
      </w:pPr>
    </w:p>
    <w:p w14:paraId="22A8D80F">
      <w:pPr>
        <w:pStyle w:val="4"/>
        <w:pageBreakBefore w:val="0"/>
        <w:widowControl w:val="0"/>
        <w:kinsoku/>
        <w:wordWrap/>
        <w:overflowPunct/>
        <w:autoSpaceDE/>
        <w:autoSpaceDN/>
        <w:bidi w:val="0"/>
        <w:adjustRightInd/>
        <w:snapToGrid/>
        <w:spacing w:before="0" w:after="0" w:line="360" w:lineRule="auto"/>
        <w:textAlignment w:val="auto"/>
        <w:outlineLvl w:val="9"/>
        <w:rPr>
          <w:rFonts w:hint="eastAsia" w:ascii="宋体" w:hAnsi="宋体" w:eastAsia="宋体" w:cs="宋体"/>
          <w:b/>
          <w:bCs/>
          <w:kern w:val="0"/>
          <w:sz w:val="24"/>
          <w:szCs w:val="24"/>
          <w:highlight w:val="none"/>
          <w:lang w:val="zh-CN" w:eastAsia="zh-CN" w:bidi="ar-SA"/>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bookmarkStart w:id="632" w:name="_Toc89686194"/>
    </w:p>
    <w:p w14:paraId="392BA498">
      <w:pPr>
        <w:pStyle w:val="4"/>
        <w:pageBreakBefore w:val="0"/>
        <w:widowControl w:val="0"/>
        <w:kinsoku/>
        <w:wordWrap/>
        <w:overflowPunct/>
        <w:autoSpaceDE/>
        <w:autoSpaceDN/>
        <w:bidi w:val="0"/>
        <w:adjustRightInd/>
        <w:snapToGrid/>
        <w:spacing w:before="0" w:after="0"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bCs/>
          <w:kern w:val="0"/>
          <w:sz w:val="24"/>
          <w:szCs w:val="24"/>
          <w:highlight w:val="none"/>
          <w:lang w:val="zh-CN" w:eastAsia="zh-CN" w:bidi="ar-SA"/>
        </w:rPr>
        <w:t>附件</w:t>
      </w: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kern w:val="0"/>
          <w:sz w:val="24"/>
          <w:szCs w:val="24"/>
          <w:highlight w:val="none"/>
          <w:lang w:val="zh-CN" w:eastAsia="zh-CN" w:bidi="ar-SA"/>
        </w:rPr>
        <w:t>、</w:t>
      </w:r>
      <w:bookmarkEnd w:id="632"/>
      <w:r>
        <w:rPr>
          <w:rFonts w:hint="eastAsia" w:ascii="宋体" w:hAnsi="宋体" w:eastAsia="宋体" w:cs="宋体"/>
          <w:b/>
          <w:bCs/>
          <w:kern w:val="0"/>
          <w:sz w:val="24"/>
          <w:szCs w:val="24"/>
          <w:highlight w:val="none"/>
          <w:lang w:val="en-US" w:eastAsia="zh-CN" w:bidi="ar-SA"/>
        </w:rPr>
        <w:t>项</w:t>
      </w:r>
      <w:r>
        <w:rPr>
          <w:rFonts w:hint="eastAsia" w:ascii="宋体" w:hAnsi="宋体" w:eastAsia="宋体" w:cs="宋体"/>
          <w:sz w:val="24"/>
          <w:szCs w:val="24"/>
          <w:highlight w:val="none"/>
          <w:lang w:val="en-US"/>
        </w:rPr>
        <w:t>目组成人员一览表格式</w:t>
      </w:r>
    </w:p>
    <w:p w14:paraId="290E541E">
      <w:pPr>
        <w:pageBreakBefore w:val="0"/>
        <w:widowControl w:val="0"/>
        <w:kinsoku/>
        <w:wordWrap/>
        <w:overflowPunct/>
        <w:topLinePunct/>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项目组成人员一览表</w:t>
      </w:r>
    </w:p>
    <w:tbl>
      <w:tblPr>
        <w:tblStyle w:val="29"/>
        <w:tblW w:w="6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74"/>
        <w:gridCol w:w="1516"/>
        <w:gridCol w:w="673"/>
        <w:gridCol w:w="673"/>
        <w:gridCol w:w="1937"/>
        <w:gridCol w:w="673"/>
      </w:tblGrid>
      <w:tr w14:paraId="46C7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3" w:type="dxa"/>
            <w:noWrap w:val="0"/>
            <w:vAlign w:val="center"/>
          </w:tcPr>
          <w:p w14:paraId="5E7AA103">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序号</w:t>
            </w:r>
          </w:p>
        </w:tc>
        <w:tc>
          <w:tcPr>
            <w:tcW w:w="674" w:type="dxa"/>
            <w:noWrap w:val="0"/>
            <w:vAlign w:val="center"/>
          </w:tcPr>
          <w:p w14:paraId="0AA1D07E">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姓名</w:t>
            </w:r>
          </w:p>
        </w:tc>
        <w:tc>
          <w:tcPr>
            <w:tcW w:w="1516" w:type="dxa"/>
            <w:noWrap w:val="0"/>
            <w:vAlign w:val="center"/>
          </w:tcPr>
          <w:p w14:paraId="45542F09">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岗位</w:t>
            </w:r>
          </w:p>
        </w:tc>
        <w:tc>
          <w:tcPr>
            <w:tcW w:w="673" w:type="dxa"/>
            <w:noWrap w:val="0"/>
            <w:vAlign w:val="center"/>
          </w:tcPr>
          <w:p w14:paraId="1679FCC9">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trike/>
                <w:snapToGrid w:val="0"/>
                <w:sz w:val="24"/>
                <w:szCs w:val="24"/>
                <w:highlight w:val="none"/>
              </w:rPr>
            </w:pPr>
            <w:r>
              <w:rPr>
                <w:rFonts w:hint="eastAsia" w:ascii="宋体" w:hAnsi="宋体" w:eastAsia="宋体" w:cs="宋体"/>
                <w:snapToGrid w:val="0"/>
                <w:sz w:val="24"/>
                <w:szCs w:val="24"/>
                <w:highlight w:val="none"/>
              </w:rPr>
              <w:t>年龄</w:t>
            </w:r>
          </w:p>
        </w:tc>
        <w:tc>
          <w:tcPr>
            <w:tcW w:w="673" w:type="dxa"/>
            <w:noWrap w:val="0"/>
            <w:vAlign w:val="center"/>
          </w:tcPr>
          <w:p w14:paraId="02439176">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性别</w:t>
            </w:r>
          </w:p>
        </w:tc>
        <w:tc>
          <w:tcPr>
            <w:tcW w:w="1937" w:type="dxa"/>
            <w:noWrap w:val="0"/>
            <w:vAlign w:val="center"/>
          </w:tcPr>
          <w:p w14:paraId="5D632AE8">
            <w:pPr>
              <w:pageBreakBefore w:val="0"/>
              <w:widowControl w:val="0"/>
              <w:kinsoku/>
              <w:wordWrap/>
              <w:overflowPunct/>
              <w:autoSpaceDE/>
              <w:autoSpaceDN/>
              <w:bidi w:val="0"/>
              <w:adjustRightInd/>
              <w:snapToGrid/>
              <w:spacing w:line="360" w:lineRule="auto"/>
              <w:jc w:val="both"/>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证书编号/或证书专业名称</w:t>
            </w:r>
          </w:p>
        </w:tc>
        <w:tc>
          <w:tcPr>
            <w:tcW w:w="673" w:type="dxa"/>
            <w:noWrap w:val="0"/>
            <w:vAlign w:val="center"/>
          </w:tcPr>
          <w:p w14:paraId="013318FF">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备注</w:t>
            </w:r>
          </w:p>
        </w:tc>
      </w:tr>
      <w:tr w14:paraId="1600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noWrap w:val="0"/>
            <w:vAlign w:val="center"/>
          </w:tcPr>
          <w:p w14:paraId="43269DD8">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p>
        </w:tc>
        <w:tc>
          <w:tcPr>
            <w:tcW w:w="674" w:type="dxa"/>
            <w:noWrap w:val="0"/>
            <w:vAlign w:val="center"/>
          </w:tcPr>
          <w:p w14:paraId="0A237A76">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516" w:type="dxa"/>
            <w:noWrap w:val="0"/>
            <w:vAlign w:val="center"/>
          </w:tcPr>
          <w:p w14:paraId="7580EF03">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48855A57">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4E57499A">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937" w:type="dxa"/>
            <w:noWrap w:val="0"/>
            <w:vAlign w:val="center"/>
          </w:tcPr>
          <w:p w14:paraId="0892D0C6">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418A318B">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r>
      <w:tr w14:paraId="3C0A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noWrap w:val="0"/>
            <w:vAlign w:val="center"/>
          </w:tcPr>
          <w:p w14:paraId="43D80F5B">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p>
        </w:tc>
        <w:tc>
          <w:tcPr>
            <w:tcW w:w="674" w:type="dxa"/>
            <w:noWrap w:val="0"/>
            <w:vAlign w:val="center"/>
          </w:tcPr>
          <w:p w14:paraId="20B550A8">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516" w:type="dxa"/>
            <w:noWrap w:val="0"/>
            <w:vAlign w:val="center"/>
          </w:tcPr>
          <w:p w14:paraId="17172C9F">
            <w:pPr>
              <w:spacing w:line="360" w:lineRule="auto"/>
              <w:jc w:val="center"/>
              <w:rPr>
                <w:rFonts w:hint="eastAsia" w:ascii="宋体" w:hAnsi="宋体" w:eastAsia="宋体" w:cs="宋体"/>
                <w:color w:val="000000"/>
                <w:sz w:val="24"/>
                <w:szCs w:val="24"/>
                <w:highlight w:val="none"/>
                <w:lang w:val="en-US" w:eastAsia="zh-CN"/>
              </w:rPr>
            </w:pPr>
          </w:p>
        </w:tc>
        <w:tc>
          <w:tcPr>
            <w:tcW w:w="673" w:type="dxa"/>
            <w:noWrap w:val="0"/>
            <w:vAlign w:val="center"/>
          </w:tcPr>
          <w:p w14:paraId="1DD900FE">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2BEBD87B">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937" w:type="dxa"/>
            <w:noWrap w:val="0"/>
            <w:vAlign w:val="center"/>
          </w:tcPr>
          <w:p w14:paraId="5045C780">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7C68660F">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r>
      <w:tr w14:paraId="0D00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noWrap w:val="0"/>
            <w:vAlign w:val="center"/>
          </w:tcPr>
          <w:p w14:paraId="0A5257A6">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p>
        </w:tc>
        <w:tc>
          <w:tcPr>
            <w:tcW w:w="674" w:type="dxa"/>
            <w:noWrap w:val="0"/>
            <w:vAlign w:val="center"/>
          </w:tcPr>
          <w:p w14:paraId="3C2DC55E">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516" w:type="dxa"/>
            <w:noWrap w:val="0"/>
            <w:vAlign w:val="center"/>
          </w:tcPr>
          <w:p w14:paraId="2913C0F2">
            <w:pPr>
              <w:spacing w:line="360" w:lineRule="auto"/>
              <w:jc w:val="center"/>
              <w:rPr>
                <w:rFonts w:hint="eastAsia" w:ascii="宋体" w:hAnsi="宋体" w:eastAsia="宋体" w:cs="宋体"/>
                <w:color w:val="000000"/>
                <w:sz w:val="24"/>
                <w:szCs w:val="24"/>
                <w:highlight w:val="none"/>
                <w:lang w:val="en-US" w:eastAsia="zh-CN"/>
              </w:rPr>
            </w:pPr>
          </w:p>
        </w:tc>
        <w:tc>
          <w:tcPr>
            <w:tcW w:w="673" w:type="dxa"/>
            <w:noWrap w:val="0"/>
            <w:vAlign w:val="center"/>
          </w:tcPr>
          <w:p w14:paraId="44B61992">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05CAE189">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937" w:type="dxa"/>
            <w:noWrap w:val="0"/>
            <w:vAlign w:val="center"/>
          </w:tcPr>
          <w:p w14:paraId="5A4E1B3F">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29F61FD0">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r>
      <w:tr w14:paraId="38E1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noWrap w:val="0"/>
            <w:vAlign w:val="center"/>
          </w:tcPr>
          <w:p w14:paraId="0B6534AA">
            <w:pPr>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cs="宋体"/>
                <w:snapToGrid w:val="0"/>
                <w:sz w:val="24"/>
                <w:szCs w:val="24"/>
                <w:highlight w:val="none"/>
              </w:rPr>
            </w:pPr>
          </w:p>
        </w:tc>
        <w:tc>
          <w:tcPr>
            <w:tcW w:w="674" w:type="dxa"/>
            <w:noWrap w:val="0"/>
            <w:vAlign w:val="center"/>
          </w:tcPr>
          <w:p w14:paraId="34A0BDD1">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516" w:type="dxa"/>
            <w:noWrap w:val="0"/>
            <w:vAlign w:val="center"/>
          </w:tcPr>
          <w:p w14:paraId="680728BC">
            <w:pPr>
              <w:spacing w:line="360" w:lineRule="auto"/>
              <w:jc w:val="center"/>
              <w:rPr>
                <w:rFonts w:hint="eastAsia" w:ascii="宋体" w:hAnsi="宋体" w:eastAsia="宋体" w:cs="宋体"/>
                <w:color w:val="000000"/>
                <w:sz w:val="24"/>
                <w:szCs w:val="24"/>
                <w:highlight w:val="none"/>
                <w:lang w:val="en-US" w:eastAsia="zh-CN"/>
              </w:rPr>
            </w:pPr>
          </w:p>
        </w:tc>
        <w:tc>
          <w:tcPr>
            <w:tcW w:w="673" w:type="dxa"/>
            <w:noWrap w:val="0"/>
            <w:vAlign w:val="center"/>
          </w:tcPr>
          <w:p w14:paraId="2ACC71C7">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324AE3CA">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1937" w:type="dxa"/>
            <w:noWrap w:val="0"/>
            <w:vAlign w:val="center"/>
          </w:tcPr>
          <w:p w14:paraId="424987FB">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c>
          <w:tcPr>
            <w:tcW w:w="673" w:type="dxa"/>
            <w:noWrap w:val="0"/>
            <w:vAlign w:val="center"/>
          </w:tcPr>
          <w:p w14:paraId="12A4BD0C">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napToGrid w:val="0"/>
                <w:sz w:val="24"/>
                <w:szCs w:val="24"/>
                <w:highlight w:val="none"/>
              </w:rPr>
            </w:pPr>
          </w:p>
        </w:tc>
      </w:tr>
    </w:tbl>
    <w:p w14:paraId="7CE35B97">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14:paraId="522DF06D">
      <w:pPr>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如行数不够，请自行增加</w:t>
      </w:r>
    </w:p>
    <w:p w14:paraId="0837D9E5">
      <w:pPr>
        <w:pageBreakBefore w:val="0"/>
        <w:widowControl w:val="0"/>
        <w:tabs>
          <w:tab w:val="left" w:pos="851"/>
        </w:tabs>
        <w:kinsoku/>
        <w:wordWrap/>
        <w:overflowPunct/>
        <w:autoSpaceDE/>
        <w:autoSpaceDN/>
        <w:bidi w:val="0"/>
        <w:adjustRightInd/>
        <w:snapToGrid/>
        <w:spacing w:line="360" w:lineRule="auto"/>
        <w:textAlignment w:val="auto"/>
        <w:rPr>
          <w:rFonts w:hint="eastAsia" w:ascii="宋体" w:hAnsi="宋体" w:eastAsia="宋体" w:cs="宋体"/>
          <w:sz w:val="24"/>
          <w:szCs w:val="24"/>
          <w:highlight w:val="none"/>
        </w:rPr>
      </w:pPr>
    </w:p>
    <w:p w14:paraId="0289C22D">
      <w:pPr>
        <w:pStyle w:val="4"/>
        <w:tabs>
          <w:tab w:val="left" w:pos="1440"/>
          <w:tab w:val="left" w:pos="5670"/>
        </w:tabs>
        <w:spacing w:before="240" w:after="240" w:line="360" w:lineRule="auto"/>
        <w:outlineLvl w:val="9"/>
        <w:rPr>
          <w:rFonts w:hint="eastAsia" w:ascii="宋体" w:hAnsi="宋体" w:eastAsia="宋体" w:cs="宋体"/>
          <w:sz w:val="24"/>
          <w:szCs w:val="24"/>
          <w:highlight w:val="none"/>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2F9B5B67">
      <w:pPr>
        <w:pStyle w:val="4"/>
        <w:tabs>
          <w:tab w:val="left" w:pos="1440"/>
          <w:tab w:val="left" w:pos="5670"/>
        </w:tabs>
        <w:spacing w:before="240" w:after="24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、业绩情况一览表</w:t>
      </w:r>
    </w:p>
    <w:p w14:paraId="7C3AF350">
      <w:pPr>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业绩情况一览表</w:t>
      </w:r>
    </w:p>
    <w:tbl>
      <w:tblPr>
        <w:tblStyle w:val="29"/>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559"/>
        <w:gridCol w:w="1321"/>
        <w:gridCol w:w="1500"/>
        <w:gridCol w:w="981"/>
      </w:tblGrid>
      <w:tr w14:paraId="70EB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04" w:type="dxa"/>
            <w:noWrap/>
            <w:vAlign w:val="center"/>
          </w:tcPr>
          <w:p w14:paraId="741B652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410" w:type="dxa"/>
            <w:noWrap/>
            <w:vAlign w:val="center"/>
          </w:tcPr>
          <w:p w14:paraId="25958F9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559" w:type="dxa"/>
            <w:noWrap/>
            <w:vAlign w:val="center"/>
          </w:tcPr>
          <w:p w14:paraId="5AF1030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业主方</w:t>
            </w:r>
          </w:p>
        </w:tc>
        <w:tc>
          <w:tcPr>
            <w:tcW w:w="1321" w:type="dxa"/>
            <w:noWrap/>
            <w:vAlign w:val="center"/>
          </w:tcPr>
          <w:p w14:paraId="3C52B3E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项目规模</w:t>
            </w:r>
          </w:p>
        </w:tc>
        <w:tc>
          <w:tcPr>
            <w:tcW w:w="1500" w:type="dxa"/>
            <w:noWrap/>
            <w:vAlign w:val="center"/>
          </w:tcPr>
          <w:p w14:paraId="192A511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签约时间</w:t>
            </w:r>
          </w:p>
        </w:tc>
        <w:tc>
          <w:tcPr>
            <w:tcW w:w="981" w:type="dxa"/>
            <w:noWrap/>
            <w:vAlign w:val="center"/>
          </w:tcPr>
          <w:p w14:paraId="69E00F7E">
            <w:pPr>
              <w:spacing w:line="360" w:lineRule="auto"/>
              <w:ind w:firstLine="229" w:firstLineChars="9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2541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top"/>
          </w:tcPr>
          <w:p w14:paraId="28B2F09F">
            <w:pPr>
              <w:spacing w:line="360" w:lineRule="auto"/>
              <w:ind w:firstLine="420"/>
              <w:jc w:val="center"/>
              <w:rPr>
                <w:rFonts w:hint="eastAsia" w:ascii="宋体" w:hAnsi="宋体" w:eastAsia="宋体" w:cs="宋体"/>
                <w:sz w:val="24"/>
                <w:szCs w:val="24"/>
                <w:highlight w:val="none"/>
              </w:rPr>
            </w:pPr>
          </w:p>
        </w:tc>
        <w:tc>
          <w:tcPr>
            <w:tcW w:w="2410" w:type="dxa"/>
            <w:noWrap/>
            <w:vAlign w:val="top"/>
          </w:tcPr>
          <w:p w14:paraId="46D26E8C">
            <w:pPr>
              <w:spacing w:line="360" w:lineRule="auto"/>
              <w:ind w:firstLine="420"/>
              <w:jc w:val="center"/>
              <w:rPr>
                <w:rFonts w:hint="eastAsia" w:ascii="宋体" w:hAnsi="宋体" w:eastAsia="宋体" w:cs="宋体"/>
                <w:sz w:val="24"/>
                <w:szCs w:val="24"/>
                <w:highlight w:val="none"/>
              </w:rPr>
            </w:pPr>
          </w:p>
        </w:tc>
        <w:tc>
          <w:tcPr>
            <w:tcW w:w="1559" w:type="dxa"/>
            <w:noWrap/>
            <w:vAlign w:val="top"/>
          </w:tcPr>
          <w:p w14:paraId="134EC6DF">
            <w:pPr>
              <w:spacing w:line="360" w:lineRule="auto"/>
              <w:ind w:firstLine="120" w:firstLineChars="50"/>
              <w:rPr>
                <w:rFonts w:hint="eastAsia" w:ascii="宋体" w:hAnsi="宋体" w:eastAsia="宋体" w:cs="宋体"/>
                <w:sz w:val="24"/>
                <w:szCs w:val="24"/>
                <w:highlight w:val="none"/>
              </w:rPr>
            </w:pPr>
          </w:p>
        </w:tc>
        <w:tc>
          <w:tcPr>
            <w:tcW w:w="1321" w:type="dxa"/>
            <w:noWrap/>
            <w:vAlign w:val="top"/>
          </w:tcPr>
          <w:p w14:paraId="635A6180">
            <w:pPr>
              <w:spacing w:line="360" w:lineRule="auto"/>
              <w:ind w:firstLine="420"/>
              <w:jc w:val="center"/>
              <w:rPr>
                <w:rFonts w:hint="eastAsia" w:ascii="宋体" w:hAnsi="宋体" w:eastAsia="宋体" w:cs="宋体"/>
                <w:sz w:val="24"/>
                <w:szCs w:val="24"/>
                <w:highlight w:val="none"/>
              </w:rPr>
            </w:pPr>
          </w:p>
        </w:tc>
        <w:tc>
          <w:tcPr>
            <w:tcW w:w="1500" w:type="dxa"/>
            <w:noWrap/>
            <w:vAlign w:val="top"/>
          </w:tcPr>
          <w:p w14:paraId="2B808770">
            <w:pPr>
              <w:spacing w:line="360" w:lineRule="auto"/>
              <w:ind w:firstLine="420"/>
              <w:jc w:val="center"/>
              <w:rPr>
                <w:rFonts w:hint="eastAsia" w:ascii="宋体" w:hAnsi="宋体" w:eastAsia="宋体" w:cs="宋体"/>
                <w:sz w:val="24"/>
                <w:szCs w:val="24"/>
                <w:highlight w:val="none"/>
              </w:rPr>
            </w:pPr>
          </w:p>
        </w:tc>
        <w:tc>
          <w:tcPr>
            <w:tcW w:w="981" w:type="dxa"/>
            <w:noWrap/>
            <w:vAlign w:val="top"/>
          </w:tcPr>
          <w:p w14:paraId="187FAB24">
            <w:pPr>
              <w:spacing w:line="360" w:lineRule="auto"/>
              <w:ind w:firstLine="420"/>
              <w:jc w:val="center"/>
              <w:rPr>
                <w:rFonts w:hint="eastAsia" w:ascii="宋体" w:hAnsi="宋体" w:eastAsia="宋体" w:cs="宋体"/>
                <w:sz w:val="24"/>
                <w:szCs w:val="24"/>
                <w:highlight w:val="none"/>
              </w:rPr>
            </w:pPr>
          </w:p>
        </w:tc>
      </w:tr>
      <w:tr w14:paraId="65ED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top"/>
          </w:tcPr>
          <w:p w14:paraId="564DC669">
            <w:pPr>
              <w:spacing w:line="360" w:lineRule="auto"/>
              <w:ind w:firstLine="420"/>
              <w:jc w:val="center"/>
              <w:rPr>
                <w:rFonts w:hint="eastAsia" w:ascii="宋体" w:hAnsi="宋体" w:eastAsia="宋体" w:cs="宋体"/>
                <w:sz w:val="24"/>
                <w:szCs w:val="24"/>
                <w:highlight w:val="none"/>
              </w:rPr>
            </w:pPr>
          </w:p>
        </w:tc>
        <w:tc>
          <w:tcPr>
            <w:tcW w:w="2410" w:type="dxa"/>
            <w:noWrap/>
            <w:vAlign w:val="top"/>
          </w:tcPr>
          <w:p w14:paraId="356C86CF">
            <w:pPr>
              <w:spacing w:line="360" w:lineRule="auto"/>
              <w:ind w:firstLine="420"/>
              <w:jc w:val="center"/>
              <w:rPr>
                <w:rFonts w:hint="eastAsia" w:ascii="宋体" w:hAnsi="宋体" w:eastAsia="宋体" w:cs="宋体"/>
                <w:sz w:val="24"/>
                <w:szCs w:val="24"/>
                <w:highlight w:val="none"/>
              </w:rPr>
            </w:pPr>
          </w:p>
        </w:tc>
        <w:tc>
          <w:tcPr>
            <w:tcW w:w="1559" w:type="dxa"/>
            <w:noWrap/>
            <w:vAlign w:val="top"/>
          </w:tcPr>
          <w:p w14:paraId="720725CA">
            <w:pPr>
              <w:spacing w:line="360" w:lineRule="auto"/>
              <w:ind w:firstLine="420"/>
              <w:jc w:val="center"/>
              <w:rPr>
                <w:rFonts w:hint="eastAsia" w:ascii="宋体" w:hAnsi="宋体" w:eastAsia="宋体" w:cs="宋体"/>
                <w:sz w:val="24"/>
                <w:szCs w:val="24"/>
                <w:highlight w:val="none"/>
              </w:rPr>
            </w:pPr>
          </w:p>
        </w:tc>
        <w:tc>
          <w:tcPr>
            <w:tcW w:w="1321" w:type="dxa"/>
            <w:noWrap/>
            <w:vAlign w:val="top"/>
          </w:tcPr>
          <w:p w14:paraId="6EFAD728">
            <w:pPr>
              <w:spacing w:line="360" w:lineRule="auto"/>
              <w:ind w:firstLine="420"/>
              <w:jc w:val="center"/>
              <w:rPr>
                <w:rFonts w:hint="eastAsia" w:ascii="宋体" w:hAnsi="宋体" w:eastAsia="宋体" w:cs="宋体"/>
                <w:sz w:val="24"/>
                <w:szCs w:val="24"/>
                <w:highlight w:val="none"/>
              </w:rPr>
            </w:pPr>
          </w:p>
        </w:tc>
        <w:tc>
          <w:tcPr>
            <w:tcW w:w="1500" w:type="dxa"/>
            <w:noWrap/>
            <w:vAlign w:val="top"/>
          </w:tcPr>
          <w:p w14:paraId="5AEEC69B">
            <w:pPr>
              <w:spacing w:line="360" w:lineRule="auto"/>
              <w:ind w:firstLine="420"/>
              <w:jc w:val="center"/>
              <w:rPr>
                <w:rFonts w:hint="eastAsia" w:ascii="宋体" w:hAnsi="宋体" w:eastAsia="宋体" w:cs="宋体"/>
                <w:sz w:val="24"/>
                <w:szCs w:val="24"/>
                <w:highlight w:val="none"/>
              </w:rPr>
            </w:pPr>
          </w:p>
        </w:tc>
        <w:tc>
          <w:tcPr>
            <w:tcW w:w="981" w:type="dxa"/>
            <w:noWrap/>
            <w:vAlign w:val="top"/>
          </w:tcPr>
          <w:p w14:paraId="727B5F4C">
            <w:pPr>
              <w:spacing w:line="360" w:lineRule="auto"/>
              <w:ind w:firstLine="420"/>
              <w:jc w:val="center"/>
              <w:rPr>
                <w:rFonts w:hint="eastAsia" w:ascii="宋体" w:hAnsi="宋体" w:eastAsia="宋体" w:cs="宋体"/>
                <w:sz w:val="24"/>
                <w:szCs w:val="24"/>
                <w:highlight w:val="none"/>
              </w:rPr>
            </w:pPr>
          </w:p>
        </w:tc>
      </w:tr>
      <w:tr w14:paraId="283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noWrap/>
            <w:vAlign w:val="top"/>
          </w:tcPr>
          <w:p w14:paraId="54B48617">
            <w:pPr>
              <w:spacing w:line="360" w:lineRule="auto"/>
              <w:ind w:firstLine="420"/>
              <w:jc w:val="center"/>
              <w:rPr>
                <w:rFonts w:hint="eastAsia" w:ascii="宋体" w:hAnsi="宋体" w:eastAsia="宋体" w:cs="宋体"/>
                <w:sz w:val="24"/>
                <w:szCs w:val="24"/>
                <w:highlight w:val="none"/>
              </w:rPr>
            </w:pPr>
          </w:p>
        </w:tc>
        <w:tc>
          <w:tcPr>
            <w:tcW w:w="2410" w:type="dxa"/>
            <w:noWrap/>
            <w:vAlign w:val="top"/>
          </w:tcPr>
          <w:p w14:paraId="23560CCD">
            <w:pPr>
              <w:spacing w:line="360" w:lineRule="auto"/>
              <w:ind w:firstLine="420"/>
              <w:jc w:val="center"/>
              <w:rPr>
                <w:rFonts w:hint="eastAsia" w:ascii="宋体" w:hAnsi="宋体" w:eastAsia="宋体" w:cs="宋体"/>
                <w:sz w:val="24"/>
                <w:szCs w:val="24"/>
                <w:highlight w:val="none"/>
              </w:rPr>
            </w:pPr>
          </w:p>
        </w:tc>
        <w:tc>
          <w:tcPr>
            <w:tcW w:w="1559" w:type="dxa"/>
            <w:noWrap/>
            <w:vAlign w:val="top"/>
          </w:tcPr>
          <w:p w14:paraId="295DCB4F">
            <w:pPr>
              <w:spacing w:line="360" w:lineRule="auto"/>
              <w:ind w:firstLine="420"/>
              <w:jc w:val="center"/>
              <w:rPr>
                <w:rFonts w:hint="eastAsia" w:ascii="宋体" w:hAnsi="宋体" w:eastAsia="宋体" w:cs="宋体"/>
                <w:sz w:val="24"/>
                <w:szCs w:val="24"/>
                <w:highlight w:val="none"/>
              </w:rPr>
            </w:pPr>
          </w:p>
        </w:tc>
        <w:tc>
          <w:tcPr>
            <w:tcW w:w="1321" w:type="dxa"/>
            <w:noWrap/>
            <w:vAlign w:val="top"/>
          </w:tcPr>
          <w:p w14:paraId="4119A1CE">
            <w:pPr>
              <w:spacing w:line="360" w:lineRule="auto"/>
              <w:ind w:firstLine="420"/>
              <w:jc w:val="center"/>
              <w:rPr>
                <w:rFonts w:hint="eastAsia" w:ascii="宋体" w:hAnsi="宋体" w:eastAsia="宋体" w:cs="宋体"/>
                <w:sz w:val="24"/>
                <w:szCs w:val="24"/>
                <w:highlight w:val="none"/>
              </w:rPr>
            </w:pPr>
          </w:p>
        </w:tc>
        <w:tc>
          <w:tcPr>
            <w:tcW w:w="1500" w:type="dxa"/>
            <w:noWrap/>
            <w:vAlign w:val="top"/>
          </w:tcPr>
          <w:p w14:paraId="29D4D961">
            <w:pPr>
              <w:spacing w:line="360" w:lineRule="auto"/>
              <w:ind w:firstLine="420"/>
              <w:jc w:val="center"/>
              <w:rPr>
                <w:rFonts w:hint="eastAsia" w:ascii="宋体" w:hAnsi="宋体" w:eastAsia="宋体" w:cs="宋体"/>
                <w:sz w:val="24"/>
                <w:szCs w:val="24"/>
                <w:highlight w:val="none"/>
              </w:rPr>
            </w:pPr>
          </w:p>
        </w:tc>
        <w:tc>
          <w:tcPr>
            <w:tcW w:w="981" w:type="dxa"/>
            <w:noWrap/>
            <w:vAlign w:val="top"/>
          </w:tcPr>
          <w:p w14:paraId="7DC1B8F1">
            <w:pPr>
              <w:spacing w:line="360" w:lineRule="auto"/>
              <w:ind w:firstLine="420"/>
              <w:jc w:val="center"/>
              <w:rPr>
                <w:rFonts w:hint="eastAsia" w:ascii="宋体" w:hAnsi="宋体" w:eastAsia="宋体" w:cs="宋体"/>
                <w:sz w:val="24"/>
                <w:szCs w:val="24"/>
                <w:highlight w:val="none"/>
              </w:rPr>
            </w:pPr>
          </w:p>
        </w:tc>
      </w:tr>
      <w:tr w14:paraId="679C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noWrap/>
            <w:vAlign w:val="top"/>
          </w:tcPr>
          <w:p w14:paraId="05CCB0AE">
            <w:pPr>
              <w:spacing w:line="360" w:lineRule="auto"/>
              <w:ind w:firstLine="420"/>
              <w:jc w:val="center"/>
              <w:rPr>
                <w:rFonts w:hint="eastAsia" w:ascii="宋体" w:hAnsi="宋体" w:eastAsia="宋体" w:cs="宋体"/>
                <w:sz w:val="24"/>
                <w:szCs w:val="24"/>
                <w:highlight w:val="none"/>
              </w:rPr>
            </w:pPr>
          </w:p>
        </w:tc>
        <w:tc>
          <w:tcPr>
            <w:tcW w:w="2410" w:type="dxa"/>
            <w:noWrap/>
            <w:vAlign w:val="top"/>
          </w:tcPr>
          <w:p w14:paraId="7BE977CA">
            <w:pPr>
              <w:spacing w:line="360" w:lineRule="auto"/>
              <w:ind w:firstLine="420"/>
              <w:jc w:val="center"/>
              <w:rPr>
                <w:rFonts w:hint="eastAsia" w:ascii="宋体" w:hAnsi="宋体" w:eastAsia="宋体" w:cs="宋体"/>
                <w:sz w:val="24"/>
                <w:szCs w:val="24"/>
                <w:highlight w:val="none"/>
              </w:rPr>
            </w:pPr>
          </w:p>
        </w:tc>
        <w:tc>
          <w:tcPr>
            <w:tcW w:w="1559" w:type="dxa"/>
            <w:noWrap/>
            <w:vAlign w:val="top"/>
          </w:tcPr>
          <w:p w14:paraId="1478459E">
            <w:pPr>
              <w:spacing w:line="360" w:lineRule="auto"/>
              <w:ind w:firstLine="420"/>
              <w:jc w:val="center"/>
              <w:rPr>
                <w:rFonts w:hint="eastAsia" w:ascii="宋体" w:hAnsi="宋体" w:eastAsia="宋体" w:cs="宋体"/>
                <w:sz w:val="24"/>
                <w:szCs w:val="24"/>
                <w:highlight w:val="none"/>
              </w:rPr>
            </w:pPr>
          </w:p>
        </w:tc>
        <w:tc>
          <w:tcPr>
            <w:tcW w:w="1321" w:type="dxa"/>
            <w:noWrap/>
            <w:vAlign w:val="top"/>
          </w:tcPr>
          <w:p w14:paraId="5BA1A942">
            <w:pPr>
              <w:spacing w:line="360" w:lineRule="auto"/>
              <w:ind w:firstLine="420"/>
              <w:jc w:val="center"/>
              <w:rPr>
                <w:rFonts w:hint="eastAsia" w:ascii="宋体" w:hAnsi="宋体" w:eastAsia="宋体" w:cs="宋体"/>
                <w:sz w:val="24"/>
                <w:szCs w:val="24"/>
                <w:highlight w:val="none"/>
              </w:rPr>
            </w:pPr>
          </w:p>
        </w:tc>
        <w:tc>
          <w:tcPr>
            <w:tcW w:w="1500" w:type="dxa"/>
            <w:noWrap/>
            <w:vAlign w:val="top"/>
          </w:tcPr>
          <w:p w14:paraId="7D1127FA">
            <w:pPr>
              <w:spacing w:line="360" w:lineRule="auto"/>
              <w:ind w:firstLine="420"/>
              <w:jc w:val="center"/>
              <w:rPr>
                <w:rFonts w:hint="eastAsia" w:ascii="宋体" w:hAnsi="宋体" w:eastAsia="宋体" w:cs="宋体"/>
                <w:sz w:val="24"/>
                <w:szCs w:val="24"/>
                <w:highlight w:val="none"/>
              </w:rPr>
            </w:pPr>
          </w:p>
        </w:tc>
        <w:tc>
          <w:tcPr>
            <w:tcW w:w="981" w:type="dxa"/>
            <w:noWrap/>
            <w:vAlign w:val="top"/>
          </w:tcPr>
          <w:p w14:paraId="6B854257">
            <w:pPr>
              <w:spacing w:line="360" w:lineRule="auto"/>
              <w:ind w:firstLine="420"/>
              <w:jc w:val="center"/>
              <w:rPr>
                <w:rFonts w:hint="eastAsia" w:ascii="宋体" w:hAnsi="宋体" w:eastAsia="宋体" w:cs="宋体"/>
                <w:sz w:val="24"/>
                <w:szCs w:val="24"/>
                <w:highlight w:val="none"/>
              </w:rPr>
            </w:pPr>
          </w:p>
        </w:tc>
      </w:tr>
    </w:tbl>
    <w:p w14:paraId="670821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注：附</w:t>
      </w:r>
      <w:r>
        <w:rPr>
          <w:rFonts w:hint="eastAsia" w:ascii="宋体" w:hAnsi="宋体" w:eastAsia="宋体" w:cs="宋体"/>
          <w:sz w:val="24"/>
          <w:szCs w:val="24"/>
          <w:highlight w:val="none"/>
          <w:lang w:eastAsia="zh-CN"/>
        </w:rPr>
        <w:t>相关证明材料</w:t>
      </w:r>
      <w:r>
        <w:rPr>
          <w:rFonts w:hint="eastAsia" w:ascii="宋体" w:hAnsi="宋体" w:eastAsia="宋体" w:cs="宋体"/>
          <w:sz w:val="24"/>
          <w:szCs w:val="24"/>
          <w:highlight w:val="none"/>
        </w:rPr>
        <w:t>复印件。</w:t>
      </w:r>
    </w:p>
    <w:p w14:paraId="3B8178A4">
      <w:pPr>
        <w:pStyle w:val="5"/>
        <w:spacing w:line="360" w:lineRule="auto"/>
        <w:rPr>
          <w:rFonts w:hint="eastAsia" w:ascii="宋体" w:hAnsi="宋体" w:eastAsia="宋体" w:cs="宋体"/>
          <w:highlight w:val="none"/>
        </w:rPr>
      </w:pPr>
      <w:bookmarkStart w:id="633" w:name="_Toc89686195"/>
    </w:p>
    <w:p w14:paraId="4DCD9D68">
      <w:pPr>
        <w:pStyle w:val="5"/>
        <w:spacing w:line="360" w:lineRule="auto"/>
        <w:ind w:left="0" w:leftChars="0" w:firstLine="0" w:firstLineChars="0"/>
        <w:rPr>
          <w:rFonts w:hint="eastAsia" w:ascii="宋体" w:hAnsi="宋体" w:eastAsia="宋体" w:cs="宋体"/>
          <w:b/>
          <w:bCs/>
          <w:sz w:val="24"/>
          <w:szCs w:val="24"/>
          <w:highlight w:val="none"/>
        </w:rPr>
      </w:pPr>
    </w:p>
    <w:p w14:paraId="78F6767A">
      <w:pPr>
        <w:pStyle w:val="4"/>
        <w:pageBreakBefore w:val="0"/>
        <w:kinsoku/>
        <w:wordWrap/>
        <w:overflowPunct/>
        <w:topLinePunct w:val="0"/>
        <w:autoSpaceDE/>
        <w:autoSpaceDN/>
        <w:bidi w:val="0"/>
        <w:snapToGrid/>
        <w:spacing w:before="0" w:after="0" w:line="360" w:lineRule="auto"/>
        <w:textAlignment w:val="auto"/>
        <w:outlineLvl w:val="9"/>
        <w:rPr>
          <w:rFonts w:hint="eastAsia" w:ascii="宋体" w:hAnsi="宋体" w:eastAsia="宋体" w:cs="宋体"/>
          <w:b/>
          <w:bCs/>
          <w:sz w:val="24"/>
          <w:szCs w:val="24"/>
          <w:highlight w:val="none"/>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78FF03ED">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六</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技术规格偏离表格式</w:t>
      </w:r>
    </w:p>
    <w:p w14:paraId="72867525">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技术规格偏离表</w:t>
      </w:r>
    </w:p>
    <w:tbl>
      <w:tblPr>
        <w:tblStyle w:val="29"/>
        <w:tblW w:w="0" w:type="auto"/>
        <w:jc w:val="center"/>
        <w:tblLayout w:type="fixed"/>
        <w:tblCellMar>
          <w:top w:w="0" w:type="dxa"/>
          <w:left w:w="10" w:type="dxa"/>
          <w:bottom w:w="0" w:type="dxa"/>
          <w:right w:w="10" w:type="dxa"/>
        </w:tblCellMar>
      </w:tblPr>
      <w:tblGrid>
        <w:gridCol w:w="765"/>
        <w:gridCol w:w="1620"/>
        <w:gridCol w:w="2700"/>
        <w:gridCol w:w="1620"/>
        <w:gridCol w:w="1620"/>
        <w:gridCol w:w="1110"/>
      </w:tblGrid>
      <w:tr w14:paraId="2398E888">
        <w:tblPrEx>
          <w:tblCellMar>
            <w:top w:w="0" w:type="dxa"/>
            <w:left w:w="10" w:type="dxa"/>
            <w:bottom w:w="0" w:type="dxa"/>
            <w:right w:w="10" w:type="dxa"/>
          </w:tblCellMar>
        </w:tblPrEx>
        <w:trPr>
          <w:trHeight w:val="284" w:hRule="atLeast"/>
          <w:jc w:val="center"/>
        </w:trPr>
        <w:tc>
          <w:tcPr>
            <w:tcW w:w="6705" w:type="dxa"/>
            <w:gridSpan w:val="4"/>
            <w:tcBorders>
              <w:top w:val="nil"/>
              <w:left w:val="nil"/>
              <w:bottom w:val="single" w:color="auto" w:sz="6" w:space="0"/>
              <w:right w:val="nil"/>
            </w:tcBorders>
            <w:noWrap w:val="0"/>
            <w:vAlign w:val="center"/>
          </w:tcPr>
          <w:p w14:paraId="54111B38">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项目名称：</w:t>
            </w:r>
          </w:p>
        </w:tc>
        <w:tc>
          <w:tcPr>
            <w:tcW w:w="2730" w:type="dxa"/>
            <w:gridSpan w:val="2"/>
            <w:tcBorders>
              <w:top w:val="nil"/>
              <w:left w:val="nil"/>
              <w:bottom w:val="single" w:color="auto" w:sz="6" w:space="0"/>
              <w:right w:val="nil"/>
            </w:tcBorders>
            <w:noWrap w:val="0"/>
            <w:vAlign w:val="center"/>
          </w:tcPr>
          <w:p w14:paraId="2D490F59">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项目编号：</w:t>
            </w:r>
          </w:p>
        </w:tc>
      </w:tr>
      <w:tr w14:paraId="05782459">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46D9355">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CCAA078">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磋商文件条目号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3BFFAD95">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5ACD7F2D">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66EBEA8C">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偏离</w:t>
            </w:r>
          </w:p>
        </w:tc>
      </w:tr>
      <w:tr w14:paraId="1D3B8732">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8AC79E5">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FD30569">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227C2DB8">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767473A5">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1F773B6">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r w14:paraId="38D085B2">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07973F7">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74E4CD2">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5E8F67B1">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1B5DCB44">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791DFBBA">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r w14:paraId="7A28A81D">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31C66B27">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9FF8CA0">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46542251">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13DA0A14">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A090258">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bl>
    <w:p w14:paraId="48604C2D">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说明：</w:t>
      </w:r>
    </w:p>
    <w:p w14:paraId="0062565B">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1、如果行数不够，请自行增加。</w:t>
      </w:r>
    </w:p>
    <w:p w14:paraId="5D1BAA62">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zh-CN"/>
        </w:rPr>
        <w:t>名称：（盖章）</w:t>
      </w:r>
    </w:p>
    <w:p w14:paraId="6431EF60">
      <w:pPr>
        <w:pStyle w:val="4"/>
        <w:pageBreakBefore w:val="0"/>
        <w:kinsoku/>
        <w:wordWrap/>
        <w:overflowPunct/>
        <w:topLinePunct w:val="0"/>
        <w:autoSpaceDE/>
        <w:autoSpaceDN/>
        <w:bidi w:val="0"/>
        <w:snapToGrid/>
        <w:spacing w:before="0" w:after="0" w:line="360" w:lineRule="auto"/>
        <w:textAlignment w:val="auto"/>
        <w:outlineLvl w:val="9"/>
        <w:rPr>
          <w:rFonts w:hint="eastAsia" w:ascii="宋体" w:hAnsi="宋体" w:eastAsia="宋体" w:cs="宋体"/>
          <w:b/>
          <w:bCs/>
          <w:sz w:val="24"/>
          <w:szCs w:val="24"/>
          <w:highlight w:val="none"/>
        </w:rPr>
      </w:pPr>
    </w:p>
    <w:p w14:paraId="3040F60E">
      <w:pPr>
        <w:pStyle w:val="5"/>
        <w:spacing w:line="360" w:lineRule="auto"/>
        <w:rPr>
          <w:rFonts w:hint="eastAsia"/>
          <w:highlight w:val="none"/>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46F98061">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b/>
          <w:color w:val="000000"/>
          <w:kern w:val="0"/>
          <w:sz w:val="24"/>
          <w:szCs w:val="24"/>
          <w:highlight w:val="none"/>
          <w:lang w:val="zh-CN"/>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七</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商务条款偏离表格式</w:t>
      </w:r>
    </w:p>
    <w:p w14:paraId="2BAA0806">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商务条款偏离表</w:t>
      </w:r>
    </w:p>
    <w:p w14:paraId="5555DE92">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highlight w:val="none"/>
          <w:lang w:val="zh-CN"/>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1"/>
        <w:gridCol w:w="1620"/>
        <w:gridCol w:w="2700"/>
        <w:gridCol w:w="1620"/>
        <w:gridCol w:w="1605"/>
        <w:gridCol w:w="1020"/>
      </w:tblGrid>
      <w:tr w14:paraId="65E0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blHeader/>
          <w:jc w:val="center"/>
        </w:trPr>
        <w:tc>
          <w:tcPr>
            <w:tcW w:w="6591" w:type="dxa"/>
            <w:gridSpan w:val="4"/>
            <w:tcBorders>
              <w:top w:val="nil"/>
              <w:left w:val="nil"/>
              <w:right w:val="nil"/>
            </w:tcBorders>
            <w:noWrap w:val="0"/>
            <w:vAlign w:val="center"/>
          </w:tcPr>
          <w:p w14:paraId="16138F84">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项目名称：</w:t>
            </w:r>
          </w:p>
        </w:tc>
        <w:tc>
          <w:tcPr>
            <w:tcW w:w="2625" w:type="dxa"/>
            <w:gridSpan w:val="2"/>
            <w:tcBorders>
              <w:top w:val="nil"/>
              <w:left w:val="nil"/>
              <w:right w:val="nil"/>
            </w:tcBorders>
            <w:noWrap w:val="0"/>
            <w:vAlign w:val="center"/>
          </w:tcPr>
          <w:p w14:paraId="245BC610">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项目编号：</w:t>
            </w:r>
          </w:p>
        </w:tc>
      </w:tr>
      <w:tr w14:paraId="5AB5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14:paraId="064A1496">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序号</w:t>
            </w:r>
          </w:p>
        </w:tc>
        <w:tc>
          <w:tcPr>
            <w:tcW w:w="1620" w:type="dxa"/>
            <w:noWrap w:val="0"/>
            <w:vAlign w:val="center"/>
          </w:tcPr>
          <w:p w14:paraId="14061C5D">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磋商文件条目号</w:t>
            </w:r>
          </w:p>
        </w:tc>
        <w:tc>
          <w:tcPr>
            <w:tcW w:w="2700" w:type="dxa"/>
            <w:noWrap w:val="0"/>
            <w:vAlign w:val="center"/>
          </w:tcPr>
          <w:p w14:paraId="4F46A9BB">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磋商文件要求的商务条款</w:t>
            </w:r>
          </w:p>
        </w:tc>
        <w:tc>
          <w:tcPr>
            <w:tcW w:w="3225" w:type="dxa"/>
            <w:gridSpan w:val="2"/>
            <w:noWrap w:val="0"/>
            <w:vAlign w:val="center"/>
          </w:tcPr>
          <w:p w14:paraId="528EBD76">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投标响应</w:t>
            </w:r>
          </w:p>
        </w:tc>
        <w:tc>
          <w:tcPr>
            <w:tcW w:w="1020" w:type="dxa"/>
            <w:noWrap w:val="0"/>
            <w:vAlign w:val="center"/>
          </w:tcPr>
          <w:p w14:paraId="028934AA">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偏离</w:t>
            </w:r>
          </w:p>
        </w:tc>
      </w:tr>
      <w:tr w14:paraId="4CE9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14:paraId="7BD2B728">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14:paraId="3F972B0C">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14:paraId="189285AA">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14:paraId="6A0736F4">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14:paraId="1F139437">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r w14:paraId="615B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14:paraId="3A817A25">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14:paraId="47A45038">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14:paraId="3BA61C60">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14:paraId="631FAA64">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14:paraId="7CE78F0B">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r w14:paraId="62C1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14:paraId="1CE4C903">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14:paraId="2B243804">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14:paraId="0D31E51A">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14:paraId="0F4E3BD0">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14:paraId="0A0B4763">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r w14:paraId="7088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14:paraId="60869900">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14:paraId="73BE9FC8">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14:paraId="207AE7DB">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14:paraId="27EED99B">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14:paraId="03EBFD53">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r w14:paraId="5FEB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14:paraId="2CC3E7BD">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14:paraId="3E1F3E5E">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14:paraId="65006350">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14:paraId="27759951">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14:paraId="5F6DA95D">
            <w:pPr>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000000"/>
                <w:kern w:val="0"/>
                <w:sz w:val="24"/>
                <w:szCs w:val="24"/>
                <w:highlight w:val="none"/>
                <w:lang w:val="zh-CN"/>
              </w:rPr>
            </w:pPr>
          </w:p>
        </w:tc>
      </w:tr>
    </w:tbl>
    <w:p w14:paraId="0C8493D4">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说明：如果行数不够，请自行增加。</w:t>
      </w:r>
    </w:p>
    <w:p w14:paraId="0C340AC7">
      <w:pPr>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highlight w:val="none"/>
          <w:lang w:eastAsia="zh-CN"/>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zh-CN"/>
        </w:rPr>
        <w:t>名称：（盖</w:t>
      </w:r>
    </w:p>
    <w:p w14:paraId="0EBF1982">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eastAsia="zh-CN"/>
        </w:rPr>
        <w:t>附件</w:t>
      </w:r>
      <w:r>
        <w:rPr>
          <w:rFonts w:hint="eastAsia" w:ascii="宋体" w:hAnsi="宋体" w:eastAsia="宋体" w:cs="宋体"/>
          <w:highlight w:val="none"/>
          <w:lang w:val="en-US" w:eastAsia="zh-CN"/>
        </w:rPr>
        <w:t>八</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资格要求</w:t>
      </w:r>
    </w:p>
    <w:p w14:paraId="359A43A8">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供应商如完全满足以下信用承诺要求可只提供书面承诺书。</w:t>
      </w:r>
    </w:p>
    <w:p w14:paraId="259AA897">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根据《关于在政府采购活动中推行信用承诺制的通知》宁财购通〔2021〕5号规定：</w:t>
      </w:r>
    </w:p>
    <w:p w14:paraId="55FA36A5">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政府采购活动中，供应商只需在资格审查环节提供满足相应条件的书面承诺书，不再需要提供以下证明材料：依法缴纳社会保障资金的证明材料；具备履行政府采购合同所必需的设备和专业技术能力的证明材料；参加政府采购活动前三年内在经营活动中没有重大违法记录的证明材料；未被列入失信被执行人、重大税收违法案件当事人名单、政府采购严重违法失信行为记录名单的证明材料。</w:t>
      </w:r>
    </w:p>
    <w:p w14:paraId="78E2523B">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供应商在中标（成交）后，应按采购文件要求，将上述由信用承诺书替代的证明材料提交采购人或采购代理机构核验。经核验无误后，由采购人或采购代理机构发出中标（成交）通知书。</w:t>
      </w:r>
    </w:p>
    <w:p w14:paraId="319420F9">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不适用信用承诺的情形</w:t>
      </w:r>
    </w:p>
    <w:p w14:paraId="24A7CC84">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1）供应商被列入严重失信主体名单；</w:t>
      </w:r>
    </w:p>
    <w:p w14:paraId="44B30266">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）被相关监管部门作出行政处罚且尚在处罚有效期内；</w:t>
      </w:r>
    </w:p>
    <w:p w14:paraId="06BC8EC8">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）其他法律、行政法规规定的不适用信用承诺的情形。</w:t>
      </w:r>
    </w:p>
    <w:p w14:paraId="0B841B81">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违反信用承诺的法律责任</w:t>
      </w:r>
    </w:p>
    <w:p w14:paraId="70BA7600">
      <w:pPr>
        <w:spacing w:line="360" w:lineRule="auto"/>
        <w:ind w:firstLine="48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3F03CFC1">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2、本项目特定资格要求</w:t>
      </w:r>
    </w:p>
    <w:p w14:paraId="2B03C427">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12736D7C">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286696ED">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488E21FC">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0A69B649">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79A6A81A">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0862655E">
      <w:pPr>
        <w:widowControl w:val="0"/>
        <w:numPr>
          <w:ilvl w:val="0"/>
          <w:numId w:val="0"/>
        </w:numPr>
        <w:spacing w:line="360" w:lineRule="auto"/>
        <w:jc w:val="both"/>
        <w:rPr>
          <w:rFonts w:hint="default" w:ascii="宋体" w:hAnsi="宋体" w:cs="宋体"/>
          <w:color w:val="auto"/>
          <w:sz w:val="24"/>
          <w:szCs w:val="24"/>
          <w:highlight w:val="none"/>
          <w:lang w:val="en-US" w:eastAsia="zh-CN"/>
        </w:rPr>
      </w:pPr>
    </w:p>
    <w:p w14:paraId="6F05B64D">
      <w:pPr>
        <w:spacing w:line="360" w:lineRule="auto"/>
        <w:ind w:left="855"/>
        <w:jc w:val="center"/>
        <w:rPr>
          <w:rFonts w:hint="eastAsia" w:ascii="宋体" w:hAnsi="宋体" w:eastAsia="宋体" w:cs="宋体"/>
          <w:color w:val="2B2A2F"/>
          <w:spacing w:val="-21"/>
          <w:w w:val="110"/>
          <w:kern w:val="0"/>
          <w:sz w:val="24"/>
          <w:szCs w:val="24"/>
          <w:highlight w:val="none"/>
        </w:rPr>
      </w:pPr>
      <w:r>
        <w:rPr>
          <w:rFonts w:hint="eastAsia" w:ascii="宋体" w:hAnsi="宋体" w:eastAsia="宋体" w:cs="宋体"/>
          <w:color w:val="2B2A2F"/>
          <w:spacing w:val="-21"/>
          <w:w w:val="110"/>
          <w:kern w:val="0"/>
          <w:sz w:val="24"/>
          <w:szCs w:val="24"/>
          <w:highlight w:val="none"/>
        </w:rPr>
        <w:t>南京市政府采购供应商信用记录表暨信用承诺书</w:t>
      </w:r>
    </w:p>
    <w:p w14:paraId="6DDA6E92">
      <w:pPr>
        <w:spacing w:line="360" w:lineRule="auto"/>
        <w:ind w:left="855"/>
        <w:jc w:val="right"/>
        <w:rPr>
          <w:rFonts w:hint="eastAsia" w:ascii="宋体" w:hAnsi="宋体" w:eastAsia="宋体" w:cs="宋体"/>
          <w:color w:val="2B2A2F"/>
          <w:spacing w:val="-21"/>
          <w:w w:val="110"/>
          <w:kern w:val="0"/>
          <w:sz w:val="24"/>
          <w:szCs w:val="24"/>
          <w:highlight w:val="none"/>
        </w:rPr>
      </w:pPr>
      <w:r>
        <w:rPr>
          <w:rFonts w:hint="eastAsia" w:ascii="宋体" w:hAnsi="宋体" w:eastAsia="宋体" w:cs="宋体"/>
          <w:color w:val="2B2A2F"/>
          <w:spacing w:val="-21"/>
          <w:w w:val="110"/>
          <w:kern w:val="0"/>
          <w:sz w:val="24"/>
          <w:szCs w:val="24"/>
          <w:highlight w:val="none"/>
        </w:rPr>
        <w:t>年月日</w:t>
      </w:r>
    </w:p>
    <w:tbl>
      <w:tblPr>
        <w:tblStyle w:val="29"/>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260"/>
        <w:gridCol w:w="2463"/>
        <w:gridCol w:w="2215"/>
      </w:tblGrid>
      <w:tr w14:paraId="352F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noWrap w:val="0"/>
            <w:vAlign w:val="center"/>
          </w:tcPr>
          <w:p w14:paraId="0DA5FC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3260" w:type="dxa"/>
            <w:noWrap w:val="0"/>
            <w:vAlign w:val="center"/>
          </w:tcPr>
          <w:p w14:paraId="33595EF8">
            <w:pPr>
              <w:spacing w:line="360" w:lineRule="auto"/>
              <w:rPr>
                <w:rFonts w:hint="eastAsia" w:ascii="宋体" w:hAnsi="宋体" w:eastAsia="宋体" w:cs="宋体"/>
                <w:sz w:val="24"/>
                <w:szCs w:val="24"/>
                <w:highlight w:val="none"/>
              </w:rPr>
            </w:pPr>
          </w:p>
        </w:tc>
        <w:tc>
          <w:tcPr>
            <w:tcW w:w="2463" w:type="dxa"/>
            <w:noWrap w:val="0"/>
            <w:vAlign w:val="center"/>
          </w:tcPr>
          <w:p w14:paraId="53CD2D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215" w:type="dxa"/>
            <w:noWrap w:val="0"/>
            <w:vAlign w:val="center"/>
          </w:tcPr>
          <w:p w14:paraId="7F8897A3">
            <w:pPr>
              <w:spacing w:line="360" w:lineRule="auto"/>
              <w:rPr>
                <w:rFonts w:hint="eastAsia" w:ascii="宋体" w:hAnsi="宋体" w:eastAsia="宋体" w:cs="宋体"/>
                <w:sz w:val="24"/>
                <w:szCs w:val="24"/>
                <w:highlight w:val="none"/>
              </w:rPr>
            </w:pPr>
          </w:p>
        </w:tc>
      </w:tr>
      <w:tr w14:paraId="77C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noWrap w:val="0"/>
            <w:vAlign w:val="center"/>
          </w:tcPr>
          <w:p w14:paraId="13D803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3260" w:type="dxa"/>
            <w:noWrap w:val="0"/>
            <w:vAlign w:val="center"/>
          </w:tcPr>
          <w:p w14:paraId="705ADEA2">
            <w:pPr>
              <w:spacing w:line="360" w:lineRule="auto"/>
              <w:rPr>
                <w:rFonts w:hint="eastAsia" w:ascii="宋体" w:hAnsi="宋体" w:eastAsia="宋体" w:cs="宋体"/>
                <w:sz w:val="24"/>
                <w:szCs w:val="24"/>
                <w:highlight w:val="none"/>
              </w:rPr>
            </w:pPr>
          </w:p>
        </w:tc>
        <w:tc>
          <w:tcPr>
            <w:tcW w:w="2463" w:type="dxa"/>
            <w:noWrap w:val="0"/>
            <w:vAlign w:val="center"/>
          </w:tcPr>
          <w:p w14:paraId="3D0AC01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15" w:type="dxa"/>
            <w:noWrap w:val="0"/>
            <w:vAlign w:val="center"/>
          </w:tcPr>
          <w:p w14:paraId="7AF52F0E">
            <w:pPr>
              <w:spacing w:line="360" w:lineRule="auto"/>
              <w:rPr>
                <w:rFonts w:hint="eastAsia" w:ascii="宋体" w:hAnsi="宋体" w:eastAsia="宋体" w:cs="宋体"/>
                <w:sz w:val="24"/>
                <w:szCs w:val="24"/>
                <w:highlight w:val="none"/>
              </w:rPr>
            </w:pPr>
          </w:p>
        </w:tc>
      </w:tr>
      <w:tr w14:paraId="37C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noWrap w:val="0"/>
            <w:vAlign w:val="center"/>
          </w:tcPr>
          <w:p w14:paraId="3B0B97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w:t>
            </w:r>
          </w:p>
        </w:tc>
        <w:tc>
          <w:tcPr>
            <w:tcW w:w="3260" w:type="dxa"/>
            <w:noWrap w:val="0"/>
            <w:vAlign w:val="center"/>
          </w:tcPr>
          <w:p w14:paraId="2D131B91">
            <w:pPr>
              <w:spacing w:line="360" w:lineRule="auto"/>
              <w:rPr>
                <w:rFonts w:hint="eastAsia" w:ascii="宋体" w:hAnsi="宋体" w:eastAsia="宋体" w:cs="宋体"/>
                <w:sz w:val="24"/>
                <w:szCs w:val="24"/>
                <w:highlight w:val="none"/>
              </w:rPr>
            </w:pPr>
          </w:p>
        </w:tc>
        <w:tc>
          <w:tcPr>
            <w:tcW w:w="2463" w:type="dxa"/>
            <w:noWrap w:val="0"/>
            <w:vAlign w:val="center"/>
          </w:tcPr>
          <w:p w14:paraId="3FD36F6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215" w:type="dxa"/>
            <w:noWrap w:val="0"/>
            <w:vAlign w:val="center"/>
          </w:tcPr>
          <w:p w14:paraId="46960B82">
            <w:pPr>
              <w:spacing w:line="360" w:lineRule="auto"/>
              <w:rPr>
                <w:rFonts w:hint="eastAsia" w:ascii="宋体" w:hAnsi="宋体" w:eastAsia="宋体" w:cs="宋体"/>
                <w:sz w:val="24"/>
                <w:szCs w:val="24"/>
                <w:highlight w:val="none"/>
              </w:rPr>
            </w:pPr>
          </w:p>
        </w:tc>
      </w:tr>
      <w:tr w14:paraId="2F06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2269" w:type="dxa"/>
            <w:noWrap w:val="0"/>
            <w:vAlign w:val="center"/>
          </w:tcPr>
          <w:p w14:paraId="6158DB0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诚信档案记录情况</w:t>
            </w:r>
          </w:p>
        </w:tc>
        <w:tc>
          <w:tcPr>
            <w:tcW w:w="7938" w:type="dxa"/>
            <w:gridSpan w:val="3"/>
            <w:noWrap w:val="0"/>
            <w:vAlign w:val="top"/>
          </w:tcPr>
          <w:p w14:paraId="30B35037">
            <w:pPr>
              <w:spacing w:line="360" w:lineRule="auto"/>
              <w:rPr>
                <w:rFonts w:hint="eastAsia" w:ascii="宋体" w:hAnsi="宋体" w:eastAsia="宋体" w:cs="宋体"/>
                <w:sz w:val="24"/>
                <w:szCs w:val="24"/>
                <w:highlight w:val="none"/>
              </w:rPr>
            </w:pPr>
          </w:p>
        </w:tc>
      </w:tr>
      <w:tr w14:paraId="1A43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269" w:type="dxa"/>
            <w:noWrap w:val="0"/>
            <w:vAlign w:val="center"/>
          </w:tcPr>
          <w:p w14:paraId="06CA49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信用承诺</w:t>
            </w:r>
          </w:p>
        </w:tc>
        <w:tc>
          <w:tcPr>
            <w:tcW w:w="7938" w:type="dxa"/>
            <w:gridSpan w:val="3"/>
            <w:noWrap w:val="0"/>
            <w:vAlign w:val="top"/>
          </w:tcPr>
          <w:p w14:paraId="6AC066E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》第二十二条规定的条件，包括：具有独立承担民事责任的能力；具有良好的商业信誉和健全的财务会计制度</w:t>
            </w:r>
            <w:r>
              <w:rPr>
                <w:rFonts w:hint="eastAsia" w:ascii="宋体" w:hAnsi="宋体" w:eastAsia="宋体" w:cs="宋体"/>
                <w:sz w:val="24"/>
                <w:szCs w:val="24"/>
                <w:highlight w:val="none"/>
                <w:lang w:eastAsia="zh-CN"/>
              </w:rPr>
              <w:t>；具</w:t>
            </w:r>
            <w:r>
              <w:rPr>
                <w:rFonts w:hint="eastAsia" w:ascii="宋体" w:hAnsi="宋体" w:eastAsia="宋体" w:cs="宋体"/>
                <w:sz w:val="24"/>
                <w:szCs w:val="24"/>
                <w:highlight w:val="none"/>
              </w:rPr>
              <w:t>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61A3F3F2">
            <w:pPr>
              <w:spacing w:line="360" w:lineRule="auto"/>
              <w:ind w:firstLine="4080" w:firstLineChars="17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供应商名称（盖章）：</w:t>
            </w:r>
          </w:p>
          <w:p w14:paraId="6D7C32D6">
            <w:pPr>
              <w:spacing w:line="360" w:lineRule="auto"/>
              <w:ind w:firstLine="4080" w:firstLineChars="17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法定代表人（签字）：</w:t>
            </w:r>
          </w:p>
          <w:p w14:paraId="2ABF1523">
            <w:pPr>
              <w:spacing w:line="36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tc>
      </w:tr>
    </w:tbl>
    <w:p w14:paraId="7DC564D6">
      <w:pPr>
        <w:pStyle w:val="44"/>
        <w:spacing w:line="360" w:lineRule="auto"/>
        <w:rPr>
          <w:rFonts w:hint="eastAsia" w:ascii="宋体" w:hAnsi="宋体" w:eastAsia="宋体" w:cs="宋体"/>
          <w:highlight w:val="none"/>
          <w:lang w:eastAsia="zh-CN"/>
        </w:rPr>
      </w:pPr>
    </w:p>
    <w:p w14:paraId="27429B15">
      <w:pPr>
        <w:pStyle w:val="4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b/>
      </w:r>
      <w:bookmarkEnd w:id="633"/>
      <w:bookmarkStart w:id="634" w:name="_Toc89686197"/>
    </w:p>
    <w:p w14:paraId="7FF0D401">
      <w:pPr>
        <w:pStyle w:val="44"/>
        <w:spacing w:line="360" w:lineRule="auto"/>
        <w:rPr>
          <w:rFonts w:hint="eastAsia" w:ascii="宋体" w:hAnsi="宋体" w:eastAsia="宋体" w:cs="宋体"/>
          <w:sz w:val="24"/>
          <w:szCs w:val="24"/>
          <w:highlight w:val="none"/>
        </w:rPr>
      </w:pPr>
    </w:p>
    <w:p w14:paraId="7E29BCF4">
      <w:pPr>
        <w:pStyle w:val="44"/>
        <w:spacing w:line="360" w:lineRule="auto"/>
        <w:rPr>
          <w:rFonts w:hint="eastAsia" w:ascii="宋体" w:hAnsi="宋体" w:eastAsia="宋体" w:cs="宋体"/>
          <w:sz w:val="24"/>
          <w:szCs w:val="24"/>
          <w:highlight w:val="none"/>
        </w:rPr>
      </w:pPr>
    </w:p>
    <w:p w14:paraId="079E87A0">
      <w:pPr>
        <w:pStyle w:val="44"/>
        <w:spacing w:line="360" w:lineRule="auto"/>
        <w:ind w:left="0" w:leftChars="0" w:firstLine="0" w:firstLineChars="0"/>
        <w:rPr>
          <w:rFonts w:hint="eastAsia" w:ascii="宋体" w:hAnsi="宋体" w:eastAsia="宋体" w:cs="宋体"/>
          <w:sz w:val="24"/>
          <w:szCs w:val="24"/>
          <w:highlight w:val="none"/>
        </w:rPr>
      </w:pPr>
    </w:p>
    <w:p w14:paraId="1C1CF667">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附件</w:t>
      </w:r>
      <w:r>
        <w:rPr>
          <w:rFonts w:hint="eastAsia" w:ascii="宋体" w:hAnsi="宋体" w:eastAsia="宋体" w:cs="宋体"/>
          <w:highlight w:val="none"/>
          <w:lang w:val="en-US" w:eastAsia="zh-CN"/>
        </w:rPr>
        <w:t>九</w:t>
      </w:r>
      <w:r>
        <w:rPr>
          <w:rFonts w:hint="eastAsia" w:ascii="宋体" w:hAnsi="宋体" w:eastAsia="宋体" w:cs="宋体"/>
          <w:highlight w:val="none"/>
          <w:lang w:val="zh-CN" w:eastAsia="zh-CN"/>
        </w:rPr>
        <w:t>：中小企业声明函</w:t>
      </w:r>
      <w:bookmarkEnd w:id="634"/>
    </w:p>
    <w:p w14:paraId="4C6B1D4B">
      <w:pPr>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p>
    <w:p w14:paraId="059AD6C4">
      <w:pPr>
        <w:spacing w:line="360" w:lineRule="auto"/>
        <w:jc w:val="center"/>
        <w:rPr>
          <w:rFonts w:hint="eastAsia"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zh-CN" w:bidi="zh-CN"/>
        </w:rPr>
        <w:t>中小企业声明函（</w:t>
      </w:r>
      <w:r>
        <w:rPr>
          <w:rFonts w:hint="eastAsia" w:ascii="宋体" w:hAnsi="宋体" w:eastAsia="宋体" w:cs="宋体"/>
          <w:b/>
          <w:bCs/>
          <w:color w:val="auto"/>
          <w:kern w:val="0"/>
          <w:sz w:val="24"/>
          <w:szCs w:val="24"/>
          <w:highlight w:val="none"/>
          <w:lang w:val="en-US" w:bidi="zh-CN"/>
        </w:rPr>
        <w:t>工程</w:t>
      </w:r>
      <w:r>
        <w:rPr>
          <w:rFonts w:hint="eastAsia" w:ascii="宋体" w:hAnsi="宋体" w:eastAsia="宋体" w:cs="宋体"/>
          <w:b/>
          <w:bCs/>
          <w:color w:val="auto"/>
          <w:kern w:val="0"/>
          <w:sz w:val="24"/>
          <w:szCs w:val="24"/>
          <w:highlight w:val="none"/>
          <w:lang w:val="zh-CN" w:bidi="zh-CN"/>
        </w:rPr>
        <w:t>）</w:t>
      </w:r>
    </w:p>
    <w:p w14:paraId="3626803D">
      <w:pPr>
        <w:widowControl/>
        <w:spacing w:line="360" w:lineRule="auto"/>
        <w:ind w:firstLine="480" w:firstLineChars="200"/>
        <w:rPr>
          <w:rFonts w:ascii="宋体" w:hAnsi="宋体"/>
          <w:iCs/>
          <w:sz w:val="24"/>
          <w:szCs w:val="24"/>
          <w:highlight w:val="none"/>
          <w:lang w:eastAsia="zh-CN"/>
        </w:rPr>
      </w:pPr>
      <w:r>
        <w:rPr>
          <w:rFonts w:hint="eastAsia" w:ascii="宋体" w:hAnsi="宋体"/>
          <w:sz w:val="24"/>
          <w:szCs w:val="24"/>
          <w:highlight w:val="none"/>
          <w:lang w:eastAsia="zh-CN" w:bidi="ar"/>
        </w:rPr>
        <w:t>本公司（联合体）郑重声明，根据《政府采购促进中小企业发展管理办法》（财库﹝2020﹞46号）的规定，本公司（联合体）参加</w:t>
      </w:r>
      <w:r>
        <w:rPr>
          <w:rFonts w:hint="eastAsia" w:ascii="宋体" w:hAnsi="宋体"/>
          <w:i/>
          <w:sz w:val="24"/>
          <w:szCs w:val="24"/>
          <w:highlight w:val="none"/>
          <w:u w:val="single"/>
          <w:lang w:eastAsia="zh-CN" w:bidi="ar"/>
        </w:rPr>
        <w:t>（</w:t>
      </w:r>
      <w:r>
        <w:rPr>
          <w:rFonts w:hint="eastAsia" w:ascii="宋体" w:hAnsi="宋体"/>
          <w:iCs/>
          <w:sz w:val="24"/>
          <w:szCs w:val="24"/>
          <w:highlight w:val="none"/>
          <w:u w:val="single"/>
          <w:lang w:eastAsia="zh-CN" w:bidi="ar"/>
        </w:rPr>
        <w:t>单位名称）</w:t>
      </w:r>
      <w:r>
        <w:rPr>
          <w:rFonts w:hint="eastAsia" w:ascii="宋体" w:hAnsi="宋体"/>
          <w:iCs/>
          <w:sz w:val="24"/>
          <w:szCs w:val="24"/>
          <w:highlight w:val="none"/>
          <w:lang w:eastAsia="zh-CN" w:bidi="ar"/>
        </w:rPr>
        <w:t>的</w:t>
      </w:r>
      <w:r>
        <w:rPr>
          <w:rFonts w:hint="eastAsia" w:ascii="宋体" w:hAnsi="宋体"/>
          <w:iCs/>
          <w:sz w:val="24"/>
          <w:szCs w:val="24"/>
          <w:highlight w:val="none"/>
          <w:u w:val="single"/>
          <w:lang w:eastAsia="zh-CN" w:bidi="ar"/>
        </w:rPr>
        <w:t>（项目名称）</w:t>
      </w:r>
      <w:r>
        <w:rPr>
          <w:rFonts w:hint="eastAsia" w:ascii="宋体" w:hAnsi="宋体"/>
          <w:iCs/>
          <w:sz w:val="24"/>
          <w:szCs w:val="24"/>
          <w:highlight w:val="none"/>
          <w:lang w:eastAsia="zh-CN" w:bidi="ar"/>
        </w:rPr>
        <w:t>采购活动，服务全部由符合政策要求的中小企业承接。相关企业（含联合体中的中小企业、签订分包意向协议的中小企业）的具体情况如下：</w:t>
      </w:r>
    </w:p>
    <w:p w14:paraId="048F21E9">
      <w:pPr>
        <w:widowControl/>
        <w:spacing w:line="360" w:lineRule="auto"/>
        <w:ind w:left="229" w:leftChars="104" w:firstLine="240" w:firstLineChars="100"/>
        <w:rPr>
          <w:rFonts w:ascii="宋体" w:hAnsi="宋体"/>
          <w:iCs/>
          <w:sz w:val="24"/>
          <w:szCs w:val="24"/>
          <w:highlight w:val="none"/>
          <w:lang w:eastAsia="zh-CN"/>
        </w:rPr>
      </w:pPr>
      <w:r>
        <w:rPr>
          <w:rFonts w:hint="eastAsia" w:ascii="宋体" w:hAnsi="宋体"/>
          <w:iCs/>
          <w:sz w:val="24"/>
          <w:szCs w:val="24"/>
          <w:highlight w:val="none"/>
          <w:lang w:eastAsia="zh-CN" w:bidi="ar"/>
        </w:rPr>
        <w:t>1.</w:t>
      </w:r>
      <w:r>
        <w:rPr>
          <w:rFonts w:hint="eastAsia" w:ascii="宋体" w:hAnsi="宋体"/>
          <w:iCs/>
          <w:sz w:val="24"/>
          <w:szCs w:val="24"/>
          <w:highlight w:val="none"/>
          <w:u w:val="single"/>
          <w:lang w:eastAsia="zh-CN" w:bidi="ar"/>
        </w:rPr>
        <w:t>（标的名称）</w:t>
      </w:r>
      <w:r>
        <w:rPr>
          <w:rFonts w:hint="eastAsia" w:ascii="宋体" w:hAnsi="宋体"/>
          <w:iCs/>
          <w:sz w:val="24"/>
          <w:szCs w:val="24"/>
          <w:highlight w:val="none"/>
          <w:lang w:eastAsia="zh-CN" w:bidi="ar"/>
        </w:rPr>
        <w:t>，属于</w:t>
      </w:r>
      <w:r>
        <w:rPr>
          <w:rFonts w:hint="eastAsia" w:ascii="宋体" w:hAnsi="宋体"/>
          <w:iCs/>
          <w:sz w:val="24"/>
          <w:szCs w:val="24"/>
          <w:highlight w:val="none"/>
          <w:u w:val="single"/>
          <w:lang w:eastAsia="zh-CN" w:bidi="ar"/>
        </w:rPr>
        <w:t>建筑业（采购文件中明确的所属行业）</w:t>
      </w:r>
      <w:r>
        <w:rPr>
          <w:rFonts w:hint="eastAsia" w:ascii="宋体" w:hAnsi="宋体"/>
          <w:iCs/>
          <w:sz w:val="24"/>
          <w:szCs w:val="24"/>
          <w:highlight w:val="none"/>
          <w:lang w:eastAsia="zh-CN" w:bidi="ar"/>
        </w:rPr>
        <w:t>；承建（承接）企业为</w:t>
      </w:r>
      <w:r>
        <w:rPr>
          <w:rFonts w:hint="eastAsia" w:ascii="宋体" w:hAnsi="宋体"/>
          <w:iCs/>
          <w:sz w:val="24"/>
          <w:szCs w:val="24"/>
          <w:highlight w:val="none"/>
          <w:u w:val="single"/>
          <w:lang w:eastAsia="zh-CN" w:bidi="ar"/>
        </w:rPr>
        <w:t>（企业名称）</w:t>
      </w:r>
      <w:r>
        <w:rPr>
          <w:rFonts w:hint="eastAsia" w:ascii="宋体" w:hAnsi="宋体"/>
          <w:iCs/>
          <w:sz w:val="24"/>
          <w:szCs w:val="24"/>
          <w:highlight w:val="none"/>
          <w:lang w:eastAsia="zh-CN" w:bidi="ar"/>
        </w:rPr>
        <w:t>，从业人员人，营业收入为万元，资产总额为万元</w:t>
      </w:r>
      <w:r>
        <w:rPr>
          <w:rFonts w:hint="eastAsia" w:ascii="宋体" w:hAnsi="宋体"/>
          <w:b/>
          <w:bCs/>
          <w:iCs/>
          <w:sz w:val="24"/>
          <w:szCs w:val="24"/>
          <w:highlight w:val="none"/>
          <w:vertAlign w:val="superscript"/>
          <w:lang w:eastAsia="zh-CN" w:bidi="ar"/>
        </w:rPr>
        <w:t>1</w:t>
      </w:r>
      <w:r>
        <w:rPr>
          <w:rFonts w:hint="eastAsia" w:ascii="宋体" w:hAnsi="宋体"/>
          <w:iCs/>
          <w:sz w:val="24"/>
          <w:szCs w:val="24"/>
          <w:highlight w:val="none"/>
          <w:lang w:eastAsia="zh-CN" w:bidi="ar"/>
        </w:rPr>
        <w:t>，属于</w:t>
      </w:r>
      <w:r>
        <w:rPr>
          <w:rFonts w:hint="eastAsia" w:ascii="宋体" w:hAnsi="宋体"/>
          <w:iCs/>
          <w:sz w:val="24"/>
          <w:szCs w:val="24"/>
          <w:highlight w:val="none"/>
          <w:u w:val="single"/>
          <w:lang w:eastAsia="zh-CN" w:bidi="ar"/>
        </w:rPr>
        <w:t>（中型企业、小型企业、微型企业）</w:t>
      </w:r>
      <w:r>
        <w:rPr>
          <w:rFonts w:hint="eastAsia" w:ascii="宋体" w:hAnsi="宋体"/>
          <w:iCs/>
          <w:sz w:val="24"/>
          <w:szCs w:val="24"/>
          <w:highlight w:val="none"/>
          <w:lang w:eastAsia="zh-CN" w:bidi="ar"/>
        </w:rPr>
        <w:t>；</w:t>
      </w:r>
    </w:p>
    <w:p w14:paraId="7056EF59">
      <w:pPr>
        <w:widowControl/>
        <w:spacing w:line="360" w:lineRule="auto"/>
        <w:ind w:firstLine="720" w:firstLineChars="300"/>
        <w:rPr>
          <w:rFonts w:ascii="宋体" w:hAnsi="宋体"/>
          <w:sz w:val="24"/>
          <w:szCs w:val="24"/>
          <w:highlight w:val="none"/>
          <w:lang w:eastAsia="zh-CN"/>
        </w:rPr>
      </w:pPr>
      <w:r>
        <w:rPr>
          <w:rFonts w:hint="eastAsia" w:ascii="宋体" w:hAnsi="宋体"/>
          <w:sz w:val="24"/>
          <w:szCs w:val="24"/>
          <w:highlight w:val="none"/>
          <w:lang w:eastAsia="zh-CN" w:bidi="ar"/>
        </w:rPr>
        <w:t>……</w:t>
      </w:r>
    </w:p>
    <w:p w14:paraId="0533B48E">
      <w:pPr>
        <w:widowControl/>
        <w:spacing w:line="360" w:lineRule="auto"/>
        <w:ind w:firstLine="480" w:firstLineChars="200"/>
        <w:rPr>
          <w:rFonts w:ascii="宋体" w:hAnsi="宋体"/>
          <w:sz w:val="24"/>
          <w:szCs w:val="24"/>
          <w:highlight w:val="none"/>
          <w:lang w:eastAsia="zh-CN"/>
        </w:rPr>
      </w:pPr>
      <w:r>
        <w:rPr>
          <w:rFonts w:hint="eastAsia" w:ascii="宋体" w:hAnsi="宋体"/>
          <w:sz w:val="24"/>
          <w:szCs w:val="24"/>
          <w:highlight w:val="none"/>
          <w:lang w:eastAsia="zh-CN" w:bidi="ar"/>
        </w:rPr>
        <w:t>以上企业，不属于大企业的分支机构，不存在控股股东为大企业的情形，也不存在与大企业的负责人为同一人的情形。</w:t>
      </w:r>
    </w:p>
    <w:p w14:paraId="13CE6C77">
      <w:pPr>
        <w:widowControl/>
        <w:spacing w:line="360" w:lineRule="auto"/>
        <w:ind w:firstLine="480" w:firstLineChars="200"/>
        <w:rPr>
          <w:rFonts w:ascii="宋体" w:hAnsi="宋体"/>
          <w:sz w:val="24"/>
          <w:szCs w:val="24"/>
          <w:highlight w:val="none"/>
          <w:lang w:eastAsia="zh-CN"/>
        </w:rPr>
      </w:pPr>
      <w:r>
        <w:rPr>
          <w:rFonts w:hint="eastAsia" w:ascii="宋体" w:hAnsi="宋体"/>
          <w:sz w:val="24"/>
          <w:szCs w:val="24"/>
          <w:highlight w:val="none"/>
          <w:lang w:eastAsia="zh-CN" w:bidi="ar"/>
        </w:rPr>
        <w:t>本企业对上述声明内容的真实性负责。如有虚假，将依法承担相应责任。</w:t>
      </w:r>
    </w:p>
    <w:p w14:paraId="55C159FF">
      <w:pPr>
        <w:widowControl/>
        <w:spacing w:line="360" w:lineRule="auto"/>
        <w:ind w:firstLine="4080" w:firstLineChars="1700"/>
        <w:rPr>
          <w:rFonts w:ascii="宋体" w:hAnsi="宋体"/>
          <w:sz w:val="24"/>
          <w:szCs w:val="24"/>
          <w:highlight w:val="none"/>
          <w:lang w:eastAsia="zh-CN"/>
        </w:rPr>
      </w:pPr>
      <w:r>
        <w:rPr>
          <w:rFonts w:hint="eastAsia" w:ascii="宋体" w:hAnsi="宋体"/>
          <w:sz w:val="24"/>
          <w:szCs w:val="24"/>
          <w:highlight w:val="none"/>
          <w:lang w:eastAsia="zh-CN" w:bidi="ar"/>
        </w:rPr>
        <w:t>供应商（盖章）：</w:t>
      </w:r>
    </w:p>
    <w:p w14:paraId="28F01A34">
      <w:pPr>
        <w:widowControl/>
        <w:spacing w:line="360" w:lineRule="auto"/>
        <w:ind w:firstLine="4080" w:firstLineChars="1700"/>
        <w:rPr>
          <w:rFonts w:ascii="宋体" w:hAnsi="宋体"/>
          <w:sz w:val="24"/>
          <w:szCs w:val="24"/>
          <w:highlight w:val="none"/>
          <w:lang w:eastAsia="zh-CN"/>
        </w:rPr>
      </w:pPr>
      <w:r>
        <w:rPr>
          <w:rFonts w:hint="eastAsia" w:ascii="宋体" w:hAnsi="宋体"/>
          <w:sz w:val="24"/>
          <w:szCs w:val="24"/>
          <w:highlight w:val="none"/>
          <w:lang w:eastAsia="zh-CN" w:bidi="ar"/>
        </w:rPr>
        <w:t>日期：</w:t>
      </w:r>
    </w:p>
    <w:p w14:paraId="239F124A">
      <w:pPr>
        <w:widowControl/>
        <w:spacing w:line="360" w:lineRule="auto"/>
        <w:ind w:firstLine="241" w:firstLineChars="100"/>
        <w:rPr>
          <w:rFonts w:ascii="宋体" w:hAnsi="宋体"/>
          <w:sz w:val="24"/>
          <w:szCs w:val="24"/>
          <w:highlight w:val="none"/>
          <w:lang w:eastAsia="zh-CN" w:bidi="ar"/>
        </w:rPr>
      </w:pPr>
      <w:r>
        <w:rPr>
          <w:rFonts w:hint="eastAsia" w:ascii="宋体" w:hAnsi="宋体"/>
          <w:b/>
          <w:bCs/>
          <w:sz w:val="24"/>
          <w:szCs w:val="24"/>
          <w:highlight w:val="none"/>
          <w:vertAlign w:val="superscript"/>
          <w:lang w:eastAsia="zh-CN" w:bidi="ar"/>
        </w:rPr>
        <w:t>1</w:t>
      </w:r>
      <w:r>
        <w:rPr>
          <w:rFonts w:hint="eastAsia" w:ascii="宋体" w:hAnsi="宋体"/>
          <w:sz w:val="24"/>
          <w:szCs w:val="24"/>
          <w:highlight w:val="none"/>
          <w:lang w:eastAsia="zh-CN" w:bidi="ar"/>
        </w:rPr>
        <w:t>从业人员、营业收入、资产总额填报上一年度数据，无上一年度数据的新成立企业可不填报。</w:t>
      </w:r>
    </w:p>
    <w:p w14:paraId="2457B161">
      <w:pPr>
        <w:pStyle w:val="15"/>
        <w:spacing w:line="360" w:lineRule="auto"/>
        <w:rPr>
          <w:rFonts w:hAnsi="宋体" w:cs="宋体"/>
          <w:sz w:val="24"/>
          <w:szCs w:val="24"/>
          <w:highlight w:val="none"/>
        </w:rPr>
      </w:pPr>
    </w:p>
    <w:p w14:paraId="0A5842E9">
      <w:pPr>
        <w:pStyle w:val="15"/>
        <w:spacing w:line="360" w:lineRule="auto"/>
        <w:ind w:firstLine="520" w:firstLineChars="200"/>
        <w:rPr>
          <w:rFonts w:hAnsi="宋体" w:cs="宋体"/>
          <w:sz w:val="24"/>
          <w:szCs w:val="24"/>
          <w:highlight w:val="none"/>
        </w:rPr>
      </w:pPr>
      <w:r>
        <w:rPr>
          <w:rFonts w:hint="eastAsia" w:hAnsi="宋体" w:cs="宋体"/>
          <w:sz w:val="24"/>
          <w:szCs w:val="24"/>
          <w:highlight w:val="none"/>
        </w:rPr>
        <w:t>备注：</w:t>
      </w:r>
    </w:p>
    <w:p w14:paraId="3DD8401D">
      <w:pPr>
        <w:pStyle w:val="15"/>
        <w:spacing w:line="360" w:lineRule="auto"/>
        <w:ind w:firstLine="520" w:firstLineChars="200"/>
        <w:rPr>
          <w:rFonts w:hint="eastAsia" w:ascii="宋体" w:hAnsi="宋体" w:cs="宋体"/>
          <w:sz w:val="24"/>
          <w:szCs w:val="24"/>
          <w:highlight w:val="none"/>
        </w:rPr>
      </w:pPr>
      <w:r>
        <w:rPr>
          <w:rFonts w:hint="eastAsia" w:ascii="宋体" w:hAnsi="宋体" w:cs="宋体"/>
          <w:sz w:val="24"/>
          <w:szCs w:val="24"/>
          <w:highlight w:val="none"/>
        </w:rPr>
        <w:t>1.填写前请认真阅读《工业和信息化部　国家统计局　国家发展和改革委员会　财政部关于印发中小企业划型标准规定的通知》(工信部联企业〔2011〕300号)和《财政部　工业和信息化部关于印发〈政府采购促进中小企业发展管理办法〉的通知》(财库〔2020〕46号)相关规定。</w:t>
      </w:r>
    </w:p>
    <w:p w14:paraId="4F82DF94">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2.授权用投标专用章的，与公章具有相同法律效力。</w:t>
      </w:r>
    </w:p>
    <w:p w14:paraId="763472E1">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rPr>
      </w:pPr>
    </w:p>
    <w:p w14:paraId="6F830D1B">
      <w:pPr>
        <w:pStyle w:val="4"/>
        <w:pageBreakBefore w:val="0"/>
        <w:widowControl w:val="0"/>
        <w:kinsoku/>
        <w:wordWrap/>
        <w:overflowPunct/>
        <w:topLinePunct w:val="0"/>
        <w:bidi w:val="0"/>
        <w:snapToGrid/>
        <w:spacing w:before="0" w:after="0" w:line="360" w:lineRule="auto"/>
        <w:textAlignment w:val="auto"/>
        <w:outlineLvl w:val="9"/>
        <w:rPr>
          <w:rFonts w:hint="eastAsia" w:ascii="宋体" w:hAnsi="宋体" w:eastAsia="宋体" w:cs="宋体"/>
          <w:highlight w:val="none"/>
          <w:lang w:val="zh-CN" w:eastAsia="zh-CN"/>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bookmarkStart w:id="635" w:name="_Toc89686198"/>
    </w:p>
    <w:p w14:paraId="5618C920">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附件</w:t>
      </w:r>
      <w:r>
        <w:rPr>
          <w:rFonts w:hint="eastAsia" w:ascii="宋体" w:hAnsi="宋体" w:eastAsia="宋体" w:cs="宋体"/>
          <w:highlight w:val="none"/>
          <w:lang w:val="en-US" w:eastAsia="zh-CN"/>
        </w:rPr>
        <w:t>十</w:t>
      </w:r>
      <w:r>
        <w:rPr>
          <w:rFonts w:hint="eastAsia" w:ascii="宋体" w:hAnsi="宋体" w:eastAsia="宋体" w:cs="宋体"/>
          <w:highlight w:val="none"/>
          <w:lang w:val="zh-CN" w:eastAsia="zh-CN"/>
        </w:rPr>
        <w:t>：残疾人福利性单位声明函（如有）</w:t>
      </w:r>
      <w:bookmarkEnd w:id="635"/>
    </w:p>
    <w:p w14:paraId="5970FC05">
      <w:pPr>
        <w:pStyle w:val="5"/>
        <w:spacing w:line="360" w:lineRule="auto"/>
        <w:rPr>
          <w:rFonts w:hint="eastAsia"/>
          <w:highlight w:val="none"/>
        </w:rPr>
      </w:pPr>
    </w:p>
    <w:p w14:paraId="4B175EDA">
      <w:pPr>
        <w:autoSpaceDE w:val="0"/>
        <w:autoSpaceDN w:val="0"/>
        <w:adjustRightInd w:val="0"/>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本单位郑重声明，根据《财政部民政部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2B900320">
      <w:pPr>
        <w:autoSpaceDE w:val="0"/>
        <w:autoSpaceDN w:val="0"/>
        <w:adjustRightInd w:val="0"/>
        <w:spacing w:line="360" w:lineRule="auto"/>
        <w:rPr>
          <w:rFonts w:hint="eastAsia" w:ascii="宋体" w:hAnsi="宋体"/>
          <w:sz w:val="24"/>
          <w:szCs w:val="24"/>
          <w:highlight w:val="none"/>
          <w:lang w:eastAsia="zh-CN"/>
        </w:rPr>
      </w:pPr>
    </w:p>
    <w:p w14:paraId="56DF1EBD">
      <w:pPr>
        <w:autoSpaceDE w:val="0"/>
        <w:autoSpaceDN w:val="0"/>
        <w:adjustRightInd w:val="0"/>
        <w:spacing w:line="360" w:lineRule="auto"/>
        <w:ind w:firstLine="5280" w:firstLineChars="2200"/>
        <w:rPr>
          <w:rFonts w:hint="eastAsia" w:ascii="宋体" w:hAnsi="宋体"/>
          <w:sz w:val="24"/>
          <w:szCs w:val="24"/>
          <w:highlight w:val="none"/>
          <w:lang w:eastAsia="zh-CN"/>
        </w:rPr>
      </w:pPr>
      <w:r>
        <w:rPr>
          <w:rFonts w:hint="eastAsia" w:ascii="宋体" w:hAnsi="宋体"/>
          <w:sz w:val="24"/>
          <w:szCs w:val="24"/>
          <w:highlight w:val="none"/>
          <w:lang w:eastAsia="zh-CN"/>
        </w:rPr>
        <w:t>供应商（盖章）：</w:t>
      </w:r>
    </w:p>
    <w:p w14:paraId="56218E2E">
      <w:pPr>
        <w:autoSpaceDE w:val="0"/>
        <w:autoSpaceDN w:val="0"/>
        <w:adjustRightInd w:val="0"/>
        <w:spacing w:line="360" w:lineRule="auto"/>
        <w:ind w:firstLine="5280" w:firstLineChars="2200"/>
        <w:rPr>
          <w:rFonts w:hint="eastAsia" w:ascii="宋体" w:hAnsi="宋体"/>
          <w:sz w:val="24"/>
          <w:szCs w:val="24"/>
          <w:highlight w:val="none"/>
          <w:lang w:eastAsia="zh-CN"/>
        </w:rPr>
      </w:pPr>
      <w:r>
        <w:rPr>
          <w:rFonts w:hint="eastAsia" w:ascii="宋体" w:hAnsi="宋体"/>
          <w:sz w:val="24"/>
          <w:szCs w:val="24"/>
          <w:highlight w:val="none"/>
          <w:lang w:eastAsia="zh-CN"/>
        </w:rPr>
        <w:t>日期：</w:t>
      </w:r>
    </w:p>
    <w:p w14:paraId="04879389">
      <w:pPr>
        <w:widowControl/>
        <w:spacing w:line="360" w:lineRule="auto"/>
        <w:rPr>
          <w:rFonts w:ascii="宋体" w:hAnsi="宋体"/>
          <w:b/>
          <w:sz w:val="24"/>
          <w:szCs w:val="24"/>
          <w:highlight w:val="none"/>
          <w:lang w:eastAsia="zh-CN"/>
        </w:rPr>
      </w:pPr>
    </w:p>
    <w:p w14:paraId="20EAF594">
      <w:pPr>
        <w:pStyle w:val="44"/>
        <w:spacing w:line="360" w:lineRule="auto"/>
        <w:ind w:firstLine="482"/>
        <w:rPr>
          <w:b/>
          <w:sz w:val="24"/>
          <w:szCs w:val="24"/>
          <w:highlight w:val="none"/>
          <w:lang w:eastAsia="zh-CN"/>
        </w:rPr>
      </w:pPr>
    </w:p>
    <w:p w14:paraId="258EA947">
      <w:pPr>
        <w:autoSpaceDE w:val="0"/>
        <w:autoSpaceDN w:val="0"/>
        <w:adjustRightInd w:val="0"/>
        <w:spacing w:line="360" w:lineRule="auto"/>
        <w:jc w:val="center"/>
        <w:rPr>
          <w:rFonts w:hint="eastAsia" w:ascii="宋体" w:hAnsi="宋体" w:cs="ˎ̥"/>
          <w:b/>
          <w:sz w:val="24"/>
          <w:szCs w:val="24"/>
          <w:highlight w:val="none"/>
          <w:lang w:eastAsia="zh-CN"/>
        </w:rPr>
      </w:pPr>
      <w:r>
        <w:rPr>
          <w:rFonts w:hint="eastAsia" w:ascii="宋体" w:hAnsi="宋体" w:cs="ˎ̥"/>
          <w:b/>
          <w:sz w:val="24"/>
          <w:szCs w:val="24"/>
          <w:highlight w:val="none"/>
          <w:lang w:eastAsia="zh-CN"/>
        </w:rPr>
        <w:t>属于监狱企业的证明文件</w:t>
      </w:r>
    </w:p>
    <w:p w14:paraId="17B6FF09">
      <w:pPr>
        <w:autoSpaceDE w:val="0"/>
        <w:autoSpaceDN w:val="0"/>
        <w:adjustRightInd w:val="0"/>
        <w:spacing w:line="360" w:lineRule="auto"/>
        <w:jc w:val="center"/>
        <w:rPr>
          <w:rFonts w:hint="eastAsia" w:ascii="宋体" w:hAnsi="宋体" w:cs="ˎ̥"/>
          <w:bCs/>
          <w:highlight w:val="none"/>
          <w:lang w:eastAsia="zh-CN"/>
        </w:rPr>
      </w:pPr>
      <w:r>
        <w:rPr>
          <w:rFonts w:hint="eastAsia" w:ascii="宋体" w:hAnsi="宋体" w:cs="ˎ̥"/>
          <w:bCs/>
          <w:sz w:val="24"/>
          <w:szCs w:val="24"/>
          <w:highlight w:val="none"/>
          <w:lang w:eastAsia="zh-CN"/>
        </w:rPr>
        <w:t>（提供由省级以上监狱管理局、戒毒管理局(含新疆生产建设兵团)出具的属于监狱企业的证明文件）</w:t>
      </w:r>
    </w:p>
    <w:p w14:paraId="413106E5">
      <w:pPr>
        <w:pStyle w:val="10"/>
        <w:tabs>
          <w:tab w:val="left" w:pos="6871"/>
          <w:tab w:val="left" w:pos="7831"/>
        </w:tabs>
        <w:spacing w:before="36" w:line="360" w:lineRule="auto"/>
        <w:ind w:left="0" w:right="1233"/>
        <w:rPr>
          <w:b/>
          <w:bCs/>
          <w:sz w:val="21"/>
          <w:szCs w:val="21"/>
          <w:highlight w:val="none"/>
          <w:lang w:eastAsia="zh-CN"/>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3089EB00">
      <w:pPr>
        <w:pStyle w:val="4"/>
        <w:bidi w:val="0"/>
        <w:spacing w:line="360" w:lineRule="auto"/>
        <w:rPr>
          <w:rFonts w:hint="eastAsia" w:ascii="宋体" w:hAnsi="宋体" w:eastAsia="宋体" w:cs="宋体"/>
          <w:highlight w:val="none"/>
        </w:rPr>
      </w:pPr>
      <w:r>
        <w:rPr>
          <w:rFonts w:hint="eastAsia" w:ascii="宋体" w:hAnsi="宋体" w:eastAsia="宋体" w:cs="宋体"/>
          <w:highlight w:val="none"/>
        </w:rPr>
        <w:t>附件</w:t>
      </w:r>
      <w:r>
        <w:rPr>
          <w:rFonts w:hint="eastAsia" w:ascii="宋体" w:hAnsi="宋体" w:eastAsia="宋体" w:cs="宋体"/>
          <w:highlight w:val="none"/>
          <w:lang w:val="en-US"/>
        </w:rPr>
        <w:t>十</w:t>
      </w:r>
      <w:r>
        <w:rPr>
          <w:rFonts w:hint="eastAsia" w:ascii="宋体" w:hAnsi="宋体" w:eastAsia="宋体" w:cs="宋体"/>
          <w:highlight w:val="none"/>
          <w:lang w:val="en-US" w:eastAsia="zh-CN"/>
        </w:rPr>
        <w:t>一</w:t>
      </w:r>
      <w:r>
        <w:rPr>
          <w:rFonts w:hint="eastAsia" w:ascii="宋体" w:hAnsi="宋体" w:eastAsia="宋体" w:cs="宋体"/>
          <w:highlight w:val="none"/>
          <w:lang w:val="en-US"/>
        </w:rPr>
        <w:t>、供应商基本情况表</w:t>
      </w:r>
    </w:p>
    <w:p w14:paraId="26B8408B">
      <w:pPr>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tbl>
      <w:tblPr>
        <w:tblStyle w:val="29"/>
        <w:tblW w:w="93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5"/>
        <w:gridCol w:w="1419"/>
        <w:gridCol w:w="2012"/>
        <w:gridCol w:w="1564"/>
        <w:gridCol w:w="952"/>
        <w:gridCol w:w="1717"/>
      </w:tblGrid>
      <w:tr w14:paraId="09622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14:paraId="51771D99">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供应商名称</w:t>
            </w:r>
          </w:p>
        </w:tc>
        <w:tc>
          <w:tcPr>
            <w:tcW w:w="7664" w:type="dxa"/>
            <w:gridSpan w:val="5"/>
            <w:tcBorders>
              <w:top w:val="single" w:color="auto" w:sz="4" w:space="0"/>
              <w:left w:val="single" w:color="auto" w:sz="4" w:space="0"/>
              <w:bottom w:val="single" w:color="auto" w:sz="4" w:space="0"/>
              <w:right w:val="single" w:color="auto" w:sz="4" w:space="0"/>
            </w:tcBorders>
            <w:noWrap w:val="0"/>
            <w:vAlign w:val="center"/>
          </w:tcPr>
          <w:p w14:paraId="2910C3C1">
            <w:pPr>
              <w:topLinePunct/>
              <w:spacing w:line="360" w:lineRule="auto"/>
              <w:jc w:val="center"/>
              <w:rPr>
                <w:rFonts w:hint="eastAsia" w:ascii="宋体" w:hAnsi="宋体" w:eastAsia="宋体" w:cs="宋体"/>
                <w:snapToGrid w:val="0"/>
                <w:sz w:val="24"/>
                <w:szCs w:val="24"/>
                <w:highlight w:val="none"/>
              </w:rPr>
            </w:pPr>
          </w:p>
        </w:tc>
      </w:tr>
      <w:tr w14:paraId="71AD1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14:paraId="382A3C76">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详细地址</w:t>
            </w:r>
          </w:p>
        </w:tc>
        <w:tc>
          <w:tcPr>
            <w:tcW w:w="7664" w:type="dxa"/>
            <w:gridSpan w:val="5"/>
            <w:tcBorders>
              <w:top w:val="single" w:color="auto" w:sz="4" w:space="0"/>
              <w:left w:val="single" w:color="auto" w:sz="4" w:space="0"/>
              <w:bottom w:val="single" w:color="auto" w:sz="4" w:space="0"/>
              <w:right w:val="single" w:color="auto" w:sz="4" w:space="0"/>
            </w:tcBorders>
            <w:noWrap w:val="0"/>
            <w:vAlign w:val="center"/>
          </w:tcPr>
          <w:p w14:paraId="04E8D273">
            <w:pPr>
              <w:topLinePunct/>
              <w:spacing w:line="360" w:lineRule="auto"/>
              <w:jc w:val="center"/>
              <w:rPr>
                <w:rFonts w:hint="eastAsia" w:ascii="宋体" w:hAnsi="宋体" w:eastAsia="宋体" w:cs="宋体"/>
                <w:snapToGrid w:val="0"/>
                <w:sz w:val="24"/>
                <w:szCs w:val="24"/>
                <w:highlight w:val="none"/>
              </w:rPr>
            </w:pPr>
          </w:p>
        </w:tc>
      </w:tr>
      <w:tr w14:paraId="4A4F5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14:paraId="5C49F055">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0D87844">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姓名</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D29D39A">
            <w:pPr>
              <w:topLinePunct/>
              <w:spacing w:line="360" w:lineRule="auto"/>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0B10D0F">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技术负责人</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1B2AD50A">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姓名</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C64ED10">
            <w:pPr>
              <w:topLinePunct/>
              <w:spacing w:line="360" w:lineRule="auto"/>
              <w:jc w:val="center"/>
              <w:rPr>
                <w:rFonts w:hint="eastAsia" w:ascii="宋体" w:hAnsi="宋体" w:eastAsia="宋体" w:cs="宋体"/>
                <w:snapToGrid w:val="0"/>
                <w:sz w:val="24"/>
                <w:szCs w:val="24"/>
                <w:highlight w:val="none"/>
              </w:rPr>
            </w:pPr>
          </w:p>
        </w:tc>
      </w:tr>
      <w:tr w14:paraId="0094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vMerge w:val="restart"/>
            <w:tcBorders>
              <w:top w:val="single" w:color="auto" w:sz="4" w:space="0"/>
              <w:left w:val="single" w:color="auto" w:sz="4" w:space="0"/>
              <w:right w:val="single" w:color="auto" w:sz="4" w:space="0"/>
            </w:tcBorders>
            <w:noWrap w:val="0"/>
            <w:vAlign w:val="center"/>
          </w:tcPr>
          <w:p w14:paraId="3B21571A">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在宁分支机构（如设立）</w:t>
            </w:r>
          </w:p>
          <w:p w14:paraId="03221629">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联系方式</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E551666">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负责人</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6BBB0B06">
            <w:pPr>
              <w:topLinePunct/>
              <w:spacing w:line="360" w:lineRule="auto"/>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7332BBE">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电话</w:t>
            </w:r>
          </w:p>
        </w:tc>
        <w:tc>
          <w:tcPr>
            <w:tcW w:w="2669" w:type="dxa"/>
            <w:gridSpan w:val="2"/>
            <w:tcBorders>
              <w:top w:val="single" w:color="auto" w:sz="4" w:space="0"/>
              <w:left w:val="single" w:color="auto" w:sz="4" w:space="0"/>
              <w:bottom w:val="single" w:color="auto" w:sz="4" w:space="0"/>
              <w:right w:val="single" w:color="auto" w:sz="4" w:space="0"/>
            </w:tcBorders>
            <w:noWrap w:val="0"/>
            <w:vAlign w:val="center"/>
          </w:tcPr>
          <w:p w14:paraId="6120D0A7">
            <w:pPr>
              <w:topLinePunct/>
              <w:spacing w:line="360" w:lineRule="auto"/>
              <w:jc w:val="center"/>
              <w:rPr>
                <w:rFonts w:hint="eastAsia" w:ascii="宋体" w:hAnsi="宋体" w:eastAsia="宋体" w:cs="宋体"/>
                <w:snapToGrid w:val="0"/>
                <w:sz w:val="24"/>
                <w:szCs w:val="24"/>
                <w:highlight w:val="none"/>
              </w:rPr>
            </w:pPr>
          </w:p>
        </w:tc>
      </w:tr>
      <w:tr w14:paraId="2A911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1655" w:type="dxa"/>
            <w:vMerge w:val="continue"/>
            <w:tcBorders>
              <w:left w:val="single" w:color="auto" w:sz="4" w:space="0"/>
              <w:bottom w:val="single" w:color="auto" w:sz="4" w:space="0"/>
              <w:right w:val="single" w:color="auto" w:sz="4" w:space="0"/>
            </w:tcBorders>
            <w:noWrap w:val="0"/>
            <w:vAlign w:val="center"/>
          </w:tcPr>
          <w:p w14:paraId="37B9E4D7">
            <w:pPr>
              <w:topLinePunct/>
              <w:spacing w:line="360" w:lineRule="auto"/>
              <w:jc w:val="center"/>
              <w:rPr>
                <w:rFonts w:hint="eastAsia" w:ascii="宋体" w:hAnsi="宋体" w:eastAsia="宋体" w:cs="宋体"/>
                <w:snapToGrid w:val="0"/>
                <w:sz w:val="24"/>
                <w:szCs w:val="24"/>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8BF10C8">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地址</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A936289">
            <w:pPr>
              <w:topLinePunct/>
              <w:spacing w:line="360" w:lineRule="auto"/>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69DFA17">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传真</w:t>
            </w:r>
          </w:p>
        </w:tc>
        <w:tc>
          <w:tcPr>
            <w:tcW w:w="2669" w:type="dxa"/>
            <w:gridSpan w:val="2"/>
            <w:tcBorders>
              <w:top w:val="single" w:color="auto" w:sz="4" w:space="0"/>
              <w:left w:val="single" w:color="auto" w:sz="4" w:space="0"/>
              <w:bottom w:val="single" w:color="auto" w:sz="4" w:space="0"/>
              <w:right w:val="single" w:color="auto" w:sz="4" w:space="0"/>
            </w:tcBorders>
            <w:noWrap w:val="0"/>
            <w:vAlign w:val="center"/>
          </w:tcPr>
          <w:p w14:paraId="72902FA5">
            <w:pPr>
              <w:topLinePunct/>
              <w:spacing w:line="360" w:lineRule="auto"/>
              <w:jc w:val="center"/>
              <w:rPr>
                <w:rFonts w:hint="eastAsia" w:ascii="宋体" w:hAnsi="宋体" w:eastAsia="宋体" w:cs="宋体"/>
                <w:snapToGrid w:val="0"/>
                <w:sz w:val="24"/>
                <w:szCs w:val="24"/>
                <w:highlight w:val="none"/>
              </w:rPr>
            </w:pPr>
          </w:p>
        </w:tc>
      </w:tr>
      <w:tr w14:paraId="26250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vMerge w:val="restart"/>
            <w:tcBorders>
              <w:top w:val="single" w:color="auto" w:sz="4" w:space="0"/>
              <w:left w:val="single" w:color="auto" w:sz="4" w:space="0"/>
              <w:right w:val="single" w:color="auto" w:sz="4" w:space="0"/>
            </w:tcBorders>
            <w:noWrap w:val="0"/>
            <w:vAlign w:val="center"/>
          </w:tcPr>
          <w:p w14:paraId="1F62BEC7">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联系方式</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5EAA60C">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联系人</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7AAAB71">
            <w:pPr>
              <w:topLinePunct/>
              <w:spacing w:line="360" w:lineRule="auto"/>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D0663F3">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电话</w:t>
            </w:r>
          </w:p>
        </w:tc>
        <w:tc>
          <w:tcPr>
            <w:tcW w:w="2669" w:type="dxa"/>
            <w:gridSpan w:val="2"/>
            <w:tcBorders>
              <w:top w:val="single" w:color="auto" w:sz="4" w:space="0"/>
              <w:left w:val="single" w:color="auto" w:sz="4" w:space="0"/>
              <w:bottom w:val="single" w:color="auto" w:sz="4" w:space="0"/>
              <w:right w:val="single" w:color="auto" w:sz="4" w:space="0"/>
            </w:tcBorders>
            <w:noWrap w:val="0"/>
            <w:vAlign w:val="center"/>
          </w:tcPr>
          <w:p w14:paraId="49F1FDDD">
            <w:pPr>
              <w:topLinePunct/>
              <w:spacing w:line="360" w:lineRule="auto"/>
              <w:jc w:val="center"/>
              <w:rPr>
                <w:rFonts w:hint="eastAsia" w:ascii="宋体" w:hAnsi="宋体" w:eastAsia="宋体" w:cs="宋体"/>
                <w:snapToGrid w:val="0"/>
                <w:sz w:val="24"/>
                <w:szCs w:val="24"/>
                <w:highlight w:val="none"/>
              </w:rPr>
            </w:pPr>
          </w:p>
        </w:tc>
      </w:tr>
      <w:tr w14:paraId="49ADB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vMerge w:val="continue"/>
            <w:tcBorders>
              <w:left w:val="single" w:color="auto" w:sz="4" w:space="0"/>
              <w:bottom w:val="single" w:color="auto" w:sz="4" w:space="0"/>
              <w:right w:val="single" w:color="auto" w:sz="4" w:space="0"/>
            </w:tcBorders>
            <w:noWrap w:val="0"/>
            <w:vAlign w:val="center"/>
          </w:tcPr>
          <w:p w14:paraId="1C8ECA88">
            <w:pPr>
              <w:topLinePunct/>
              <w:spacing w:line="360" w:lineRule="auto"/>
              <w:jc w:val="center"/>
              <w:rPr>
                <w:rFonts w:hint="eastAsia" w:ascii="宋体" w:hAnsi="宋体" w:eastAsia="宋体" w:cs="宋体"/>
                <w:snapToGrid w:val="0"/>
                <w:sz w:val="24"/>
                <w:szCs w:val="24"/>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C0192EC">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传真</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F25C5A2">
            <w:pPr>
              <w:topLinePunct/>
              <w:spacing w:line="360" w:lineRule="auto"/>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A519213">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手机</w:t>
            </w:r>
          </w:p>
        </w:tc>
        <w:tc>
          <w:tcPr>
            <w:tcW w:w="2669" w:type="dxa"/>
            <w:gridSpan w:val="2"/>
            <w:tcBorders>
              <w:top w:val="single" w:color="auto" w:sz="4" w:space="0"/>
              <w:left w:val="single" w:color="auto" w:sz="4" w:space="0"/>
              <w:bottom w:val="single" w:color="auto" w:sz="4" w:space="0"/>
              <w:right w:val="single" w:color="auto" w:sz="4" w:space="0"/>
            </w:tcBorders>
            <w:noWrap w:val="0"/>
            <w:vAlign w:val="center"/>
          </w:tcPr>
          <w:p w14:paraId="08E6027E">
            <w:pPr>
              <w:topLinePunct/>
              <w:spacing w:line="360" w:lineRule="auto"/>
              <w:jc w:val="center"/>
              <w:rPr>
                <w:rFonts w:hint="eastAsia" w:ascii="宋体" w:hAnsi="宋体" w:eastAsia="宋体" w:cs="宋体"/>
                <w:snapToGrid w:val="0"/>
                <w:sz w:val="24"/>
                <w:szCs w:val="24"/>
                <w:highlight w:val="none"/>
              </w:rPr>
            </w:pPr>
          </w:p>
        </w:tc>
      </w:tr>
      <w:tr w14:paraId="3D8F0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14:paraId="65DBC30A">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组织机构代码</w:t>
            </w:r>
          </w:p>
        </w:tc>
        <w:tc>
          <w:tcPr>
            <w:tcW w:w="7664" w:type="dxa"/>
            <w:gridSpan w:val="5"/>
            <w:tcBorders>
              <w:top w:val="single" w:color="auto" w:sz="4" w:space="0"/>
              <w:left w:val="single" w:color="auto" w:sz="4" w:space="0"/>
              <w:bottom w:val="single" w:color="auto" w:sz="4" w:space="0"/>
              <w:right w:val="single" w:color="auto" w:sz="4" w:space="0"/>
            </w:tcBorders>
            <w:noWrap w:val="0"/>
            <w:vAlign w:val="center"/>
          </w:tcPr>
          <w:p w14:paraId="0AE10012">
            <w:pPr>
              <w:topLinePunct/>
              <w:spacing w:line="360" w:lineRule="auto"/>
              <w:jc w:val="center"/>
              <w:rPr>
                <w:rFonts w:hint="eastAsia" w:ascii="宋体" w:hAnsi="宋体" w:eastAsia="宋体" w:cs="宋体"/>
                <w:snapToGrid w:val="0"/>
                <w:sz w:val="24"/>
                <w:szCs w:val="24"/>
                <w:highlight w:val="none"/>
              </w:rPr>
            </w:pPr>
          </w:p>
        </w:tc>
      </w:tr>
      <w:tr w14:paraId="04249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vMerge w:val="restart"/>
            <w:tcBorders>
              <w:top w:val="single" w:color="auto" w:sz="4" w:space="0"/>
              <w:left w:val="single" w:color="auto" w:sz="4" w:space="0"/>
              <w:right w:val="single" w:color="auto" w:sz="4" w:space="0"/>
            </w:tcBorders>
            <w:noWrap w:val="0"/>
            <w:vAlign w:val="center"/>
          </w:tcPr>
          <w:p w14:paraId="6F2F0D99">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营业执照</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2F9CA58">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注册号</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A97A58A">
            <w:pPr>
              <w:topLinePunct/>
              <w:spacing w:line="360" w:lineRule="auto"/>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8A8FD94">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公司类型</w:t>
            </w:r>
          </w:p>
        </w:tc>
        <w:tc>
          <w:tcPr>
            <w:tcW w:w="2669" w:type="dxa"/>
            <w:gridSpan w:val="2"/>
            <w:tcBorders>
              <w:top w:val="single" w:color="auto" w:sz="4" w:space="0"/>
              <w:left w:val="single" w:color="auto" w:sz="4" w:space="0"/>
              <w:bottom w:val="single" w:color="auto" w:sz="4" w:space="0"/>
              <w:right w:val="single" w:color="auto" w:sz="4" w:space="0"/>
            </w:tcBorders>
            <w:noWrap w:val="0"/>
            <w:vAlign w:val="center"/>
          </w:tcPr>
          <w:p w14:paraId="702B7C03">
            <w:pPr>
              <w:topLinePunct/>
              <w:spacing w:line="360" w:lineRule="auto"/>
              <w:jc w:val="center"/>
              <w:rPr>
                <w:rFonts w:hint="eastAsia" w:ascii="宋体" w:hAnsi="宋体" w:eastAsia="宋体" w:cs="宋体"/>
                <w:snapToGrid w:val="0"/>
                <w:sz w:val="24"/>
                <w:szCs w:val="24"/>
                <w:highlight w:val="none"/>
              </w:rPr>
            </w:pPr>
          </w:p>
        </w:tc>
      </w:tr>
      <w:tr w14:paraId="4D01B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vMerge w:val="continue"/>
            <w:tcBorders>
              <w:left w:val="single" w:color="auto" w:sz="4" w:space="0"/>
              <w:bottom w:val="single" w:color="auto" w:sz="4" w:space="0"/>
              <w:right w:val="single" w:color="auto" w:sz="4" w:space="0"/>
            </w:tcBorders>
            <w:noWrap w:val="0"/>
            <w:vAlign w:val="center"/>
          </w:tcPr>
          <w:p w14:paraId="2000DC5F">
            <w:pPr>
              <w:topLinePunct/>
              <w:spacing w:line="360" w:lineRule="auto"/>
              <w:jc w:val="center"/>
              <w:rPr>
                <w:rFonts w:hint="eastAsia" w:ascii="宋体" w:hAnsi="宋体" w:eastAsia="宋体" w:cs="宋体"/>
                <w:snapToGrid w:val="0"/>
                <w:sz w:val="24"/>
                <w:szCs w:val="24"/>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4DA048B">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注册地址</w:t>
            </w:r>
          </w:p>
        </w:tc>
        <w:tc>
          <w:tcPr>
            <w:tcW w:w="6245" w:type="dxa"/>
            <w:gridSpan w:val="4"/>
            <w:tcBorders>
              <w:top w:val="single" w:color="auto" w:sz="4" w:space="0"/>
              <w:left w:val="single" w:color="auto" w:sz="4" w:space="0"/>
              <w:bottom w:val="single" w:color="auto" w:sz="4" w:space="0"/>
              <w:right w:val="single" w:color="auto" w:sz="4" w:space="0"/>
            </w:tcBorders>
            <w:noWrap w:val="0"/>
            <w:vAlign w:val="center"/>
          </w:tcPr>
          <w:p w14:paraId="521FACE2">
            <w:pPr>
              <w:topLinePunct/>
              <w:spacing w:line="360" w:lineRule="auto"/>
              <w:jc w:val="center"/>
              <w:rPr>
                <w:rFonts w:hint="eastAsia" w:ascii="宋体" w:hAnsi="宋体" w:eastAsia="宋体" w:cs="宋体"/>
                <w:snapToGrid w:val="0"/>
                <w:sz w:val="24"/>
                <w:szCs w:val="24"/>
                <w:highlight w:val="none"/>
              </w:rPr>
            </w:pPr>
          </w:p>
        </w:tc>
      </w:tr>
      <w:tr w14:paraId="6E838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14:paraId="6783C257">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企业资质</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260D73A">
            <w:pPr>
              <w:topLinePunct/>
              <w:spacing w:line="360" w:lineRule="auto"/>
              <w:ind w:firstLine="120" w:firstLineChars="5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资质等级</w:t>
            </w:r>
          </w:p>
        </w:tc>
        <w:tc>
          <w:tcPr>
            <w:tcW w:w="6245" w:type="dxa"/>
            <w:gridSpan w:val="4"/>
            <w:tcBorders>
              <w:top w:val="single" w:color="auto" w:sz="4" w:space="0"/>
              <w:left w:val="single" w:color="auto" w:sz="4" w:space="0"/>
              <w:bottom w:val="single" w:color="auto" w:sz="4" w:space="0"/>
              <w:right w:val="single" w:color="auto" w:sz="4" w:space="0"/>
            </w:tcBorders>
            <w:noWrap w:val="0"/>
            <w:vAlign w:val="center"/>
          </w:tcPr>
          <w:p w14:paraId="05764CC7">
            <w:pPr>
              <w:topLinePunct/>
              <w:spacing w:line="360" w:lineRule="auto"/>
              <w:ind w:firstLine="120" w:firstLineChars="50"/>
              <w:jc w:val="center"/>
              <w:rPr>
                <w:rFonts w:hint="eastAsia" w:ascii="宋体" w:hAnsi="宋体" w:eastAsia="宋体" w:cs="宋体"/>
                <w:strike/>
                <w:snapToGrid w:val="0"/>
                <w:sz w:val="24"/>
                <w:szCs w:val="24"/>
                <w:highlight w:val="none"/>
              </w:rPr>
            </w:pPr>
          </w:p>
        </w:tc>
      </w:tr>
      <w:tr w14:paraId="29E75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655" w:type="dxa"/>
            <w:tcBorders>
              <w:left w:val="single" w:color="auto" w:sz="4" w:space="0"/>
              <w:bottom w:val="single" w:color="auto" w:sz="4" w:space="0"/>
              <w:right w:val="single" w:color="auto" w:sz="4" w:space="0"/>
            </w:tcBorders>
            <w:noWrap w:val="0"/>
            <w:vAlign w:val="center"/>
          </w:tcPr>
          <w:p w14:paraId="74963563">
            <w:pPr>
              <w:topLinePunct/>
              <w:spacing w:line="360" w:lineRule="auto"/>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开户许可证</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A95FC83">
            <w:pPr>
              <w:topLinePunct/>
              <w:spacing w:line="360" w:lineRule="auto"/>
              <w:ind w:firstLine="120" w:firstLineChars="5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开户银行</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FEF964A">
            <w:pPr>
              <w:topLinePunct/>
              <w:spacing w:line="360" w:lineRule="auto"/>
              <w:ind w:firstLine="120" w:firstLineChars="50"/>
              <w:jc w:val="center"/>
              <w:rPr>
                <w:rFonts w:hint="eastAsia" w:ascii="宋体" w:hAnsi="宋体" w:eastAsia="宋体" w:cs="宋体"/>
                <w:snapToGrid w:val="0"/>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D5B1F3D">
            <w:pPr>
              <w:topLinePunct/>
              <w:spacing w:line="360" w:lineRule="auto"/>
              <w:ind w:firstLine="120" w:firstLineChars="5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开户账号</w:t>
            </w:r>
          </w:p>
        </w:tc>
        <w:tc>
          <w:tcPr>
            <w:tcW w:w="2669" w:type="dxa"/>
            <w:gridSpan w:val="2"/>
            <w:tcBorders>
              <w:top w:val="single" w:color="auto" w:sz="4" w:space="0"/>
              <w:left w:val="single" w:color="auto" w:sz="4" w:space="0"/>
              <w:bottom w:val="single" w:color="auto" w:sz="4" w:space="0"/>
              <w:right w:val="single" w:color="auto" w:sz="4" w:space="0"/>
            </w:tcBorders>
            <w:noWrap w:val="0"/>
            <w:vAlign w:val="center"/>
          </w:tcPr>
          <w:p w14:paraId="5992113A">
            <w:pPr>
              <w:topLinePunct/>
              <w:spacing w:line="360" w:lineRule="auto"/>
              <w:ind w:firstLine="120" w:firstLineChars="50"/>
              <w:jc w:val="center"/>
              <w:rPr>
                <w:rFonts w:hint="eastAsia" w:ascii="宋体" w:hAnsi="宋体" w:eastAsia="宋体" w:cs="宋体"/>
                <w:snapToGrid w:val="0"/>
                <w:sz w:val="24"/>
                <w:szCs w:val="24"/>
                <w:highlight w:val="none"/>
              </w:rPr>
            </w:pPr>
          </w:p>
        </w:tc>
      </w:tr>
      <w:tr w14:paraId="1FB55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14:paraId="5673B336">
            <w:pPr>
              <w:topLinePunct/>
              <w:spacing w:line="360" w:lineRule="auto"/>
              <w:ind w:firstLine="240" w:firstLineChars="100"/>
              <w:jc w:val="center"/>
              <w:rPr>
                <w:rFonts w:hint="eastAsia" w:ascii="宋体" w:hAnsi="宋体" w:eastAsia="宋体" w:cs="宋体"/>
                <w:strike/>
                <w:snapToGrid w:val="0"/>
                <w:sz w:val="24"/>
                <w:szCs w:val="24"/>
                <w:highlight w:val="none"/>
              </w:rPr>
            </w:pPr>
            <w:r>
              <w:rPr>
                <w:rFonts w:hint="eastAsia" w:ascii="宋体" w:hAnsi="宋体" w:eastAsia="宋体" w:cs="宋体"/>
                <w:snapToGrid w:val="0"/>
                <w:sz w:val="24"/>
                <w:szCs w:val="24"/>
                <w:highlight w:val="none"/>
              </w:rPr>
              <w:t>企业简介</w:t>
            </w:r>
          </w:p>
        </w:tc>
        <w:tc>
          <w:tcPr>
            <w:tcW w:w="7664" w:type="dxa"/>
            <w:gridSpan w:val="5"/>
            <w:tcBorders>
              <w:top w:val="single" w:color="auto" w:sz="4" w:space="0"/>
              <w:left w:val="single" w:color="auto" w:sz="4" w:space="0"/>
              <w:bottom w:val="single" w:color="auto" w:sz="4" w:space="0"/>
              <w:right w:val="single" w:color="auto" w:sz="4" w:space="0"/>
            </w:tcBorders>
            <w:noWrap w:val="0"/>
            <w:vAlign w:val="center"/>
          </w:tcPr>
          <w:p w14:paraId="4F918AB5">
            <w:pPr>
              <w:topLinePunct/>
              <w:spacing w:line="360" w:lineRule="auto"/>
              <w:jc w:val="center"/>
              <w:rPr>
                <w:rFonts w:hint="eastAsia" w:ascii="宋体" w:hAnsi="宋体" w:eastAsia="宋体" w:cs="宋体"/>
                <w:strike/>
                <w:snapToGrid w:val="0"/>
                <w:sz w:val="24"/>
                <w:szCs w:val="24"/>
                <w:highlight w:val="none"/>
              </w:rPr>
            </w:pPr>
          </w:p>
          <w:p w14:paraId="25758D37">
            <w:pPr>
              <w:topLinePunct/>
              <w:spacing w:line="360" w:lineRule="auto"/>
              <w:jc w:val="center"/>
              <w:rPr>
                <w:rFonts w:hint="eastAsia" w:ascii="宋体" w:hAnsi="宋体" w:eastAsia="宋体" w:cs="宋体"/>
                <w:strike/>
                <w:snapToGrid w:val="0"/>
                <w:sz w:val="24"/>
                <w:szCs w:val="24"/>
                <w:highlight w:val="none"/>
              </w:rPr>
            </w:pPr>
          </w:p>
        </w:tc>
      </w:tr>
    </w:tbl>
    <w:p w14:paraId="74EDD863">
      <w:pPr>
        <w:spacing w:line="360" w:lineRule="auto"/>
        <w:rPr>
          <w:rFonts w:hint="eastAsia" w:ascii="宋体" w:hAnsi="宋体" w:eastAsia="宋体" w:cs="宋体"/>
          <w:sz w:val="24"/>
          <w:szCs w:val="24"/>
          <w:highlight w:val="none"/>
        </w:rPr>
      </w:pPr>
    </w:p>
    <w:p w14:paraId="41D0FE27">
      <w:pPr>
        <w:spacing w:line="360" w:lineRule="auto"/>
        <w:rPr>
          <w:rFonts w:hint="eastAsia" w:ascii="宋体" w:hAnsi="宋体" w:eastAsia="宋体" w:cs="宋体"/>
          <w:sz w:val="24"/>
          <w:szCs w:val="24"/>
          <w:highlight w:val="none"/>
        </w:rPr>
        <w:sectPr>
          <w:endnotePr>
            <w:numFmt w:val="decimal"/>
          </w:endnotePr>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highlight w:val="none"/>
        </w:rPr>
        <w:t>注：附相关证书资料复印件。</w:t>
      </w:r>
    </w:p>
    <w:p w14:paraId="7A9F7EED">
      <w:pPr>
        <w:pStyle w:val="4"/>
        <w:bidi w:val="0"/>
        <w:spacing w:line="360" w:lineRule="auto"/>
        <w:rPr>
          <w:rFonts w:hint="eastAsia" w:ascii="宋体" w:hAnsi="宋体" w:eastAsia="宋体" w:cs="宋体"/>
          <w:highlight w:val="none"/>
        </w:rPr>
      </w:pPr>
      <w:r>
        <w:rPr>
          <w:rFonts w:hint="eastAsia" w:ascii="宋体" w:hAnsi="宋体" w:eastAsia="宋体" w:cs="宋体"/>
          <w:highlight w:val="none"/>
        </w:rPr>
        <w:t>附件</w:t>
      </w:r>
      <w:r>
        <w:rPr>
          <w:rFonts w:hint="eastAsia" w:ascii="宋体" w:hAnsi="宋体" w:eastAsia="宋体" w:cs="宋体"/>
          <w:highlight w:val="none"/>
          <w:lang w:eastAsia="zh-CN"/>
        </w:rPr>
        <w:t>十</w:t>
      </w:r>
      <w:r>
        <w:rPr>
          <w:rFonts w:hint="eastAsia" w:ascii="宋体" w:hAnsi="宋体" w:eastAsia="宋体" w:cs="宋体"/>
          <w:highlight w:val="none"/>
          <w:lang w:val="en-US" w:eastAsia="zh-CN"/>
        </w:rPr>
        <w:t>二</w:t>
      </w:r>
      <w:r>
        <w:rPr>
          <w:rFonts w:hint="eastAsia" w:ascii="宋体" w:hAnsi="宋体" w:eastAsia="宋体" w:cs="宋体"/>
          <w:highlight w:val="none"/>
        </w:rPr>
        <w:t>、资格</w:t>
      </w:r>
      <w:r>
        <w:rPr>
          <w:rFonts w:hint="eastAsia" w:ascii="宋体" w:hAnsi="宋体" w:eastAsia="宋体" w:cs="宋体"/>
          <w:highlight w:val="none"/>
          <w:lang w:val="en-US" w:eastAsia="zh-CN"/>
        </w:rPr>
        <w:t>审查</w:t>
      </w:r>
      <w:r>
        <w:rPr>
          <w:rFonts w:hint="eastAsia" w:ascii="宋体" w:hAnsi="宋体" w:eastAsia="宋体" w:cs="宋体"/>
          <w:highlight w:val="none"/>
        </w:rPr>
        <w:t>响应表</w:t>
      </w:r>
    </w:p>
    <w:tbl>
      <w:tblPr>
        <w:tblStyle w:val="2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5"/>
        <w:gridCol w:w="2059"/>
        <w:gridCol w:w="1924"/>
      </w:tblGrid>
      <w:tr w14:paraId="05F9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95" w:type="dxa"/>
            <w:noWrap w:val="0"/>
            <w:vAlign w:val="center"/>
          </w:tcPr>
          <w:p w14:paraId="5C9C06B3">
            <w:pPr>
              <w:pStyle w:val="51"/>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2059" w:type="dxa"/>
            <w:noWrap w:val="0"/>
            <w:vAlign w:val="center"/>
          </w:tcPr>
          <w:p w14:paraId="33742872">
            <w:pPr>
              <w:pStyle w:val="51"/>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（是/否）满足</w:t>
            </w:r>
          </w:p>
        </w:tc>
        <w:tc>
          <w:tcPr>
            <w:tcW w:w="1924" w:type="dxa"/>
            <w:noWrap w:val="0"/>
            <w:vAlign w:val="center"/>
          </w:tcPr>
          <w:p w14:paraId="616A9B20">
            <w:pPr>
              <w:pStyle w:val="51"/>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页码</w:t>
            </w:r>
          </w:p>
        </w:tc>
      </w:tr>
      <w:tr w14:paraId="138C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95" w:type="dxa"/>
            <w:noWrap w:val="0"/>
            <w:vAlign w:val="center"/>
          </w:tcPr>
          <w:p w14:paraId="5A0A9AA3">
            <w:pPr>
              <w:pStyle w:val="51"/>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1.《南京市政府采购供应商信用记录表暨信用承诺书》</w:t>
            </w:r>
          </w:p>
        </w:tc>
        <w:tc>
          <w:tcPr>
            <w:tcW w:w="2059" w:type="dxa"/>
            <w:noWrap w:val="0"/>
            <w:vAlign w:val="center"/>
          </w:tcPr>
          <w:p w14:paraId="7B1C7F65">
            <w:pPr>
              <w:pStyle w:val="51"/>
              <w:spacing w:line="360" w:lineRule="auto"/>
              <w:ind w:firstLine="0" w:firstLineChars="0"/>
              <w:jc w:val="center"/>
              <w:rPr>
                <w:rFonts w:hint="eastAsia" w:ascii="宋体" w:hAnsi="宋体" w:eastAsia="宋体" w:cs="宋体"/>
                <w:sz w:val="24"/>
                <w:szCs w:val="24"/>
                <w:highlight w:val="none"/>
              </w:rPr>
            </w:pPr>
          </w:p>
        </w:tc>
        <w:tc>
          <w:tcPr>
            <w:tcW w:w="1924" w:type="dxa"/>
            <w:noWrap w:val="0"/>
            <w:vAlign w:val="center"/>
          </w:tcPr>
          <w:p w14:paraId="67C1F816">
            <w:pPr>
              <w:pStyle w:val="51"/>
              <w:spacing w:line="360" w:lineRule="auto"/>
              <w:ind w:firstLine="0" w:firstLineChars="0"/>
              <w:jc w:val="center"/>
              <w:rPr>
                <w:rFonts w:hint="eastAsia" w:ascii="宋体" w:hAnsi="宋体" w:eastAsia="宋体" w:cs="宋体"/>
                <w:sz w:val="24"/>
                <w:szCs w:val="24"/>
                <w:highlight w:val="none"/>
              </w:rPr>
            </w:pPr>
          </w:p>
        </w:tc>
      </w:tr>
      <w:tr w14:paraId="16C1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95" w:type="dxa"/>
            <w:noWrap w:val="0"/>
            <w:vAlign w:val="center"/>
          </w:tcPr>
          <w:p w14:paraId="357D227C">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2．具有独立承担民事责任的能力</w:t>
            </w:r>
          </w:p>
        </w:tc>
        <w:tc>
          <w:tcPr>
            <w:tcW w:w="2059" w:type="dxa"/>
            <w:noWrap w:val="0"/>
            <w:vAlign w:val="top"/>
          </w:tcPr>
          <w:p w14:paraId="0C09A6E6">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4AD52A60">
            <w:pPr>
              <w:pStyle w:val="51"/>
              <w:spacing w:line="360" w:lineRule="auto"/>
              <w:ind w:firstLine="480"/>
              <w:rPr>
                <w:rFonts w:hint="eastAsia" w:ascii="宋体" w:hAnsi="宋体" w:eastAsia="宋体" w:cs="宋体"/>
                <w:sz w:val="24"/>
                <w:szCs w:val="24"/>
                <w:highlight w:val="none"/>
              </w:rPr>
            </w:pPr>
          </w:p>
        </w:tc>
      </w:tr>
      <w:tr w14:paraId="0291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095" w:type="dxa"/>
            <w:noWrap w:val="0"/>
            <w:vAlign w:val="center"/>
          </w:tcPr>
          <w:p w14:paraId="7EA470CD">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3.具有良好的商业信誉和健全的财务会计制度</w:t>
            </w:r>
          </w:p>
        </w:tc>
        <w:tc>
          <w:tcPr>
            <w:tcW w:w="2059" w:type="dxa"/>
            <w:noWrap w:val="0"/>
            <w:vAlign w:val="top"/>
          </w:tcPr>
          <w:p w14:paraId="377E3C98">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0B8182F6">
            <w:pPr>
              <w:pStyle w:val="51"/>
              <w:spacing w:line="360" w:lineRule="auto"/>
              <w:ind w:firstLine="480"/>
              <w:rPr>
                <w:rFonts w:hint="eastAsia" w:ascii="宋体" w:hAnsi="宋体" w:eastAsia="宋体" w:cs="宋体"/>
                <w:sz w:val="24"/>
                <w:szCs w:val="24"/>
                <w:highlight w:val="none"/>
              </w:rPr>
            </w:pPr>
          </w:p>
        </w:tc>
      </w:tr>
      <w:tr w14:paraId="666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095" w:type="dxa"/>
            <w:noWrap w:val="0"/>
            <w:vAlign w:val="center"/>
          </w:tcPr>
          <w:p w14:paraId="7C894F34">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4.具有履行合同所必需的设备和专业技术能力</w:t>
            </w:r>
          </w:p>
        </w:tc>
        <w:tc>
          <w:tcPr>
            <w:tcW w:w="2059" w:type="dxa"/>
            <w:noWrap w:val="0"/>
            <w:vAlign w:val="top"/>
          </w:tcPr>
          <w:p w14:paraId="561BF554">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614FA4AA">
            <w:pPr>
              <w:pStyle w:val="51"/>
              <w:spacing w:line="360" w:lineRule="auto"/>
              <w:ind w:firstLine="480"/>
              <w:rPr>
                <w:rFonts w:hint="eastAsia" w:ascii="宋体" w:hAnsi="宋体" w:eastAsia="宋体" w:cs="宋体"/>
                <w:sz w:val="24"/>
                <w:szCs w:val="24"/>
                <w:highlight w:val="none"/>
              </w:rPr>
            </w:pPr>
          </w:p>
        </w:tc>
      </w:tr>
      <w:tr w14:paraId="1182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5095" w:type="dxa"/>
            <w:noWrap w:val="0"/>
            <w:vAlign w:val="center"/>
          </w:tcPr>
          <w:p w14:paraId="6A7C4F50">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5.具有依法缴纳税收和社会保障资金的良好记录</w:t>
            </w:r>
          </w:p>
        </w:tc>
        <w:tc>
          <w:tcPr>
            <w:tcW w:w="2059" w:type="dxa"/>
            <w:noWrap w:val="0"/>
            <w:vAlign w:val="top"/>
          </w:tcPr>
          <w:p w14:paraId="67F641AF">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6BAECD28">
            <w:pPr>
              <w:pStyle w:val="51"/>
              <w:spacing w:line="360" w:lineRule="auto"/>
              <w:ind w:firstLine="480"/>
              <w:rPr>
                <w:rFonts w:hint="eastAsia" w:ascii="宋体" w:hAnsi="宋体" w:eastAsia="宋体" w:cs="宋体"/>
                <w:sz w:val="24"/>
                <w:szCs w:val="24"/>
                <w:highlight w:val="none"/>
              </w:rPr>
            </w:pPr>
          </w:p>
        </w:tc>
      </w:tr>
      <w:tr w14:paraId="7DE8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5095" w:type="dxa"/>
            <w:noWrap w:val="0"/>
            <w:vAlign w:val="center"/>
          </w:tcPr>
          <w:p w14:paraId="54310D27">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6.参加政府采购活动前三年内，在经营活动中没有重大违法记录</w:t>
            </w:r>
          </w:p>
        </w:tc>
        <w:tc>
          <w:tcPr>
            <w:tcW w:w="2059" w:type="dxa"/>
            <w:noWrap w:val="0"/>
            <w:vAlign w:val="top"/>
          </w:tcPr>
          <w:p w14:paraId="5F739A6F">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74420B7B">
            <w:pPr>
              <w:pStyle w:val="51"/>
              <w:spacing w:line="360" w:lineRule="auto"/>
              <w:ind w:firstLine="480"/>
              <w:rPr>
                <w:rFonts w:hint="eastAsia" w:ascii="宋体" w:hAnsi="宋体" w:eastAsia="宋体" w:cs="宋体"/>
                <w:sz w:val="24"/>
                <w:szCs w:val="24"/>
                <w:highlight w:val="none"/>
              </w:rPr>
            </w:pPr>
          </w:p>
        </w:tc>
      </w:tr>
      <w:tr w14:paraId="2D7A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095" w:type="dxa"/>
            <w:noWrap w:val="0"/>
            <w:vAlign w:val="center"/>
          </w:tcPr>
          <w:p w14:paraId="7A1C1F42">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7．法律、行政法规和采购文件规定的其他条件</w:t>
            </w:r>
          </w:p>
        </w:tc>
        <w:tc>
          <w:tcPr>
            <w:tcW w:w="2059" w:type="dxa"/>
            <w:noWrap w:val="0"/>
            <w:vAlign w:val="top"/>
          </w:tcPr>
          <w:p w14:paraId="55D2A579">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4A7BBDF2">
            <w:pPr>
              <w:pStyle w:val="51"/>
              <w:spacing w:line="360" w:lineRule="auto"/>
              <w:ind w:firstLine="480"/>
              <w:rPr>
                <w:rFonts w:hint="eastAsia" w:ascii="宋体" w:hAnsi="宋体" w:eastAsia="宋体" w:cs="宋体"/>
                <w:sz w:val="24"/>
                <w:szCs w:val="24"/>
                <w:highlight w:val="none"/>
              </w:rPr>
            </w:pPr>
          </w:p>
        </w:tc>
      </w:tr>
      <w:tr w14:paraId="74E4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5095" w:type="dxa"/>
            <w:noWrap w:val="0"/>
            <w:vAlign w:val="center"/>
          </w:tcPr>
          <w:p w14:paraId="256FDF5E">
            <w:pPr>
              <w:pStyle w:val="51"/>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8.采购人根据采购项目的特殊要求规定的特定条件（若有）</w:t>
            </w:r>
          </w:p>
        </w:tc>
        <w:tc>
          <w:tcPr>
            <w:tcW w:w="2059" w:type="dxa"/>
            <w:noWrap w:val="0"/>
            <w:vAlign w:val="top"/>
          </w:tcPr>
          <w:p w14:paraId="27959D23">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2F789A30">
            <w:pPr>
              <w:pStyle w:val="51"/>
              <w:spacing w:line="360" w:lineRule="auto"/>
              <w:ind w:firstLine="480"/>
              <w:rPr>
                <w:rFonts w:hint="eastAsia" w:ascii="宋体" w:hAnsi="宋体" w:eastAsia="宋体" w:cs="宋体"/>
                <w:sz w:val="24"/>
                <w:szCs w:val="24"/>
                <w:highlight w:val="none"/>
              </w:rPr>
            </w:pPr>
          </w:p>
        </w:tc>
      </w:tr>
      <w:tr w14:paraId="7431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095" w:type="dxa"/>
            <w:noWrap w:val="0"/>
            <w:vAlign w:val="center"/>
          </w:tcPr>
          <w:p w14:paraId="59690694">
            <w:pPr>
              <w:pStyle w:val="51"/>
              <w:spacing w:line="36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9.竞争性磋商文件中的其他实质性要求</w:t>
            </w:r>
          </w:p>
        </w:tc>
        <w:tc>
          <w:tcPr>
            <w:tcW w:w="2059" w:type="dxa"/>
            <w:noWrap w:val="0"/>
            <w:vAlign w:val="top"/>
          </w:tcPr>
          <w:p w14:paraId="7C2D2721">
            <w:pPr>
              <w:pStyle w:val="51"/>
              <w:spacing w:line="360" w:lineRule="auto"/>
              <w:ind w:firstLine="480"/>
              <w:rPr>
                <w:rFonts w:hint="eastAsia" w:ascii="宋体" w:hAnsi="宋体" w:eastAsia="宋体" w:cs="宋体"/>
                <w:sz w:val="24"/>
                <w:szCs w:val="24"/>
                <w:highlight w:val="none"/>
              </w:rPr>
            </w:pPr>
          </w:p>
        </w:tc>
        <w:tc>
          <w:tcPr>
            <w:tcW w:w="1924" w:type="dxa"/>
            <w:noWrap w:val="0"/>
            <w:vAlign w:val="top"/>
          </w:tcPr>
          <w:p w14:paraId="4E2F456C">
            <w:pPr>
              <w:pStyle w:val="51"/>
              <w:spacing w:line="360" w:lineRule="auto"/>
              <w:ind w:firstLine="480"/>
              <w:rPr>
                <w:rFonts w:hint="eastAsia" w:ascii="宋体" w:hAnsi="宋体" w:eastAsia="宋体" w:cs="宋体"/>
                <w:sz w:val="24"/>
                <w:szCs w:val="24"/>
                <w:highlight w:val="none"/>
              </w:rPr>
            </w:pPr>
          </w:p>
        </w:tc>
      </w:tr>
      <w:tr w14:paraId="212E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078" w:type="dxa"/>
            <w:gridSpan w:val="3"/>
            <w:noWrap w:val="0"/>
            <w:vAlign w:val="center"/>
          </w:tcPr>
          <w:p w14:paraId="18AE7043">
            <w:pPr>
              <w:pStyle w:val="51"/>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注：供应商在中标（成交）后，应按采购文件要求，将上述由信用承诺书替代的证明材料提交采购代理机构核验。经核验无误后，由采购人或采购代理机构发出中标（成交)通知书。</w:t>
            </w:r>
          </w:p>
        </w:tc>
      </w:tr>
    </w:tbl>
    <w:p w14:paraId="4C999882">
      <w:pPr>
        <w:pStyle w:val="4"/>
        <w:bidi w:val="0"/>
        <w:spacing w:line="360" w:lineRule="auto"/>
        <w:outlineLvl w:val="9"/>
        <w:rPr>
          <w:rFonts w:hint="eastAsia" w:ascii="宋体" w:hAnsi="宋体" w:eastAsia="宋体" w:cs="宋体"/>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36DF594">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附件十</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承诺函</w:t>
      </w:r>
    </w:p>
    <w:p w14:paraId="6DB912B4">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p>
    <w:p w14:paraId="499507D9">
      <w:pPr>
        <w:widowControl/>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（项目名称）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（采购编号）采购邀请，我公司郑重承诺：</w:t>
      </w:r>
    </w:p>
    <w:p w14:paraId="714AFC43">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被信用中国网站、中国政府采购网站列入失信被执行人名单、重大税收违法案件当事人名单、政府采购严重违法失信行为记录名单及《南京市政府采购供应商信用管理工作暂行办法》宁财规〔2018〕10号第十一条、第十二条所列严重失信行为情形的供应商；</w:t>
      </w:r>
    </w:p>
    <w:p w14:paraId="5441F993">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（2）不为本采购项目提供规范编制，以及项目管理、监理、检测等服务；</w:t>
      </w:r>
    </w:p>
    <w:p w14:paraId="3198A2E9">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（3）参加本次采购活动的不同供应商的法定代表人或委托代理人无夫妻、直系血亲关系的；</w:t>
      </w:r>
    </w:p>
    <w:p w14:paraId="72605CDB">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（4）参加本次采购活动不同供应商的负责人不为同一人，或不同供应商之间存在直接控股、管理关系的；</w:t>
      </w:r>
    </w:p>
    <w:p w14:paraId="198F681D">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（5）本项目非联合体投标。</w:t>
      </w:r>
    </w:p>
    <w:p w14:paraId="0BEFB6C1">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（6）我单位不属于有红黄牌警示的投标单位和项目负责人以及动态核查不通过的供应商。</w:t>
      </w:r>
    </w:p>
    <w:p w14:paraId="645820A1">
      <w:pPr>
        <w:widowControl/>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本公司对上述承诺的真实性负责。如有虚假，将依法承担相应责任。</w:t>
      </w:r>
    </w:p>
    <w:p w14:paraId="47E289D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B9AA12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（盖章）</w:t>
      </w:r>
    </w:p>
    <w:p w14:paraId="569ABA8E">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法定代表人或授权代表（签字或签章）：</w:t>
      </w:r>
    </w:p>
    <w:p w14:paraId="5C6B35A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633DA5AD">
      <w:pPr>
        <w:pStyle w:val="4"/>
        <w:bidi w:val="0"/>
        <w:spacing w:line="360" w:lineRule="auto"/>
        <w:outlineLvl w:val="9"/>
        <w:rPr>
          <w:rFonts w:hint="eastAsia" w:ascii="宋体" w:hAnsi="宋体" w:eastAsia="宋体" w:cs="宋体"/>
          <w:highlight w:val="none"/>
        </w:rPr>
        <w:sectPr>
          <w:pgSz w:w="11906" w:h="16838"/>
          <w:pgMar w:top="1440" w:right="1800" w:bottom="1440" w:left="1800" w:header="851" w:footer="992" w:gutter="0"/>
          <w:pgNumType w:fmt="decimal"/>
          <w:cols w:space="720" w:num="1"/>
          <w:docGrid w:type="lines" w:linePitch="312" w:charSpace="0"/>
        </w:sectPr>
      </w:pPr>
    </w:p>
    <w:p w14:paraId="637187D2">
      <w:pPr>
        <w:widowControl/>
        <w:spacing w:line="360" w:lineRule="auto"/>
        <w:jc w:val="both"/>
        <w:rPr>
          <w:rFonts w:hint="eastAsia" w:ascii="宋体" w:hAnsi="宋体" w:eastAsia="宋体" w:cs="宋体"/>
          <w:highlight w:val="none"/>
        </w:rPr>
      </w:pPr>
      <w:r>
        <w:rPr>
          <w:rFonts w:hint="eastAsia" w:ascii="宋体" w:hAnsi="宋体" w:eastAsia="宋体" w:cs="宋体"/>
          <w:highlight w:val="none"/>
        </w:rPr>
        <w:t>附件</w:t>
      </w:r>
      <w:r>
        <w:rPr>
          <w:rFonts w:hint="eastAsia" w:ascii="宋体" w:hAnsi="宋体" w:eastAsia="宋体" w:cs="宋体"/>
          <w:highlight w:val="none"/>
          <w:lang w:eastAsia="zh-CN"/>
        </w:rPr>
        <w:t>十</w:t>
      </w:r>
      <w:r>
        <w:rPr>
          <w:rFonts w:hint="eastAsia" w:ascii="宋体" w:hAnsi="宋体" w:eastAsia="宋体" w:cs="宋体"/>
          <w:highlight w:val="none"/>
          <w:lang w:val="en-US" w:eastAsia="zh-CN"/>
        </w:rPr>
        <w:t>四</w:t>
      </w:r>
      <w:r>
        <w:rPr>
          <w:rFonts w:hint="eastAsia" w:ascii="宋体" w:hAnsi="宋体" w:eastAsia="宋体" w:cs="宋体"/>
          <w:highlight w:val="none"/>
        </w:rPr>
        <w:t>、投标人认为需要提供的其他相关材料：</w:t>
      </w:r>
    </w:p>
    <w:p w14:paraId="5104331D">
      <w:pPr>
        <w:pStyle w:val="3"/>
        <w:bidi w:val="0"/>
        <w:spacing w:line="360" w:lineRule="auto"/>
        <w:outlineLvl w:val="9"/>
        <w:rPr>
          <w:rFonts w:hint="eastAsia" w:ascii="宋体" w:hAnsi="宋体" w:eastAsia="宋体" w:cs="宋体"/>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00052B92">
      <w:pPr>
        <w:pStyle w:val="3"/>
        <w:bidi w:val="0"/>
        <w:spacing w:line="360" w:lineRule="auto"/>
        <w:rPr>
          <w:rFonts w:hint="eastAsia" w:ascii="宋体" w:hAnsi="宋体" w:eastAsia="宋体" w:cs="宋体"/>
          <w:highlight w:val="none"/>
          <w:lang w:val="en-US" w:eastAsia="zh-CN"/>
        </w:rPr>
      </w:pPr>
      <w:bookmarkStart w:id="636" w:name="_Toc13019"/>
      <w:r>
        <w:rPr>
          <w:rFonts w:hint="eastAsia" w:ascii="宋体" w:hAnsi="宋体" w:eastAsia="宋体" w:cs="宋体"/>
          <w:highlight w:val="none"/>
          <w:lang w:val="en-US" w:eastAsia="zh-CN"/>
        </w:rPr>
        <w:t>第七章附件</w:t>
      </w:r>
      <w:bookmarkEnd w:id="636"/>
    </w:p>
    <w:p w14:paraId="53C540E5">
      <w:pPr>
        <w:widowControl/>
        <w:numPr>
          <w:ilvl w:val="0"/>
          <w:numId w:val="0"/>
        </w:numPr>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1、工程量清单</w:t>
      </w:r>
    </w:p>
    <w:p w14:paraId="7F59AC82">
      <w:pPr>
        <w:widowControl/>
        <w:numPr>
          <w:ilvl w:val="0"/>
          <w:numId w:val="0"/>
        </w:numPr>
        <w:snapToGrid w:val="0"/>
        <w:spacing w:line="360" w:lineRule="auto"/>
        <w:rPr>
          <w:rFonts w:hint="default" w:ascii="宋体" w:hAnsi="宋体" w:eastAsia="宋体" w:cs="宋体"/>
          <w:bCs/>
          <w:color w:val="auto"/>
          <w:sz w:val="24"/>
          <w:szCs w:val="24"/>
          <w:highlight w:val="none"/>
          <w:lang w:val="en-US" w:eastAsia="zh-CN"/>
        </w:rPr>
      </w:pPr>
    </w:p>
    <w:p w14:paraId="54CB52F6">
      <w:pPr>
        <w:pStyle w:val="28"/>
        <w:rPr>
          <w:rFonts w:hint="eastAsia"/>
          <w:color w:val="auto"/>
          <w:highlight w:val="none"/>
          <w:lang w:val="en-US" w:eastAsia="zh-CN"/>
        </w:rPr>
      </w:pPr>
    </w:p>
    <w:sectPr>
      <w:headerReference r:id="rId16" w:type="default"/>
      <w:footerReference r:id="rId17" w:type="default"/>
      <w:pgSz w:w="12240" w:h="15840"/>
      <w:pgMar w:top="1134" w:right="1134" w:bottom="1134" w:left="1134" w:header="720" w:footer="72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1" w:fontKey="{783EC29E-BBFB-412E-872C-345A94537D83}"/>
  </w:font>
  <w:font w:name="ˎ̥">
    <w:altName w:val="Times New Roman"/>
    <w:panose1 w:val="00000000000000000000"/>
    <w:charset w:val="00"/>
    <w:family w:val="auto"/>
    <w:pitch w:val="default"/>
    <w:sig w:usb0="00000000" w:usb1="00000000" w:usb2="00000000" w:usb3="00000000" w:csb0="00040001" w:csb1="00000000"/>
    <w:embedRegular r:id="rId2" w:fontKey="{184652E1-4FDA-4C0C-B0A6-7070687E4B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A63F">
    <w:pPr>
      <w:pStyle w:val="19"/>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8AF">
    <w:pPr>
      <w:pStyle w:val="19"/>
      <w:jc w:val="center"/>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A95DC">
                          <w:pPr>
                            <w:pStyle w:val="1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CDA95DC">
                    <w:pPr>
                      <w:pStyle w:val="1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7C08">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FB589">
                          <w:pPr>
                            <w:pStyle w:val="19"/>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5FB589">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B19A">
    <w:pPr>
      <w:pStyle w:val="19"/>
      <w:framePr w:wrap="around" w:vAnchor="text" w:hAnchor="margin" w:xAlign="center" w:y="1"/>
      <w:rPr>
        <w:rStyle w:val="33"/>
      </w:rPr>
    </w:pPr>
    <w:r>
      <w:rPr>
        <w:rStyle w:val="33"/>
      </w:rPr>
      <w:fldChar w:fldCharType="begin"/>
    </w:r>
    <w:r>
      <w:rPr>
        <w:rStyle w:val="33"/>
      </w:rPr>
      <w:instrText xml:space="preserve"> PAGE </w:instrText>
    </w:r>
    <w:r>
      <w:rPr>
        <w:rStyle w:val="33"/>
      </w:rPr>
      <w:fldChar w:fldCharType="end"/>
    </w:r>
  </w:p>
  <w:p w14:paraId="551E3255">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8CCF">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5805">
    <w:pPr>
      <w:spacing w:line="14" w:lineRule="auto"/>
      <w:rPr>
        <w:sz w:val="20"/>
        <w:szCs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AE1FA2">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6AE1FA2">
                    <w:pPr>
                      <w:pStyle w:val="1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10095230</wp:posOffset>
              </wp:positionV>
              <wp:extent cx="202501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025015" cy="158115"/>
                      </a:xfrm>
                      <a:prstGeom prst="rect">
                        <a:avLst/>
                      </a:prstGeom>
                      <a:noFill/>
                      <a:ln>
                        <a:noFill/>
                      </a:ln>
                      <a:effectLst/>
                    </wps:spPr>
                    <wps:txbx>
                      <w:txbxContent>
                        <w:p w14:paraId="0605FA0F">
                          <w:pPr>
                            <w:spacing w:line="229" w:lineRule="exact"/>
                            <w:rPr>
                              <w:rFonts w:ascii="楷体" w:hAnsi="楷体" w:eastAsia="楷体" w:cs="楷体"/>
                              <w:sz w:val="21"/>
                              <w:szCs w:val="21"/>
                            </w:rPr>
                          </w:pPr>
                        </w:p>
                      </w:txbxContent>
                    </wps:txbx>
                    <wps:bodyPr lIns="0" tIns="0" rIns="0" bIns="0" upright="1"/>
                  </wps:wsp>
                </a:graphicData>
              </a:graphic>
            </wp:anchor>
          </w:drawing>
        </mc:Choice>
        <mc:Fallback>
          <w:pict>
            <v:shape id="_x0000_s1026" o:spid="_x0000_s1026" o:spt="202" type="#_x0000_t202" style="position:absolute;left:0pt;margin-left:69.9pt;margin-top:794.9pt;height:12.45pt;width:159.45pt;mso-position-horizontal-relative:page;mso-position-vertical-relative:page;z-index:-251657216;mso-width-relative:page;mso-height-relative:page;" filled="f" stroked="f" coordsize="21600,21600" o:gfxdata="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GWZnaAAAADQEAAA8AAAAAAAAAAQAgAAAAIgAAAGRycy9kb3ducmV2Lnht&#10;bFBLAQIUABQAAAAIAIdO4kBGT5N1vgEAAIIDAAAOAAAAAAAAAAEAIAAAACkBAABkcnMvZTJvRG9j&#10;LnhtbFBLBQYAAAAABgAGAFkBAABZBQAAAAA=&#10;">
              <v:fill on="f" focussize="0,0"/>
              <v:stroke on="f"/>
              <v:imagedata o:title=""/>
              <o:lock v:ext="edit" aspectratio="f"/>
              <v:textbox inset="0mm,0mm,0mm,0mm">
                <w:txbxContent>
                  <w:p w14:paraId="0605FA0F">
                    <w:pPr>
                      <w:spacing w:line="229" w:lineRule="exact"/>
                      <w:rPr>
                        <w:rFonts w:ascii="楷体" w:hAnsi="楷体" w:eastAsia="楷体" w:cs="楷体"/>
                        <w:sz w:val="21"/>
                        <w:szCs w:val="2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F4C0">
    <w:pPr>
      <w:spacing w:line="14" w:lineRule="auto"/>
      <w:rPr>
        <w:sz w:val="20"/>
        <w:szCs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B182A">
                          <w:pPr>
                            <w:pStyle w:val="19"/>
                          </w:pPr>
                          <w:r>
                            <w:fldChar w:fldCharType="begin"/>
                          </w:r>
                          <w:r>
                            <w:instrText xml:space="preserve"> PAGE  \* MERGEFORMAT </w:instrText>
                          </w:r>
                          <w:r>
                            <w:fldChar w:fldCharType="separate"/>
                          </w:r>
                          <w:r>
                            <w:t>92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63B182A">
                    <w:pPr>
                      <w:pStyle w:val="19"/>
                    </w:pPr>
                    <w:r>
                      <w:fldChar w:fldCharType="begin"/>
                    </w:r>
                    <w:r>
                      <w:instrText xml:space="preserve"> PAGE  \* MERGEFORMAT </w:instrText>
                    </w:r>
                    <w:r>
                      <w:fldChar w:fldCharType="separate"/>
                    </w:r>
                    <w:r>
                      <w:t>92</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10095230</wp:posOffset>
              </wp:positionV>
              <wp:extent cx="2025015" cy="158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25015" cy="158115"/>
                      </a:xfrm>
                      <a:prstGeom prst="rect">
                        <a:avLst/>
                      </a:prstGeom>
                      <a:noFill/>
                      <a:ln>
                        <a:noFill/>
                      </a:ln>
                      <a:effectLst/>
                    </wps:spPr>
                    <wps:txbx>
                      <w:txbxContent>
                        <w:p w14:paraId="022D35A2">
                          <w:pPr>
                            <w:spacing w:line="229" w:lineRule="exact"/>
                            <w:rPr>
                              <w:rFonts w:ascii="楷体" w:hAnsi="楷体" w:eastAsia="楷体" w:cs="楷体"/>
                              <w:sz w:val="21"/>
                              <w:szCs w:val="21"/>
                            </w:rPr>
                          </w:pPr>
                        </w:p>
                      </w:txbxContent>
                    </wps:txbx>
                    <wps:bodyPr lIns="0" tIns="0" rIns="0" bIns="0" upright="1"/>
                  </wps:wsp>
                </a:graphicData>
              </a:graphic>
            </wp:anchor>
          </w:drawing>
        </mc:Choice>
        <mc:Fallback>
          <w:pict>
            <v:shape id="_x0000_s1026" o:spid="_x0000_s1026" o:spt="202" type="#_x0000_t202" style="position:absolute;left:0pt;margin-left:69.9pt;margin-top:794.9pt;height:12.45pt;width:159.45pt;mso-position-horizontal-relative:page;mso-position-vertical-relative:page;z-index:-251656192;mso-width-relative:page;mso-height-relative:page;" filled="f" stroked="f" coordsize="21600,21600" o:gfxdata="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GWZnaAAAADQEAAA8AAAAAAAAAAQAgAAAAIgAAAGRycy9kb3ducmV2Lnht&#10;bFBLAQIUABQAAAAIAIdO4kBAfDQnvgEAAIADAAAOAAAAAAAAAAEAIAAAACkBAABkcnMvZTJvRG9j&#10;LnhtbFBLBQYAAAAABgAGAFkBAABZBQAAAAA=&#10;">
              <v:fill on="f" focussize="0,0"/>
              <v:stroke on="f"/>
              <v:imagedata o:title=""/>
              <o:lock v:ext="edit" aspectratio="f"/>
              <v:textbox inset="0mm,0mm,0mm,0mm">
                <w:txbxContent>
                  <w:p w14:paraId="022D35A2">
                    <w:pPr>
                      <w:spacing w:line="229" w:lineRule="exact"/>
                      <w:rPr>
                        <w:rFonts w:ascii="楷体" w:hAnsi="楷体" w:eastAsia="楷体" w:cs="楷体"/>
                        <w:sz w:val="21"/>
                        <w:szCs w:val="21"/>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8046">
    <w:pPr>
      <w:pStyle w:val="19"/>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9F08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29F083">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E007">
    <w:pPr>
      <w:pStyle w:val="20"/>
      <w:pBdr>
        <w:bottom w:val="none" w:color="auto" w:sz="0" w:space="0"/>
      </w:pBdr>
      <w:jc w:val="left"/>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1F90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8D43">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D3D1">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E916">
    <w:pPr>
      <w:pStyle w:val="20"/>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EEF5">
    <w:pPr>
      <w:pStyle w:val="20"/>
      <w:pBdr>
        <w:bottom w:val="none" w:color="auto" w:sz="0" w:space="1"/>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627C">
    <w:pPr>
      <w:pStyle w:val="20"/>
      <w:pBdr>
        <w:bottom w:val="none" w:color="auto" w:sz="0" w:space="0"/>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52CEC"/>
    <w:multiLevelType w:val="singleLevel"/>
    <w:tmpl w:val="82B52CEC"/>
    <w:lvl w:ilvl="0" w:tentative="0">
      <w:start w:val="9"/>
      <w:numFmt w:val="decimal"/>
      <w:suff w:val="nothing"/>
      <w:lvlText w:val="%1、"/>
      <w:lvlJc w:val="left"/>
    </w:lvl>
  </w:abstractNum>
  <w:abstractNum w:abstractNumId="1">
    <w:nsid w:val="973860D8"/>
    <w:multiLevelType w:val="singleLevel"/>
    <w:tmpl w:val="973860D8"/>
    <w:lvl w:ilvl="0" w:tentative="0">
      <w:start w:val="1"/>
      <w:numFmt w:val="decimal"/>
      <w:lvlText w:val="%1."/>
      <w:lvlJc w:val="left"/>
      <w:pPr>
        <w:tabs>
          <w:tab w:val="left" w:pos="312"/>
        </w:tabs>
      </w:pPr>
    </w:lvl>
  </w:abstractNum>
  <w:abstractNum w:abstractNumId="2">
    <w:nsid w:val="A3DCD570"/>
    <w:multiLevelType w:val="singleLevel"/>
    <w:tmpl w:val="A3DCD570"/>
    <w:lvl w:ilvl="0" w:tentative="0">
      <w:start w:val="1"/>
      <w:numFmt w:val="chineseCounting"/>
      <w:suff w:val="nothing"/>
      <w:lvlText w:val="%1、"/>
      <w:lvlJc w:val="left"/>
      <w:rPr>
        <w:rFonts w:hint="eastAsia"/>
      </w:rPr>
    </w:lvl>
  </w:abstractNum>
  <w:abstractNum w:abstractNumId="3">
    <w:nsid w:val="08CCEA17"/>
    <w:multiLevelType w:val="singleLevel"/>
    <w:tmpl w:val="08CCEA17"/>
    <w:lvl w:ilvl="0" w:tentative="0">
      <w:start w:val="6"/>
      <w:numFmt w:val="decimal"/>
      <w:suff w:val="nothing"/>
      <w:lvlText w:val="（%1）"/>
      <w:lvlJc w:val="left"/>
    </w:lvl>
  </w:abstractNum>
  <w:abstractNum w:abstractNumId="4">
    <w:nsid w:val="4CC13FEA"/>
    <w:multiLevelType w:val="singleLevel"/>
    <w:tmpl w:val="4CC13FEA"/>
    <w:lvl w:ilvl="0" w:tentative="0">
      <w:start w:val="1"/>
      <w:numFmt w:val="decimal"/>
      <w:lvlText w:val="%1."/>
      <w:lvlJc w:val="left"/>
      <w:pPr>
        <w:tabs>
          <w:tab w:val="left" w:pos="312"/>
        </w:tabs>
      </w:pPr>
    </w:lvl>
  </w:abstractNum>
  <w:abstractNum w:abstractNumId="5">
    <w:nsid w:val="6338281B"/>
    <w:multiLevelType w:val="singleLevel"/>
    <w:tmpl w:val="6338281B"/>
    <w:lvl w:ilvl="0" w:tentative="0">
      <w:start w:val="1"/>
      <w:numFmt w:val="decimal"/>
      <w:lvlText w:val="%1."/>
      <w:lvlJc w:val="left"/>
      <w:pPr>
        <w:tabs>
          <w:tab w:val="left" w:pos="312"/>
        </w:tabs>
      </w:pPr>
    </w:lvl>
  </w:abstractNum>
  <w:abstractNum w:abstractNumId="6">
    <w:nsid w:val="646E5C98"/>
    <w:multiLevelType w:val="singleLevel"/>
    <w:tmpl w:val="646E5C98"/>
    <w:lvl w:ilvl="0" w:tentative="0">
      <w:start w:val="1"/>
      <w:numFmt w:val="decimal"/>
      <w:lvlText w:val="%1."/>
      <w:lvlJc w:val="left"/>
      <w:pPr>
        <w:tabs>
          <w:tab w:val="left" w:pos="312"/>
        </w:tabs>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oNotHyphenateCaps/>
  <w:drawingGridHorizontalSpacing w:val="110"/>
  <w:displayHorizontalDrawingGridEvery w:val="1"/>
  <w:displayVerticalDrawingGridEvery w:val="1"/>
  <w:noPunctuationKerning w:val="1"/>
  <w:characterSpacingControl w:val="doNotCompress"/>
  <w:noLineBreaksAfter w:lang="zh-CN" w:val="([{·‘“〈《「『【〔〖（．［｛￡￥"/>
  <w:noLineBreaksBefore w:lang="zh-CN" w:val="!),.:;?]}¨·ˇˉ―‖’”…∶、。〃々〉》」』】〕〗！＂＇），．：；？］｀｜｝～￠"/>
  <w:doNotValidateAgainstSchema/>
  <w:doNotDemarcateInvalidXml/>
  <w:hdrShapeDefaults>
    <o:shapelayout v:ext="edit">
      <o:idmap v:ext="edit" data="2"/>
    </o:shapelayout>
  </w:hdrShapeDefaults>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MjVmZTJlM2VhOGE4MGY5N2U3Yzk3MzE3ZDY3MDIifQ=="/>
  </w:docVars>
  <w:rsids>
    <w:rsidRoot w:val="00000000"/>
    <w:rsid w:val="0098214A"/>
    <w:rsid w:val="00F4223F"/>
    <w:rsid w:val="015B075C"/>
    <w:rsid w:val="029167E5"/>
    <w:rsid w:val="02A40196"/>
    <w:rsid w:val="02C4104D"/>
    <w:rsid w:val="02D54271"/>
    <w:rsid w:val="02DC2156"/>
    <w:rsid w:val="035A7CB2"/>
    <w:rsid w:val="03980C43"/>
    <w:rsid w:val="03C03185"/>
    <w:rsid w:val="03FF6ECB"/>
    <w:rsid w:val="045A1585"/>
    <w:rsid w:val="04694765"/>
    <w:rsid w:val="04843EA8"/>
    <w:rsid w:val="0491590C"/>
    <w:rsid w:val="04AE36DF"/>
    <w:rsid w:val="04AF34D6"/>
    <w:rsid w:val="04C0022C"/>
    <w:rsid w:val="051F47B5"/>
    <w:rsid w:val="05637854"/>
    <w:rsid w:val="059F3A2A"/>
    <w:rsid w:val="05AF3B52"/>
    <w:rsid w:val="05EE629D"/>
    <w:rsid w:val="0605353C"/>
    <w:rsid w:val="061279EB"/>
    <w:rsid w:val="06133164"/>
    <w:rsid w:val="067C0EE4"/>
    <w:rsid w:val="06B37672"/>
    <w:rsid w:val="06BF2E06"/>
    <w:rsid w:val="06D7510F"/>
    <w:rsid w:val="074F3297"/>
    <w:rsid w:val="08323340"/>
    <w:rsid w:val="08420CAE"/>
    <w:rsid w:val="08481C32"/>
    <w:rsid w:val="084D7C2D"/>
    <w:rsid w:val="08776677"/>
    <w:rsid w:val="087E2144"/>
    <w:rsid w:val="08D64548"/>
    <w:rsid w:val="08E840E0"/>
    <w:rsid w:val="093A638A"/>
    <w:rsid w:val="094620D8"/>
    <w:rsid w:val="09510593"/>
    <w:rsid w:val="09606B8F"/>
    <w:rsid w:val="0966277A"/>
    <w:rsid w:val="09CA0F5B"/>
    <w:rsid w:val="0A0D7099"/>
    <w:rsid w:val="0A3259D4"/>
    <w:rsid w:val="0A650C83"/>
    <w:rsid w:val="0A820F45"/>
    <w:rsid w:val="0AA37C6D"/>
    <w:rsid w:val="0AA93258"/>
    <w:rsid w:val="0AAC38A7"/>
    <w:rsid w:val="0AB07C5F"/>
    <w:rsid w:val="0AD60CF1"/>
    <w:rsid w:val="0B08276B"/>
    <w:rsid w:val="0B0B5A66"/>
    <w:rsid w:val="0B971310"/>
    <w:rsid w:val="0BB36EDB"/>
    <w:rsid w:val="0BD85E41"/>
    <w:rsid w:val="0C160487"/>
    <w:rsid w:val="0C395F24"/>
    <w:rsid w:val="0C4B5628"/>
    <w:rsid w:val="0CC2416B"/>
    <w:rsid w:val="0D077DD0"/>
    <w:rsid w:val="0D145034"/>
    <w:rsid w:val="0D5E25D9"/>
    <w:rsid w:val="0DB37F58"/>
    <w:rsid w:val="0E1A5AD0"/>
    <w:rsid w:val="0E1E3623"/>
    <w:rsid w:val="0E745543"/>
    <w:rsid w:val="0E90719B"/>
    <w:rsid w:val="0EBC0406"/>
    <w:rsid w:val="0F0A5959"/>
    <w:rsid w:val="0F1262C1"/>
    <w:rsid w:val="0F307AB2"/>
    <w:rsid w:val="0F3114F7"/>
    <w:rsid w:val="0F3A26DF"/>
    <w:rsid w:val="0F410916"/>
    <w:rsid w:val="0F497AA2"/>
    <w:rsid w:val="0F7B17FE"/>
    <w:rsid w:val="0FAE09D7"/>
    <w:rsid w:val="0FDA17CC"/>
    <w:rsid w:val="0FDC19E8"/>
    <w:rsid w:val="100B5E29"/>
    <w:rsid w:val="1010343F"/>
    <w:rsid w:val="1045133B"/>
    <w:rsid w:val="1087118F"/>
    <w:rsid w:val="10A849BC"/>
    <w:rsid w:val="10BC78CC"/>
    <w:rsid w:val="10D51ADF"/>
    <w:rsid w:val="10FD426E"/>
    <w:rsid w:val="110D360C"/>
    <w:rsid w:val="11192C45"/>
    <w:rsid w:val="111D54CE"/>
    <w:rsid w:val="118243B8"/>
    <w:rsid w:val="11A95860"/>
    <w:rsid w:val="12081424"/>
    <w:rsid w:val="120945EA"/>
    <w:rsid w:val="12274BF2"/>
    <w:rsid w:val="124B55AF"/>
    <w:rsid w:val="12687563"/>
    <w:rsid w:val="12C801EC"/>
    <w:rsid w:val="12CA5C6A"/>
    <w:rsid w:val="12D215D2"/>
    <w:rsid w:val="12E34F1A"/>
    <w:rsid w:val="131B2827"/>
    <w:rsid w:val="13220BC5"/>
    <w:rsid w:val="13712447"/>
    <w:rsid w:val="13763600"/>
    <w:rsid w:val="13796B64"/>
    <w:rsid w:val="13873A19"/>
    <w:rsid w:val="13A76D5B"/>
    <w:rsid w:val="13DC6019"/>
    <w:rsid w:val="13EE3435"/>
    <w:rsid w:val="148B0CDA"/>
    <w:rsid w:val="14CF4495"/>
    <w:rsid w:val="1524083D"/>
    <w:rsid w:val="152D57AF"/>
    <w:rsid w:val="154236C4"/>
    <w:rsid w:val="154C26C8"/>
    <w:rsid w:val="156404B5"/>
    <w:rsid w:val="156C1118"/>
    <w:rsid w:val="15CA4090"/>
    <w:rsid w:val="16673A33"/>
    <w:rsid w:val="16887CEB"/>
    <w:rsid w:val="16892446"/>
    <w:rsid w:val="16945809"/>
    <w:rsid w:val="169703F4"/>
    <w:rsid w:val="1699418F"/>
    <w:rsid w:val="16B03286"/>
    <w:rsid w:val="170F4451"/>
    <w:rsid w:val="172F064F"/>
    <w:rsid w:val="172F4AF3"/>
    <w:rsid w:val="17451CD6"/>
    <w:rsid w:val="1759519B"/>
    <w:rsid w:val="177A2364"/>
    <w:rsid w:val="17CE7E68"/>
    <w:rsid w:val="17D2246F"/>
    <w:rsid w:val="17E22290"/>
    <w:rsid w:val="187A1D9E"/>
    <w:rsid w:val="18801E4B"/>
    <w:rsid w:val="18864849"/>
    <w:rsid w:val="18B64F08"/>
    <w:rsid w:val="18BE628D"/>
    <w:rsid w:val="18C70B28"/>
    <w:rsid w:val="18E90CD1"/>
    <w:rsid w:val="19037FE5"/>
    <w:rsid w:val="19642B1F"/>
    <w:rsid w:val="196547FC"/>
    <w:rsid w:val="19BC1C90"/>
    <w:rsid w:val="19FA13E8"/>
    <w:rsid w:val="1A7B3BAB"/>
    <w:rsid w:val="1A8C400A"/>
    <w:rsid w:val="1B0B7D4C"/>
    <w:rsid w:val="1B385EE5"/>
    <w:rsid w:val="1B395C34"/>
    <w:rsid w:val="1B49414F"/>
    <w:rsid w:val="1B574618"/>
    <w:rsid w:val="1BBA06AA"/>
    <w:rsid w:val="1C5E0883"/>
    <w:rsid w:val="1C8150ED"/>
    <w:rsid w:val="1C8C6544"/>
    <w:rsid w:val="1C9024CB"/>
    <w:rsid w:val="1CAD786A"/>
    <w:rsid w:val="1CC9303F"/>
    <w:rsid w:val="1CFC7D93"/>
    <w:rsid w:val="1D1E5A4E"/>
    <w:rsid w:val="1D2B0B1C"/>
    <w:rsid w:val="1D714513"/>
    <w:rsid w:val="1DAD0520"/>
    <w:rsid w:val="1DC261DD"/>
    <w:rsid w:val="1DF4775D"/>
    <w:rsid w:val="1E29229C"/>
    <w:rsid w:val="1E2B7FD1"/>
    <w:rsid w:val="1E5310C7"/>
    <w:rsid w:val="1E652BA8"/>
    <w:rsid w:val="1EE305C4"/>
    <w:rsid w:val="1F3A4035"/>
    <w:rsid w:val="1F3D05B2"/>
    <w:rsid w:val="1F3D3B25"/>
    <w:rsid w:val="1F485BCD"/>
    <w:rsid w:val="1F980D5B"/>
    <w:rsid w:val="1FD03B91"/>
    <w:rsid w:val="20014A97"/>
    <w:rsid w:val="200206E5"/>
    <w:rsid w:val="20E01AE9"/>
    <w:rsid w:val="20EB3A59"/>
    <w:rsid w:val="20FF7FEC"/>
    <w:rsid w:val="2145625A"/>
    <w:rsid w:val="21A659B2"/>
    <w:rsid w:val="21B77BBF"/>
    <w:rsid w:val="21DB4464"/>
    <w:rsid w:val="21EB0606"/>
    <w:rsid w:val="22570E40"/>
    <w:rsid w:val="225B679C"/>
    <w:rsid w:val="228C4793"/>
    <w:rsid w:val="22AC3B77"/>
    <w:rsid w:val="22E06DFF"/>
    <w:rsid w:val="22EB33C1"/>
    <w:rsid w:val="22ED5A17"/>
    <w:rsid w:val="230442DD"/>
    <w:rsid w:val="231352C9"/>
    <w:rsid w:val="231F33A3"/>
    <w:rsid w:val="23673D54"/>
    <w:rsid w:val="23AB4DFB"/>
    <w:rsid w:val="24014006"/>
    <w:rsid w:val="244A0270"/>
    <w:rsid w:val="246017E5"/>
    <w:rsid w:val="24836E44"/>
    <w:rsid w:val="24B84D43"/>
    <w:rsid w:val="25227A45"/>
    <w:rsid w:val="2564005E"/>
    <w:rsid w:val="25665B84"/>
    <w:rsid w:val="258450D5"/>
    <w:rsid w:val="26261FDA"/>
    <w:rsid w:val="26315C58"/>
    <w:rsid w:val="263C0693"/>
    <w:rsid w:val="26752C23"/>
    <w:rsid w:val="26AD77E2"/>
    <w:rsid w:val="27225ADA"/>
    <w:rsid w:val="273934A1"/>
    <w:rsid w:val="27441EF5"/>
    <w:rsid w:val="27492B4F"/>
    <w:rsid w:val="27A44741"/>
    <w:rsid w:val="27C10EB5"/>
    <w:rsid w:val="28445F24"/>
    <w:rsid w:val="286C45C7"/>
    <w:rsid w:val="286F620C"/>
    <w:rsid w:val="288B53D5"/>
    <w:rsid w:val="28B641C7"/>
    <w:rsid w:val="28D64AE7"/>
    <w:rsid w:val="28F434A6"/>
    <w:rsid w:val="292323AE"/>
    <w:rsid w:val="292B6003"/>
    <w:rsid w:val="29345C2F"/>
    <w:rsid w:val="294C32E2"/>
    <w:rsid w:val="2987431B"/>
    <w:rsid w:val="29C55FDF"/>
    <w:rsid w:val="2A2102CB"/>
    <w:rsid w:val="2A210838"/>
    <w:rsid w:val="2A93327D"/>
    <w:rsid w:val="2AF02E62"/>
    <w:rsid w:val="2B0455CB"/>
    <w:rsid w:val="2B360673"/>
    <w:rsid w:val="2B975AE0"/>
    <w:rsid w:val="2BA86C11"/>
    <w:rsid w:val="2C105BDE"/>
    <w:rsid w:val="2C2C62DD"/>
    <w:rsid w:val="2C591884"/>
    <w:rsid w:val="2C6171DF"/>
    <w:rsid w:val="2CA04667"/>
    <w:rsid w:val="2CAD1EFF"/>
    <w:rsid w:val="2CB6709C"/>
    <w:rsid w:val="2D060974"/>
    <w:rsid w:val="2D17110F"/>
    <w:rsid w:val="2D406CBA"/>
    <w:rsid w:val="2D4252BA"/>
    <w:rsid w:val="2D4367AA"/>
    <w:rsid w:val="2D5E4CD1"/>
    <w:rsid w:val="2D8D7A26"/>
    <w:rsid w:val="2D8F7893"/>
    <w:rsid w:val="2DAD20AF"/>
    <w:rsid w:val="2DBD47AF"/>
    <w:rsid w:val="2DFC4A0C"/>
    <w:rsid w:val="2E041285"/>
    <w:rsid w:val="2E6655C5"/>
    <w:rsid w:val="2EF35FAE"/>
    <w:rsid w:val="2F027EE8"/>
    <w:rsid w:val="2F2443BA"/>
    <w:rsid w:val="2F416D1A"/>
    <w:rsid w:val="2F831BFF"/>
    <w:rsid w:val="2FA774C5"/>
    <w:rsid w:val="30213B81"/>
    <w:rsid w:val="307373A7"/>
    <w:rsid w:val="30754575"/>
    <w:rsid w:val="30833FAF"/>
    <w:rsid w:val="308C2216"/>
    <w:rsid w:val="30D86416"/>
    <w:rsid w:val="30EE2ED1"/>
    <w:rsid w:val="315632FA"/>
    <w:rsid w:val="318D4498"/>
    <w:rsid w:val="31D529D8"/>
    <w:rsid w:val="31DB3279"/>
    <w:rsid w:val="31E87920"/>
    <w:rsid w:val="32073C31"/>
    <w:rsid w:val="32105B50"/>
    <w:rsid w:val="32193B79"/>
    <w:rsid w:val="32317519"/>
    <w:rsid w:val="323B4A78"/>
    <w:rsid w:val="32601BAD"/>
    <w:rsid w:val="32747406"/>
    <w:rsid w:val="32A36D88"/>
    <w:rsid w:val="32AE0B6A"/>
    <w:rsid w:val="32BD138C"/>
    <w:rsid w:val="32BE57B1"/>
    <w:rsid w:val="32EC5295"/>
    <w:rsid w:val="32F30852"/>
    <w:rsid w:val="331918B9"/>
    <w:rsid w:val="33217D17"/>
    <w:rsid w:val="337A0A4C"/>
    <w:rsid w:val="33933894"/>
    <w:rsid w:val="343B7207"/>
    <w:rsid w:val="3474193F"/>
    <w:rsid w:val="347A00FD"/>
    <w:rsid w:val="34B6760B"/>
    <w:rsid w:val="3566409A"/>
    <w:rsid w:val="356A7324"/>
    <w:rsid w:val="359258B9"/>
    <w:rsid w:val="35EB70CE"/>
    <w:rsid w:val="35F04FF6"/>
    <w:rsid w:val="35FD6324"/>
    <w:rsid w:val="36316E09"/>
    <w:rsid w:val="363B64E4"/>
    <w:rsid w:val="368461D9"/>
    <w:rsid w:val="368F0CB2"/>
    <w:rsid w:val="368F550E"/>
    <w:rsid w:val="36953B64"/>
    <w:rsid w:val="369F7D55"/>
    <w:rsid w:val="36B33506"/>
    <w:rsid w:val="36BD137C"/>
    <w:rsid w:val="36C83C74"/>
    <w:rsid w:val="36E04CEE"/>
    <w:rsid w:val="37186E98"/>
    <w:rsid w:val="371C4518"/>
    <w:rsid w:val="37226157"/>
    <w:rsid w:val="37482CF9"/>
    <w:rsid w:val="37636F4C"/>
    <w:rsid w:val="3798259B"/>
    <w:rsid w:val="37C77824"/>
    <w:rsid w:val="38030013"/>
    <w:rsid w:val="385E26EA"/>
    <w:rsid w:val="38855EC9"/>
    <w:rsid w:val="3892248F"/>
    <w:rsid w:val="389A4FAB"/>
    <w:rsid w:val="38F07584"/>
    <w:rsid w:val="394418E0"/>
    <w:rsid w:val="394E2B46"/>
    <w:rsid w:val="3A175D1B"/>
    <w:rsid w:val="3A2E24D0"/>
    <w:rsid w:val="3A6F4C37"/>
    <w:rsid w:val="3A802DEC"/>
    <w:rsid w:val="3AC30F2B"/>
    <w:rsid w:val="3AE269C3"/>
    <w:rsid w:val="3AF14337"/>
    <w:rsid w:val="3B096234"/>
    <w:rsid w:val="3B1519AD"/>
    <w:rsid w:val="3B1A3241"/>
    <w:rsid w:val="3B4C7172"/>
    <w:rsid w:val="3B997E8E"/>
    <w:rsid w:val="3BF86A03"/>
    <w:rsid w:val="3C61687C"/>
    <w:rsid w:val="3C74072E"/>
    <w:rsid w:val="3C7921E9"/>
    <w:rsid w:val="3C9D5636"/>
    <w:rsid w:val="3CBF315F"/>
    <w:rsid w:val="3D635F76"/>
    <w:rsid w:val="3D675213"/>
    <w:rsid w:val="3DB50FFF"/>
    <w:rsid w:val="3DDD2303"/>
    <w:rsid w:val="3DE62EEB"/>
    <w:rsid w:val="3E1247DB"/>
    <w:rsid w:val="3E1A48FA"/>
    <w:rsid w:val="3E481E73"/>
    <w:rsid w:val="3E741E75"/>
    <w:rsid w:val="3EA101DD"/>
    <w:rsid w:val="3F1F5D70"/>
    <w:rsid w:val="3F3B3785"/>
    <w:rsid w:val="3F445F33"/>
    <w:rsid w:val="3F4553C3"/>
    <w:rsid w:val="3F7942AE"/>
    <w:rsid w:val="3FCE7FEF"/>
    <w:rsid w:val="40046496"/>
    <w:rsid w:val="401F6B7C"/>
    <w:rsid w:val="40302BBE"/>
    <w:rsid w:val="404C0D0E"/>
    <w:rsid w:val="40571834"/>
    <w:rsid w:val="405E1032"/>
    <w:rsid w:val="40952C78"/>
    <w:rsid w:val="40B03CFF"/>
    <w:rsid w:val="40B05AAD"/>
    <w:rsid w:val="40D2307A"/>
    <w:rsid w:val="410B3E07"/>
    <w:rsid w:val="413B5CBF"/>
    <w:rsid w:val="41421E90"/>
    <w:rsid w:val="417D0484"/>
    <w:rsid w:val="41874461"/>
    <w:rsid w:val="41A03D74"/>
    <w:rsid w:val="41A225FB"/>
    <w:rsid w:val="42857334"/>
    <w:rsid w:val="428C6591"/>
    <w:rsid w:val="42955E57"/>
    <w:rsid w:val="42A72EE0"/>
    <w:rsid w:val="42F01176"/>
    <w:rsid w:val="42F425C9"/>
    <w:rsid w:val="430640AA"/>
    <w:rsid w:val="43D939AE"/>
    <w:rsid w:val="43DF1117"/>
    <w:rsid w:val="441E7095"/>
    <w:rsid w:val="444770CC"/>
    <w:rsid w:val="445D5F4C"/>
    <w:rsid w:val="448B2AB9"/>
    <w:rsid w:val="44B11AC8"/>
    <w:rsid w:val="44B32010"/>
    <w:rsid w:val="44B933A8"/>
    <w:rsid w:val="44BF77B4"/>
    <w:rsid w:val="44C10289"/>
    <w:rsid w:val="44D051C4"/>
    <w:rsid w:val="45352A25"/>
    <w:rsid w:val="454B3315"/>
    <w:rsid w:val="457878E1"/>
    <w:rsid w:val="460074D7"/>
    <w:rsid w:val="466878C2"/>
    <w:rsid w:val="46753A21"/>
    <w:rsid w:val="469A07E6"/>
    <w:rsid w:val="46AF0723"/>
    <w:rsid w:val="46BA7686"/>
    <w:rsid w:val="46F35C57"/>
    <w:rsid w:val="46F70F9A"/>
    <w:rsid w:val="477261B2"/>
    <w:rsid w:val="47802144"/>
    <w:rsid w:val="47E758BF"/>
    <w:rsid w:val="47FB22C7"/>
    <w:rsid w:val="481C2445"/>
    <w:rsid w:val="48222BFF"/>
    <w:rsid w:val="4867383D"/>
    <w:rsid w:val="487F51A6"/>
    <w:rsid w:val="488F68F0"/>
    <w:rsid w:val="48911AC8"/>
    <w:rsid w:val="489375B7"/>
    <w:rsid w:val="48EA4A19"/>
    <w:rsid w:val="49444977"/>
    <w:rsid w:val="49476478"/>
    <w:rsid w:val="494D5A3B"/>
    <w:rsid w:val="496A30C8"/>
    <w:rsid w:val="497B5492"/>
    <w:rsid w:val="497C0C22"/>
    <w:rsid w:val="49804BB7"/>
    <w:rsid w:val="49F64D91"/>
    <w:rsid w:val="49F71BF7"/>
    <w:rsid w:val="49F9417B"/>
    <w:rsid w:val="4A0B7BEC"/>
    <w:rsid w:val="4A387ADD"/>
    <w:rsid w:val="4A452632"/>
    <w:rsid w:val="4AD12FC2"/>
    <w:rsid w:val="4AEC59E7"/>
    <w:rsid w:val="4B0D7803"/>
    <w:rsid w:val="4B257098"/>
    <w:rsid w:val="4B2652EA"/>
    <w:rsid w:val="4B741C44"/>
    <w:rsid w:val="4B987D78"/>
    <w:rsid w:val="4BF005DD"/>
    <w:rsid w:val="4C01359E"/>
    <w:rsid w:val="4C0F32DC"/>
    <w:rsid w:val="4C207F8B"/>
    <w:rsid w:val="4C2831C8"/>
    <w:rsid w:val="4C583FEF"/>
    <w:rsid w:val="4C8F32D7"/>
    <w:rsid w:val="4C9D50C7"/>
    <w:rsid w:val="4CB1486E"/>
    <w:rsid w:val="4CCA439B"/>
    <w:rsid w:val="4CF636EA"/>
    <w:rsid w:val="4D0C1142"/>
    <w:rsid w:val="4D0E7ED4"/>
    <w:rsid w:val="4D251BA9"/>
    <w:rsid w:val="4D53737F"/>
    <w:rsid w:val="4DC94652"/>
    <w:rsid w:val="4DFF4E27"/>
    <w:rsid w:val="4E1C6E78"/>
    <w:rsid w:val="4E727E55"/>
    <w:rsid w:val="4F0D1A1D"/>
    <w:rsid w:val="4F3110F3"/>
    <w:rsid w:val="4F3B14FB"/>
    <w:rsid w:val="4F55738A"/>
    <w:rsid w:val="4F596105"/>
    <w:rsid w:val="4F5F701C"/>
    <w:rsid w:val="4F686E07"/>
    <w:rsid w:val="4F89714E"/>
    <w:rsid w:val="4FA46FB5"/>
    <w:rsid w:val="4FA57856"/>
    <w:rsid w:val="4FAF4321"/>
    <w:rsid w:val="4FBE01E7"/>
    <w:rsid w:val="4FE90FDC"/>
    <w:rsid w:val="4FF138F7"/>
    <w:rsid w:val="50037CEF"/>
    <w:rsid w:val="501B1C41"/>
    <w:rsid w:val="50236424"/>
    <w:rsid w:val="50472993"/>
    <w:rsid w:val="504A07AE"/>
    <w:rsid w:val="509563EB"/>
    <w:rsid w:val="50AD6D11"/>
    <w:rsid w:val="50B16E7E"/>
    <w:rsid w:val="50B25872"/>
    <w:rsid w:val="50FD0976"/>
    <w:rsid w:val="51004FE6"/>
    <w:rsid w:val="51360251"/>
    <w:rsid w:val="51393D1D"/>
    <w:rsid w:val="51881020"/>
    <w:rsid w:val="519B00B4"/>
    <w:rsid w:val="51D25385"/>
    <w:rsid w:val="51F31C9E"/>
    <w:rsid w:val="523C34DF"/>
    <w:rsid w:val="52483D98"/>
    <w:rsid w:val="524F55D7"/>
    <w:rsid w:val="526D37FE"/>
    <w:rsid w:val="5294522F"/>
    <w:rsid w:val="52E8340F"/>
    <w:rsid w:val="53222E9A"/>
    <w:rsid w:val="53431FBA"/>
    <w:rsid w:val="534722A1"/>
    <w:rsid w:val="534F73A8"/>
    <w:rsid w:val="535471BE"/>
    <w:rsid w:val="540939FA"/>
    <w:rsid w:val="54307E41"/>
    <w:rsid w:val="54650AEF"/>
    <w:rsid w:val="547B1974"/>
    <w:rsid w:val="5481126E"/>
    <w:rsid w:val="54AD6F7A"/>
    <w:rsid w:val="54C811C0"/>
    <w:rsid w:val="54E04E3F"/>
    <w:rsid w:val="54E51D72"/>
    <w:rsid w:val="55050666"/>
    <w:rsid w:val="55335DB5"/>
    <w:rsid w:val="553714FE"/>
    <w:rsid w:val="55694437"/>
    <w:rsid w:val="556A0DE8"/>
    <w:rsid w:val="55933427"/>
    <w:rsid w:val="55B328B9"/>
    <w:rsid w:val="561F43C7"/>
    <w:rsid w:val="566401D2"/>
    <w:rsid w:val="56721586"/>
    <w:rsid w:val="56877819"/>
    <w:rsid w:val="56C1236A"/>
    <w:rsid w:val="57241278"/>
    <w:rsid w:val="57400AA7"/>
    <w:rsid w:val="578A30A4"/>
    <w:rsid w:val="57CA4BF5"/>
    <w:rsid w:val="57D4087C"/>
    <w:rsid w:val="57EC3417"/>
    <w:rsid w:val="5804270C"/>
    <w:rsid w:val="583D7E91"/>
    <w:rsid w:val="584F276C"/>
    <w:rsid w:val="585F61E4"/>
    <w:rsid w:val="58907828"/>
    <w:rsid w:val="58AF2F63"/>
    <w:rsid w:val="58B62BF7"/>
    <w:rsid w:val="58C2346F"/>
    <w:rsid w:val="59155255"/>
    <w:rsid w:val="59305AC2"/>
    <w:rsid w:val="59851D75"/>
    <w:rsid w:val="598F6750"/>
    <w:rsid w:val="59BD5DBA"/>
    <w:rsid w:val="59C81C62"/>
    <w:rsid w:val="59F24396"/>
    <w:rsid w:val="5A1035F7"/>
    <w:rsid w:val="5A7C624D"/>
    <w:rsid w:val="5AC0437F"/>
    <w:rsid w:val="5AC46040"/>
    <w:rsid w:val="5B302BB2"/>
    <w:rsid w:val="5B7F374A"/>
    <w:rsid w:val="5BB73703"/>
    <w:rsid w:val="5BD668B8"/>
    <w:rsid w:val="5BF84A80"/>
    <w:rsid w:val="5C171F05"/>
    <w:rsid w:val="5CC9103A"/>
    <w:rsid w:val="5CFE60C6"/>
    <w:rsid w:val="5D23534E"/>
    <w:rsid w:val="5DD92690"/>
    <w:rsid w:val="5E2D4789"/>
    <w:rsid w:val="5E3E6996"/>
    <w:rsid w:val="5E5166CA"/>
    <w:rsid w:val="5E644D7B"/>
    <w:rsid w:val="5E8E6FD6"/>
    <w:rsid w:val="5E8F792F"/>
    <w:rsid w:val="5E975575"/>
    <w:rsid w:val="5ED2769F"/>
    <w:rsid w:val="5EE56411"/>
    <w:rsid w:val="5EEC1F4F"/>
    <w:rsid w:val="5F031BC4"/>
    <w:rsid w:val="5F7E1979"/>
    <w:rsid w:val="5F943AE4"/>
    <w:rsid w:val="5FCC070D"/>
    <w:rsid w:val="5FCC4EDE"/>
    <w:rsid w:val="5FDD1413"/>
    <w:rsid w:val="5FEB6E4C"/>
    <w:rsid w:val="5FF70E10"/>
    <w:rsid w:val="601F2FAD"/>
    <w:rsid w:val="609D5BF6"/>
    <w:rsid w:val="60A7695D"/>
    <w:rsid w:val="61354081"/>
    <w:rsid w:val="614F38DA"/>
    <w:rsid w:val="615E2D65"/>
    <w:rsid w:val="61C12AC3"/>
    <w:rsid w:val="61D47458"/>
    <w:rsid w:val="61F304C7"/>
    <w:rsid w:val="61F4554D"/>
    <w:rsid w:val="61F82802"/>
    <w:rsid w:val="621351F3"/>
    <w:rsid w:val="62571DD5"/>
    <w:rsid w:val="62771362"/>
    <w:rsid w:val="62D8753A"/>
    <w:rsid w:val="62ED1183"/>
    <w:rsid w:val="634D0152"/>
    <w:rsid w:val="63712A5E"/>
    <w:rsid w:val="639F48C1"/>
    <w:rsid w:val="63C353C0"/>
    <w:rsid w:val="63CD67F3"/>
    <w:rsid w:val="63DE3BBE"/>
    <w:rsid w:val="63F41FD1"/>
    <w:rsid w:val="647824C1"/>
    <w:rsid w:val="64AF5EF8"/>
    <w:rsid w:val="64BF28C4"/>
    <w:rsid w:val="64D476A6"/>
    <w:rsid w:val="64F55CAD"/>
    <w:rsid w:val="654C0FE7"/>
    <w:rsid w:val="65735178"/>
    <w:rsid w:val="65A86DC6"/>
    <w:rsid w:val="66584CE9"/>
    <w:rsid w:val="6671129A"/>
    <w:rsid w:val="66A31A8D"/>
    <w:rsid w:val="66A76350"/>
    <w:rsid w:val="66C951BA"/>
    <w:rsid w:val="67753853"/>
    <w:rsid w:val="681C05CD"/>
    <w:rsid w:val="681C680B"/>
    <w:rsid w:val="683010FE"/>
    <w:rsid w:val="68356714"/>
    <w:rsid w:val="68771F38"/>
    <w:rsid w:val="688A17C5"/>
    <w:rsid w:val="68FE730A"/>
    <w:rsid w:val="691B3B5C"/>
    <w:rsid w:val="692769A5"/>
    <w:rsid w:val="69313380"/>
    <w:rsid w:val="69807B3F"/>
    <w:rsid w:val="69DF2DDC"/>
    <w:rsid w:val="69EC72A7"/>
    <w:rsid w:val="69F5747C"/>
    <w:rsid w:val="6A0F03A9"/>
    <w:rsid w:val="6AA67D9D"/>
    <w:rsid w:val="6AE34B4E"/>
    <w:rsid w:val="6AE6723A"/>
    <w:rsid w:val="6AF254D8"/>
    <w:rsid w:val="6B0A5038"/>
    <w:rsid w:val="6B120F8F"/>
    <w:rsid w:val="6B19056F"/>
    <w:rsid w:val="6B611442"/>
    <w:rsid w:val="6BAB00CD"/>
    <w:rsid w:val="6BAC1ACB"/>
    <w:rsid w:val="6BC25E7A"/>
    <w:rsid w:val="6BC56001"/>
    <w:rsid w:val="6BC84BEB"/>
    <w:rsid w:val="6C30177A"/>
    <w:rsid w:val="6C5415DE"/>
    <w:rsid w:val="6CBE3E74"/>
    <w:rsid w:val="6CC25CE0"/>
    <w:rsid w:val="6DC5273D"/>
    <w:rsid w:val="6DD63A67"/>
    <w:rsid w:val="6DED07A9"/>
    <w:rsid w:val="6E113780"/>
    <w:rsid w:val="6E310F56"/>
    <w:rsid w:val="6E3A4A84"/>
    <w:rsid w:val="6E694C64"/>
    <w:rsid w:val="6E7B384B"/>
    <w:rsid w:val="6E967FF1"/>
    <w:rsid w:val="6EE42C42"/>
    <w:rsid w:val="6F765F90"/>
    <w:rsid w:val="6FC84312"/>
    <w:rsid w:val="70224688"/>
    <w:rsid w:val="70255161"/>
    <w:rsid w:val="702F596C"/>
    <w:rsid w:val="70BB79D3"/>
    <w:rsid w:val="70F52EE5"/>
    <w:rsid w:val="70FA2FAA"/>
    <w:rsid w:val="70FF628B"/>
    <w:rsid w:val="710D46D2"/>
    <w:rsid w:val="71934328"/>
    <w:rsid w:val="7193510F"/>
    <w:rsid w:val="71AC37DB"/>
    <w:rsid w:val="71B85507"/>
    <w:rsid w:val="71C07997"/>
    <w:rsid w:val="71D84CE0"/>
    <w:rsid w:val="72023B57"/>
    <w:rsid w:val="722A4AED"/>
    <w:rsid w:val="72472141"/>
    <w:rsid w:val="724B2337"/>
    <w:rsid w:val="729A1F96"/>
    <w:rsid w:val="72B920A1"/>
    <w:rsid w:val="72DD0E4F"/>
    <w:rsid w:val="72E2393D"/>
    <w:rsid w:val="73124F6C"/>
    <w:rsid w:val="731C7037"/>
    <w:rsid w:val="733846C5"/>
    <w:rsid w:val="733A00C3"/>
    <w:rsid w:val="73DB2287"/>
    <w:rsid w:val="73F919C5"/>
    <w:rsid w:val="74125E4D"/>
    <w:rsid w:val="741744A7"/>
    <w:rsid w:val="745919DD"/>
    <w:rsid w:val="74AE3AD6"/>
    <w:rsid w:val="74B03005"/>
    <w:rsid w:val="74C4725C"/>
    <w:rsid w:val="74C758F8"/>
    <w:rsid w:val="75A650F5"/>
    <w:rsid w:val="760A030E"/>
    <w:rsid w:val="760A11E0"/>
    <w:rsid w:val="76227AB9"/>
    <w:rsid w:val="76653F91"/>
    <w:rsid w:val="766C1E9B"/>
    <w:rsid w:val="77440722"/>
    <w:rsid w:val="776D7693"/>
    <w:rsid w:val="77751833"/>
    <w:rsid w:val="77BD3D93"/>
    <w:rsid w:val="783402F8"/>
    <w:rsid w:val="785B54C8"/>
    <w:rsid w:val="78776069"/>
    <w:rsid w:val="78B40E7C"/>
    <w:rsid w:val="79347749"/>
    <w:rsid w:val="79745AFD"/>
    <w:rsid w:val="797C23F5"/>
    <w:rsid w:val="79A5477F"/>
    <w:rsid w:val="79C618C2"/>
    <w:rsid w:val="7A0A5870"/>
    <w:rsid w:val="7A1413F1"/>
    <w:rsid w:val="7A69553F"/>
    <w:rsid w:val="7AA339B1"/>
    <w:rsid w:val="7AB07953"/>
    <w:rsid w:val="7AC15EF1"/>
    <w:rsid w:val="7B25353B"/>
    <w:rsid w:val="7B725B12"/>
    <w:rsid w:val="7B7F3AB6"/>
    <w:rsid w:val="7B853D80"/>
    <w:rsid w:val="7B866190"/>
    <w:rsid w:val="7B872B63"/>
    <w:rsid w:val="7BAE4B40"/>
    <w:rsid w:val="7C141B05"/>
    <w:rsid w:val="7C2F7189"/>
    <w:rsid w:val="7C347D7B"/>
    <w:rsid w:val="7C50773C"/>
    <w:rsid w:val="7C834433"/>
    <w:rsid w:val="7CFF57E1"/>
    <w:rsid w:val="7D130B64"/>
    <w:rsid w:val="7D280EE6"/>
    <w:rsid w:val="7D3F6E38"/>
    <w:rsid w:val="7D81001B"/>
    <w:rsid w:val="7DD87E16"/>
    <w:rsid w:val="7DEF24AB"/>
    <w:rsid w:val="7E2F17B6"/>
    <w:rsid w:val="7E792AEF"/>
    <w:rsid w:val="7E7F64E4"/>
    <w:rsid w:val="7EC9775F"/>
    <w:rsid w:val="7F4219EB"/>
    <w:rsid w:val="7F453289"/>
    <w:rsid w:val="7F6C1B8A"/>
    <w:rsid w:val="7F9B3D14"/>
    <w:rsid w:val="7FB86C61"/>
    <w:rsid w:val="7FC0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qFormat="1" w:unhideWhenUsed="0"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7"/>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8"/>
    <w:qFormat/>
    <w:uiPriority w:val="99"/>
    <w:pPr>
      <w:spacing w:before="39"/>
      <w:ind w:left="100"/>
      <w:outlineLvl w:val="0"/>
    </w:pPr>
    <w:rPr>
      <w:sz w:val="27"/>
      <w:szCs w:val="27"/>
    </w:rPr>
  </w:style>
  <w:style w:type="paragraph" w:styleId="4">
    <w:name w:val="heading 2"/>
    <w:basedOn w:val="1"/>
    <w:next w:val="5"/>
    <w:link w:val="55"/>
    <w:qFormat/>
    <w:uiPriority w:val="99"/>
    <w:pPr>
      <w:spacing w:before="54"/>
      <w:ind w:left="100"/>
      <w:outlineLvl w:val="1"/>
    </w:pPr>
    <w:rPr>
      <w:sz w:val="24"/>
      <w:szCs w:val="24"/>
    </w:rPr>
  </w:style>
  <w:style w:type="paragraph" w:styleId="6">
    <w:name w:val="heading 3"/>
    <w:basedOn w:val="1"/>
    <w:next w:val="5"/>
    <w:link w:val="57"/>
    <w:qFormat/>
    <w:uiPriority w:val="99"/>
    <w:pPr>
      <w:spacing w:before="60"/>
      <w:ind w:left="521"/>
      <w:outlineLvl w:val="2"/>
    </w:pPr>
    <w:rPr>
      <w:sz w:val="21"/>
      <w:szCs w:val="21"/>
    </w:rPr>
  </w:style>
  <w:style w:type="paragraph" w:styleId="7">
    <w:name w:val="heading 4"/>
    <w:basedOn w:val="1"/>
    <w:next w:val="1"/>
    <w:link w:val="58"/>
    <w:qFormat/>
    <w:uiPriority w:val="99"/>
    <w:pPr>
      <w:keepNext/>
      <w:keepLines/>
      <w:spacing w:before="280" w:after="290" w:line="376" w:lineRule="auto"/>
      <w:outlineLvl w:val="3"/>
    </w:pPr>
    <w:rPr>
      <w:rFonts w:ascii="Cambria" w:hAnsi="Cambria" w:cs="Cambria"/>
      <w:b/>
      <w:bCs/>
      <w:sz w:val="28"/>
      <w:szCs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5">
    <w:name w:val="Normal Indent"/>
    <w:basedOn w:val="1"/>
    <w:link w:val="59"/>
    <w:qFormat/>
    <w:uiPriority w:val="99"/>
    <w:pPr>
      <w:autoSpaceDE/>
      <w:autoSpaceDN/>
      <w:ind w:firstLine="420"/>
      <w:jc w:val="both"/>
    </w:pPr>
    <w:rPr>
      <w:rFonts w:ascii="Times New Roman" w:hAnsi="Times New Roman" w:cs="Times New Roman"/>
      <w:b/>
      <w:bCs/>
      <w:kern w:val="2"/>
      <w:sz w:val="20"/>
      <w:szCs w:val="20"/>
      <w:lang w:eastAsia="zh-CN"/>
    </w:rPr>
  </w:style>
  <w:style w:type="paragraph" w:styleId="8">
    <w:name w:val="table of authorities"/>
    <w:basedOn w:val="1"/>
    <w:next w:val="1"/>
    <w:unhideWhenUsed/>
    <w:qFormat/>
    <w:uiPriority w:val="99"/>
    <w:pPr>
      <w:ind w:left="420" w:leftChars="200"/>
    </w:pPr>
    <w:rPr>
      <w:szCs w:val="20"/>
    </w:rPr>
  </w:style>
  <w:style w:type="paragraph" w:styleId="9">
    <w:name w:val="annotation text"/>
    <w:basedOn w:val="1"/>
    <w:link w:val="60"/>
    <w:unhideWhenUsed/>
    <w:qFormat/>
    <w:uiPriority w:val="99"/>
  </w:style>
  <w:style w:type="paragraph" w:styleId="10">
    <w:name w:val="Body Text"/>
    <w:basedOn w:val="1"/>
    <w:link w:val="61"/>
    <w:qFormat/>
    <w:uiPriority w:val="1"/>
    <w:pPr>
      <w:spacing w:before="129"/>
      <w:ind w:left="100"/>
    </w:pPr>
    <w:rPr>
      <w:sz w:val="18"/>
      <w:szCs w:val="18"/>
    </w:rPr>
  </w:style>
  <w:style w:type="paragraph" w:styleId="11">
    <w:name w:val="Body Text Indent"/>
    <w:basedOn w:val="1"/>
    <w:next w:val="12"/>
    <w:link w:val="62"/>
    <w:semiHidden/>
    <w:qFormat/>
    <w:uiPriority w:val="99"/>
    <w:pPr>
      <w:spacing w:after="120"/>
      <w:ind w:left="420" w:leftChars="200"/>
    </w:pPr>
  </w:style>
  <w:style w:type="paragraph" w:styleId="12">
    <w:name w:val="envelope return"/>
    <w:basedOn w:val="1"/>
    <w:qFormat/>
    <w:uiPriority w:val="0"/>
    <w:pPr>
      <w:snapToGrid w:val="0"/>
    </w:pPr>
    <w:rPr>
      <w:rFonts w:ascii="Arial" w:hAnsi="Arial" w:eastAsia="宋体" w:cs="宋体"/>
    </w:rPr>
  </w:style>
  <w:style w:type="paragraph" w:styleId="13">
    <w:name w:val="index 4"/>
    <w:basedOn w:val="1"/>
    <w:next w:val="1"/>
    <w:qFormat/>
    <w:uiPriority w:val="99"/>
    <w:pPr>
      <w:ind w:left="600"/>
    </w:pPr>
  </w:style>
  <w:style w:type="paragraph" w:styleId="14">
    <w:name w:val="toc 3"/>
    <w:basedOn w:val="1"/>
    <w:next w:val="1"/>
    <w:semiHidden/>
    <w:qFormat/>
    <w:uiPriority w:val="99"/>
    <w:pPr>
      <w:widowControl/>
      <w:autoSpaceDE/>
      <w:autoSpaceDN/>
      <w:spacing w:after="100" w:line="259" w:lineRule="auto"/>
      <w:ind w:left="440"/>
    </w:pPr>
    <w:rPr>
      <w:rFonts w:ascii="Calibri" w:hAnsi="Calibri" w:cs="Calibri"/>
      <w:lang w:eastAsia="zh-CN"/>
    </w:rPr>
  </w:style>
  <w:style w:type="paragraph" w:styleId="15">
    <w:name w:val="Plain Text"/>
    <w:basedOn w:val="1"/>
    <w:link w:val="70"/>
    <w:qFormat/>
    <w:uiPriority w:val="99"/>
    <w:pPr>
      <w:autoSpaceDE/>
      <w:autoSpaceDN/>
      <w:spacing w:line="460" w:lineRule="exact"/>
      <w:jc w:val="both"/>
    </w:pPr>
    <w:rPr>
      <w:rFonts w:hAnsi="Courier New" w:cs="Times New Roman"/>
      <w:spacing w:val="10"/>
      <w:sz w:val="21"/>
      <w:szCs w:val="21"/>
    </w:rPr>
  </w:style>
  <w:style w:type="paragraph" w:styleId="16">
    <w:name w:val="Date"/>
    <w:basedOn w:val="1"/>
    <w:next w:val="1"/>
    <w:link w:val="71"/>
    <w:qFormat/>
    <w:uiPriority w:val="99"/>
    <w:pPr>
      <w:autoSpaceDE/>
      <w:autoSpaceDN/>
      <w:jc w:val="both"/>
    </w:pPr>
    <w:rPr>
      <w:rFonts w:hAnsi="Calibri" w:cs="Times New Roman"/>
      <w:spacing w:val="12"/>
      <w:sz w:val="24"/>
      <w:szCs w:val="24"/>
    </w:rPr>
  </w:style>
  <w:style w:type="paragraph" w:styleId="17">
    <w:name w:val="Body Text Indent 2"/>
    <w:basedOn w:val="1"/>
    <w:next w:val="1"/>
    <w:qFormat/>
    <w:uiPriority w:val="0"/>
    <w:pPr>
      <w:spacing w:line="560" w:lineRule="exact"/>
      <w:ind w:firstLine="560" w:firstLineChars="200"/>
    </w:pPr>
    <w:rPr>
      <w:sz w:val="28"/>
    </w:rPr>
  </w:style>
  <w:style w:type="paragraph" w:styleId="18">
    <w:name w:val="Balloon Text"/>
    <w:basedOn w:val="1"/>
    <w:link w:val="56"/>
    <w:semiHidden/>
    <w:qFormat/>
    <w:uiPriority w:val="99"/>
    <w:rPr>
      <w:sz w:val="18"/>
      <w:szCs w:val="18"/>
    </w:rPr>
  </w:style>
  <w:style w:type="paragraph" w:styleId="19">
    <w:name w:val="footer"/>
    <w:basedOn w:val="1"/>
    <w:link w:val="65"/>
    <w:qFormat/>
    <w:uiPriority w:val="99"/>
    <w:pPr>
      <w:tabs>
        <w:tab w:val="center" w:pos="4153"/>
        <w:tab w:val="right" w:pos="8306"/>
      </w:tabs>
      <w:snapToGrid w:val="0"/>
    </w:pPr>
    <w:rPr>
      <w:sz w:val="18"/>
      <w:szCs w:val="18"/>
    </w:rPr>
  </w:style>
  <w:style w:type="paragraph" w:styleId="20">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widowControl/>
      <w:tabs>
        <w:tab w:val="right" w:leader="dot" w:pos="8630"/>
      </w:tabs>
      <w:autoSpaceDE/>
      <w:autoSpaceDN/>
      <w:spacing w:after="100" w:line="360" w:lineRule="auto"/>
    </w:pPr>
    <w:rPr>
      <w:rFonts w:ascii="Calibri" w:hAnsi="Calibri" w:cs="Calibri"/>
      <w:lang w:eastAsia="zh-CN"/>
    </w:rPr>
  </w:style>
  <w:style w:type="paragraph" w:styleId="22">
    <w:name w:val="footnote text"/>
    <w:basedOn w:val="1"/>
    <w:link w:val="67"/>
    <w:semiHidden/>
    <w:qFormat/>
    <w:uiPriority w:val="99"/>
    <w:pPr>
      <w:autoSpaceDE/>
      <w:autoSpaceDN/>
      <w:snapToGrid w:val="0"/>
    </w:pPr>
    <w:rPr>
      <w:rFonts w:ascii="Times New Roman" w:hAnsi="Times New Roman" w:cs="Times New Roman"/>
      <w:kern w:val="2"/>
      <w:sz w:val="18"/>
      <w:szCs w:val="18"/>
      <w:lang w:eastAsia="zh-CN"/>
    </w:rPr>
  </w:style>
  <w:style w:type="paragraph" w:styleId="23">
    <w:name w:val="toc 2"/>
    <w:basedOn w:val="1"/>
    <w:next w:val="1"/>
    <w:qFormat/>
    <w:uiPriority w:val="39"/>
    <w:pPr>
      <w:widowControl/>
      <w:tabs>
        <w:tab w:val="right" w:leader="dot" w:pos="8630"/>
      </w:tabs>
      <w:autoSpaceDE/>
      <w:autoSpaceDN/>
      <w:spacing w:after="100" w:line="360" w:lineRule="auto"/>
      <w:ind w:left="221" w:firstLine="440" w:firstLineChars="200"/>
    </w:pPr>
    <w:rPr>
      <w:rFonts w:ascii="Calibri" w:hAnsi="Calibri" w:cs="Calibri"/>
      <w:lang w:eastAsia="zh-CN"/>
    </w:rPr>
  </w:style>
  <w:style w:type="paragraph" w:styleId="24">
    <w:name w:val="List Continue 2"/>
    <w:basedOn w:val="1"/>
    <w:next w:val="1"/>
    <w:qFormat/>
    <w:uiPriority w:val="0"/>
    <w:pPr>
      <w:spacing w:after="120"/>
      <w:ind w:left="840" w:leftChars="400"/>
    </w:pPr>
  </w:style>
  <w:style w:type="paragraph" w:styleId="25">
    <w:name w:val="Normal (Web)"/>
    <w:basedOn w:val="1"/>
    <w:unhideWhenUsed/>
    <w:qFormat/>
    <w:uiPriority w:val="99"/>
    <w:rPr>
      <w:sz w:val="24"/>
    </w:rPr>
  </w:style>
  <w:style w:type="paragraph" w:styleId="26">
    <w:name w:val="Title"/>
    <w:basedOn w:val="1"/>
    <w:link w:val="68"/>
    <w:qFormat/>
    <w:uiPriority w:val="99"/>
    <w:pPr>
      <w:spacing w:line="930" w:lineRule="exact"/>
      <w:ind w:left="2875"/>
    </w:pPr>
    <w:rPr>
      <w:sz w:val="75"/>
      <w:szCs w:val="75"/>
    </w:rPr>
  </w:style>
  <w:style w:type="paragraph" w:styleId="27">
    <w:name w:val="Body Text First Indent"/>
    <w:basedOn w:val="10"/>
    <w:link w:val="69"/>
    <w:unhideWhenUsed/>
    <w:qFormat/>
    <w:uiPriority w:val="99"/>
    <w:pPr>
      <w:spacing w:before="0" w:after="120"/>
      <w:ind w:left="0" w:firstLine="420" w:firstLineChars="100"/>
    </w:pPr>
    <w:rPr>
      <w:sz w:val="22"/>
      <w:szCs w:val="22"/>
    </w:rPr>
  </w:style>
  <w:style w:type="paragraph" w:styleId="28">
    <w:name w:val="Body Text First Indent 2"/>
    <w:basedOn w:val="11"/>
    <w:next w:val="1"/>
    <w:unhideWhenUsed/>
    <w:qFormat/>
    <w:uiPriority w:val="99"/>
    <w:pPr>
      <w:tabs>
        <w:tab w:val="left" w:pos="993"/>
        <w:tab w:val="left" w:pos="1134"/>
      </w:tabs>
      <w:ind w:firstLine="420" w:firstLineChars="200"/>
    </w:pPr>
    <w:rPr>
      <w:rFonts w:ascii="Times New Roman" w:hAnsi="Times New Roman" w:cs="Arial Unicode MS"/>
      <w:kern w:val="2"/>
      <w:sz w:val="21"/>
      <w:szCs w:val="21"/>
    </w:rPr>
  </w:style>
  <w:style w:type="table" w:styleId="30">
    <w:name w:val="Table Grid"/>
    <w:basedOn w:val="2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b/>
      <w:bCs/>
    </w:rPr>
  </w:style>
  <w:style w:type="character" w:styleId="33">
    <w:name w:val="page number"/>
    <w:basedOn w:val="31"/>
    <w:qFormat/>
    <w:uiPriority w:val="0"/>
    <w:rPr>
      <w:lang w:val="zh-TW" w:eastAsia="zh-TW"/>
    </w:rPr>
  </w:style>
  <w:style w:type="character" w:styleId="34">
    <w:name w:val="FollowedHyperlink"/>
    <w:unhideWhenUsed/>
    <w:qFormat/>
    <w:uiPriority w:val="99"/>
    <w:rPr>
      <w:color w:val="800080"/>
      <w:u w:val="none"/>
    </w:rPr>
  </w:style>
  <w:style w:type="character" w:styleId="35">
    <w:name w:val="Emphasis"/>
    <w:basedOn w:val="31"/>
    <w:qFormat/>
    <w:locked/>
    <w:uiPriority w:val="0"/>
    <w:rPr>
      <w:i/>
    </w:rPr>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yperlink"/>
    <w:qFormat/>
    <w:uiPriority w:val="99"/>
    <w:rPr>
      <w:color w:val="0000FF"/>
      <w:u w:val="none"/>
    </w:rPr>
  </w:style>
  <w:style w:type="character" w:styleId="39">
    <w:name w:val="HTML Code"/>
    <w:unhideWhenUsed/>
    <w:qFormat/>
    <w:uiPriority w:val="99"/>
    <w:rPr>
      <w:rFonts w:hint="default" w:ascii="monospace" w:hAnsi="monospace" w:eastAsia="monospace" w:cs="monospace"/>
      <w:sz w:val="20"/>
    </w:rPr>
  </w:style>
  <w:style w:type="character" w:styleId="40">
    <w:name w:val="footnote reference"/>
    <w:semiHidden/>
    <w:qFormat/>
    <w:uiPriority w:val="99"/>
    <w:rPr>
      <w:vertAlign w:val="superscript"/>
    </w:rPr>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paragraph" w:customStyle="1" w:styleId="43">
    <w:name w:val="索引 41"/>
    <w:basedOn w:val="1"/>
    <w:next w:val="1"/>
    <w:semiHidden/>
    <w:qFormat/>
    <w:uiPriority w:val="0"/>
    <w:pPr>
      <w:ind w:left="1260"/>
    </w:pPr>
    <w:rPr>
      <w:rFonts w:ascii="Calibri" w:hAnsi="Calibri" w:eastAsia="Calibri" w:cs="宋体"/>
      <w:sz w:val="20"/>
      <w:lang w:val="zh-CN"/>
    </w:rPr>
  </w:style>
  <w:style w:type="paragraph" w:customStyle="1" w:styleId="44">
    <w:name w:val="首行缩进"/>
    <w:basedOn w:val="1"/>
    <w:qFormat/>
    <w:uiPriority w:val="0"/>
    <w:pPr>
      <w:ind w:firstLine="480" w:firstLineChars="200"/>
    </w:pPr>
    <w:rPr>
      <w:szCs w:val="20"/>
      <w:lang w:val="zh-CN"/>
    </w:rPr>
  </w:style>
  <w:style w:type="paragraph" w:customStyle="1" w:styleId="45">
    <w:name w:val="正文首行缩进 21"/>
    <w:basedOn w:val="46"/>
    <w:next w:val="1"/>
    <w:qFormat/>
    <w:uiPriority w:val="0"/>
    <w:pPr>
      <w:spacing w:line="360" w:lineRule="auto"/>
      <w:ind w:firstLine="420"/>
    </w:pPr>
    <w:rPr>
      <w:rFonts w:ascii="宋体" w:hAnsi="宋体" w:eastAsia="宋体"/>
      <w:sz w:val="21"/>
      <w:szCs w:val="20"/>
    </w:rPr>
  </w:style>
  <w:style w:type="paragraph" w:customStyle="1" w:styleId="46">
    <w:name w:val="正文文本缩进11"/>
    <w:basedOn w:val="1"/>
    <w:next w:val="47"/>
    <w:unhideWhenUsed/>
    <w:qFormat/>
    <w:uiPriority w:val="0"/>
    <w:pPr>
      <w:spacing w:after="120"/>
      <w:ind w:left="420"/>
    </w:pPr>
  </w:style>
  <w:style w:type="paragraph" w:customStyle="1" w:styleId="47">
    <w:name w:val="寄信人地址1"/>
    <w:basedOn w:val="1"/>
    <w:qFormat/>
    <w:uiPriority w:val="0"/>
    <w:rPr>
      <w:rFonts w:ascii="Arial" w:hAnsi="Arial" w:eastAsia="宋体" w:cs="宋体"/>
    </w:rPr>
  </w:style>
  <w:style w:type="character" w:customStyle="1" w:styleId="48">
    <w:name w:val="标题 1 Char"/>
    <w:link w:val="3"/>
    <w:qFormat/>
    <w:uiPriority w:val="9"/>
    <w:rPr>
      <w:rFonts w:ascii="宋体" w:hAnsi="宋体" w:cs="宋体"/>
      <w:b/>
      <w:bCs/>
      <w:kern w:val="44"/>
      <w:sz w:val="44"/>
      <w:szCs w:val="44"/>
      <w:lang w:eastAsia="en-US"/>
    </w:rPr>
  </w:style>
  <w:style w:type="paragraph" w:customStyle="1" w:styleId="49">
    <w:name w:val="正文首行缩进 211"/>
    <w:basedOn w:val="46"/>
    <w:qFormat/>
    <w:uiPriority w:val="0"/>
    <w:pPr>
      <w:spacing w:after="0" w:line="360" w:lineRule="auto"/>
      <w:ind w:left="0" w:firstLine="420"/>
    </w:pPr>
    <w:rPr>
      <w:rFonts w:ascii="宋体" w:hAnsi="宋体" w:eastAsia="宋体" w:cs="Times New Roman"/>
      <w:szCs w:val="20"/>
    </w:rPr>
  </w:style>
  <w:style w:type="paragraph" w:customStyle="1" w:styleId="50">
    <w:name w:val="列表段落1"/>
    <w:basedOn w:val="1"/>
    <w:qFormat/>
    <w:uiPriority w:val="99"/>
  </w:style>
  <w:style w:type="paragraph" w:styleId="51">
    <w:name w:val="List Paragraph"/>
    <w:basedOn w:val="1"/>
    <w:autoRedefine/>
    <w:qFormat/>
    <w:uiPriority w:val="99"/>
    <w:pPr>
      <w:ind w:firstLine="420" w:firstLineChars="200"/>
    </w:pPr>
    <w:rPr>
      <w:rFonts w:cs="Times New Roman"/>
      <w:sz w:val="21"/>
      <w:szCs w:val="24"/>
    </w:rPr>
  </w:style>
  <w:style w:type="paragraph" w:customStyle="1" w:styleId="52">
    <w:name w:val="标题 41"/>
    <w:basedOn w:val="1"/>
    <w:next w:val="1"/>
    <w:qFormat/>
    <w:uiPriority w:val="0"/>
    <w:pPr>
      <w:keepNext/>
      <w:keepLines/>
      <w:spacing w:before="120" w:after="120"/>
      <w:outlineLvl w:val="3"/>
    </w:pPr>
    <w:rPr>
      <w:rFonts w:ascii="Arial" w:hAnsi="Arial" w:eastAsia="黑体"/>
      <w:b/>
      <w:sz w:val="28"/>
      <w:lang w:val="en-US" w:eastAsia="en-US"/>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en-US" w:bidi="ar-SA"/>
    </w:rPr>
  </w:style>
  <w:style w:type="paragraph" w:customStyle="1" w:styleId="54">
    <w:name w:val="_Style 59"/>
    <w:basedOn w:val="1"/>
    <w:semiHidden/>
    <w:qFormat/>
    <w:uiPriority w:val="0"/>
    <w:pPr>
      <w:autoSpaceDE/>
      <w:autoSpaceDN/>
      <w:jc w:val="both"/>
    </w:pPr>
    <w:rPr>
      <w:rFonts w:ascii="Times New Roman" w:hAnsi="Times New Roman" w:cs="Times New Roman"/>
      <w:kern w:val="2"/>
      <w:sz w:val="21"/>
      <w:szCs w:val="24"/>
      <w:lang w:eastAsia="zh-CN"/>
    </w:rPr>
  </w:style>
  <w:style w:type="character" w:customStyle="1" w:styleId="55">
    <w:name w:val="标题 2 Char"/>
    <w:link w:val="4"/>
    <w:semiHidden/>
    <w:qFormat/>
    <w:uiPriority w:val="9"/>
    <w:rPr>
      <w:rFonts w:ascii="Cambria" w:hAnsi="Cambria" w:eastAsia="宋体" w:cs="Times New Roman"/>
      <w:b/>
      <w:bCs/>
      <w:kern w:val="0"/>
      <w:sz w:val="32"/>
      <w:szCs w:val="32"/>
      <w:lang w:eastAsia="en-US"/>
    </w:rPr>
  </w:style>
  <w:style w:type="character" w:customStyle="1" w:styleId="56">
    <w:name w:val="批注框文本 Char"/>
    <w:link w:val="18"/>
    <w:semiHidden/>
    <w:qFormat/>
    <w:uiPriority w:val="99"/>
    <w:rPr>
      <w:rFonts w:ascii="宋体" w:hAnsi="宋体" w:cs="宋体"/>
      <w:sz w:val="18"/>
      <w:szCs w:val="18"/>
      <w:lang w:eastAsia="en-US"/>
    </w:rPr>
  </w:style>
  <w:style w:type="character" w:customStyle="1" w:styleId="57">
    <w:name w:val="标题 3 Char"/>
    <w:link w:val="6"/>
    <w:semiHidden/>
    <w:qFormat/>
    <w:uiPriority w:val="9"/>
    <w:rPr>
      <w:rFonts w:ascii="宋体" w:hAnsi="宋体" w:cs="宋体"/>
      <w:b/>
      <w:bCs/>
      <w:kern w:val="0"/>
      <w:sz w:val="32"/>
      <w:szCs w:val="32"/>
      <w:lang w:eastAsia="en-US"/>
    </w:rPr>
  </w:style>
  <w:style w:type="character" w:customStyle="1" w:styleId="58">
    <w:name w:val="标题 4 Char"/>
    <w:link w:val="7"/>
    <w:qFormat/>
    <w:locked/>
    <w:uiPriority w:val="99"/>
    <w:rPr>
      <w:rFonts w:ascii="Cambria" w:hAnsi="Cambria" w:eastAsia="宋体" w:cs="Cambria"/>
      <w:b/>
      <w:bCs/>
      <w:sz w:val="28"/>
      <w:szCs w:val="28"/>
    </w:rPr>
  </w:style>
  <w:style w:type="character" w:customStyle="1" w:styleId="59">
    <w:name w:val="正文缩进 Char"/>
    <w:link w:val="5"/>
    <w:qFormat/>
    <w:locked/>
    <w:uiPriority w:val="99"/>
    <w:rPr>
      <w:rFonts w:ascii="Times New Roman" w:hAnsi="Times New Roman" w:eastAsia="宋体" w:cs="Times New Roman"/>
      <w:b/>
      <w:bCs/>
      <w:kern w:val="2"/>
      <w:sz w:val="20"/>
      <w:szCs w:val="20"/>
      <w:lang w:eastAsia="zh-CN"/>
    </w:rPr>
  </w:style>
  <w:style w:type="character" w:customStyle="1" w:styleId="60">
    <w:name w:val="批注文字 Char"/>
    <w:link w:val="9"/>
    <w:qFormat/>
    <w:uiPriority w:val="99"/>
    <w:rPr>
      <w:rFonts w:ascii="宋体" w:hAnsi="宋体" w:cs="宋体"/>
      <w:sz w:val="22"/>
      <w:szCs w:val="22"/>
      <w:lang w:eastAsia="en-US"/>
    </w:rPr>
  </w:style>
  <w:style w:type="character" w:customStyle="1" w:styleId="61">
    <w:name w:val="正文文本 Char"/>
    <w:link w:val="10"/>
    <w:qFormat/>
    <w:locked/>
    <w:uiPriority w:val="1"/>
    <w:rPr>
      <w:rFonts w:ascii="宋体" w:hAnsi="宋体" w:eastAsia="宋体" w:cs="宋体"/>
      <w:sz w:val="18"/>
      <w:szCs w:val="18"/>
    </w:rPr>
  </w:style>
  <w:style w:type="character" w:customStyle="1" w:styleId="62">
    <w:name w:val="正文文本缩进 Char"/>
    <w:link w:val="11"/>
    <w:semiHidden/>
    <w:qFormat/>
    <w:locked/>
    <w:uiPriority w:val="99"/>
    <w:rPr>
      <w:rFonts w:ascii="宋体" w:hAnsi="宋体" w:eastAsia="宋体" w:cs="宋体"/>
    </w:rPr>
  </w:style>
  <w:style w:type="character" w:customStyle="1" w:styleId="63">
    <w:name w:val="纯文本 Char"/>
    <w:semiHidden/>
    <w:qFormat/>
    <w:uiPriority w:val="99"/>
    <w:rPr>
      <w:rFonts w:ascii="宋体" w:hAnsi="Courier New" w:cs="Courier New"/>
      <w:kern w:val="0"/>
      <w:szCs w:val="21"/>
      <w:lang w:eastAsia="en-US"/>
    </w:rPr>
  </w:style>
  <w:style w:type="character" w:customStyle="1" w:styleId="64">
    <w:name w:val="日期 Char"/>
    <w:semiHidden/>
    <w:qFormat/>
    <w:uiPriority w:val="99"/>
    <w:rPr>
      <w:rFonts w:ascii="宋体" w:hAnsi="宋体" w:cs="宋体"/>
      <w:kern w:val="0"/>
      <w:sz w:val="22"/>
      <w:lang w:eastAsia="en-US"/>
    </w:rPr>
  </w:style>
  <w:style w:type="character" w:customStyle="1" w:styleId="65">
    <w:name w:val="页脚 Char"/>
    <w:link w:val="19"/>
    <w:qFormat/>
    <w:locked/>
    <w:uiPriority w:val="99"/>
    <w:rPr>
      <w:rFonts w:ascii="宋体" w:hAnsi="宋体" w:eastAsia="宋体" w:cs="宋体"/>
      <w:sz w:val="18"/>
      <w:szCs w:val="18"/>
    </w:rPr>
  </w:style>
  <w:style w:type="character" w:customStyle="1" w:styleId="66">
    <w:name w:val="页眉 Char"/>
    <w:link w:val="20"/>
    <w:qFormat/>
    <w:locked/>
    <w:uiPriority w:val="99"/>
    <w:rPr>
      <w:rFonts w:ascii="宋体" w:hAnsi="宋体" w:eastAsia="宋体" w:cs="宋体"/>
      <w:sz w:val="18"/>
      <w:szCs w:val="18"/>
    </w:rPr>
  </w:style>
  <w:style w:type="character" w:customStyle="1" w:styleId="67">
    <w:name w:val="脚注文本 Char"/>
    <w:link w:val="22"/>
    <w:qFormat/>
    <w:locked/>
    <w:uiPriority w:val="99"/>
    <w:rPr>
      <w:rFonts w:ascii="Times New Roman" w:hAnsi="Times New Roman" w:eastAsia="宋体" w:cs="Times New Roman"/>
      <w:kern w:val="2"/>
      <w:sz w:val="18"/>
      <w:szCs w:val="18"/>
      <w:lang w:eastAsia="zh-CN"/>
    </w:rPr>
  </w:style>
  <w:style w:type="character" w:customStyle="1" w:styleId="68">
    <w:name w:val="标题 Char"/>
    <w:link w:val="26"/>
    <w:qFormat/>
    <w:uiPriority w:val="10"/>
    <w:rPr>
      <w:rFonts w:ascii="Cambria" w:hAnsi="Cambria" w:cs="Times New Roman"/>
      <w:b/>
      <w:bCs/>
      <w:kern w:val="0"/>
      <w:sz w:val="32"/>
      <w:szCs w:val="32"/>
      <w:lang w:eastAsia="en-US"/>
    </w:rPr>
  </w:style>
  <w:style w:type="character" w:customStyle="1" w:styleId="69">
    <w:name w:val="正文首行缩进 Char"/>
    <w:link w:val="27"/>
    <w:semiHidden/>
    <w:qFormat/>
    <w:uiPriority w:val="99"/>
    <w:rPr>
      <w:rFonts w:ascii="宋体" w:hAnsi="宋体" w:eastAsia="宋体" w:cs="宋体"/>
      <w:sz w:val="22"/>
      <w:szCs w:val="22"/>
      <w:lang w:eastAsia="en-US"/>
    </w:rPr>
  </w:style>
  <w:style w:type="character" w:customStyle="1" w:styleId="70">
    <w:name w:val="纯文本 Char1"/>
    <w:link w:val="15"/>
    <w:qFormat/>
    <w:locked/>
    <w:uiPriority w:val="99"/>
    <w:rPr>
      <w:rFonts w:ascii="宋体" w:hAnsi="Courier New" w:cs="宋体"/>
      <w:spacing w:val="10"/>
      <w:sz w:val="21"/>
      <w:szCs w:val="21"/>
    </w:rPr>
  </w:style>
  <w:style w:type="character" w:customStyle="1" w:styleId="71">
    <w:name w:val="日期 Char1"/>
    <w:link w:val="16"/>
    <w:qFormat/>
    <w:locked/>
    <w:uiPriority w:val="99"/>
    <w:rPr>
      <w:rFonts w:ascii="宋体" w:cs="宋体"/>
      <w:spacing w:val="12"/>
      <w:sz w:val="24"/>
      <w:szCs w:val="24"/>
    </w:rPr>
  </w:style>
  <w:style w:type="table" w:customStyle="1" w:styleId="72">
    <w:name w:val="Table Normal1"/>
    <w:semiHidden/>
    <w:qFormat/>
    <w:uiPriority w:val="99"/>
    <w:pPr>
      <w:widowControl w:val="0"/>
      <w:autoSpaceDE w:val="0"/>
      <w:autoSpaceDN w:val="0"/>
    </w:pPr>
    <w:rPr>
      <w:rFonts w:cs="Calibri"/>
      <w:sz w:val="22"/>
      <w:szCs w:val="22"/>
      <w:lang w:eastAsia="en-US"/>
    </w:rPr>
    <w:tblPr>
      <w:tblCellMar>
        <w:top w:w="0" w:type="dxa"/>
        <w:left w:w="0" w:type="dxa"/>
        <w:bottom w:w="0" w:type="dxa"/>
        <w:right w:w="0" w:type="dxa"/>
      </w:tblCellMar>
    </w:tblPr>
  </w:style>
  <w:style w:type="paragraph" w:customStyle="1" w:styleId="73">
    <w:name w:val="Table Paragraph"/>
    <w:basedOn w:val="1"/>
    <w:qFormat/>
    <w:uiPriority w:val="99"/>
  </w:style>
  <w:style w:type="paragraph" w:customStyle="1" w:styleId="74">
    <w:name w:val="p0"/>
    <w:basedOn w:val="1"/>
    <w:qFormat/>
    <w:uiPriority w:val="0"/>
    <w:pPr>
      <w:widowControl/>
      <w:suppressAutoHyphens/>
      <w:autoSpaceDE/>
      <w:spacing w:before="100" w:beforeAutospacing="1" w:after="100" w:afterAutospacing="1"/>
      <w:textAlignment w:val="baseline"/>
    </w:pPr>
    <w:rPr>
      <w:sz w:val="24"/>
      <w:szCs w:val="24"/>
      <w:lang w:eastAsia="zh-CN"/>
    </w:rPr>
  </w:style>
  <w:style w:type="paragraph" w:customStyle="1" w:styleId="75">
    <w:name w:val="格式３"/>
    <w:basedOn w:val="1"/>
    <w:qFormat/>
    <w:uiPriority w:val="99"/>
    <w:pPr>
      <w:autoSpaceDE/>
      <w:autoSpaceDN/>
      <w:spacing w:line="420" w:lineRule="exact"/>
      <w:ind w:left="600" w:hanging="600" w:hangingChars="250"/>
      <w:jc w:val="both"/>
    </w:pPr>
    <w:rPr>
      <w:color w:val="000000"/>
      <w:kern w:val="2"/>
      <w:sz w:val="24"/>
      <w:szCs w:val="24"/>
      <w:lang w:eastAsia="zh-CN"/>
    </w:rPr>
  </w:style>
  <w:style w:type="paragraph" w:customStyle="1" w:styleId="76">
    <w:name w:val="TOC 标题1"/>
    <w:basedOn w:val="3"/>
    <w:next w:val="1"/>
    <w:qFormat/>
    <w:uiPriority w:val="99"/>
    <w:pPr>
      <w:keepNext/>
      <w:keepLines/>
      <w:widowControl/>
      <w:autoSpaceDE/>
      <w:autoSpaceDN/>
      <w:spacing w:before="240" w:line="259" w:lineRule="auto"/>
      <w:ind w:left="0"/>
      <w:outlineLvl w:val="9"/>
    </w:pPr>
    <w:rPr>
      <w:rFonts w:ascii="Cambria" w:hAnsi="Cambria" w:cs="Cambria"/>
      <w:color w:val="365F91"/>
      <w:sz w:val="32"/>
      <w:szCs w:val="32"/>
      <w:lang w:eastAsia="zh-CN"/>
    </w:rPr>
  </w:style>
  <w:style w:type="character" w:customStyle="1" w:styleId="77">
    <w:name w:val="Normal Char"/>
    <w:link w:val="78"/>
    <w:qFormat/>
    <w:locked/>
    <w:uiPriority w:val="99"/>
    <w:rPr>
      <w:rFonts w:cs="Calibri"/>
      <w:sz w:val="24"/>
      <w:szCs w:val="24"/>
      <w:lang w:val="en-US" w:eastAsia="en-US" w:bidi="ar-SA"/>
    </w:rPr>
  </w:style>
  <w:style w:type="paragraph" w:customStyle="1" w:styleId="78">
    <w:name w:val="正文1"/>
    <w:link w:val="77"/>
    <w:qFormat/>
    <w:uiPriority w:val="99"/>
    <w:rPr>
      <w:rFonts w:ascii="Times New Roman" w:hAnsi="Times New Roman" w:eastAsia="宋体" w:cs="Calibri"/>
      <w:sz w:val="24"/>
      <w:szCs w:val="24"/>
      <w:lang w:val="en-US" w:eastAsia="en-US" w:bidi="ar-SA"/>
    </w:rPr>
  </w:style>
  <w:style w:type="character" w:customStyle="1" w:styleId="79">
    <w:name w:val="未处理的提及1"/>
    <w:semiHidden/>
    <w:qFormat/>
    <w:uiPriority w:val="99"/>
    <w:rPr>
      <w:color w:val="auto"/>
      <w:shd w:val="clear" w:color="auto" w:fill="auto"/>
    </w:rPr>
  </w:style>
  <w:style w:type="character" w:customStyle="1" w:styleId="80">
    <w:name w:val="日期 字符1"/>
    <w:semiHidden/>
    <w:qFormat/>
    <w:uiPriority w:val="99"/>
    <w:rPr>
      <w:rFonts w:ascii="宋体" w:hAnsi="宋体" w:eastAsia="宋体" w:cs="宋体"/>
    </w:rPr>
  </w:style>
  <w:style w:type="character" w:customStyle="1" w:styleId="81">
    <w:name w:val="纯文本 字符1"/>
    <w:semiHidden/>
    <w:qFormat/>
    <w:uiPriority w:val="99"/>
    <w:rPr>
      <w:rFonts w:ascii="宋体" w:hAnsi="Courier New" w:cs="宋体"/>
    </w:rPr>
  </w:style>
  <w:style w:type="character" w:customStyle="1" w:styleId="82">
    <w:name w:val="NormalCharacter"/>
    <w:semiHidden/>
    <w:qFormat/>
    <w:uiPriority w:val="99"/>
  </w:style>
  <w:style w:type="paragraph" w:customStyle="1" w:styleId="83">
    <w:name w:val="_Style 66"/>
    <w:semiHidden/>
    <w:qFormat/>
    <w:uiPriority w:val="99"/>
    <w:rPr>
      <w:rFonts w:ascii="宋体" w:hAnsi="宋体" w:eastAsia="宋体" w:cs="宋体"/>
      <w:sz w:val="22"/>
      <w:szCs w:val="22"/>
      <w:lang w:val="en-US" w:eastAsia="en-US" w:bidi="ar-SA"/>
    </w:rPr>
  </w:style>
  <w:style w:type="paragraph" w:customStyle="1" w:styleId="84">
    <w:name w:val="ewb-con-p2"/>
    <w:basedOn w:val="1"/>
    <w:qFormat/>
    <w:uiPriority w:val="0"/>
    <w:pPr>
      <w:widowControl/>
      <w:autoSpaceDE/>
      <w:autoSpaceDN/>
      <w:spacing w:before="100" w:beforeAutospacing="1" w:after="100" w:afterAutospacing="1"/>
    </w:pPr>
    <w:rPr>
      <w:sz w:val="24"/>
      <w:szCs w:val="24"/>
      <w:lang w:eastAsia="zh-CN"/>
    </w:rPr>
  </w:style>
  <w:style w:type="paragraph" w:customStyle="1" w:styleId="85">
    <w:name w:val="列出段落1"/>
    <w:basedOn w:val="1"/>
    <w:qFormat/>
    <w:uiPriority w:val="0"/>
    <w:pPr>
      <w:ind w:firstLine="200" w:firstLineChars="200"/>
    </w:pPr>
  </w:style>
  <w:style w:type="paragraph" w:customStyle="1" w:styleId="8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7">
    <w:name w:val="NormalCharacter1"/>
    <w:link w:val="1"/>
    <w:qFormat/>
    <w:uiPriority w:val="0"/>
    <w:rPr>
      <w:rFonts w:ascii="宋体" w:hAnsi="宋体" w:eastAsia="宋体" w:cs="宋体"/>
      <w:sz w:val="22"/>
      <w:szCs w:val="22"/>
      <w:lang w:val="en-US" w:eastAsia="en-US" w:bidi="ar-SA"/>
    </w:rPr>
  </w:style>
  <w:style w:type="character" w:customStyle="1" w:styleId="88">
    <w:name w:val="font41"/>
    <w:basedOn w:val="31"/>
    <w:qFormat/>
    <w:uiPriority w:val="0"/>
    <w:rPr>
      <w:rFonts w:ascii="仿宋" w:hAnsi="仿宋" w:eastAsia="仿宋" w:cs="仿宋"/>
      <w:color w:val="000000"/>
      <w:sz w:val="22"/>
      <w:szCs w:val="22"/>
      <w:u w:val="none"/>
    </w:rPr>
  </w:style>
  <w:style w:type="paragraph" w:customStyle="1" w:styleId="89">
    <w:name w:val="样式4"/>
    <w:basedOn w:val="1"/>
    <w:qFormat/>
    <w:uiPriority w:val="0"/>
    <w:pPr>
      <w:widowControl/>
      <w:adjustRightInd w:val="0"/>
      <w:spacing w:line="360" w:lineRule="auto"/>
      <w:ind w:firstLine="420"/>
      <w:jc w:val="center"/>
    </w:pPr>
    <w:rPr>
      <w:rFonts w:ascii="宋体" w:hAnsi="宋体"/>
      <w:bCs/>
      <w:sz w:val="21"/>
      <w:szCs w:val="21"/>
    </w:rPr>
  </w:style>
  <w:style w:type="character" w:customStyle="1" w:styleId="90">
    <w:name w:val="font51"/>
    <w:basedOn w:val="31"/>
    <w:qFormat/>
    <w:uiPriority w:val="0"/>
    <w:rPr>
      <w:rFonts w:hint="default" w:ascii="Times New Roman" w:hAnsi="Times New Roman" w:cs="Times New Roman"/>
      <w:b/>
      <w:bCs/>
      <w:color w:val="000000"/>
      <w:sz w:val="18"/>
      <w:szCs w:val="18"/>
      <w:u w:val="none"/>
    </w:rPr>
  </w:style>
  <w:style w:type="character" w:customStyle="1" w:styleId="91">
    <w:name w:val="font31"/>
    <w:basedOn w:val="31"/>
    <w:qFormat/>
    <w:uiPriority w:val="0"/>
    <w:rPr>
      <w:rFonts w:hint="eastAsia" w:ascii="宋体" w:hAnsi="宋体" w:eastAsia="宋体" w:cs="宋体"/>
      <w:b/>
      <w:bCs/>
      <w:color w:val="000000"/>
      <w:sz w:val="18"/>
      <w:szCs w:val="18"/>
      <w:u w:val="none"/>
    </w:rPr>
  </w:style>
  <w:style w:type="character" w:customStyle="1" w:styleId="92">
    <w:name w:val="font91"/>
    <w:basedOn w:val="31"/>
    <w:qFormat/>
    <w:uiPriority w:val="0"/>
    <w:rPr>
      <w:rFonts w:hint="eastAsia" w:ascii="宋体" w:hAnsi="宋体" w:eastAsia="宋体" w:cs="宋体"/>
      <w:b/>
      <w:bCs/>
      <w:color w:val="000000"/>
      <w:sz w:val="22"/>
      <w:szCs w:val="22"/>
      <w:u w:val="none"/>
    </w:rPr>
  </w:style>
  <w:style w:type="table" w:customStyle="1" w:styleId="93">
    <w:name w:val="Table Normal"/>
    <w:qFormat/>
    <w:uiPriority w:val="0"/>
    <w:tblPr>
      <w:tblCellMar>
        <w:top w:w="0" w:type="dxa"/>
        <w:left w:w="0" w:type="dxa"/>
        <w:bottom w:w="0" w:type="dxa"/>
        <w:right w:w="0" w:type="dxa"/>
      </w:tblCellMar>
    </w:tblPr>
  </w:style>
  <w:style w:type="paragraph" w:customStyle="1" w:styleId="94">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96">
    <w:name w:val="Table Text"/>
    <w:basedOn w:val="1"/>
    <w:semiHidden/>
    <w:qFormat/>
    <w:uiPriority w:val="0"/>
    <w:rPr>
      <w:rFonts w:ascii="宋体" w:hAnsi="宋体" w:eastAsia="宋体" w:cs="宋体"/>
      <w:sz w:val="30"/>
      <w:szCs w:val="30"/>
    </w:rPr>
  </w:style>
  <w:style w:type="paragraph" w:customStyle="1" w:styleId="9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120</Pages>
  <Words>3366</Words>
  <Characters>3650</Characters>
  <Lines>188</Lines>
  <Paragraphs>52</Paragraphs>
  <TotalTime>5</TotalTime>
  <ScaleCrop>false</ScaleCrop>
  <LinksUpToDate>false</LinksUpToDate>
  <CharactersWithSpaces>3687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2024-08-15T01:28:00Z</dcterms:created>
  <dc:creator>haoyang</dc:creator>
  <cp:lastModifiedBy>祝颂洁</cp:lastModifiedBy>
  <cp:lastPrinted>2024-11-19T04:52:00Z</cp:lastPrinted>
  <dcterms:modified xsi:type="dcterms:W3CDTF">2026-04-29T08:11:01Z</dcterms:modified>
  <dc:title>仙林大学城三幅拟出让地块林地可行性报告编制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559073A4D0864332AFD0CDA3B8E25ED3_13</vt:lpwstr>
  </property>
  <property fmtid="{D5CDD505-2E9C-101B-9397-08002B2CF9AE}" pid="4" name="KSOTemplateDocerSaveRecord">
    <vt:lpwstr>eyJoZGlkIjoiNjc2Y2I4ZTQ1YjAxMzBjM2UzZDZjMGJkY2U3OTQ2NjAiLCJ1c2VySWQiOiIyNDIzMDU2MTEifQ==</vt:lpwstr>
  </property>
</Properties>
</file>